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C2" w:rsidRPr="00EB00A3" w:rsidRDefault="00BD4BC2" w:rsidP="007A6EB8">
      <w:pPr>
        <w:spacing w:line="480" w:lineRule="auto"/>
        <w:jc w:val="center"/>
        <w:outlineLvl w:val="0"/>
        <w:rPr>
          <w:b/>
        </w:rPr>
        <w:sectPr w:rsidR="00BD4BC2" w:rsidRPr="00EB00A3" w:rsidSect="007A6EB8">
          <w:footerReference w:type="even" r:id="rId8"/>
          <w:footerReference w:type="default" r:id="rId9"/>
          <w:endnotePr>
            <w:numFmt w:val="decimal"/>
          </w:endnotePr>
          <w:pgSz w:w="11900" w:h="16840"/>
          <w:pgMar w:top="1440" w:right="1800" w:bottom="1440" w:left="1800" w:header="708" w:footer="708" w:gutter="0"/>
          <w:cols w:space="708"/>
          <w:titlePg/>
          <w:docGrid w:linePitch="360"/>
        </w:sectPr>
      </w:pPr>
      <w:r>
        <w:rPr>
          <w:b/>
        </w:rPr>
        <w:t xml:space="preserve"> </w:t>
      </w:r>
      <w:r w:rsidRPr="00EB00A3">
        <w:rPr>
          <w:b/>
        </w:rPr>
        <w:t>Three Models of Democracy, Political Community and Representation in the EU</w:t>
      </w:r>
    </w:p>
    <w:p w:rsidR="00BD4BC2" w:rsidRPr="00EB00A3" w:rsidRDefault="00BD4BC2" w:rsidP="001F372E">
      <w:pPr>
        <w:spacing w:line="480" w:lineRule="auto"/>
        <w:jc w:val="center"/>
        <w:outlineLvl w:val="0"/>
        <w:sectPr w:rsidR="00BD4BC2" w:rsidRPr="00EB00A3" w:rsidSect="00D87E2D">
          <w:endnotePr>
            <w:numFmt w:val="decimal"/>
          </w:endnotePr>
          <w:type w:val="continuous"/>
          <w:pgSz w:w="11900" w:h="16840"/>
          <w:pgMar w:top="1440" w:right="1800" w:bottom="1440" w:left="1800" w:header="708" w:footer="708" w:gutter="0"/>
          <w:cols w:space="708"/>
          <w:titlePg/>
          <w:docGrid w:linePitch="360"/>
        </w:sectPr>
      </w:pPr>
      <w:r w:rsidRPr="00EB00A3">
        <w:lastRenderedPageBreak/>
        <w:t>Richard Bellamy and Dario Castiglione</w:t>
      </w:r>
    </w:p>
    <w:p w:rsidR="00BD4BC2" w:rsidRDefault="00BD4BC2" w:rsidP="00C14C39">
      <w:pPr>
        <w:spacing w:line="480" w:lineRule="auto"/>
        <w:rPr>
          <w:bCs/>
          <w:lang w:eastAsia="en-US"/>
        </w:rPr>
      </w:pPr>
      <w:r w:rsidRPr="00EB00A3">
        <w:rPr>
          <w:i/>
        </w:rPr>
        <w:lastRenderedPageBreak/>
        <w:t>T</w:t>
      </w:r>
      <w:r w:rsidRPr="00EB00A3">
        <w:rPr>
          <w:bCs/>
          <w:i/>
          <w:lang w:eastAsia="en-US"/>
        </w:rPr>
        <w:t xml:space="preserve">he EU’s </w:t>
      </w:r>
      <w:r>
        <w:rPr>
          <w:bCs/>
          <w:i/>
          <w:lang w:eastAsia="en-US"/>
        </w:rPr>
        <w:t xml:space="preserve">political </w:t>
      </w:r>
      <w:r w:rsidRPr="00EB00A3">
        <w:rPr>
          <w:bCs/>
          <w:i/>
          <w:lang w:eastAsia="en-US"/>
        </w:rPr>
        <w:t xml:space="preserve">system </w:t>
      </w:r>
      <w:r w:rsidRPr="00EB00A3">
        <w:rPr>
          <w:i/>
        </w:rPr>
        <w:t>represents</w:t>
      </w:r>
      <w:r w:rsidRPr="00EB00A3">
        <w:rPr>
          <w:bCs/>
          <w:i/>
          <w:lang w:eastAsia="en-US"/>
        </w:rPr>
        <w:t xml:space="preserve"> European citizens via three different channels: through the European Parliament, indirectly through the Governments in the Council, and through domestic elections, which hold these last democratically accountable to National Parliaments or citizens. However, these channels involve different </w:t>
      </w:r>
      <w:r>
        <w:rPr>
          <w:bCs/>
          <w:i/>
          <w:lang w:eastAsia="en-US"/>
        </w:rPr>
        <w:t xml:space="preserve">and incompatible </w:t>
      </w:r>
      <w:r w:rsidRPr="00EB00A3">
        <w:rPr>
          <w:bCs/>
          <w:i/>
          <w:lang w:eastAsia="en-US"/>
        </w:rPr>
        <w:t xml:space="preserve">types of representation and forms of democracy, reflecting divergent conceptions of political community which, following Phillip Pettit, we term </w:t>
      </w:r>
      <w:r w:rsidRPr="00EB00A3">
        <w:t xml:space="preserve">solidarism, </w:t>
      </w:r>
      <w:r>
        <w:t xml:space="preserve">singularism </w:t>
      </w:r>
      <w:r w:rsidRPr="00EB00A3">
        <w:t xml:space="preserve">and civicity </w:t>
      </w:r>
      <w:r w:rsidRPr="00EB00A3">
        <w:rPr>
          <w:i/>
        </w:rPr>
        <w:t>respectivel</w:t>
      </w:r>
      <w:r w:rsidRPr="00EB00A3">
        <w:t xml:space="preserve">y. </w:t>
      </w:r>
      <w:r>
        <w:rPr>
          <w:i/>
        </w:rPr>
        <w:t xml:space="preserve">The first channel seeks to represent the common good of a European people; the second the mutual self-interest of the single Member States. We argue the first lacks social and political legitimacy, while the second proves insufficient to tackle collective European problems equitably or effectively. </w:t>
      </w:r>
      <w:r w:rsidRPr="00EB00A3">
        <w:rPr>
          <w:rFonts w:eastAsia="Times New Roman"/>
        </w:rPr>
        <w:t xml:space="preserve"> </w:t>
      </w:r>
      <w:r w:rsidRPr="00EB00A3">
        <w:rPr>
          <w:bCs/>
          <w:i/>
          <w:lang w:eastAsia="en-US"/>
        </w:rPr>
        <w:t xml:space="preserve">We </w:t>
      </w:r>
      <w:r>
        <w:rPr>
          <w:bCs/>
          <w:i/>
          <w:lang w:eastAsia="en-US"/>
        </w:rPr>
        <w:t xml:space="preserve">propose </w:t>
      </w:r>
      <w:r w:rsidRPr="00EB00A3">
        <w:rPr>
          <w:bCs/>
          <w:i/>
          <w:lang w:eastAsia="en-US"/>
        </w:rPr>
        <w:t>reinforc</w:t>
      </w:r>
      <w:r>
        <w:rPr>
          <w:bCs/>
          <w:i/>
          <w:lang w:eastAsia="en-US"/>
        </w:rPr>
        <w:t>ing</w:t>
      </w:r>
      <w:r w:rsidRPr="00EB00A3">
        <w:rPr>
          <w:bCs/>
          <w:i/>
          <w:lang w:eastAsia="en-US"/>
        </w:rPr>
        <w:t xml:space="preserve"> the third channel </w:t>
      </w:r>
      <w:r>
        <w:rPr>
          <w:bCs/>
          <w:i/>
          <w:lang w:eastAsia="en-US"/>
        </w:rPr>
        <w:t xml:space="preserve">so as to modify these other </w:t>
      </w:r>
      <w:r w:rsidRPr="00EB00A3">
        <w:rPr>
          <w:bCs/>
          <w:i/>
          <w:lang w:eastAsia="en-US"/>
        </w:rPr>
        <w:t xml:space="preserve">two </w:t>
      </w:r>
      <w:r>
        <w:rPr>
          <w:bCs/>
          <w:i/>
          <w:lang w:eastAsia="en-US"/>
        </w:rPr>
        <w:t>and</w:t>
      </w:r>
      <w:r w:rsidRPr="00EB00A3">
        <w:rPr>
          <w:bCs/>
          <w:i/>
          <w:lang w:eastAsia="en-US"/>
        </w:rPr>
        <w:t xml:space="preserve"> </w:t>
      </w:r>
      <w:r>
        <w:rPr>
          <w:bCs/>
          <w:i/>
          <w:lang w:eastAsia="en-US"/>
        </w:rPr>
        <w:t xml:space="preserve">produce a </w:t>
      </w:r>
      <w:r w:rsidRPr="00EB00A3">
        <w:rPr>
          <w:bCs/>
          <w:i/>
          <w:lang w:eastAsia="en-US"/>
        </w:rPr>
        <w:t>European ‘demoi-cracy</w:t>
      </w:r>
      <w:r>
        <w:rPr>
          <w:bCs/>
          <w:i/>
          <w:lang w:eastAsia="en-US"/>
        </w:rPr>
        <w:t xml:space="preserve">’ able to sustain the form of representative democracy we associate with a </w:t>
      </w:r>
      <w:r w:rsidRPr="00B63C43">
        <w:rPr>
          <w:bCs/>
          <w:lang w:eastAsia="en-US"/>
        </w:rPr>
        <w:t>civicity</w:t>
      </w:r>
      <w:r>
        <w:rPr>
          <w:bCs/>
          <w:lang w:eastAsia="en-US"/>
        </w:rPr>
        <w:t xml:space="preserve">. </w:t>
      </w:r>
      <w:r>
        <w:rPr>
          <w:bCs/>
          <w:i/>
          <w:lang w:eastAsia="en-US"/>
        </w:rPr>
        <w:t xml:space="preserve">We contend such a system fosters an `ever closer Union among the peoples of Europe’ by allowing the construction of shared policies that treat the different demoi with equal concern and respect. </w:t>
      </w:r>
    </w:p>
    <w:p w:rsidR="00BD4BC2" w:rsidRPr="000F6BE2" w:rsidRDefault="00BD4BC2" w:rsidP="00C14C39">
      <w:pPr>
        <w:spacing w:line="480" w:lineRule="auto"/>
        <w:rPr>
          <w:bCs/>
          <w:lang w:eastAsia="en-US"/>
        </w:rPr>
      </w:pPr>
    </w:p>
    <w:p w:rsidR="00BD4BC2" w:rsidRDefault="00BD4BC2" w:rsidP="00E155EA">
      <w:pPr>
        <w:spacing w:line="480" w:lineRule="auto"/>
      </w:pPr>
      <w:r>
        <w:t>Keywords: democracy, representation, community, national parliaments, demoi-cracy, EU</w:t>
      </w:r>
    </w:p>
    <w:p w:rsidR="00BD4BC2" w:rsidRPr="00EB00A3" w:rsidRDefault="00BD4BC2" w:rsidP="00E155EA">
      <w:pPr>
        <w:spacing w:line="480" w:lineRule="auto"/>
      </w:pPr>
    </w:p>
    <w:p w:rsidR="00BD4BC2" w:rsidRPr="00EB00A3" w:rsidRDefault="00BD4BC2" w:rsidP="007A6EB8">
      <w:pPr>
        <w:autoSpaceDE w:val="0"/>
        <w:autoSpaceDN w:val="0"/>
        <w:adjustRightInd w:val="0"/>
        <w:spacing w:line="480" w:lineRule="auto"/>
        <w:rPr>
          <w:bCs/>
          <w:lang w:eastAsia="en-US"/>
        </w:rPr>
      </w:pPr>
      <w:r w:rsidRPr="00EB00A3">
        <w:rPr>
          <w:bCs/>
          <w:lang w:eastAsia="en-US"/>
        </w:rPr>
        <w:t xml:space="preserve">Title II Article 10 of the Post-Lisbon Consolidated Treaty of the European Union (TEU) states that the Union is founded on the principles of representative democracy. It identifies three channels whereby European citizens are represented in the EU’s </w:t>
      </w:r>
      <w:r w:rsidRPr="00EB00A3">
        <w:rPr>
          <w:bCs/>
          <w:lang w:eastAsia="en-US"/>
        </w:rPr>
        <w:lastRenderedPageBreak/>
        <w:t xml:space="preserve">system of governance: directly via elections to the European Parliament (EP), indirectly via their Heads of State or Government in the European Council or in the Council by their Government, and in domestic elections which hold these last democratically accountable to National Parliaments (NPs) or to citizens. </w:t>
      </w:r>
      <w:r>
        <w:rPr>
          <w:bCs/>
          <w:lang w:eastAsia="en-US"/>
        </w:rPr>
        <w:t xml:space="preserve">One </w:t>
      </w:r>
      <w:r w:rsidRPr="00EB00A3">
        <w:rPr>
          <w:bCs/>
          <w:lang w:eastAsia="en-US"/>
        </w:rPr>
        <w:t>potential difficulty with this arrangement involves a possible tension between the representation of citizens, on the one hand, and of States, on the other, given no clear distinction exists between when and for what purposes citizens are represented as Europeans and as members of States, or of the connections between the two</w:t>
      </w:r>
      <w:r>
        <w:rPr>
          <w:bCs/>
          <w:lang w:eastAsia="en-US"/>
        </w:rPr>
        <w:t xml:space="preserve"> </w:t>
      </w:r>
      <w:r w:rsidRPr="00EB00A3">
        <w:t>(</w:t>
      </w:r>
      <w:r w:rsidRPr="00EB00A3">
        <w:rPr>
          <w:bCs/>
        </w:rPr>
        <w:t>Kröger</w:t>
      </w:r>
      <w:r>
        <w:rPr>
          <w:bCs/>
        </w:rPr>
        <w:t xml:space="preserve"> and Friedrich 2012</w:t>
      </w:r>
      <w:r w:rsidRPr="00EB00A3">
        <w:rPr>
          <w:bCs/>
        </w:rPr>
        <w:t>, Bolleyer and Reh 201</w:t>
      </w:r>
      <w:r>
        <w:rPr>
          <w:bCs/>
        </w:rPr>
        <w:t>2</w:t>
      </w:r>
      <w:r w:rsidRPr="00EB00A3">
        <w:rPr>
          <w:bCs/>
        </w:rPr>
        <w:t>)</w:t>
      </w:r>
      <w:r w:rsidRPr="00EB00A3">
        <w:rPr>
          <w:bCs/>
          <w:lang w:eastAsia="en-US"/>
        </w:rPr>
        <w:t xml:space="preserve">. Consequently, European level decisions can be at odds with Member State (MS) level decisions and </w:t>
      </w:r>
      <w:r w:rsidRPr="00EB00A3">
        <w:rPr>
          <w:bCs/>
          <w:i/>
          <w:lang w:eastAsia="en-US"/>
        </w:rPr>
        <w:t>vice versa</w:t>
      </w:r>
      <w:r w:rsidRPr="00EB00A3">
        <w:rPr>
          <w:bCs/>
          <w:lang w:eastAsia="en-US"/>
        </w:rPr>
        <w:t>, with critics of the EU’s democratic deficit suggesting that there are little or no grounds for regarding the first as having greater democratic authority than the second – indeed, they often maintain the opposite. This piece explores a related but distinct aspect of this problem. We argue that not only do these three channels represent different subjects – citizens in the first case, States in the second, with the third largely unrelated to European issues</w:t>
      </w:r>
      <w:r>
        <w:rPr>
          <w:bCs/>
          <w:lang w:eastAsia="en-US"/>
        </w:rPr>
        <w:t>,</w:t>
      </w:r>
      <w:r w:rsidRPr="00EB00A3">
        <w:rPr>
          <w:bCs/>
          <w:lang w:eastAsia="en-US"/>
        </w:rPr>
        <w:t xml:space="preserve"> and hence providing no link between the other two, but also that each channel involves a different type of representation and form of democracy that reflect divergent conceptions of political community. </w:t>
      </w:r>
    </w:p>
    <w:p w:rsidR="00BD4BC2" w:rsidRPr="00EB00A3" w:rsidRDefault="00BD4BC2" w:rsidP="007A6EB8">
      <w:pPr>
        <w:autoSpaceDE w:val="0"/>
        <w:autoSpaceDN w:val="0"/>
        <w:adjustRightInd w:val="0"/>
        <w:spacing w:line="480" w:lineRule="auto"/>
        <w:ind w:firstLine="720"/>
        <w:rPr>
          <w:bCs/>
          <w:lang w:eastAsia="en-US"/>
        </w:rPr>
      </w:pPr>
      <w:r w:rsidRPr="00EB00A3">
        <w:rPr>
          <w:bCs/>
          <w:lang w:eastAsia="en-US"/>
        </w:rPr>
        <w:t xml:space="preserve">Such differences can be productive. For example, bicameral systems often employ different electoral systems and constituencies for each of the chambers, the idea being to bring different voices into the democratic dialogue with short-term and long-term, national and regional, majority and minority interests balanced against each other. Though systems of compound representation can be criticised for multiplying veto points and creating inefficiencies, they have been motivated by an underlying logic of preventing the capture of government policy by sectional interests </w:t>
      </w:r>
      <w:r w:rsidRPr="00EB00A3">
        <w:rPr>
          <w:bCs/>
          <w:lang w:eastAsia="en-US"/>
        </w:rPr>
        <w:lastRenderedPageBreak/>
        <w:t>and promoting among them a concern with the public interest. Our argument is that at present no such logic can be attributed to the EU political system because these three channels are not related to each other in a systematic and coherent manner. Instead, they offer incompatible images of the relations between individuals and States in Europe. Individuals are represented in the first channel as members of a Europ</w:t>
      </w:r>
      <w:r>
        <w:rPr>
          <w:bCs/>
          <w:lang w:eastAsia="en-US"/>
        </w:rPr>
        <w:t>ean people, in the second by MS</w:t>
      </w:r>
      <w:r w:rsidRPr="00EB00A3">
        <w:rPr>
          <w:bCs/>
          <w:lang w:eastAsia="en-US"/>
        </w:rPr>
        <w:t xml:space="preserve"> and in the third as members of their various domestic peoples. Each channel not only constructs the interest of a different public, but also conceives the public interest in different and ultimately incompatible ways – in terms of a common good, as mutual self-interest and as a shared interest – leading to contradictory policy proposals. </w:t>
      </w:r>
    </w:p>
    <w:p w:rsidR="00BD4BC2" w:rsidRPr="00EB00A3" w:rsidRDefault="00BD4BC2" w:rsidP="007A6EB8">
      <w:pPr>
        <w:autoSpaceDE w:val="0"/>
        <w:autoSpaceDN w:val="0"/>
        <w:adjustRightInd w:val="0"/>
        <w:spacing w:line="480" w:lineRule="auto"/>
        <w:ind w:firstLine="720"/>
        <w:rPr>
          <w:rFonts w:eastAsia="Times New Roman"/>
        </w:rPr>
      </w:pPr>
      <w:r w:rsidRPr="00EB00A3">
        <w:rPr>
          <w:bCs/>
          <w:lang w:eastAsia="en-US"/>
        </w:rPr>
        <w:t>We shall argue that the first two conceptions of the European public interest are at odds with the EU’s declared aim ‘</w:t>
      </w:r>
      <w:r w:rsidRPr="00EB00A3">
        <w:rPr>
          <w:rFonts w:eastAsia="Times New Roman"/>
        </w:rPr>
        <w:t>of creating an ever cl</w:t>
      </w:r>
      <w:r w:rsidRPr="00EB00A3">
        <w:rPr>
          <w:rStyle w:val="PageNumber"/>
        </w:rPr>
        <w:t>oser union among the peoples of</w:t>
      </w:r>
      <w:r w:rsidRPr="00EB00A3">
        <w:rPr>
          <w:rFonts w:eastAsia="Times New Roman"/>
        </w:rPr>
        <w:t xml:space="preserve"> Europe’. They misrepresent the ‘public’ of Europe both in their conception of that public - as a European people or simply a collection of States – and in the type of representation they employ and the form of politics it leads to. The resulting problems </w:t>
      </w:r>
      <w:r w:rsidRPr="00EB00A3">
        <w:rPr>
          <w:bCs/>
          <w:lang w:eastAsia="en-US"/>
        </w:rPr>
        <w:t>seem epitomised by current attempts to resolve the Euro crisis, where the proposed measures have failed either to promote a European interest sufficient to al</w:t>
      </w:r>
      <w:r>
        <w:rPr>
          <w:bCs/>
          <w:lang w:eastAsia="en-US"/>
        </w:rPr>
        <w:t>low credit transfers between MS</w:t>
      </w:r>
      <w:r w:rsidRPr="00EB00A3">
        <w:rPr>
          <w:bCs/>
          <w:lang w:eastAsia="en-US"/>
        </w:rPr>
        <w:t xml:space="preserve"> </w:t>
      </w:r>
      <w:r>
        <w:rPr>
          <w:bCs/>
          <w:lang w:eastAsia="en-US"/>
        </w:rPr>
        <w:t xml:space="preserve">or </w:t>
      </w:r>
      <w:r w:rsidRPr="00EB00A3">
        <w:rPr>
          <w:bCs/>
          <w:lang w:eastAsia="en-US"/>
        </w:rPr>
        <w:t>to satisfy national interests as these are perc</w:t>
      </w:r>
      <w:r>
        <w:rPr>
          <w:bCs/>
          <w:lang w:eastAsia="en-US"/>
        </w:rPr>
        <w:t>eived by domestic electorates</w:t>
      </w:r>
      <w:r w:rsidRPr="00EB00A3">
        <w:rPr>
          <w:bCs/>
          <w:lang w:eastAsia="en-US"/>
        </w:rPr>
        <w:t xml:space="preserve">. The upshot has been policies widely criticised as suboptimal. </w:t>
      </w:r>
      <w:r w:rsidRPr="00EB00A3">
        <w:rPr>
          <w:rFonts w:eastAsia="Times New Roman"/>
        </w:rPr>
        <w:t>We contend the solution lies in the European peoples being represented in a way that allows for greater interaction between them in the collective decision making of the EU. In line with the TEU’s meta democratic principle of ‘equality’, a form of representation is required that pays `equal attention’ to citizens as citizens of a Union of peoples rather than as either members of a putative European people or nationals of a MS. In sum, we need to promote a workable form of European ‘demoi-</w:t>
      </w:r>
      <w:r w:rsidRPr="00EB00A3">
        <w:rPr>
          <w:rFonts w:eastAsia="Times New Roman"/>
        </w:rPr>
        <w:lastRenderedPageBreak/>
        <w:t>cracy’</w:t>
      </w:r>
      <w:r>
        <w:rPr>
          <w:rFonts w:eastAsia="Times New Roman"/>
        </w:rPr>
        <w:t xml:space="preserve"> </w:t>
      </w:r>
      <w:r w:rsidRPr="00EB00A3">
        <w:rPr>
          <w:bCs/>
          <w:lang w:eastAsia="en-US"/>
        </w:rPr>
        <w:t>(</w:t>
      </w:r>
      <w:r w:rsidRPr="00EB00A3">
        <w:t>Nicolaïdis</w:t>
      </w:r>
      <w:r>
        <w:t xml:space="preserve"> 2003)</w:t>
      </w:r>
      <w:r w:rsidRPr="00EB00A3">
        <w:rPr>
          <w:rFonts w:eastAsia="Times New Roman"/>
        </w:rPr>
        <w:t xml:space="preserve"> rather than either a European ‘democracy’ or a system of democratic States where some tend to dominate others.</w:t>
      </w:r>
    </w:p>
    <w:p w:rsidR="00BD4BC2" w:rsidRDefault="00BD4BC2" w:rsidP="00FE4CCF">
      <w:pPr>
        <w:autoSpaceDE w:val="0"/>
        <w:autoSpaceDN w:val="0"/>
        <w:adjustRightInd w:val="0"/>
        <w:spacing w:line="480" w:lineRule="auto"/>
        <w:ind w:firstLine="720"/>
        <w:rPr>
          <w:bCs/>
          <w:lang w:eastAsia="en-US"/>
        </w:rPr>
      </w:pPr>
      <w:r w:rsidRPr="00EB00A3">
        <w:rPr>
          <w:bCs/>
          <w:lang w:eastAsia="en-US"/>
        </w:rPr>
        <w:t>The argument proceeds as follows. We start by distinguishing three forms of representative democracy and three related conceptions of political community. If the first form of democracy is</w:t>
      </w:r>
      <w:r>
        <w:rPr>
          <w:bCs/>
          <w:lang w:eastAsia="en-US"/>
        </w:rPr>
        <w:t xml:space="preserve"> </w:t>
      </w:r>
      <w:r w:rsidRPr="00EB00A3">
        <w:rPr>
          <w:bCs/>
          <w:lang w:eastAsia="en-US"/>
        </w:rPr>
        <w:t>‘thick</w:t>
      </w:r>
      <w:r>
        <w:rPr>
          <w:bCs/>
          <w:lang w:eastAsia="en-US"/>
        </w:rPr>
        <w:t>’</w:t>
      </w:r>
      <w:r w:rsidRPr="00EB00A3">
        <w:rPr>
          <w:bCs/>
          <w:lang w:eastAsia="en-US"/>
        </w:rPr>
        <w:t>, concerned with the intrinsic promotion of a supposed common good, and the second is</w:t>
      </w:r>
      <w:r>
        <w:rPr>
          <w:bCs/>
          <w:lang w:eastAsia="en-US"/>
        </w:rPr>
        <w:t xml:space="preserve"> </w:t>
      </w:r>
      <w:r w:rsidRPr="00EB00A3">
        <w:rPr>
          <w:bCs/>
          <w:lang w:eastAsia="en-US"/>
        </w:rPr>
        <w:t xml:space="preserve"> ‘thin’, orientated towards an instrumental protection of individual rights</w:t>
      </w:r>
      <w:r>
        <w:rPr>
          <w:bCs/>
          <w:lang w:eastAsia="en-US"/>
        </w:rPr>
        <w:t xml:space="preserve"> and interests</w:t>
      </w:r>
      <w:r w:rsidRPr="00EB00A3">
        <w:rPr>
          <w:bCs/>
          <w:lang w:eastAsia="en-US"/>
        </w:rPr>
        <w:t>,  the third seeks to combine these two in ways that have become characteristic of most working liberal democracies. These three forms of democracy reflect three different political ontologies – what, following Philip Pettit (</w:t>
      </w:r>
      <w:r w:rsidRPr="00EB00A3">
        <w:t>2005),</w:t>
      </w:r>
      <w:r w:rsidRPr="00EB00A3">
        <w:rPr>
          <w:bCs/>
          <w:lang w:eastAsia="en-US"/>
        </w:rPr>
        <w:t xml:space="preserve"> we term solidarism, singularism and civicity – which conceive the relations between the members of a political community and the appropriate modes of represe</w:t>
      </w:r>
      <w:r>
        <w:rPr>
          <w:bCs/>
          <w:lang w:eastAsia="en-US"/>
        </w:rPr>
        <w:t xml:space="preserve">nting them  in contrasting ways. </w:t>
      </w:r>
      <w:r w:rsidRPr="00EB00A3">
        <w:rPr>
          <w:bCs/>
          <w:lang w:eastAsia="en-US"/>
        </w:rPr>
        <w:t xml:space="preserve">We contend that the capacity to promote public policies that give mutual recognition to the rights of individuals can only be found in the interactional form of representation characteristic of a civicity. </w:t>
      </w:r>
      <w:r>
        <w:rPr>
          <w:bCs/>
          <w:lang w:eastAsia="en-US"/>
        </w:rPr>
        <w:t xml:space="preserve">Turning to the EU, we argue </w:t>
      </w:r>
      <w:r w:rsidRPr="00EB00A3">
        <w:rPr>
          <w:bCs/>
          <w:lang w:eastAsia="en-US"/>
        </w:rPr>
        <w:t>that the supranational, international and national</w:t>
      </w:r>
      <w:r>
        <w:rPr>
          <w:bCs/>
          <w:lang w:eastAsia="en-US"/>
        </w:rPr>
        <w:t xml:space="preserve"> channels of representation within the EU</w:t>
      </w:r>
      <w:r w:rsidRPr="00EB00A3">
        <w:rPr>
          <w:bCs/>
          <w:lang w:eastAsia="en-US"/>
        </w:rPr>
        <w:t xml:space="preserve"> </w:t>
      </w:r>
      <w:r>
        <w:rPr>
          <w:bCs/>
          <w:lang w:eastAsia="en-US"/>
        </w:rPr>
        <w:t>correspond</w:t>
      </w:r>
      <w:r w:rsidRPr="00EB00A3">
        <w:rPr>
          <w:bCs/>
          <w:lang w:eastAsia="en-US"/>
        </w:rPr>
        <w:t xml:space="preserve"> respectively t</w:t>
      </w:r>
      <w:r>
        <w:rPr>
          <w:bCs/>
          <w:lang w:eastAsia="en-US"/>
        </w:rPr>
        <w:t xml:space="preserve">o the three </w:t>
      </w:r>
      <w:r w:rsidRPr="00EB00A3">
        <w:rPr>
          <w:bCs/>
          <w:lang w:eastAsia="en-US"/>
        </w:rPr>
        <w:t xml:space="preserve">forms of representative democracy </w:t>
      </w:r>
      <w:r>
        <w:rPr>
          <w:bCs/>
          <w:lang w:eastAsia="en-US"/>
        </w:rPr>
        <w:t>and political community delineated above</w:t>
      </w:r>
      <w:r w:rsidRPr="00EB00A3">
        <w:rPr>
          <w:bCs/>
          <w:lang w:eastAsia="en-US"/>
        </w:rPr>
        <w:t xml:space="preserve">. </w:t>
      </w:r>
      <w:r>
        <w:rPr>
          <w:bCs/>
          <w:lang w:eastAsia="en-US"/>
        </w:rPr>
        <w:t>We maintain that the social conditions are lacking for the solidarist account invoked by the EP and the Commission to represent the collective interests of a European people; while the singularist account that legitimises bargaining between the MS prevents their governments moving beyond policies that can be portrayed as Pareto optimal. We</w:t>
      </w:r>
      <w:r w:rsidRPr="00EB00A3">
        <w:rPr>
          <w:bCs/>
          <w:lang w:eastAsia="en-US"/>
        </w:rPr>
        <w:t xml:space="preserve"> </w:t>
      </w:r>
      <w:r>
        <w:rPr>
          <w:bCs/>
          <w:lang w:eastAsia="en-US"/>
        </w:rPr>
        <w:t>propose</w:t>
      </w:r>
      <w:r w:rsidRPr="00EB00A3">
        <w:rPr>
          <w:bCs/>
          <w:lang w:eastAsia="en-US"/>
        </w:rPr>
        <w:t xml:space="preserve"> that if European issues could be introduced into the </w:t>
      </w:r>
      <w:r>
        <w:rPr>
          <w:bCs/>
          <w:lang w:eastAsia="en-US"/>
        </w:rPr>
        <w:t xml:space="preserve">national channel of representation </w:t>
      </w:r>
      <w:r w:rsidRPr="00EB00A3">
        <w:rPr>
          <w:bCs/>
          <w:lang w:eastAsia="en-US"/>
        </w:rPr>
        <w:t xml:space="preserve">that might in its turn modify the other two channels sufficiently to move them closer to the form of </w:t>
      </w:r>
      <w:r>
        <w:rPr>
          <w:bCs/>
          <w:lang w:eastAsia="en-US"/>
        </w:rPr>
        <w:t xml:space="preserve">representative </w:t>
      </w:r>
      <w:r w:rsidRPr="00EB00A3">
        <w:rPr>
          <w:bCs/>
          <w:lang w:eastAsia="en-US"/>
        </w:rPr>
        <w:t xml:space="preserve">democracy typical of a civicity. </w:t>
      </w:r>
      <w:r>
        <w:rPr>
          <w:bCs/>
          <w:lang w:eastAsia="en-US"/>
        </w:rPr>
        <w:t xml:space="preserve">The result would be a European demoi-cracy in which political representatives at all three </w:t>
      </w:r>
      <w:r>
        <w:rPr>
          <w:bCs/>
          <w:lang w:eastAsia="en-US"/>
        </w:rPr>
        <w:lastRenderedPageBreak/>
        <w:t>levels would be socially and politically authorised and accountable for policies that show equal and concern and respect to the different peoples of Europe. Such policies involve less than the common good of a European people but more than the mutual self-interest of the MS.</w:t>
      </w:r>
    </w:p>
    <w:p w:rsidR="00BD4BC2" w:rsidRPr="00EB00A3" w:rsidRDefault="00BD4BC2" w:rsidP="007906A6">
      <w:pPr>
        <w:spacing w:line="480" w:lineRule="auto"/>
      </w:pPr>
    </w:p>
    <w:p w:rsidR="00BD4BC2" w:rsidRDefault="00BD4BC2" w:rsidP="007906A6">
      <w:pPr>
        <w:spacing w:line="480" w:lineRule="auto"/>
      </w:pPr>
      <w:r w:rsidRPr="00EB00A3">
        <w:rPr>
          <w:i/>
        </w:rPr>
        <w:t>Three Models of Representative Democracy</w:t>
      </w:r>
    </w:p>
    <w:p w:rsidR="00BD4BC2" w:rsidRPr="00EB00A3" w:rsidRDefault="00BD4BC2" w:rsidP="00C75231">
      <w:pPr>
        <w:spacing w:line="480" w:lineRule="auto"/>
      </w:pPr>
      <w:r w:rsidRPr="00EB00A3">
        <w:t xml:space="preserve">In formal terms, representation involves someone taking the place of someone else through a process </w:t>
      </w:r>
      <w:r>
        <w:t>involving both</w:t>
      </w:r>
      <w:r w:rsidRPr="00EB00A3">
        <w:t xml:space="preserve"> </w:t>
      </w:r>
      <w:r>
        <w:t>the</w:t>
      </w:r>
      <w:r w:rsidRPr="00EB00A3">
        <w:t xml:space="preserve"> authorization of the representative </w:t>
      </w:r>
      <w:r w:rsidRPr="00EB00A3">
        <w:rPr>
          <w:i/>
        </w:rPr>
        <w:t>by</w:t>
      </w:r>
      <w:r w:rsidRPr="00EB00A3">
        <w:t xml:space="preserve"> the represented, and </w:t>
      </w:r>
      <w:r>
        <w:t>the</w:t>
      </w:r>
      <w:r w:rsidRPr="00EB00A3">
        <w:t xml:space="preserve"> accountability of the representative </w:t>
      </w:r>
      <w:r w:rsidRPr="00EB00A3">
        <w:rPr>
          <w:i/>
        </w:rPr>
        <w:t xml:space="preserve">to </w:t>
      </w:r>
      <w:r w:rsidRPr="00EB00A3">
        <w:t xml:space="preserve">the represented (Pitkin 1967). Authorization concerns </w:t>
      </w:r>
      <w:r>
        <w:t>the</w:t>
      </w:r>
      <w:r w:rsidRPr="00EB00A3">
        <w:t xml:space="preserve"> procedures and extent </w:t>
      </w:r>
      <w:r>
        <w:t xml:space="preserve">by and to which </w:t>
      </w:r>
      <w:r w:rsidRPr="00EB00A3">
        <w:t xml:space="preserve">people transfer their power to either act or decide to other political and/or legal ‘persons’ or institutions. Accountability deals with the ways and </w:t>
      </w:r>
      <w:r>
        <w:t>degree by and</w:t>
      </w:r>
      <w:r w:rsidRPr="00EB00A3">
        <w:t xml:space="preserve"> to which the represented can control what their representatives do in their name. These two moments reflect the initial and the final stage of the representative relationship respectively and are central to the legitimacy of democratic representation. </w:t>
      </w:r>
    </w:p>
    <w:p w:rsidR="00BD4BC2" w:rsidRDefault="00BD4BC2" w:rsidP="003D164D">
      <w:pPr>
        <w:spacing w:line="480" w:lineRule="auto"/>
        <w:ind w:firstLine="720"/>
      </w:pPr>
      <w:r w:rsidRPr="00EB00A3">
        <w:t xml:space="preserve">How political agents enact this formal relationship substantively also matters. </w:t>
      </w:r>
      <w:r>
        <w:t xml:space="preserve">A representative may </w:t>
      </w:r>
      <w:r w:rsidRPr="00EB00A3">
        <w:t xml:space="preserve">‘stand for’ </w:t>
      </w:r>
      <w:r>
        <w:t>or</w:t>
      </w:r>
      <w:r w:rsidRPr="00EB00A3">
        <w:t xml:space="preserve"> ‘act for’ </w:t>
      </w:r>
      <w:r>
        <w:t xml:space="preserve">those they represent </w:t>
      </w:r>
      <w:r w:rsidRPr="00EB00A3">
        <w:t>(Pitkin 1967</w:t>
      </w:r>
      <w:r>
        <w:t xml:space="preserve">: 61, 113). The first involves </w:t>
      </w:r>
      <w:r w:rsidRPr="00EB00A3">
        <w:t xml:space="preserve">descriptive or symbolic </w:t>
      </w:r>
      <w:r>
        <w:t xml:space="preserve">representation, as in a portrait or a logo, and hence a degree of identification between representative and represented. </w:t>
      </w:r>
      <w:r w:rsidRPr="00EB00A3">
        <w:t xml:space="preserve"> </w:t>
      </w:r>
      <w:r>
        <w:t>The second</w:t>
      </w:r>
      <w:r w:rsidRPr="00EB00A3">
        <w:t xml:space="preserve"> can be as a del</w:t>
      </w:r>
      <w:r>
        <w:t xml:space="preserve">egate or a trustee. Historically </w:t>
      </w:r>
      <w:r w:rsidRPr="00EB00A3">
        <w:t>the main ground</w:t>
      </w:r>
      <w:r>
        <w:t xml:space="preserve"> </w:t>
      </w:r>
      <w:r w:rsidRPr="00EB00A3">
        <w:t xml:space="preserve">for substantive disputes about </w:t>
      </w:r>
      <w:r w:rsidRPr="00EB00A3">
        <w:rPr>
          <w:i/>
        </w:rPr>
        <w:t>how</w:t>
      </w:r>
      <w:r w:rsidRPr="00EB00A3">
        <w:t xml:space="preserve"> representatives represent</w:t>
      </w:r>
      <w:r>
        <w:t xml:space="preserve">  has been the </w:t>
      </w:r>
      <w:r w:rsidRPr="00EB00A3">
        <w:t>delegate-trustee dichotomy</w:t>
      </w:r>
      <w:r>
        <w:t xml:space="preserve">, </w:t>
      </w:r>
      <w:r w:rsidRPr="00EB00A3">
        <w:t xml:space="preserve">though a whole spectrum of possible relationships exists between </w:t>
      </w:r>
      <w:r>
        <w:t xml:space="preserve">the two </w:t>
      </w:r>
      <w:r w:rsidRPr="00EB00A3">
        <w:t>(Pitkin 1967: 115-139).</w:t>
      </w:r>
      <w:r>
        <w:t xml:space="preserve"> However, despite</w:t>
      </w:r>
      <w:r w:rsidRPr="00EB00A3">
        <w:t xml:space="preserve"> its limit</w:t>
      </w:r>
      <w:r>
        <w:rPr>
          <w:rStyle w:val="PageNumber"/>
        </w:rPr>
        <w:t>ations (Mansbridge 2009, Saward</w:t>
      </w:r>
      <w:r w:rsidRPr="00EB00A3">
        <w:t xml:space="preserve"> 2010), </w:t>
      </w:r>
      <w:r>
        <w:t>this dichotomy captures an</w:t>
      </w:r>
      <w:r w:rsidRPr="00EB00A3">
        <w:t xml:space="preserve"> important </w:t>
      </w:r>
      <w:r>
        <w:t>dilemma</w:t>
      </w:r>
      <w:r w:rsidRPr="00EB00A3">
        <w:t xml:space="preserve"> </w:t>
      </w:r>
      <w:r>
        <w:t xml:space="preserve">confronting </w:t>
      </w:r>
      <w:r w:rsidRPr="00EB00A3">
        <w:t>democratic repre</w:t>
      </w:r>
      <w:r>
        <w:t>sentation. As Pitkin noted,</w:t>
      </w:r>
      <w:r w:rsidRPr="00EB00A3">
        <w:t xml:space="preserve"> representation involves a paradox whereby it makes </w:t>
      </w:r>
      <w:r w:rsidRPr="00EB00A3">
        <w:lastRenderedPageBreak/>
        <w:t xml:space="preserve">‘present’ those who are ‘absent’. As such, it involves a </w:t>
      </w:r>
      <w:r w:rsidRPr="00716B57">
        <w:t>relationship of relative independence</w:t>
      </w:r>
      <w:r w:rsidRPr="00EB00A3">
        <w:t xml:space="preserve"> between</w:t>
      </w:r>
      <w:r>
        <w:t xml:space="preserve"> the</w:t>
      </w:r>
      <w:r w:rsidRPr="00EB00A3">
        <w:t xml:space="preserve"> representative and the represented</w:t>
      </w:r>
      <w:r w:rsidRPr="00EB00A3">
        <w:rPr>
          <w:i/>
        </w:rPr>
        <w:t xml:space="preserve"> </w:t>
      </w:r>
      <w:r w:rsidRPr="00EB00A3">
        <w:t xml:space="preserve">(Pitkin 1967: 209). </w:t>
      </w:r>
      <w:r>
        <w:t xml:space="preserve">If the legitimacy of representatives tends to rest on their having a mandate of some kind, and so being in certain respects delegates, the activity of representation tends to involve their being able to act to in some ways independently, as trustees. </w:t>
      </w:r>
    </w:p>
    <w:p w:rsidR="00BD4BC2" w:rsidRDefault="00BD4BC2" w:rsidP="002D6BE4">
      <w:pPr>
        <w:spacing w:line="480" w:lineRule="auto"/>
        <w:ind w:firstLine="720"/>
      </w:pPr>
      <w:r>
        <w:t>Our contention is that the manner in which representatives ‘act for’ their principals depends to a large degree on how they ‘stand for’ them, and that the extent and nature of the identification between the one and the other conditions how far and in what ways they can bridge the gap between delegation and trusteeship.  For the different processes employed to select representatives to ‘act for’ citizens reflect in their turn a particular social relationship between representative and the represented and the way the one ‘stands for’ the other. How and why citizens are represented determines in its turn the view of the public interest that representatives will seek to construct and the political and social legitimacy they have to do so.</w:t>
      </w:r>
    </w:p>
    <w:p w:rsidR="00BD4BC2" w:rsidRPr="003D164D" w:rsidRDefault="00BD4BC2" w:rsidP="00EB618C">
      <w:pPr>
        <w:spacing w:line="480" w:lineRule="auto"/>
        <w:ind w:firstLine="720"/>
      </w:pPr>
      <w:r>
        <w:t xml:space="preserve">In this section we shall introduce three conceptions of democracy - what we shall term ‘thick’, ‘thin’ and ‘thick-thin’. We shall argue each involves a different understanding of how representatives may ‘act for’ citizens which corresponds to a different ‘political ontology’ or view </w:t>
      </w:r>
      <w:r w:rsidRPr="00EB00A3">
        <w:t>`of the relationships and structure in virtue of which individuals in a polity constitute a people, a nation, and a state’ (Pettit 2005: 157)</w:t>
      </w:r>
      <w:r>
        <w:t xml:space="preserve"> which constrains how they ‘stand for’ them. Following Pettit (2005), we term these three ontologies ‘political solidarism’, `political singularity’ and `civicity’ respectively</w:t>
      </w:r>
      <w:r w:rsidRPr="00EB00A3">
        <w:t xml:space="preserve">. </w:t>
      </w:r>
      <w:r>
        <w:t xml:space="preserve">We shall maintain that both the ‘thick’ and ‘thin’ models of democracy lead representatives to pursue a limited understanding of the public interest that in the one case subsumes the individual into the collective interest and in the other the </w:t>
      </w:r>
      <w:r>
        <w:lastRenderedPageBreak/>
        <w:t xml:space="preserve">collective into the individual interest. By contrast, the interactional form of representation typical of the thick-thin model balances the two. </w:t>
      </w:r>
    </w:p>
    <w:p w:rsidR="00BD4BC2" w:rsidRDefault="00BD4BC2" w:rsidP="003F6FA4">
      <w:pPr>
        <w:spacing w:line="480" w:lineRule="auto"/>
        <w:ind w:firstLine="720"/>
      </w:pPr>
      <w:r w:rsidRPr="00EB00A3">
        <w:t xml:space="preserve">Democratic politics encompasses two main tasks. One is the positive task of facilitating the equal participation of citizens in the construction of the public interest. The other </w:t>
      </w:r>
      <w:r>
        <w:t xml:space="preserve">is the </w:t>
      </w:r>
      <w:r w:rsidRPr="00EB00A3">
        <w:t>negative task of protecting the interests of the ruled from being dominated and manipulated by their rulers via their control of the state apparatus. Both the participatory</w:t>
      </w:r>
      <w:r>
        <w:t xml:space="preserve"> and the protective</w:t>
      </w:r>
      <w:r w:rsidRPr="00EB00A3">
        <w:t xml:space="preserve"> tasks figure in most theories of democracy. However, different conceptions of the democratic process tend to read either the </w:t>
      </w:r>
      <w:r>
        <w:t xml:space="preserve">second </w:t>
      </w:r>
      <w:r w:rsidRPr="00EB00A3">
        <w:t xml:space="preserve">through </w:t>
      </w:r>
      <w:r>
        <w:t>first</w:t>
      </w:r>
      <w:r w:rsidRPr="00EB00A3">
        <w:t xml:space="preserve"> or </w:t>
      </w:r>
      <w:r w:rsidRPr="00EB00A3">
        <w:rPr>
          <w:i/>
        </w:rPr>
        <w:t xml:space="preserve">vice versa </w:t>
      </w:r>
      <w:r w:rsidRPr="00EB00A3">
        <w:t>(Macpherson 1977)</w:t>
      </w:r>
    </w:p>
    <w:p w:rsidR="00BD4BC2" w:rsidRDefault="00BD4BC2" w:rsidP="00B4610D">
      <w:pPr>
        <w:spacing w:line="480" w:lineRule="auto"/>
        <w:ind w:firstLine="720"/>
      </w:pPr>
      <w:r w:rsidRPr="00EB00A3">
        <w:t xml:space="preserve">Thicker conceptions of democracy emphasise </w:t>
      </w:r>
      <w:r>
        <w:t>deliberation</w:t>
      </w:r>
      <w:r w:rsidRPr="00EB00A3">
        <w:t xml:space="preserve">. On this account, democracy serves an intrinsic purpose whereby the political community can </w:t>
      </w:r>
      <w:r>
        <w:t>discover</w:t>
      </w:r>
      <w:r w:rsidRPr="00EB00A3">
        <w:t xml:space="preserve"> and sustain the common good. </w:t>
      </w:r>
      <w:r>
        <w:t>It</w:t>
      </w:r>
      <w:r w:rsidRPr="00EB00A3">
        <w:t xml:space="preserve"> </w:t>
      </w:r>
      <w:r>
        <w:t>aims at generating a</w:t>
      </w:r>
      <w:r w:rsidRPr="00EB00A3">
        <w:t xml:space="preserve"> general will, which has moral priority over the particular wills of individuals. As a result, the </w:t>
      </w:r>
      <w:r>
        <w:t>second,</w:t>
      </w:r>
      <w:r w:rsidRPr="00EB00A3">
        <w:t xml:space="preserve"> protective, task of democratic politics is conceived in terms of the</w:t>
      </w:r>
      <w:r>
        <w:t xml:space="preserve"> first</w:t>
      </w:r>
      <w:r w:rsidRPr="00EB00A3">
        <w:t>, participatory, task. The public interest is construed in positive terms, as the product of citizens identifying with each other and the polity.</w:t>
      </w:r>
    </w:p>
    <w:p w:rsidR="00BD4BC2" w:rsidRDefault="00BD4BC2" w:rsidP="00D73B9B">
      <w:pPr>
        <w:spacing w:line="480" w:lineRule="auto"/>
        <w:ind w:firstLine="720"/>
      </w:pPr>
      <w:r>
        <w:t>`Thick’ democracy</w:t>
      </w:r>
      <w:r w:rsidRPr="00EB00A3">
        <w:t xml:space="preserve"> presupposes an organic unity </w:t>
      </w:r>
      <w:r>
        <w:t xml:space="preserve">among the demos, </w:t>
      </w:r>
      <w:r w:rsidRPr="00EB00A3">
        <w:t>and a natural conception of the common good. This unity of interests can be represented in the descriptive and symbolic ways Pitkin describes as ‘standing for</w:t>
      </w:r>
      <w:r>
        <w:t>’. R</w:t>
      </w:r>
      <w:r w:rsidRPr="00EB00A3">
        <w:t>epresentatives</w:t>
      </w:r>
      <w:r>
        <w:t xml:space="preserve"> ‘act as’ the represented by</w:t>
      </w:r>
      <w:r>
        <w:rPr>
          <w:rStyle w:val="PageNumber"/>
        </w:rPr>
        <w:t xml:space="preserve"> virtue of certain personal characteristics</w:t>
      </w:r>
      <w:r>
        <w:t xml:space="preserve"> th</w:t>
      </w:r>
      <w:r>
        <w:rPr>
          <w:rStyle w:val="PageNumber"/>
        </w:rPr>
        <w:t>at</w:t>
      </w:r>
      <w:r>
        <w:t xml:space="preserve"> allow them either symbolically or descriptively</w:t>
      </w:r>
      <w:r w:rsidRPr="00EB00A3">
        <w:t xml:space="preserve"> </w:t>
      </w:r>
      <w:r>
        <w:t>to</w:t>
      </w:r>
      <w:r w:rsidRPr="00EB00A3">
        <w:t xml:space="preserve"> express the commonality of interests of th</w:t>
      </w:r>
      <w:r>
        <w:t>os</w:t>
      </w:r>
      <w:r w:rsidRPr="00EB00A3">
        <w:t xml:space="preserve">e they represent. </w:t>
      </w:r>
      <w:r>
        <w:t>The</w:t>
      </w:r>
      <w:r>
        <w:rPr>
          <w:rStyle w:val="PageNumber"/>
        </w:rPr>
        <w:t xml:space="preserve"> governing body, be it an </w:t>
      </w:r>
      <w:r>
        <w:t>elected parliament or an unelected council, gains its authority by reproducing</w:t>
      </w:r>
      <w:r w:rsidRPr="00EB00A3">
        <w:t xml:space="preserve"> internally the same kind of unity (of the nation, for instance) that allegedly characterises the political body at large. Democratic </w:t>
      </w:r>
      <w:r>
        <w:t xml:space="preserve">(or non democratic) </w:t>
      </w:r>
      <w:r w:rsidRPr="00EB00A3">
        <w:t xml:space="preserve">representation reflects a unity of interests that already </w:t>
      </w:r>
      <w:r w:rsidRPr="00EB00A3">
        <w:lastRenderedPageBreak/>
        <w:t>exists before the political process is in place</w:t>
      </w:r>
      <w:r>
        <w:t xml:space="preserve"> and which deliberation among representatives merely seeks to clarify and express.</w:t>
      </w:r>
    </w:p>
    <w:p w:rsidR="00BD4BC2" w:rsidRDefault="00BD4BC2" w:rsidP="003F6FA4">
      <w:pPr>
        <w:spacing w:line="480" w:lineRule="auto"/>
        <w:ind w:firstLine="720"/>
      </w:pPr>
      <w:r>
        <w:t xml:space="preserve">Such an understanding of democracy presupposes an ontology of ‘political solidarism’. This view conceives </w:t>
      </w:r>
      <w:r w:rsidRPr="00EB00A3">
        <w:t>citizens as part of a corporate body, whose standing, interests and judgements is both separate and independent from them</w:t>
      </w:r>
      <w:r>
        <w:t>. C</w:t>
      </w:r>
      <w:r w:rsidRPr="00EB00A3">
        <w:t>itizens a</w:t>
      </w:r>
      <w:r>
        <w:t>re</w:t>
      </w:r>
      <w:r w:rsidRPr="00EB00A3">
        <w:t xml:space="preserve"> ‘incorporated’ into the body politic, which can then act in their collective name. </w:t>
      </w:r>
      <w:r>
        <w:t xml:space="preserve">A conception </w:t>
      </w:r>
      <w:r w:rsidRPr="00EB00A3">
        <w:t>of</w:t>
      </w:r>
      <w:r>
        <w:t xml:space="preserve"> political relations </w:t>
      </w:r>
      <w:r w:rsidRPr="00EB00A3">
        <w:t>most common today in legal notions of corporate personality,</w:t>
      </w:r>
      <w:r>
        <w:t xml:space="preserve"> it characterises theories of democracy, such as Rousseau’s, that seek to identify the common good with the popular will. On this view, it will be important that citizens and their representatives possess a sympathetic identification with each other and an underlying agreement on ethical principles. They must see themselves as forming a stable collective unit with common goals.</w:t>
      </w:r>
    </w:p>
    <w:p w:rsidR="00BD4BC2" w:rsidRPr="00EB00A3" w:rsidRDefault="00BD4BC2" w:rsidP="003F6FA4">
      <w:pPr>
        <w:spacing w:line="480" w:lineRule="auto"/>
        <w:ind w:firstLine="720"/>
      </w:pPr>
      <w:r>
        <w:t>By contrast, t</w:t>
      </w:r>
      <w:r w:rsidRPr="00EB00A3">
        <w:t>hinner</w:t>
      </w:r>
      <w:r>
        <w:t xml:space="preserve"> </w:t>
      </w:r>
      <w:r w:rsidRPr="00EB00A3">
        <w:t xml:space="preserve">conceptions </w:t>
      </w:r>
      <w:r>
        <w:t>of democracy</w:t>
      </w:r>
      <w:r w:rsidRPr="00EB00A3">
        <w:t xml:space="preserve"> </w:t>
      </w:r>
      <w:r>
        <w:t>emphasise</w:t>
      </w:r>
      <w:r w:rsidRPr="00EB00A3">
        <w:t xml:space="preserve"> the protection of private rights to liberty and the aggregation of separate individual interests. On this account, democracy serves an instrumental purpose. The ruled seek to maximise the exercise of their private rights – either by protecting them or combining with </w:t>
      </w:r>
      <w:r>
        <w:t xml:space="preserve">fellow citizens </w:t>
      </w:r>
      <w:r w:rsidRPr="00EB00A3">
        <w:t>who have similar or convergent interests – and to minimise the capacity of others – especially the rulers and the state – to interfere with them. As a result, the</w:t>
      </w:r>
      <w:r>
        <w:t xml:space="preserve"> first</w:t>
      </w:r>
      <w:r w:rsidRPr="00EB00A3">
        <w:t xml:space="preserve">, participatory, task of democratic politics is conceived largely in terms of the </w:t>
      </w:r>
      <w:r>
        <w:t>second</w:t>
      </w:r>
      <w:r w:rsidRPr="00EB00A3">
        <w:t xml:space="preserve">, protective, task. The public interest is construed in negative terms, as the product of a system that maximises the possibility of each affected agent to block those interferences with their individual rights they deem unnecessary. </w:t>
      </w:r>
    </w:p>
    <w:p w:rsidR="00BD4BC2" w:rsidRPr="00EB00A3" w:rsidRDefault="00BD4BC2" w:rsidP="003F3651">
      <w:pPr>
        <w:spacing w:line="480" w:lineRule="auto"/>
        <w:ind w:firstLine="720"/>
      </w:pPr>
      <w:r>
        <w:t>The</w:t>
      </w:r>
      <w:r w:rsidRPr="00EB00A3">
        <w:t xml:space="preserve"> thin conception</w:t>
      </w:r>
      <w:r>
        <w:t>’s understanding</w:t>
      </w:r>
      <w:r w:rsidRPr="00EB00A3">
        <w:t xml:space="preserve"> of </w:t>
      </w:r>
      <w:r>
        <w:t xml:space="preserve">representation </w:t>
      </w:r>
      <w:r w:rsidRPr="00EB00A3">
        <w:t>oscillates between</w:t>
      </w:r>
      <w:r>
        <w:t xml:space="preserve"> privileging a</w:t>
      </w:r>
      <w:r w:rsidRPr="00EB00A3">
        <w:t xml:space="preserve"> substantive sense of accountability</w:t>
      </w:r>
      <w:r>
        <w:t xml:space="preserve"> </w:t>
      </w:r>
      <w:r w:rsidRPr="00EB00A3">
        <w:t>and a similarly one sided emphasis on the formal processes of authorisation</w:t>
      </w:r>
      <w:r>
        <w:t>.  On the one side</w:t>
      </w:r>
      <w:r w:rsidRPr="00EB00A3">
        <w:t xml:space="preserve">, </w:t>
      </w:r>
      <w:r>
        <w:t xml:space="preserve">it focuses on </w:t>
      </w:r>
      <w:r w:rsidRPr="00EB00A3">
        <w:t xml:space="preserve">the capacity </w:t>
      </w:r>
      <w:r w:rsidRPr="00EB00A3">
        <w:lastRenderedPageBreak/>
        <w:t>of representatives to deliver certain policies or objectives, while denying that authorisation implies a real transfer of power</w:t>
      </w:r>
      <w:r>
        <w:t xml:space="preserve">. On the other side, it stresses the constraints imposed by the authorisation of representatives, but has a </w:t>
      </w:r>
      <w:r w:rsidRPr="00EB00A3">
        <w:t xml:space="preserve">limited view of the process of accountability. Adapting Pitkin (1967: 139), the </w:t>
      </w:r>
      <w:r>
        <w:t>one</w:t>
      </w:r>
      <w:r w:rsidRPr="00EB00A3">
        <w:t xml:space="preserve"> interprets the role of representatives as </w:t>
      </w:r>
      <w:r>
        <w:t>`</w:t>
      </w:r>
      <w:r w:rsidRPr="00BD3559">
        <w:t>acting</w:t>
      </w:r>
      <w:r>
        <w:t xml:space="preserve"> </w:t>
      </w:r>
      <w:r w:rsidRPr="00BD3559">
        <w:t>for</w:t>
      </w:r>
      <w:r>
        <w:t>’</w:t>
      </w:r>
      <w:r w:rsidRPr="00EB00A3">
        <w:rPr>
          <w:i/>
        </w:rPr>
        <w:t xml:space="preserve"> </w:t>
      </w:r>
      <w:r w:rsidRPr="00EB00A3">
        <w:t>in the generic sense of acting ‘in the interest of’; while the</w:t>
      </w:r>
      <w:r>
        <w:t xml:space="preserve"> other</w:t>
      </w:r>
      <w:r w:rsidRPr="00EB00A3">
        <w:t xml:space="preserve"> conceives representatives as ‘substitutes’ who act ‘under instructions’. </w:t>
      </w:r>
    </w:p>
    <w:p w:rsidR="00BD4BC2" w:rsidRDefault="00BD4BC2" w:rsidP="003F3651">
      <w:pPr>
        <w:spacing w:line="480" w:lineRule="auto"/>
        <w:ind w:firstLine="720"/>
      </w:pPr>
      <w:r w:rsidRPr="00EB00A3">
        <w:t>Elitist versions of this thin conception, such as Schumpeter</w:t>
      </w:r>
      <w:r>
        <w:t>’s</w:t>
      </w:r>
      <w:r w:rsidRPr="00EB00A3">
        <w:t xml:space="preserve"> (1947), deny that the democratic selection process is properly representative. Leaders recruit their electors through charisma or the policy package they offer rather than being authorised by them as their representatives. Schumpeter </w:t>
      </w:r>
      <w:r>
        <w:t>refuses</w:t>
      </w:r>
      <w:r w:rsidRPr="00EB00A3">
        <w:t xml:space="preserve"> </w:t>
      </w:r>
      <w:r>
        <w:t xml:space="preserve">any possibility of a </w:t>
      </w:r>
      <w:r w:rsidRPr="00EB00A3">
        <w:t>transfer of authority.</w:t>
      </w:r>
      <w:r>
        <w:t xml:space="preserve"> </w:t>
      </w:r>
      <w:r w:rsidRPr="00EB00A3">
        <w:t>In Adam Przeworski’s words, ‘Our institutions are representative. Citizens do not govern’ (2010: 15).  The representative’s responsibilities and responsiveness to the represented is no more than a technical mechanism through which the electors express satisfaction or dissatisfaction with the way in which they have been governed or expect to be governed. Yet, the process of accountability gives liberal elites an incentive ‘to act in the interest of’ a broad section of the electorate. By contrast, on the substitution</w:t>
      </w:r>
      <w:r w:rsidRPr="00EB00A3">
        <w:rPr>
          <w:rStyle w:val="PageNumber"/>
        </w:rPr>
        <w:t xml:space="preserve"> and mandate views, </w:t>
      </w:r>
      <w:r w:rsidRPr="00EB00A3">
        <w:t>the rulers are authorised to represent the interests of the ruled. When acting as substitutes, representatives employ their own judgements as to how the interests of those they represent might best be pursued. Authorisation gives them the right to do so until it is withdrawn. Yet their role is to maximise a return to their diverse supporters. Representatives only act ‘under instructions’ from the represented when authorised on the mandate view. In this case, those they represent will form a discreet interest group with a shared view on how it should be promoted. However, whether the</w:t>
      </w:r>
      <w:r>
        <w:t xml:space="preserve"> </w:t>
      </w:r>
      <w:r w:rsidRPr="00EB00A3">
        <w:t xml:space="preserve">stress </w:t>
      </w:r>
      <w:r>
        <w:t xml:space="preserve">is on </w:t>
      </w:r>
      <w:r w:rsidRPr="00EB00A3">
        <w:t xml:space="preserve">accountability or authorisation, the conception of the public interest </w:t>
      </w:r>
      <w:r>
        <w:t xml:space="preserve">that issues from </w:t>
      </w:r>
      <w:r>
        <w:lastRenderedPageBreak/>
        <w:t xml:space="preserve">these thin views </w:t>
      </w:r>
      <w:r w:rsidRPr="00EB00A3">
        <w:t xml:space="preserve">consists of Pareto optimal improvements or the lowest common denominator. On the elite view, this arises from competing elites striving to win a majority through aggregating individual interests </w:t>
      </w:r>
      <w:r>
        <w:t>and</w:t>
      </w:r>
      <w:r w:rsidRPr="00EB00A3">
        <w:t xml:space="preserve"> appeal</w:t>
      </w:r>
      <w:r>
        <w:t>ing</w:t>
      </w:r>
      <w:r w:rsidRPr="00EB00A3">
        <w:t xml:space="preserve"> to as broad a constituency as possible. On the substitution view, it results from substitutes seeking a return for the diverse interests of their backers. On the mandate view, it stems from the delegates of different interests seeking to block any collective decision that might not advantage their principals.</w:t>
      </w:r>
    </w:p>
    <w:p w:rsidR="00BD4BC2" w:rsidRPr="00EB00A3" w:rsidRDefault="00BD4BC2" w:rsidP="00502D00">
      <w:pPr>
        <w:spacing w:line="480" w:lineRule="auto"/>
        <w:ind w:firstLine="720"/>
      </w:pPr>
      <w:r>
        <w:t xml:space="preserve">The ontology underlying this account of representation is </w:t>
      </w:r>
      <w:r w:rsidRPr="00EB00A3">
        <w:t>‘political singularism’</w:t>
      </w:r>
      <w:r>
        <w:t xml:space="preserve">. Formal processes of accountability and authorisation are vital because people are assumed to be so distinct that no representative can ‘stand for’ another. </w:t>
      </w:r>
      <w:r w:rsidRPr="00EB00A3">
        <w:t xml:space="preserve"> </w:t>
      </w:r>
      <w:r>
        <w:t>Originating</w:t>
      </w:r>
      <w:r w:rsidRPr="00EB00A3">
        <w:t xml:space="preserve"> i</w:t>
      </w:r>
      <w:r>
        <w:t>n the natural rights tradition, on this view r</w:t>
      </w:r>
      <w:r w:rsidRPr="00EB00A3">
        <w:t xml:space="preserve">ights ground our claims against governments and others. These rights inhere in individuals by virtue of their humanity rather than their relations with others. </w:t>
      </w:r>
      <w:r>
        <w:t>P</w:t>
      </w:r>
      <w:r w:rsidRPr="00EB00A3">
        <w:t xml:space="preserve">olitical society is </w:t>
      </w:r>
      <w:r>
        <w:t xml:space="preserve">simply </w:t>
      </w:r>
      <w:r w:rsidRPr="00EB00A3">
        <w:t>an aggregate of separate individual</w:t>
      </w:r>
      <w:r>
        <w:t>s with no</w:t>
      </w:r>
      <w:r w:rsidRPr="00EB00A3">
        <w:t xml:space="preserve"> politically significant relationship to each other </w:t>
      </w:r>
      <w:r>
        <w:t>apart from</w:t>
      </w:r>
      <w:r w:rsidRPr="00EB00A3">
        <w:t xml:space="preserve"> their various mutual contractual agreements</w:t>
      </w:r>
      <w:r>
        <w:t>. They enter these agreements solely to protect their rights and further their interests. Democracy consists of selecting politicians able to pursue these tasks and removing those who fail through incompetence or corruption.</w:t>
      </w:r>
    </w:p>
    <w:p w:rsidR="00BD4BC2" w:rsidRPr="00EB00A3" w:rsidRDefault="00BD4BC2" w:rsidP="007906A6">
      <w:pPr>
        <w:spacing w:line="480" w:lineRule="auto"/>
        <w:ind w:firstLine="720"/>
      </w:pPr>
      <w:r w:rsidRPr="00EB00A3">
        <w:t xml:space="preserve">Each </w:t>
      </w:r>
      <w:r>
        <w:t xml:space="preserve">of these two </w:t>
      </w:r>
      <w:r w:rsidRPr="00EB00A3">
        <w:t>conception</w:t>
      </w:r>
      <w:r>
        <w:t>s</w:t>
      </w:r>
      <w:r w:rsidRPr="00EB00A3">
        <w:t xml:space="preserve"> of democracy has advantages and related disadvantages. </w:t>
      </w:r>
      <w:r>
        <w:t>The</w:t>
      </w:r>
      <w:r w:rsidRPr="00EB00A3">
        <w:t xml:space="preserve"> thick conception supports public goods but at the expense of potentially overlooking the pluralism of modern societies. Consequently, social and cultural diversity may be undervalued, with certain private rights overridden and cultural and other minorities marginalised.</w:t>
      </w:r>
      <w:r>
        <w:t xml:space="preserve"> By contrast, t</w:t>
      </w:r>
      <w:r w:rsidRPr="00EB00A3">
        <w:t xml:space="preserve">he thin conception emphasises individual rights but at the expense of so multiplying veto points that it proves hard to move beyond the </w:t>
      </w:r>
      <w:r w:rsidRPr="00EB00A3">
        <w:rPr>
          <w:i/>
        </w:rPr>
        <w:t>status quo</w:t>
      </w:r>
      <w:r w:rsidRPr="00EB00A3">
        <w:t xml:space="preserve">. Given that power and resources are </w:t>
      </w:r>
      <w:r w:rsidRPr="00EB00A3">
        <w:lastRenderedPageBreak/>
        <w:t xml:space="preserve">unequally distributed in society, this arrangement may entrench and potentially enhance existing privileges and inequities. It also risks failing to provide adequately for the public goods on which many rights depend – from the police and legal system to welfare, health and education.  As a result, most working democracies have sought to achieve a balance between the two models by </w:t>
      </w:r>
      <w:r>
        <w:t>making</w:t>
      </w:r>
      <w:r w:rsidRPr="00EB00A3">
        <w:t xml:space="preserve"> democracy thick enough to promote the public good, but sufficiently thin to allow for the protection of individual and group rights. </w:t>
      </w:r>
    </w:p>
    <w:p w:rsidR="00BD4BC2" w:rsidRDefault="00BD4BC2" w:rsidP="00B33D58">
      <w:pPr>
        <w:spacing w:line="480" w:lineRule="auto"/>
        <w:ind w:firstLine="720"/>
      </w:pPr>
      <w:r w:rsidRPr="00EB00A3">
        <w:t>Th</w:t>
      </w:r>
      <w:r>
        <w:t>e</w:t>
      </w:r>
      <w:r w:rsidRPr="00EB00A3">
        <w:t xml:space="preserve"> thick-thin model of democracy is sustained by a rather different, relational, view of representation. </w:t>
      </w:r>
      <w:r>
        <w:t xml:space="preserve">Neither the </w:t>
      </w:r>
      <w:r w:rsidRPr="00EB00A3">
        <w:t xml:space="preserve">thick </w:t>
      </w:r>
      <w:r>
        <w:t xml:space="preserve">nor the thin </w:t>
      </w:r>
      <w:r w:rsidRPr="00EB00A3">
        <w:t xml:space="preserve">views consider democratic representation as a dynamic and interactive </w:t>
      </w:r>
      <w:r w:rsidRPr="00EB00A3">
        <w:rPr>
          <w:i/>
        </w:rPr>
        <w:t xml:space="preserve">relationship </w:t>
      </w:r>
      <w:r w:rsidRPr="00EB00A3">
        <w:t xml:space="preserve">between the represented and their representatives. </w:t>
      </w:r>
      <w:r>
        <w:t>In</w:t>
      </w:r>
      <w:r w:rsidRPr="00EB00A3">
        <w:t xml:space="preserve"> the thick view</w:t>
      </w:r>
      <w:r>
        <w:t>,</w:t>
      </w:r>
      <w:r w:rsidRPr="00EB00A3">
        <w:t xml:space="preserve"> representatives act ‘as’ the represented </w:t>
      </w:r>
      <w:r>
        <w:t>by virtue</w:t>
      </w:r>
      <w:r w:rsidRPr="00EB00A3">
        <w:t xml:space="preserve"> of </w:t>
      </w:r>
      <w:r>
        <w:t>certain supposed</w:t>
      </w:r>
      <w:r w:rsidRPr="00EB00A3">
        <w:t xml:space="preserve"> intrinsic similarities</w:t>
      </w:r>
      <w:r>
        <w:t xml:space="preserve">. In the thin view, </w:t>
      </w:r>
      <w:r w:rsidRPr="00EB00A3">
        <w:t>representatives act ‘for’ the represented</w:t>
      </w:r>
      <w:r>
        <w:t xml:space="preserve"> </w:t>
      </w:r>
      <w:r w:rsidRPr="00EB00A3">
        <w:t>either</w:t>
      </w:r>
      <w:r>
        <w:t xml:space="preserve"> like the executive</w:t>
      </w:r>
      <w:r w:rsidRPr="00EB00A3">
        <w:t xml:space="preserve"> of a public company </w:t>
      </w:r>
      <w:r>
        <w:t>charged with maximising the returns to s</w:t>
      </w:r>
      <w:r w:rsidRPr="00EB00A3">
        <w:t>hareholders</w:t>
      </w:r>
      <w:r>
        <w:t>,</w:t>
      </w:r>
      <w:r w:rsidRPr="00EB00A3">
        <w:t xml:space="preserve"> or by virtue of a mandate. In all these cases, representatives depend on the revealed preferences of their principals.</w:t>
      </w:r>
      <w:r>
        <w:t xml:space="preserve"> However, a relational view interprets the relationship between representatives and the represented in more dynamic terms. As we noted, representatives are both dependent on the represented, who authorise them and hold them to account, and independent actors in their own right. Such independence not only results from them having to make decisions to meet unanticipated circumstances between elections but also from their being able to persuade voters and recruit a following during them. In Iris Young’s words</w:t>
      </w:r>
      <w:r w:rsidRPr="00EB00A3">
        <w:t>, the moments of authorisation and accountability involve ‘a cycle of anticipation and recollection between constituents and representative</w:t>
      </w:r>
      <w:r>
        <w:t>’</w:t>
      </w:r>
      <w:r w:rsidRPr="00EB00A3">
        <w:t xml:space="preserve"> (2000: 129)</w:t>
      </w:r>
      <w:r>
        <w:t xml:space="preserve">, in which both sides of the representation relationship are engaged in mutually constructing what and who is represented, how and by whom. </w:t>
      </w:r>
    </w:p>
    <w:p w:rsidR="00BD4BC2" w:rsidRPr="00EB00A3" w:rsidRDefault="00BD4BC2" w:rsidP="00A879B9">
      <w:pPr>
        <w:spacing w:line="480" w:lineRule="auto"/>
        <w:ind w:firstLine="720"/>
      </w:pPr>
      <w:r>
        <w:lastRenderedPageBreak/>
        <w:t>A thick - thin conception of democracy has this relational dynamic at its core.  On this account, the</w:t>
      </w:r>
      <w:r w:rsidRPr="00EB00A3">
        <w:t xml:space="preserve"> process of representation forces citizens to dialogue with each other and obliges them to portray their </w:t>
      </w:r>
      <w:r>
        <w:t xml:space="preserve">various rights claims and </w:t>
      </w:r>
      <w:r w:rsidRPr="00EB00A3">
        <w:t xml:space="preserve">individual interests in public terms in ways that can relate to those of others. </w:t>
      </w:r>
      <w:r>
        <w:t>R</w:t>
      </w:r>
      <w:r w:rsidRPr="00EB00A3">
        <w:t xml:space="preserve">epresentatives </w:t>
      </w:r>
      <w:r>
        <w:t>n</w:t>
      </w:r>
      <w:r w:rsidRPr="00EB00A3">
        <w:t xml:space="preserve">either appeal to the passive assent of the unreflective, naked preferences of citizens, </w:t>
      </w:r>
      <w:r>
        <w:t>no</w:t>
      </w:r>
      <w:r w:rsidRPr="00EB00A3">
        <w:t xml:space="preserve">r merely reproduce their particular sectional interests, or the alleged pre-political interests of a collective body. Rather, </w:t>
      </w:r>
      <w:r>
        <w:t xml:space="preserve">the incentives are such that they </w:t>
      </w:r>
      <w:r w:rsidRPr="00EB00A3">
        <w:t xml:space="preserve">need to </w:t>
      </w:r>
      <w:r>
        <w:t>address</w:t>
      </w:r>
      <w:r w:rsidRPr="00EB00A3">
        <w:t xml:space="preserve"> public reasons that can be avowed and shared in public by a broad</w:t>
      </w:r>
      <w:r>
        <w:t xml:space="preserve"> cross-section of the citizenry. </w:t>
      </w:r>
      <w:r w:rsidRPr="00EB00A3">
        <w:t>This common stock of public judgements leads citizens to reflect upon their interests in ways that help construct the public interest</w:t>
      </w:r>
      <w:r>
        <w:t xml:space="preserve"> (Sunstein 1991)</w:t>
      </w:r>
      <w:r w:rsidRPr="00EB00A3">
        <w:t>. As Bernard Manin (1997: 196) has noticed, contrary to Schumpeter’s view</w:t>
      </w:r>
      <w:r>
        <w:t xml:space="preserve"> </w:t>
      </w:r>
      <w:r w:rsidRPr="00EB00A3">
        <w:t>the competitive party system has tended to play just this role in facilitating the emergence of a popular general will within elections by making politicians construct programmes of government with broad enough appeal to attract the median voter.</w:t>
      </w:r>
    </w:p>
    <w:p w:rsidR="00BD4BC2" w:rsidRDefault="00BD4BC2" w:rsidP="00050E87">
      <w:pPr>
        <w:spacing w:line="480" w:lineRule="auto"/>
        <w:ind w:firstLine="720"/>
      </w:pPr>
      <w:r w:rsidRPr="00EB00A3">
        <w:t>Th</w:t>
      </w:r>
      <w:r>
        <w:t xml:space="preserve">e </w:t>
      </w:r>
      <w:r w:rsidRPr="00EB00A3">
        <w:t xml:space="preserve">relational reading of the representative process </w:t>
      </w:r>
      <w:r>
        <w:t xml:space="preserve">conceives </w:t>
      </w:r>
      <w:r w:rsidRPr="00EB00A3">
        <w:t>the public interest</w:t>
      </w:r>
      <w:r>
        <w:t xml:space="preserve"> as</w:t>
      </w:r>
      <w:r w:rsidRPr="00EB00A3">
        <w:t xml:space="preserve"> constructed </w:t>
      </w:r>
      <w:r>
        <w:t>via</w:t>
      </w:r>
      <w:r w:rsidRPr="00EB00A3">
        <w:t xml:space="preserve"> an ongoing dialogue</w:t>
      </w:r>
      <w:r>
        <w:t xml:space="preserve"> between the particular interests of citizens</w:t>
      </w:r>
      <w:r w:rsidRPr="00EB00A3">
        <w:t xml:space="preserve">. This dialogue occurs both vertically, between the represented and their representatives, and horizontally, among representatives themselves or various sections of the public. </w:t>
      </w:r>
      <w:r>
        <w:t xml:space="preserve"> In this way, it combines both the intrinsic democratic qualities of ‘thick’ democracy, with its focus on the common good, and the instrumental qualities of ‘thin’ democracy, with its emphasis on protecting individual rights and furthering particular interests, so as to construct shared interests that balance both considerations. </w:t>
      </w:r>
    </w:p>
    <w:p w:rsidR="00BD4BC2" w:rsidRDefault="00BD4BC2" w:rsidP="00050E87">
      <w:pPr>
        <w:spacing w:line="480" w:lineRule="auto"/>
        <w:ind w:firstLine="720"/>
      </w:pPr>
      <w:r w:rsidRPr="00EB00A3">
        <w:t xml:space="preserve">This form of </w:t>
      </w:r>
      <w:r>
        <w:t xml:space="preserve">democratic </w:t>
      </w:r>
      <w:r w:rsidRPr="00EB00A3">
        <w:t xml:space="preserve">representation </w:t>
      </w:r>
      <w:r>
        <w:t xml:space="preserve">assumes a political ontology akin to what </w:t>
      </w:r>
      <w:r w:rsidRPr="00EB00A3">
        <w:t xml:space="preserve">Pettit calls </w:t>
      </w:r>
      <w:r>
        <w:t xml:space="preserve">a </w:t>
      </w:r>
      <w:r w:rsidRPr="00EB00A3">
        <w:t>`civicity’</w:t>
      </w:r>
      <w:r>
        <w:t xml:space="preserve"> (</w:t>
      </w:r>
      <w:r w:rsidRPr="00EB00A3">
        <w:t>2005: 167</w:t>
      </w:r>
      <w:r>
        <w:t>)</w:t>
      </w:r>
      <w:r w:rsidRPr="00EB00A3">
        <w:t xml:space="preserve">. This ontology </w:t>
      </w:r>
      <w:r>
        <w:t>involves</w:t>
      </w:r>
      <w:r w:rsidRPr="00EB00A3">
        <w:t xml:space="preserve"> </w:t>
      </w:r>
      <w:r>
        <w:t xml:space="preserve">aspects of the other </w:t>
      </w:r>
      <w:r>
        <w:lastRenderedPageBreak/>
        <w:t>two views. Like political solidarism, citizens w</w:t>
      </w:r>
      <w:r w:rsidRPr="00EB00A3">
        <w:t xml:space="preserve">ithin a ‘civicity’ </w:t>
      </w:r>
      <w:r>
        <w:t xml:space="preserve">regard </w:t>
      </w:r>
      <w:r w:rsidRPr="00EB00A3">
        <w:t>themselves as forming a people with certain common interests and values. However,</w:t>
      </w:r>
      <w:r>
        <w:t xml:space="preserve"> like political singularism, they have distinct interests, make divergent rights claims and so differ over many public policies. Citizens combine both perspectives by seeking to resolve their disagreements and differences in public terms that can be seen as plausibly, if for some contentiously, as treating them with equal concern and respect. For example, if a government within a civicity offers a given group a tax break, be it the very poor or the very rich, they will be expected to show how this measure both is equitable and contributes to the welfare of the rest of society. They cannot simply insist that this group is entitled to this money as a privilege and regardless of its effects on others. The measure must treat others in society with equal concern and respect by giving equal weight to their rights and interests, and their views regarding them. Of course, how far the proposal does meet these criteria will be disputed by many, but the fact of free and fair elections forces the government to dialogue with citizens and justify its position to them. </w:t>
      </w:r>
    </w:p>
    <w:p w:rsidR="00BD4BC2" w:rsidRPr="00EB00A3" w:rsidRDefault="00BD4BC2" w:rsidP="00FB55BC">
      <w:pPr>
        <w:spacing w:line="480" w:lineRule="auto"/>
        <w:ind w:firstLine="720"/>
      </w:pPr>
      <w:r>
        <w:t xml:space="preserve">To work, a civicity must possess many of the social conditions identified by pluralist theorists as necessary to the modern form of democracy they term polyarchy (Dahl 1998: 90). First, while the members of such a society possess diverse interests and values, these must be to some degree cross-cutting. As a result, the danger of a permanent majority or minority is reduced and all are roughly equally affected by collective decisions. This feature </w:t>
      </w:r>
      <w:r w:rsidRPr="00EB00A3">
        <w:t xml:space="preserve">facilitates convergence on issues of common interest and fosters reciprocity and compromise. </w:t>
      </w:r>
      <w:r>
        <w:t xml:space="preserve">Citizens have </w:t>
      </w:r>
      <w:r w:rsidRPr="00EB00A3">
        <w:t xml:space="preserve">incentives to seek fair outcomes that show people’s </w:t>
      </w:r>
      <w:r>
        <w:t xml:space="preserve">different </w:t>
      </w:r>
      <w:r w:rsidRPr="00EB00A3">
        <w:t>interests equal concern and respect.</w:t>
      </w:r>
      <w:r>
        <w:t xml:space="preserve"> Second, it requires </w:t>
      </w:r>
      <w:r w:rsidRPr="00EB00A3">
        <w:t>a shared public sphere, sufficient to make a genuine public debate po</w:t>
      </w:r>
      <w:r>
        <w:t xml:space="preserve">ssible (Miller 2009: 212). </w:t>
      </w:r>
      <w:r w:rsidRPr="00EB00A3">
        <w:t>Th</w:t>
      </w:r>
      <w:r>
        <w:t>is</w:t>
      </w:r>
      <w:r w:rsidRPr="00EB00A3">
        <w:t xml:space="preserve"> feature enables different sections of the political community </w:t>
      </w:r>
      <w:r w:rsidRPr="00EB00A3">
        <w:lastRenderedPageBreak/>
        <w:t xml:space="preserve">to communicate with each other, and enhances the transparency and responsiveness of government to public rather than sectional concerns. It will be easier to have a discussion among the public as a whole if there are shared cultural instruments, such as a common media – newspapers, blogs, television and radio programmes - that address and are accessible by all, not least because they are in a common language all can understand. Such instruments help the </w:t>
      </w:r>
      <w:r>
        <w:t>various</w:t>
      </w:r>
      <w:r w:rsidRPr="00EB00A3">
        <w:t xml:space="preserve"> groups within a society to inform and respond to each other</w:t>
      </w:r>
      <w:r>
        <w:t xml:space="preserve"> and make it</w:t>
      </w:r>
      <w:r w:rsidRPr="00EB00A3">
        <w:t xml:space="preserve"> harder for governments to play them off against one another and pander to one group at the expense of another.</w:t>
      </w:r>
    </w:p>
    <w:p w:rsidR="00BD4BC2" w:rsidRPr="00EB00A3" w:rsidRDefault="00BD4BC2" w:rsidP="00942671">
      <w:pPr>
        <w:spacing w:line="480" w:lineRule="auto"/>
        <w:ind w:firstLine="720"/>
      </w:pPr>
      <w:r w:rsidRPr="00EB00A3">
        <w:t xml:space="preserve">The presence of both features </w:t>
      </w:r>
      <w:r>
        <w:t>creates a demos in which citizens have a shared interest in the democratic system offering a public and fair mechanism for the equal consideration and promotion of their interests (Christiano 2006)</w:t>
      </w:r>
      <w:r w:rsidRPr="00EB00A3">
        <w:t xml:space="preserve">. The weaker these features are, </w:t>
      </w:r>
      <w:r>
        <w:t xml:space="preserve">the more socially and culturally segmented a society, </w:t>
      </w:r>
      <w:r w:rsidRPr="00EB00A3">
        <w:t xml:space="preserve">the </w:t>
      </w:r>
      <w:r>
        <w:t>greater the likelihood</w:t>
      </w:r>
      <w:r w:rsidRPr="00EB00A3">
        <w:t xml:space="preserve"> the political community will move from </w:t>
      </w:r>
      <w:r>
        <w:t xml:space="preserve">a </w:t>
      </w:r>
      <w:r w:rsidRPr="00EB00A3">
        <w:t>civicity to singularism and democratic politics will take an individualist and protective turn</w:t>
      </w:r>
      <w:r>
        <w:t>. It</w:t>
      </w:r>
      <w:r w:rsidRPr="00EB00A3">
        <w:t xml:space="preserve"> is this problem that currently confronts the EU</w:t>
      </w:r>
      <w:r>
        <w:t xml:space="preserve"> (Dahl 1998: 114-7)</w:t>
      </w:r>
      <w:r w:rsidRPr="00EB00A3">
        <w:t>.</w:t>
      </w:r>
    </w:p>
    <w:p w:rsidR="00BD4BC2" w:rsidRPr="00EB00A3" w:rsidRDefault="00BD4BC2" w:rsidP="007906A6">
      <w:pPr>
        <w:spacing w:line="480" w:lineRule="auto"/>
      </w:pPr>
    </w:p>
    <w:p w:rsidR="00BD4BC2" w:rsidRPr="00EB00A3" w:rsidRDefault="00BD4BC2" w:rsidP="007906A6">
      <w:pPr>
        <w:spacing w:line="480" w:lineRule="auto"/>
        <w:outlineLvl w:val="0"/>
        <w:rPr>
          <w:i/>
        </w:rPr>
      </w:pPr>
      <w:r w:rsidRPr="00EB00A3">
        <w:rPr>
          <w:i/>
        </w:rPr>
        <w:t xml:space="preserve">Representation in the EU: </w:t>
      </w:r>
      <w:r>
        <w:rPr>
          <w:i/>
        </w:rPr>
        <w:t xml:space="preserve">One People, Many </w:t>
      </w:r>
      <w:r w:rsidRPr="00EB00A3">
        <w:rPr>
          <w:i/>
        </w:rPr>
        <w:t>States,</w:t>
      </w:r>
      <w:r>
        <w:rPr>
          <w:i/>
        </w:rPr>
        <w:t xml:space="preserve"> or Several</w:t>
      </w:r>
      <w:r w:rsidRPr="00EB00A3">
        <w:rPr>
          <w:i/>
        </w:rPr>
        <w:t xml:space="preserve"> </w:t>
      </w:r>
      <w:r>
        <w:rPr>
          <w:i/>
        </w:rPr>
        <w:t>Peoples?</w:t>
      </w:r>
    </w:p>
    <w:p w:rsidR="00BD4BC2" w:rsidRDefault="00BD4BC2" w:rsidP="0046001D">
      <w:pPr>
        <w:spacing w:line="480" w:lineRule="auto"/>
      </w:pPr>
      <w:r>
        <w:t>This</w:t>
      </w:r>
      <w:r w:rsidRPr="00EB00A3">
        <w:t xml:space="preserve"> section </w:t>
      </w:r>
      <w:r>
        <w:t xml:space="preserve">relates </w:t>
      </w:r>
      <w:r w:rsidRPr="00EB00A3">
        <w:t>the supranational</w:t>
      </w:r>
      <w:r>
        <w:t>,</w:t>
      </w:r>
      <w:r w:rsidRPr="00C9441F">
        <w:t xml:space="preserve"> </w:t>
      </w:r>
      <w:r w:rsidRPr="00EB00A3">
        <w:t>intergovernmental, and domestic channels of representation outlined in the TEU</w:t>
      </w:r>
      <w:r>
        <w:t xml:space="preserve"> to </w:t>
      </w:r>
      <w:r w:rsidRPr="00EB00A3">
        <w:t xml:space="preserve">the </w:t>
      </w:r>
      <w:r>
        <w:t xml:space="preserve">three </w:t>
      </w:r>
      <w:r w:rsidRPr="00EB00A3">
        <w:t>conception</w:t>
      </w:r>
      <w:r>
        <w:t>s</w:t>
      </w:r>
      <w:r w:rsidRPr="00EB00A3">
        <w:t xml:space="preserve"> of representative democracy we have associated with solidarism</w:t>
      </w:r>
      <w:r>
        <w:t xml:space="preserve">, </w:t>
      </w:r>
      <w:r w:rsidRPr="00EB00A3">
        <w:t>singularism, and civicity</w:t>
      </w:r>
      <w:r>
        <w:t xml:space="preserve"> respectively. We shall argue that the second channel possesses a stronger social basis and greater political legitimacy than the first, but suffers from the generic risk of ‘thin’ democracy of potentially producing inequitable and suboptimal solutions to collective problems. To overcome this dilemma, we explore whether the EU can develop the qualities of a civicity. We doubt it can at the supranational level and critique post-</w:t>
      </w:r>
      <w:r>
        <w:lastRenderedPageBreak/>
        <w:t xml:space="preserve">national models of democracy that assume it could. Instead, we suggest enhancing the influence of the third, domestic, channel as a way of so modifying the other two channels that the EU’s political system operates  as a thick-thin model of European </w:t>
      </w:r>
      <w:r w:rsidRPr="00AE6EA9">
        <w:rPr>
          <w:i/>
        </w:rPr>
        <w:t>demoi</w:t>
      </w:r>
      <w:r>
        <w:t>-cracy, capable of formulating shared European policies that treat the peoples of Europe with equal concern and respect.</w:t>
      </w:r>
    </w:p>
    <w:p w:rsidR="00BD4BC2" w:rsidRDefault="00BD4BC2" w:rsidP="0046001D">
      <w:pPr>
        <w:pStyle w:val="BodyText"/>
        <w:spacing w:line="480" w:lineRule="auto"/>
        <w:ind w:firstLine="720"/>
      </w:pPr>
      <w:r w:rsidRPr="00EB00A3">
        <w:t xml:space="preserve">We start with the supranational channel of representation. The EP, as a common channel </w:t>
      </w:r>
      <w:r>
        <w:t>for representing</w:t>
      </w:r>
      <w:r w:rsidRPr="00EB00A3">
        <w:t xml:space="preserve"> the European citizenry, potentially</w:t>
      </w:r>
      <w:r>
        <w:t xml:space="preserve"> offers</w:t>
      </w:r>
      <w:r w:rsidRPr="00EB00A3">
        <w:t xml:space="preserve"> a European</w:t>
      </w:r>
      <w:r>
        <w:t>-wide</w:t>
      </w:r>
      <w:r w:rsidRPr="00EB00A3">
        <w:t xml:space="preserve"> perspective. Yet, European elections continue to be mainly second-order and dominated by domestic issues (Hix and Marsh 2011)</w:t>
      </w:r>
      <w:r>
        <w:t xml:space="preserve">, while the activities of civil society organisations remain similarly tied to the national context, even among the few interest groups possessing the incentives and resources to become more Europeanised (Berry and Kerremans 2007). </w:t>
      </w:r>
      <w:r w:rsidRPr="00EB00A3">
        <w:t>MEPs represent national parties and constituencies and are largely unauthorised and unaccountable as promoters of pan-European concerns. To so act, they are forced to appeal to an</w:t>
      </w:r>
      <w:r>
        <w:t xml:space="preserve"> </w:t>
      </w:r>
      <w:r w:rsidRPr="00EB00A3">
        <w:t xml:space="preserve">ontology of solidarism and claim that, as a collective </w:t>
      </w:r>
      <w:r w:rsidRPr="0046001D">
        <w:t xml:space="preserve">body, the EP ‘stands for’ and can ‘act as’ </w:t>
      </w:r>
      <w:r>
        <w:t>a putative</w:t>
      </w:r>
      <w:r w:rsidRPr="0046001D">
        <w:t xml:space="preserve"> European people.</w:t>
      </w:r>
      <w:r>
        <w:t xml:space="preserve"> For example, though analysts of the EP generally acknowledge the weakness of the formal legitimacy provided by the electoral process, many counter that it nonetheless reflects the broad distribution of ideological positions found across the EU (Hix 2008).</w:t>
      </w:r>
      <w:r w:rsidRPr="0046001D">
        <w:t xml:space="preserve"> As such, it </w:t>
      </w:r>
      <w:r>
        <w:t>can</w:t>
      </w:r>
      <w:r w:rsidRPr="0046001D">
        <w:t xml:space="preserve"> reflect the common concerns of Europeans despite having no clear mandate to `act for’ them or even the capacity to mobilize European public opinion and provide the catalyst for forming a European public interest on either specific or general issues. </w:t>
      </w:r>
    </w:p>
    <w:p w:rsidR="00BD4BC2" w:rsidRDefault="00BD4BC2" w:rsidP="0046001D">
      <w:pPr>
        <w:pStyle w:val="BodyText"/>
        <w:spacing w:line="480" w:lineRule="auto"/>
        <w:ind w:firstLine="720"/>
        <w:rPr>
          <w:rFonts w:eastAsia="Times New Roman"/>
        </w:rPr>
      </w:pPr>
      <w:r>
        <w:t>A</w:t>
      </w:r>
      <w:r w:rsidRPr="0046001D">
        <w:t xml:space="preserve">s we shall </w:t>
      </w:r>
      <w:r>
        <w:t>detail</w:t>
      </w:r>
      <w:r w:rsidRPr="0046001D">
        <w:t xml:space="preserve"> below, no European </w:t>
      </w:r>
      <w:r w:rsidRPr="0047436D">
        <w:rPr>
          <w:i/>
        </w:rPr>
        <w:t>demos</w:t>
      </w:r>
      <w:r w:rsidRPr="0046001D">
        <w:t xml:space="preserve"> with the requisite solidarist qualities of strong mutual identification, agreement on principles and shared collecti</w:t>
      </w:r>
      <w:r>
        <w:t xml:space="preserve">ve interests exists. However, these qualities do characterise </w:t>
      </w:r>
      <w:r w:rsidRPr="0046001D">
        <w:t>the</w:t>
      </w:r>
      <w:r>
        <w:t xml:space="preserve"> majority of</w:t>
      </w:r>
      <w:r w:rsidRPr="0046001D">
        <w:t xml:space="preserve"> </w:t>
      </w:r>
      <w:r w:rsidRPr="0046001D">
        <w:lastRenderedPageBreak/>
        <w:t xml:space="preserve">political actors within EU institutions (Shore 2000). Indeed, this underlying concurrence </w:t>
      </w:r>
      <w:r>
        <w:t xml:space="preserve">of views and backgrounds </w:t>
      </w:r>
      <w:r w:rsidRPr="0046001D">
        <w:t xml:space="preserve">facilitates the highly consensual decision-making typical of the EU policy process. EU policy makers </w:t>
      </w:r>
      <w:r>
        <w:t>generally</w:t>
      </w:r>
      <w:r w:rsidRPr="0046001D">
        <w:t xml:space="preserve"> justify articulating such </w:t>
      </w:r>
      <w:r>
        <w:t xml:space="preserve">apparently unfounded </w:t>
      </w:r>
      <w:r w:rsidRPr="0046001D">
        <w:t>solidarist assumptions on two related grounds. First, they maintain that the EU tackles largely technical and organisational matters that are issues of ‘good’ governance</w:t>
      </w:r>
      <w:r>
        <w:t xml:space="preserve"> (Shore 2011: 291-3)</w:t>
      </w:r>
      <w:r w:rsidRPr="0046001D">
        <w:t xml:space="preserve">. </w:t>
      </w:r>
      <w:r>
        <w:t>As the White Paper on Governance puts it, the EU</w:t>
      </w:r>
      <w:r w:rsidRPr="0046001D">
        <w:t xml:space="preserve"> responds to the ‘expectations’ of Europeans that the Union `</w:t>
      </w:r>
      <w:r w:rsidRPr="0046001D">
        <w:rPr>
          <w:rFonts w:eastAsia="Times New Roman"/>
        </w:rPr>
        <w:t>find solutions to the major problems confronting our societies’ by `seizing the opportunities of globalisation for</w:t>
      </w:r>
      <w:r>
        <w:rPr>
          <w:rFonts w:eastAsia="Times New Roman"/>
        </w:rPr>
        <w:t xml:space="preserve"> economic and human development</w:t>
      </w:r>
      <w:r w:rsidRPr="0046001D">
        <w:rPr>
          <w:rFonts w:eastAsia="Times New Roman"/>
        </w:rPr>
        <w:t>’</w:t>
      </w:r>
      <w:r>
        <w:rPr>
          <w:rFonts w:eastAsia="Times New Roman"/>
        </w:rPr>
        <w:t xml:space="preserve"> </w:t>
      </w:r>
      <w:r>
        <w:t xml:space="preserve">(European Commission 2001: 3-8). </w:t>
      </w:r>
      <w:r>
        <w:rPr>
          <w:rFonts w:eastAsia="Times New Roman"/>
        </w:rPr>
        <w:t xml:space="preserve"> EU polices aspire to provide  public goods most rational actors would regard as beneficial to any view of life, such as the resolution of coordination problems, better and cheaper utilities, or a clean environment. Such policies can be assumed to reflect the collective interest of European citizens, while their efficient and effective delivery is largely a matter of expertise. Second, as a consequence, the means chosen for providing these goods requires a technocratic rather than popular consensus, such as can be achieved through mechanisms such as the Open Method of Coordination (OMC) which become exemplars of ‘thick’ deliberative democracy. The role of the EP within this system, even under co-decision, is to legitimate rather than legislate, since policy proposals are drafted by the Commission (Burns et al, 2000). Opposition to the EU is regarded as resulting from ignorance and misinformation. Measures purporting to promote democracy and participation invariably turn out to be what is euphemistically called ‘public diplomacy’  and ‘information actions’ aimed at forging a European demos among ‘opinion multipliers’ and ‘young Europeans’ (Shore 2004).</w:t>
      </w:r>
    </w:p>
    <w:p w:rsidR="00BD4BC2" w:rsidRPr="00EB00A3" w:rsidRDefault="00BD4BC2" w:rsidP="00572FA9">
      <w:pPr>
        <w:pStyle w:val="BodyText"/>
        <w:spacing w:line="480" w:lineRule="auto"/>
        <w:ind w:firstLine="720"/>
      </w:pPr>
      <w:r>
        <w:lastRenderedPageBreak/>
        <w:t>The euro crisis has shattered this vision of solidarist ‘organic’ democratic governance. Moreover, the main actors in responding to the crisis have been the MS governments, with the EP in particular largely sidelined. Within t</w:t>
      </w:r>
      <w:r w:rsidRPr="00EB00A3">
        <w:t>he intergovernmental channel</w:t>
      </w:r>
      <w:r>
        <w:t xml:space="preserve"> the</w:t>
      </w:r>
      <w:r w:rsidRPr="00EB00A3">
        <w:t xml:space="preserve"> forms of representation and decision-making conform to the ‘thin’ democratic model appropriate to the political ontology of singularism. National governments and their ministers operate largely as authorised substitutes and very occasionally as mandated delegates of domestic interests, though with limited electoral accountability for what they do at the EU level given the low salience of Europe in domestic elections. The assumption is that their judgments can be relied on to maximise the interests of their citizens. True, those judgements can only be challenged by defeat in either a parliamentary vote or a referendum</w:t>
      </w:r>
      <w:r>
        <w:t xml:space="preserve">, </w:t>
      </w:r>
      <w:r w:rsidRPr="00EB00A3">
        <w:t xml:space="preserve">so that only a significant miscalculation of public opinion is likely to be successfully contested. Yet, as primarily domestic politicians, their main incentives lie in promoting national rather than European interests. To a large extent, the national governments ‘act for’ their principals in the manner of the executive of a joint stock company relative to its share holders – acting on their own judgment to maximise the several interests of those they serve without assuming a collective interest other than as private investors in a common enterprise. </w:t>
      </w:r>
    </w:p>
    <w:p w:rsidR="00BD4BC2" w:rsidRDefault="00BD4BC2" w:rsidP="00DF10D9">
      <w:pPr>
        <w:spacing w:line="480" w:lineRule="auto"/>
        <w:ind w:firstLine="720"/>
      </w:pPr>
      <w:r>
        <w:t>T</w:t>
      </w:r>
      <w:r w:rsidRPr="00EB00A3">
        <w:t xml:space="preserve">he political singularism </w:t>
      </w:r>
      <w:r>
        <w:t xml:space="preserve">of the intergovernmental channel severely constrains the </w:t>
      </w:r>
      <w:r w:rsidRPr="00EB00A3">
        <w:t xml:space="preserve">political solidarism </w:t>
      </w:r>
      <w:r>
        <w:t xml:space="preserve">projected by the supranational channel, making </w:t>
      </w:r>
      <w:r w:rsidRPr="00EB00A3">
        <w:t>it difficult for European institutions to escape national controls</w:t>
      </w:r>
      <w:r>
        <w:t xml:space="preserve"> (Moravcsik 2008: 334). </w:t>
      </w:r>
      <w:r w:rsidRPr="00EB00A3">
        <w:t xml:space="preserve">EU legislation requires a far higher degree of consensus than in any national political system. It must secure consensual support from national leaders within the European Council to be placed on the agenda, a proposal from the majority of the Commission, a formal 2/3 majority – but in practice a consensus – of weighted MS votes in the </w:t>
      </w:r>
      <w:r w:rsidRPr="00EB00A3">
        <w:lastRenderedPageBreak/>
        <w:t xml:space="preserve">Council of Ministers, a series of absolute majorities within the EP and the assent and active support of the 27 national administrations, legal systems and parliaments responsible for its implementation. Treaty changes require unanimity between the national governments and ratification by NPs and in an increasing number of cases national referenda as well. </w:t>
      </w:r>
    </w:p>
    <w:p w:rsidR="00BD4BC2" w:rsidRPr="00EB00A3" w:rsidRDefault="00BD4BC2" w:rsidP="00DF10D9">
      <w:pPr>
        <w:spacing w:line="480" w:lineRule="auto"/>
        <w:ind w:firstLine="720"/>
      </w:pPr>
      <w:r>
        <w:t>These constraints mean that at present</w:t>
      </w:r>
      <w:r w:rsidRPr="00EB00A3">
        <w:t xml:space="preserve"> EU governance </w:t>
      </w:r>
      <w:r>
        <w:t xml:space="preserve">mainly </w:t>
      </w:r>
      <w:r w:rsidRPr="00EB00A3">
        <w:t xml:space="preserve">provides a mechanism for a singularist type of representation – that is, for democratic rule between and for different peoples, rather than of and for a people. Yet it also suffers from the limitations and drawbacks typical of such arrangements. First, because agreement is so difficult, it has a </w:t>
      </w:r>
      <w:r w:rsidRPr="00EB00A3">
        <w:rPr>
          <w:i/>
        </w:rPr>
        <w:t>status quo</w:t>
      </w:r>
      <w:r w:rsidRPr="00EB00A3">
        <w:t xml:space="preserve"> bias. It proves hard to reform or drop policies that have outlived their usefulness or fail</w:t>
      </w:r>
      <w:r w:rsidRPr="00EB00A3">
        <w:rPr>
          <w:rStyle w:val="PageNumber"/>
        </w:rPr>
        <w:t>ed</w:t>
      </w:r>
      <w:r w:rsidRPr="00EB00A3">
        <w:t>, or to respond to crises or fast changing situations. The high consensus requirements not only make European solutions to common policies difficult to agree on, but also</w:t>
      </w:r>
      <w:r>
        <w:t xml:space="preserve"> </w:t>
      </w:r>
      <w:r w:rsidRPr="00EB00A3">
        <w:t xml:space="preserve">can inhibit experimentation and innovation at both the national and the European level to improve </w:t>
      </w:r>
      <w:r>
        <w:t>or adapt those policies once they are agreed</w:t>
      </w:r>
      <w:r w:rsidRPr="00EB00A3">
        <w:t>. Second, such inflexibility applies even more to the independent institutions – to a degree the Commission and especially the</w:t>
      </w:r>
      <w:r>
        <w:t xml:space="preserve"> European Central Bank</w:t>
      </w:r>
      <w:r w:rsidRPr="00EB00A3">
        <w:t xml:space="preserve"> </w:t>
      </w:r>
      <w:r>
        <w:t>(</w:t>
      </w:r>
      <w:r w:rsidRPr="00EB00A3">
        <w:t>ECB</w:t>
      </w:r>
      <w:r>
        <w:t>)</w:t>
      </w:r>
      <w:r w:rsidRPr="00EB00A3">
        <w:t xml:space="preserve"> and </w:t>
      </w:r>
      <w:r>
        <w:t>the Court of Justice of the European Union (</w:t>
      </w:r>
      <w:r w:rsidRPr="00EB00A3">
        <w:t>CJEU</w:t>
      </w:r>
      <w:r>
        <w:t>)</w:t>
      </w:r>
      <w:r w:rsidRPr="00EB00A3">
        <w:t xml:space="preserve"> – that monitor particular policies outside of the political process. These bodies risk either applying uniform rules dogmatically to very different situations, or attempting to address such variations and cope with novel circumstances by exercising discretion in ways that may depart from what was intended by the contracting parties. Either way, if their power and competencies have a basis in the Treaties, as is the case with the ECB’s remit to maintain price stability at all costs, say, or the  CJEU’s power to interpret EU law, then it will be near impossible to reverse or effectively challenge their decisions. </w:t>
      </w:r>
    </w:p>
    <w:p w:rsidR="00BD4BC2" w:rsidRPr="00EB00A3" w:rsidRDefault="00BD4BC2" w:rsidP="00D63806">
      <w:pPr>
        <w:spacing w:line="480" w:lineRule="auto"/>
        <w:ind w:firstLine="720"/>
      </w:pPr>
      <w:r>
        <w:lastRenderedPageBreak/>
        <w:t>T</w:t>
      </w:r>
      <w:r w:rsidRPr="00EB00A3">
        <w:t>he assumption has been that the EU provides solutions to Prisoner’s Dilemmas</w:t>
      </w:r>
      <w:r>
        <w:t>,</w:t>
      </w:r>
      <w:r w:rsidRPr="00EB00A3">
        <w:t xml:space="preserve"> where a collective agreement is in everybody’s interest</w:t>
      </w:r>
      <w:r>
        <w:t xml:space="preserve"> </w:t>
      </w:r>
      <w:r w:rsidRPr="00EB00A3">
        <w:t xml:space="preserve">but </w:t>
      </w:r>
      <w:r>
        <w:t xml:space="preserve">there are </w:t>
      </w:r>
      <w:r w:rsidRPr="00EB00A3">
        <w:t>temptations</w:t>
      </w:r>
      <w:r>
        <w:t xml:space="preserve"> </w:t>
      </w:r>
      <w:r w:rsidRPr="00EB00A3">
        <w:t>to free ride or disagreement</w:t>
      </w:r>
      <w:r>
        <w:t>s</w:t>
      </w:r>
      <w:r w:rsidRPr="00EB00A3">
        <w:t xml:space="preserve"> over the most appropriate solution</w:t>
      </w:r>
      <w:r>
        <w:t xml:space="preserve"> (Scharpf </w:t>
      </w:r>
      <w:r w:rsidRPr="00EB00A3">
        <w:t>2009: 183-4). In both cases, Pareto improvements can be expected. Thus, in areas such as environmental protection or deregulation, that only prove generally beneficial if all adopt them, but that powerful interests at the national level can effectively lobby to block, the EU has operated as an effective self-binding mechanism for tying the MS into mutually beneficial policies. However, the more the EU extends into policy areas where no such win-win solution</w:t>
      </w:r>
      <w:r>
        <w:t>s exist</w:t>
      </w:r>
      <w:r w:rsidRPr="00EB00A3">
        <w:t xml:space="preserve"> because of variations between the MS, the more contentious action by the</w:t>
      </w:r>
      <w:r>
        <w:t xml:space="preserve"> EU</w:t>
      </w:r>
      <w:r w:rsidRPr="00EB00A3">
        <w:t xml:space="preserve"> will be. </w:t>
      </w:r>
    </w:p>
    <w:p w:rsidR="00BD4BC2" w:rsidRPr="00EB00A3" w:rsidRDefault="00BD4BC2" w:rsidP="00D63806">
      <w:pPr>
        <w:spacing w:line="480" w:lineRule="auto"/>
        <w:ind w:firstLine="720"/>
      </w:pPr>
      <w:r w:rsidRPr="00EB00A3">
        <w:t>The central dilemma of the EU emerges at this point. European elites embraced a neo-functionalist logic, whereby integration was viewed both as producing endogenous ‘spill-overs’ into ever more sectors and bringing in its wake greater political unity and solidarity (Haas 1958). Mobilising pan-European democratic support for integrationist measures was thought unnecessary</w:t>
      </w:r>
      <w:r>
        <w:rPr>
          <w:rStyle w:val="PageNumber"/>
        </w:rPr>
        <w:t>. A</w:t>
      </w:r>
      <w:r>
        <w:t xml:space="preserve"> permissive consensus legitimated elites ‘standing for’ European citizens until such time as the benefits of integration had forged an active consensus among a European people</w:t>
      </w:r>
      <w:r w:rsidRPr="00EB00A3">
        <w:t xml:space="preserve">. However, an ever closer economic and legal union has proceeded against a background of ever greater political and social diversity, not least </w:t>
      </w:r>
      <w:r>
        <w:t>because of</w:t>
      </w:r>
      <w:r w:rsidRPr="00EB00A3">
        <w:t xml:space="preserve"> enlargement. Consequently, greater integration has tended to reinforce rather than undermine the EU’s political and social ontology of singularism. As we saw, those EU bodies, such as the EP, the Commission, the CJEU or the ECB, which have a role as promoters of common European interests that in principle might balance the singularist ontology with a solidarist one, have a limited capacity to do so. Structural funds apart, the EU bodies do not have the competence to make significant direct </w:t>
      </w:r>
      <w:r w:rsidRPr="00EB00A3">
        <w:lastRenderedPageBreak/>
        <w:t xml:space="preserve">transfers between different MS or groups of people. Their policies are regulatory, and biased towards enhancing a single market from which all private actors – be they states or individuals – are presumed to benefit. </w:t>
      </w:r>
    </w:p>
    <w:p w:rsidR="00BD4BC2" w:rsidRPr="00EB00A3" w:rsidRDefault="00BD4BC2" w:rsidP="00D63806">
      <w:pPr>
        <w:spacing w:line="480" w:lineRule="auto"/>
        <w:ind w:firstLine="720"/>
      </w:pPr>
      <w:r w:rsidRPr="00EB00A3">
        <w:t>Thus, the ECB cannot engage in an effective rescue of the debtor states without violating the no-bail-out clause, Article 125(1), of the Lisbon Treaty. To act in this and other ways would require a Treaty change that would likely attract a German veto, given that Germany would be called upon to underwrite such measures. All that can be offered is collective austerity. Likewise, the CJEU has the remit of promoting the four freedoms. Many have regarded the introduction of Union citizenship and the new European Charter of Fundamental Rights as marking a move away from the market bias of the EU (e.g. Kostakopoulou 2008). Integration through law would no longer simply be integration into a single free market. But the CJEU has little ability to act otherwise. For example, though it has declared that ‘a certain degree of financial solidarity’ now exists between the MS,</w:t>
      </w:r>
      <w:r w:rsidRPr="00EB00A3">
        <w:rPr>
          <w:rStyle w:val="EndnoteReference"/>
        </w:rPr>
        <w:endnoteReference w:id="1"/>
      </w:r>
      <w:r w:rsidRPr="00EB00A3">
        <w:t xml:space="preserve"> the limits to that solidarity have been all too evident in the initial responses to the euro crisis. The Court can only liberalise and deregulate, it cannot create new European wide social and economic policy regimes. As decisions such as </w:t>
      </w:r>
      <w:r w:rsidRPr="00EB00A3">
        <w:rPr>
          <w:i/>
        </w:rPr>
        <w:t>Laval</w:t>
      </w:r>
      <w:r w:rsidRPr="00EB00A3">
        <w:rPr>
          <w:rStyle w:val="EndnoteReference"/>
          <w:i/>
        </w:rPr>
        <w:endnoteReference w:id="2"/>
      </w:r>
      <w:r w:rsidRPr="00EB00A3">
        <w:t xml:space="preserve">and </w:t>
      </w:r>
      <w:r w:rsidRPr="00EB00A3">
        <w:rPr>
          <w:i/>
        </w:rPr>
        <w:t>Luxembourg</w:t>
      </w:r>
      <w:r w:rsidRPr="00EB00A3">
        <w:rPr>
          <w:rStyle w:val="EndnoteReference"/>
          <w:i/>
        </w:rPr>
        <w:endnoteReference w:id="3"/>
      </w:r>
      <w:r w:rsidRPr="00EB00A3">
        <w:rPr>
          <w:i/>
        </w:rPr>
        <w:t xml:space="preserve">, </w:t>
      </w:r>
      <w:r w:rsidRPr="00EB00A3">
        <w:t xml:space="preserve">on the one hand, and </w:t>
      </w:r>
      <w:r w:rsidRPr="00EB00A3">
        <w:rPr>
          <w:i/>
        </w:rPr>
        <w:t>Swartz</w:t>
      </w:r>
      <w:r w:rsidRPr="00EB00A3">
        <w:rPr>
          <w:rStyle w:val="EndnoteReference"/>
          <w:i/>
        </w:rPr>
        <w:endnoteReference w:id="4"/>
      </w:r>
      <w:r w:rsidRPr="00EB00A3">
        <w:t xml:space="preserve">and </w:t>
      </w:r>
      <w:r w:rsidRPr="00EB00A3">
        <w:rPr>
          <w:i/>
        </w:rPr>
        <w:t>Watts</w:t>
      </w:r>
      <w:r w:rsidRPr="00EB00A3">
        <w:rPr>
          <w:rStyle w:val="EndnoteReference"/>
          <w:i/>
        </w:rPr>
        <w:endnoteReference w:id="5"/>
      </w:r>
      <w:r w:rsidRPr="00EB00A3">
        <w:t xml:space="preserve">, on the other, indicate, the rights of citizens at the Union level are the rights of private individuals to produce, trade or consume but with no correlative duty to contribute to public goods or provide for social welfare. These are MS responsibilities. Yet, by conceiving the EU as a whole as simply a collection of rights-bearing individuals along the lines of the ontology of singularity, the CJEU effectively undermines their ability to meet these obligations. For, the social solidarity of the requisite kind proves entirely alien to this perspective (Scharpf 2009: 190-98). </w:t>
      </w:r>
    </w:p>
    <w:p w:rsidR="00BD4BC2" w:rsidRPr="00EB00A3" w:rsidRDefault="00BD4BC2" w:rsidP="00D63806">
      <w:pPr>
        <w:spacing w:line="480" w:lineRule="auto"/>
        <w:ind w:firstLine="720"/>
        <w:rPr>
          <w:bCs/>
        </w:rPr>
      </w:pPr>
      <w:r w:rsidRPr="00EB00A3">
        <w:lastRenderedPageBreak/>
        <w:t xml:space="preserve">Is it possible to overcome this impasse? Is it either desirable or feasible to shift the EU towards an ontology of civicity capable of sustaining a more relational form of representation? Those who contest the desirability of enhancing EU democracy have hitherto done so </w:t>
      </w:r>
      <w:r>
        <w:t xml:space="preserve">by arguing that the current system of ‘thin’ democracy suffices for the functions the EU performs </w:t>
      </w:r>
      <w:r w:rsidRPr="00EB00A3">
        <w:t>(</w:t>
      </w:r>
      <w:r w:rsidRPr="00EB00A3">
        <w:rPr>
          <w:bCs/>
        </w:rPr>
        <w:t>Moravcsik 2008, Majone 2001).</w:t>
      </w:r>
      <w:r>
        <w:rPr>
          <w:bCs/>
        </w:rPr>
        <w:t xml:space="preserve"> A</w:t>
      </w:r>
      <w:r w:rsidRPr="00EB00A3">
        <w:rPr>
          <w:bCs/>
        </w:rPr>
        <w:t xml:space="preserve"> judgement already contestable following the Single European Act (</w:t>
      </w:r>
      <w:r w:rsidRPr="00EB00A3">
        <w:t>Follesdal</w:t>
      </w:r>
      <w:r>
        <w:t xml:space="preserve"> </w:t>
      </w:r>
      <w:r w:rsidRPr="00EB00A3">
        <w:t>and Hix</w:t>
      </w:r>
      <w:r>
        <w:t xml:space="preserve"> </w:t>
      </w:r>
      <w:r w:rsidRPr="00EB00A3">
        <w:t>2006)</w:t>
      </w:r>
      <w:r w:rsidRPr="00EB00A3">
        <w:rPr>
          <w:bCs/>
        </w:rPr>
        <w:t xml:space="preserve">, even </w:t>
      </w:r>
      <w:r>
        <w:rPr>
          <w:bCs/>
        </w:rPr>
        <w:t>its</w:t>
      </w:r>
      <w:r w:rsidRPr="00EB00A3">
        <w:rPr>
          <w:bCs/>
        </w:rPr>
        <w:t xml:space="preserve"> proponents grant that the debt crisis of the euro zone has revealed the limits of the current system of governance (Majone 201</w:t>
      </w:r>
      <w:r>
        <w:rPr>
          <w:bCs/>
        </w:rPr>
        <w:t>2</w:t>
      </w:r>
      <w:r w:rsidRPr="00EB00A3">
        <w:rPr>
          <w:bCs/>
        </w:rPr>
        <w:t xml:space="preserve">). The effects of decisions by the ECB or politicians and bureaucrats in Brussels are apparent </w:t>
      </w:r>
      <w:r>
        <w:rPr>
          <w:bCs/>
        </w:rPr>
        <w:t xml:space="preserve">not only to </w:t>
      </w:r>
      <w:r w:rsidRPr="00EB00A3">
        <w:rPr>
          <w:bCs/>
        </w:rPr>
        <w:t>experts or special interest groups</w:t>
      </w:r>
      <w:r>
        <w:rPr>
          <w:bCs/>
        </w:rPr>
        <w:t>, but to all citizens through t</w:t>
      </w:r>
      <w:r w:rsidRPr="00EB00A3">
        <w:rPr>
          <w:bCs/>
        </w:rPr>
        <w:t>heir impact on savings, mortgages and public services. If such EU decisions are to accord with the principles of represent</w:t>
      </w:r>
      <w:r>
        <w:rPr>
          <w:bCs/>
        </w:rPr>
        <w:t>ative democracy, they need to be subject to public control and influence through an effective democratic process</w:t>
      </w:r>
      <w:r w:rsidRPr="00EB00A3">
        <w:rPr>
          <w:bCs/>
        </w:rPr>
        <w:t xml:space="preserve">. </w:t>
      </w:r>
    </w:p>
    <w:p w:rsidR="00BD4BC2" w:rsidRPr="00DC41A1" w:rsidRDefault="00BD4BC2" w:rsidP="00DC41A1">
      <w:pPr>
        <w:spacing w:line="480" w:lineRule="auto"/>
        <w:ind w:firstLine="720"/>
        <w:rPr>
          <w:bCs/>
        </w:rPr>
      </w:pPr>
      <w:r w:rsidRPr="00EB00A3">
        <w:rPr>
          <w:bCs/>
        </w:rPr>
        <w:t>The problem is whether a sufficient basis for an ontology of civicity exists for this proposal to be feasible.</w:t>
      </w:r>
      <w:r>
        <w:rPr>
          <w:bCs/>
        </w:rPr>
        <w:t xml:space="preserve"> </w:t>
      </w:r>
      <w:r w:rsidRPr="00EB00A3">
        <w:rPr>
          <w:i/>
        </w:rPr>
        <w:t>Prima facie</w:t>
      </w:r>
      <w:r w:rsidRPr="00EB00A3">
        <w:t xml:space="preserve">, this </w:t>
      </w:r>
      <w:r>
        <w:t xml:space="preserve">possibility </w:t>
      </w:r>
      <w:r w:rsidRPr="00EB00A3">
        <w:t xml:space="preserve">seems doubtful. </w:t>
      </w:r>
      <w:r>
        <w:t>As we saw, a civicity depends on cross-cutting values and interests and a shared public sphere. However, the</w:t>
      </w:r>
      <w:r w:rsidRPr="00EB00A3">
        <w:t xml:space="preserve"> EU encompasses too much social, economic and cultural diversity and lacks the necessary common public culture for a viable European </w:t>
      </w:r>
      <w:r w:rsidRPr="00EB00A3">
        <w:rPr>
          <w:i/>
        </w:rPr>
        <w:t>demos</w:t>
      </w:r>
      <w:r w:rsidRPr="00EB00A3">
        <w:t xml:space="preserve">. </w:t>
      </w:r>
      <w:r>
        <w:t xml:space="preserve">Moreover, these cultural and social divisions are largely of a segmental kind and correspond broadly to national cleavages between the 27 MS. For example, if </w:t>
      </w:r>
      <w:r w:rsidRPr="00EB00A3">
        <w:t>one takes views on abortion as an indicator of social values more generally, then the difference between Ireland, which only permits abortion if the life of the mother is in danger, and Sweden, which allows abortion on demand, is immense.</w:t>
      </w:r>
      <w:r>
        <w:t xml:space="preserve"> Moreover, </w:t>
      </w:r>
      <w:r>
        <w:rPr>
          <w:bCs/>
        </w:rPr>
        <w:t xml:space="preserve">social divisions between the MS are as great. </w:t>
      </w:r>
      <w:r>
        <w:t>P</w:t>
      </w:r>
      <w:r w:rsidRPr="00EB00A3">
        <w:t xml:space="preserve">er capita income in Denmark is getting on for 5 times that of Lithuania - almost 3 times the difference between Delaware and Mississippi, </w:t>
      </w:r>
      <w:r w:rsidRPr="00EB00A3">
        <w:lastRenderedPageBreak/>
        <w:t>respectively the richest and poorest states of the USA.</w:t>
      </w:r>
      <w:r w:rsidRPr="00EB00A3">
        <w:rPr>
          <w:rStyle w:val="EndnoteReference"/>
        </w:rPr>
        <w:endnoteReference w:id="6"/>
      </w:r>
      <w:r>
        <w:t xml:space="preserve"> </w:t>
      </w:r>
      <w:r w:rsidRPr="00EB00A3">
        <w:t xml:space="preserve">Meanwhile, despite the spread of English as the </w:t>
      </w:r>
      <w:r w:rsidRPr="00EB00A3">
        <w:rPr>
          <w:i/>
        </w:rPr>
        <w:t xml:space="preserve">lingua franca </w:t>
      </w:r>
      <w:r w:rsidRPr="00EB00A3">
        <w:t>of the educated classes, news and other media remain firmly national and regional in focus</w:t>
      </w:r>
      <w:r>
        <w:t xml:space="preserve"> and only Europeanised to a limited extent that mainly benefits government elites (Koopmans 2007)</w:t>
      </w:r>
      <w:r w:rsidRPr="00EB00A3">
        <w:t xml:space="preserve">. </w:t>
      </w:r>
      <w:r>
        <w:t>Empirical evidence suggests a European identity to be marginal and fragmentary (White 2011).</w:t>
      </w:r>
    </w:p>
    <w:p w:rsidR="00BD4BC2" w:rsidRDefault="00BD4BC2" w:rsidP="006E2AF5">
      <w:pPr>
        <w:spacing w:line="480" w:lineRule="auto"/>
        <w:ind w:firstLine="720"/>
      </w:pPr>
      <w:r>
        <w:t>Certain advocates of a fully-fledged post-national EU parliamentary democracy</w:t>
      </w:r>
      <w:r w:rsidRPr="00EB00A3">
        <w:t xml:space="preserve"> </w:t>
      </w:r>
      <w:r>
        <w:t>argue</w:t>
      </w:r>
      <w:r w:rsidRPr="00EB00A3">
        <w:t xml:space="preserve"> that</w:t>
      </w:r>
      <w:r>
        <w:t xml:space="preserve"> these difficulties can be overcome. First, they counter that </w:t>
      </w:r>
      <w:r w:rsidRPr="00EB00A3">
        <w:t xml:space="preserve">Europeans share basic constitutional </w:t>
      </w:r>
      <w:r>
        <w:t>values</w:t>
      </w:r>
      <w:r w:rsidRPr="00EB00A3">
        <w:t xml:space="preserve"> (Habermas 2001). </w:t>
      </w:r>
      <w:r>
        <w:t>After all</w:t>
      </w:r>
      <w:r w:rsidRPr="00EB00A3">
        <w:t xml:space="preserve">, </w:t>
      </w:r>
      <w:r>
        <w:t xml:space="preserve">every </w:t>
      </w:r>
      <w:r w:rsidRPr="00EB00A3">
        <w:t xml:space="preserve">MS </w:t>
      </w:r>
      <w:r>
        <w:t>is a</w:t>
      </w:r>
      <w:r w:rsidRPr="00EB00A3">
        <w:t xml:space="preserve"> signator</w:t>
      </w:r>
      <w:r>
        <w:t xml:space="preserve">y </w:t>
      </w:r>
      <w:r w:rsidRPr="00EB00A3">
        <w:t xml:space="preserve">of the European Convention of Human Rights, with the EU itself likely to accede soon. </w:t>
      </w:r>
      <w:r>
        <w:t>Yet</w:t>
      </w:r>
      <w:r w:rsidRPr="00EB00A3">
        <w:t xml:space="preserve">, </w:t>
      </w:r>
      <w:r w:rsidRPr="00EB00A3">
        <w:rPr>
          <w:bCs/>
        </w:rPr>
        <w:t xml:space="preserve">these rights have been configured differently in each country to reflect domestic </w:t>
      </w:r>
      <w:r w:rsidRPr="00EB00A3">
        <w:rPr>
          <w:rStyle w:val="PageNumber"/>
        </w:rPr>
        <w:t>democratic</w:t>
      </w:r>
      <w:r>
        <w:rPr>
          <w:bCs/>
        </w:rPr>
        <w:t xml:space="preserve"> preferences regarding welfare, privacy, religion and so on, often in incompatible ways (Bolleyer and Reh 2012: 476-8)</w:t>
      </w:r>
      <w:r w:rsidRPr="00EB00A3">
        <w:rPr>
          <w:bCs/>
        </w:rPr>
        <w:t xml:space="preserve">. </w:t>
      </w:r>
      <w:r>
        <w:rPr>
          <w:bCs/>
        </w:rPr>
        <w:t xml:space="preserve">Second, </w:t>
      </w:r>
      <w:r>
        <w:t xml:space="preserve">they contend that a </w:t>
      </w:r>
      <w:r w:rsidRPr="00EB00A3">
        <w:rPr>
          <w:bCs/>
        </w:rPr>
        <w:t>transnational</w:t>
      </w:r>
      <w:r>
        <w:rPr>
          <w:bCs/>
        </w:rPr>
        <w:t xml:space="preserve"> civil society is emerging,</w:t>
      </w:r>
      <w:r w:rsidRPr="00EB00A3">
        <w:rPr>
          <w:bCs/>
        </w:rPr>
        <w:t xml:space="preserve"> wh</w:t>
      </w:r>
      <w:r>
        <w:rPr>
          <w:bCs/>
        </w:rPr>
        <w:t>ich</w:t>
      </w:r>
      <w:r w:rsidRPr="00EB00A3">
        <w:rPr>
          <w:bCs/>
        </w:rPr>
        <w:t xml:space="preserve"> currently lack representation within national systems. Yet, </w:t>
      </w:r>
      <w:r>
        <w:rPr>
          <w:bCs/>
        </w:rPr>
        <w:t>the evidence for this development is meagre. Only</w:t>
      </w:r>
      <w:r w:rsidRPr="00EB00A3">
        <w:rPr>
          <w:bCs/>
        </w:rPr>
        <w:t xml:space="preserve"> 12 million EU </w:t>
      </w:r>
      <w:r>
        <w:rPr>
          <w:bCs/>
        </w:rPr>
        <w:t>citizens</w:t>
      </w:r>
      <w:r w:rsidRPr="00EB00A3">
        <w:rPr>
          <w:bCs/>
        </w:rPr>
        <w:t xml:space="preserve"> reside in another </w:t>
      </w:r>
      <w:r>
        <w:rPr>
          <w:bCs/>
        </w:rPr>
        <w:t>MS</w:t>
      </w:r>
      <w:r w:rsidRPr="00EB00A3">
        <w:rPr>
          <w:bCs/>
        </w:rPr>
        <w:t xml:space="preserve"> to that of their nationality –</w:t>
      </w:r>
      <w:r>
        <w:rPr>
          <w:bCs/>
        </w:rPr>
        <w:t xml:space="preserve"> </w:t>
      </w:r>
      <w:r w:rsidRPr="00EB00A3">
        <w:rPr>
          <w:bCs/>
        </w:rPr>
        <w:t>2% of the EU population, mainl</w:t>
      </w:r>
      <w:r>
        <w:rPr>
          <w:bCs/>
        </w:rPr>
        <w:t xml:space="preserve">y from professional backgrounds - </w:t>
      </w:r>
      <w:r w:rsidRPr="00EB00A3">
        <w:rPr>
          <w:bCs/>
        </w:rPr>
        <w:t xml:space="preserve"> </w:t>
      </w:r>
      <w:r>
        <w:rPr>
          <w:bCs/>
        </w:rPr>
        <w:t xml:space="preserve">and even this group is only modestly de-nationalised in outlook and identity </w:t>
      </w:r>
      <w:r w:rsidRPr="00EB00A3">
        <w:rPr>
          <w:bCs/>
        </w:rPr>
        <w:t>(Favell 2008). Likewise, membership of pan-European civil society organizations is very low – most depend for their funding on EU grants and offer at best ‘proxy’ representation of assumed interests (Warleigh 2006)</w:t>
      </w:r>
      <w:r>
        <w:rPr>
          <w:bCs/>
        </w:rPr>
        <w:t>, while</w:t>
      </w:r>
      <w:r w:rsidRPr="00EB00A3">
        <w:rPr>
          <w:bCs/>
        </w:rPr>
        <w:t xml:space="preserve"> European parties have failed to emerge in electoral as opposed to parliamentary terms</w:t>
      </w:r>
      <w:r>
        <w:rPr>
          <w:bCs/>
        </w:rPr>
        <w:t>.</w:t>
      </w:r>
    </w:p>
    <w:p w:rsidR="00BD4BC2" w:rsidRDefault="00BD4BC2" w:rsidP="00D25F03">
      <w:pPr>
        <w:spacing w:line="480" w:lineRule="auto"/>
        <w:ind w:firstLine="720"/>
        <w:rPr>
          <w:bCs/>
        </w:rPr>
      </w:pPr>
      <w:r>
        <w:rPr>
          <w:bCs/>
        </w:rPr>
        <w:t xml:space="preserve">Of course, segmental divisions exist in the MS too, most of which contain minority national and other groups. However, the main pressures across Europe to resolve this problem are not to shift power upwards, to the European level, but </w:t>
      </w:r>
      <w:r w:rsidRPr="00EB00A3">
        <w:rPr>
          <w:bCs/>
        </w:rPr>
        <w:t xml:space="preserve">for ever greater devolution of political, legal and economic powers downwards to </w:t>
      </w:r>
      <w:r w:rsidRPr="00EB00A3">
        <w:rPr>
          <w:bCs/>
        </w:rPr>
        <w:lastRenderedPageBreak/>
        <w:t>linguistic, e</w:t>
      </w:r>
      <w:r>
        <w:rPr>
          <w:bCs/>
        </w:rPr>
        <w:t xml:space="preserve">thnic and religious minorities. Consequently, Europe is becoming more rather than less segmented. </w:t>
      </w:r>
      <w:r w:rsidRPr="006E2AF5">
        <w:rPr>
          <w:bCs/>
        </w:rPr>
        <w:t xml:space="preserve">Contrary to postnationalist arguments, an abstract commitment to similar liberal democratic values </w:t>
      </w:r>
      <w:r>
        <w:rPr>
          <w:bCs/>
        </w:rPr>
        <w:t>has</w:t>
      </w:r>
      <w:r w:rsidRPr="006E2AF5">
        <w:rPr>
          <w:bCs/>
        </w:rPr>
        <w:t xml:space="preserve"> not of itself generate</w:t>
      </w:r>
      <w:r>
        <w:rPr>
          <w:bCs/>
        </w:rPr>
        <w:t>d</w:t>
      </w:r>
      <w:r w:rsidRPr="00EB00A3">
        <w:rPr>
          <w:bCs/>
        </w:rPr>
        <w:t xml:space="preserve"> a willingness or capacity to</w:t>
      </w:r>
      <w:r>
        <w:rPr>
          <w:bCs/>
        </w:rPr>
        <w:t xml:space="preserve"> deliberate on them in common.</w:t>
      </w:r>
    </w:p>
    <w:p w:rsidR="00BD4BC2" w:rsidRPr="00EB00A3" w:rsidRDefault="00BD4BC2" w:rsidP="00512980">
      <w:pPr>
        <w:spacing w:line="480" w:lineRule="auto"/>
        <w:ind w:firstLine="720"/>
        <w:rPr>
          <w:bCs/>
        </w:rPr>
      </w:pPr>
      <w:r>
        <w:rPr>
          <w:bCs/>
        </w:rPr>
        <w:t xml:space="preserve">So long as the </w:t>
      </w:r>
      <w:r w:rsidRPr="00EB00A3">
        <w:rPr>
          <w:bCs/>
          <w:i/>
        </w:rPr>
        <w:t>demoi</w:t>
      </w:r>
      <w:r w:rsidRPr="00EB00A3">
        <w:rPr>
          <w:bCs/>
        </w:rPr>
        <w:t xml:space="preserve"> of the E</w:t>
      </w:r>
      <w:r>
        <w:rPr>
          <w:bCs/>
        </w:rPr>
        <w:t xml:space="preserve">U remain predominately national or even subnational, the danger of seeking to create an EU demos is that it will result in consistent minorities and majorities split along national lines. The result will be that the most realistic models of supranational democracy continue either to invoke an elite based ontology of solidarism, or to involve a complex system of mulitilevel compound representation that remains rooted in the ontology of singularity. Thus, James </w:t>
      </w:r>
      <w:r w:rsidRPr="00EB00A3">
        <w:rPr>
          <w:bCs/>
        </w:rPr>
        <w:t xml:space="preserve">Bohman concedes that </w:t>
      </w:r>
      <w:r>
        <w:rPr>
          <w:bCs/>
        </w:rPr>
        <w:t xml:space="preserve">his proposed </w:t>
      </w:r>
      <w:r w:rsidRPr="00EB00A3">
        <w:rPr>
          <w:bCs/>
        </w:rPr>
        <w:t xml:space="preserve">shift from national to transnational democracy involves a change in forms that ‘may sometimes seem like </w:t>
      </w:r>
      <w:r w:rsidRPr="00EB00A3">
        <w:rPr>
          <w:bCs/>
          <w:i/>
        </w:rPr>
        <w:t>less</w:t>
      </w:r>
      <w:r w:rsidRPr="00EB00A3">
        <w:rPr>
          <w:bCs/>
        </w:rPr>
        <w:t xml:space="preserve"> democracy’ (Bohman 2007: 21). Indeed, when he refers to the deliberative aspects of this new form it is invariably to agents that have neither formal authorization from nor accountability to any given </w:t>
      </w:r>
      <w:r w:rsidRPr="00EB00A3">
        <w:rPr>
          <w:bCs/>
          <w:i/>
        </w:rPr>
        <w:t>demoi</w:t>
      </w:r>
      <w:r w:rsidRPr="00EB00A3">
        <w:rPr>
          <w:bCs/>
        </w:rPr>
        <w:t xml:space="preserve">, such as those allegedly promoted by the Open Method of Coordination (pp. 85-86). </w:t>
      </w:r>
      <w:r>
        <w:rPr>
          <w:bCs/>
        </w:rPr>
        <w:t>However, s</w:t>
      </w:r>
      <w:r w:rsidRPr="00EB00A3">
        <w:rPr>
          <w:bCs/>
        </w:rPr>
        <w:t xml:space="preserve">uch instruments lack the relative independence and reciprocal influence, that we argued is essential to representative democracy within a civicity. </w:t>
      </w:r>
      <w:r>
        <w:rPr>
          <w:bCs/>
        </w:rPr>
        <w:t xml:space="preserve">Likewise, suggestions for a supranational system </w:t>
      </w:r>
    </w:p>
    <w:p w:rsidR="00BD4BC2" w:rsidRPr="00EB00A3" w:rsidRDefault="00BD4BC2" w:rsidP="003642B2">
      <w:pPr>
        <w:spacing w:line="480" w:lineRule="auto"/>
        <w:rPr>
          <w:bCs/>
        </w:rPr>
      </w:pPr>
      <w:r w:rsidRPr="00EB00A3">
        <w:rPr>
          <w:bCs/>
        </w:rPr>
        <w:t xml:space="preserve">involving multiple </w:t>
      </w:r>
      <w:r w:rsidRPr="00EB00A3">
        <w:rPr>
          <w:bCs/>
          <w:i/>
        </w:rPr>
        <w:t>demoi</w:t>
      </w:r>
      <w:r w:rsidRPr="00EB00A3">
        <w:rPr>
          <w:bCs/>
        </w:rPr>
        <w:t xml:space="preserve"> (</w:t>
      </w:r>
      <w:r>
        <w:rPr>
          <w:bCs/>
        </w:rPr>
        <w:t xml:space="preserve">e.g. </w:t>
      </w:r>
      <w:r w:rsidRPr="00EB00A3">
        <w:rPr>
          <w:bCs/>
        </w:rPr>
        <w:t>Bohman 2007, ch 4; Lavdas and Chryssochoou 2011</w:t>
      </w:r>
      <w:r>
        <w:rPr>
          <w:bCs/>
        </w:rPr>
        <w:t>, Fabrini 2010</w:t>
      </w:r>
      <w:r w:rsidRPr="00EB00A3">
        <w:rPr>
          <w:bCs/>
        </w:rPr>
        <w:t>)</w:t>
      </w:r>
      <w:r>
        <w:rPr>
          <w:bCs/>
        </w:rPr>
        <w:t xml:space="preserve"> end up multiplying veto points with all the drawbacks of gridlock, entrenching inequalities, and under providing public goods that we explored earlier (Miller 2008).</w:t>
      </w:r>
    </w:p>
    <w:p w:rsidR="00BD4BC2" w:rsidRPr="00EB00A3" w:rsidRDefault="00BD4BC2" w:rsidP="00D63806">
      <w:pPr>
        <w:spacing w:line="480" w:lineRule="auto"/>
        <w:ind w:firstLine="720"/>
        <w:rPr>
          <w:bCs/>
        </w:rPr>
      </w:pPr>
      <w:r w:rsidRPr="00EB00A3">
        <w:rPr>
          <w:bCs/>
        </w:rPr>
        <w:t xml:space="preserve">We believe a better strategy is to treat the national </w:t>
      </w:r>
      <w:r w:rsidRPr="00EB00A3">
        <w:rPr>
          <w:bCs/>
          <w:i/>
        </w:rPr>
        <w:t>demoi</w:t>
      </w:r>
      <w:r w:rsidRPr="00EB00A3">
        <w:rPr>
          <w:bCs/>
        </w:rPr>
        <w:t xml:space="preserve"> of the MS as the basic building blocks and deliberative contexts of a European democratic association. Such an association takes the democratic peoples of Europe as its starting point, and </w:t>
      </w:r>
      <w:r w:rsidRPr="00EB00A3">
        <w:rPr>
          <w:bCs/>
        </w:rPr>
        <w:lastRenderedPageBreak/>
        <w:t xml:space="preserve">seeks to promote an ever closer Union between them based on principles of political equality and mutual respect. Two criteria govern such a Union (Pettit 2010). First, it seeks to establish and preserve the conditions provided by the ontology of civicity under which the citizens of each MS can be part of a representative democracy based on a shared conception of the public interest.  Second, such an association must be under the equal control of the component democratic polities. These criteria seek to prevent any MS dominating another, promote collaboration to tackle common problems and allow citizens to move and trade freely between MS on equal terms without undermining their separate political systems. They justify MS level representation in the EU on thicker grounds than those provided by a singularist ontology. They also support the positive and negative roles now accorded NPs within EU decision-making (Article 12 TEU). </w:t>
      </w:r>
    </w:p>
    <w:p w:rsidR="00BD4BC2" w:rsidRPr="00EB00A3" w:rsidRDefault="00BD4BC2" w:rsidP="000D7CE5">
      <w:pPr>
        <w:spacing w:line="480" w:lineRule="auto"/>
        <w:ind w:firstLine="720"/>
        <w:rPr>
          <w:bCs/>
        </w:rPr>
      </w:pPr>
      <w:r w:rsidRPr="00EB00A3">
        <w:rPr>
          <w:bCs/>
        </w:rPr>
        <w:t xml:space="preserve">The positive role arises from NPs now receiving EU legislative proposals and having European Committees to scrutinise them and the decisions made by ministers. The may also send reasoned opinions to the Commission and engage in an informal political dialogue. </w:t>
      </w:r>
      <w:r>
        <w:rPr>
          <w:rStyle w:val="PageNumber"/>
        </w:rPr>
        <w:t>N</w:t>
      </w:r>
      <w:r w:rsidRPr="00EB00A3">
        <w:rPr>
          <w:bCs/>
        </w:rPr>
        <w:t>ational politicians</w:t>
      </w:r>
      <w:r>
        <w:rPr>
          <w:bCs/>
        </w:rPr>
        <w:t xml:space="preserve"> currently lack</w:t>
      </w:r>
      <w:r w:rsidRPr="00EB00A3">
        <w:rPr>
          <w:bCs/>
        </w:rPr>
        <w:t xml:space="preserve"> the same legitimacy to act flexibly and to construct the public interest at the European level that they possess at the domestic level. </w:t>
      </w:r>
      <w:r>
        <w:rPr>
          <w:bCs/>
        </w:rPr>
        <w:t>The domestic politics of the MS is</w:t>
      </w:r>
      <w:r w:rsidRPr="00EB00A3">
        <w:rPr>
          <w:bCs/>
        </w:rPr>
        <w:t xml:space="preserve"> only very indirectly linked to the </w:t>
      </w:r>
      <w:r>
        <w:rPr>
          <w:rStyle w:val="PageNumber"/>
        </w:rPr>
        <w:t xml:space="preserve">EU system of governance. </w:t>
      </w:r>
      <w:r w:rsidRPr="00EB00A3">
        <w:rPr>
          <w:rStyle w:val="PageNumber"/>
        </w:rPr>
        <w:t xml:space="preserve">No </w:t>
      </w:r>
      <w:r w:rsidRPr="00EB00A3">
        <w:rPr>
          <w:bCs/>
        </w:rPr>
        <w:t>dynamic relatio</w:t>
      </w:r>
      <w:r w:rsidRPr="00EB00A3">
        <w:rPr>
          <w:rStyle w:val="PageNumber"/>
        </w:rPr>
        <w:t>nship exists between representatives and those they represent when it comes to European issues</w:t>
      </w:r>
      <w:r w:rsidRPr="00EB00A3">
        <w:rPr>
          <w:bCs/>
        </w:rPr>
        <w:t>. Worse, their decisions regarding Europe are increasingly perceived as undermining the established democrat</w:t>
      </w:r>
      <w:r w:rsidRPr="00EB00A3">
        <w:rPr>
          <w:rStyle w:val="PageNumber"/>
        </w:rPr>
        <w:t>ic practices within the MS</w:t>
      </w:r>
      <w:r w:rsidRPr="00EB00A3">
        <w:rPr>
          <w:bCs/>
        </w:rPr>
        <w:t xml:space="preserve"> (Mair 2011).</w:t>
      </w:r>
      <w:r>
        <w:rPr>
          <w:bCs/>
        </w:rPr>
        <w:t xml:space="preserve"> Enhancing the influence of parliaments in the European sphere may</w:t>
      </w:r>
      <w:r w:rsidRPr="00EB00A3">
        <w:rPr>
          <w:bCs/>
        </w:rPr>
        <w:t xml:space="preserve"> help foster an interactive relationship between the national </w:t>
      </w:r>
      <w:r w:rsidRPr="00EB00A3">
        <w:rPr>
          <w:bCs/>
          <w:i/>
        </w:rPr>
        <w:t>demoi</w:t>
      </w:r>
      <w:r w:rsidRPr="00EB00A3">
        <w:rPr>
          <w:bCs/>
        </w:rPr>
        <w:t xml:space="preserve"> and their respective governments over EU policy-making</w:t>
      </w:r>
      <w:r>
        <w:rPr>
          <w:bCs/>
        </w:rPr>
        <w:t>, thickening the thin democracy of the intergovernmental channel</w:t>
      </w:r>
      <w:r w:rsidRPr="00EB00A3">
        <w:rPr>
          <w:bCs/>
        </w:rPr>
        <w:t xml:space="preserve">. </w:t>
      </w:r>
      <w:r>
        <w:rPr>
          <w:bCs/>
        </w:rPr>
        <w:t>It</w:t>
      </w:r>
      <w:r w:rsidRPr="00EB00A3">
        <w:rPr>
          <w:bCs/>
        </w:rPr>
        <w:t xml:space="preserve"> may thereby </w:t>
      </w:r>
      <w:r w:rsidRPr="00EB00A3">
        <w:rPr>
          <w:bCs/>
        </w:rPr>
        <w:lastRenderedPageBreak/>
        <w:t xml:space="preserve">enhance the capacity for ministers and governments to `act as’ the agents of the national </w:t>
      </w:r>
      <w:r w:rsidRPr="00EB00A3">
        <w:rPr>
          <w:bCs/>
          <w:i/>
        </w:rPr>
        <w:t>demos</w:t>
      </w:r>
      <w:r w:rsidRPr="00EB00A3">
        <w:rPr>
          <w:bCs/>
        </w:rPr>
        <w:t xml:space="preserve">, empowering them to operate more proactively than hitherto, without losing the trust of their citizens. </w:t>
      </w:r>
    </w:p>
    <w:p w:rsidR="00BD4BC2" w:rsidRPr="00EB00A3" w:rsidRDefault="00BD4BC2" w:rsidP="00D63806">
      <w:pPr>
        <w:spacing w:line="480" w:lineRule="auto"/>
        <w:ind w:firstLine="720"/>
        <w:rPr>
          <w:bCs/>
        </w:rPr>
      </w:pPr>
      <w:r w:rsidRPr="00EB00A3">
        <w:rPr>
          <w:bCs/>
        </w:rPr>
        <w:t xml:space="preserve">The negative role relates to the powers NPs possess to police subsidiarity. Though this remains weak due to the high threshold requirement, it does legitimise criticism of the EU for overreaching its competencies. For example, it offers a democratic grounding for  Scharpf’s proposal (2009: 199-200) that the European Council be able to challenge CJEU interpretations of primary and secondary European law that overstep the intent of the Treaties, as has arguably been the case in a number of decisions relating to Union citizenship. </w:t>
      </w:r>
      <w:r>
        <w:rPr>
          <w:bCs/>
        </w:rPr>
        <w:t>It offers a civic check on the solidarist aspirations of EU institutions, forcing them to give equal respect and concern to the democratic preferences of the peoples of Europe.</w:t>
      </w:r>
    </w:p>
    <w:p w:rsidR="00BD4BC2" w:rsidRPr="00EB00A3" w:rsidRDefault="00BD4BC2" w:rsidP="00445191">
      <w:pPr>
        <w:spacing w:line="480" w:lineRule="auto"/>
        <w:ind w:firstLine="720"/>
        <w:rPr>
          <w:bCs/>
        </w:rPr>
      </w:pPr>
      <w:r w:rsidRPr="00EB00A3">
        <w:rPr>
          <w:bCs/>
        </w:rPr>
        <w:t xml:space="preserve">These measures provide a more relational foundation for political representation at the EU level. They enhance the democratic legitimacy of decisions that are not Pareto optimal, but have the wider European interest in view; while enhancing the scrutiny of national governments and subjecting them to greater accountability when they engage in the definition of what the European interest entails. Both roles have also engendered greater cooperation between NPs and with the EP through </w:t>
      </w:r>
      <w:r w:rsidRPr="00EB00A3">
        <w:t>COSAC</w:t>
      </w:r>
      <w:r w:rsidRPr="00EB00A3">
        <w:rPr>
          <w:bCs/>
        </w:rPr>
        <w:t>. They create the basis for a European civicity, whereby national demoi may debate issues of common concern.</w:t>
      </w:r>
    </w:p>
    <w:p w:rsidR="00BD4BC2" w:rsidRPr="00EB00A3" w:rsidRDefault="00BD4BC2" w:rsidP="00D63806">
      <w:pPr>
        <w:spacing w:line="480" w:lineRule="auto"/>
        <w:ind w:firstLine="720"/>
        <w:rPr>
          <w:bCs/>
        </w:rPr>
      </w:pPr>
    </w:p>
    <w:p w:rsidR="00BD4BC2" w:rsidRPr="00EB00A3" w:rsidRDefault="00BD4BC2" w:rsidP="001306FA">
      <w:pPr>
        <w:spacing w:line="480" w:lineRule="auto"/>
        <w:rPr>
          <w:i/>
        </w:rPr>
      </w:pPr>
      <w:r w:rsidRPr="00EB00A3">
        <w:rPr>
          <w:i/>
        </w:rPr>
        <w:t>Conclusion</w:t>
      </w:r>
    </w:p>
    <w:p w:rsidR="00BD4BC2" w:rsidRDefault="00BD4BC2" w:rsidP="00DB1324">
      <w:pPr>
        <w:spacing w:line="480" w:lineRule="auto"/>
      </w:pPr>
      <w:r w:rsidRPr="00EB00A3">
        <w:t>We have argued that the EU is caught between a weak form of ‘thick’ representative democracy at the supranational level, based on an ontology of solidarity</w:t>
      </w:r>
      <w:r>
        <w:t>, and a</w:t>
      </w:r>
      <w:r w:rsidRPr="00EB00A3">
        <w:t xml:space="preserve"> strong form of ‘thin’ representative democracy among the MS, based on an ontology of </w:t>
      </w:r>
      <w:r w:rsidRPr="00EB00A3">
        <w:lastRenderedPageBreak/>
        <w:t xml:space="preserve">singularity. Strengthening the </w:t>
      </w:r>
      <w:r>
        <w:t xml:space="preserve">former </w:t>
      </w:r>
      <w:r w:rsidRPr="00EB00A3">
        <w:t xml:space="preserve">is implausible, but leaves the EU unable to articulate a European interest that goes beyond the mutual interests of the MS. We proposed overcoming this impasse by making MS representatives more authorised and accountable on EU affairs via an improved dialogue with their NPs. In this way, the EU political system might develop the resources of an ontology of civicity within </w:t>
      </w:r>
      <w:r w:rsidRPr="006B769D">
        <w:t xml:space="preserve">and between its component </w:t>
      </w:r>
      <w:r w:rsidRPr="006B769D">
        <w:rPr>
          <w:i/>
        </w:rPr>
        <w:t>demoi</w:t>
      </w:r>
      <w:r w:rsidRPr="006B769D">
        <w:t>.</w:t>
      </w:r>
    </w:p>
    <w:p w:rsidR="00BD4BC2" w:rsidRPr="006B769D" w:rsidRDefault="00BD4BC2" w:rsidP="00DB1324">
      <w:pPr>
        <w:spacing w:line="480" w:lineRule="auto"/>
      </w:pPr>
    </w:p>
    <w:p w:rsidR="00BD4BC2" w:rsidRPr="006B769D" w:rsidRDefault="00BD4BC2" w:rsidP="00DB1324">
      <w:pPr>
        <w:spacing w:line="480" w:lineRule="auto"/>
      </w:pPr>
      <w:bookmarkStart w:id="0" w:name="_GoBack"/>
      <w:bookmarkEnd w:id="0"/>
    </w:p>
    <w:p w:rsidR="00BD4BC2" w:rsidRPr="006B769D" w:rsidRDefault="00BD4BC2" w:rsidP="00DB1324">
      <w:pPr>
        <w:pStyle w:val="HTMLPreformatted"/>
        <w:spacing w:line="480" w:lineRule="auto"/>
        <w:rPr>
          <w:rFonts w:ascii="Times New Roman" w:hAnsi="Times New Roman" w:cs="Times New Roman"/>
          <w:sz w:val="24"/>
          <w:szCs w:val="24"/>
        </w:rPr>
      </w:pPr>
      <w:r w:rsidRPr="006B769D">
        <w:rPr>
          <w:rFonts w:ascii="Times New Roman" w:hAnsi="Times New Roman" w:cs="Times New Roman"/>
          <w:b/>
          <w:sz w:val="24"/>
          <w:szCs w:val="24"/>
        </w:rPr>
        <w:t>Address</w:t>
      </w:r>
      <w:r>
        <w:rPr>
          <w:rFonts w:ascii="Times New Roman" w:hAnsi="Times New Roman" w:cs="Times New Roman"/>
          <w:b/>
          <w:sz w:val="24"/>
          <w:szCs w:val="24"/>
        </w:rPr>
        <w:t>es</w:t>
      </w:r>
      <w:r w:rsidRPr="006B769D">
        <w:rPr>
          <w:rFonts w:ascii="Times New Roman" w:hAnsi="Times New Roman" w:cs="Times New Roman"/>
          <w:b/>
          <w:sz w:val="24"/>
          <w:szCs w:val="24"/>
        </w:rPr>
        <w:t xml:space="preserve"> for correspondence </w:t>
      </w:r>
      <w:r w:rsidRPr="006B769D">
        <w:rPr>
          <w:rFonts w:ascii="Times New Roman" w:hAnsi="Times New Roman" w:cs="Times New Roman"/>
          <w:sz w:val="24"/>
          <w:szCs w:val="24"/>
        </w:rPr>
        <w:t xml:space="preserve">Department of Political Science, University College London, 29/30 Tavistock Square, London WC1H 9QU, r.bellamy@ucl.ac.uk; Department of Politics, University of Exeter, Amory Building, Rennes Drive, Exeter EX4 4RJ, </w:t>
      </w:r>
      <w:hyperlink r:id="rId10" w:history="1">
        <w:r w:rsidRPr="006B769D">
          <w:rPr>
            <w:rStyle w:val="Hyperlink"/>
            <w:rFonts w:ascii="Times New Roman" w:hAnsi="Times New Roman"/>
            <w:sz w:val="24"/>
            <w:szCs w:val="24"/>
          </w:rPr>
          <w:t>d.castiglione@exeter.ac.uk</w:t>
        </w:r>
      </w:hyperlink>
    </w:p>
    <w:p w:rsidR="00BD4BC2" w:rsidRPr="006B769D" w:rsidRDefault="00BD4BC2" w:rsidP="00DB1324">
      <w:pPr>
        <w:spacing w:line="480" w:lineRule="auto"/>
      </w:pPr>
    </w:p>
    <w:p w:rsidR="00BD4BC2" w:rsidRPr="006B769D" w:rsidRDefault="00BD4BC2" w:rsidP="00DB1324">
      <w:pPr>
        <w:pStyle w:val="HTMLPreformatted"/>
        <w:spacing w:line="480" w:lineRule="auto"/>
        <w:rPr>
          <w:rFonts w:ascii="Times New Roman" w:hAnsi="Times New Roman" w:cs="Times New Roman"/>
          <w:sz w:val="24"/>
          <w:szCs w:val="24"/>
        </w:rPr>
      </w:pPr>
      <w:r w:rsidRPr="006B769D">
        <w:rPr>
          <w:rFonts w:ascii="Times New Roman" w:hAnsi="Times New Roman" w:cs="Times New Roman"/>
          <w:b/>
          <w:sz w:val="24"/>
          <w:szCs w:val="24"/>
        </w:rPr>
        <w:t>ACKNOWLEDGEMENTS</w:t>
      </w:r>
    </w:p>
    <w:p w:rsidR="00BD4BC2" w:rsidRPr="00440EF4" w:rsidRDefault="00BD4BC2" w:rsidP="00440EF4">
      <w:pPr>
        <w:pStyle w:val="HTMLPreformatted"/>
        <w:spacing w:line="480" w:lineRule="auto"/>
        <w:rPr>
          <w:rFonts w:ascii="Times New Roman" w:eastAsia="Times New Roman" w:hAnsi="Times New Roman" w:cs="Times New Roman"/>
          <w:sz w:val="24"/>
          <w:szCs w:val="24"/>
        </w:rPr>
      </w:pPr>
      <w:r w:rsidRPr="00440EF4">
        <w:rPr>
          <w:rFonts w:ascii="Times New Roman" w:hAnsi="Times New Roman" w:cs="Times New Roman"/>
          <w:sz w:val="24"/>
          <w:szCs w:val="24"/>
        </w:rPr>
        <w:t xml:space="preserve">We are grateful to two anonymous reviewers and Sandra Kröger for their detailed comments. Richard Bellamy acknowledges the support of a Leverhulme Trust Research Fellowship </w:t>
      </w:r>
      <w:r w:rsidRPr="00440EF4">
        <w:rPr>
          <w:rFonts w:ascii="Times New Roman" w:eastAsia="Times New Roman" w:hAnsi="Times New Roman" w:cs="Times New Roman"/>
          <w:sz w:val="24"/>
          <w:szCs w:val="24"/>
        </w:rPr>
        <w:t>RF-2012-368</w:t>
      </w:r>
    </w:p>
    <w:p w:rsidR="00BD4BC2" w:rsidRPr="00440EF4" w:rsidRDefault="00BD4BC2" w:rsidP="00470829">
      <w:pPr>
        <w:spacing w:line="480" w:lineRule="auto"/>
      </w:pPr>
    </w:p>
    <w:p w:rsidR="00BD4BC2" w:rsidRPr="00EB00A3" w:rsidRDefault="00BD4BC2" w:rsidP="006B769D">
      <w:pPr>
        <w:spacing w:line="480" w:lineRule="auto"/>
      </w:pPr>
    </w:p>
    <w:p w:rsidR="00BD4BC2" w:rsidRDefault="00BD4BC2" w:rsidP="00D87E2D">
      <w:pPr>
        <w:rPr>
          <w:b/>
        </w:rPr>
      </w:pPr>
      <w:r w:rsidRPr="00EB00A3">
        <w:rPr>
          <w:b/>
        </w:rPr>
        <w:t>REFERENCES</w:t>
      </w:r>
    </w:p>
    <w:p w:rsidR="00BD4BC2" w:rsidRPr="00EB00A3" w:rsidRDefault="00BD4BC2" w:rsidP="00D87E2D"/>
    <w:p w:rsidR="00BD4BC2" w:rsidRPr="00D05020" w:rsidRDefault="00BD4BC2" w:rsidP="00D05020">
      <w:pPr>
        <w:spacing w:line="480" w:lineRule="auto"/>
        <w:ind w:left="284" w:hanging="284"/>
        <w:rPr>
          <w:rFonts w:eastAsia="Times New Roman"/>
        </w:rPr>
      </w:pPr>
      <w:r w:rsidRPr="00EB00A3">
        <w:rPr>
          <w:rFonts w:eastAsia="Times New Roman"/>
        </w:rPr>
        <w:t xml:space="preserve">Bohman, J. (2007) </w:t>
      </w:r>
      <w:r w:rsidRPr="00EB00A3">
        <w:rPr>
          <w:rFonts w:eastAsia="Times New Roman"/>
          <w:i/>
        </w:rPr>
        <w:t xml:space="preserve">Democracy across Borders: From </w:t>
      </w:r>
      <w:r w:rsidRPr="00EB00A3">
        <w:rPr>
          <w:rFonts w:eastAsia="Times New Roman"/>
        </w:rPr>
        <w:t>Demos</w:t>
      </w:r>
      <w:r w:rsidRPr="00EB00A3">
        <w:rPr>
          <w:rFonts w:eastAsia="Times New Roman"/>
          <w:i/>
        </w:rPr>
        <w:t xml:space="preserve"> to </w:t>
      </w:r>
      <w:r w:rsidRPr="00EB00A3">
        <w:rPr>
          <w:rFonts w:eastAsia="Times New Roman"/>
        </w:rPr>
        <w:t xml:space="preserve">Demoi, Cambridge </w:t>
      </w:r>
      <w:r w:rsidRPr="00D05020">
        <w:rPr>
          <w:rFonts w:eastAsia="Times New Roman"/>
        </w:rPr>
        <w:t>MA: MIT Press.</w:t>
      </w:r>
    </w:p>
    <w:p w:rsidR="00BD4BC2" w:rsidRDefault="00BD4BC2" w:rsidP="00D05020">
      <w:pPr>
        <w:autoSpaceDE w:val="0"/>
        <w:autoSpaceDN w:val="0"/>
        <w:adjustRightInd w:val="0"/>
        <w:spacing w:line="480" w:lineRule="auto"/>
        <w:ind w:left="284" w:hanging="284"/>
        <w:rPr>
          <w:rFonts w:eastAsia="Times New Roman"/>
          <w:color w:val="000000"/>
        </w:rPr>
      </w:pPr>
      <w:r w:rsidRPr="00D05020">
        <w:rPr>
          <w:rFonts w:eastAsia="Times New Roman"/>
          <w:color w:val="000000"/>
        </w:rPr>
        <w:t xml:space="preserve">Bolleyer, N. and Reh, C. (2012) `EU legitimacy revisited: the normative foundations of a multilevel polity’, </w:t>
      </w:r>
      <w:r w:rsidRPr="00D05020">
        <w:rPr>
          <w:rFonts w:eastAsia="Times New Roman"/>
          <w:i/>
          <w:color w:val="000000"/>
        </w:rPr>
        <w:t>Journal of European Public Policy</w:t>
      </w:r>
      <w:r w:rsidRPr="00D05020">
        <w:rPr>
          <w:rFonts w:eastAsia="Times New Roman"/>
          <w:color w:val="000000"/>
        </w:rPr>
        <w:t>, 19:4, 472-490</w:t>
      </w:r>
    </w:p>
    <w:p w:rsidR="00BD4BC2" w:rsidRPr="00DB1324" w:rsidRDefault="00BD4BC2" w:rsidP="00D05020">
      <w:pPr>
        <w:autoSpaceDE w:val="0"/>
        <w:autoSpaceDN w:val="0"/>
        <w:adjustRightInd w:val="0"/>
        <w:spacing w:line="480" w:lineRule="auto"/>
        <w:ind w:left="284" w:hanging="284"/>
        <w:rPr>
          <w:rFonts w:eastAsia="Times New Roman"/>
          <w:color w:val="000000"/>
        </w:rPr>
      </w:pPr>
      <w:r w:rsidRPr="00D05020">
        <w:rPr>
          <w:rFonts w:eastAsia="Times New Roman"/>
          <w:color w:val="000000"/>
        </w:rPr>
        <w:lastRenderedPageBreak/>
        <w:t>Beyers</w:t>
      </w:r>
      <w:r>
        <w:rPr>
          <w:rFonts w:eastAsia="Times New Roman"/>
          <w:color w:val="000000"/>
        </w:rPr>
        <w:t xml:space="preserve">, J. and </w:t>
      </w:r>
      <w:r w:rsidRPr="00D05020">
        <w:rPr>
          <w:rFonts w:eastAsia="Times New Roman"/>
          <w:color w:val="000000"/>
        </w:rPr>
        <w:t xml:space="preserve">Kerremans </w:t>
      </w:r>
      <w:r>
        <w:rPr>
          <w:rFonts w:eastAsia="Times New Roman"/>
          <w:color w:val="000000"/>
        </w:rPr>
        <w:t>B. (2007) `</w:t>
      </w:r>
      <w:r w:rsidRPr="00D05020">
        <w:rPr>
          <w:rFonts w:eastAsia="Times New Roman"/>
          <w:color w:val="000000"/>
        </w:rPr>
        <w:t xml:space="preserve"> Critical resource dependencies</w:t>
      </w:r>
      <w:r>
        <w:rPr>
          <w:rFonts w:eastAsia="Times New Roman"/>
          <w:color w:val="000000"/>
        </w:rPr>
        <w:t xml:space="preserve"> </w:t>
      </w:r>
      <w:r w:rsidRPr="00D05020">
        <w:rPr>
          <w:rFonts w:eastAsia="Times New Roman"/>
          <w:color w:val="000000"/>
        </w:rPr>
        <w:t>and the Europeanization of domestic interest groups</w:t>
      </w:r>
      <w:r>
        <w:rPr>
          <w:rFonts w:eastAsia="Times New Roman"/>
          <w:color w:val="000000"/>
        </w:rPr>
        <w:t>’</w:t>
      </w:r>
      <w:r w:rsidRPr="00D05020">
        <w:rPr>
          <w:rFonts w:eastAsia="Times New Roman"/>
          <w:color w:val="000000"/>
        </w:rPr>
        <w:t xml:space="preserve">, </w:t>
      </w:r>
      <w:r w:rsidRPr="005C3417">
        <w:rPr>
          <w:rFonts w:eastAsia="Times New Roman"/>
          <w:i/>
          <w:color w:val="000000"/>
        </w:rPr>
        <w:t>Journal of European Public Policy</w:t>
      </w:r>
      <w:r w:rsidRPr="00D05020">
        <w:rPr>
          <w:rFonts w:eastAsia="Times New Roman"/>
          <w:color w:val="000000"/>
        </w:rPr>
        <w:t>,</w:t>
      </w:r>
      <w:r>
        <w:rPr>
          <w:rFonts w:eastAsia="Times New Roman"/>
          <w:color w:val="000000"/>
        </w:rPr>
        <w:t xml:space="preserve"> </w:t>
      </w:r>
      <w:r w:rsidRPr="00DB1324">
        <w:rPr>
          <w:rFonts w:eastAsia="Times New Roman"/>
          <w:color w:val="000000"/>
        </w:rPr>
        <w:t>14:3, 460-481</w:t>
      </w:r>
    </w:p>
    <w:p w:rsidR="00BD4BC2" w:rsidRPr="00DB1324" w:rsidRDefault="00BD4BC2" w:rsidP="00DB1324">
      <w:pPr>
        <w:spacing w:line="480" w:lineRule="auto"/>
        <w:ind w:left="284" w:hanging="284"/>
        <w:rPr>
          <w:rFonts w:eastAsia="Times New Roman"/>
        </w:rPr>
      </w:pPr>
      <w:r w:rsidRPr="00DB1324">
        <w:rPr>
          <w:rFonts w:eastAsia="Times New Roman"/>
        </w:rPr>
        <w:t xml:space="preserve">Burns,  T, Jaeger, C., Liberatore, A., Meny, Y.  and Nanz, P. (2000) </w:t>
      </w:r>
      <w:r w:rsidRPr="00DB1324">
        <w:rPr>
          <w:rFonts w:eastAsia="Times New Roman"/>
          <w:i/>
          <w:iCs/>
        </w:rPr>
        <w:t>The Future of Parliamentary Democracy: Transition and Challenge in European Governance</w:t>
      </w:r>
      <w:r w:rsidRPr="00DB1324">
        <w:rPr>
          <w:rFonts w:eastAsia="Times New Roman"/>
        </w:rPr>
        <w:t>, Green Paper prepared for the Conference of the</w:t>
      </w:r>
      <w:r w:rsidRPr="00DB1324">
        <w:rPr>
          <w:rFonts w:eastAsia="Times New Roman"/>
          <w:i/>
          <w:iCs/>
        </w:rPr>
        <w:t xml:space="preserve"> </w:t>
      </w:r>
      <w:r w:rsidRPr="00DB1324">
        <w:rPr>
          <w:rFonts w:eastAsia="Times New Roman"/>
        </w:rPr>
        <w:t>European Union), AS/D</w:t>
      </w:r>
    </w:p>
    <w:p w:rsidR="00BD4BC2" w:rsidRPr="00DB1324" w:rsidRDefault="00BD4BC2" w:rsidP="00D05020">
      <w:pPr>
        <w:autoSpaceDE w:val="0"/>
        <w:autoSpaceDN w:val="0"/>
        <w:adjustRightInd w:val="0"/>
        <w:spacing w:line="480" w:lineRule="auto"/>
        <w:ind w:left="284" w:hanging="284"/>
        <w:rPr>
          <w:rFonts w:eastAsia="Times New Roman"/>
          <w:color w:val="000000"/>
        </w:rPr>
      </w:pPr>
      <w:r w:rsidRPr="00DB1324">
        <w:rPr>
          <w:rFonts w:eastAsia="Times New Roman"/>
          <w:color w:val="000000"/>
        </w:rPr>
        <w:t xml:space="preserve">Dahl, R. (1998) </w:t>
      </w:r>
      <w:r w:rsidRPr="00DB1324">
        <w:rPr>
          <w:rFonts w:eastAsia="Times New Roman"/>
          <w:i/>
          <w:color w:val="000000"/>
        </w:rPr>
        <w:t>Democracy</w:t>
      </w:r>
      <w:r w:rsidRPr="00DB1324">
        <w:rPr>
          <w:rFonts w:eastAsia="Times New Roman"/>
          <w:color w:val="000000"/>
        </w:rPr>
        <w:t>, New Haven: Yale University Press</w:t>
      </w:r>
    </w:p>
    <w:p w:rsidR="00BD4BC2" w:rsidRDefault="00BD4BC2" w:rsidP="00DB1324">
      <w:pPr>
        <w:spacing w:line="480" w:lineRule="auto"/>
        <w:ind w:left="284" w:hanging="284"/>
        <w:rPr>
          <w:rFonts w:eastAsia="Times New Roman"/>
        </w:rPr>
      </w:pPr>
      <w:r w:rsidRPr="00DB1324">
        <w:rPr>
          <w:rFonts w:eastAsia="Times New Roman"/>
        </w:rPr>
        <w:t xml:space="preserve">Christiano, T. (2006) ‘A Democratic Theory of Territory and Some Puzzles about Global Democracy’, </w:t>
      </w:r>
      <w:r w:rsidRPr="00DB1324">
        <w:rPr>
          <w:rFonts w:eastAsia="Times New Roman"/>
          <w:i/>
        </w:rPr>
        <w:t>Journal of Social Philosophy</w:t>
      </w:r>
      <w:r w:rsidRPr="00DB1324">
        <w:rPr>
          <w:rFonts w:eastAsia="Times New Roman"/>
        </w:rPr>
        <w:t>, 37.1: 81-107.</w:t>
      </w:r>
    </w:p>
    <w:p w:rsidR="00BD4BC2" w:rsidRPr="00DB1324" w:rsidRDefault="00BD4BC2" w:rsidP="00DB1324">
      <w:pPr>
        <w:spacing w:line="480" w:lineRule="auto"/>
        <w:ind w:left="284" w:hanging="284"/>
        <w:rPr>
          <w:rFonts w:eastAsia="Times New Roman"/>
        </w:rPr>
      </w:pPr>
      <w:r w:rsidRPr="00DB1324">
        <w:rPr>
          <w:rFonts w:eastAsia="Times New Roman"/>
        </w:rPr>
        <w:t xml:space="preserve">European Commission (2001) </w:t>
      </w:r>
      <w:r w:rsidRPr="00DB1324">
        <w:rPr>
          <w:rFonts w:eastAsia="Times New Roman"/>
          <w:i/>
          <w:iCs/>
        </w:rPr>
        <w:t>European Governance. A White Paper</w:t>
      </w:r>
      <w:r w:rsidRPr="00DB1324">
        <w:rPr>
          <w:rFonts w:eastAsia="Times New Roman"/>
        </w:rPr>
        <w:t>, Brussels: Commission of the European Commission (2001)</w:t>
      </w:r>
    </w:p>
    <w:p w:rsidR="00BD4BC2" w:rsidRPr="00DB1324" w:rsidRDefault="00BD4BC2" w:rsidP="00D05020">
      <w:pPr>
        <w:spacing w:line="480" w:lineRule="auto"/>
        <w:ind w:left="284" w:hanging="284"/>
        <w:rPr>
          <w:rFonts w:eastAsia="Times New Roman"/>
        </w:rPr>
      </w:pPr>
      <w:r w:rsidRPr="00DB1324">
        <w:rPr>
          <w:rFonts w:eastAsia="Times New Roman"/>
        </w:rPr>
        <w:t xml:space="preserve">Fabrini, S. (2010) </w:t>
      </w:r>
      <w:r w:rsidRPr="00DB1324">
        <w:rPr>
          <w:rFonts w:eastAsia="Times New Roman"/>
          <w:i/>
        </w:rPr>
        <w:t>Compound Democracies</w:t>
      </w:r>
      <w:r w:rsidRPr="00DB1324">
        <w:rPr>
          <w:rFonts w:eastAsia="Times New Roman"/>
        </w:rPr>
        <w:t>: Oxford: Oxford University Press</w:t>
      </w:r>
    </w:p>
    <w:p w:rsidR="00BD4BC2" w:rsidRPr="00DB1324" w:rsidRDefault="00BD4BC2" w:rsidP="00D05020">
      <w:pPr>
        <w:spacing w:line="480" w:lineRule="auto"/>
        <w:ind w:left="284" w:hanging="284"/>
        <w:outlineLvl w:val="0"/>
      </w:pPr>
      <w:r w:rsidRPr="00DB1324">
        <w:t xml:space="preserve">Favell, A. (2008). </w:t>
      </w:r>
      <w:r w:rsidRPr="00DB1324">
        <w:rPr>
          <w:i/>
        </w:rPr>
        <w:t>Eurostars and Eurocities</w:t>
      </w:r>
      <w:r w:rsidRPr="00DB1324">
        <w:t>, Oxford: Blackwell</w:t>
      </w:r>
    </w:p>
    <w:p w:rsidR="00BD4BC2" w:rsidRPr="00DB1324" w:rsidRDefault="00BD4BC2" w:rsidP="00E678F0">
      <w:pPr>
        <w:spacing w:line="480" w:lineRule="auto"/>
        <w:ind w:left="284" w:hanging="284"/>
      </w:pPr>
      <w:r w:rsidRPr="00DB1324">
        <w:t xml:space="preserve">Follesdal, A. and Hix, S. (2006) ‘Why There Is a Democratic Deficit: A Reply to Majone and Moravcsik’, </w:t>
      </w:r>
      <w:r w:rsidRPr="00DB1324">
        <w:rPr>
          <w:i/>
          <w:iCs/>
        </w:rPr>
        <w:t>Journal of Common Market Studies</w:t>
      </w:r>
      <w:r w:rsidRPr="00DB1324">
        <w:t>, 44.3: 533-62.</w:t>
      </w:r>
    </w:p>
    <w:p w:rsidR="00BD4BC2" w:rsidRPr="00EB00A3" w:rsidRDefault="00BD4BC2" w:rsidP="00E678F0">
      <w:pPr>
        <w:autoSpaceDE w:val="0"/>
        <w:autoSpaceDN w:val="0"/>
        <w:adjustRightInd w:val="0"/>
        <w:spacing w:line="480" w:lineRule="auto"/>
        <w:ind w:left="284" w:hanging="284"/>
      </w:pPr>
      <w:r w:rsidRPr="00EB00A3">
        <w:t xml:space="preserve">Haas, E.B. (1958) </w:t>
      </w:r>
      <w:r w:rsidRPr="00EB00A3">
        <w:rPr>
          <w:i/>
          <w:iCs/>
        </w:rPr>
        <w:t>The Uniting of Europe: Political, Social and Economic Forces 1950-1957</w:t>
      </w:r>
      <w:r w:rsidRPr="00EB00A3">
        <w:t>. Stanford: Stanford University Press.</w:t>
      </w:r>
    </w:p>
    <w:p w:rsidR="00BD4BC2" w:rsidRDefault="00BD4BC2" w:rsidP="00E678F0">
      <w:pPr>
        <w:spacing w:line="480" w:lineRule="auto"/>
        <w:ind w:left="284" w:hanging="284"/>
      </w:pPr>
      <w:r w:rsidRPr="00EB00A3">
        <w:t xml:space="preserve">Habermas, J. (2001) ‘Why Europe Needs a Constitution’, </w:t>
      </w:r>
      <w:r w:rsidRPr="00EB00A3">
        <w:rPr>
          <w:i/>
          <w:iCs/>
        </w:rPr>
        <w:t>New Left Review</w:t>
      </w:r>
      <w:r w:rsidRPr="00EB00A3">
        <w:t>, 11  Sep/Oct, 5-26</w:t>
      </w:r>
    </w:p>
    <w:p w:rsidR="00BD4BC2" w:rsidRPr="00520206" w:rsidRDefault="00BD4BC2" w:rsidP="00520206">
      <w:pPr>
        <w:spacing w:line="360" w:lineRule="auto"/>
        <w:ind w:left="284" w:hanging="284"/>
        <w:rPr>
          <w:bCs/>
        </w:rPr>
      </w:pPr>
      <w:r w:rsidRPr="000D711C">
        <w:rPr>
          <w:rStyle w:val="Strong"/>
          <w:b w:val="0"/>
        </w:rPr>
        <w:t xml:space="preserve">Hix, S. (2008) </w:t>
      </w:r>
      <w:r w:rsidRPr="000D711C">
        <w:rPr>
          <w:i/>
        </w:rPr>
        <w:t>What's Wrong with the European Union and How to Fix It</w:t>
      </w:r>
      <w:r w:rsidRPr="000D711C">
        <w:t>, Cambridge: Polity</w:t>
      </w:r>
    </w:p>
    <w:p w:rsidR="00BD4BC2" w:rsidRDefault="00BD4BC2" w:rsidP="002C0068">
      <w:pPr>
        <w:autoSpaceDE w:val="0"/>
        <w:autoSpaceDN w:val="0"/>
        <w:adjustRightInd w:val="0"/>
        <w:spacing w:line="480" w:lineRule="auto"/>
        <w:ind w:left="284" w:hanging="284"/>
      </w:pPr>
      <w:r w:rsidRPr="00EB00A3">
        <w:t xml:space="preserve">Hix, S. and Marsh, M. (2011) ‘Second-order Effects Plus pan-European Political Swings: An Analysis of European Parliament Elections across Time’ </w:t>
      </w:r>
      <w:r w:rsidRPr="00EB00A3">
        <w:rPr>
          <w:i/>
        </w:rPr>
        <w:t xml:space="preserve">Electoral </w:t>
      </w:r>
      <w:r w:rsidRPr="002C0068">
        <w:rPr>
          <w:i/>
        </w:rPr>
        <w:t xml:space="preserve">Studies </w:t>
      </w:r>
      <w:r w:rsidRPr="002C0068">
        <w:t>30: 4–15</w:t>
      </w:r>
    </w:p>
    <w:p w:rsidR="00BD4BC2" w:rsidRPr="002C0068" w:rsidRDefault="00BD4BC2" w:rsidP="002C0068">
      <w:pPr>
        <w:autoSpaceDE w:val="0"/>
        <w:autoSpaceDN w:val="0"/>
        <w:adjustRightInd w:val="0"/>
        <w:spacing w:line="480" w:lineRule="auto"/>
        <w:ind w:left="284" w:hanging="284"/>
      </w:pPr>
      <w:r w:rsidRPr="002C0068">
        <w:lastRenderedPageBreak/>
        <w:t>Koopmans, R. (2007) `</w:t>
      </w:r>
      <w:r w:rsidRPr="002C0068">
        <w:rPr>
          <w:rFonts w:eastAsia="Times New Roman"/>
          <w:bCs/>
        </w:rPr>
        <w:t>Who inhabits the European public sphere? Winners and losers, supporters and opponents in Europeanised political debates’</w:t>
      </w:r>
      <w:r w:rsidRPr="002C0068">
        <w:t xml:space="preserve"> </w:t>
      </w:r>
      <w:r w:rsidRPr="002C0068">
        <w:rPr>
          <w:rFonts w:eastAsia="Times New Roman"/>
          <w:i/>
          <w:iCs/>
        </w:rPr>
        <w:t xml:space="preserve">European Journal of Political Research </w:t>
      </w:r>
      <w:r w:rsidRPr="002C0068">
        <w:rPr>
          <w:rFonts w:eastAsia="Times New Roman"/>
          <w:bCs/>
        </w:rPr>
        <w:t>46</w:t>
      </w:r>
      <w:r w:rsidRPr="002C0068">
        <w:rPr>
          <w:rFonts w:eastAsia="Times New Roman"/>
        </w:rPr>
        <w:t>: 183–210,</w:t>
      </w:r>
    </w:p>
    <w:p w:rsidR="00BD4BC2" w:rsidRDefault="00BD4BC2" w:rsidP="002C0068">
      <w:pPr>
        <w:spacing w:line="480" w:lineRule="auto"/>
        <w:ind w:left="284" w:hanging="284"/>
      </w:pPr>
      <w:r w:rsidRPr="002C0068">
        <w:t xml:space="preserve">Kostakopoulou, D. (2008) ‘The Evolution of European Union Citizenship’. </w:t>
      </w:r>
      <w:r w:rsidRPr="002C0068">
        <w:rPr>
          <w:rStyle w:val="Emphasis"/>
          <w:iCs/>
        </w:rPr>
        <w:t>European</w:t>
      </w:r>
      <w:r w:rsidRPr="00EB00A3">
        <w:rPr>
          <w:rStyle w:val="Emphasis"/>
          <w:iCs/>
        </w:rPr>
        <w:t xml:space="preserve"> Political Science</w:t>
      </w:r>
      <w:r w:rsidRPr="00EB00A3">
        <w:t>, 7.3: 285-295</w:t>
      </w:r>
    </w:p>
    <w:p w:rsidR="00BD4BC2" w:rsidRPr="00EB00A3" w:rsidRDefault="00BD4BC2" w:rsidP="002C0068">
      <w:pPr>
        <w:spacing w:line="480" w:lineRule="auto"/>
        <w:ind w:left="284" w:hanging="284"/>
      </w:pPr>
      <w:r w:rsidRPr="005C3417">
        <w:rPr>
          <w:bCs/>
          <w:lang w:val="en-US"/>
        </w:rPr>
        <w:t>Kröger S. and Friedrich, D. (2012) ` Democratic representation in the EU: Two kinds of subjectivity’</w:t>
      </w:r>
      <w:r>
        <w:rPr>
          <w:b/>
          <w:bCs/>
          <w:lang w:val="en-US"/>
        </w:rPr>
        <w:t xml:space="preserve"> </w:t>
      </w:r>
      <w:r w:rsidRPr="005C3417">
        <w:rPr>
          <w:rFonts w:eastAsia="Times New Roman"/>
          <w:i/>
          <w:color w:val="000000"/>
        </w:rPr>
        <w:t>Journal of European Public Policy</w:t>
      </w:r>
      <w:r w:rsidRPr="00D05020">
        <w:rPr>
          <w:rFonts w:eastAsia="Times New Roman"/>
          <w:color w:val="000000"/>
        </w:rPr>
        <w:t>,</w:t>
      </w:r>
    </w:p>
    <w:p w:rsidR="00BD4BC2" w:rsidRPr="00EB00A3" w:rsidRDefault="00BD4BC2" w:rsidP="00E678F0">
      <w:pPr>
        <w:spacing w:line="480" w:lineRule="auto"/>
        <w:ind w:left="284" w:hanging="284"/>
      </w:pPr>
      <w:r w:rsidRPr="00EB00A3">
        <w:t xml:space="preserve">Ladvas, K. and Chrissochoou, D. (2011) </w:t>
      </w:r>
      <w:r w:rsidRPr="00EB00A3">
        <w:rPr>
          <w:i/>
        </w:rPr>
        <w:t>A Republic of Europeans: Civic</w:t>
      </w:r>
      <w:r>
        <w:rPr>
          <w:i/>
        </w:rPr>
        <w:t xml:space="preserve"> Potential</w:t>
      </w:r>
      <w:r w:rsidRPr="00EB00A3">
        <w:rPr>
          <w:i/>
        </w:rPr>
        <w:t xml:space="preserve"> in a Liberal Milieu</w:t>
      </w:r>
      <w:r w:rsidRPr="00EB00A3">
        <w:t>, Cheltenham: Edward Elgar.</w:t>
      </w:r>
    </w:p>
    <w:p w:rsidR="00BD4BC2" w:rsidRPr="00EB00A3" w:rsidRDefault="00BD4BC2" w:rsidP="00EE06CA">
      <w:pPr>
        <w:spacing w:line="480" w:lineRule="auto"/>
        <w:ind w:left="284" w:hanging="284"/>
      </w:pPr>
      <w:r>
        <w:t xml:space="preserve">Macpherson, C. B. (1977) </w:t>
      </w:r>
      <w:r>
        <w:rPr>
          <w:i/>
        </w:rPr>
        <w:t>The Life and Times of Liberal Democracy</w:t>
      </w:r>
      <w:r>
        <w:t>, Oxford: Oxford University Press.</w:t>
      </w:r>
    </w:p>
    <w:p w:rsidR="00BD4BC2" w:rsidRPr="00EB00A3" w:rsidRDefault="00BD4BC2" w:rsidP="00EE06CA">
      <w:pPr>
        <w:autoSpaceDE w:val="0"/>
        <w:autoSpaceDN w:val="0"/>
        <w:adjustRightInd w:val="0"/>
        <w:spacing w:line="480" w:lineRule="auto"/>
        <w:ind w:left="284" w:hanging="284"/>
        <w:jc w:val="both"/>
      </w:pPr>
      <w:r w:rsidRPr="00EB00A3">
        <w:t>Mair, P. (2011) ‘Smaghi vs. the Parties: Representative Government</w:t>
      </w:r>
      <w:r>
        <w:t xml:space="preserve"> and Institutional Constraints’</w:t>
      </w:r>
      <w:r w:rsidRPr="00EB00A3">
        <w:t>, Munich, March 23-26, 2011.</w:t>
      </w:r>
    </w:p>
    <w:p w:rsidR="00BD4BC2" w:rsidRPr="00EB00A3" w:rsidRDefault="00BD4BC2" w:rsidP="00EE06CA">
      <w:pPr>
        <w:spacing w:line="480" w:lineRule="auto"/>
        <w:ind w:left="284" w:hanging="284"/>
      </w:pPr>
      <w:r w:rsidRPr="00EB00A3">
        <w:t xml:space="preserve">Majone, G. (2001) ‘Nonmajoritarian Institutions and the Limits of Democratic Governance: a Political Transaction Cost Approach’, </w:t>
      </w:r>
      <w:r w:rsidRPr="00EB00A3">
        <w:rPr>
          <w:i/>
        </w:rPr>
        <w:t>Journal of Institutional and Theoretical Economics</w:t>
      </w:r>
      <w:r w:rsidRPr="00EB00A3">
        <w:t>, 157.1: 57-78</w:t>
      </w:r>
    </w:p>
    <w:p w:rsidR="00BD4BC2" w:rsidRDefault="00BD4BC2" w:rsidP="00EE06CA">
      <w:pPr>
        <w:spacing w:line="480" w:lineRule="auto"/>
        <w:ind w:left="284" w:hanging="284"/>
      </w:pPr>
      <w:r w:rsidRPr="00EB00A3">
        <w:t>Majone, G. (201</w:t>
      </w:r>
      <w:r>
        <w:t>2</w:t>
      </w:r>
      <w:r w:rsidRPr="00EB00A3">
        <w:t xml:space="preserve">) ‘Rethinking the European </w:t>
      </w:r>
      <w:r>
        <w:t>Integration</w:t>
      </w:r>
      <w:r w:rsidRPr="00EB00A3">
        <w:t xml:space="preserve"> after the</w:t>
      </w:r>
      <w:r>
        <w:t xml:space="preserve"> Debt</w:t>
      </w:r>
      <w:r w:rsidRPr="00EB00A3">
        <w:t xml:space="preserve"> Crisis’, </w:t>
      </w:r>
      <w:r w:rsidRPr="00EE06CA">
        <w:rPr>
          <w:rFonts w:eastAsia="Times New Roman"/>
        </w:rPr>
        <w:t>European Institute UCL Working Paper No. 3/2012</w:t>
      </w:r>
    </w:p>
    <w:p w:rsidR="00BD4BC2" w:rsidRPr="00EE06CA" w:rsidRDefault="00BD4BC2" w:rsidP="00EE06CA">
      <w:pPr>
        <w:spacing w:line="480" w:lineRule="auto"/>
        <w:ind w:left="284" w:hanging="284"/>
      </w:pPr>
      <w:r>
        <w:t xml:space="preserve">Manin, B. (1997) </w:t>
      </w:r>
      <w:r>
        <w:rPr>
          <w:i/>
        </w:rPr>
        <w:t>The Principles of Representative Government</w:t>
      </w:r>
      <w:r>
        <w:t>, Cambridge: Cambridge University Press</w:t>
      </w:r>
    </w:p>
    <w:p w:rsidR="00BD4BC2" w:rsidRDefault="00BD4BC2" w:rsidP="00EE06CA">
      <w:pPr>
        <w:spacing w:line="480" w:lineRule="auto"/>
        <w:ind w:left="284" w:hanging="284"/>
      </w:pPr>
      <w:r w:rsidRPr="00EB00A3">
        <w:t>Mansbridge, Jane (2009) ‘</w:t>
      </w:r>
      <w:r w:rsidRPr="00EB00A3">
        <w:rPr>
          <w:bCs/>
        </w:rPr>
        <w:t xml:space="preserve">A “Selection Model” of Political Representation’, </w:t>
      </w:r>
      <w:r w:rsidRPr="00EB00A3">
        <w:rPr>
          <w:i/>
          <w:iCs/>
        </w:rPr>
        <w:t xml:space="preserve">The Journal of Political Philosophy, </w:t>
      </w:r>
      <w:r w:rsidRPr="00EB00A3">
        <w:t>17.4: 369–98.</w:t>
      </w:r>
    </w:p>
    <w:p w:rsidR="00BD4BC2" w:rsidRDefault="00BD4BC2" w:rsidP="00EE06CA">
      <w:pPr>
        <w:spacing w:line="480" w:lineRule="auto"/>
        <w:ind w:left="284" w:hanging="284"/>
      </w:pPr>
      <w:r w:rsidRPr="004279AB">
        <w:t xml:space="preserve">Miller, D. (2008) `Republicanism, National Identity and Europe’, in C. Laborde and J. Maynor (eds), </w:t>
      </w:r>
      <w:r w:rsidRPr="004279AB">
        <w:rPr>
          <w:i/>
        </w:rPr>
        <w:t>Republicanism and Political Theory</w:t>
      </w:r>
      <w:r w:rsidRPr="004279AB">
        <w:t>, Oxford: Blackwell, pp. 133-58</w:t>
      </w:r>
    </w:p>
    <w:p w:rsidR="00BD4BC2" w:rsidRPr="00EB00A3" w:rsidRDefault="00BD4BC2" w:rsidP="00E678F0">
      <w:pPr>
        <w:spacing w:line="480" w:lineRule="auto"/>
        <w:ind w:left="284" w:hanging="284"/>
      </w:pPr>
      <w:r w:rsidRPr="00EB00A3">
        <w:t xml:space="preserve">Miller, D. (2009) ‘Democracy’s Domain’, </w:t>
      </w:r>
      <w:r w:rsidRPr="00EB00A3">
        <w:rPr>
          <w:i/>
        </w:rPr>
        <w:t>Philosophy and Public Affairs</w:t>
      </w:r>
      <w:r w:rsidRPr="00EB00A3">
        <w:t>, 37: 201-28</w:t>
      </w:r>
    </w:p>
    <w:p w:rsidR="00BD4BC2" w:rsidRPr="00EB00A3" w:rsidRDefault="00BD4BC2" w:rsidP="00E678F0">
      <w:pPr>
        <w:spacing w:line="480" w:lineRule="auto"/>
        <w:ind w:left="284" w:hanging="284"/>
      </w:pPr>
      <w:r w:rsidRPr="00EB00A3">
        <w:lastRenderedPageBreak/>
        <w:t xml:space="preserve">Moravscik, A. (2002) ‘In Defence of the Democratic Deficit: Reassessing Legitimacy in the EU’, </w:t>
      </w:r>
      <w:r w:rsidRPr="00EB00A3">
        <w:rPr>
          <w:i/>
          <w:iCs/>
        </w:rPr>
        <w:t>Journal of Common Market Studies</w:t>
      </w:r>
      <w:r w:rsidRPr="00EB00A3">
        <w:t xml:space="preserve"> 40.4: 603-24.</w:t>
      </w:r>
    </w:p>
    <w:p w:rsidR="00BD4BC2" w:rsidRPr="00EB00A3" w:rsidRDefault="00BD4BC2" w:rsidP="00E678F0">
      <w:pPr>
        <w:spacing w:line="480" w:lineRule="auto"/>
        <w:ind w:left="284" w:hanging="284"/>
      </w:pPr>
      <w:r w:rsidRPr="00EB00A3">
        <w:t xml:space="preserve">Moravscik, A. (2008) ‘The Myth of Europe’s “Democratic Deficit”’, </w:t>
      </w:r>
      <w:r w:rsidRPr="00EB00A3">
        <w:rPr>
          <w:i/>
        </w:rPr>
        <w:t>Intereconomics</w:t>
      </w:r>
      <w:r w:rsidRPr="00EB00A3">
        <w:t xml:space="preserve"> November/December: 331-40</w:t>
      </w:r>
    </w:p>
    <w:p w:rsidR="00BD4BC2" w:rsidRPr="00EB00A3" w:rsidRDefault="00BD4BC2" w:rsidP="00E678F0">
      <w:pPr>
        <w:spacing w:line="480" w:lineRule="auto"/>
        <w:ind w:left="284" w:hanging="284"/>
      </w:pPr>
      <w:r w:rsidRPr="00EB00A3">
        <w:t xml:space="preserve">Nicolaïdis, K. (2003) ‘The New Constitution as European Demoi-cracy?’, </w:t>
      </w:r>
      <w:r w:rsidRPr="00EB00A3">
        <w:rPr>
          <w:i/>
          <w:iCs/>
        </w:rPr>
        <w:t>Critical Review of Social and Political Philosophy</w:t>
      </w:r>
      <w:r w:rsidRPr="00EB00A3">
        <w:t xml:space="preserve">, </w:t>
      </w:r>
      <w:r w:rsidRPr="00EB00A3">
        <w:rPr>
          <w:rStyle w:val="PageNumber"/>
        </w:rPr>
        <w:t>7:</w:t>
      </w:r>
      <w:r w:rsidRPr="00EB00A3">
        <w:t>1: 76-93.</w:t>
      </w:r>
    </w:p>
    <w:p w:rsidR="00BD4BC2" w:rsidRPr="00EB00A3" w:rsidRDefault="00BD4BC2" w:rsidP="00E678F0">
      <w:pPr>
        <w:spacing w:line="480" w:lineRule="auto"/>
        <w:ind w:left="284" w:hanging="284"/>
      </w:pPr>
      <w:r w:rsidRPr="00EB00A3">
        <w:t xml:space="preserve">Pettit, P. (2005) ‘Rawls’s Political Ontology’, </w:t>
      </w:r>
      <w:r w:rsidRPr="00EB00A3">
        <w:rPr>
          <w:i/>
        </w:rPr>
        <w:t>Politics, Philosophy and Economics</w:t>
      </w:r>
      <w:r w:rsidRPr="00EB00A3">
        <w:t>, 4(2): 157-174.</w:t>
      </w:r>
    </w:p>
    <w:p w:rsidR="00BD4BC2" w:rsidRPr="00EB00A3" w:rsidRDefault="00BD4BC2" w:rsidP="00E678F0">
      <w:pPr>
        <w:spacing w:line="480" w:lineRule="auto"/>
        <w:ind w:left="284" w:hanging="284"/>
      </w:pPr>
      <w:r w:rsidRPr="00EB00A3">
        <w:t xml:space="preserve">Pettit, P. (2010) ‘Legitimate International Institutions: A Neo-Republican Perspective’ in  S. Besson and J. Tasioulis (eds) </w:t>
      </w:r>
      <w:r w:rsidRPr="00EB00A3">
        <w:rPr>
          <w:i/>
        </w:rPr>
        <w:t>The Philosophy of International Law</w:t>
      </w:r>
      <w:r w:rsidRPr="00EB00A3">
        <w:t>, Oxford: Oxford University Press, pp. 139-60.</w:t>
      </w:r>
    </w:p>
    <w:p w:rsidR="00BD4BC2" w:rsidRPr="00EB00A3" w:rsidRDefault="00BD4BC2" w:rsidP="0089692D">
      <w:pPr>
        <w:spacing w:line="480" w:lineRule="auto"/>
        <w:ind w:left="284" w:hanging="284"/>
      </w:pPr>
      <w:r w:rsidRPr="00EB00A3">
        <w:t xml:space="preserve">Pitkin, H. (1967) </w:t>
      </w:r>
      <w:r w:rsidRPr="00EB00A3">
        <w:rPr>
          <w:i/>
        </w:rPr>
        <w:t>The Concept of Representation</w:t>
      </w:r>
      <w:r w:rsidRPr="00EB00A3">
        <w:t>, Berkeley, Los Angeles, London: University of California Press.</w:t>
      </w:r>
    </w:p>
    <w:p w:rsidR="00BD4BC2" w:rsidRPr="00EB00A3" w:rsidRDefault="00BD4BC2" w:rsidP="0089692D">
      <w:pPr>
        <w:spacing w:line="480" w:lineRule="auto"/>
        <w:ind w:left="284" w:hanging="284"/>
        <w:rPr>
          <w:bCs/>
        </w:rPr>
      </w:pPr>
      <w:r w:rsidRPr="00EB00A3">
        <w:rPr>
          <w:bCs/>
        </w:rPr>
        <w:t xml:space="preserve">Saward, M. (2010) </w:t>
      </w:r>
      <w:r w:rsidRPr="00EB00A3">
        <w:rPr>
          <w:bCs/>
          <w:i/>
        </w:rPr>
        <w:t>The Representative Claim</w:t>
      </w:r>
      <w:r w:rsidRPr="00EB00A3">
        <w:rPr>
          <w:bCs/>
        </w:rPr>
        <w:t>, Oxford: Oxford University Press.</w:t>
      </w:r>
    </w:p>
    <w:p w:rsidR="00BD4BC2" w:rsidRPr="00EB00A3" w:rsidRDefault="00BD4BC2" w:rsidP="00E678F0">
      <w:pPr>
        <w:spacing w:line="480" w:lineRule="auto"/>
        <w:ind w:left="284" w:hanging="284"/>
      </w:pPr>
      <w:r w:rsidRPr="00EB00A3">
        <w:rPr>
          <w:rFonts w:eastAsia="Times New Roman"/>
        </w:rPr>
        <w:t>Scharpf, F. (2009) ‘</w:t>
      </w:r>
      <w:r w:rsidRPr="00EB00A3">
        <w:rPr>
          <w:bCs/>
        </w:rPr>
        <w:t xml:space="preserve">Legitimacy in the Multilevel European Polity’, </w:t>
      </w:r>
      <w:r w:rsidRPr="00EB00A3">
        <w:rPr>
          <w:i/>
        </w:rPr>
        <w:t>European Political Science Review</w:t>
      </w:r>
      <w:r w:rsidRPr="00EB00A3">
        <w:t>, 1: 173-204.</w:t>
      </w:r>
    </w:p>
    <w:p w:rsidR="00BD4BC2" w:rsidRDefault="00BD4BC2" w:rsidP="00520206">
      <w:pPr>
        <w:spacing w:line="480" w:lineRule="auto"/>
        <w:ind w:left="284" w:hanging="284"/>
      </w:pPr>
      <w:r w:rsidRPr="00A6174F">
        <w:t xml:space="preserve">Schumpeter, J. A. (1954 [1943]) </w:t>
      </w:r>
      <w:r w:rsidRPr="00A6174F">
        <w:rPr>
          <w:i/>
        </w:rPr>
        <w:t>Capitalism, Socialism and Democracy</w:t>
      </w:r>
      <w:r w:rsidRPr="00A6174F">
        <w:t>, London: Allen and Unwin.</w:t>
      </w:r>
    </w:p>
    <w:p w:rsidR="00BD4BC2" w:rsidRDefault="00BD4BC2" w:rsidP="00520206">
      <w:pPr>
        <w:spacing w:line="360" w:lineRule="auto"/>
        <w:ind w:left="284" w:hanging="284"/>
      </w:pPr>
      <w:r w:rsidRPr="008F564B">
        <w:t xml:space="preserve">Shore, C. </w:t>
      </w:r>
      <w:r>
        <w:t xml:space="preserve">(2000) </w:t>
      </w:r>
      <w:r w:rsidRPr="008F564B">
        <w:rPr>
          <w:i/>
        </w:rPr>
        <w:t>Building Europe</w:t>
      </w:r>
      <w:r>
        <w:rPr>
          <w:i/>
        </w:rPr>
        <w:t xml:space="preserve">, </w:t>
      </w:r>
      <w:r w:rsidRPr="00520206">
        <w:t>London: Routledge</w:t>
      </w:r>
    </w:p>
    <w:p w:rsidR="00BD4BC2" w:rsidRPr="00A6174F" w:rsidRDefault="00BD4BC2" w:rsidP="00520206">
      <w:pPr>
        <w:spacing w:line="360" w:lineRule="auto"/>
        <w:ind w:left="284" w:hanging="284"/>
      </w:pPr>
      <w:r w:rsidRPr="004279AB">
        <w:t xml:space="preserve">Shore, C. (2004) `Whither European Citizenship?’, </w:t>
      </w:r>
      <w:r>
        <w:rPr>
          <w:i/>
        </w:rPr>
        <w:t xml:space="preserve">European Journal of Social </w:t>
      </w:r>
      <w:r w:rsidRPr="004279AB">
        <w:rPr>
          <w:i/>
        </w:rPr>
        <w:t>Theory</w:t>
      </w:r>
      <w:r w:rsidRPr="004279AB">
        <w:t xml:space="preserve"> 7.1: 27-44</w:t>
      </w:r>
    </w:p>
    <w:p w:rsidR="00BD4BC2" w:rsidRPr="00A6174F" w:rsidRDefault="00BD4BC2" w:rsidP="00520206">
      <w:pPr>
        <w:autoSpaceDE w:val="0"/>
        <w:autoSpaceDN w:val="0"/>
        <w:adjustRightInd w:val="0"/>
        <w:spacing w:line="480" w:lineRule="auto"/>
        <w:ind w:left="284" w:hanging="284"/>
        <w:rPr>
          <w:rFonts w:eastAsia="Times New Roman"/>
          <w:bCs/>
        </w:rPr>
      </w:pPr>
      <w:r w:rsidRPr="00A6174F">
        <w:t xml:space="preserve">Shore, C. (2011) </w:t>
      </w:r>
      <w:r w:rsidRPr="00A6174F">
        <w:rPr>
          <w:rFonts w:eastAsia="Times New Roman"/>
          <w:bCs/>
        </w:rPr>
        <w:t xml:space="preserve">‘European Governance’ or Governmentality? The European Commission and the Future of Democratic Government’, </w:t>
      </w:r>
      <w:r w:rsidRPr="00A6174F">
        <w:rPr>
          <w:rFonts w:eastAsia="Times New Roman"/>
          <w:i/>
          <w:iCs/>
        </w:rPr>
        <w:t xml:space="preserve">European Law Journal, </w:t>
      </w:r>
      <w:r w:rsidRPr="00A6174F">
        <w:rPr>
          <w:rFonts w:eastAsia="Times New Roman"/>
          <w:iCs/>
        </w:rPr>
        <w:t>17. 3: 287–303.</w:t>
      </w:r>
    </w:p>
    <w:p w:rsidR="00BD4BC2" w:rsidRDefault="00BD4BC2" w:rsidP="008728E6">
      <w:pPr>
        <w:spacing w:line="480" w:lineRule="auto"/>
        <w:ind w:left="284" w:hanging="284"/>
        <w:rPr>
          <w:color w:val="222222"/>
          <w:shd w:val="clear" w:color="auto" w:fill="FFFFFF"/>
        </w:rPr>
      </w:pPr>
      <w:r w:rsidRPr="00A6174F">
        <w:rPr>
          <w:rStyle w:val="Emphasis"/>
          <w:bCs/>
          <w:i w:val="0"/>
          <w:color w:val="000000"/>
          <w:shd w:val="clear" w:color="auto" w:fill="FFFFFF"/>
        </w:rPr>
        <w:t xml:space="preserve">Sunstein, C. R. </w:t>
      </w:r>
      <w:r w:rsidRPr="00A6174F">
        <w:rPr>
          <w:rStyle w:val="apple-converted-space"/>
          <w:color w:val="222222"/>
          <w:shd w:val="clear" w:color="auto" w:fill="FFFFFF"/>
        </w:rPr>
        <w:t> </w:t>
      </w:r>
      <w:r w:rsidRPr="00A6174F">
        <w:rPr>
          <w:color w:val="222222"/>
          <w:shd w:val="clear" w:color="auto" w:fill="FFFFFF"/>
        </w:rPr>
        <w:t>(</w:t>
      </w:r>
      <w:r w:rsidRPr="00A6174F">
        <w:rPr>
          <w:rStyle w:val="Emphasis"/>
          <w:bCs/>
          <w:i w:val="0"/>
          <w:color w:val="000000"/>
          <w:shd w:val="clear" w:color="auto" w:fill="FFFFFF"/>
        </w:rPr>
        <w:t>1991</w:t>
      </w:r>
      <w:r w:rsidRPr="00EB00A3">
        <w:rPr>
          <w:color w:val="222222"/>
          <w:shd w:val="clear" w:color="auto" w:fill="FFFFFF"/>
        </w:rPr>
        <w:t>)</w:t>
      </w:r>
      <w:r w:rsidRPr="00EB00A3">
        <w:rPr>
          <w:rStyle w:val="apple-converted-space"/>
          <w:color w:val="222222"/>
          <w:shd w:val="clear" w:color="auto" w:fill="FFFFFF"/>
        </w:rPr>
        <w:t> ’</w:t>
      </w:r>
      <w:r w:rsidRPr="00EB00A3">
        <w:rPr>
          <w:rStyle w:val="Emphasis"/>
          <w:bCs/>
          <w:i w:val="0"/>
          <w:color w:val="000000"/>
          <w:shd w:val="clear" w:color="auto" w:fill="FFFFFF"/>
        </w:rPr>
        <w:t>Preferences and Politics’</w:t>
      </w:r>
      <w:r w:rsidRPr="00EB00A3">
        <w:rPr>
          <w:color w:val="222222"/>
          <w:shd w:val="clear" w:color="auto" w:fill="FFFFFF"/>
        </w:rPr>
        <w:t xml:space="preserve">, </w:t>
      </w:r>
      <w:r w:rsidRPr="00EB00A3">
        <w:rPr>
          <w:i/>
          <w:color w:val="222222"/>
          <w:shd w:val="clear" w:color="auto" w:fill="FFFFFF"/>
        </w:rPr>
        <w:t xml:space="preserve">Philosophy and </w:t>
      </w:r>
      <w:r w:rsidRPr="00EB00A3">
        <w:rPr>
          <w:rStyle w:val="Emphasis"/>
          <w:bCs/>
          <w:color w:val="000000"/>
          <w:shd w:val="clear" w:color="auto" w:fill="FFFFFF"/>
        </w:rPr>
        <w:t>Public Affairs</w:t>
      </w:r>
      <w:r w:rsidRPr="00EB00A3">
        <w:rPr>
          <w:rStyle w:val="Emphasis"/>
          <w:bCs/>
          <w:i w:val="0"/>
          <w:color w:val="000000"/>
          <w:shd w:val="clear" w:color="auto" w:fill="FFFFFF"/>
        </w:rPr>
        <w:t xml:space="preserve"> 20</w:t>
      </w:r>
      <w:r w:rsidRPr="00EB00A3">
        <w:rPr>
          <w:rStyle w:val="apple-converted-space"/>
          <w:color w:val="222222"/>
          <w:shd w:val="clear" w:color="auto" w:fill="FFFFFF"/>
        </w:rPr>
        <w:t>:</w:t>
      </w:r>
      <w:r w:rsidRPr="00EB00A3">
        <w:rPr>
          <w:color w:val="222222"/>
          <w:shd w:val="clear" w:color="auto" w:fill="FFFFFF"/>
        </w:rPr>
        <w:t xml:space="preserve">1: </w:t>
      </w:r>
      <w:r w:rsidRPr="00EB00A3">
        <w:rPr>
          <w:rStyle w:val="Emphasis"/>
          <w:bCs/>
          <w:i w:val="0"/>
          <w:color w:val="000000"/>
          <w:shd w:val="clear" w:color="auto" w:fill="FFFFFF"/>
        </w:rPr>
        <w:t>3</w:t>
      </w:r>
      <w:r w:rsidRPr="00EB00A3">
        <w:rPr>
          <w:color w:val="222222"/>
          <w:shd w:val="clear" w:color="auto" w:fill="FFFFFF"/>
        </w:rPr>
        <w:t>-34.</w:t>
      </w:r>
    </w:p>
    <w:p w:rsidR="00BD4BC2" w:rsidRPr="008728E6" w:rsidRDefault="00BD4BC2" w:rsidP="008728E6">
      <w:pPr>
        <w:spacing w:line="480" w:lineRule="auto"/>
        <w:ind w:left="284" w:hanging="284"/>
        <w:rPr>
          <w:color w:val="222222"/>
          <w:shd w:val="clear" w:color="auto" w:fill="FFFFFF"/>
        </w:rPr>
      </w:pPr>
      <w:r>
        <w:rPr>
          <w:color w:val="222222"/>
          <w:shd w:val="clear" w:color="auto" w:fill="FFFFFF"/>
        </w:rPr>
        <w:lastRenderedPageBreak/>
        <w:t xml:space="preserve">White, J. (2011) </w:t>
      </w:r>
      <w:r>
        <w:rPr>
          <w:i/>
          <w:color w:val="222222"/>
          <w:shd w:val="clear" w:color="auto" w:fill="FFFFFF"/>
        </w:rPr>
        <w:t>Political Allegiance after European Integration</w:t>
      </w:r>
      <w:r>
        <w:rPr>
          <w:color w:val="222222"/>
          <w:shd w:val="clear" w:color="auto" w:fill="FFFFFF"/>
        </w:rPr>
        <w:t>, Basingstoke: Palgrave</w:t>
      </w:r>
    </w:p>
    <w:p w:rsidR="00BD4BC2" w:rsidRPr="00EB00A3" w:rsidRDefault="00BD4BC2" w:rsidP="00A6174F">
      <w:pPr>
        <w:spacing w:line="480" w:lineRule="auto"/>
        <w:ind w:left="284" w:hanging="284"/>
      </w:pPr>
      <w:r w:rsidRPr="00EB00A3">
        <w:t xml:space="preserve">Young, I. M. (2000) </w:t>
      </w:r>
      <w:r w:rsidRPr="00EB00A3">
        <w:rPr>
          <w:i/>
        </w:rPr>
        <w:t>Inclusion and Democracy</w:t>
      </w:r>
      <w:r w:rsidRPr="00EB00A3">
        <w:t>, Oxford: Oxford University Press.</w:t>
      </w:r>
    </w:p>
    <w:p w:rsidR="00BD4BC2" w:rsidRPr="00EB00A3" w:rsidRDefault="00BD4BC2" w:rsidP="00E678F0">
      <w:pPr>
        <w:spacing w:line="480" w:lineRule="auto"/>
        <w:ind w:left="284" w:hanging="284"/>
      </w:pPr>
    </w:p>
    <w:p w:rsidR="00BD4BC2" w:rsidRPr="00EB00A3" w:rsidRDefault="00BD4BC2" w:rsidP="00E678F0">
      <w:pPr>
        <w:spacing w:line="480" w:lineRule="auto"/>
        <w:ind w:left="284" w:hanging="284"/>
      </w:pPr>
    </w:p>
    <w:p w:rsidR="00BD4BC2" w:rsidRPr="00EB00A3" w:rsidRDefault="00BD4BC2" w:rsidP="00D63806">
      <w:pPr>
        <w:spacing w:line="480" w:lineRule="auto"/>
      </w:pPr>
    </w:p>
    <w:p w:rsidR="00BD4BC2" w:rsidRPr="00EB00A3" w:rsidRDefault="00BD4BC2"/>
    <w:sectPr w:rsidR="00BD4BC2" w:rsidRPr="00EB00A3" w:rsidSect="00D87E2D">
      <w:endnotePr>
        <w:numFmt w:val="decimal"/>
      </w:endnotePr>
      <w:type w:val="continuous"/>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C2" w:rsidRDefault="00BD4BC2" w:rsidP="007A6EB8">
      <w:r>
        <w:separator/>
      </w:r>
    </w:p>
  </w:endnote>
  <w:endnote w:type="continuationSeparator" w:id="0">
    <w:p w:rsidR="00BD4BC2" w:rsidRDefault="00BD4BC2" w:rsidP="007A6EB8">
      <w:r>
        <w:continuationSeparator/>
      </w:r>
    </w:p>
  </w:endnote>
  <w:endnote w:id="1">
    <w:p w:rsidR="00BD4BC2" w:rsidRDefault="00BD4BC2" w:rsidP="00D63806">
      <w:pPr>
        <w:pStyle w:val="EndnoteText"/>
      </w:pPr>
      <w:r w:rsidRPr="00E86CBD">
        <w:rPr>
          <w:rStyle w:val="EndnoteReference"/>
        </w:rPr>
        <w:endnoteRef/>
      </w:r>
      <w:r w:rsidRPr="00E86CBD">
        <w:rPr>
          <w:lang w:val="fr-FR"/>
        </w:rPr>
        <w:t xml:space="preserve"> </w:t>
      </w:r>
      <w:r w:rsidRPr="00E86CBD">
        <w:rPr>
          <w:i/>
          <w:lang w:val="fr-FR"/>
        </w:rPr>
        <w:t>Grzelczyk v Centre Public d’Aide Sociale d’Ottignies-Louvain-la-Neuve</w:t>
      </w:r>
      <w:r w:rsidRPr="00E86CBD">
        <w:rPr>
          <w:lang w:val="fr-FR"/>
        </w:rPr>
        <w:t xml:space="preserve"> [2001] ECR I-6193, para 31</w:t>
      </w:r>
    </w:p>
  </w:endnote>
  <w:endnote w:id="2">
    <w:p w:rsidR="00BD4BC2" w:rsidRDefault="00BD4BC2" w:rsidP="00D63806">
      <w:pPr>
        <w:pStyle w:val="EndnoteText"/>
      </w:pPr>
      <w:r w:rsidRPr="00E86CBD">
        <w:rPr>
          <w:rStyle w:val="EndnoteReference"/>
        </w:rPr>
        <w:endnoteRef/>
      </w:r>
      <w:r w:rsidRPr="00E86CBD">
        <w:t xml:space="preserve"> </w:t>
      </w:r>
      <w:r w:rsidRPr="00E86CBD">
        <w:rPr>
          <w:rStyle w:val="Emphasis"/>
          <w:color w:val="000000"/>
        </w:rPr>
        <w:t>Laval v Svenska Byggnadsarbetareförbundet</w:t>
      </w:r>
      <w:r w:rsidRPr="00E86CBD">
        <w:rPr>
          <w:rStyle w:val="Emphasis"/>
          <w:i w:val="0"/>
          <w:color w:val="000000"/>
        </w:rPr>
        <w:t xml:space="preserve"> </w:t>
      </w:r>
      <w:r w:rsidRPr="00E86CBD">
        <w:t>[2008] IRLR 160</w:t>
      </w:r>
    </w:p>
  </w:endnote>
  <w:endnote w:id="3">
    <w:p w:rsidR="00BD4BC2" w:rsidRDefault="00BD4BC2" w:rsidP="00D63806">
      <w:pPr>
        <w:pStyle w:val="EndnoteText"/>
      </w:pPr>
      <w:r w:rsidRPr="00E86CBD">
        <w:rPr>
          <w:rStyle w:val="EndnoteReference"/>
        </w:rPr>
        <w:endnoteRef/>
      </w:r>
      <w:r w:rsidRPr="00E86CBD">
        <w:rPr>
          <w:lang w:val="de-DE"/>
        </w:rPr>
        <w:t xml:space="preserve">  </w:t>
      </w:r>
      <w:r w:rsidRPr="00E86CBD">
        <w:rPr>
          <w:i/>
          <w:lang w:val="de-DE"/>
        </w:rPr>
        <w:t>Commission v Luxembourg</w:t>
      </w:r>
      <w:r w:rsidRPr="00E86CBD">
        <w:rPr>
          <w:lang w:val="de-DE"/>
        </w:rPr>
        <w:t xml:space="preserve"> [2008] </w:t>
      </w:r>
      <w:r w:rsidRPr="00E86CBD">
        <w:rPr>
          <w:rStyle w:val="apple-style-span"/>
          <w:color w:val="222222"/>
          <w:shd w:val="clear" w:color="auto" w:fill="FFFFFF"/>
          <w:lang w:val="de-DE"/>
        </w:rPr>
        <w:t>ECR I-4323.</w:t>
      </w:r>
    </w:p>
  </w:endnote>
  <w:endnote w:id="4">
    <w:p w:rsidR="00BD4BC2" w:rsidRDefault="00BD4BC2" w:rsidP="00D63806">
      <w:pPr>
        <w:pStyle w:val="EndnoteText"/>
      </w:pPr>
      <w:r w:rsidRPr="00E86CBD">
        <w:rPr>
          <w:rStyle w:val="EndnoteReference"/>
        </w:rPr>
        <w:endnoteRef/>
      </w:r>
      <w:r w:rsidRPr="00E86CBD">
        <w:rPr>
          <w:lang w:val="de-DE"/>
        </w:rPr>
        <w:t xml:space="preserve"> </w:t>
      </w:r>
      <w:r w:rsidRPr="00E86CBD">
        <w:rPr>
          <w:rStyle w:val="apple-style-span"/>
          <w:color w:val="222222"/>
          <w:shd w:val="clear" w:color="auto" w:fill="FFFFFF"/>
          <w:lang w:val="de-DE"/>
        </w:rPr>
        <w:t xml:space="preserve"> </w:t>
      </w:r>
      <w:r w:rsidRPr="00E86CBD">
        <w:rPr>
          <w:rStyle w:val="Emphasis"/>
          <w:bCs/>
          <w:color w:val="000000"/>
          <w:shd w:val="clear" w:color="auto" w:fill="FFFFFF"/>
          <w:lang w:val="de-DE"/>
        </w:rPr>
        <w:t>Schwarz and Gootjes-Schwarz v</w:t>
      </w:r>
      <w:r w:rsidRPr="00E86CBD">
        <w:rPr>
          <w:rStyle w:val="apple-style-span"/>
          <w:color w:val="222222"/>
          <w:shd w:val="clear" w:color="auto" w:fill="FFFFFF"/>
          <w:lang w:val="de-DE"/>
        </w:rPr>
        <w:t>.</w:t>
      </w:r>
      <w:r w:rsidRPr="00E86CBD">
        <w:rPr>
          <w:rStyle w:val="apple-converted-space"/>
          <w:color w:val="222222"/>
          <w:shd w:val="clear" w:color="auto" w:fill="FFFFFF"/>
          <w:lang w:val="de-DE"/>
        </w:rPr>
        <w:t> </w:t>
      </w:r>
      <w:r w:rsidRPr="00E86CBD">
        <w:rPr>
          <w:rStyle w:val="Emphasis"/>
          <w:bCs/>
          <w:color w:val="000000"/>
          <w:shd w:val="clear" w:color="auto" w:fill="FFFFFF"/>
          <w:lang w:val="de-DE"/>
        </w:rPr>
        <w:t>Finanzamt Bergisch</w:t>
      </w:r>
      <w:r w:rsidRPr="00E86CBD">
        <w:rPr>
          <w:rStyle w:val="Emphasis"/>
          <w:b/>
          <w:bCs/>
          <w:i w:val="0"/>
          <w:color w:val="000000"/>
          <w:shd w:val="clear" w:color="auto" w:fill="FFFFFF"/>
          <w:lang w:val="de-DE"/>
        </w:rPr>
        <w:t xml:space="preserve"> </w:t>
      </w:r>
      <w:r w:rsidRPr="00E86CBD">
        <w:rPr>
          <w:rStyle w:val="Emphasis"/>
          <w:bCs/>
          <w:color w:val="000000"/>
          <w:shd w:val="clear" w:color="auto" w:fill="FFFFFF"/>
          <w:lang w:val="de-DE"/>
        </w:rPr>
        <w:t>Gladbach</w:t>
      </w:r>
      <w:r w:rsidRPr="00E86CBD">
        <w:rPr>
          <w:color w:val="222222"/>
          <w:shd w:val="clear" w:color="auto" w:fill="FFFFFF"/>
          <w:lang w:val="de-DE"/>
        </w:rPr>
        <w:t xml:space="preserve"> </w:t>
      </w:r>
      <w:r w:rsidRPr="00E86CBD">
        <w:rPr>
          <w:rStyle w:val="apple-style-span"/>
          <w:color w:val="222222"/>
          <w:shd w:val="clear" w:color="auto" w:fill="FFFFFF"/>
          <w:lang w:val="de-DE"/>
        </w:rPr>
        <w:t>[2007] ECR I-6849</w:t>
      </w:r>
    </w:p>
  </w:endnote>
  <w:endnote w:id="5">
    <w:p w:rsidR="00BD4BC2" w:rsidRDefault="00BD4BC2" w:rsidP="00D63806">
      <w:pPr>
        <w:pStyle w:val="EndnoteText"/>
      </w:pPr>
      <w:r w:rsidRPr="00E86CBD">
        <w:rPr>
          <w:rStyle w:val="EndnoteReference"/>
        </w:rPr>
        <w:endnoteRef/>
      </w:r>
      <w:r w:rsidRPr="00E86CBD">
        <w:t xml:space="preserve"> </w:t>
      </w:r>
      <w:r w:rsidRPr="00E86CBD">
        <w:rPr>
          <w:rStyle w:val="apple-converted-space"/>
          <w:color w:val="222222"/>
          <w:shd w:val="clear" w:color="auto" w:fill="FFFFFF"/>
        </w:rPr>
        <w:t> </w:t>
      </w:r>
      <w:r w:rsidRPr="00E86CBD">
        <w:rPr>
          <w:rStyle w:val="apple-style-span"/>
          <w:color w:val="222222"/>
          <w:shd w:val="clear" w:color="auto" w:fill="FFFFFF"/>
        </w:rPr>
        <w:t xml:space="preserve"> </w:t>
      </w:r>
      <w:r w:rsidRPr="00E86CBD">
        <w:rPr>
          <w:rStyle w:val="Emphasis"/>
          <w:bCs/>
          <w:color w:val="000000"/>
          <w:shd w:val="clear" w:color="auto" w:fill="FFFFFF"/>
        </w:rPr>
        <w:t>Watts</w:t>
      </w:r>
      <w:r w:rsidRPr="00E86CBD">
        <w:rPr>
          <w:rStyle w:val="apple-converted-space"/>
          <w:color w:val="222222"/>
          <w:shd w:val="clear" w:color="auto" w:fill="FFFFFF"/>
        </w:rPr>
        <w:t> </w:t>
      </w:r>
      <w:r w:rsidRPr="00E86CBD">
        <w:rPr>
          <w:rStyle w:val="apple-style-span"/>
          <w:i/>
          <w:color w:val="222222"/>
          <w:shd w:val="clear" w:color="auto" w:fill="FFFFFF"/>
        </w:rPr>
        <w:t>v. Bedford Primary Care Trust</w:t>
      </w:r>
      <w:r w:rsidRPr="00E86CBD">
        <w:rPr>
          <w:rStyle w:val="apple-style-span"/>
          <w:color w:val="222222"/>
          <w:shd w:val="clear" w:color="auto" w:fill="FFFFFF"/>
        </w:rPr>
        <w:t xml:space="preserve"> [2006] ECR I–4325</w:t>
      </w:r>
    </w:p>
  </w:endnote>
  <w:endnote w:id="6">
    <w:p w:rsidR="00BD4BC2" w:rsidRDefault="00BD4BC2" w:rsidP="004871D2">
      <w:pPr>
        <w:pStyle w:val="EndnoteText"/>
      </w:pPr>
      <w:r w:rsidRPr="00E86CBD">
        <w:rPr>
          <w:rStyle w:val="EndnoteReference"/>
        </w:rPr>
        <w:endnoteRef/>
      </w:r>
      <w:r w:rsidRPr="00E86CBD">
        <w:t xml:space="preserve"> Data refers to 2010 from </w:t>
      </w:r>
      <w:hyperlink r:id="rId1" w:history="1">
        <w:r w:rsidRPr="00E86CBD">
          <w:rPr>
            <w:rStyle w:val="Hyperlink"/>
          </w:rPr>
          <w:t>http://databank.worldbank.org/ddp/home.do?Step=12&amp;id=4&amp;CNO=2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C2" w:rsidRDefault="00BD4BC2" w:rsidP="00CC57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4BC2" w:rsidRDefault="00BD4B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C2" w:rsidRDefault="00BD4BC2" w:rsidP="00CC57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AFE">
      <w:rPr>
        <w:rStyle w:val="PageNumber"/>
        <w:noProof/>
      </w:rPr>
      <w:t>26</w:t>
    </w:r>
    <w:r>
      <w:rPr>
        <w:rStyle w:val="PageNumber"/>
      </w:rPr>
      <w:fldChar w:fldCharType="end"/>
    </w:r>
  </w:p>
  <w:p w:rsidR="00BD4BC2" w:rsidRDefault="00BD4B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C2" w:rsidRDefault="00BD4BC2" w:rsidP="007A6EB8">
      <w:r>
        <w:separator/>
      </w:r>
    </w:p>
  </w:footnote>
  <w:footnote w:type="continuationSeparator" w:id="0">
    <w:p w:rsidR="00BD4BC2" w:rsidRDefault="00BD4BC2" w:rsidP="007A6E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788D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566B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6CC9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40C0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EEA3C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CA97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20AF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2657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4E09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9E33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B8"/>
    <w:rsid w:val="00002BC8"/>
    <w:rsid w:val="00004C4B"/>
    <w:rsid w:val="00004C51"/>
    <w:rsid w:val="0000516C"/>
    <w:rsid w:val="00016F6B"/>
    <w:rsid w:val="0002495A"/>
    <w:rsid w:val="00040D4C"/>
    <w:rsid w:val="00046802"/>
    <w:rsid w:val="00050AD6"/>
    <w:rsid w:val="00050E87"/>
    <w:rsid w:val="00053A2B"/>
    <w:rsid w:val="00053D07"/>
    <w:rsid w:val="000617ED"/>
    <w:rsid w:val="00065727"/>
    <w:rsid w:val="00066A25"/>
    <w:rsid w:val="00073E04"/>
    <w:rsid w:val="00087B12"/>
    <w:rsid w:val="00094B5A"/>
    <w:rsid w:val="00095A46"/>
    <w:rsid w:val="000962B9"/>
    <w:rsid w:val="000A555D"/>
    <w:rsid w:val="000B76FB"/>
    <w:rsid w:val="000C4C87"/>
    <w:rsid w:val="000C789B"/>
    <w:rsid w:val="000D1CEE"/>
    <w:rsid w:val="000D581F"/>
    <w:rsid w:val="000D5DE1"/>
    <w:rsid w:val="000D711C"/>
    <w:rsid w:val="000D7CE5"/>
    <w:rsid w:val="000E6392"/>
    <w:rsid w:val="000E74FE"/>
    <w:rsid w:val="000F4C5D"/>
    <w:rsid w:val="000F5839"/>
    <w:rsid w:val="000F6BE2"/>
    <w:rsid w:val="00103DB6"/>
    <w:rsid w:val="00110C19"/>
    <w:rsid w:val="00113B9D"/>
    <w:rsid w:val="00117FC2"/>
    <w:rsid w:val="00123626"/>
    <w:rsid w:val="00124330"/>
    <w:rsid w:val="001306FA"/>
    <w:rsid w:val="001310C3"/>
    <w:rsid w:val="00132497"/>
    <w:rsid w:val="00133A6D"/>
    <w:rsid w:val="00155978"/>
    <w:rsid w:val="0016004A"/>
    <w:rsid w:val="00161746"/>
    <w:rsid w:val="00162614"/>
    <w:rsid w:val="001650B9"/>
    <w:rsid w:val="00166567"/>
    <w:rsid w:val="001C0151"/>
    <w:rsid w:val="001C0CF1"/>
    <w:rsid w:val="001E1335"/>
    <w:rsid w:val="001F2EA4"/>
    <w:rsid w:val="001F372E"/>
    <w:rsid w:val="001F402C"/>
    <w:rsid w:val="00200125"/>
    <w:rsid w:val="00207352"/>
    <w:rsid w:val="0021066C"/>
    <w:rsid w:val="00215637"/>
    <w:rsid w:val="0022365E"/>
    <w:rsid w:val="0023089B"/>
    <w:rsid w:val="00252710"/>
    <w:rsid w:val="00261607"/>
    <w:rsid w:val="002628FD"/>
    <w:rsid w:val="00262A6A"/>
    <w:rsid w:val="0027181E"/>
    <w:rsid w:val="00277B12"/>
    <w:rsid w:val="00281721"/>
    <w:rsid w:val="00281A0B"/>
    <w:rsid w:val="002904E7"/>
    <w:rsid w:val="002A7B12"/>
    <w:rsid w:val="002B6C34"/>
    <w:rsid w:val="002B70BD"/>
    <w:rsid w:val="002C0068"/>
    <w:rsid w:val="002C0DE3"/>
    <w:rsid w:val="002C5E44"/>
    <w:rsid w:val="002D2A87"/>
    <w:rsid w:val="002D303A"/>
    <w:rsid w:val="002D45B5"/>
    <w:rsid w:val="002D56AF"/>
    <w:rsid w:val="002D6BE4"/>
    <w:rsid w:val="002D7446"/>
    <w:rsid w:val="002D7B84"/>
    <w:rsid w:val="002E0CCD"/>
    <w:rsid w:val="002E4DDB"/>
    <w:rsid w:val="002F2377"/>
    <w:rsid w:val="003100C1"/>
    <w:rsid w:val="00310D8A"/>
    <w:rsid w:val="00316321"/>
    <w:rsid w:val="00332EF9"/>
    <w:rsid w:val="00337A46"/>
    <w:rsid w:val="00340B1C"/>
    <w:rsid w:val="00341994"/>
    <w:rsid w:val="00355468"/>
    <w:rsid w:val="003642B2"/>
    <w:rsid w:val="00367058"/>
    <w:rsid w:val="003704FB"/>
    <w:rsid w:val="00385A29"/>
    <w:rsid w:val="00386642"/>
    <w:rsid w:val="00392339"/>
    <w:rsid w:val="003923C0"/>
    <w:rsid w:val="003B7597"/>
    <w:rsid w:val="003C6FE0"/>
    <w:rsid w:val="003D164D"/>
    <w:rsid w:val="003D320D"/>
    <w:rsid w:val="003D5BE5"/>
    <w:rsid w:val="003E1239"/>
    <w:rsid w:val="003F1F6A"/>
    <w:rsid w:val="003F2FF1"/>
    <w:rsid w:val="003F3651"/>
    <w:rsid w:val="003F6FA4"/>
    <w:rsid w:val="00400657"/>
    <w:rsid w:val="004021C6"/>
    <w:rsid w:val="004024D6"/>
    <w:rsid w:val="00410034"/>
    <w:rsid w:val="004120F8"/>
    <w:rsid w:val="004241D8"/>
    <w:rsid w:val="00424549"/>
    <w:rsid w:val="00424E82"/>
    <w:rsid w:val="004279AB"/>
    <w:rsid w:val="0043476B"/>
    <w:rsid w:val="00440384"/>
    <w:rsid w:val="00440EF4"/>
    <w:rsid w:val="00445191"/>
    <w:rsid w:val="00446664"/>
    <w:rsid w:val="00447BBE"/>
    <w:rsid w:val="00452138"/>
    <w:rsid w:val="0045275E"/>
    <w:rsid w:val="0045481B"/>
    <w:rsid w:val="0045659A"/>
    <w:rsid w:val="0046001D"/>
    <w:rsid w:val="0046036C"/>
    <w:rsid w:val="00463DBE"/>
    <w:rsid w:val="004674AF"/>
    <w:rsid w:val="00470829"/>
    <w:rsid w:val="00473565"/>
    <w:rsid w:val="00474115"/>
    <w:rsid w:val="0047436D"/>
    <w:rsid w:val="004807A8"/>
    <w:rsid w:val="00480DA2"/>
    <w:rsid w:val="00486395"/>
    <w:rsid w:val="00487183"/>
    <w:rsid w:val="004871D2"/>
    <w:rsid w:val="00496055"/>
    <w:rsid w:val="004A1195"/>
    <w:rsid w:val="004A3950"/>
    <w:rsid w:val="004B39B6"/>
    <w:rsid w:val="004B643A"/>
    <w:rsid w:val="004C4944"/>
    <w:rsid w:val="004D77F8"/>
    <w:rsid w:val="004E133F"/>
    <w:rsid w:val="004E4671"/>
    <w:rsid w:val="004E6EEE"/>
    <w:rsid w:val="004E713E"/>
    <w:rsid w:val="004F72A9"/>
    <w:rsid w:val="00502229"/>
    <w:rsid w:val="00502D00"/>
    <w:rsid w:val="00505A60"/>
    <w:rsid w:val="00512980"/>
    <w:rsid w:val="00515BCB"/>
    <w:rsid w:val="00520206"/>
    <w:rsid w:val="00526453"/>
    <w:rsid w:val="00535BC2"/>
    <w:rsid w:val="00537041"/>
    <w:rsid w:val="00541DAA"/>
    <w:rsid w:val="005469A2"/>
    <w:rsid w:val="005611EE"/>
    <w:rsid w:val="00572FA9"/>
    <w:rsid w:val="005912DE"/>
    <w:rsid w:val="00591E0F"/>
    <w:rsid w:val="005928D4"/>
    <w:rsid w:val="00592EC0"/>
    <w:rsid w:val="00597536"/>
    <w:rsid w:val="00597BAF"/>
    <w:rsid w:val="005A4E02"/>
    <w:rsid w:val="005B4675"/>
    <w:rsid w:val="005C3031"/>
    <w:rsid w:val="005C3417"/>
    <w:rsid w:val="005C7A42"/>
    <w:rsid w:val="005C7F16"/>
    <w:rsid w:val="005F48D7"/>
    <w:rsid w:val="006000DF"/>
    <w:rsid w:val="00606247"/>
    <w:rsid w:val="006106DF"/>
    <w:rsid w:val="00611C9F"/>
    <w:rsid w:val="0061233F"/>
    <w:rsid w:val="00620C5F"/>
    <w:rsid w:val="00623361"/>
    <w:rsid w:val="00625C3F"/>
    <w:rsid w:val="006267A5"/>
    <w:rsid w:val="00630663"/>
    <w:rsid w:val="00641E32"/>
    <w:rsid w:val="00644067"/>
    <w:rsid w:val="006461D7"/>
    <w:rsid w:val="00656CCA"/>
    <w:rsid w:val="006627AD"/>
    <w:rsid w:val="00665901"/>
    <w:rsid w:val="00673383"/>
    <w:rsid w:val="00680FF1"/>
    <w:rsid w:val="00681742"/>
    <w:rsid w:val="006818F9"/>
    <w:rsid w:val="00684161"/>
    <w:rsid w:val="006A43AD"/>
    <w:rsid w:val="006A5EDB"/>
    <w:rsid w:val="006B769D"/>
    <w:rsid w:val="006C3F78"/>
    <w:rsid w:val="006C681F"/>
    <w:rsid w:val="006D7C80"/>
    <w:rsid w:val="006E150E"/>
    <w:rsid w:val="006E2AF5"/>
    <w:rsid w:val="006E2EB1"/>
    <w:rsid w:val="006E44E6"/>
    <w:rsid w:val="006E4633"/>
    <w:rsid w:val="006E5202"/>
    <w:rsid w:val="006E55D0"/>
    <w:rsid w:val="007060A1"/>
    <w:rsid w:val="00706F45"/>
    <w:rsid w:val="00710DC3"/>
    <w:rsid w:val="00716B57"/>
    <w:rsid w:val="00733646"/>
    <w:rsid w:val="00735316"/>
    <w:rsid w:val="0074195B"/>
    <w:rsid w:val="00756FFC"/>
    <w:rsid w:val="007603B0"/>
    <w:rsid w:val="00772B15"/>
    <w:rsid w:val="007765AA"/>
    <w:rsid w:val="007766CA"/>
    <w:rsid w:val="00780F4A"/>
    <w:rsid w:val="00783ACE"/>
    <w:rsid w:val="00784112"/>
    <w:rsid w:val="007847F0"/>
    <w:rsid w:val="007906A6"/>
    <w:rsid w:val="00793817"/>
    <w:rsid w:val="00794FF1"/>
    <w:rsid w:val="0079500B"/>
    <w:rsid w:val="007977EE"/>
    <w:rsid w:val="007A031B"/>
    <w:rsid w:val="007A6EB8"/>
    <w:rsid w:val="007B0253"/>
    <w:rsid w:val="007B36A1"/>
    <w:rsid w:val="007C133D"/>
    <w:rsid w:val="007C3684"/>
    <w:rsid w:val="007E19A4"/>
    <w:rsid w:val="007E4A94"/>
    <w:rsid w:val="007F2118"/>
    <w:rsid w:val="00806E70"/>
    <w:rsid w:val="00813E82"/>
    <w:rsid w:val="00815F0C"/>
    <w:rsid w:val="00821387"/>
    <w:rsid w:val="00833744"/>
    <w:rsid w:val="008368F6"/>
    <w:rsid w:val="00843857"/>
    <w:rsid w:val="00843C13"/>
    <w:rsid w:val="0085274D"/>
    <w:rsid w:val="00855441"/>
    <w:rsid w:val="00857B7B"/>
    <w:rsid w:val="00863530"/>
    <w:rsid w:val="00864B8C"/>
    <w:rsid w:val="008728E6"/>
    <w:rsid w:val="00873629"/>
    <w:rsid w:val="00881964"/>
    <w:rsid w:val="0089692D"/>
    <w:rsid w:val="008A03A9"/>
    <w:rsid w:val="008D3D8D"/>
    <w:rsid w:val="008E15B0"/>
    <w:rsid w:val="008F240A"/>
    <w:rsid w:val="008F564B"/>
    <w:rsid w:val="009211A8"/>
    <w:rsid w:val="009212DA"/>
    <w:rsid w:val="0092168B"/>
    <w:rsid w:val="009276D0"/>
    <w:rsid w:val="00933C22"/>
    <w:rsid w:val="009416B4"/>
    <w:rsid w:val="00942671"/>
    <w:rsid w:val="009449DD"/>
    <w:rsid w:val="009549CF"/>
    <w:rsid w:val="00964D1A"/>
    <w:rsid w:val="009A060A"/>
    <w:rsid w:val="009A43E7"/>
    <w:rsid w:val="009B2A88"/>
    <w:rsid w:val="009B3E7B"/>
    <w:rsid w:val="009B73C7"/>
    <w:rsid w:val="009C6663"/>
    <w:rsid w:val="009D1B40"/>
    <w:rsid w:val="009D1D31"/>
    <w:rsid w:val="009D2441"/>
    <w:rsid w:val="009D67BE"/>
    <w:rsid w:val="009E2B39"/>
    <w:rsid w:val="009E464A"/>
    <w:rsid w:val="009F3881"/>
    <w:rsid w:val="00A0164C"/>
    <w:rsid w:val="00A026F3"/>
    <w:rsid w:val="00A11C47"/>
    <w:rsid w:val="00A11E85"/>
    <w:rsid w:val="00A12DB5"/>
    <w:rsid w:val="00A233D4"/>
    <w:rsid w:val="00A23CB5"/>
    <w:rsid w:val="00A30403"/>
    <w:rsid w:val="00A4253F"/>
    <w:rsid w:val="00A445BC"/>
    <w:rsid w:val="00A51DFB"/>
    <w:rsid w:val="00A52B88"/>
    <w:rsid w:val="00A54D8B"/>
    <w:rsid w:val="00A5762B"/>
    <w:rsid w:val="00A6174F"/>
    <w:rsid w:val="00A702AD"/>
    <w:rsid w:val="00A75CE6"/>
    <w:rsid w:val="00A75D68"/>
    <w:rsid w:val="00A77EE3"/>
    <w:rsid w:val="00A80D59"/>
    <w:rsid w:val="00A879B9"/>
    <w:rsid w:val="00A97718"/>
    <w:rsid w:val="00AA58FE"/>
    <w:rsid w:val="00AC0D10"/>
    <w:rsid w:val="00AE0F28"/>
    <w:rsid w:val="00AE4211"/>
    <w:rsid w:val="00AE4492"/>
    <w:rsid w:val="00AE4DBD"/>
    <w:rsid w:val="00AE6EA9"/>
    <w:rsid w:val="00B009F1"/>
    <w:rsid w:val="00B1152F"/>
    <w:rsid w:val="00B12AC4"/>
    <w:rsid w:val="00B14895"/>
    <w:rsid w:val="00B14EF3"/>
    <w:rsid w:val="00B150E4"/>
    <w:rsid w:val="00B1566C"/>
    <w:rsid w:val="00B1779A"/>
    <w:rsid w:val="00B1787F"/>
    <w:rsid w:val="00B17DEB"/>
    <w:rsid w:val="00B20948"/>
    <w:rsid w:val="00B21624"/>
    <w:rsid w:val="00B23E9F"/>
    <w:rsid w:val="00B27B09"/>
    <w:rsid w:val="00B33D58"/>
    <w:rsid w:val="00B37446"/>
    <w:rsid w:val="00B37674"/>
    <w:rsid w:val="00B40A04"/>
    <w:rsid w:val="00B429BC"/>
    <w:rsid w:val="00B42D48"/>
    <w:rsid w:val="00B44BC8"/>
    <w:rsid w:val="00B45009"/>
    <w:rsid w:val="00B457A5"/>
    <w:rsid w:val="00B4610D"/>
    <w:rsid w:val="00B60B0C"/>
    <w:rsid w:val="00B63C43"/>
    <w:rsid w:val="00B70F52"/>
    <w:rsid w:val="00B75DFA"/>
    <w:rsid w:val="00B76A03"/>
    <w:rsid w:val="00B8285F"/>
    <w:rsid w:val="00B86C16"/>
    <w:rsid w:val="00B91F84"/>
    <w:rsid w:val="00B97EF9"/>
    <w:rsid w:val="00BA3B3D"/>
    <w:rsid w:val="00BA5FDE"/>
    <w:rsid w:val="00BB076D"/>
    <w:rsid w:val="00BB1502"/>
    <w:rsid w:val="00BB5F3B"/>
    <w:rsid w:val="00BC3AFA"/>
    <w:rsid w:val="00BD1CCD"/>
    <w:rsid w:val="00BD3559"/>
    <w:rsid w:val="00BD4BC2"/>
    <w:rsid w:val="00BD7126"/>
    <w:rsid w:val="00BF029C"/>
    <w:rsid w:val="00BF3184"/>
    <w:rsid w:val="00C00F03"/>
    <w:rsid w:val="00C0190B"/>
    <w:rsid w:val="00C0674F"/>
    <w:rsid w:val="00C1194F"/>
    <w:rsid w:val="00C12B83"/>
    <w:rsid w:val="00C14C39"/>
    <w:rsid w:val="00C21400"/>
    <w:rsid w:val="00C355DB"/>
    <w:rsid w:val="00C43FF7"/>
    <w:rsid w:val="00C4517E"/>
    <w:rsid w:val="00C46FEE"/>
    <w:rsid w:val="00C56D02"/>
    <w:rsid w:val="00C62125"/>
    <w:rsid w:val="00C73284"/>
    <w:rsid w:val="00C75231"/>
    <w:rsid w:val="00C86D63"/>
    <w:rsid w:val="00C9441F"/>
    <w:rsid w:val="00CA111B"/>
    <w:rsid w:val="00CB4A64"/>
    <w:rsid w:val="00CB67F5"/>
    <w:rsid w:val="00CC4D74"/>
    <w:rsid w:val="00CC5780"/>
    <w:rsid w:val="00CC60B5"/>
    <w:rsid w:val="00CE55D8"/>
    <w:rsid w:val="00CE6626"/>
    <w:rsid w:val="00CF1419"/>
    <w:rsid w:val="00CF7AFA"/>
    <w:rsid w:val="00D02964"/>
    <w:rsid w:val="00D040F2"/>
    <w:rsid w:val="00D05020"/>
    <w:rsid w:val="00D1747A"/>
    <w:rsid w:val="00D2146E"/>
    <w:rsid w:val="00D22041"/>
    <w:rsid w:val="00D25F03"/>
    <w:rsid w:val="00D3260E"/>
    <w:rsid w:val="00D35920"/>
    <w:rsid w:val="00D36C72"/>
    <w:rsid w:val="00D37AC1"/>
    <w:rsid w:val="00D44365"/>
    <w:rsid w:val="00D45AC3"/>
    <w:rsid w:val="00D63806"/>
    <w:rsid w:val="00D63877"/>
    <w:rsid w:val="00D714A0"/>
    <w:rsid w:val="00D73B9B"/>
    <w:rsid w:val="00D74445"/>
    <w:rsid w:val="00D87E2D"/>
    <w:rsid w:val="00D91F4A"/>
    <w:rsid w:val="00D9340F"/>
    <w:rsid w:val="00D9575F"/>
    <w:rsid w:val="00D9683B"/>
    <w:rsid w:val="00DA5E93"/>
    <w:rsid w:val="00DB0BBA"/>
    <w:rsid w:val="00DB1324"/>
    <w:rsid w:val="00DB6481"/>
    <w:rsid w:val="00DC41A1"/>
    <w:rsid w:val="00DC43BB"/>
    <w:rsid w:val="00DC684C"/>
    <w:rsid w:val="00DD0F7C"/>
    <w:rsid w:val="00DD2EF2"/>
    <w:rsid w:val="00DD7F1F"/>
    <w:rsid w:val="00DE35F8"/>
    <w:rsid w:val="00DE57DC"/>
    <w:rsid w:val="00DE7DDB"/>
    <w:rsid w:val="00DF10D9"/>
    <w:rsid w:val="00DF514D"/>
    <w:rsid w:val="00DF64BF"/>
    <w:rsid w:val="00DF74C9"/>
    <w:rsid w:val="00E020D4"/>
    <w:rsid w:val="00E07477"/>
    <w:rsid w:val="00E144F6"/>
    <w:rsid w:val="00E145A2"/>
    <w:rsid w:val="00E155EA"/>
    <w:rsid w:val="00E17DDB"/>
    <w:rsid w:val="00E20293"/>
    <w:rsid w:val="00E215FC"/>
    <w:rsid w:val="00E36A5D"/>
    <w:rsid w:val="00E36E5A"/>
    <w:rsid w:val="00E42735"/>
    <w:rsid w:val="00E476DF"/>
    <w:rsid w:val="00E56604"/>
    <w:rsid w:val="00E678F0"/>
    <w:rsid w:val="00E70FD7"/>
    <w:rsid w:val="00E711BA"/>
    <w:rsid w:val="00E84831"/>
    <w:rsid w:val="00E86CBD"/>
    <w:rsid w:val="00E95558"/>
    <w:rsid w:val="00E97A53"/>
    <w:rsid w:val="00EA1385"/>
    <w:rsid w:val="00EA185A"/>
    <w:rsid w:val="00EB00A3"/>
    <w:rsid w:val="00EB18F3"/>
    <w:rsid w:val="00EB618C"/>
    <w:rsid w:val="00ED6028"/>
    <w:rsid w:val="00ED6E75"/>
    <w:rsid w:val="00EE06CA"/>
    <w:rsid w:val="00EE1391"/>
    <w:rsid w:val="00EE77FF"/>
    <w:rsid w:val="00EE78A8"/>
    <w:rsid w:val="00EF0038"/>
    <w:rsid w:val="00EF01F4"/>
    <w:rsid w:val="00EF74A6"/>
    <w:rsid w:val="00F0304B"/>
    <w:rsid w:val="00F12CCB"/>
    <w:rsid w:val="00F1731E"/>
    <w:rsid w:val="00F3052C"/>
    <w:rsid w:val="00F30A88"/>
    <w:rsid w:val="00F319AD"/>
    <w:rsid w:val="00F40FA5"/>
    <w:rsid w:val="00F45108"/>
    <w:rsid w:val="00F573F5"/>
    <w:rsid w:val="00F62884"/>
    <w:rsid w:val="00F63B88"/>
    <w:rsid w:val="00F7229C"/>
    <w:rsid w:val="00F731E0"/>
    <w:rsid w:val="00F73D19"/>
    <w:rsid w:val="00F84AFE"/>
    <w:rsid w:val="00F94C9C"/>
    <w:rsid w:val="00FA08CC"/>
    <w:rsid w:val="00FA21D8"/>
    <w:rsid w:val="00FA3B3E"/>
    <w:rsid w:val="00FA49B3"/>
    <w:rsid w:val="00FB3F70"/>
    <w:rsid w:val="00FB54E9"/>
    <w:rsid w:val="00FB55BC"/>
    <w:rsid w:val="00FC3DD3"/>
    <w:rsid w:val="00FC7A8A"/>
    <w:rsid w:val="00FE1E7D"/>
    <w:rsid w:val="00FE4C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B8"/>
    <w:rPr>
      <w:rFonts w:ascii="Times New Roman" w:hAnsi="Times New Roman"/>
      <w:sz w:val="24"/>
      <w:szCs w:val="24"/>
    </w:rPr>
  </w:style>
  <w:style w:type="paragraph" w:styleId="Heading1">
    <w:name w:val="heading 1"/>
    <w:basedOn w:val="Normal"/>
    <w:link w:val="Heading1Char"/>
    <w:uiPriority w:val="99"/>
    <w:qFormat/>
    <w:locked/>
    <w:rsid w:val="008969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3AFA"/>
    <w:rPr>
      <w:rFonts w:ascii="Cambria" w:hAnsi="Cambria" w:cs="Times New Roman"/>
      <w:b/>
      <w:bCs/>
      <w:kern w:val="32"/>
      <w:sz w:val="32"/>
      <w:szCs w:val="32"/>
    </w:rPr>
  </w:style>
  <w:style w:type="paragraph" w:styleId="BalloonText">
    <w:name w:val="Balloon Text"/>
    <w:basedOn w:val="Normal"/>
    <w:link w:val="BalloonTextChar"/>
    <w:uiPriority w:val="99"/>
    <w:semiHidden/>
    <w:rsid w:val="00B8285F"/>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locked/>
    <w:rsid w:val="00B8285F"/>
    <w:rPr>
      <w:rFonts w:ascii="Lucida Grande" w:hAnsi="Lucida Grande" w:cs="Lucida Grande"/>
      <w:sz w:val="18"/>
      <w:szCs w:val="18"/>
    </w:rPr>
  </w:style>
  <w:style w:type="character" w:styleId="PageNumber">
    <w:name w:val="page number"/>
    <w:basedOn w:val="DefaultParagraphFont"/>
    <w:uiPriority w:val="99"/>
    <w:rsid w:val="007A6EB8"/>
    <w:rPr>
      <w:rFonts w:cs="Times New Roman"/>
    </w:rPr>
  </w:style>
  <w:style w:type="paragraph" w:styleId="Footer">
    <w:name w:val="footer"/>
    <w:basedOn w:val="Normal"/>
    <w:link w:val="FooterChar"/>
    <w:uiPriority w:val="99"/>
    <w:rsid w:val="007A6EB8"/>
    <w:pPr>
      <w:tabs>
        <w:tab w:val="center" w:pos="4320"/>
        <w:tab w:val="right" w:pos="8640"/>
      </w:tabs>
    </w:pPr>
  </w:style>
  <w:style w:type="character" w:customStyle="1" w:styleId="FooterChar">
    <w:name w:val="Footer Char"/>
    <w:basedOn w:val="DefaultParagraphFont"/>
    <w:link w:val="Footer"/>
    <w:uiPriority w:val="99"/>
    <w:locked/>
    <w:rsid w:val="007A6EB8"/>
    <w:rPr>
      <w:rFonts w:ascii="Times New Roman" w:eastAsia="MS Minngs" w:hAnsi="Times New Roman" w:cs="Times New Roman"/>
      <w:lang w:eastAsia="en-GB"/>
    </w:rPr>
  </w:style>
  <w:style w:type="paragraph" w:styleId="FootnoteText">
    <w:name w:val="footnote text"/>
    <w:basedOn w:val="Normal"/>
    <w:link w:val="FootnoteTextChar"/>
    <w:uiPriority w:val="99"/>
    <w:rsid w:val="007906A6"/>
    <w:rPr>
      <w:rFonts w:ascii="Calibri" w:hAnsi="Calibri" w:cs="Calibri"/>
      <w:sz w:val="20"/>
      <w:szCs w:val="20"/>
      <w:lang w:eastAsia="en-US"/>
    </w:rPr>
  </w:style>
  <w:style w:type="character" w:customStyle="1" w:styleId="FootnoteTextChar">
    <w:name w:val="Footnote Text Char"/>
    <w:basedOn w:val="DefaultParagraphFont"/>
    <w:link w:val="FootnoteText"/>
    <w:uiPriority w:val="99"/>
    <w:locked/>
    <w:rsid w:val="007906A6"/>
    <w:rPr>
      <w:rFonts w:ascii="Calibri" w:hAnsi="Calibri" w:cs="Calibri"/>
      <w:sz w:val="20"/>
      <w:szCs w:val="20"/>
    </w:rPr>
  </w:style>
  <w:style w:type="character" w:styleId="FootnoteReference">
    <w:name w:val="footnote reference"/>
    <w:basedOn w:val="DefaultParagraphFont"/>
    <w:uiPriority w:val="99"/>
    <w:rsid w:val="007906A6"/>
    <w:rPr>
      <w:rFonts w:cs="Times New Roman"/>
      <w:vertAlign w:val="superscript"/>
    </w:rPr>
  </w:style>
  <w:style w:type="paragraph" w:styleId="CommentText">
    <w:name w:val="annotation text"/>
    <w:basedOn w:val="Normal"/>
    <w:link w:val="CommentTextChar"/>
    <w:uiPriority w:val="99"/>
    <w:semiHidden/>
    <w:rsid w:val="00D63806"/>
  </w:style>
  <w:style w:type="character" w:customStyle="1" w:styleId="CommentTextChar">
    <w:name w:val="Comment Text Char"/>
    <w:basedOn w:val="DefaultParagraphFont"/>
    <w:link w:val="CommentText"/>
    <w:uiPriority w:val="99"/>
    <w:semiHidden/>
    <w:locked/>
    <w:rsid w:val="00D63806"/>
    <w:rPr>
      <w:rFonts w:ascii="Times New Roman" w:eastAsia="MS Minngs" w:hAnsi="Times New Roman" w:cs="Times New Roman"/>
      <w:lang w:eastAsia="en-GB"/>
    </w:rPr>
  </w:style>
  <w:style w:type="paragraph" w:styleId="CommentSubject">
    <w:name w:val="annotation subject"/>
    <w:basedOn w:val="CommentText"/>
    <w:next w:val="CommentText"/>
    <w:link w:val="CommentSubjectChar"/>
    <w:uiPriority w:val="99"/>
    <w:semiHidden/>
    <w:rsid w:val="00D63806"/>
    <w:rPr>
      <w:b/>
      <w:bCs/>
      <w:sz w:val="20"/>
      <w:szCs w:val="20"/>
    </w:rPr>
  </w:style>
  <w:style w:type="character" w:customStyle="1" w:styleId="CommentSubjectChar">
    <w:name w:val="Comment Subject Char"/>
    <w:basedOn w:val="CommentTextChar"/>
    <w:link w:val="CommentSubject"/>
    <w:uiPriority w:val="99"/>
    <w:semiHidden/>
    <w:locked/>
    <w:rsid w:val="00D63806"/>
    <w:rPr>
      <w:rFonts w:ascii="Times New Roman" w:eastAsia="MS Minngs" w:hAnsi="Times New Roman" w:cs="Times New Roman"/>
      <w:b/>
      <w:bCs/>
      <w:sz w:val="20"/>
      <w:szCs w:val="20"/>
      <w:lang w:eastAsia="en-GB"/>
    </w:rPr>
  </w:style>
  <w:style w:type="character" w:styleId="Hyperlink">
    <w:name w:val="Hyperlink"/>
    <w:basedOn w:val="DefaultParagraphFont"/>
    <w:uiPriority w:val="99"/>
    <w:rsid w:val="00D63806"/>
    <w:rPr>
      <w:rFonts w:cs="Times New Roman"/>
      <w:color w:val="0000FF"/>
      <w:u w:val="single"/>
    </w:rPr>
  </w:style>
  <w:style w:type="paragraph" w:styleId="EndnoteText">
    <w:name w:val="endnote text"/>
    <w:basedOn w:val="Normal"/>
    <w:link w:val="EndnoteTextChar"/>
    <w:uiPriority w:val="99"/>
    <w:rsid w:val="00D63806"/>
  </w:style>
  <w:style w:type="character" w:customStyle="1" w:styleId="EndnoteTextChar">
    <w:name w:val="Endnote Text Char"/>
    <w:basedOn w:val="DefaultParagraphFont"/>
    <w:link w:val="EndnoteText"/>
    <w:uiPriority w:val="99"/>
    <w:locked/>
    <w:rsid w:val="00D63806"/>
    <w:rPr>
      <w:rFonts w:ascii="Times New Roman" w:hAnsi="Times New Roman" w:cs="Times New Roman"/>
      <w:lang w:eastAsia="en-GB"/>
    </w:rPr>
  </w:style>
  <w:style w:type="character" w:styleId="EndnoteReference">
    <w:name w:val="endnote reference"/>
    <w:basedOn w:val="DefaultParagraphFont"/>
    <w:uiPriority w:val="99"/>
    <w:rsid w:val="00D63806"/>
    <w:rPr>
      <w:rFonts w:cs="Times New Roman"/>
      <w:vertAlign w:val="superscript"/>
    </w:rPr>
  </w:style>
  <w:style w:type="character" w:styleId="Emphasis">
    <w:name w:val="Emphasis"/>
    <w:basedOn w:val="DefaultParagraphFont"/>
    <w:uiPriority w:val="99"/>
    <w:qFormat/>
    <w:rsid w:val="00D63806"/>
    <w:rPr>
      <w:rFonts w:cs="Times New Roman"/>
      <w:i/>
    </w:rPr>
  </w:style>
  <w:style w:type="character" w:customStyle="1" w:styleId="apple-style-span">
    <w:name w:val="apple-style-span"/>
    <w:basedOn w:val="DefaultParagraphFont"/>
    <w:uiPriority w:val="99"/>
    <w:rsid w:val="00D63806"/>
    <w:rPr>
      <w:rFonts w:cs="Times New Roman"/>
    </w:rPr>
  </w:style>
  <w:style w:type="paragraph" w:styleId="NoSpacing">
    <w:name w:val="No Spacing"/>
    <w:uiPriority w:val="99"/>
    <w:qFormat/>
    <w:rsid w:val="00D63806"/>
    <w:rPr>
      <w:rFonts w:ascii="Arial" w:hAnsi="Arial"/>
      <w:sz w:val="20"/>
      <w:szCs w:val="24"/>
    </w:rPr>
  </w:style>
  <w:style w:type="character" w:customStyle="1" w:styleId="apple-converted-space">
    <w:name w:val="apple-converted-space"/>
    <w:basedOn w:val="DefaultParagraphFont"/>
    <w:uiPriority w:val="99"/>
    <w:rsid w:val="00D63806"/>
    <w:rPr>
      <w:rFonts w:cs="Times New Roman"/>
    </w:rPr>
  </w:style>
  <w:style w:type="paragraph" w:styleId="HTMLPreformatted">
    <w:name w:val="HTML Preformatted"/>
    <w:basedOn w:val="Normal"/>
    <w:link w:val="HTMLPreformattedChar"/>
    <w:uiPriority w:val="99"/>
    <w:rsid w:val="00D8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07352"/>
    <w:rPr>
      <w:rFonts w:ascii="Courier New" w:hAnsi="Courier New" w:cs="Courier New"/>
      <w:sz w:val="20"/>
      <w:szCs w:val="20"/>
    </w:rPr>
  </w:style>
  <w:style w:type="character" w:styleId="CommentReference">
    <w:name w:val="annotation reference"/>
    <w:basedOn w:val="DefaultParagraphFont"/>
    <w:uiPriority w:val="99"/>
    <w:semiHidden/>
    <w:rsid w:val="00DB6481"/>
    <w:rPr>
      <w:rFonts w:cs="Times New Roman"/>
      <w:sz w:val="16"/>
      <w:szCs w:val="16"/>
    </w:rPr>
  </w:style>
  <w:style w:type="paragraph" w:styleId="BodyText">
    <w:name w:val="Body Text"/>
    <w:basedOn w:val="Normal"/>
    <w:link w:val="BodyTextChar"/>
    <w:uiPriority w:val="99"/>
    <w:rsid w:val="0046001D"/>
    <w:pPr>
      <w:spacing w:after="120"/>
    </w:pPr>
  </w:style>
  <w:style w:type="character" w:customStyle="1" w:styleId="BodyTextChar">
    <w:name w:val="Body Text Char"/>
    <w:basedOn w:val="DefaultParagraphFont"/>
    <w:link w:val="BodyText"/>
    <w:uiPriority w:val="99"/>
    <w:semiHidden/>
    <w:locked/>
    <w:rsid w:val="00F319AD"/>
    <w:rPr>
      <w:rFonts w:ascii="Times New Roman" w:hAnsi="Times New Roman" w:cs="Times New Roman"/>
      <w:sz w:val="24"/>
      <w:szCs w:val="24"/>
    </w:rPr>
  </w:style>
  <w:style w:type="character" w:styleId="Strong">
    <w:name w:val="Strong"/>
    <w:basedOn w:val="DefaultParagraphFont"/>
    <w:uiPriority w:val="99"/>
    <w:qFormat/>
    <w:locked/>
    <w:rsid w:val="00520206"/>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B8"/>
    <w:rPr>
      <w:rFonts w:ascii="Times New Roman" w:hAnsi="Times New Roman"/>
      <w:sz w:val="24"/>
      <w:szCs w:val="24"/>
    </w:rPr>
  </w:style>
  <w:style w:type="paragraph" w:styleId="Heading1">
    <w:name w:val="heading 1"/>
    <w:basedOn w:val="Normal"/>
    <w:link w:val="Heading1Char"/>
    <w:uiPriority w:val="99"/>
    <w:qFormat/>
    <w:locked/>
    <w:rsid w:val="008969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3AFA"/>
    <w:rPr>
      <w:rFonts w:ascii="Cambria" w:hAnsi="Cambria" w:cs="Times New Roman"/>
      <w:b/>
      <w:bCs/>
      <w:kern w:val="32"/>
      <w:sz w:val="32"/>
      <w:szCs w:val="32"/>
    </w:rPr>
  </w:style>
  <w:style w:type="paragraph" w:styleId="BalloonText">
    <w:name w:val="Balloon Text"/>
    <w:basedOn w:val="Normal"/>
    <w:link w:val="BalloonTextChar"/>
    <w:uiPriority w:val="99"/>
    <w:semiHidden/>
    <w:rsid w:val="00B8285F"/>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locked/>
    <w:rsid w:val="00B8285F"/>
    <w:rPr>
      <w:rFonts w:ascii="Lucida Grande" w:hAnsi="Lucida Grande" w:cs="Lucida Grande"/>
      <w:sz w:val="18"/>
      <w:szCs w:val="18"/>
    </w:rPr>
  </w:style>
  <w:style w:type="character" w:styleId="PageNumber">
    <w:name w:val="page number"/>
    <w:basedOn w:val="DefaultParagraphFont"/>
    <w:uiPriority w:val="99"/>
    <w:rsid w:val="007A6EB8"/>
    <w:rPr>
      <w:rFonts w:cs="Times New Roman"/>
    </w:rPr>
  </w:style>
  <w:style w:type="paragraph" w:styleId="Footer">
    <w:name w:val="footer"/>
    <w:basedOn w:val="Normal"/>
    <w:link w:val="FooterChar"/>
    <w:uiPriority w:val="99"/>
    <w:rsid w:val="007A6EB8"/>
    <w:pPr>
      <w:tabs>
        <w:tab w:val="center" w:pos="4320"/>
        <w:tab w:val="right" w:pos="8640"/>
      </w:tabs>
    </w:pPr>
  </w:style>
  <w:style w:type="character" w:customStyle="1" w:styleId="FooterChar">
    <w:name w:val="Footer Char"/>
    <w:basedOn w:val="DefaultParagraphFont"/>
    <w:link w:val="Footer"/>
    <w:uiPriority w:val="99"/>
    <w:locked/>
    <w:rsid w:val="007A6EB8"/>
    <w:rPr>
      <w:rFonts w:ascii="Times New Roman" w:eastAsia="MS Minngs" w:hAnsi="Times New Roman" w:cs="Times New Roman"/>
      <w:lang w:eastAsia="en-GB"/>
    </w:rPr>
  </w:style>
  <w:style w:type="paragraph" w:styleId="FootnoteText">
    <w:name w:val="footnote text"/>
    <w:basedOn w:val="Normal"/>
    <w:link w:val="FootnoteTextChar"/>
    <w:uiPriority w:val="99"/>
    <w:rsid w:val="007906A6"/>
    <w:rPr>
      <w:rFonts w:ascii="Calibri" w:hAnsi="Calibri" w:cs="Calibri"/>
      <w:sz w:val="20"/>
      <w:szCs w:val="20"/>
      <w:lang w:eastAsia="en-US"/>
    </w:rPr>
  </w:style>
  <w:style w:type="character" w:customStyle="1" w:styleId="FootnoteTextChar">
    <w:name w:val="Footnote Text Char"/>
    <w:basedOn w:val="DefaultParagraphFont"/>
    <w:link w:val="FootnoteText"/>
    <w:uiPriority w:val="99"/>
    <w:locked/>
    <w:rsid w:val="007906A6"/>
    <w:rPr>
      <w:rFonts w:ascii="Calibri" w:hAnsi="Calibri" w:cs="Calibri"/>
      <w:sz w:val="20"/>
      <w:szCs w:val="20"/>
    </w:rPr>
  </w:style>
  <w:style w:type="character" w:styleId="FootnoteReference">
    <w:name w:val="footnote reference"/>
    <w:basedOn w:val="DefaultParagraphFont"/>
    <w:uiPriority w:val="99"/>
    <w:rsid w:val="007906A6"/>
    <w:rPr>
      <w:rFonts w:cs="Times New Roman"/>
      <w:vertAlign w:val="superscript"/>
    </w:rPr>
  </w:style>
  <w:style w:type="paragraph" w:styleId="CommentText">
    <w:name w:val="annotation text"/>
    <w:basedOn w:val="Normal"/>
    <w:link w:val="CommentTextChar"/>
    <w:uiPriority w:val="99"/>
    <w:semiHidden/>
    <w:rsid w:val="00D63806"/>
  </w:style>
  <w:style w:type="character" w:customStyle="1" w:styleId="CommentTextChar">
    <w:name w:val="Comment Text Char"/>
    <w:basedOn w:val="DefaultParagraphFont"/>
    <w:link w:val="CommentText"/>
    <w:uiPriority w:val="99"/>
    <w:semiHidden/>
    <w:locked/>
    <w:rsid w:val="00D63806"/>
    <w:rPr>
      <w:rFonts w:ascii="Times New Roman" w:eastAsia="MS Minngs" w:hAnsi="Times New Roman" w:cs="Times New Roman"/>
      <w:lang w:eastAsia="en-GB"/>
    </w:rPr>
  </w:style>
  <w:style w:type="paragraph" w:styleId="CommentSubject">
    <w:name w:val="annotation subject"/>
    <w:basedOn w:val="CommentText"/>
    <w:next w:val="CommentText"/>
    <w:link w:val="CommentSubjectChar"/>
    <w:uiPriority w:val="99"/>
    <w:semiHidden/>
    <w:rsid w:val="00D63806"/>
    <w:rPr>
      <w:b/>
      <w:bCs/>
      <w:sz w:val="20"/>
      <w:szCs w:val="20"/>
    </w:rPr>
  </w:style>
  <w:style w:type="character" w:customStyle="1" w:styleId="CommentSubjectChar">
    <w:name w:val="Comment Subject Char"/>
    <w:basedOn w:val="CommentTextChar"/>
    <w:link w:val="CommentSubject"/>
    <w:uiPriority w:val="99"/>
    <w:semiHidden/>
    <w:locked/>
    <w:rsid w:val="00D63806"/>
    <w:rPr>
      <w:rFonts w:ascii="Times New Roman" w:eastAsia="MS Minngs" w:hAnsi="Times New Roman" w:cs="Times New Roman"/>
      <w:b/>
      <w:bCs/>
      <w:sz w:val="20"/>
      <w:szCs w:val="20"/>
      <w:lang w:eastAsia="en-GB"/>
    </w:rPr>
  </w:style>
  <w:style w:type="character" w:styleId="Hyperlink">
    <w:name w:val="Hyperlink"/>
    <w:basedOn w:val="DefaultParagraphFont"/>
    <w:uiPriority w:val="99"/>
    <w:rsid w:val="00D63806"/>
    <w:rPr>
      <w:rFonts w:cs="Times New Roman"/>
      <w:color w:val="0000FF"/>
      <w:u w:val="single"/>
    </w:rPr>
  </w:style>
  <w:style w:type="paragraph" w:styleId="EndnoteText">
    <w:name w:val="endnote text"/>
    <w:basedOn w:val="Normal"/>
    <w:link w:val="EndnoteTextChar"/>
    <w:uiPriority w:val="99"/>
    <w:rsid w:val="00D63806"/>
  </w:style>
  <w:style w:type="character" w:customStyle="1" w:styleId="EndnoteTextChar">
    <w:name w:val="Endnote Text Char"/>
    <w:basedOn w:val="DefaultParagraphFont"/>
    <w:link w:val="EndnoteText"/>
    <w:uiPriority w:val="99"/>
    <w:locked/>
    <w:rsid w:val="00D63806"/>
    <w:rPr>
      <w:rFonts w:ascii="Times New Roman" w:hAnsi="Times New Roman" w:cs="Times New Roman"/>
      <w:lang w:eastAsia="en-GB"/>
    </w:rPr>
  </w:style>
  <w:style w:type="character" w:styleId="EndnoteReference">
    <w:name w:val="endnote reference"/>
    <w:basedOn w:val="DefaultParagraphFont"/>
    <w:uiPriority w:val="99"/>
    <w:rsid w:val="00D63806"/>
    <w:rPr>
      <w:rFonts w:cs="Times New Roman"/>
      <w:vertAlign w:val="superscript"/>
    </w:rPr>
  </w:style>
  <w:style w:type="character" w:styleId="Emphasis">
    <w:name w:val="Emphasis"/>
    <w:basedOn w:val="DefaultParagraphFont"/>
    <w:uiPriority w:val="99"/>
    <w:qFormat/>
    <w:rsid w:val="00D63806"/>
    <w:rPr>
      <w:rFonts w:cs="Times New Roman"/>
      <w:i/>
    </w:rPr>
  </w:style>
  <w:style w:type="character" w:customStyle="1" w:styleId="apple-style-span">
    <w:name w:val="apple-style-span"/>
    <w:basedOn w:val="DefaultParagraphFont"/>
    <w:uiPriority w:val="99"/>
    <w:rsid w:val="00D63806"/>
    <w:rPr>
      <w:rFonts w:cs="Times New Roman"/>
    </w:rPr>
  </w:style>
  <w:style w:type="paragraph" w:styleId="NoSpacing">
    <w:name w:val="No Spacing"/>
    <w:uiPriority w:val="99"/>
    <w:qFormat/>
    <w:rsid w:val="00D63806"/>
    <w:rPr>
      <w:rFonts w:ascii="Arial" w:hAnsi="Arial"/>
      <w:sz w:val="20"/>
      <w:szCs w:val="24"/>
    </w:rPr>
  </w:style>
  <w:style w:type="character" w:customStyle="1" w:styleId="apple-converted-space">
    <w:name w:val="apple-converted-space"/>
    <w:basedOn w:val="DefaultParagraphFont"/>
    <w:uiPriority w:val="99"/>
    <w:rsid w:val="00D63806"/>
    <w:rPr>
      <w:rFonts w:cs="Times New Roman"/>
    </w:rPr>
  </w:style>
  <w:style w:type="paragraph" w:styleId="HTMLPreformatted">
    <w:name w:val="HTML Preformatted"/>
    <w:basedOn w:val="Normal"/>
    <w:link w:val="HTMLPreformattedChar"/>
    <w:uiPriority w:val="99"/>
    <w:rsid w:val="00D8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07352"/>
    <w:rPr>
      <w:rFonts w:ascii="Courier New" w:hAnsi="Courier New" w:cs="Courier New"/>
      <w:sz w:val="20"/>
      <w:szCs w:val="20"/>
    </w:rPr>
  </w:style>
  <w:style w:type="character" w:styleId="CommentReference">
    <w:name w:val="annotation reference"/>
    <w:basedOn w:val="DefaultParagraphFont"/>
    <w:uiPriority w:val="99"/>
    <w:semiHidden/>
    <w:rsid w:val="00DB6481"/>
    <w:rPr>
      <w:rFonts w:cs="Times New Roman"/>
      <w:sz w:val="16"/>
      <w:szCs w:val="16"/>
    </w:rPr>
  </w:style>
  <w:style w:type="paragraph" w:styleId="BodyText">
    <w:name w:val="Body Text"/>
    <w:basedOn w:val="Normal"/>
    <w:link w:val="BodyTextChar"/>
    <w:uiPriority w:val="99"/>
    <w:rsid w:val="0046001D"/>
    <w:pPr>
      <w:spacing w:after="120"/>
    </w:pPr>
  </w:style>
  <w:style w:type="character" w:customStyle="1" w:styleId="BodyTextChar">
    <w:name w:val="Body Text Char"/>
    <w:basedOn w:val="DefaultParagraphFont"/>
    <w:link w:val="BodyText"/>
    <w:uiPriority w:val="99"/>
    <w:semiHidden/>
    <w:locked/>
    <w:rsid w:val="00F319AD"/>
    <w:rPr>
      <w:rFonts w:ascii="Times New Roman" w:hAnsi="Times New Roman" w:cs="Times New Roman"/>
      <w:sz w:val="24"/>
      <w:szCs w:val="24"/>
    </w:rPr>
  </w:style>
  <w:style w:type="character" w:styleId="Strong">
    <w:name w:val="Strong"/>
    <w:basedOn w:val="DefaultParagraphFont"/>
    <w:uiPriority w:val="99"/>
    <w:qFormat/>
    <w:locked/>
    <w:rsid w:val="0052020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581">
      <w:marLeft w:val="0"/>
      <w:marRight w:val="0"/>
      <w:marTop w:val="0"/>
      <w:marBottom w:val="0"/>
      <w:divBdr>
        <w:top w:val="none" w:sz="0" w:space="0" w:color="auto"/>
        <w:left w:val="none" w:sz="0" w:space="0" w:color="auto"/>
        <w:bottom w:val="none" w:sz="0" w:space="0" w:color="auto"/>
        <w:right w:val="none" w:sz="0" w:space="0" w:color="auto"/>
      </w:divBdr>
    </w:div>
    <w:div w:id="79563582">
      <w:marLeft w:val="0"/>
      <w:marRight w:val="0"/>
      <w:marTop w:val="0"/>
      <w:marBottom w:val="0"/>
      <w:divBdr>
        <w:top w:val="none" w:sz="0" w:space="0" w:color="auto"/>
        <w:left w:val="none" w:sz="0" w:space="0" w:color="auto"/>
        <w:bottom w:val="none" w:sz="0" w:space="0" w:color="auto"/>
        <w:right w:val="none" w:sz="0" w:space="0" w:color="auto"/>
      </w:divBdr>
    </w:div>
    <w:div w:id="79563583">
      <w:marLeft w:val="0"/>
      <w:marRight w:val="0"/>
      <w:marTop w:val="0"/>
      <w:marBottom w:val="0"/>
      <w:divBdr>
        <w:top w:val="none" w:sz="0" w:space="0" w:color="auto"/>
        <w:left w:val="none" w:sz="0" w:space="0" w:color="auto"/>
        <w:bottom w:val="none" w:sz="0" w:space="0" w:color="auto"/>
        <w:right w:val="none" w:sz="0" w:space="0" w:color="auto"/>
      </w:divBdr>
    </w:div>
    <w:div w:id="79563584">
      <w:marLeft w:val="0"/>
      <w:marRight w:val="0"/>
      <w:marTop w:val="0"/>
      <w:marBottom w:val="0"/>
      <w:divBdr>
        <w:top w:val="none" w:sz="0" w:space="0" w:color="auto"/>
        <w:left w:val="none" w:sz="0" w:space="0" w:color="auto"/>
        <w:bottom w:val="none" w:sz="0" w:space="0" w:color="auto"/>
        <w:right w:val="none" w:sz="0" w:space="0" w:color="auto"/>
      </w:divBdr>
    </w:div>
    <w:div w:id="795635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d.castiglione@exeter.ac.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databank.worldbank.org/ddp/home.do?Step=12&amp;id=4&amp;CN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8249</Words>
  <Characters>47022</Characters>
  <Application>Microsoft Macintosh Word</Application>
  <DocSecurity>0</DocSecurity>
  <Lines>391</Lines>
  <Paragraphs>110</Paragraphs>
  <ScaleCrop>false</ScaleCrop>
  <Company/>
  <LinksUpToDate>false</LinksUpToDate>
  <CharactersWithSpaces>55161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models of Democracy, Political Community and Representation in the EU  </dc:title>
  <dc:subject/>
  <dc:creator>Dario Castiglione</dc:creator>
  <cp:keywords/>
  <dc:description/>
  <cp:lastModifiedBy>Dario Castiglione</cp:lastModifiedBy>
  <cp:revision>2</cp:revision>
  <cp:lastPrinted>2012-05-17T16:06:00Z</cp:lastPrinted>
  <dcterms:created xsi:type="dcterms:W3CDTF">2012-09-14T13:46:00Z</dcterms:created>
  <dcterms:modified xsi:type="dcterms:W3CDTF">2012-09-14T13:46:00Z</dcterms:modified>
</cp:coreProperties>
</file>