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AD" w:rsidRPr="00F55BE7" w:rsidRDefault="006D3EA7" w:rsidP="005718AD">
      <w:pPr>
        <w:jc w:val="center"/>
        <w:rPr>
          <w:rFonts w:ascii="Times New Roman" w:hAnsi="Times New Roman" w:cs="Times New Roman"/>
          <w:sz w:val="24"/>
          <w:szCs w:val="24"/>
          <w:u w:val="single"/>
        </w:rPr>
      </w:pPr>
      <w:r w:rsidRPr="00F55BE7">
        <w:rPr>
          <w:rFonts w:ascii="Times New Roman" w:hAnsi="Times New Roman" w:cs="Times New Roman"/>
          <w:sz w:val="24"/>
          <w:szCs w:val="24"/>
          <w:u w:val="single"/>
        </w:rPr>
        <w:t xml:space="preserve">Appendix </w:t>
      </w:r>
      <w:r w:rsidR="005718AD" w:rsidRPr="00F55BE7">
        <w:rPr>
          <w:rFonts w:ascii="Times New Roman" w:hAnsi="Times New Roman" w:cs="Times New Roman"/>
          <w:sz w:val="24"/>
          <w:szCs w:val="24"/>
          <w:u w:val="single"/>
        </w:rPr>
        <w:t xml:space="preserve">3: </w:t>
      </w:r>
      <w:r w:rsidR="00AD00EA">
        <w:rPr>
          <w:rFonts w:ascii="Times New Roman" w:hAnsi="Times New Roman" w:cs="Times New Roman"/>
          <w:sz w:val="24"/>
          <w:szCs w:val="24"/>
          <w:u w:val="single"/>
        </w:rPr>
        <w:t>I</w:t>
      </w:r>
      <w:r w:rsidR="007407F7" w:rsidRPr="00F55BE7">
        <w:rPr>
          <w:rFonts w:ascii="Times New Roman" w:hAnsi="Times New Roman" w:cs="Times New Roman"/>
          <w:sz w:val="24"/>
          <w:szCs w:val="24"/>
          <w:u w:val="single"/>
        </w:rPr>
        <w:t>ndicators for ni</w:t>
      </w:r>
      <w:bookmarkStart w:id="0" w:name="_GoBack"/>
      <w:bookmarkEnd w:id="0"/>
      <w:r w:rsidR="007407F7" w:rsidRPr="00F55BE7">
        <w:rPr>
          <w:rFonts w:ascii="Times New Roman" w:hAnsi="Times New Roman" w:cs="Times New Roman"/>
          <w:sz w:val="24"/>
          <w:szCs w:val="24"/>
          <w:u w:val="single"/>
        </w:rPr>
        <w:t>che conservatism</w:t>
      </w:r>
    </w:p>
    <w:p w:rsidR="00F55BE7" w:rsidRPr="006A7364" w:rsidRDefault="006A7364" w:rsidP="006A7364">
      <w:pPr>
        <w:rPr>
          <w:rFonts w:ascii="Times New Roman" w:hAnsi="Times New Roman" w:cs="Times New Roman"/>
          <w:sz w:val="24"/>
          <w:szCs w:val="24"/>
        </w:rPr>
      </w:pPr>
      <w:r w:rsidRPr="00F55BE7">
        <w:rPr>
          <w:rFonts w:ascii="Times New Roman" w:hAnsi="Times New Roman" w:cs="Times New Roman"/>
          <w:b/>
          <w:sz w:val="24"/>
          <w:szCs w:val="24"/>
        </w:rPr>
        <w:t>Table S3.1</w:t>
      </w:r>
      <w:r>
        <w:rPr>
          <w:rFonts w:ascii="Times New Roman" w:hAnsi="Times New Roman" w:cs="Times New Roman"/>
          <w:b/>
          <w:sz w:val="24"/>
          <w:szCs w:val="24"/>
        </w:rPr>
        <w:t>.</w:t>
      </w:r>
      <w:r>
        <w:rPr>
          <w:rFonts w:ascii="Times New Roman" w:hAnsi="Times New Roman" w:cs="Times New Roman"/>
          <w:sz w:val="24"/>
          <w:szCs w:val="24"/>
        </w:rPr>
        <w:t xml:space="preserve"> Correlations (Pearson’s r) between factors tested as indicators of niche conservatism.</w:t>
      </w:r>
    </w:p>
    <w:tbl>
      <w:tblPr>
        <w:tblW w:w="8649" w:type="dxa"/>
        <w:tblLook w:val="04A0" w:firstRow="1" w:lastRow="0" w:firstColumn="1" w:lastColumn="0" w:noHBand="0" w:noVBand="1"/>
      </w:tblPr>
      <w:tblGrid>
        <w:gridCol w:w="2340"/>
        <w:gridCol w:w="1080"/>
        <w:gridCol w:w="1440"/>
        <w:gridCol w:w="1255"/>
        <w:gridCol w:w="1400"/>
        <w:gridCol w:w="1134"/>
      </w:tblGrid>
      <w:tr w:rsidR="00AD00EA" w:rsidRPr="00F55BE7" w:rsidTr="00AD00EA">
        <w:trPr>
          <w:trHeight w:val="300"/>
        </w:trPr>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AD00EA" w:rsidRPr="00DB7655" w:rsidRDefault="00AD00EA" w:rsidP="00ED2D93">
            <w:pPr>
              <w:spacing w:after="0" w:line="240" w:lineRule="auto"/>
              <w:rPr>
                <w:rFonts w:ascii="Times New Roman" w:hAnsi="Times New Roman" w:cs="Times New Roman"/>
                <w:sz w:val="24"/>
                <w:szCs w:val="24"/>
                <w:lang w:val="en-GB" w:eastAsia="en-GB"/>
              </w:rPr>
            </w:pPr>
          </w:p>
        </w:tc>
        <w:tc>
          <w:tcPr>
            <w:tcW w:w="1080" w:type="dxa"/>
            <w:tcBorders>
              <w:top w:val="single" w:sz="4" w:space="0" w:color="auto"/>
              <w:left w:val="single" w:sz="4" w:space="0" w:color="auto"/>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Range size</w:t>
            </w:r>
          </w:p>
        </w:tc>
        <w:tc>
          <w:tcPr>
            <w:tcW w:w="1440" w:type="dxa"/>
            <w:tcBorders>
              <w:top w:val="single" w:sz="4" w:space="0" w:color="auto"/>
              <w:left w:val="nil"/>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Niche breadth</w:t>
            </w:r>
          </w:p>
        </w:tc>
        <w:tc>
          <w:tcPr>
            <w:tcW w:w="1255" w:type="dxa"/>
            <w:tcBorders>
              <w:top w:val="single" w:sz="4" w:space="0" w:color="auto"/>
              <w:left w:val="nil"/>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Marginality</w:t>
            </w:r>
          </w:p>
        </w:tc>
        <w:tc>
          <w:tcPr>
            <w:tcW w:w="1400" w:type="dxa"/>
            <w:tcBorders>
              <w:top w:val="single" w:sz="4" w:space="0" w:color="auto"/>
              <w:left w:val="nil"/>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Time since introduction</w:t>
            </w:r>
          </w:p>
        </w:tc>
        <w:tc>
          <w:tcPr>
            <w:tcW w:w="1134" w:type="dxa"/>
            <w:tcBorders>
              <w:top w:val="single" w:sz="4" w:space="0" w:color="auto"/>
              <w:left w:val="nil"/>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Dispersal</w:t>
            </w:r>
          </w:p>
        </w:tc>
      </w:tr>
      <w:tr w:rsidR="00AD00EA" w:rsidRPr="00DB7655" w:rsidTr="00AD00EA">
        <w:trPr>
          <w:trHeight w:val="300"/>
        </w:trPr>
        <w:tc>
          <w:tcPr>
            <w:tcW w:w="2340" w:type="dxa"/>
            <w:tcBorders>
              <w:top w:val="single" w:sz="4" w:space="0" w:color="auto"/>
              <w:left w:val="nil"/>
              <w:bottom w:val="nil"/>
              <w:right w:val="single" w:sz="4" w:space="0" w:color="auto"/>
            </w:tcBorders>
            <w:shd w:val="clear" w:color="auto" w:fill="auto"/>
            <w:noWrap/>
            <w:hideMark/>
          </w:tcPr>
          <w:p w:rsidR="00AD00EA" w:rsidRPr="00DB7655" w:rsidRDefault="00AD00EA" w:rsidP="00ED2D93">
            <w:pPr>
              <w:spacing w:after="0" w:line="240" w:lineRule="auto"/>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Niche breadth</w:t>
            </w:r>
          </w:p>
        </w:tc>
        <w:tc>
          <w:tcPr>
            <w:tcW w:w="1080" w:type="dxa"/>
            <w:tcBorders>
              <w:top w:val="single" w:sz="4" w:space="0" w:color="auto"/>
              <w:left w:val="single" w:sz="4" w:space="0" w:color="auto"/>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0.453</w:t>
            </w:r>
          </w:p>
        </w:tc>
        <w:tc>
          <w:tcPr>
            <w:tcW w:w="1440" w:type="dxa"/>
            <w:tcBorders>
              <w:top w:val="single" w:sz="4" w:space="0" w:color="auto"/>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p>
        </w:tc>
        <w:tc>
          <w:tcPr>
            <w:tcW w:w="1255" w:type="dxa"/>
            <w:tcBorders>
              <w:top w:val="single" w:sz="4" w:space="0" w:color="auto"/>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sz w:val="20"/>
                <w:szCs w:val="20"/>
                <w:lang w:val="en-GB" w:eastAsia="en-GB"/>
              </w:rPr>
            </w:pPr>
          </w:p>
        </w:tc>
        <w:tc>
          <w:tcPr>
            <w:tcW w:w="1400" w:type="dxa"/>
            <w:tcBorders>
              <w:top w:val="single" w:sz="4" w:space="0" w:color="auto"/>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sz w:val="20"/>
                <w:szCs w:val="20"/>
                <w:lang w:val="en-GB" w:eastAsia="en-GB"/>
              </w:rPr>
            </w:pPr>
          </w:p>
        </w:tc>
        <w:tc>
          <w:tcPr>
            <w:tcW w:w="1134" w:type="dxa"/>
            <w:tcBorders>
              <w:top w:val="single" w:sz="4" w:space="0" w:color="auto"/>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sz w:val="20"/>
                <w:szCs w:val="20"/>
                <w:lang w:val="en-GB" w:eastAsia="en-GB"/>
              </w:rPr>
            </w:pPr>
          </w:p>
        </w:tc>
      </w:tr>
      <w:tr w:rsidR="00AD00EA" w:rsidRPr="00DB7655" w:rsidTr="00AD00EA">
        <w:trPr>
          <w:trHeight w:val="300"/>
        </w:trPr>
        <w:tc>
          <w:tcPr>
            <w:tcW w:w="2340" w:type="dxa"/>
            <w:tcBorders>
              <w:top w:val="nil"/>
              <w:left w:val="nil"/>
              <w:bottom w:val="nil"/>
              <w:right w:val="single" w:sz="4" w:space="0" w:color="auto"/>
            </w:tcBorders>
            <w:shd w:val="clear" w:color="auto" w:fill="auto"/>
            <w:noWrap/>
            <w:hideMark/>
          </w:tcPr>
          <w:p w:rsidR="00AD00EA" w:rsidRPr="00DB7655" w:rsidRDefault="00AD00EA" w:rsidP="00ED2D93">
            <w:pPr>
              <w:spacing w:after="0" w:line="240" w:lineRule="auto"/>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Marginality</w:t>
            </w:r>
          </w:p>
        </w:tc>
        <w:tc>
          <w:tcPr>
            <w:tcW w:w="1080" w:type="dxa"/>
            <w:tcBorders>
              <w:top w:val="nil"/>
              <w:left w:val="single" w:sz="4" w:space="0" w:color="auto"/>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-0.409</w:t>
            </w:r>
          </w:p>
        </w:tc>
        <w:tc>
          <w:tcPr>
            <w:tcW w:w="1440" w:type="dxa"/>
            <w:tcBorders>
              <w:top w:val="nil"/>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-0.109</w:t>
            </w:r>
          </w:p>
        </w:tc>
        <w:tc>
          <w:tcPr>
            <w:tcW w:w="1255" w:type="dxa"/>
            <w:tcBorders>
              <w:top w:val="nil"/>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p>
        </w:tc>
        <w:tc>
          <w:tcPr>
            <w:tcW w:w="1400" w:type="dxa"/>
            <w:tcBorders>
              <w:top w:val="nil"/>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sz w:val="20"/>
                <w:szCs w:val="20"/>
                <w:lang w:val="en-GB" w:eastAsia="en-GB"/>
              </w:rPr>
            </w:pPr>
          </w:p>
        </w:tc>
        <w:tc>
          <w:tcPr>
            <w:tcW w:w="1134" w:type="dxa"/>
            <w:tcBorders>
              <w:top w:val="nil"/>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sz w:val="20"/>
                <w:szCs w:val="20"/>
                <w:lang w:val="en-GB" w:eastAsia="en-GB"/>
              </w:rPr>
            </w:pPr>
          </w:p>
        </w:tc>
      </w:tr>
      <w:tr w:rsidR="00AD00EA" w:rsidRPr="00DB7655" w:rsidTr="00AD00EA">
        <w:trPr>
          <w:trHeight w:val="300"/>
        </w:trPr>
        <w:tc>
          <w:tcPr>
            <w:tcW w:w="2340" w:type="dxa"/>
            <w:tcBorders>
              <w:top w:val="nil"/>
              <w:left w:val="nil"/>
              <w:bottom w:val="nil"/>
              <w:right w:val="single" w:sz="4" w:space="0" w:color="auto"/>
            </w:tcBorders>
            <w:shd w:val="clear" w:color="auto" w:fill="auto"/>
            <w:noWrap/>
            <w:hideMark/>
          </w:tcPr>
          <w:p w:rsidR="00AD00EA" w:rsidRPr="00DB7655" w:rsidRDefault="00AD00EA" w:rsidP="00ED2D93">
            <w:pPr>
              <w:spacing w:after="0" w:line="240" w:lineRule="auto"/>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Time since introduction</w:t>
            </w:r>
          </w:p>
        </w:tc>
        <w:tc>
          <w:tcPr>
            <w:tcW w:w="1080" w:type="dxa"/>
            <w:tcBorders>
              <w:top w:val="nil"/>
              <w:left w:val="single" w:sz="4" w:space="0" w:color="auto"/>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0.261</w:t>
            </w:r>
          </w:p>
        </w:tc>
        <w:tc>
          <w:tcPr>
            <w:tcW w:w="1440" w:type="dxa"/>
            <w:tcBorders>
              <w:top w:val="nil"/>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0.148</w:t>
            </w:r>
          </w:p>
        </w:tc>
        <w:tc>
          <w:tcPr>
            <w:tcW w:w="1255" w:type="dxa"/>
            <w:tcBorders>
              <w:top w:val="nil"/>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-0.018</w:t>
            </w:r>
          </w:p>
        </w:tc>
        <w:tc>
          <w:tcPr>
            <w:tcW w:w="1400" w:type="dxa"/>
            <w:tcBorders>
              <w:top w:val="nil"/>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p>
        </w:tc>
        <w:tc>
          <w:tcPr>
            <w:tcW w:w="1134" w:type="dxa"/>
            <w:tcBorders>
              <w:top w:val="nil"/>
              <w:left w:val="nil"/>
              <w:bottom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sz w:val="20"/>
                <w:szCs w:val="20"/>
                <w:lang w:val="en-GB" w:eastAsia="en-GB"/>
              </w:rPr>
            </w:pPr>
          </w:p>
        </w:tc>
      </w:tr>
      <w:tr w:rsidR="00AD00EA" w:rsidRPr="00DB7655" w:rsidTr="00AD00EA">
        <w:trPr>
          <w:trHeight w:val="300"/>
        </w:trPr>
        <w:tc>
          <w:tcPr>
            <w:tcW w:w="2340" w:type="dxa"/>
            <w:tcBorders>
              <w:top w:val="nil"/>
              <w:left w:val="nil"/>
              <w:right w:val="single" w:sz="4" w:space="0" w:color="auto"/>
            </w:tcBorders>
            <w:shd w:val="clear" w:color="auto" w:fill="auto"/>
            <w:noWrap/>
            <w:hideMark/>
          </w:tcPr>
          <w:p w:rsidR="00AD00EA" w:rsidRPr="00DB7655" w:rsidRDefault="00AD00EA" w:rsidP="00ED2D93">
            <w:pPr>
              <w:spacing w:after="0" w:line="240" w:lineRule="auto"/>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Dispersal</w:t>
            </w:r>
          </w:p>
        </w:tc>
        <w:tc>
          <w:tcPr>
            <w:tcW w:w="1080" w:type="dxa"/>
            <w:tcBorders>
              <w:top w:val="nil"/>
              <w:left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0.02</w:t>
            </w:r>
          </w:p>
        </w:tc>
        <w:tc>
          <w:tcPr>
            <w:tcW w:w="1440" w:type="dxa"/>
            <w:tcBorders>
              <w:top w:val="nil"/>
              <w:left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0.125</w:t>
            </w:r>
          </w:p>
        </w:tc>
        <w:tc>
          <w:tcPr>
            <w:tcW w:w="1255" w:type="dxa"/>
            <w:tcBorders>
              <w:top w:val="nil"/>
              <w:left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-0.194</w:t>
            </w:r>
          </w:p>
        </w:tc>
        <w:tc>
          <w:tcPr>
            <w:tcW w:w="1400" w:type="dxa"/>
            <w:tcBorders>
              <w:top w:val="nil"/>
              <w:left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0.029</w:t>
            </w:r>
          </w:p>
        </w:tc>
        <w:tc>
          <w:tcPr>
            <w:tcW w:w="1134" w:type="dxa"/>
            <w:tcBorders>
              <w:top w:val="nil"/>
              <w:left w:val="nil"/>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p>
        </w:tc>
      </w:tr>
      <w:tr w:rsidR="00AD00EA" w:rsidRPr="00DB7655" w:rsidTr="00AD00EA">
        <w:trPr>
          <w:trHeight w:val="300"/>
        </w:trPr>
        <w:tc>
          <w:tcPr>
            <w:tcW w:w="2340" w:type="dxa"/>
            <w:tcBorders>
              <w:top w:val="nil"/>
              <w:left w:val="nil"/>
              <w:bottom w:val="single" w:sz="4" w:space="0" w:color="auto"/>
              <w:right w:val="single" w:sz="4" w:space="0" w:color="auto"/>
            </w:tcBorders>
            <w:shd w:val="clear" w:color="auto" w:fill="auto"/>
            <w:noWrap/>
            <w:hideMark/>
          </w:tcPr>
          <w:p w:rsidR="00AD00EA" w:rsidRPr="00DB7655" w:rsidRDefault="00AD00EA" w:rsidP="00ED2D93">
            <w:pPr>
              <w:spacing w:after="0" w:line="240" w:lineRule="auto"/>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Duration</w:t>
            </w:r>
          </w:p>
        </w:tc>
        <w:tc>
          <w:tcPr>
            <w:tcW w:w="1080" w:type="dxa"/>
            <w:tcBorders>
              <w:top w:val="nil"/>
              <w:left w:val="single" w:sz="4" w:space="0" w:color="auto"/>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0.125</w:t>
            </w:r>
          </w:p>
        </w:tc>
        <w:tc>
          <w:tcPr>
            <w:tcW w:w="1440" w:type="dxa"/>
            <w:tcBorders>
              <w:top w:val="nil"/>
              <w:left w:val="nil"/>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0.038</w:t>
            </w:r>
          </w:p>
        </w:tc>
        <w:tc>
          <w:tcPr>
            <w:tcW w:w="1255" w:type="dxa"/>
            <w:tcBorders>
              <w:top w:val="nil"/>
              <w:left w:val="nil"/>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-0.018</w:t>
            </w:r>
          </w:p>
        </w:tc>
        <w:tc>
          <w:tcPr>
            <w:tcW w:w="1400" w:type="dxa"/>
            <w:tcBorders>
              <w:top w:val="nil"/>
              <w:left w:val="nil"/>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0.316</w:t>
            </w:r>
          </w:p>
        </w:tc>
        <w:tc>
          <w:tcPr>
            <w:tcW w:w="1134" w:type="dxa"/>
            <w:tcBorders>
              <w:top w:val="nil"/>
              <w:left w:val="nil"/>
              <w:bottom w:val="single" w:sz="4" w:space="0" w:color="auto"/>
              <w:right w:val="nil"/>
            </w:tcBorders>
            <w:shd w:val="clear" w:color="auto" w:fill="auto"/>
            <w:noWrap/>
            <w:hideMark/>
          </w:tcPr>
          <w:p w:rsidR="00AD00EA" w:rsidRPr="00DB7655" w:rsidRDefault="00AD00EA" w:rsidP="00ED2D93">
            <w:pPr>
              <w:spacing w:after="0" w:line="240" w:lineRule="auto"/>
              <w:jc w:val="center"/>
              <w:rPr>
                <w:rFonts w:ascii="Times New Roman" w:hAnsi="Times New Roman" w:cs="Times New Roman"/>
                <w:color w:val="000000"/>
                <w:lang w:val="en-GB" w:eastAsia="en-GB"/>
              </w:rPr>
            </w:pPr>
            <w:r w:rsidRPr="00DB7655">
              <w:rPr>
                <w:rFonts w:ascii="Times New Roman" w:hAnsi="Times New Roman" w:cs="Times New Roman"/>
                <w:color w:val="000000"/>
                <w:lang w:val="en-GB" w:eastAsia="en-GB"/>
              </w:rPr>
              <w:t>-0.34</w:t>
            </w:r>
          </w:p>
        </w:tc>
      </w:tr>
    </w:tbl>
    <w:p w:rsidR="00F55BE7" w:rsidRDefault="00F55BE7" w:rsidP="00F55BE7">
      <w:pPr>
        <w:rPr>
          <w:rFonts w:ascii="Times New Roman" w:hAnsi="Times New Roman" w:cs="Times New Roman"/>
          <w:sz w:val="24"/>
          <w:szCs w:val="24"/>
          <w:u w:val="single"/>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1B3607" w:rsidRDefault="001B3607" w:rsidP="006A7364">
      <w:pPr>
        <w:spacing w:after="0" w:line="480" w:lineRule="auto"/>
        <w:rPr>
          <w:rFonts w:ascii="Times New Roman" w:hAnsi="Times New Roman"/>
          <w:b/>
          <w:color w:val="000000"/>
          <w:sz w:val="24"/>
          <w:szCs w:val="24"/>
        </w:rPr>
      </w:pPr>
    </w:p>
    <w:p w:rsidR="006A7364" w:rsidRDefault="006A7364" w:rsidP="006A7364">
      <w:pPr>
        <w:spacing w:after="0" w:line="480" w:lineRule="auto"/>
        <w:rPr>
          <w:rFonts w:ascii="Times New Roman" w:hAnsi="Times New Roman"/>
          <w:color w:val="000000"/>
          <w:sz w:val="24"/>
          <w:szCs w:val="24"/>
        </w:rPr>
      </w:pPr>
      <w:r w:rsidRPr="00503061">
        <w:rPr>
          <w:rFonts w:ascii="Times New Roman" w:hAnsi="Times New Roman"/>
          <w:b/>
          <w:color w:val="000000"/>
          <w:sz w:val="24"/>
          <w:szCs w:val="24"/>
        </w:rPr>
        <w:lastRenderedPageBreak/>
        <w:t xml:space="preserve">Table </w:t>
      </w:r>
      <w:r>
        <w:rPr>
          <w:rFonts w:ascii="Times New Roman" w:hAnsi="Times New Roman"/>
          <w:b/>
          <w:color w:val="000000"/>
          <w:sz w:val="24"/>
          <w:szCs w:val="24"/>
        </w:rPr>
        <w:t>S3.2</w:t>
      </w:r>
      <w:r w:rsidRPr="00503061">
        <w:rPr>
          <w:rFonts w:ascii="Times New Roman" w:hAnsi="Times New Roman"/>
          <w:b/>
          <w:color w:val="000000"/>
          <w:sz w:val="24"/>
          <w:szCs w:val="24"/>
        </w:rPr>
        <w:t>.</w:t>
      </w:r>
      <w:r w:rsidRPr="00503061">
        <w:rPr>
          <w:rFonts w:ascii="Times New Roman" w:hAnsi="Times New Roman"/>
          <w:color w:val="000000"/>
          <w:sz w:val="24"/>
          <w:szCs w:val="24"/>
        </w:rPr>
        <w:t xml:space="preserve"> </w:t>
      </w:r>
      <w:r>
        <w:rPr>
          <w:rFonts w:ascii="Times New Roman" w:hAnsi="Times New Roman"/>
          <w:color w:val="000000"/>
          <w:sz w:val="24"/>
          <w:szCs w:val="24"/>
        </w:rPr>
        <w:t>Indicators of niche conservatism –</w:t>
      </w:r>
      <w:r w:rsidR="001C5BBA">
        <w:rPr>
          <w:rFonts w:ascii="Times New Roman" w:hAnsi="Times New Roman"/>
          <w:color w:val="000000"/>
          <w:sz w:val="24"/>
          <w:szCs w:val="24"/>
        </w:rPr>
        <w:t xml:space="preserve"> niche expansion limited to analogue climate space only, and without the weighting effect of US range size</w:t>
      </w:r>
      <w:r>
        <w:rPr>
          <w:rFonts w:ascii="Times New Roman" w:hAnsi="Times New Roman"/>
          <w:color w:val="000000"/>
          <w:sz w:val="24"/>
          <w:szCs w:val="24"/>
        </w:rPr>
        <w:t xml:space="preserve">. </w:t>
      </w:r>
      <w:proofErr w:type="spellStart"/>
      <w:proofErr w:type="gramStart"/>
      <w:r w:rsidRPr="00503061">
        <w:rPr>
          <w:rFonts w:ascii="Times New Roman" w:hAnsi="Times New Roman"/>
          <w:color w:val="000000"/>
          <w:sz w:val="24"/>
          <w:szCs w:val="24"/>
        </w:rPr>
        <w:t>qAIC</w:t>
      </w:r>
      <w:proofErr w:type="spellEnd"/>
      <w:proofErr w:type="gramEnd"/>
      <w:r w:rsidRPr="00503061">
        <w:rPr>
          <w:rFonts w:ascii="Times New Roman" w:hAnsi="Times New Roman"/>
          <w:color w:val="000000"/>
          <w:sz w:val="24"/>
          <w:szCs w:val="24"/>
        </w:rPr>
        <w:t xml:space="preserve"> weights and parameter estimates for all explanatory variables retained in the best model subset. Parameter estimates were averaged over all models in the best subset, and standard deviation is shown in parentheses</w:t>
      </w:r>
      <w:r>
        <w:rPr>
          <w:rFonts w:ascii="Times New Roman" w:hAnsi="Times New Roman"/>
          <w:color w:val="000000"/>
          <w:sz w:val="24"/>
          <w:szCs w:val="24"/>
        </w:rPr>
        <w:t xml:space="preserve">. </w:t>
      </w:r>
    </w:p>
    <w:p w:rsidR="006A7364" w:rsidRPr="00503061" w:rsidRDefault="006A7364" w:rsidP="006A7364">
      <w:pPr>
        <w:spacing w:after="0" w:line="480" w:lineRule="auto"/>
        <w:rPr>
          <w:rFonts w:ascii="Times New Roman" w:hAnsi="Times New Roman"/>
          <w:color w:val="000000"/>
          <w:sz w:val="24"/>
          <w:szCs w:val="24"/>
        </w:rPr>
      </w:pPr>
    </w:p>
    <w:tbl>
      <w:tblPr>
        <w:tblW w:w="7290" w:type="dxa"/>
        <w:tblInd w:w="1042" w:type="dxa"/>
        <w:tblLayout w:type="fixed"/>
        <w:tblLook w:val="04A0" w:firstRow="1" w:lastRow="0" w:firstColumn="1" w:lastColumn="0" w:noHBand="0" w:noVBand="1"/>
      </w:tblPr>
      <w:tblGrid>
        <w:gridCol w:w="2430"/>
        <w:gridCol w:w="959"/>
        <w:gridCol w:w="1381"/>
        <w:gridCol w:w="1170"/>
        <w:gridCol w:w="1350"/>
      </w:tblGrid>
      <w:tr w:rsidR="00EE4A73" w:rsidRPr="00503061" w:rsidTr="00EE4A73">
        <w:trPr>
          <w:trHeight w:val="300"/>
        </w:trPr>
        <w:tc>
          <w:tcPr>
            <w:tcW w:w="2430" w:type="dxa"/>
            <w:vMerge w:val="restart"/>
            <w:tcBorders>
              <w:top w:val="single" w:sz="4" w:space="0" w:color="auto"/>
              <w:left w:val="nil"/>
              <w:right w:val="single" w:sz="4" w:space="0" w:color="auto"/>
            </w:tcBorders>
            <w:shd w:val="clear" w:color="auto" w:fill="auto"/>
            <w:noWrap/>
            <w:vAlign w:val="center"/>
            <w:hideMark/>
          </w:tcPr>
          <w:p w:rsidR="00EE4A73" w:rsidRPr="00503061" w:rsidRDefault="00EE4A73" w:rsidP="00F6754A">
            <w:pPr>
              <w:spacing w:after="0" w:line="240" w:lineRule="auto"/>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Explanatory variable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A73" w:rsidRPr="00503061" w:rsidRDefault="00EE4A73" w:rsidP="00F6754A">
            <w:pPr>
              <w:spacing w:after="0" w:line="240" w:lineRule="auto"/>
              <w:jc w:val="center"/>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Niche expansion</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EE4A73" w:rsidRPr="00503061" w:rsidRDefault="00EE4A73" w:rsidP="00F6754A">
            <w:pPr>
              <w:spacing w:after="0" w:line="240" w:lineRule="auto"/>
              <w:jc w:val="center"/>
              <w:rPr>
                <w:rFonts w:ascii="Times New Roman" w:hAnsi="Times New Roman"/>
                <w:color w:val="000000"/>
                <w:sz w:val="24"/>
                <w:szCs w:val="24"/>
                <w:lang w:val="en-GB" w:eastAsia="en-GB"/>
              </w:rPr>
            </w:pPr>
            <w:r w:rsidRPr="00CD1DBB">
              <w:rPr>
                <w:rFonts w:ascii="Times New Roman" w:hAnsi="Times New Roman"/>
                <w:color w:val="000000"/>
                <w:sz w:val="24"/>
                <w:szCs w:val="24"/>
                <w:lang w:val="en-GB" w:eastAsia="en-GB"/>
              </w:rPr>
              <w:t>Niche expansion without effect of USA range size</w:t>
            </w:r>
          </w:p>
        </w:tc>
      </w:tr>
      <w:tr w:rsidR="00EE4A73" w:rsidRPr="00503061" w:rsidTr="00EE4A73">
        <w:trPr>
          <w:trHeight w:val="300"/>
        </w:trPr>
        <w:tc>
          <w:tcPr>
            <w:tcW w:w="2430" w:type="dxa"/>
            <w:vMerge/>
            <w:tcBorders>
              <w:left w:val="nil"/>
              <w:bottom w:val="single" w:sz="4" w:space="0" w:color="auto"/>
              <w:right w:val="single" w:sz="4" w:space="0" w:color="auto"/>
            </w:tcBorders>
            <w:shd w:val="clear" w:color="auto" w:fill="auto"/>
            <w:noWrap/>
            <w:vAlign w:val="bottom"/>
            <w:hideMark/>
          </w:tcPr>
          <w:p w:rsidR="00EE4A73" w:rsidRPr="00503061" w:rsidRDefault="00EE4A73" w:rsidP="00F6754A">
            <w:pPr>
              <w:spacing w:after="0" w:line="240" w:lineRule="auto"/>
              <w:rPr>
                <w:rFonts w:ascii="Times New Roman" w:hAnsi="Times New Roman"/>
                <w:color w:val="000000"/>
                <w:sz w:val="24"/>
                <w:szCs w:val="24"/>
                <w:lang w:val="en-GB" w:eastAsia="en-GB"/>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A73" w:rsidRPr="00503061" w:rsidRDefault="00EE4A73" w:rsidP="00F6754A">
            <w:pPr>
              <w:spacing w:after="0" w:line="240" w:lineRule="auto"/>
              <w:jc w:val="center"/>
              <w:rPr>
                <w:rFonts w:ascii="Times New Roman" w:hAnsi="Times New Roman"/>
                <w:color w:val="000000"/>
                <w:sz w:val="24"/>
                <w:szCs w:val="24"/>
                <w:lang w:val="en-GB" w:eastAsia="en-GB"/>
              </w:rPr>
            </w:pPr>
            <w:proofErr w:type="spellStart"/>
            <w:r w:rsidRPr="00503061">
              <w:rPr>
                <w:rFonts w:ascii="Times New Roman" w:hAnsi="Times New Roman"/>
                <w:color w:val="000000"/>
                <w:sz w:val="24"/>
                <w:szCs w:val="24"/>
                <w:lang w:val="en-GB" w:eastAsia="en-GB"/>
              </w:rPr>
              <w:t>qAIC</w:t>
            </w:r>
            <w:proofErr w:type="spellEnd"/>
            <w:r w:rsidRPr="00503061">
              <w:rPr>
                <w:rFonts w:ascii="Times New Roman" w:hAnsi="Times New Roman"/>
                <w:color w:val="000000"/>
                <w:sz w:val="24"/>
                <w:szCs w:val="24"/>
                <w:lang w:val="en-GB" w:eastAsia="en-GB"/>
              </w:rPr>
              <w:t xml:space="preserve"> weight</w:t>
            </w:r>
          </w:p>
        </w:tc>
        <w:tc>
          <w:tcPr>
            <w:tcW w:w="1381" w:type="dxa"/>
            <w:tcBorders>
              <w:top w:val="single" w:sz="4" w:space="0" w:color="auto"/>
              <w:left w:val="single" w:sz="4" w:space="0" w:color="auto"/>
              <w:bottom w:val="single" w:sz="4" w:space="0" w:color="auto"/>
              <w:right w:val="nil"/>
            </w:tcBorders>
            <w:shd w:val="clear" w:color="auto" w:fill="auto"/>
            <w:noWrap/>
            <w:vAlign w:val="bottom"/>
            <w:hideMark/>
          </w:tcPr>
          <w:p w:rsidR="00EE4A73" w:rsidRPr="00503061" w:rsidRDefault="00EE4A73" w:rsidP="00F6754A">
            <w:pPr>
              <w:spacing w:after="0" w:line="240" w:lineRule="auto"/>
              <w:jc w:val="center"/>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Model-averaged estimate</w:t>
            </w:r>
          </w:p>
        </w:tc>
        <w:tc>
          <w:tcPr>
            <w:tcW w:w="1170" w:type="dxa"/>
            <w:tcBorders>
              <w:top w:val="single" w:sz="4" w:space="0" w:color="auto"/>
              <w:left w:val="single" w:sz="4" w:space="0" w:color="auto"/>
              <w:bottom w:val="single" w:sz="4" w:space="0" w:color="auto"/>
              <w:right w:val="nil"/>
            </w:tcBorders>
            <w:vAlign w:val="bottom"/>
          </w:tcPr>
          <w:p w:rsidR="00EE4A73" w:rsidRPr="00503061" w:rsidRDefault="00EE4A73" w:rsidP="00F6754A">
            <w:pPr>
              <w:spacing w:after="0" w:line="240" w:lineRule="auto"/>
              <w:jc w:val="center"/>
              <w:rPr>
                <w:rFonts w:ascii="Times New Roman" w:hAnsi="Times New Roman"/>
                <w:color w:val="000000"/>
                <w:sz w:val="24"/>
                <w:szCs w:val="24"/>
                <w:lang w:val="en-GB" w:eastAsia="en-GB"/>
              </w:rPr>
            </w:pPr>
            <w:proofErr w:type="spellStart"/>
            <w:r w:rsidRPr="00503061">
              <w:rPr>
                <w:rFonts w:ascii="Times New Roman" w:hAnsi="Times New Roman"/>
                <w:color w:val="000000"/>
                <w:sz w:val="24"/>
                <w:szCs w:val="24"/>
                <w:lang w:val="en-GB" w:eastAsia="en-GB"/>
              </w:rPr>
              <w:t>qAIC</w:t>
            </w:r>
            <w:proofErr w:type="spellEnd"/>
            <w:r w:rsidRPr="00503061">
              <w:rPr>
                <w:rFonts w:ascii="Times New Roman" w:hAnsi="Times New Roman"/>
                <w:color w:val="000000"/>
                <w:sz w:val="24"/>
                <w:szCs w:val="24"/>
                <w:lang w:val="en-GB" w:eastAsia="en-GB"/>
              </w:rPr>
              <w:t xml:space="preserve"> weight</w:t>
            </w:r>
          </w:p>
        </w:tc>
        <w:tc>
          <w:tcPr>
            <w:tcW w:w="1350" w:type="dxa"/>
            <w:tcBorders>
              <w:top w:val="single" w:sz="4" w:space="0" w:color="auto"/>
              <w:left w:val="single" w:sz="4" w:space="0" w:color="auto"/>
              <w:bottom w:val="single" w:sz="4" w:space="0" w:color="auto"/>
              <w:right w:val="nil"/>
            </w:tcBorders>
            <w:vAlign w:val="bottom"/>
          </w:tcPr>
          <w:p w:rsidR="00EE4A73" w:rsidRPr="00503061" w:rsidRDefault="00EE4A73" w:rsidP="00F6754A">
            <w:pPr>
              <w:spacing w:after="0" w:line="240" w:lineRule="auto"/>
              <w:jc w:val="center"/>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Model-averaged estimate</w:t>
            </w:r>
          </w:p>
        </w:tc>
      </w:tr>
      <w:tr w:rsidR="00EE4A73" w:rsidRPr="00503061" w:rsidTr="00EE4A73">
        <w:trPr>
          <w:trHeight w:val="300"/>
        </w:trPr>
        <w:tc>
          <w:tcPr>
            <w:tcW w:w="2430" w:type="dxa"/>
            <w:tcBorders>
              <w:top w:val="single" w:sz="4" w:space="0" w:color="auto"/>
              <w:left w:val="nil"/>
              <w:bottom w:val="nil"/>
              <w:right w:val="single" w:sz="4" w:space="0" w:color="auto"/>
            </w:tcBorders>
            <w:shd w:val="clear" w:color="auto" w:fill="auto"/>
            <w:noWrap/>
            <w:hideMark/>
          </w:tcPr>
          <w:p w:rsidR="00EE4A73" w:rsidRPr="00503061" w:rsidRDefault="00EE4A73" w:rsidP="00F6754A">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log(Native range size)</w:t>
            </w:r>
          </w:p>
        </w:tc>
        <w:tc>
          <w:tcPr>
            <w:tcW w:w="959" w:type="dxa"/>
            <w:tcBorders>
              <w:top w:val="single" w:sz="4" w:space="0" w:color="auto"/>
              <w:left w:val="single" w:sz="4" w:space="0" w:color="auto"/>
              <w:bottom w:val="nil"/>
              <w:right w:val="single" w:sz="4" w:space="0" w:color="auto"/>
            </w:tcBorders>
            <w:shd w:val="clear" w:color="auto" w:fill="auto"/>
            <w:noWrap/>
          </w:tcPr>
          <w:p w:rsidR="00EE4A73" w:rsidRDefault="00EE4A73" w:rsidP="00F6754A">
            <w:pPr>
              <w:jc w:val="center"/>
              <w:rPr>
                <w:rFonts w:ascii="Calibri" w:hAnsi="Calibri"/>
                <w:color w:val="000000"/>
              </w:rPr>
            </w:pPr>
            <w:r>
              <w:rPr>
                <w:rFonts w:ascii="Calibri" w:hAnsi="Calibri"/>
                <w:color w:val="000000"/>
              </w:rPr>
              <w:t>0.121</w:t>
            </w:r>
          </w:p>
        </w:tc>
        <w:tc>
          <w:tcPr>
            <w:tcW w:w="1381" w:type="dxa"/>
            <w:tcBorders>
              <w:top w:val="single" w:sz="4" w:space="0" w:color="auto"/>
              <w:left w:val="single" w:sz="4" w:space="0" w:color="auto"/>
              <w:bottom w:val="nil"/>
              <w:right w:val="nil"/>
            </w:tcBorders>
            <w:shd w:val="clear" w:color="auto" w:fill="auto"/>
            <w:noWrap/>
          </w:tcPr>
          <w:p w:rsidR="00EE4A73" w:rsidRDefault="00EE4A73" w:rsidP="00F6754A">
            <w:pPr>
              <w:jc w:val="center"/>
              <w:rPr>
                <w:rFonts w:ascii="Calibri" w:hAnsi="Calibri"/>
                <w:color w:val="000000"/>
              </w:rPr>
            </w:pPr>
            <w:r>
              <w:rPr>
                <w:rFonts w:ascii="Calibri" w:hAnsi="Calibri"/>
                <w:color w:val="000000"/>
              </w:rPr>
              <w:t>-0.02 (0.049)</w:t>
            </w:r>
          </w:p>
        </w:tc>
        <w:tc>
          <w:tcPr>
            <w:tcW w:w="1170" w:type="dxa"/>
            <w:tcBorders>
              <w:top w:val="single" w:sz="4" w:space="0" w:color="auto"/>
              <w:left w:val="single" w:sz="4" w:space="0" w:color="auto"/>
              <w:bottom w:val="nil"/>
              <w:right w:val="nil"/>
            </w:tcBorders>
          </w:tcPr>
          <w:p w:rsidR="00EE4A73" w:rsidRDefault="00EE4A73" w:rsidP="00F6754A">
            <w:pPr>
              <w:jc w:val="center"/>
              <w:rPr>
                <w:rFonts w:ascii="Calibri" w:hAnsi="Calibri"/>
                <w:color w:val="000000"/>
              </w:rPr>
            </w:pPr>
            <w:r>
              <w:rPr>
                <w:rFonts w:ascii="Calibri" w:hAnsi="Calibri"/>
                <w:color w:val="000000"/>
              </w:rPr>
              <w:t>0.414</w:t>
            </w:r>
          </w:p>
        </w:tc>
        <w:tc>
          <w:tcPr>
            <w:tcW w:w="1350" w:type="dxa"/>
            <w:tcBorders>
              <w:top w:val="single" w:sz="4" w:space="0" w:color="auto"/>
              <w:left w:val="single" w:sz="4" w:space="0" w:color="auto"/>
              <w:bottom w:val="nil"/>
              <w:right w:val="nil"/>
            </w:tcBorders>
          </w:tcPr>
          <w:p w:rsidR="00EE4A73" w:rsidRDefault="00EE4A73" w:rsidP="00F6754A">
            <w:pPr>
              <w:jc w:val="center"/>
              <w:rPr>
                <w:rFonts w:ascii="Calibri" w:hAnsi="Calibri"/>
                <w:color w:val="000000"/>
              </w:rPr>
            </w:pPr>
            <w:r>
              <w:rPr>
                <w:rFonts w:ascii="Calibri" w:hAnsi="Calibri"/>
                <w:color w:val="000000"/>
              </w:rPr>
              <w:t>-0.061 (0.074)</w:t>
            </w:r>
          </w:p>
        </w:tc>
      </w:tr>
      <w:tr w:rsidR="00EE4A73" w:rsidRPr="00503061" w:rsidTr="00EE4A73">
        <w:trPr>
          <w:trHeight w:val="300"/>
        </w:trPr>
        <w:tc>
          <w:tcPr>
            <w:tcW w:w="2430" w:type="dxa"/>
            <w:tcBorders>
              <w:top w:val="nil"/>
              <w:left w:val="nil"/>
              <w:bottom w:val="nil"/>
              <w:right w:val="single" w:sz="4" w:space="0" w:color="auto"/>
            </w:tcBorders>
            <w:shd w:val="clear" w:color="auto" w:fill="auto"/>
            <w:noWrap/>
            <w:hideMark/>
          </w:tcPr>
          <w:p w:rsidR="00EE4A73" w:rsidRPr="00503061" w:rsidRDefault="00EE4A73" w:rsidP="00F6754A">
            <w:pPr>
              <w:spacing w:after="0" w:line="240" w:lineRule="auto"/>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Native niche-breadth</w:t>
            </w:r>
          </w:p>
        </w:tc>
        <w:tc>
          <w:tcPr>
            <w:tcW w:w="959" w:type="dxa"/>
            <w:tcBorders>
              <w:top w:val="nil"/>
              <w:left w:val="single" w:sz="4" w:space="0" w:color="auto"/>
              <w:bottom w:val="nil"/>
              <w:right w:val="single" w:sz="4" w:space="0" w:color="auto"/>
            </w:tcBorders>
            <w:shd w:val="clear" w:color="auto" w:fill="auto"/>
            <w:noWrap/>
          </w:tcPr>
          <w:p w:rsidR="00EE4A73" w:rsidRDefault="00EE4A73" w:rsidP="00F6754A">
            <w:pPr>
              <w:jc w:val="center"/>
              <w:rPr>
                <w:rFonts w:ascii="Calibri" w:hAnsi="Calibri"/>
                <w:color w:val="000000"/>
              </w:rPr>
            </w:pPr>
            <w:r>
              <w:rPr>
                <w:rFonts w:ascii="Calibri" w:hAnsi="Calibri"/>
                <w:color w:val="000000"/>
              </w:rPr>
              <w:t>1</w:t>
            </w:r>
          </w:p>
        </w:tc>
        <w:tc>
          <w:tcPr>
            <w:tcW w:w="1381" w:type="dxa"/>
            <w:tcBorders>
              <w:top w:val="nil"/>
              <w:left w:val="single" w:sz="4" w:space="0" w:color="auto"/>
              <w:bottom w:val="nil"/>
              <w:right w:val="nil"/>
            </w:tcBorders>
            <w:shd w:val="clear" w:color="auto" w:fill="auto"/>
            <w:noWrap/>
          </w:tcPr>
          <w:p w:rsidR="00EE4A73" w:rsidRDefault="00EE4A73" w:rsidP="00F6754A">
            <w:pPr>
              <w:jc w:val="center"/>
              <w:rPr>
                <w:rFonts w:ascii="Calibri" w:hAnsi="Calibri"/>
                <w:color w:val="000000"/>
              </w:rPr>
            </w:pPr>
            <w:r>
              <w:rPr>
                <w:rFonts w:ascii="Calibri" w:hAnsi="Calibri"/>
                <w:color w:val="000000"/>
              </w:rPr>
              <w:t>-1.372 (0.388)</w:t>
            </w:r>
          </w:p>
        </w:tc>
        <w:tc>
          <w:tcPr>
            <w:tcW w:w="1170" w:type="dxa"/>
            <w:tcBorders>
              <w:top w:val="nil"/>
              <w:left w:val="single" w:sz="4" w:space="0" w:color="auto"/>
              <w:bottom w:val="nil"/>
              <w:right w:val="nil"/>
            </w:tcBorders>
          </w:tcPr>
          <w:p w:rsidR="00EE4A73" w:rsidRDefault="00EE4A73" w:rsidP="00F6754A">
            <w:pPr>
              <w:jc w:val="center"/>
              <w:rPr>
                <w:rFonts w:ascii="Calibri" w:hAnsi="Calibri"/>
                <w:color w:val="000000"/>
              </w:rPr>
            </w:pPr>
            <w:r>
              <w:rPr>
                <w:rFonts w:ascii="Calibri" w:hAnsi="Calibri"/>
                <w:color w:val="000000"/>
              </w:rPr>
              <w:t>1</w:t>
            </w:r>
          </w:p>
        </w:tc>
        <w:tc>
          <w:tcPr>
            <w:tcW w:w="1350" w:type="dxa"/>
            <w:tcBorders>
              <w:top w:val="nil"/>
              <w:left w:val="single" w:sz="4" w:space="0" w:color="auto"/>
              <w:bottom w:val="nil"/>
              <w:right w:val="nil"/>
            </w:tcBorders>
          </w:tcPr>
          <w:p w:rsidR="00EE4A73" w:rsidRDefault="00EE4A73" w:rsidP="00F6754A">
            <w:pPr>
              <w:jc w:val="center"/>
              <w:rPr>
                <w:rFonts w:ascii="Calibri" w:hAnsi="Calibri"/>
                <w:color w:val="000000"/>
              </w:rPr>
            </w:pPr>
            <w:r>
              <w:rPr>
                <w:rFonts w:ascii="Calibri" w:hAnsi="Calibri"/>
                <w:color w:val="000000"/>
              </w:rPr>
              <w:t>-1.53 (0.1)</w:t>
            </w:r>
          </w:p>
        </w:tc>
      </w:tr>
      <w:tr w:rsidR="00EE4A73" w:rsidRPr="00503061" w:rsidTr="00EE4A73">
        <w:trPr>
          <w:trHeight w:val="300"/>
        </w:trPr>
        <w:tc>
          <w:tcPr>
            <w:tcW w:w="2430" w:type="dxa"/>
            <w:tcBorders>
              <w:top w:val="nil"/>
              <w:left w:val="nil"/>
              <w:bottom w:val="nil"/>
              <w:right w:val="single" w:sz="4" w:space="0" w:color="auto"/>
            </w:tcBorders>
            <w:shd w:val="clear" w:color="auto" w:fill="auto"/>
            <w:noWrap/>
            <w:hideMark/>
          </w:tcPr>
          <w:p w:rsidR="00EE4A73" w:rsidRPr="00503061" w:rsidRDefault="00EE4A73" w:rsidP="00F6754A">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Log(</w:t>
            </w:r>
            <w:r w:rsidRPr="00503061">
              <w:rPr>
                <w:rFonts w:ascii="Times New Roman" w:hAnsi="Times New Roman"/>
                <w:color w:val="000000"/>
                <w:sz w:val="24"/>
                <w:szCs w:val="24"/>
                <w:lang w:val="en-GB" w:eastAsia="en-GB"/>
              </w:rPr>
              <w:t>Native marginality</w:t>
            </w:r>
            <w:r>
              <w:rPr>
                <w:rFonts w:ascii="Times New Roman" w:hAnsi="Times New Roman"/>
                <w:color w:val="000000"/>
                <w:sz w:val="24"/>
                <w:szCs w:val="24"/>
                <w:lang w:val="en-GB" w:eastAsia="en-GB"/>
              </w:rPr>
              <w:t>)</w:t>
            </w:r>
          </w:p>
        </w:tc>
        <w:tc>
          <w:tcPr>
            <w:tcW w:w="959" w:type="dxa"/>
            <w:tcBorders>
              <w:top w:val="nil"/>
              <w:left w:val="single" w:sz="4" w:space="0" w:color="auto"/>
              <w:bottom w:val="nil"/>
              <w:right w:val="single" w:sz="4" w:space="0" w:color="auto"/>
            </w:tcBorders>
            <w:shd w:val="clear" w:color="auto" w:fill="auto"/>
            <w:noWrap/>
          </w:tcPr>
          <w:p w:rsidR="00EE4A73" w:rsidRDefault="00EE4A73" w:rsidP="00F6754A">
            <w:pPr>
              <w:jc w:val="center"/>
              <w:rPr>
                <w:rFonts w:ascii="Calibri" w:hAnsi="Calibri"/>
                <w:color w:val="000000"/>
              </w:rPr>
            </w:pPr>
            <w:r>
              <w:rPr>
                <w:rFonts w:ascii="Calibri" w:hAnsi="Calibri"/>
                <w:color w:val="000000"/>
              </w:rPr>
              <w:t>0.276</w:t>
            </w:r>
          </w:p>
        </w:tc>
        <w:tc>
          <w:tcPr>
            <w:tcW w:w="1381" w:type="dxa"/>
            <w:tcBorders>
              <w:top w:val="nil"/>
              <w:left w:val="single" w:sz="4" w:space="0" w:color="auto"/>
              <w:bottom w:val="nil"/>
              <w:right w:val="nil"/>
            </w:tcBorders>
            <w:shd w:val="clear" w:color="auto" w:fill="auto"/>
            <w:noWrap/>
          </w:tcPr>
          <w:p w:rsidR="00EE4A73" w:rsidRDefault="00EE4A73" w:rsidP="00F6754A">
            <w:pPr>
              <w:jc w:val="center"/>
              <w:rPr>
                <w:rFonts w:ascii="Calibri" w:hAnsi="Calibri"/>
                <w:color w:val="000000"/>
              </w:rPr>
            </w:pPr>
            <w:r>
              <w:rPr>
                <w:rFonts w:ascii="Calibri" w:hAnsi="Calibri"/>
                <w:color w:val="000000"/>
              </w:rPr>
              <w:t>0.093 (0.15)</w:t>
            </w:r>
          </w:p>
        </w:tc>
        <w:tc>
          <w:tcPr>
            <w:tcW w:w="1170" w:type="dxa"/>
            <w:tcBorders>
              <w:top w:val="nil"/>
              <w:left w:val="single" w:sz="4" w:space="0" w:color="auto"/>
              <w:bottom w:val="nil"/>
              <w:right w:val="nil"/>
            </w:tcBorders>
          </w:tcPr>
          <w:p w:rsidR="00EE4A73" w:rsidRDefault="00EE4A73" w:rsidP="00F6754A">
            <w:pPr>
              <w:jc w:val="center"/>
              <w:rPr>
                <w:rFonts w:ascii="Calibri" w:hAnsi="Calibri"/>
                <w:color w:val="000000"/>
              </w:rPr>
            </w:pPr>
            <w:r>
              <w:rPr>
                <w:rFonts w:ascii="Calibri" w:hAnsi="Calibri"/>
                <w:color w:val="000000"/>
              </w:rPr>
              <w:t>0.897</w:t>
            </w:r>
          </w:p>
        </w:tc>
        <w:tc>
          <w:tcPr>
            <w:tcW w:w="1350" w:type="dxa"/>
            <w:tcBorders>
              <w:top w:val="nil"/>
              <w:left w:val="single" w:sz="4" w:space="0" w:color="auto"/>
              <w:bottom w:val="nil"/>
              <w:right w:val="nil"/>
            </w:tcBorders>
          </w:tcPr>
          <w:p w:rsidR="00EE4A73" w:rsidRDefault="00EE4A73" w:rsidP="00F6754A">
            <w:pPr>
              <w:jc w:val="center"/>
              <w:rPr>
                <w:rFonts w:ascii="Calibri" w:hAnsi="Calibri"/>
                <w:color w:val="000000"/>
              </w:rPr>
            </w:pPr>
            <w:r>
              <w:rPr>
                <w:rFonts w:ascii="Calibri" w:hAnsi="Calibri"/>
                <w:color w:val="000000"/>
              </w:rPr>
              <w:t>-0.02 (0.331)</w:t>
            </w:r>
          </w:p>
        </w:tc>
      </w:tr>
      <w:tr w:rsidR="00EE4A73" w:rsidRPr="00503061" w:rsidTr="00EE4A73">
        <w:trPr>
          <w:trHeight w:val="558"/>
        </w:trPr>
        <w:tc>
          <w:tcPr>
            <w:tcW w:w="2430" w:type="dxa"/>
            <w:tcBorders>
              <w:top w:val="nil"/>
              <w:left w:val="nil"/>
              <w:bottom w:val="nil"/>
              <w:right w:val="single" w:sz="4" w:space="0" w:color="auto"/>
            </w:tcBorders>
            <w:shd w:val="clear" w:color="auto" w:fill="auto"/>
            <w:noWrap/>
            <w:hideMark/>
          </w:tcPr>
          <w:p w:rsidR="00EE4A73" w:rsidRPr="00503061" w:rsidRDefault="00EE4A73" w:rsidP="00F6754A">
            <w:pPr>
              <w:spacing w:after="0" w:line="240" w:lineRule="auto"/>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Time since introduction</w:t>
            </w:r>
          </w:p>
        </w:tc>
        <w:tc>
          <w:tcPr>
            <w:tcW w:w="959" w:type="dxa"/>
            <w:tcBorders>
              <w:top w:val="nil"/>
              <w:left w:val="single" w:sz="4" w:space="0" w:color="auto"/>
              <w:bottom w:val="nil"/>
              <w:right w:val="single" w:sz="4" w:space="0" w:color="auto"/>
            </w:tcBorders>
            <w:shd w:val="clear" w:color="auto" w:fill="auto"/>
            <w:noWrap/>
          </w:tcPr>
          <w:p w:rsidR="00EE4A73" w:rsidRDefault="00EE4A73" w:rsidP="00F6754A">
            <w:pPr>
              <w:jc w:val="center"/>
              <w:rPr>
                <w:rFonts w:ascii="Calibri" w:hAnsi="Calibri"/>
                <w:color w:val="000000"/>
              </w:rPr>
            </w:pPr>
            <w:r>
              <w:rPr>
                <w:rFonts w:ascii="Calibri" w:hAnsi="Calibri"/>
                <w:color w:val="000000"/>
              </w:rPr>
              <w:t>0.309</w:t>
            </w:r>
          </w:p>
        </w:tc>
        <w:tc>
          <w:tcPr>
            <w:tcW w:w="1381" w:type="dxa"/>
            <w:tcBorders>
              <w:top w:val="nil"/>
              <w:left w:val="single" w:sz="4" w:space="0" w:color="auto"/>
              <w:bottom w:val="nil"/>
              <w:right w:val="nil"/>
            </w:tcBorders>
            <w:shd w:val="clear" w:color="auto" w:fill="auto"/>
            <w:noWrap/>
          </w:tcPr>
          <w:p w:rsidR="00EE4A73" w:rsidRDefault="00EE4A73" w:rsidP="00F6754A">
            <w:pPr>
              <w:jc w:val="center"/>
              <w:rPr>
                <w:rFonts w:ascii="Calibri" w:hAnsi="Calibri"/>
                <w:color w:val="000000"/>
              </w:rPr>
            </w:pPr>
            <w:r>
              <w:rPr>
                <w:rFonts w:ascii="Calibri" w:hAnsi="Calibri"/>
                <w:color w:val="000000"/>
              </w:rPr>
              <w:t>-0.002 (0.003)</w:t>
            </w:r>
          </w:p>
        </w:tc>
        <w:tc>
          <w:tcPr>
            <w:tcW w:w="1170" w:type="dxa"/>
            <w:tcBorders>
              <w:top w:val="nil"/>
              <w:left w:val="single" w:sz="4" w:space="0" w:color="auto"/>
              <w:bottom w:val="nil"/>
              <w:right w:val="nil"/>
            </w:tcBorders>
          </w:tcPr>
          <w:p w:rsidR="00EE4A73" w:rsidRDefault="00EE4A73" w:rsidP="00F6754A">
            <w:pPr>
              <w:jc w:val="center"/>
              <w:rPr>
                <w:rFonts w:ascii="Calibri" w:hAnsi="Calibri"/>
                <w:color w:val="000000"/>
              </w:rPr>
            </w:pPr>
            <w:r>
              <w:rPr>
                <w:rFonts w:ascii="Calibri" w:hAnsi="Calibri"/>
                <w:color w:val="000000"/>
              </w:rPr>
              <w:t>0.646</w:t>
            </w:r>
          </w:p>
        </w:tc>
        <w:tc>
          <w:tcPr>
            <w:tcW w:w="1350" w:type="dxa"/>
            <w:tcBorders>
              <w:top w:val="nil"/>
              <w:left w:val="single" w:sz="4" w:space="0" w:color="auto"/>
              <w:bottom w:val="nil"/>
              <w:right w:val="nil"/>
            </w:tcBorders>
          </w:tcPr>
          <w:p w:rsidR="00EE4A73" w:rsidRDefault="00EE4A73" w:rsidP="00F6754A">
            <w:pPr>
              <w:jc w:val="center"/>
              <w:rPr>
                <w:rFonts w:ascii="Calibri" w:hAnsi="Calibri"/>
                <w:color w:val="000000"/>
              </w:rPr>
            </w:pPr>
            <w:r>
              <w:rPr>
                <w:rFonts w:ascii="Calibri" w:hAnsi="Calibri"/>
                <w:color w:val="000000"/>
              </w:rPr>
              <w:t>-0.006 (0.004)</w:t>
            </w:r>
          </w:p>
        </w:tc>
      </w:tr>
      <w:tr w:rsidR="00EE4A73" w:rsidRPr="00503061" w:rsidTr="00EE4A73">
        <w:trPr>
          <w:trHeight w:val="300"/>
        </w:trPr>
        <w:tc>
          <w:tcPr>
            <w:tcW w:w="2430" w:type="dxa"/>
            <w:tcBorders>
              <w:top w:val="nil"/>
              <w:left w:val="nil"/>
              <w:right w:val="single" w:sz="4" w:space="0" w:color="auto"/>
            </w:tcBorders>
            <w:shd w:val="clear" w:color="auto" w:fill="auto"/>
            <w:noWrap/>
          </w:tcPr>
          <w:p w:rsidR="00EE4A73" w:rsidRPr="00503061" w:rsidRDefault="00EE4A73" w:rsidP="00F6754A">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log</w:t>
            </w:r>
            <w:r w:rsidRPr="00503061">
              <w:rPr>
                <w:rFonts w:ascii="Times New Roman" w:hAnsi="Times New Roman"/>
                <w:color w:val="000000"/>
                <w:sz w:val="24"/>
                <w:szCs w:val="24"/>
                <w:lang w:val="en-GB" w:eastAsia="en-GB"/>
              </w:rPr>
              <w:t>(Native range size ^2)</w:t>
            </w:r>
          </w:p>
        </w:tc>
        <w:tc>
          <w:tcPr>
            <w:tcW w:w="959" w:type="dxa"/>
            <w:tcBorders>
              <w:top w:val="nil"/>
              <w:left w:val="single" w:sz="4" w:space="0" w:color="auto"/>
              <w:right w:val="single" w:sz="4" w:space="0" w:color="auto"/>
            </w:tcBorders>
            <w:shd w:val="clear" w:color="auto" w:fill="auto"/>
            <w:noWrap/>
          </w:tcPr>
          <w:p w:rsidR="00EE4A73" w:rsidRDefault="00EE4A73" w:rsidP="00F6754A">
            <w:pPr>
              <w:jc w:val="center"/>
              <w:rPr>
                <w:rFonts w:ascii="Calibri" w:hAnsi="Calibri"/>
              </w:rPr>
            </w:pPr>
          </w:p>
        </w:tc>
        <w:tc>
          <w:tcPr>
            <w:tcW w:w="1381" w:type="dxa"/>
            <w:tcBorders>
              <w:top w:val="nil"/>
              <w:left w:val="single" w:sz="4" w:space="0" w:color="auto"/>
              <w:right w:val="nil"/>
            </w:tcBorders>
            <w:shd w:val="clear" w:color="auto" w:fill="auto"/>
            <w:noWrap/>
          </w:tcPr>
          <w:p w:rsidR="00EE4A73" w:rsidRDefault="00EE4A73" w:rsidP="00F6754A">
            <w:pPr>
              <w:jc w:val="center"/>
              <w:rPr>
                <w:rFonts w:ascii="Calibri" w:hAnsi="Calibri"/>
                <w:color w:val="000000"/>
              </w:rPr>
            </w:pPr>
          </w:p>
        </w:tc>
        <w:tc>
          <w:tcPr>
            <w:tcW w:w="1170" w:type="dxa"/>
            <w:tcBorders>
              <w:top w:val="nil"/>
              <w:left w:val="single" w:sz="4" w:space="0" w:color="auto"/>
              <w:right w:val="nil"/>
            </w:tcBorders>
          </w:tcPr>
          <w:p w:rsidR="00EE4A73" w:rsidRDefault="00EE4A73" w:rsidP="00F6754A">
            <w:pPr>
              <w:jc w:val="center"/>
              <w:rPr>
                <w:rFonts w:ascii="Calibri" w:hAnsi="Calibri"/>
                <w:color w:val="000000"/>
              </w:rPr>
            </w:pPr>
          </w:p>
        </w:tc>
        <w:tc>
          <w:tcPr>
            <w:tcW w:w="1350" w:type="dxa"/>
            <w:tcBorders>
              <w:top w:val="nil"/>
              <w:left w:val="single" w:sz="4" w:space="0" w:color="auto"/>
              <w:right w:val="nil"/>
            </w:tcBorders>
          </w:tcPr>
          <w:p w:rsidR="00EE4A73" w:rsidRDefault="00EE4A73" w:rsidP="00F6754A">
            <w:pPr>
              <w:jc w:val="center"/>
              <w:rPr>
                <w:rFonts w:ascii="Calibri" w:hAnsi="Calibri"/>
                <w:color w:val="000000"/>
              </w:rPr>
            </w:pPr>
          </w:p>
        </w:tc>
      </w:tr>
      <w:tr w:rsidR="00EE4A73" w:rsidRPr="00503061" w:rsidTr="00EE4A73">
        <w:trPr>
          <w:trHeight w:val="300"/>
        </w:trPr>
        <w:tc>
          <w:tcPr>
            <w:tcW w:w="2430" w:type="dxa"/>
            <w:tcBorders>
              <w:top w:val="nil"/>
              <w:left w:val="nil"/>
              <w:right w:val="single" w:sz="4" w:space="0" w:color="auto"/>
            </w:tcBorders>
            <w:shd w:val="clear" w:color="auto" w:fill="auto"/>
            <w:noWrap/>
            <w:hideMark/>
          </w:tcPr>
          <w:p w:rsidR="00EE4A73" w:rsidRPr="00503061" w:rsidRDefault="00EE4A73" w:rsidP="00F6754A">
            <w:pPr>
              <w:spacing w:after="0" w:line="240" w:lineRule="auto"/>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Native niche-breadth ^2</w:t>
            </w:r>
          </w:p>
        </w:tc>
        <w:tc>
          <w:tcPr>
            <w:tcW w:w="959" w:type="dxa"/>
            <w:tcBorders>
              <w:top w:val="nil"/>
              <w:left w:val="single" w:sz="4" w:space="0" w:color="auto"/>
              <w:right w:val="single" w:sz="4" w:space="0" w:color="auto"/>
            </w:tcBorders>
            <w:shd w:val="clear" w:color="auto" w:fill="auto"/>
            <w:noWrap/>
          </w:tcPr>
          <w:p w:rsidR="00EE4A73" w:rsidRDefault="00EE4A73" w:rsidP="00F6754A">
            <w:pPr>
              <w:jc w:val="center"/>
              <w:rPr>
                <w:rFonts w:ascii="Calibri" w:hAnsi="Calibri"/>
              </w:rPr>
            </w:pPr>
            <w:r>
              <w:rPr>
                <w:rFonts w:ascii="Calibri" w:hAnsi="Calibri"/>
              </w:rPr>
              <w:t>0.132</w:t>
            </w:r>
          </w:p>
        </w:tc>
        <w:tc>
          <w:tcPr>
            <w:tcW w:w="1381" w:type="dxa"/>
            <w:tcBorders>
              <w:top w:val="nil"/>
              <w:left w:val="single" w:sz="4" w:space="0" w:color="auto"/>
              <w:right w:val="nil"/>
            </w:tcBorders>
            <w:shd w:val="clear" w:color="auto" w:fill="auto"/>
            <w:noWrap/>
          </w:tcPr>
          <w:p w:rsidR="00EE4A73" w:rsidRDefault="00EE4A73" w:rsidP="00F6754A">
            <w:pPr>
              <w:jc w:val="center"/>
              <w:rPr>
                <w:rFonts w:ascii="Calibri" w:hAnsi="Calibri"/>
                <w:color w:val="000000"/>
              </w:rPr>
            </w:pPr>
            <w:r>
              <w:rPr>
                <w:rFonts w:ascii="Calibri" w:hAnsi="Calibri"/>
                <w:color w:val="000000"/>
              </w:rPr>
              <w:t>-0.053 (0.131)</w:t>
            </w:r>
          </w:p>
        </w:tc>
        <w:tc>
          <w:tcPr>
            <w:tcW w:w="1170" w:type="dxa"/>
            <w:tcBorders>
              <w:top w:val="nil"/>
              <w:left w:val="single" w:sz="4" w:space="0" w:color="auto"/>
              <w:right w:val="nil"/>
            </w:tcBorders>
          </w:tcPr>
          <w:p w:rsidR="00EE4A73" w:rsidRDefault="00EE4A73" w:rsidP="00F6754A">
            <w:pPr>
              <w:jc w:val="center"/>
              <w:rPr>
                <w:rFonts w:ascii="Calibri" w:hAnsi="Calibri"/>
                <w:color w:val="000000"/>
              </w:rPr>
            </w:pPr>
          </w:p>
        </w:tc>
        <w:tc>
          <w:tcPr>
            <w:tcW w:w="1350" w:type="dxa"/>
            <w:tcBorders>
              <w:top w:val="nil"/>
              <w:left w:val="single" w:sz="4" w:space="0" w:color="auto"/>
              <w:right w:val="nil"/>
            </w:tcBorders>
          </w:tcPr>
          <w:p w:rsidR="00EE4A73" w:rsidRDefault="00EE4A73" w:rsidP="00F6754A">
            <w:pPr>
              <w:jc w:val="center"/>
              <w:rPr>
                <w:rFonts w:ascii="Calibri" w:hAnsi="Calibri"/>
                <w:color w:val="000000"/>
              </w:rPr>
            </w:pPr>
          </w:p>
        </w:tc>
      </w:tr>
      <w:tr w:rsidR="00EE4A73" w:rsidRPr="00503061" w:rsidTr="00EE4A73">
        <w:trPr>
          <w:trHeight w:val="300"/>
        </w:trPr>
        <w:tc>
          <w:tcPr>
            <w:tcW w:w="2430" w:type="dxa"/>
            <w:tcBorders>
              <w:top w:val="nil"/>
              <w:left w:val="nil"/>
              <w:right w:val="single" w:sz="4" w:space="0" w:color="auto"/>
            </w:tcBorders>
            <w:shd w:val="clear" w:color="auto" w:fill="auto"/>
            <w:noWrap/>
          </w:tcPr>
          <w:p w:rsidR="00EE4A73" w:rsidRPr="003D4977" w:rsidRDefault="00EE4A73" w:rsidP="00F6754A">
            <w:pPr>
              <w:spacing w:after="0" w:line="240" w:lineRule="auto"/>
              <w:rPr>
                <w:rFonts w:ascii="Times New Roman" w:hAnsi="Times New Roman"/>
                <w:color w:val="000000"/>
                <w:sz w:val="24"/>
                <w:szCs w:val="24"/>
                <w:highlight w:val="yellow"/>
                <w:lang w:val="en-GB" w:eastAsia="en-GB"/>
              </w:rPr>
            </w:pPr>
            <w:r>
              <w:rPr>
                <w:rFonts w:ascii="Times New Roman" w:hAnsi="Times New Roman"/>
                <w:color w:val="000000"/>
                <w:sz w:val="24"/>
                <w:szCs w:val="24"/>
                <w:lang w:val="en-GB" w:eastAsia="en-GB"/>
              </w:rPr>
              <w:t>l</w:t>
            </w:r>
            <w:r w:rsidRPr="00CD1DBB">
              <w:rPr>
                <w:rFonts w:ascii="Times New Roman" w:hAnsi="Times New Roman"/>
                <w:color w:val="000000"/>
                <w:sz w:val="24"/>
                <w:szCs w:val="24"/>
                <w:lang w:val="en-GB" w:eastAsia="en-GB"/>
              </w:rPr>
              <w:t>og(Native marginality^2)</w:t>
            </w:r>
          </w:p>
        </w:tc>
        <w:tc>
          <w:tcPr>
            <w:tcW w:w="959" w:type="dxa"/>
            <w:tcBorders>
              <w:top w:val="nil"/>
              <w:left w:val="single" w:sz="4" w:space="0" w:color="auto"/>
              <w:right w:val="single" w:sz="4" w:space="0" w:color="auto"/>
            </w:tcBorders>
            <w:shd w:val="clear" w:color="auto" w:fill="auto"/>
            <w:noWrap/>
            <w:vAlign w:val="bottom"/>
          </w:tcPr>
          <w:p w:rsidR="00EE4A73" w:rsidRDefault="00EE4A73" w:rsidP="00F6754A">
            <w:pPr>
              <w:jc w:val="right"/>
              <w:rPr>
                <w:rFonts w:ascii="Calibri" w:hAnsi="Calibri"/>
              </w:rPr>
            </w:pPr>
          </w:p>
        </w:tc>
        <w:tc>
          <w:tcPr>
            <w:tcW w:w="1381" w:type="dxa"/>
            <w:tcBorders>
              <w:top w:val="nil"/>
              <w:left w:val="single" w:sz="4" w:space="0" w:color="auto"/>
              <w:right w:val="nil"/>
            </w:tcBorders>
            <w:shd w:val="clear" w:color="auto" w:fill="auto"/>
            <w:noWrap/>
            <w:vAlign w:val="bottom"/>
          </w:tcPr>
          <w:p w:rsidR="00EE4A73" w:rsidRDefault="00EE4A73" w:rsidP="00F6754A">
            <w:pPr>
              <w:rPr>
                <w:rFonts w:ascii="Calibri" w:hAnsi="Calibri"/>
                <w:color w:val="000000"/>
              </w:rPr>
            </w:pPr>
          </w:p>
        </w:tc>
        <w:tc>
          <w:tcPr>
            <w:tcW w:w="1170" w:type="dxa"/>
            <w:tcBorders>
              <w:top w:val="nil"/>
              <w:left w:val="single" w:sz="4" w:space="0" w:color="auto"/>
              <w:right w:val="nil"/>
            </w:tcBorders>
          </w:tcPr>
          <w:p w:rsidR="00EE4A73" w:rsidRDefault="00EE4A73" w:rsidP="00F6754A">
            <w:pPr>
              <w:jc w:val="center"/>
              <w:rPr>
                <w:rFonts w:ascii="Calibri" w:hAnsi="Calibri"/>
                <w:color w:val="000000"/>
              </w:rPr>
            </w:pPr>
            <w:r>
              <w:rPr>
                <w:rFonts w:ascii="Calibri" w:hAnsi="Calibri"/>
                <w:color w:val="000000"/>
              </w:rPr>
              <w:t>0.659</w:t>
            </w:r>
          </w:p>
        </w:tc>
        <w:tc>
          <w:tcPr>
            <w:tcW w:w="1350" w:type="dxa"/>
            <w:tcBorders>
              <w:top w:val="nil"/>
              <w:left w:val="single" w:sz="4" w:space="0" w:color="auto"/>
              <w:right w:val="nil"/>
            </w:tcBorders>
          </w:tcPr>
          <w:p w:rsidR="00EE4A73" w:rsidRDefault="00EE4A73" w:rsidP="00F6754A">
            <w:pPr>
              <w:jc w:val="center"/>
              <w:rPr>
                <w:rFonts w:ascii="Calibri" w:hAnsi="Calibri"/>
                <w:color w:val="000000"/>
              </w:rPr>
            </w:pPr>
            <w:r>
              <w:rPr>
                <w:rFonts w:ascii="Calibri" w:hAnsi="Calibri"/>
                <w:color w:val="000000"/>
              </w:rPr>
              <w:t>0.266 (0.256)</w:t>
            </w:r>
          </w:p>
        </w:tc>
      </w:tr>
      <w:tr w:rsidR="00EE4A73" w:rsidRPr="00503061" w:rsidTr="00EE4A73">
        <w:trPr>
          <w:trHeight w:val="300"/>
        </w:trPr>
        <w:tc>
          <w:tcPr>
            <w:tcW w:w="2430" w:type="dxa"/>
            <w:tcBorders>
              <w:top w:val="nil"/>
              <w:left w:val="nil"/>
              <w:bottom w:val="nil"/>
              <w:right w:val="single" w:sz="4" w:space="0" w:color="auto"/>
            </w:tcBorders>
            <w:shd w:val="clear" w:color="auto" w:fill="auto"/>
            <w:noWrap/>
          </w:tcPr>
          <w:p w:rsidR="00EE4A73" w:rsidRPr="00503061" w:rsidRDefault="00EE4A73" w:rsidP="00F6754A">
            <w:pPr>
              <w:spacing w:after="0" w:line="240" w:lineRule="auto"/>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Time since introduction ^2</w:t>
            </w:r>
          </w:p>
        </w:tc>
        <w:tc>
          <w:tcPr>
            <w:tcW w:w="959" w:type="dxa"/>
            <w:tcBorders>
              <w:top w:val="nil"/>
              <w:left w:val="single" w:sz="4" w:space="0" w:color="auto"/>
              <w:bottom w:val="nil"/>
              <w:right w:val="single" w:sz="4" w:space="0" w:color="auto"/>
            </w:tcBorders>
            <w:shd w:val="clear" w:color="auto" w:fill="auto"/>
            <w:noWrap/>
            <w:vAlign w:val="bottom"/>
          </w:tcPr>
          <w:p w:rsidR="00EE4A73" w:rsidRDefault="00EE4A73" w:rsidP="00F6754A">
            <w:pPr>
              <w:jc w:val="right"/>
              <w:rPr>
                <w:rFonts w:ascii="Calibri" w:hAnsi="Calibri"/>
              </w:rPr>
            </w:pPr>
          </w:p>
        </w:tc>
        <w:tc>
          <w:tcPr>
            <w:tcW w:w="1381" w:type="dxa"/>
            <w:tcBorders>
              <w:top w:val="nil"/>
              <w:left w:val="single" w:sz="4" w:space="0" w:color="auto"/>
              <w:bottom w:val="nil"/>
              <w:right w:val="nil"/>
            </w:tcBorders>
            <w:shd w:val="clear" w:color="auto" w:fill="auto"/>
            <w:noWrap/>
            <w:vAlign w:val="bottom"/>
          </w:tcPr>
          <w:p w:rsidR="00EE4A73" w:rsidRDefault="00EE4A73" w:rsidP="00F6754A">
            <w:pPr>
              <w:rPr>
                <w:rFonts w:ascii="Calibri" w:hAnsi="Calibri"/>
                <w:color w:val="000000"/>
              </w:rPr>
            </w:pPr>
          </w:p>
        </w:tc>
        <w:tc>
          <w:tcPr>
            <w:tcW w:w="1170" w:type="dxa"/>
            <w:tcBorders>
              <w:top w:val="nil"/>
              <w:left w:val="single" w:sz="4" w:space="0" w:color="auto"/>
              <w:bottom w:val="nil"/>
              <w:right w:val="nil"/>
            </w:tcBorders>
          </w:tcPr>
          <w:p w:rsidR="00EE4A73" w:rsidRPr="00371C5A" w:rsidRDefault="00EE4A73" w:rsidP="00F6754A">
            <w:pPr>
              <w:jc w:val="center"/>
              <w:rPr>
                <w:color w:val="000000"/>
              </w:rPr>
            </w:pPr>
          </w:p>
        </w:tc>
        <w:tc>
          <w:tcPr>
            <w:tcW w:w="1350" w:type="dxa"/>
            <w:tcBorders>
              <w:top w:val="nil"/>
              <w:left w:val="single" w:sz="4" w:space="0" w:color="auto"/>
              <w:bottom w:val="nil"/>
              <w:right w:val="nil"/>
            </w:tcBorders>
          </w:tcPr>
          <w:p w:rsidR="00EE4A73" w:rsidRPr="00371C5A" w:rsidRDefault="00EE4A73" w:rsidP="00F6754A">
            <w:pPr>
              <w:jc w:val="center"/>
              <w:rPr>
                <w:color w:val="000000"/>
              </w:rPr>
            </w:pPr>
          </w:p>
        </w:tc>
      </w:tr>
    </w:tbl>
    <w:p w:rsidR="006A7364" w:rsidRDefault="006A7364" w:rsidP="006A7364">
      <w:r>
        <w:br w:type="textWrapping" w:clear="all"/>
      </w:r>
    </w:p>
    <w:p w:rsidR="00C30E4E" w:rsidRDefault="00C30E4E">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716B3" w:rsidRPr="00503061" w:rsidRDefault="00C30E4E" w:rsidP="00F716B3">
      <w:pPr>
        <w:spacing w:after="0" w:line="480" w:lineRule="auto"/>
        <w:rPr>
          <w:rFonts w:ascii="Times New Roman" w:hAnsi="Times New Roman"/>
          <w:color w:val="000000"/>
          <w:sz w:val="24"/>
          <w:szCs w:val="24"/>
        </w:rPr>
      </w:pPr>
      <w:r w:rsidRPr="00503061">
        <w:rPr>
          <w:rFonts w:ascii="Times New Roman" w:hAnsi="Times New Roman"/>
          <w:b/>
          <w:color w:val="000000"/>
          <w:sz w:val="24"/>
          <w:szCs w:val="24"/>
        </w:rPr>
        <w:lastRenderedPageBreak/>
        <w:t xml:space="preserve">Table </w:t>
      </w:r>
      <w:r>
        <w:rPr>
          <w:rFonts w:ascii="Times New Roman" w:hAnsi="Times New Roman"/>
          <w:b/>
          <w:color w:val="000000"/>
          <w:sz w:val="24"/>
          <w:szCs w:val="24"/>
        </w:rPr>
        <w:t>S3.3</w:t>
      </w:r>
      <w:r w:rsidRPr="00503061">
        <w:rPr>
          <w:rFonts w:ascii="Times New Roman" w:hAnsi="Times New Roman"/>
          <w:b/>
          <w:color w:val="000000"/>
          <w:sz w:val="24"/>
          <w:szCs w:val="24"/>
        </w:rPr>
        <w:t>.</w:t>
      </w:r>
      <w:r w:rsidRPr="00503061">
        <w:rPr>
          <w:rFonts w:ascii="Times New Roman" w:hAnsi="Times New Roman"/>
          <w:color w:val="000000"/>
          <w:sz w:val="24"/>
          <w:szCs w:val="24"/>
        </w:rPr>
        <w:t xml:space="preserve"> </w:t>
      </w:r>
      <w:proofErr w:type="gramStart"/>
      <w:r>
        <w:rPr>
          <w:rFonts w:ascii="Times New Roman" w:hAnsi="Times New Roman"/>
          <w:color w:val="000000"/>
          <w:sz w:val="24"/>
          <w:szCs w:val="24"/>
        </w:rPr>
        <w:t>Indicators of niche conservatism – excluding seven species for which data on the native distribution was incomplete.</w:t>
      </w:r>
      <w:proofErr w:type="gramEnd"/>
      <w:r>
        <w:rPr>
          <w:rFonts w:ascii="Times New Roman" w:hAnsi="Times New Roman"/>
          <w:color w:val="000000"/>
          <w:sz w:val="24"/>
          <w:szCs w:val="24"/>
        </w:rPr>
        <w:t xml:space="preserve"> </w:t>
      </w:r>
      <w:proofErr w:type="spellStart"/>
      <w:proofErr w:type="gramStart"/>
      <w:r w:rsidR="00F716B3" w:rsidRPr="00503061">
        <w:rPr>
          <w:rFonts w:ascii="Times New Roman" w:hAnsi="Times New Roman"/>
          <w:color w:val="000000"/>
          <w:sz w:val="24"/>
          <w:szCs w:val="24"/>
        </w:rPr>
        <w:t>qAIC</w:t>
      </w:r>
      <w:proofErr w:type="spellEnd"/>
      <w:proofErr w:type="gramEnd"/>
      <w:r w:rsidR="00F716B3" w:rsidRPr="00503061">
        <w:rPr>
          <w:rFonts w:ascii="Times New Roman" w:hAnsi="Times New Roman"/>
          <w:color w:val="000000"/>
          <w:sz w:val="24"/>
          <w:szCs w:val="24"/>
        </w:rPr>
        <w:t xml:space="preserve"> weights and parameter estimates for all explanatory variables retained in the best model subset. Parameter estimates were averaged over all models in the best subset, and standard deviation is shown in parentheses</w:t>
      </w:r>
      <w:r w:rsidR="00F716B3">
        <w:rPr>
          <w:rFonts w:ascii="Times New Roman" w:hAnsi="Times New Roman"/>
          <w:color w:val="000000"/>
          <w:sz w:val="24"/>
          <w:szCs w:val="24"/>
        </w:rPr>
        <w:t>. Niche conservatism metrics were calculated using eight climatic variables.</w:t>
      </w:r>
    </w:p>
    <w:tbl>
      <w:tblPr>
        <w:tblW w:w="9540" w:type="dxa"/>
        <w:tblInd w:w="-162" w:type="dxa"/>
        <w:tblLayout w:type="fixed"/>
        <w:tblLook w:val="04A0" w:firstRow="1" w:lastRow="0" w:firstColumn="1" w:lastColumn="0" w:noHBand="0" w:noVBand="1"/>
      </w:tblPr>
      <w:tblGrid>
        <w:gridCol w:w="2430"/>
        <w:gridCol w:w="959"/>
        <w:gridCol w:w="1381"/>
        <w:gridCol w:w="1170"/>
        <w:gridCol w:w="1350"/>
        <w:gridCol w:w="990"/>
        <w:gridCol w:w="1260"/>
      </w:tblGrid>
      <w:tr w:rsidR="00F716B3" w:rsidRPr="00503061" w:rsidTr="00E20FFE">
        <w:trPr>
          <w:trHeight w:val="300"/>
        </w:trPr>
        <w:tc>
          <w:tcPr>
            <w:tcW w:w="2430" w:type="dxa"/>
            <w:vMerge w:val="restart"/>
            <w:tcBorders>
              <w:top w:val="single" w:sz="4" w:space="0" w:color="auto"/>
              <w:left w:val="nil"/>
              <w:right w:val="single" w:sz="4" w:space="0" w:color="auto"/>
            </w:tcBorders>
            <w:shd w:val="clear" w:color="auto" w:fill="auto"/>
            <w:noWrap/>
            <w:vAlign w:val="center"/>
            <w:hideMark/>
          </w:tcPr>
          <w:p w:rsidR="00F716B3" w:rsidRPr="00503061" w:rsidRDefault="00F716B3" w:rsidP="009F7C44">
            <w:pPr>
              <w:spacing w:after="0" w:line="240" w:lineRule="auto"/>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Explanatory variable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B3" w:rsidRPr="00503061" w:rsidRDefault="00F716B3" w:rsidP="009F7C44">
            <w:pPr>
              <w:spacing w:after="0" w:line="240" w:lineRule="auto"/>
              <w:jc w:val="center"/>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Niche expansion</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F716B3" w:rsidRPr="00503061" w:rsidRDefault="00F716B3" w:rsidP="009F7C44">
            <w:pPr>
              <w:spacing w:after="0" w:line="240" w:lineRule="auto"/>
              <w:jc w:val="center"/>
              <w:rPr>
                <w:rFonts w:ascii="Times New Roman" w:hAnsi="Times New Roman"/>
                <w:color w:val="000000"/>
                <w:sz w:val="24"/>
                <w:szCs w:val="24"/>
                <w:lang w:val="en-GB" w:eastAsia="en-GB"/>
              </w:rPr>
            </w:pPr>
            <w:r>
              <w:rPr>
                <w:rFonts w:ascii="Times New Roman" w:hAnsi="Times New Roman"/>
                <w:color w:val="000000"/>
                <w:sz w:val="24"/>
                <w:szCs w:val="24"/>
                <w:lang w:val="en-GB" w:eastAsia="en-GB"/>
              </w:rPr>
              <w:t>N</w:t>
            </w:r>
            <w:r w:rsidRPr="00361357">
              <w:rPr>
                <w:rFonts w:ascii="Times New Roman" w:hAnsi="Times New Roman"/>
                <w:color w:val="000000"/>
                <w:sz w:val="24"/>
                <w:szCs w:val="24"/>
                <w:lang w:val="en-GB" w:eastAsia="en-GB"/>
              </w:rPr>
              <w:t>iche-shift distance</w:t>
            </w:r>
          </w:p>
        </w:tc>
        <w:tc>
          <w:tcPr>
            <w:tcW w:w="2250" w:type="dxa"/>
            <w:gridSpan w:val="2"/>
            <w:tcBorders>
              <w:top w:val="single" w:sz="4" w:space="0" w:color="auto"/>
              <w:left w:val="single" w:sz="4" w:space="0" w:color="auto"/>
              <w:bottom w:val="single" w:sz="4" w:space="0" w:color="auto"/>
            </w:tcBorders>
          </w:tcPr>
          <w:p w:rsidR="00F716B3" w:rsidRPr="00503061" w:rsidRDefault="00F716B3" w:rsidP="009F7C44">
            <w:pPr>
              <w:spacing w:after="0" w:line="240" w:lineRule="auto"/>
              <w:jc w:val="center"/>
              <w:rPr>
                <w:rFonts w:ascii="Times New Roman" w:hAnsi="Times New Roman"/>
                <w:color w:val="000000"/>
                <w:sz w:val="24"/>
                <w:szCs w:val="24"/>
                <w:lang w:val="en-GB" w:eastAsia="en-GB"/>
              </w:rPr>
            </w:pPr>
            <w:r w:rsidRPr="00503061">
              <w:rPr>
                <w:rFonts w:ascii="Times New Roman" w:hAnsi="Times New Roman"/>
                <w:color w:val="000000"/>
                <w:sz w:val="24"/>
                <w:szCs w:val="24"/>
              </w:rPr>
              <w:t>N</w:t>
            </w:r>
            <w:r>
              <w:rPr>
                <w:rFonts w:ascii="Times New Roman" w:hAnsi="Times New Roman"/>
                <w:color w:val="000000"/>
                <w:sz w:val="24"/>
                <w:szCs w:val="24"/>
              </w:rPr>
              <w:t>ative-Naturalized Disequilibrium</w:t>
            </w:r>
          </w:p>
        </w:tc>
      </w:tr>
      <w:tr w:rsidR="00F716B3" w:rsidRPr="00503061" w:rsidTr="00E20FFE">
        <w:trPr>
          <w:trHeight w:val="300"/>
        </w:trPr>
        <w:tc>
          <w:tcPr>
            <w:tcW w:w="2430" w:type="dxa"/>
            <w:vMerge/>
            <w:tcBorders>
              <w:left w:val="nil"/>
              <w:bottom w:val="single" w:sz="4" w:space="0" w:color="auto"/>
              <w:right w:val="single" w:sz="4" w:space="0" w:color="auto"/>
            </w:tcBorders>
            <w:shd w:val="clear" w:color="auto" w:fill="auto"/>
            <w:noWrap/>
            <w:vAlign w:val="bottom"/>
            <w:hideMark/>
          </w:tcPr>
          <w:p w:rsidR="00F716B3" w:rsidRPr="00503061" w:rsidRDefault="00F716B3" w:rsidP="009F7C44">
            <w:pPr>
              <w:spacing w:after="0" w:line="240" w:lineRule="auto"/>
              <w:rPr>
                <w:rFonts w:ascii="Times New Roman" w:hAnsi="Times New Roman"/>
                <w:color w:val="000000"/>
                <w:sz w:val="24"/>
                <w:szCs w:val="24"/>
                <w:lang w:val="en-GB" w:eastAsia="en-GB"/>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B3" w:rsidRPr="00503061" w:rsidRDefault="00F716B3" w:rsidP="009F7C44">
            <w:pPr>
              <w:spacing w:after="0" w:line="240" w:lineRule="auto"/>
              <w:jc w:val="center"/>
              <w:rPr>
                <w:rFonts w:ascii="Times New Roman" w:hAnsi="Times New Roman"/>
                <w:color w:val="000000"/>
                <w:sz w:val="24"/>
                <w:szCs w:val="24"/>
                <w:lang w:val="en-GB" w:eastAsia="en-GB"/>
              </w:rPr>
            </w:pPr>
            <w:proofErr w:type="spellStart"/>
            <w:r w:rsidRPr="00503061">
              <w:rPr>
                <w:rFonts w:ascii="Times New Roman" w:hAnsi="Times New Roman"/>
                <w:color w:val="000000"/>
                <w:sz w:val="24"/>
                <w:szCs w:val="24"/>
                <w:lang w:val="en-GB" w:eastAsia="en-GB"/>
              </w:rPr>
              <w:t>qAIC</w:t>
            </w:r>
            <w:proofErr w:type="spellEnd"/>
            <w:r w:rsidRPr="00503061">
              <w:rPr>
                <w:rFonts w:ascii="Times New Roman" w:hAnsi="Times New Roman"/>
                <w:color w:val="000000"/>
                <w:sz w:val="24"/>
                <w:szCs w:val="24"/>
                <w:lang w:val="en-GB" w:eastAsia="en-GB"/>
              </w:rPr>
              <w:t xml:space="preserve"> weight</w:t>
            </w:r>
          </w:p>
        </w:tc>
        <w:tc>
          <w:tcPr>
            <w:tcW w:w="1381" w:type="dxa"/>
            <w:tcBorders>
              <w:top w:val="single" w:sz="4" w:space="0" w:color="auto"/>
              <w:left w:val="single" w:sz="4" w:space="0" w:color="auto"/>
              <w:bottom w:val="single" w:sz="4" w:space="0" w:color="auto"/>
              <w:right w:val="nil"/>
            </w:tcBorders>
            <w:shd w:val="clear" w:color="auto" w:fill="auto"/>
            <w:noWrap/>
            <w:vAlign w:val="bottom"/>
            <w:hideMark/>
          </w:tcPr>
          <w:p w:rsidR="00F716B3" w:rsidRPr="00503061" w:rsidRDefault="00F716B3" w:rsidP="009F7C44">
            <w:pPr>
              <w:spacing w:after="0" w:line="240" w:lineRule="auto"/>
              <w:jc w:val="center"/>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Model-averaged estimate</w:t>
            </w:r>
          </w:p>
        </w:tc>
        <w:tc>
          <w:tcPr>
            <w:tcW w:w="1170" w:type="dxa"/>
            <w:tcBorders>
              <w:top w:val="single" w:sz="4" w:space="0" w:color="auto"/>
              <w:left w:val="single" w:sz="4" w:space="0" w:color="auto"/>
              <w:bottom w:val="single" w:sz="4" w:space="0" w:color="auto"/>
              <w:right w:val="nil"/>
            </w:tcBorders>
            <w:vAlign w:val="bottom"/>
          </w:tcPr>
          <w:p w:rsidR="00F716B3" w:rsidRPr="00503061" w:rsidRDefault="00F716B3" w:rsidP="009F7C44">
            <w:pPr>
              <w:spacing w:after="0" w:line="240" w:lineRule="auto"/>
              <w:jc w:val="center"/>
              <w:rPr>
                <w:rFonts w:ascii="Times New Roman" w:hAnsi="Times New Roman"/>
                <w:color w:val="000000"/>
                <w:sz w:val="24"/>
                <w:szCs w:val="24"/>
                <w:lang w:val="en-GB" w:eastAsia="en-GB"/>
              </w:rPr>
            </w:pPr>
            <w:proofErr w:type="spellStart"/>
            <w:r w:rsidRPr="00503061">
              <w:rPr>
                <w:rFonts w:ascii="Times New Roman" w:hAnsi="Times New Roman"/>
                <w:color w:val="000000"/>
                <w:sz w:val="24"/>
                <w:szCs w:val="24"/>
                <w:lang w:val="en-GB" w:eastAsia="en-GB"/>
              </w:rPr>
              <w:t>qAIC</w:t>
            </w:r>
            <w:proofErr w:type="spellEnd"/>
            <w:r w:rsidRPr="00503061">
              <w:rPr>
                <w:rFonts w:ascii="Times New Roman" w:hAnsi="Times New Roman"/>
                <w:color w:val="000000"/>
                <w:sz w:val="24"/>
                <w:szCs w:val="24"/>
                <w:lang w:val="en-GB" w:eastAsia="en-GB"/>
              </w:rPr>
              <w:t xml:space="preserve"> weight</w:t>
            </w:r>
          </w:p>
        </w:tc>
        <w:tc>
          <w:tcPr>
            <w:tcW w:w="1350" w:type="dxa"/>
            <w:tcBorders>
              <w:top w:val="single" w:sz="4" w:space="0" w:color="auto"/>
              <w:left w:val="single" w:sz="4" w:space="0" w:color="auto"/>
              <w:bottom w:val="single" w:sz="4" w:space="0" w:color="auto"/>
              <w:right w:val="nil"/>
            </w:tcBorders>
            <w:vAlign w:val="bottom"/>
          </w:tcPr>
          <w:p w:rsidR="00F716B3" w:rsidRPr="00503061" w:rsidRDefault="00F716B3" w:rsidP="009F7C44">
            <w:pPr>
              <w:spacing w:after="0" w:line="240" w:lineRule="auto"/>
              <w:jc w:val="center"/>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Model-averaged estimate</w:t>
            </w:r>
          </w:p>
        </w:tc>
        <w:tc>
          <w:tcPr>
            <w:tcW w:w="990" w:type="dxa"/>
            <w:tcBorders>
              <w:top w:val="single" w:sz="4" w:space="0" w:color="auto"/>
              <w:left w:val="single" w:sz="4" w:space="0" w:color="auto"/>
              <w:bottom w:val="single" w:sz="4" w:space="0" w:color="auto"/>
              <w:right w:val="nil"/>
            </w:tcBorders>
            <w:vAlign w:val="bottom"/>
          </w:tcPr>
          <w:p w:rsidR="00F716B3" w:rsidRPr="00503061" w:rsidRDefault="00F716B3" w:rsidP="009F7C44">
            <w:pPr>
              <w:spacing w:after="0" w:line="240" w:lineRule="auto"/>
              <w:jc w:val="center"/>
              <w:rPr>
                <w:rFonts w:ascii="Times New Roman" w:hAnsi="Times New Roman"/>
                <w:color w:val="000000"/>
                <w:sz w:val="24"/>
                <w:szCs w:val="24"/>
                <w:lang w:val="en-GB" w:eastAsia="en-GB"/>
              </w:rPr>
            </w:pPr>
            <w:proofErr w:type="spellStart"/>
            <w:r w:rsidRPr="00503061">
              <w:rPr>
                <w:rFonts w:ascii="Times New Roman" w:hAnsi="Times New Roman"/>
                <w:color w:val="000000"/>
                <w:sz w:val="24"/>
                <w:szCs w:val="24"/>
                <w:lang w:val="en-GB" w:eastAsia="en-GB"/>
              </w:rPr>
              <w:t>qAIC</w:t>
            </w:r>
            <w:proofErr w:type="spellEnd"/>
            <w:r w:rsidRPr="00503061">
              <w:rPr>
                <w:rFonts w:ascii="Times New Roman" w:hAnsi="Times New Roman"/>
                <w:color w:val="000000"/>
                <w:sz w:val="24"/>
                <w:szCs w:val="24"/>
                <w:lang w:val="en-GB" w:eastAsia="en-GB"/>
              </w:rPr>
              <w:t xml:space="preserve"> weight</w:t>
            </w:r>
          </w:p>
        </w:tc>
        <w:tc>
          <w:tcPr>
            <w:tcW w:w="1260" w:type="dxa"/>
            <w:tcBorders>
              <w:top w:val="single" w:sz="4" w:space="0" w:color="auto"/>
              <w:left w:val="single" w:sz="4" w:space="0" w:color="auto"/>
              <w:bottom w:val="single" w:sz="4" w:space="0" w:color="auto"/>
              <w:right w:val="nil"/>
            </w:tcBorders>
            <w:vAlign w:val="bottom"/>
          </w:tcPr>
          <w:p w:rsidR="00F716B3" w:rsidRPr="00503061" w:rsidRDefault="00F716B3" w:rsidP="009F7C44">
            <w:pPr>
              <w:spacing w:after="0" w:line="240" w:lineRule="auto"/>
              <w:jc w:val="center"/>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Model-averaged estimate</w:t>
            </w:r>
          </w:p>
        </w:tc>
      </w:tr>
      <w:tr w:rsidR="00FA6036" w:rsidRPr="00503061" w:rsidTr="00FA6036">
        <w:trPr>
          <w:trHeight w:val="300"/>
        </w:trPr>
        <w:tc>
          <w:tcPr>
            <w:tcW w:w="2430" w:type="dxa"/>
            <w:tcBorders>
              <w:top w:val="single" w:sz="4" w:space="0" w:color="auto"/>
              <w:left w:val="nil"/>
              <w:bottom w:val="nil"/>
              <w:right w:val="single" w:sz="4" w:space="0" w:color="auto"/>
            </w:tcBorders>
            <w:shd w:val="clear" w:color="auto" w:fill="auto"/>
            <w:noWrap/>
            <w:hideMark/>
          </w:tcPr>
          <w:p w:rsidR="00FA6036" w:rsidRPr="00503061" w:rsidRDefault="00FA6036" w:rsidP="00B36559">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log(Native range size)</w:t>
            </w:r>
          </w:p>
        </w:tc>
        <w:tc>
          <w:tcPr>
            <w:tcW w:w="959" w:type="dxa"/>
            <w:tcBorders>
              <w:top w:val="single" w:sz="4" w:space="0" w:color="auto"/>
              <w:left w:val="single" w:sz="4" w:space="0" w:color="auto"/>
              <w:bottom w:val="nil"/>
              <w:right w:val="single" w:sz="4" w:space="0" w:color="auto"/>
            </w:tcBorders>
            <w:shd w:val="clear" w:color="auto" w:fill="auto"/>
            <w:noWrap/>
          </w:tcPr>
          <w:p w:rsidR="00FA6036" w:rsidRDefault="00FA6036" w:rsidP="00FA6036">
            <w:pPr>
              <w:jc w:val="center"/>
              <w:rPr>
                <w:rFonts w:ascii="Calibri" w:hAnsi="Calibri"/>
                <w:color w:val="000000"/>
              </w:rPr>
            </w:pPr>
            <w:r>
              <w:rPr>
                <w:rFonts w:ascii="Calibri" w:hAnsi="Calibri"/>
                <w:color w:val="000000"/>
              </w:rPr>
              <w:t>0.153</w:t>
            </w:r>
          </w:p>
        </w:tc>
        <w:tc>
          <w:tcPr>
            <w:tcW w:w="1381" w:type="dxa"/>
            <w:tcBorders>
              <w:top w:val="single" w:sz="4" w:space="0" w:color="auto"/>
              <w:left w:val="single" w:sz="4" w:space="0" w:color="auto"/>
              <w:bottom w:val="nil"/>
              <w:right w:val="nil"/>
            </w:tcBorders>
            <w:shd w:val="clear" w:color="auto" w:fill="auto"/>
            <w:noWrap/>
          </w:tcPr>
          <w:p w:rsidR="00FA6036" w:rsidRDefault="00FA6036" w:rsidP="00FA6036">
            <w:pPr>
              <w:jc w:val="center"/>
              <w:rPr>
                <w:rFonts w:ascii="Calibri" w:hAnsi="Calibri"/>
                <w:color w:val="000000"/>
              </w:rPr>
            </w:pPr>
            <w:r>
              <w:rPr>
                <w:rFonts w:ascii="Calibri" w:hAnsi="Calibri"/>
                <w:color w:val="000000"/>
              </w:rPr>
              <w:t>-0.035 (0.086)</w:t>
            </w:r>
          </w:p>
        </w:tc>
        <w:tc>
          <w:tcPr>
            <w:tcW w:w="1170" w:type="dxa"/>
            <w:tcBorders>
              <w:top w:val="single" w:sz="4" w:space="0" w:color="auto"/>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0.438</w:t>
            </w:r>
          </w:p>
        </w:tc>
        <w:tc>
          <w:tcPr>
            <w:tcW w:w="1350" w:type="dxa"/>
            <w:tcBorders>
              <w:top w:val="single" w:sz="4" w:space="0" w:color="auto"/>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-0.097 (0.616)</w:t>
            </w:r>
          </w:p>
        </w:tc>
        <w:tc>
          <w:tcPr>
            <w:tcW w:w="990" w:type="dxa"/>
            <w:tcBorders>
              <w:top w:val="single" w:sz="4" w:space="0" w:color="auto"/>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0.297</w:t>
            </w:r>
          </w:p>
        </w:tc>
        <w:tc>
          <w:tcPr>
            <w:tcW w:w="1260" w:type="dxa"/>
            <w:tcBorders>
              <w:top w:val="single" w:sz="4" w:space="0" w:color="auto"/>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-0.152 (0.307)</w:t>
            </w:r>
          </w:p>
        </w:tc>
      </w:tr>
      <w:tr w:rsidR="00FA6036" w:rsidRPr="00503061" w:rsidTr="00FA6036">
        <w:trPr>
          <w:trHeight w:val="300"/>
        </w:trPr>
        <w:tc>
          <w:tcPr>
            <w:tcW w:w="2430" w:type="dxa"/>
            <w:tcBorders>
              <w:top w:val="nil"/>
              <w:left w:val="nil"/>
              <w:bottom w:val="nil"/>
              <w:right w:val="single" w:sz="4" w:space="0" w:color="auto"/>
            </w:tcBorders>
            <w:shd w:val="clear" w:color="auto" w:fill="auto"/>
            <w:noWrap/>
            <w:hideMark/>
          </w:tcPr>
          <w:p w:rsidR="00FA6036" w:rsidRPr="00503061" w:rsidRDefault="00FA6036" w:rsidP="009F7C44">
            <w:pPr>
              <w:spacing w:after="0" w:line="240" w:lineRule="auto"/>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Native niche-breadth</w:t>
            </w:r>
          </w:p>
        </w:tc>
        <w:tc>
          <w:tcPr>
            <w:tcW w:w="959" w:type="dxa"/>
            <w:tcBorders>
              <w:top w:val="nil"/>
              <w:left w:val="single" w:sz="4" w:space="0" w:color="auto"/>
              <w:bottom w:val="nil"/>
              <w:right w:val="single" w:sz="4" w:space="0" w:color="auto"/>
            </w:tcBorders>
            <w:shd w:val="clear" w:color="auto" w:fill="auto"/>
            <w:noWrap/>
          </w:tcPr>
          <w:p w:rsidR="00FA6036" w:rsidRDefault="00FA6036" w:rsidP="00FA6036">
            <w:pPr>
              <w:jc w:val="center"/>
              <w:rPr>
                <w:rFonts w:ascii="Calibri" w:hAnsi="Calibri"/>
                <w:color w:val="000000"/>
              </w:rPr>
            </w:pPr>
            <w:r>
              <w:rPr>
                <w:rFonts w:ascii="Calibri" w:hAnsi="Calibri"/>
                <w:color w:val="000000"/>
              </w:rPr>
              <w:t>1</w:t>
            </w:r>
          </w:p>
        </w:tc>
        <w:tc>
          <w:tcPr>
            <w:tcW w:w="1381" w:type="dxa"/>
            <w:tcBorders>
              <w:top w:val="nil"/>
              <w:left w:val="single" w:sz="4" w:space="0" w:color="auto"/>
              <w:bottom w:val="nil"/>
              <w:right w:val="nil"/>
            </w:tcBorders>
            <w:shd w:val="clear" w:color="auto" w:fill="auto"/>
            <w:noWrap/>
          </w:tcPr>
          <w:p w:rsidR="00FA6036" w:rsidRDefault="00FA6036" w:rsidP="00FA6036">
            <w:pPr>
              <w:jc w:val="center"/>
              <w:rPr>
                <w:rFonts w:ascii="Calibri" w:hAnsi="Calibri"/>
                <w:color w:val="000000"/>
              </w:rPr>
            </w:pPr>
            <w:r>
              <w:rPr>
                <w:rFonts w:ascii="Calibri" w:hAnsi="Calibri"/>
                <w:color w:val="000000"/>
              </w:rPr>
              <w:t>-1.359 (0.208)</w:t>
            </w:r>
          </w:p>
        </w:tc>
        <w:tc>
          <w:tcPr>
            <w:tcW w:w="117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0.303</w:t>
            </w:r>
          </w:p>
        </w:tc>
        <w:tc>
          <w:tcPr>
            <w:tcW w:w="135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-0.12 (0.191)</w:t>
            </w:r>
          </w:p>
        </w:tc>
        <w:tc>
          <w:tcPr>
            <w:tcW w:w="99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0.426</w:t>
            </w:r>
          </w:p>
        </w:tc>
        <w:tc>
          <w:tcPr>
            <w:tcW w:w="126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-1.002 (0.951)</w:t>
            </w:r>
          </w:p>
        </w:tc>
      </w:tr>
      <w:tr w:rsidR="00FA6036" w:rsidRPr="00503061" w:rsidTr="00FA6036">
        <w:trPr>
          <w:trHeight w:val="300"/>
        </w:trPr>
        <w:tc>
          <w:tcPr>
            <w:tcW w:w="2430" w:type="dxa"/>
            <w:tcBorders>
              <w:top w:val="nil"/>
              <w:left w:val="nil"/>
              <w:bottom w:val="nil"/>
              <w:right w:val="single" w:sz="4" w:space="0" w:color="auto"/>
            </w:tcBorders>
            <w:shd w:val="clear" w:color="auto" w:fill="auto"/>
            <w:noWrap/>
            <w:hideMark/>
          </w:tcPr>
          <w:p w:rsidR="00FA6036" w:rsidRPr="00503061" w:rsidRDefault="00FA6036" w:rsidP="009F7C44">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log(</w:t>
            </w:r>
            <w:r w:rsidRPr="00503061">
              <w:rPr>
                <w:rFonts w:ascii="Times New Roman" w:hAnsi="Times New Roman"/>
                <w:color w:val="000000"/>
                <w:sz w:val="24"/>
                <w:szCs w:val="24"/>
                <w:lang w:val="en-GB" w:eastAsia="en-GB"/>
              </w:rPr>
              <w:t>Native marginality</w:t>
            </w:r>
            <w:r>
              <w:rPr>
                <w:rFonts w:ascii="Times New Roman" w:hAnsi="Times New Roman"/>
                <w:color w:val="000000"/>
                <w:sz w:val="24"/>
                <w:szCs w:val="24"/>
                <w:lang w:val="en-GB" w:eastAsia="en-GB"/>
              </w:rPr>
              <w:t>)</w:t>
            </w:r>
          </w:p>
        </w:tc>
        <w:tc>
          <w:tcPr>
            <w:tcW w:w="959" w:type="dxa"/>
            <w:tcBorders>
              <w:top w:val="nil"/>
              <w:left w:val="single" w:sz="4" w:space="0" w:color="auto"/>
              <w:bottom w:val="nil"/>
              <w:right w:val="single" w:sz="4" w:space="0" w:color="auto"/>
            </w:tcBorders>
            <w:shd w:val="clear" w:color="auto" w:fill="auto"/>
            <w:noWrap/>
          </w:tcPr>
          <w:p w:rsidR="00FA6036" w:rsidRDefault="00FA6036" w:rsidP="00FA6036">
            <w:pPr>
              <w:jc w:val="center"/>
              <w:rPr>
                <w:rFonts w:ascii="Calibri" w:hAnsi="Calibri"/>
                <w:color w:val="000000"/>
              </w:rPr>
            </w:pPr>
            <w:r>
              <w:rPr>
                <w:rFonts w:ascii="Calibri" w:hAnsi="Calibri"/>
                <w:color w:val="000000"/>
              </w:rPr>
              <w:t>0.275</w:t>
            </w:r>
          </w:p>
        </w:tc>
        <w:tc>
          <w:tcPr>
            <w:tcW w:w="1381" w:type="dxa"/>
            <w:tcBorders>
              <w:top w:val="nil"/>
              <w:left w:val="single" w:sz="4" w:space="0" w:color="auto"/>
              <w:bottom w:val="nil"/>
              <w:right w:val="nil"/>
            </w:tcBorders>
            <w:shd w:val="clear" w:color="auto" w:fill="auto"/>
            <w:noWrap/>
          </w:tcPr>
          <w:p w:rsidR="00FA6036" w:rsidRDefault="00FA6036" w:rsidP="00FA6036">
            <w:pPr>
              <w:jc w:val="center"/>
              <w:rPr>
                <w:rFonts w:ascii="Calibri" w:hAnsi="Calibri"/>
                <w:color w:val="000000"/>
              </w:rPr>
            </w:pPr>
            <w:r>
              <w:rPr>
                <w:rFonts w:ascii="Calibri" w:hAnsi="Calibri"/>
                <w:color w:val="000000"/>
              </w:rPr>
              <w:t>0.093 (0.147)</w:t>
            </w:r>
          </w:p>
        </w:tc>
        <w:tc>
          <w:tcPr>
            <w:tcW w:w="117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0.224</w:t>
            </w:r>
          </w:p>
        </w:tc>
        <w:tc>
          <w:tcPr>
            <w:tcW w:w="135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0.037 (0.082)</w:t>
            </w:r>
          </w:p>
        </w:tc>
        <w:tc>
          <w:tcPr>
            <w:tcW w:w="99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0.233</w:t>
            </w:r>
          </w:p>
        </w:tc>
        <w:tc>
          <w:tcPr>
            <w:tcW w:w="126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0.049 (0.098)</w:t>
            </w:r>
          </w:p>
        </w:tc>
      </w:tr>
      <w:tr w:rsidR="00FA6036" w:rsidRPr="00503061" w:rsidTr="00FA6036">
        <w:trPr>
          <w:trHeight w:val="558"/>
        </w:trPr>
        <w:tc>
          <w:tcPr>
            <w:tcW w:w="2430" w:type="dxa"/>
            <w:tcBorders>
              <w:top w:val="nil"/>
              <w:left w:val="nil"/>
              <w:bottom w:val="nil"/>
              <w:right w:val="single" w:sz="4" w:space="0" w:color="auto"/>
            </w:tcBorders>
            <w:shd w:val="clear" w:color="auto" w:fill="auto"/>
            <w:noWrap/>
            <w:hideMark/>
          </w:tcPr>
          <w:p w:rsidR="00FA6036" w:rsidRPr="00503061" w:rsidRDefault="00FA6036" w:rsidP="009F7C44">
            <w:pPr>
              <w:spacing w:after="0" w:line="240" w:lineRule="auto"/>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Time since introduction</w:t>
            </w:r>
          </w:p>
        </w:tc>
        <w:tc>
          <w:tcPr>
            <w:tcW w:w="959" w:type="dxa"/>
            <w:tcBorders>
              <w:top w:val="nil"/>
              <w:left w:val="single" w:sz="4" w:space="0" w:color="auto"/>
              <w:bottom w:val="nil"/>
              <w:right w:val="single" w:sz="4" w:space="0" w:color="auto"/>
            </w:tcBorders>
            <w:shd w:val="clear" w:color="auto" w:fill="auto"/>
            <w:noWrap/>
          </w:tcPr>
          <w:p w:rsidR="00FA6036" w:rsidRDefault="00FA6036" w:rsidP="00FA6036">
            <w:pPr>
              <w:jc w:val="center"/>
              <w:rPr>
                <w:rFonts w:ascii="Calibri" w:hAnsi="Calibri"/>
                <w:color w:val="000000"/>
              </w:rPr>
            </w:pPr>
            <w:r>
              <w:rPr>
                <w:rFonts w:ascii="Calibri" w:hAnsi="Calibri"/>
                <w:color w:val="000000"/>
              </w:rPr>
              <w:t>0.294</w:t>
            </w:r>
          </w:p>
        </w:tc>
        <w:tc>
          <w:tcPr>
            <w:tcW w:w="1381" w:type="dxa"/>
            <w:tcBorders>
              <w:top w:val="nil"/>
              <w:left w:val="single" w:sz="4" w:space="0" w:color="auto"/>
              <w:bottom w:val="nil"/>
              <w:right w:val="nil"/>
            </w:tcBorders>
            <w:shd w:val="clear" w:color="auto" w:fill="auto"/>
            <w:noWrap/>
          </w:tcPr>
          <w:p w:rsidR="00FA6036" w:rsidRDefault="00FA6036" w:rsidP="00FA6036">
            <w:pPr>
              <w:jc w:val="center"/>
              <w:rPr>
                <w:rFonts w:ascii="Calibri" w:hAnsi="Calibri"/>
                <w:color w:val="000000"/>
              </w:rPr>
            </w:pPr>
            <w:r>
              <w:rPr>
                <w:rFonts w:ascii="Calibri" w:hAnsi="Calibri"/>
                <w:color w:val="000000"/>
              </w:rPr>
              <w:t>-0.002 (0.002)</w:t>
            </w:r>
          </w:p>
        </w:tc>
        <w:tc>
          <w:tcPr>
            <w:tcW w:w="117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0.297</w:t>
            </w:r>
          </w:p>
        </w:tc>
        <w:tc>
          <w:tcPr>
            <w:tcW w:w="135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-0.001 (0.001)</w:t>
            </w:r>
          </w:p>
        </w:tc>
        <w:tc>
          <w:tcPr>
            <w:tcW w:w="99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0.298</w:t>
            </w:r>
          </w:p>
        </w:tc>
        <w:tc>
          <w:tcPr>
            <w:tcW w:w="1260" w:type="dxa"/>
            <w:tcBorders>
              <w:top w:val="nil"/>
              <w:left w:val="single" w:sz="4" w:space="0" w:color="auto"/>
              <w:bottom w:val="nil"/>
              <w:right w:val="nil"/>
            </w:tcBorders>
          </w:tcPr>
          <w:p w:rsidR="00FA6036" w:rsidRDefault="00FA6036" w:rsidP="00FA6036">
            <w:pPr>
              <w:jc w:val="center"/>
              <w:rPr>
                <w:rFonts w:ascii="Calibri" w:hAnsi="Calibri"/>
                <w:color w:val="000000"/>
              </w:rPr>
            </w:pPr>
            <w:r>
              <w:rPr>
                <w:rFonts w:ascii="Calibri" w:hAnsi="Calibri"/>
                <w:color w:val="000000"/>
              </w:rPr>
              <w:t>-0.001 (0.002)</w:t>
            </w:r>
          </w:p>
        </w:tc>
      </w:tr>
      <w:tr w:rsidR="00FA6036" w:rsidRPr="00503061" w:rsidTr="00CA7F12">
        <w:trPr>
          <w:trHeight w:val="300"/>
        </w:trPr>
        <w:tc>
          <w:tcPr>
            <w:tcW w:w="2430" w:type="dxa"/>
            <w:tcBorders>
              <w:top w:val="nil"/>
              <w:left w:val="nil"/>
              <w:right w:val="single" w:sz="4" w:space="0" w:color="auto"/>
            </w:tcBorders>
            <w:shd w:val="clear" w:color="auto" w:fill="auto"/>
            <w:noWrap/>
          </w:tcPr>
          <w:p w:rsidR="00FA6036" w:rsidRPr="00503061" w:rsidRDefault="00FA6036" w:rsidP="00B36559">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log(Native range size ^2)</w:t>
            </w:r>
          </w:p>
        </w:tc>
        <w:tc>
          <w:tcPr>
            <w:tcW w:w="959" w:type="dxa"/>
            <w:tcBorders>
              <w:top w:val="nil"/>
              <w:left w:val="single" w:sz="4" w:space="0" w:color="auto"/>
              <w:right w:val="single" w:sz="4" w:space="0" w:color="auto"/>
            </w:tcBorders>
            <w:shd w:val="clear" w:color="auto" w:fill="auto"/>
            <w:noWrap/>
          </w:tcPr>
          <w:p w:rsidR="00FA6036" w:rsidRDefault="00FA6036" w:rsidP="00FA6036">
            <w:pPr>
              <w:jc w:val="center"/>
              <w:rPr>
                <w:rFonts w:ascii="Calibri" w:hAnsi="Calibri"/>
                <w:color w:val="000000"/>
              </w:rPr>
            </w:pPr>
          </w:p>
        </w:tc>
        <w:tc>
          <w:tcPr>
            <w:tcW w:w="1381" w:type="dxa"/>
            <w:tcBorders>
              <w:top w:val="nil"/>
              <w:left w:val="single" w:sz="4" w:space="0" w:color="auto"/>
              <w:right w:val="nil"/>
            </w:tcBorders>
            <w:shd w:val="clear" w:color="auto" w:fill="auto"/>
            <w:noWrap/>
          </w:tcPr>
          <w:p w:rsidR="00FA6036" w:rsidRDefault="00FA6036" w:rsidP="00FA6036">
            <w:pPr>
              <w:jc w:val="center"/>
              <w:rPr>
                <w:rFonts w:ascii="Calibri" w:hAnsi="Calibri"/>
                <w:color w:val="000000"/>
              </w:rPr>
            </w:pPr>
          </w:p>
        </w:tc>
        <w:tc>
          <w:tcPr>
            <w:tcW w:w="1170" w:type="dxa"/>
            <w:tcBorders>
              <w:top w:val="nil"/>
              <w:left w:val="single" w:sz="4" w:space="0" w:color="auto"/>
              <w:right w:val="nil"/>
            </w:tcBorders>
          </w:tcPr>
          <w:p w:rsidR="00FA6036" w:rsidRDefault="00FA6036" w:rsidP="00FA6036">
            <w:pPr>
              <w:jc w:val="center"/>
              <w:rPr>
                <w:rFonts w:ascii="Calibri" w:hAnsi="Calibri"/>
              </w:rPr>
            </w:pPr>
            <w:r>
              <w:rPr>
                <w:rFonts w:ascii="Calibri" w:hAnsi="Calibri"/>
              </w:rPr>
              <w:t>0.065</w:t>
            </w:r>
          </w:p>
        </w:tc>
        <w:tc>
          <w:tcPr>
            <w:tcW w:w="1350" w:type="dxa"/>
            <w:tcBorders>
              <w:top w:val="nil"/>
              <w:left w:val="single" w:sz="4" w:space="0" w:color="auto"/>
              <w:right w:val="nil"/>
            </w:tcBorders>
          </w:tcPr>
          <w:p w:rsidR="00FA6036" w:rsidRDefault="00FA6036" w:rsidP="00FA6036">
            <w:pPr>
              <w:jc w:val="center"/>
              <w:rPr>
                <w:rFonts w:ascii="Calibri" w:hAnsi="Calibri"/>
                <w:color w:val="000000"/>
              </w:rPr>
            </w:pPr>
            <w:r>
              <w:rPr>
                <w:rFonts w:ascii="Calibri" w:hAnsi="Calibri"/>
                <w:color w:val="000000"/>
              </w:rPr>
              <w:t>-0.014 (0.043)</w:t>
            </w:r>
          </w:p>
        </w:tc>
        <w:tc>
          <w:tcPr>
            <w:tcW w:w="990" w:type="dxa"/>
            <w:tcBorders>
              <w:top w:val="nil"/>
              <w:left w:val="single" w:sz="4" w:space="0" w:color="auto"/>
              <w:right w:val="nil"/>
            </w:tcBorders>
          </w:tcPr>
          <w:p w:rsidR="00FA6036" w:rsidRDefault="00FA6036" w:rsidP="00FA6036">
            <w:pPr>
              <w:jc w:val="center"/>
              <w:rPr>
                <w:rFonts w:ascii="Calibri" w:hAnsi="Calibri"/>
                <w:color w:val="000000"/>
              </w:rPr>
            </w:pPr>
          </w:p>
        </w:tc>
        <w:tc>
          <w:tcPr>
            <w:tcW w:w="1260" w:type="dxa"/>
            <w:tcBorders>
              <w:top w:val="nil"/>
              <w:left w:val="single" w:sz="4" w:space="0" w:color="auto"/>
              <w:right w:val="nil"/>
            </w:tcBorders>
          </w:tcPr>
          <w:p w:rsidR="00FA6036" w:rsidRDefault="00FA6036" w:rsidP="00FA6036">
            <w:pPr>
              <w:jc w:val="center"/>
              <w:rPr>
                <w:rFonts w:ascii="Calibri" w:hAnsi="Calibri"/>
                <w:color w:val="000000"/>
              </w:rPr>
            </w:pPr>
          </w:p>
        </w:tc>
      </w:tr>
      <w:tr w:rsidR="00FA6036" w:rsidRPr="00503061" w:rsidTr="00CA7F12">
        <w:trPr>
          <w:trHeight w:val="300"/>
        </w:trPr>
        <w:tc>
          <w:tcPr>
            <w:tcW w:w="2430" w:type="dxa"/>
            <w:tcBorders>
              <w:top w:val="nil"/>
              <w:left w:val="nil"/>
              <w:bottom w:val="single" w:sz="4" w:space="0" w:color="auto"/>
              <w:right w:val="single" w:sz="4" w:space="0" w:color="auto"/>
            </w:tcBorders>
            <w:shd w:val="clear" w:color="auto" w:fill="auto"/>
            <w:noWrap/>
            <w:hideMark/>
          </w:tcPr>
          <w:p w:rsidR="00FA6036" w:rsidRPr="00503061" w:rsidRDefault="00FA6036" w:rsidP="009F7C44">
            <w:pPr>
              <w:spacing w:after="0" w:line="240" w:lineRule="auto"/>
              <w:rPr>
                <w:rFonts w:ascii="Times New Roman" w:hAnsi="Times New Roman"/>
                <w:color w:val="000000"/>
                <w:sz w:val="24"/>
                <w:szCs w:val="24"/>
                <w:lang w:val="en-GB" w:eastAsia="en-GB"/>
              </w:rPr>
            </w:pPr>
            <w:r w:rsidRPr="00503061">
              <w:rPr>
                <w:rFonts w:ascii="Times New Roman" w:hAnsi="Times New Roman"/>
                <w:color w:val="000000"/>
                <w:sz w:val="24"/>
                <w:szCs w:val="24"/>
                <w:lang w:val="en-GB" w:eastAsia="en-GB"/>
              </w:rPr>
              <w:t>Native niche-breadth ^2</w:t>
            </w:r>
          </w:p>
        </w:tc>
        <w:tc>
          <w:tcPr>
            <w:tcW w:w="959" w:type="dxa"/>
            <w:tcBorders>
              <w:top w:val="nil"/>
              <w:left w:val="single" w:sz="4" w:space="0" w:color="auto"/>
              <w:bottom w:val="single" w:sz="4" w:space="0" w:color="auto"/>
              <w:right w:val="single" w:sz="4" w:space="0" w:color="auto"/>
            </w:tcBorders>
            <w:shd w:val="clear" w:color="auto" w:fill="auto"/>
            <w:noWrap/>
          </w:tcPr>
          <w:p w:rsidR="00FA6036" w:rsidRDefault="00FA6036" w:rsidP="00FA6036">
            <w:pPr>
              <w:jc w:val="center"/>
              <w:rPr>
                <w:rFonts w:ascii="Calibri" w:hAnsi="Calibri"/>
                <w:color w:val="000000"/>
              </w:rPr>
            </w:pPr>
            <w:r>
              <w:rPr>
                <w:rFonts w:ascii="Calibri" w:hAnsi="Calibri"/>
                <w:color w:val="000000"/>
              </w:rPr>
              <w:t>0.112</w:t>
            </w:r>
          </w:p>
        </w:tc>
        <w:tc>
          <w:tcPr>
            <w:tcW w:w="1381" w:type="dxa"/>
            <w:tcBorders>
              <w:top w:val="nil"/>
              <w:left w:val="single" w:sz="4" w:space="0" w:color="auto"/>
              <w:bottom w:val="single" w:sz="4" w:space="0" w:color="auto"/>
              <w:right w:val="nil"/>
            </w:tcBorders>
            <w:shd w:val="clear" w:color="auto" w:fill="auto"/>
            <w:noWrap/>
          </w:tcPr>
          <w:p w:rsidR="00FA6036" w:rsidRDefault="00FA6036" w:rsidP="00FA6036">
            <w:pPr>
              <w:jc w:val="center"/>
              <w:rPr>
                <w:rFonts w:ascii="Calibri" w:hAnsi="Calibri"/>
                <w:color w:val="000000"/>
              </w:rPr>
            </w:pPr>
            <w:r>
              <w:rPr>
                <w:rFonts w:ascii="Calibri" w:hAnsi="Calibri"/>
                <w:color w:val="000000"/>
              </w:rPr>
              <w:t>-0.026 (0.062)</w:t>
            </w:r>
          </w:p>
        </w:tc>
        <w:tc>
          <w:tcPr>
            <w:tcW w:w="1170" w:type="dxa"/>
            <w:tcBorders>
              <w:top w:val="nil"/>
              <w:left w:val="single" w:sz="4" w:space="0" w:color="auto"/>
              <w:bottom w:val="single" w:sz="4" w:space="0" w:color="auto"/>
              <w:right w:val="nil"/>
            </w:tcBorders>
          </w:tcPr>
          <w:p w:rsidR="00FA6036" w:rsidRDefault="00FA6036" w:rsidP="00FA6036">
            <w:pPr>
              <w:jc w:val="center"/>
              <w:rPr>
                <w:color w:val="000000"/>
              </w:rPr>
            </w:pPr>
          </w:p>
        </w:tc>
        <w:tc>
          <w:tcPr>
            <w:tcW w:w="1350" w:type="dxa"/>
            <w:tcBorders>
              <w:top w:val="nil"/>
              <w:left w:val="single" w:sz="4" w:space="0" w:color="auto"/>
              <w:bottom w:val="single" w:sz="4" w:space="0" w:color="auto"/>
              <w:right w:val="nil"/>
            </w:tcBorders>
          </w:tcPr>
          <w:p w:rsidR="00FA6036" w:rsidRDefault="00FA6036" w:rsidP="00FA6036">
            <w:pPr>
              <w:jc w:val="center"/>
              <w:rPr>
                <w:color w:val="000000"/>
              </w:rPr>
            </w:pPr>
          </w:p>
        </w:tc>
        <w:tc>
          <w:tcPr>
            <w:tcW w:w="990" w:type="dxa"/>
            <w:tcBorders>
              <w:top w:val="nil"/>
              <w:left w:val="single" w:sz="4" w:space="0" w:color="auto"/>
              <w:bottom w:val="single" w:sz="4" w:space="0" w:color="auto"/>
              <w:right w:val="nil"/>
            </w:tcBorders>
          </w:tcPr>
          <w:p w:rsidR="00FA6036" w:rsidRDefault="00FA6036" w:rsidP="00FA6036">
            <w:pPr>
              <w:jc w:val="center"/>
              <w:rPr>
                <w:rFonts w:ascii="Calibri" w:hAnsi="Calibri"/>
                <w:color w:val="000000"/>
              </w:rPr>
            </w:pPr>
            <w:r>
              <w:rPr>
                <w:rFonts w:ascii="Calibri" w:hAnsi="Calibri"/>
                <w:color w:val="000000"/>
              </w:rPr>
              <w:t>0.063</w:t>
            </w:r>
          </w:p>
        </w:tc>
        <w:tc>
          <w:tcPr>
            <w:tcW w:w="1260" w:type="dxa"/>
            <w:tcBorders>
              <w:top w:val="nil"/>
              <w:left w:val="single" w:sz="4" w:space="0" w:color="auto"/>
              <w:bottom w:val="single" w:sz="4" w:space="0" w:color="auto"/>
              <w:right w:val="nil"/>
            </w:tcBorders>
          </w:tcPr>
          <w:p w:rsidR="00FA6036" w:rsidRDefault="00FA6036" w:rsidP="00FA6036">
            <w:pPr>
              <w:jc w:val="center"/>
              <w:rPr>
                <w:rFonts w:ascii="Calibri" w:hAnsi="Calibri"/>
                <w:color w:val="000000"/>
              </w:rPr>
            </w:pPr>
            <w:r>
              <w:rPr>
                <w:rFonts w:ascii="Calibri" w:hAnsi="Calibri"/>
                <w:color w:val="000000"/>
              </w:rPr>
              <w:t>0.004 (0.012)</w:t>
            </w:r>
          </w:p>
        </w:tc>
      </w:tr>
    </w:tbl>
    <w:p w:rsidR="00F716B3" w:rsidRDefault="00F716B3" w:rsidP="00F716B3">
      <w:pPr>
        <w:spacing w:after="0" w:line="480" w:lineRule="auto"/>
        <w:rPr>
          <w:rFonts w:ascii="Times New Roman" w:hAnsi="Times New Roman" w:cs="Times New Roman"/>
          <w:sz w:val="24"/>
          <w:szCs w:val="24"/>
          <w:u w:val="single"/>
        </w:rPr>
      </w:pPr>
    </w:p>
    <w:p w:rsidR="00C30E4E" w:rsidRDefault="00C30E4E" w:rsidP="00F55BE7">
      <w:pPr>
        <w:rPr>
          <w:rFonts w:ascii="Times New Roman" w:hAnsi="Times New Roman" w:cs="Times New Roman"/>
          <w:sz w:val="24"/>
          <w:szCs w:val="24"/>
          <w:u w:val="single"/>
        </w:rPr>
      </w:pPr>
    </w:p>
    <w:p w:rsidR="00C30E4E" w:rsidRDefault="00C30E4E" w:rsidP="00F55BE7">
      <w:pPr>
        <w:rPr>
          <w:rFonts w:ascii="Times New Roman" w:hAnsi="Times New Roman" w:cs="Times New Roman"/>
          <w:sz w:val="24"/>
          <w:szCs w:val="24"/>
          <w:u w:val="single"/>
        </w:rPr>
      </w:pPr>
    </w:p>
    <w:p w:rsidR="00C30E4E" w:rsidRDefault="00C30E4E">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C3D0B" w:rsidRDefault="00DC3D0B" w:rsidP="00EF6BC7">
      <w:pPr>
        <w:rPr>
          <w:rFonts w:ascii="Times New Roman" w:hAnsi="Times New Roman" w:cs="Times New Roman"/>
          <w:b/>
          <w:sz w:val="24"/>
          <w:szCs w:val="24"/>
        </w:rPr>
      </w:pPr>
    </w:p>
    <w:p w:rsidR="009C6846" w:rsidRDefault="009C6846" w:rsidP="00EF6BC7">
      <w:pP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extent cx="5943600" cy="2971800"/>
            <wp:effectExtent l="0" t="0" r="0" b="0"/>
            <wp:docPr id="6" name="Imagen 6" descr="G:\NON_PROJECT\PAPERS\Early_Sax_NicheShift\SUBMISSION_GEB\SUBMISSION2\S3\F3_1_expansion_rank_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ON_PROJECT\PAPERS\Early_Sax_NicheShift\SUBMISSION_GEB\SUBMISSION2\S3\F3_1_expansion_rank_or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EF6BC7" w:rsidRPr="00D6445B" w:rsidRDefault="00F123EF" w:rsidP="00EF6BC7">
      <w:pPr>
        <w:rPr>
          <w:rFonts w:ascii="Times New Roman" w:hAnsi="Times New Roman" w:cs="Times New Roman"/>
          <w:sz w:val="24"/>
          <w:szCs w:val="24"/>
        </w:rPr>
      </w:pPr>
      <w:r w:rsidRPr="00D6445B">
        <w:rPr>
          <w:rFonts w:ascii="Times New Roman" w:hAnsi="Times New Roman" w:cs="Times New Roman"/>
          <w:b/>
          <w:sz w:val="24"/>
          <w:szCs w:val="24"/>
        </w:rPr>
        <w:t>Figure S3.1</w:t>
      </w:r>
      <w:r w:rsidR="00EF6BC7" w:rsidRPr="00D6445B">
        <w:rPr>
          <w:rFonts w:ascii="Times New Roman" w:hAnsi="Times New Roman" w:cs="Times New Roman"/>
          <w:b/>
          <w:sz w:val="24"/>
          <w:szCs w:val="24"/>
        </w:rPr>
        <w:t>.</w:t>
      </w:r>
      <w:r w:rsidR="00EF6BC7" w:rsidRPr="00D6445B">
        <w:rPr>
          <w:rFonts w:ascii="Times New Roman" w:hAnsi="Times New Roman" w:cs="Times New Roman"/>
          <w:sz w:val="24"/>
          <w:szCs w:val="24"/>
        </w:rPr>
        <w:t xml:space="preserve"> </w:t>
      </w:r>
      <w:r w:rsidR="00757BC6">
        <w:rPr>
          <w:rFonts w:ascii="Times New Roman" w:hAnsi="Times New Roman" w:cs="Times New Roman"/>
          <w:sz w:val="24"/>
          <w:szCs w:val="24"/>
        </w:rPr>
        <w:t>a) Niche expansion for each species, ‘o’ = expansion measured in all USA climate space</w:t>
      </w:r>
      <w:r w:rsidR="00DC3D0B">
        <w:rPr>
          <w:rFonts w:ascii="Times New Roman" w:hAnsi="Times New Roman" w:cs="Times New Roman"/>
          <w:sz w:val="24"/>
          <w:szCs w:val="24"/>
        </w:rPr>
        <w:t xml:space="preserve"> using 3 climate variables</w:t>
      </w:r>
      <w:r w:rsidR="00757BC6">
        <w:rPr>
          <w:rFonts w:ascii="Times New Roman" w:hAnsi="Times New Roman" w:cs="Times New Roman"/>
          <w:sz w:val="24"/>
          <w:szCs w:val="24"/>
        </w:rPr>
        <w:t>, ‘+’ = expansion measured in analogue climate space only</w:t>
      </w:r>
      <w:r w:rsidR="00DC3D0B">
        <w:rPr>
          <w:rFonts w:ascii="Times New Roman" w:hAnsi="Times New Roman" w:cs="Times New Roman"/>
          <w:sz w:val="24"/>
          <w:szCs w:val="24"/>
        </w:rPr>
        <w:t xml:space="preserve"> using 3 climate variables</w:t>
      </w:r>
      <w:r w:rsidR="00757BC6">
        <w:rPr>
          <w:rFonts w:ascii="Times New Roman" w:hAnsi="Times New Roman" w:cs="Times New Roman"/>
          <w:sz w:val="24"/>
          <w:szCs w:val="24"/>
        </w:rPr>
        <w:t xml:space="preserve">, ‘x’ = all climate space, native data includes European naturalised data; b) </w:t>
      </w:r>
      <w:r w:rsidR="00EF6BC7" w:rsidRPr="00D6445B">
        <w:rPr>
          <w:rFonts w:ascii="Times New Roman" w:hAnsi="Times New Roman" w:cs="Times New Roman"/>
          <w:sz w:val="24"/>
          <w:szCs w:val="24"/>
        </w:rPr>
        <w:t>Boxplots show median, 25 and 75% percentiles, whiskers extend to 1.5 * interquartile range, and points are</w:t>
      </w:r>
      <w:r w:rsidR="009B11C7" w:rsidRPr="00D6445B">
        <w:rPr>
          <w:rFonts w:ascii="Times New Roman" w:hAnsi="Times New Roman" w:cs="Times New Roman"/>
          <w:sz w:val="24"/>
          <w:szCs w:val="24"/>
        </w:rPr>
        <w:t xml:space="preserve"> values lying outside this range. </w:t>
      </w:r>
      <w:r w:rsidR="00A26B6A">
        <w:rPr>
          <w:rFonts w:ascii="Times New Roman" w:hAnsi="Times New Roman" w:cs="Times New Roman"/>
          <w:sz w:val="24"/>
          <w:szCs w:val="24"/>
        </w:rPr>
        <w:t xml:space="preserve">Endemics are species endemic to the study region (i.e. excluding the seven species with incomplete data on the native distribution). </w:t>
      </w:r>
      <w:r w:rsidR="00757BC6">
        <w:rPr>
          <w:rFonts w:ascii="Times New Roman" w:hAnsi="Times New Roman" w:cs="Times New Roman"/>
          <w:sz w:val="24"/>
          <w:szCs w:val="24"/>
        </w:rPr>
        <w:t xml:space="preserve">European naturalised data are </w:t>
      </w:r>
      <w:r w:rsidR="00EF6BC7" w:rsidRPr="00D6445B">
        <w:rPr>
          <w:rFonts w:ascii="Times New Roman" w:hAnsi="Times New Roman" w:cs="Times New Roman"/>
          <w:sz w:val="24"/>
          <w:szCs w:val="24"/>
        </w:rPr>
        <w:t>locations where species have naturalised within Europe but outside their historical range</w:t>
      </w:r>
      <w:r w:rsidR="00757BC6">
        <w:rPr>
          <w:rFonts w:ascii="Times New Roman" w:hAnsi="Times New Roman" w:cs="Times New Roman"/>
          <w:sz w:val="24"/>
          <w:szCs w:val="24"/>
        </w:rPr>
        <w:t>.</w:t>
      </w:r>
    </w:p>
    <w:p w:rsidR="00EF6BC7" w:rsidRPr="00D6445B" w:rsidRDefault="00EF6BC7">
      <w:pPr>
        <w:rPr>
          <w:rFonts w:ascii="Times New Roman" w:hAnsi="Times New Roman" w:cs="Times New Roman"/>
          <w:sz w:val="24"/>
          <w:szCs w:val="24"/>
          <w:u w:val="single"/>
        </w:rPr>
      </w:pPr>
    </w:p>
    <w:p w:rsidR="00D6445B" w:rsidRPr="00D6445B" w:rsidRDefault="00442BA2" w:rsidP="00F123EF">
      <w:pPr>
        <w:rPr>
          <w:rFonts w:ascii="Times New Roman" w:hAnsi="Times New Roman" w:cs="Times New Roman"/>
          <w:b/>
          <w:sz w:val="24"/>
          <w:szCs w:val="24"/>
        </w:rPr>
      </w:pPr>
      <w:r>
        <w:rPr>
          <w:rFonts w:ascii="Times New Roman" w:hAnsi="Times New Roman" w:cs="Times New Roman"/>
          <w:b/>
          <w:noProof/>
          <w:sz w:val="24"/>
          <w:szCs w:val="24"/>
          <w:lang w:val="en-GB" w:eastAsia="en-GB"/>
        </w:rPr>
        <w:lastRenderedPageBreak/>
        <w:drawing>
          <wp:inline distT="0" distB="0" distL="0" distR="0">
            <wp:extent cx="5943600" cy="5943600"/>
            <wp:effectExtent l="19050" t="0" r="0" b="0"/>
            <wp:docPr id="1" name="Picture 1" descr="E:\NON_PROJECT\PAPERS\Early_Sax_NicheShift\SUBMISSION_GCB\S3\RS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N_PROJECT\PAPERS\Early_Sax_NicheShift\SUBMISSION_GCB\S3\RS3_2.jpg"/>
                    <pic:cNvPicPr>
                      <a:picLocks noChangeAspect="1" noChangeArrowheads="1"/>
                    </pic:cNvPicPr>
                  </pic:nvPicPr>
                  <pic:blipFill>
                    <a:blip r:embed="rId8"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0D1CB6" w:rsidRDefault="00D6445B" w:rsidP="0003677B">
      <w:pPr>
        <w:rPr>
          <w:rFonts w:ascii="Times New Roman" w:hAnsi="Times New Roman"/>
          <w:color w:val="000000"/>
          <w:sz w:val="24"/>
          <w:szCs w:val="24"/>
        </w:rPr>
      </w:pPr>
      <w:r w:rsidRPr="00D6445B">
        <w:rPr>
          <w:rFonts w:ascii="Times New Roman" w:hAnsi="Times New Roman" w:cs="Times New Roman"/>
          <w:b/>
          <w:sz w:val="24"/>
          <w:szCs w:val="24"/>
        </w:rPr>
        <w:t>Figure S3.</w:t>
      </w:r>
      <w:r w:rsidR="0003677B">
        <w:rPr>
          <w:rFonts w:ascii="Times New Roman" w:hAnsi="Times New Roman" w:cs="Times New Roman"/>
          <w:b/>
          <w:sz w:val="24"/>
          <w:szCs w:val="24"/>
        </w:rPr>
        <w:t>2</w:t>
      </w:r>
      <w:r w:rsidR="00F123EF" w:rsidRPr="00D6445B">
        <w:rPr>
          <w:rFonts w:ascii="Times New Roman" w:hAnsi="Times New Roman" w:cs="Times New Roman"/>
          <w:b/>
          <w:sz w:val="24"/>
          <w:szCs w:val="24"/>
        </w:rPr>
        <w:t>.</w:t>
      </w:r>
      <w:r w:rsidRPr="00D6445B">
        <w:rPr>
          <w:rFonts w:ascii="Times New Roman" w:hAnsi="Times New Roman" w:cs="Times New Roman"/>
          <w:sz w:val="24"/>
          <w:szCs w:val="24"/>
        </w:rPr>
        <w:t xml:space="preserve"> Testing the</w:t>
      </w:r>
      <w:r>
        <w:rPr>
          <w:rFonts w:ascii="Times New Roman" w:hAnsi="Times New Roman" w:cs="Times New Roman"/>
          <w:sz w:val="24"/>
          <w:szCs w:val="24"/>
        </w:rPr>
        <w:t xml:space="preserve"> </w:t>
      </w:r>
      <w:r w:rsidRPr="00D6445B">
        <w:rPr>
          <w:rFonts w:ascii="Times New Roman" w:hAnsi="Times New Roman" w:cs="Times New Roman"/>
          <w:sz w:val="24"/>
          <w:szCs w:val="24"/>
        </w:rPr>
        <w:t>relationship between native niche breadth and the proportion of potential expansion achieved</w:t>
      </w:r>
      <w:r>
        <w:rPr>
          <w:rFonts w:ascii="Times New Roman" w:hAnsi="Times New Roman" w:cs="Times New Roman"/>
          <w:sz w:val="24"/>
          <w:szCs w:val="24"/>
        </w:rPr>
        <w:t>. Further explanation of terms used</w:t>
      </w:r>
      <w:r w:rsidR="00BA4B8D">
        <w:rPr>
          <w:rFonts w:ascii="Times New Roman" w:hAnsi="Times New Roman" w:cs="Times New Roman"/>
          <w:sz w:val="24"/>
          <w:szCs w:val="24"/>
        </w:rPr>
        <w:t xml:space="preserve"> can be found </w:t>
      </w:r>
      <w:r>
        <w:rPr>
          <w:rFonts w:ascii="Times New Roman" w:hAnsi="Times New Roman" w:cs="Times New Roman"/>
          <w:sz w:val="24"/>
          <w:szCs w:val="24"/>
        </w:rPr>
        <w:t xml:space="preserve">in the </w:t>
      </w:r>
      <w:r w:rsidR="00BA4B8D">
        <w:rPr>
          <w:rFonts w:ascii="Times New Roman" w:hAnsi="Times New Roman" w:cs="Times New Roman"/>
          <w:sz w:val="24"/>
          <w:szCs w:val="24"/>
        </w:rPr>
        <w:t xml:space="preserve">main </w:t>
      </w:r>
      <w:r>
        <w:rPr>
          <w:rFonts w:ascii="Times New Roman" w:hAnsi="Times New Roman" w:cs="Times New Roman"/>
          <w:sz w:val="24"/>
          <w:szCs w:val="24"/>
        </w:rPr>
        <w:t xml:space="preserve">text. </w:t>
      </w:r>
      <w:r w:rsidR="00200E22">
        <w:rPr>
          <w:rFonts w:ascii="Times New Roman" w:hAnsi="Times New Roman" w:cs="Times New Roman"/>
          <w:sz w:val="24"/>
          <w:szCs w:val="24"/>
        </w:rPr>
        <w:t>Relationships were tested using GLM</w:t>
      </w:r>
      <w:r w:rsidR="00200E22" w:rsidRPr="00200E22">
        <w:rPr>
          <w:rFonts w:ascii="Times New Roman" w:hAnsi="Times New Roman"/>
          <w:color w:val="000000"/>
          <w:sz w:val="24"/>
          <w:szCs w:val="24"/>
        </w:rPr>
        <w:t xml:space="preserve"> </w:t>
      </w:r>
      <w:r w:rsidR="00200E22">
        <w:rPr>
          <w:rFonts w:ascii="Times New Roman" w:hAnsi="Times New Roman"/>
          <w:color w:val="000000"/>
          <w:sz w:val="24"/>
          <w:szCs w:val="24"/>
        </w:rPr>
        <w:t xml:space="preserve">with </w:t>
      </w:r>
      <w:proofErr w:type="spellStart"/>
      <w:r w:rsidR="000D1CB6">
        <w:rPr>
          <w:rFonts w:ascii="Times New Roman" w:hAnsi="Times New Roman"/>
          <w:color w:val="000000"/>
          <w:sz w:val="24"/>
          <w:szCs w:val="24"/>
        </w:rPr>
        <w:t>quasi</w:t>
      </w:r>
      <w:r w:rsidR="00200E22" w:rsidRPr="00F6665A">
        <w:rPr>
          <w:rFonts w:ascii="Times New Roman" w:hAnsi="Times New Roman"/>
          <w:color w:val="000000"/>
          <w:sz w:val="24"/>
          <w:szCs w:val="24"/>
        </w:rPr>
        <w:t>binomial</w:t>
      </w:r>
      <w:proofErr w:type="spellEnd"/>
      <w:r w:rsidR="00200E22" w:rsidRPr="00F6665A">
        <w:rPr>
          <w:rFonts w:ascii="Times New Roman" w:hAnsi="Times New Roman"/>
          <w:color w:val="000000"/>
          <w:sz w:val="24"/>
          <w:szCs w:val="24"/>
        </w:rPr>
        <w:t xml:space="preserve"> error structure with a log link function</w:t>
      </w:r>
      <w:r w:rsidR="00200E22">
        <w:rPr>
          <w:rFonts w:ascii="Times New Roman" w:hAnsi="Times New Roman"/>
          <w:color w:val="000000"/>
          <w:sz w:val="24"/>
          <w:szCs w:val="24"/>
        </w:rPr>
        <w:t>.</w:t>
      </w:r>
      <w:r w:rsidR="000D1CB6">
        <w:rPr>
          <w:rFonts w:ascii="Times New Roman" w:hAnsi="Times New Roman"/>
          <w:color w:val="000000"/>
          <w:sz w:val="24"/>
          <w:szCs w:val="24"/>
        </w:rPr>
        <w:t xml:space="preserve"> </w:t>
      </w:r>
      <w:r w:rsidR="00D972D2">
        <w:rPr>
          <w:rFonts w:ascii="Times New Roman" w:hAnsi="Times New Roman"/>
          <w:color w:val="000000"/>
          <w:sz w:val="24"/>
          <w:szCs w:val="24"/>
        </w:rPr>
        <w:t>Relationships are linear; q</w:t>
      </w:r>
      <w:r w:rsidR="000D1CB6">
        <w:rPr>
          <w:rFonts w:ascii="Times New Roman" w:hAnsi="Times New Roman"/>
          <w:color w:val="000000"/>
          <w:sz w:val="24"/>
          <w:szCs w:val="24"/>
        </w:rPr>
        <w:t>uadratic terms were tested but were excluded from models (F-test).</w:t>
      </w:r>
    </w:p>
    <w:p w:rsidR="009B37C0" w:rsidRDefault="00641BFF" w:rsidP="0003677B">
      <w:pPr>
        <w:rPr>
          <w:rFonts w:ascii="Times New Roman" w:hAnsi="Times New Roman"/>
          <w:color w:val="000000"/>
          <w:sz w:val="24"/>
          <w:szCs w:val="24"/>
        </w:rPr>
      </w:pPr>
      <w:r>
        <w:rPr>
          <w:rFonts w:ascii="Times New Roman" w:hAnsi="Times New Roman"/>
          <w:noProof/>
          <w:color w:val="000000"/>
          <w:sz w:val="24"/>
          <w:szCs w:val="24"/>
          <w:lang w:val="en-GB" w:eastAsia="en-GB"/>
        </w:rPr>
        <w:lastRenderedPageBreak/>
        <w:drawing>
          <wp:inline distT="0" distB="0" distL="0" distR="0">
            <wp:extent cx="5943600" cy="2971800"/>
            <wp:effectExtent l="19050" t="0" r="0" b="0"/>
            <wp:docPr id="2" name="Picture 2" descr="I:\NON_PROJECT\PAPERS\Early_Sax_NicheShift\SUBMISSION_GCB\S3\Fig_S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ON_PROJECT\PAPERS\Early_Sax_NicheShift\SUBMISSION_GCB\S3\Fig_S3_3.png"/>
                    <pic:cNvPicPr>
                      <a:picLocks noChangeAspect="1" noChangeArrowheads="1"/>
                    </pic:cNvPicPr>
                  </pic:nvPicPr>
                  <pic:blipFill>
                    <a:blip r:embed="rId9"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C30E4E" w:rsidRDefault="009B37C0" w:rsidP="009B37C0">
      <w:pPr>
        <w:autoSpaceDE w:val="0"/>
        <w:autoSpaceDN w:val="0"/>
        <w:adjustRightInd w:val="0"/>
        <w:spacing w:before="100" w:beforeAutospacing="1" w:after="100" w:afterAutospacing="1"/>
        <w:rPr>
          <w:rFonts w:ascii="Times New Roman" w:hAnsi="Times New Roman"/>
          <w:color w:val="000000"/>
          <w:sz w:val="24"/>
          <w:szCs w:val="24"/>
        </w:rPr>
      </w:pPr>
      <w:r w:rsidRPr="009B37C0">
        <w:rPr>
          <w:rFonts w:ascii="Times New Roman" w:hAnsi="Times New Roman"/>
          <w:b/>
          <w:color w:val="000000"/>
          <w:sz w:val="24"/>
          <w:szCs w:val="24"/>
        </w:rPr>
        <w:t>Figure S3.</w:t>
      </w:r>
      <w:r w:rsidR="00641BFF">
        <w:rPr>
          <w:rFonts w:ascii="Times New Roman" w:hAnsi="Times New Roman"/>
          <w:b/>
          <w:color w:val="000000"/>
          <w:sz w:val="24"/>
          <w:szCs w:val="24"/>
        </w:rPr>
        <w:t>3</w:t>
      </w:r>
      <w:r w:rsidRPr="009B37C0">
        <w:rPr>
          <w:rFonts w:ascii="Times New Roman" w:hAnsi="Times New Roman"/>
          <w:b/>
          <w:color w:val="000000"/>
          <w:sz w:val="24"/>
          <w:szCs w:val="24"/>
        </w:rPr>
        <w:t>.</w:t>
      </w:r>
      <w:r w:rsidRPr="009B37C0">
        <w:rPr>
          <w:rFonts w:ascii="Times New Roman" w:hAnsi="Times New Roman"/>
          <w:color w:val="000000"/>
          <w:sz w:val="24"/>
          <w:szCs w:val="24"/>
        </w:rPr>
        <w:t xml:space="preserve"> </w:t>
      </w:r>
      <w:proofErr w:type="gramStart"/>
      <w:r w:rsidR="00D026C5">
        <w:rPr>
          <w:rFonts w:ascii="Times New Roman" w:hAnsi="Times New Roman"/>
          <w:color w:val="000000"/>
          <w:sz w:val="24"/>
          <w:szCs w:val="24"/>
        </w:rPr>
        <w:t>Demonstration of niche expansion for species with different native biogeographic affinities.</w:t>
      </w:r>
      <w:proofErr w:type="gramEnd"/>
      <w:r w:rsidR="00D026C5">
        <w:rPr>
          <w:rFonts w:ascii="Times New Roman" w:hAnsi="Times New Roman"/>
          <w:color w:val="000000"/>
          <w:sz w:val="24"/>
          <w:szCs w:val="24"/>
        </w:rPr>
        <w:t xml:space="preserve"> </w:t>
      </w:r>
      <w:r w:rsidRPr="00503061">
        <w:rPr>
          <w:rFonts w:ascii="Times New Roman" w:hAnsi="Times New Roman"/>
          <w:color w:val="000000"/>
          <w:sz w:val="24"/>
          <w:szCs w:val="24"/>
        </w:rPr>
        <w:t xml:space="preserve">Symbol </w:t>
      </w:r>
      <w:proofErr w:type="spellStart"/>
      <w:r w:rsidRPr="00503061">
        <w:rPr>
          <w:rFonts w:ascii="Times New Roman" w:hAnsi="Times New Roman"/>
          <w:color w:val="000000"/>
          <w:sz w:val="24"/>
          <w:szCs w:val="24"/>
        </w:rPr>
        <w:t>colour</w:t>
      </w:r>
      <w:proofErr w:type="spellEnd"/>
      <w:r w:rsidRPr="00503061">
        <w:rPr>
          <w:rFonts w:ascii="Times New Roman" w:hAnsi="Times New Roman"/>
          <w:color w:val="000000"/>
          <w:sz w:val="24"/>
          <w:szCs w:val="24"/>
        </w:rPr>
        <w:t xml:space="preserve"> is scaled by </w:t>
      </w:r>
      <w:proofErr w:type="spellStart"/>
      <w:r>
        <w:rPr>
          <w:rFonts w:ascii="Times New Roman" w:hAnsi="Times New Roman"/>
          <w:color w:val="000000"/>
          <w:sz w:val="24"/>
          <w:szCs w:val="24"/>
        </w:rPr>
        <w:t>chorotype</w:t>
      </w:r>
      <w:proofErr w:type="spellEnd"/>
      <w:r>
        <w:rPr>
          <w:rFonts w:ascii="Times New Roman" w:hAnsi="Times New Roman"/>
          <w:color w:val="000000"/>
          <w:sz w:val="24"/>
          <w:szCs w:val="24"/>
        </w:rPr>
        <w:t>. S</w:t>
      </w:r>
      <w:r w:rsidRPr="00503061">
        <w:rPr>
          <w:rFonts w:ascii="Times New Roman" w:hAnsi="Times New Roman"/>
          <w:color w:val="000000"/>
          <w:sz w:val="24"/>
          <w:szCs w:val="24"/>
        </w:rPr>
        <w:t xml:space="preserve">ymbol size is scaled by </w:t>
      </w:r>
      <w:r>
        <w:rPr>
          <w:rFonts w:ascii="Times New Roman" w:hAnsi="Times New Roman"/>
          <w:color w:val="000000"/>
          <w:sz w:val="24"/>
          <w:szCs w:val="24"/>
        </w:rPr>
        <w:t xml:space="preserve">the </w:t>
      </w:r>
      <w:r w:rsidRPr="00503061">
        <w:rPr>
          <w:rFonts w:ascii="Times New Roman" w:hAnsi="Times New Roman"/>
          <w:color w:val="000000"/>
          <w:sz w:val="24"/>
          <w:szCs w:val="24"/>
        </w:rPr>
        <w:t>number of USA grid-cells.</w:t>
      </w:r>
    </w:p>
    <w:p w:rsidR="00C30E4E" w:rsidRDefault="00C30E4E">
      <w:pPr>
        <w:rPr>
          <w:rFonts w:ascii="Times New Roman" w:hAnsi="Times New Roman"/>
          <w:color w:val="000000"/>
          <w:sz w:val="24"/>
          <w:szCs w:val="24"/>
        </w:rPr>
      </w:pPr>
      <w:r>
        <w:rPr>
          <w:rFonts w:ascii="Times New Roman" w:hAnsi="Times New Roman"/>
          <w:color w:val="000000"/>
          <w:sz w:val="24"/>
          <w:szCs w:val="24"/>
        </w:rPr>
        <w:br w:type="page"/>
      </w:r>
    </w:p>
    <w:p w:rsidR="009B37C0" w:rsidRPr="00503061" w:rsidRDefault="00C30E4E" w:rsidP="009B37C0">
      <w:pPr>
        <w:autoSpaceDE w:val="0"/>
        <w:autoSpaceDN w:val="0"/>
        <w:adjustRightInd w:val="0"/>
        <w:spacing w:before="100" w:beforeAutospacing="1" w:after="100" w:afterAutospacing="1"/>
        <w:rPr>
          <w:rFonts w:ascii="Times New Roman" w:hAnsi="Times New Roman"/>
          <w:color w:val="000000"/>
          <w:sz w:val="24"/>
          <w:szCs w:val="24"/>
        </w:rPr>
      </w:pPr>
      <w:r>
        <w:rPr>
          <w:rFonts w:ascii="Times New Roman" w:hAnsi="Times New Roman"/>
          <w:noProof/>
          <w:color w:val="000000"/>
          <w:sz w:val="24"/>
          <w:szCs w:val="24"/>
          <w:lang w:val="en-GB" w:eastAsia="en-GB"/>
        </w:rPr>
        <w:lastRenderedPageBreak/>
        <w:drawing>
          <wp:inline distT="0" distB="0" distL="0" distR="0">
            <wp:extent cx="5743575" cy="5743575"/>
            <wp:effectExtent l="0" t="0" r="0" b="0"/>
            <wp:docPr id="3" name="Imagen 3" descr="G:\NON_PROJECT\PAPERS\Early_Sax_NicheShift\SUBMISSION_GEB\SUBMISSION2\S3\FigS3_4_sp_rem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N_PROJECT\PAPERS\Early_Sax_NicheShift\SUBMISSION_GEB\SUBMISSION2\S3\FigS3_4_sp_remov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5743575"/>
                    </a:xfrm>
                    <a:prstGeom prst="rect">
                      <a:avLst/>
                    </a:prstGeom>
                    <a:noFill/>
                    <a:ln>
                      <a:noFill/>
                    </a:ln>
                  </pic:spPr>
                </pic:pic>
              </a:graphicData>
            </a:graphic>
          </wp:inline>
        </w:drawing>
      </w:r>
    </w:p>
    <w:p w:rsidR="007E0256" w:rsidRDefault="00C30E4E">
      <w:pPr>
        <w:rPr>
          <w:rFonts w:ascii="Times New Roman" w:hAnsi="Times New Roman"/>
          <w:color w:val="000000"/>
          <w:sz w:val="24"/>
          <w:szCs w:val="24"/>
        </w:rPr>
      </w:pPr>
      <w:r w:rsidRPr="00C30E4E">
        <w:rPr>
          <w:rFonts w:ascii="Times New Roman" w:hAnsi="Times New Roman"/>
          <w:b/>
          <w:color w:val="000000"/>
          <w:sz w:val="24"/>
          <w:szCs w:val="24"/>
        </w:rPr>
        <w:t>Figure S3.4</w:t>
      </w:r>
      <w:r>
        <w:rPr>
          <w:rFonts w:ascii="Times New Roman" w:hAnsi="Times New Roman"/>
          <w:color w:val="000000"/>
          <w:sz w:val="24"/>
          <w:szCs w:val="24"/>
        </w:rPr>
        <w:t xml:space="preserve">. </w:t>
      </w:r>
      <w:r>
        <w:rPr>
          <w:rFonts w:ascii="Times New Roman" w:hAnsi="Times New Roman"/>
          <w:sz w:val="24"/>
          <w:szCs w:val="24"/>
        </w:rPr>
        <w:t>Examples of several i</w:t>
      </w:r>
      <w:r w:rsidRPr="009834EB">
        <w:rPr>
          <w:rFonts w:ascii="Times New Roman" w:hAnsi="Times New Roman"/>
          <w:sz w:val="24"/>
          <w:szCs w:val="24"/>
        </w:rPr>
        <w:t>ndicators of</w:t>
      </w:r>
      <w:r>
        <w:rPr>
          <w:rFonts w:ascii="Times New Roman" w:hAnsi="Times New Roman"/>
          <w:sz w:val="24"/>
          <w:szCs w:val="24"/>
        </w:rPr>
        <w:t xml:space="preserve"> niche conservatism, as assessed using different metrics of niche shift and excluding seven species for which data on the native distribution was incomplete; a)</w:t>
      </w:r>
      <w:r w:rsidRPr="009834EB">
        <w:rPr>
          <w:rFonts w:ascii="Times New Roman" w:hAnsi="Times New Roman"/>
          <w:color w:val="000000"/>
          <w:sz w:val="24"/>
          <w:szCs w:val="24"/>
        </w:rPr>
        <w:t xml:space="preserve"> </w:t>
      </w:r>
      <w:r>
        <w:rPr>
          <w:rFonts w:ascii="Times New Roman" w:hAnsi="Times New Roman"/>
          <w:color w:val="000000"/>
          <w:sz w:val="24"/>
          <w:szCs w:val="24"/>
        </w:rPr>
        <w:t xml:space="preserve">relationship of native niche breadth with </w:t>
      </w:r>
      <w:r w:rsidRPr="00503061">
        <w:rPr>
          <w:rFonts w:ascii="Times New Roman" w:hAnsi="Times New Roman"/>
          <w:color w:val="000000"/>
          <w:sz w:val="24"/>
          <w:szCs w:val="24"/>
        </w:rPr>
        <w:t xml:space="preserve">niche </w:t>
      </w:r>
      <w:r>
        <w:rPr>
          <w:rFonts w:ascii="Times New Roman" w:hAnsi="Times New Roman"/>
          <w:color w:val="000000"/>
          <w:sz w:val="24"/>
          <w:szCs w:val="24"/>
        </w:rPr>
        <w:t>expansion</w:t>
      </w:r>
      <w:r w:rsidRPr="00503061">
        <w:rPr>
          <w:rFonts w:ascii="Times New Roman" w:hAnsi="Times New Roman"/>
          <w:color w:val="000000"/>
          <w:sz w:val="24"/>
          <w:szCs w:val="24"/>
        </w:rPr>
        <w:t>, i.e. the proportion of the USA distribution that falls outside the climatic conditions o</w:t>
      </w:r>
      <w:r>
        <w:rPr>
          <w:rFonts w:ascii="Times New Roman" w:hAnsi="Times New Roman"/>
          <w:color w:val="000000"/>
          <w:sz w:val="24"/>
          <w:szCs w:val="24"/>
        </w:rPr>
        <w:t xml:space="preserve">ccupied in the native region, symbol </w:t>
      </w:r>
      <w:proofErr w:type="spellStart"/>
      <w:r>
        <w:rPr>
          <w:rFonts w:ascii="Times New Roman" w:hAnsi="Times New Roman"/>
          <w:color w:val="000000"/>
          <w:sz w:val="24"/>
          <w:szCs w:val="24"/>
        </w:rPr>
        <w:t>colour</w:t>
      </w:r>
      <w:proofErr w:type="spellEnd"/>
      <w:r>
        <w:rPr>
          <w:rFonts w:ascii="Times New Roman" w:hAnsi="Times New Roman"/>
          <w:color w:val="000000"/>
          <w:sz w:val="24"/>
          <w:szCs w:val="24"/>
        </w:rPr>
        <w:t xml:space="preserve"> is scaled by number of years since introduction; b</w:t>
      </w:r>
      <w:r w:rsidRPr="00503061">
        <w:rPr>
          <w:rFonts w:ascii="Times New Roman" w:hAnsi="Times New Roman"/>
          <w:color w:val="000000"/>
          <w:sz w:val="24"/>
          <w:szCs w:val="24"/>
        </w:rPr>
        <w:t xml:space="preserve">) </w:t>
      </w:r>
      <w:r>
        <w:rPr>
          <w:rFonts w:ascii="Times New Roman" w:hAnsi="Times New Roman"/>
          <w:color w:val="000000"/>
          <w:sz w:val="24"/>
          <w:szCs w:val="24"/>
        </w:rPr>
        <w:t>relationship of native range size with niche-shift distance</w:t>
      </w:r>
      <w:r w:rsidRPr="00503061">
        <w:rPr>
          <w:rFonts w:ascii="Times New Roman" w:hAnsi="Times New Roman"/>
          <w:color w:val="000000"/>
          <w:sz w:val="24"/>
          <w:szCs w:val="24"/>
        </w:rPr>
        <w:t xml:space="preserve">, i.e. the magnitude of the shift </w:t>
      </w:r>
      <w:r w:rsidRPr="008F002D">
        <w:rPr>
          <w:rFonts w:ascii="Times New Roman" w:hAnsi="Times New Roman"/>
          <w:color w:val="000000"/>
          <w:sz w:val="24"/>
          <w:szCs w:val="24"/>
        </w:rPr>
        <w:t>between climate-space occupied in the native and naturalised region, relative to the native niche diameter</w:t>
      </w:r>
      <w:r>
        <w:rPr>
          <w:rFonts w:ascii="Times New Roman" w:hAnsi="Times New Roman"/>
          <w:color w:val="000000"/>
          <w:sz w:val="24"/>
          <w:szCs w:val="24"/>
        </w:rPr>
        <w:t xml:space="preserve">, symbol </w:t>
      </w:r>
      <w:proofErr w:type="spellStart"/>
      <w:r>
        <w:rPr>
          <w:rFonts w:ascii="Times New Roman" w:hAnsi="Times New Roman"/>
          <w:color w:val="000000"/>
          <w:sz w:val="24"/>
          <w:szCs w:val="24"/>
        </w:rPr>
        <w:t>colour</w:t>
      </w:r>
      <w:proofErr w:type="spellEnd"/>
      <w:r>
        <w:rPr>
          <w:rFonts w:ascii="Times New Roman" w:hAnsi="Times New Roman"/>
          <w:color w:val="000000"/>
          <w:sz w:val="24"/>
          <w:szCs w:val="24"/>
        </w:rPr>
        <w:t xml:space="preserve"> is scaled by native niche breadth; c) relationship of native niche breadth with native-</w:t>
      </w:r>
      <w:proofErr w:type="spellStart"/>
      <w:r>
        <w:rPr>
          <w:rFonts w:ascii="Times New Roman" w:hAnsi="Times New Roman"/>
          <w:color w:val="000000"/>
          <w:sz w:val="24"/>
          <w:szCs w:val="24"/>
        </w:rPr>
        <w:t>naturalised</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disequilibrium, symbol </w:t>
      </w:r>
      <w:proofErr w:type="spellStart"/>
      <w:r>
        <w:rPr>
          <w:rFonts w:ascii="Times New Roman" w:hAnsi="Times New Roman"/>
          <w:color w:val="000000"/>
          <w:sz w:val="24"/>
          <w:szCs w:val="24"/>
        </w:rPr>
        <w:t>colour</w:t>
      </w:r>
      <w:proofErr w:type="spellEnd"/>
      <w:r>
        <w:rPr>
          <w:rFonts w:ascii="Times New Roman" w:hAnsi="Times New Roman"/>
          <w:color w:val="000000"/>
          <w:sz w:val="24"/>
          <w:szCs w:val="24"/>
        </w:rPr>
        <w:t xml:space="preserve"> according to </w:t>
      </w:r>
      <w:proofErr w:type="spellStart"/>
      <w:r>
        <w:rPr>
          <w:rFonts w:ascii="Times New Roman" w:hAnsi="Times New Roman"/>
          <w:color w:val="000000"/>
          <w:sz w:val="24"/>
          <w:szCs w:val="24"/>
        </w:rPr>
        <w:t>chorotype</w:t>
      </w:r>
      <w:proofErr w:type="spellEnd"/>
      <w:r>
        <w:rPr>
          <w:rFonts w:ascii="Times New Roman" w:hAnsi="Times New Roman"/>
          <w:color w:val="000000"/>
          <w:sz w:val="24"/>
          <w:szCs w:val="24"/>
        </w:rPr>
        <w:t>. Symbol</w:t>
      </w:r>
      <w:r w:rsidRPr="00503061">
        <w:rPr>
          <w:rFonts w:ascii="Times New Roman" w:hAnsi="Times New Roman"/>
          <w:color w:val="000000"/>
          <w:sz w:val="24"/>
          <w:szCs w:val="24"/>
        </w:rPr>
        <w:t xml:space="preserve"> size is scaled by </w:t>
      </w:r>
      <w:r>
        <w:rPr>
          <w:rFonts w:ascii="Times New Roman" w:hAnsi="Times New Roman"/>
          <w:color w:val="000000"/>
          <w:sz w:val="24"/>
          <w:szCs w:val="24"/>
        </w:rPr>
        <w:t xml:space="preserve">the </w:t>
      </w:r>
      <w:r w:rsidRPr="00503061">
        <w:rPr>
          <w:rFonts w:ascii="Times New Roman" w:hAnsi="Times New Roman"/>
          <w:color w:val="000000"/>
          <w:sz w:val="24"/>
          <w:szCs w:val="24"/>
        </w:rPr>
        <w:t>number of USA grid-cells.</w:t>
      </w:r>
      <w:r>
        <w:rPr>
          <w:rFonts w:ascii="Times New Roman" w:hAnsi="Times New Roman"/>
          <w:color w:val="000000"/>
          <w:sz w:val="24"/>
          <w:szCs w:val="24"/>
        </w:rPr>
        <w:t xml:space="preserve"> </w:t>
      </w:r>
      <w:r>
        <w:rPr>
          <w:rFonts w:ascii="Times New Roman" w:hAnsi="Times New Roman"/>
          <w:sz w:val="24"/>
          <w:szCs w:val="24"/>
        </w:rPr>
        <w:t>R</w:t>
      </w:r>
      <w:r w:rsidRPr="009834EB">
        <w:rPr>
          <w:rFonts w:ascii="Times New Roman" w:hAnsi="Times New Roman"/>
          <w:sz w:val="24"/>
          <w:szCs w:val="24"/>
        </w:rPr>
        <w:t xml:space="preserve">egression lines </w:t>
      </w:r>
      <w:r>
        <w:rPr>
          <w:rFonts w:ascii="Times New Roman" w:hAnsi="Times New Roman"/>
          <w:sz w:val="24"/>
          <w:szCs w:val="24"/>
        </w:rPr>
        <w:t xml:space="preserve">were produced using the same methodology as for table 1, though only the x-axis variable was examined, and </w:t>
      </w:r>
      <w:r w:rsidRPr="009834EB">
        <w:rPr>
          <w:rFonts w:ascii="Times New Roman" w:hAnsi="Times New Roman"/>
          <w:sz w:val="24"/>
          <w:szCs w:val="24"/>
        </w:rPr>
        <w:t xml:space="preserve">are </w:t>
      </w:r>
      <w:r w:rsidRPr="009834EB">
        <w:rPr>
          <w:rFonts w:ascii="Times New Roman" w:hAnsi="Times New Roman"/>
          <w:color w:val="000000"/>
          <w:sz w:val="24"/>
          <w:szCs w:val="24"/>
        </w:rPr>
        <w:t>significant</w:t>
      </w:r>
      <w:r w:rsidRPr="00503061">
        <w:rPr>
          <w:rFonts w:ascii="Times New Roman" w:hAnsi="Times New Roman"/>
          <w:color w:val="000000"/>
          <w:sz w:val="24"/>
          <w:szCs w:val="24"/>
        </w:rPr>
        <w:t xml:space="preserve"> (p&lt;0.05).</w:t>
      </w:r>
      <w:r w:rsidR="007E0256">
        <w:rPr>
          <w:rFonts w:ascii="Times New Roman" w:hAnsi="Times New Roman"/>
          <w:color w:val="000000"/>
          <w:sz w:val="24"/>
          <w:szCs w:val="24"/>
        </w:rPr>
        <w:br w:type="page"/>
      </w:r>
    </w:p>
    <w:p w:rsidR="007E0256" w:rsidRDefault="007E0256" w:rsidP="0003677B">
      <w:pPr>
        <w:rPr>
          <w:rFonts w:ascii="Times New Roman" w:hAnsi="Times New Roman"/>
          <w:color w:val="000000"/>
          <w:sz w:val="24"/>
          <w:szCs w:val="24"/>
        </w:rPr>
      </w:pPr>
      <w:r>
        <w:rPr>
          <w:rFonts w:ascii="Times New Roman" w:hAnsi="Times New Roman"/>
          <w:noProof/>
          <w:color w:val="000000"/>
          <w:sz w:val="24"/>
          <w:szCs w:val="24"/>
          <w:lang w:val="en-GB" w:eastAsia="en-GB"/>
        </w:rPr>
        <w:lastRenderedPageBreak/>
        <w:drawing>
          <wp:inline distT="0" distB="0" distL="0" distR="0">
            <wp:extent cx="3629025" cy="3629025"/>
            <wp:effectExtent l="0" t="0" r="0" b="0"/>
            <wp:docPr id="4" name="Imagen 4" descr="G:\NON_PROJECT\PAPERS\Early_Sax_NicheShift\SUBMISSION_GEB\SUBMISSION2\S3\S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N_PROJECT\PAPERS\Early_Sax_NicheShift\SUBMISSION_GEB\SUBMISSION2\S3\S3_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3629025"/>
                    </a:xfrm>
                    <a:prstGeom prst="rect">
                      <a:avLst/>
                    </a:prstGeom>
                    <a:noFill/>
                    <a:ln>
                      <a:noFill/>
                    </a:ln>
                  </pic:spPr>
                </pic:pic>
              </a:graphicData>
            </a:graphic>
          </wp:inline>
        </w:drawing>
      </w:r>
    </w:p>
    <w:p w:rsidR="00C30E4E" w:rsidRPr="007E0256" w:rsidRDefault="007E0256" w:rsidP="0003677B">
      <w:pPr>
        <w:rPr>
          <w:rFonts w:ascii="Times New Roman" w:hAnsi="Times New Roman"/>
          <w:color w:val="000000"/>
          <w:sz w:val="24"/>
          <w:szCs w:val="24"/>
        </w:rPr>
      </w:pPr>
      <w:r w:rsidRPr="007E0256">
        <w:rPr>
          <w:rFonts w:ascii="Times New Roman" w:hAnsi="Times New Roman"/>
          <w:b/>
          <w:color w:val="000000"/>
          <w:sz w:val="24"/>
          <w:szCs w:val="24"/>
        </w:rPr>
        <w:t>Figure S3.5.</w:t>
      </w:r>
      <w:r>
        <w:rPr>
          <w:rFonts w:ascii="Times New Roman" w:hAnsi="Times New Roman"/>
          <w:color w:val="000000"/>
          <w:sz w:val="24"/>
          <w:szCs w:val="24"/>
        </w:rPr>
        <w:t xml:space="preserve"> Relationship between niche shift distances calculated using all species data points in both the native and naturalised distribution, and after excluding the outermost 10% of points in each distribution. The dashed line is the line of equality, and the solid line is a linear regression (intercept = 0.139, slope = 1.071, R</w:t>
      </w:r>
      <w:r>
        <w:rPr>
          <w:rFonts w:ascii="Times New Roman" w:hAnsi="Times New Roman"/>
          <w:color w:val="000000"/>
          <w:sz w:val="24"/>
          <w:szCs w:val="24"/>
          <w:vertAlign w:val="superscript"/>
        </w:rPr>
        <w:t>2</w:t>
      </w:r>
      <w:r>
        <w:rPr>
          <w:rFonts w:ascii="Times New Roman" w:hAnsi="Times New Roman"/>
          <w:color w:val="000000"/>
          <w:sz w:val="24"/>
          <w:szCs w:val="24"/>
        </w:rPr>
        <w:t>=0.562).</w:t>
      </w:r>
    </w:p>
    <w:sectPr w:rsidR="00C30E4E" w:rsidRPr="007E0256" w:rsidSect="005130C0">
      <w:head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E0" w:rsidRDefault="003126E0" w:rsidP="00F123EF">
      <w:pPr>
        <w:spacing w:after="0" w:line="240" w:lineRule="auto"/>
      </w:pPr>
      <w:r>
        <w:separator/>
      </w:r>
    </w:p>
  </w:endnote>
  <w:endnote w:type="continuationSeparator" w:id="0">
    <w:p w:rsidR="003126E0" w:rsidRDefault="003126E0" w:rsidP="00F1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E0" w:rsidRDefault="003126E0" w:rsidP="00F123EF">
      <w:pPr>
        <w:spacing w:after="0" w:line="240" w:lineRule="auto"/>
      </w:pPr>
      <w:r>
        <w:separator/>
      </w:r>
    </w:p>
  </w:footnote>
  <w:footnote w:type="continuationSeparator" w:id="0">
    <w:p w:rsidR="003126E0" w:rsidRDefault="003126E0" w:rsidP="00F12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E5" w:rsidRDefault="004967E5" w:rsidP="004967E5">
    <w:pPr>
      <w:pStyle w:val="Header"/>
      <w:jc w:val="center"/>
      <w:rPr>
        <w:rFonts w:ascii="Arial" w:hAnsi="Arial" w:cs="Arial"/>
      </w:rPr>
    </w:pPr>
    <w:r w:rsidRPr="007F0EA2">
      <w:rPr>
        <w:rFonts w:ascii="Arial" w:hAnsi="Arial" w:cs="Arial"/>
      </w:rPr>
      <w:t xml:space="preserve">This is the pre-peer reviewed version of the following article: </w:t>
    </w:r>
    <w:r w:rsidRPr="007F0EA2">
      <w:rPr>
        <w:rFonts w:ascii="Arial" w:hAnsi="Arial" w:cs="Arial"/>
        <w:lang w:val="en-GB" w:eastAsia="en-GB"/>
      </w:rPr>
      <w:t xml:space="preserve">Early, R. and D. F. Sax (2014). "Climatic niche shifts between species' native and naturalized ranges raise concern for ecological forecasts during invasions and climate change." </w:t>
    </w:r>
    <w:r w:rsidRPr="007F0EA2">
      <w:rPr>
        <w:rFonts w:ascii="Arial" w:hAnsi="Arial" w:cs="Arial"/>
        <w:u w:val="single"/>
        <w:lang w:val="en-GB" w:eastAsia="en-GB"/>
      </w:rPr>
      <w:t>Global Ecology and Biogeography</w:t>
    </w:r>
    <w:r w:rsidRPr="007F0EA2">
      <w:rPr>
        <w:rFonts w:ascii="Arial" w:hAnsi="Arial" w:cs="Arial"/>
      </w:rPr>
      <w:t>, which has b</w:t>
    </w:r>
    <w:r>
      <w:rPr>
        <w:rFonts w:ascii="Arial" w:hAnsi="Arial" w:cs="Arial"/>
      </w:rPr>
      <w:t xml:space="preserve">een published in final form at </w:t>
    </w:r>
    <w:hyperlink r:id="rId1" w:history="1">
      <w:r w:rsidRPr="00826DBB">
        <w:rPr>
          <w:rStyle w:val="Hyperlink"/>
          <w:rFonts w:ascii="Arial" w:hAnsi="Arial" w:cs="Arial"/>
        </w:rPr>
        <w:t>http://onlinelibrary.wiley.com/doi/10.1111/geb.12208/abstract</w:t>
      </w:r>
    </w:hyperlink>
  </w:p>
  <w:p w:rsidR="004967E5" w:rsidRDefault="00496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Ecology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0fdrefmf0f58eaeevp0eph0t29dtx9wetr&quot;&gt;Postdoc&lt;record-ids&gt;&lt;item&gt;183&lt;/item&gt;&lt;item&gt;422&lt;/item&gt;&lt;item&gt;2694&lt;/item&gt;&lt;/record-ids&gt;&lt;/item&gt;&lt;/Libraries&gt;"/>
  </w:docVars>
  <w:rsids>
    <w:rsidRoot w:val="00B42F6C"/>
    <w:rsid w:val="00001AE0"/>
    <w:rsid w:val="000024A6"/>
    <w:rsid w:val="00007C66"/>
    <w:rsid w:val="00013D6C"/>
    <w:rsid w:val="00023EBC"/>
    <w:rsid w:val="00026AC7"/>
    <w:rsid w:val="0003677B"/>
    <w:rsid w:val="000476B1"/>
    <w:rsid w:val="00062302"/>
    <w:rsid w:val="00080434"/>
    <w:rsid w:val="0008490F"/>
    <w:rsid w:val="000C3BF8"/>
    <w:rsid w:val="000D1CB6"/>
    <w:rsid w:val="001011A2"/>
    <w:rsid w:val="00102AC3"/>
    <w:rsid w:val="001157A0"/>
    <w:rsid w:val="0011580C"/>
    <w:rsid w:val="00120039"/>
    <w:rsid w:val="001B3607"/>
    <w:rsid w:val="001C5BBA"/>
    <w:rsid w:val="001E2B5A"/>
    <w:rsid w:val="001F1752"/>
    <w:rsid w:val="00200E22"/>
    <w:rsid w:val="0021549F"/>
    <w:rsid w:val="00240A68"/>
    <w:rsid w:val="00264809"/>
    <w:rsid w:val="00270085"/>
    <w:rsid w:val="00271AFE"/>
    <w:rsid w:val="00273ADB"/>
    <w:rsid w:val="00277511"/>
    <w:rsid w:val="00290799"/>
    <w:rsid w:val="00292093"/>
    <w:rsid w:val="00295F33"/>
    <w:rsid w:val="002B2A98"/>
    <w:rsid w:val="002B38C4"/>
    <w:rsid w:val="002B5596"/>
    <w:rsid w:val="002C1989"/>
    <w:rsid w:val="002D27E0"/>
    <w:rsid w:val="002E16B5"/>
    <w:rsid w:val="002E35BF"/>
    <w:rsid w:val="002F1EC3"/>
    <w:rsid w:val="00300C20"/>
    <w:rsid w:val="003126E0"/>
    <w:rsid w:val="00322D48"/>
    <w:rsid w:val="003267E1"/>
    <w:rsid w:val="003320BD"/>
    <w:rsid w:val="00344416"/>
    <w:rsid w:val="0035468A"/>
    <w:rsid w:val="0037016E"/>
    <w:rsid w:val="00382B3A"/>
    <w:rsid w:val="00384BD5"/>
    <w:rsid w:val="00385A37"/>
    <w:rsid w:val="003943BF"/>
    <w:rsid w:val="003B2268"/>
    <w:rsid w:val="003B5BCC"/>
    <w:rsid w:val="003C19AD"/>
    <w:rsid w:val="003C20D7"/>
    <w:rsid w:val="003D418D"/>
    <w:rsid w:val="003D4977"/>
    <w:rsid w:val="003E1E6E"/>
    <w:rsid w:val="003E42C9"/>
    <w:rsid w:val="003E7D19"/>
    <w:rsid w:val="003F55E3"/>
    <w:rsid w:val="003F5761"/>
    <w:rsid w:val="00403798"/>
    <w:rsid w:val="00426949"/>
    <w:rsid w:val="00435C46"/>
    <w:rsid w:val="00437C26"/>
    <w:rsid w:val="00442BA2"/>
    <w:rsid w:val="00473205"/>
    <w:rsid w:val="004856C6"/>
    <w:rsid w:val="004967E5"/>
    <w:rsid w:val="004A1FF6"/>
    <w:rsid w:val="004B444F"/>
    <w:rsid w:val="004E55B4"/>
    <w:rsid w:val="004E5D03"/>
    <w:rsid w:val="004E7078"/>
    <w:rsid w:val="005130C0"/>
    <w:rsid w:val="00523FF0"/>
    <w:rsid w:val="00535042"/>
    <w:rsid w:val="00544D27"/>
    <w:rsid w:val="00550C08"/>
    <w:rsid w:val="00551428"/>
    <w:rsid w:val="00563C3F"/>
    <w:rsid w:val="00567BA2"/>
    <w:rsid w:val="00567C9C"/>
    <w:rsid w:val="005718AD"/>
    <w:rsid w:val="005869AE"/>
    <w:rsid w:val="00591434"/>
    <w:rsid w:val="00596BDA"/>
    <w:rsid w:val="005A7F0E"/>
    <w:rsid w:val="005E2AE0"/>
    <w:rsid w:val="005E34ED"/>
    <w:rsid w:val="006010A7"/>
    <w:rsid w:val="00611394"/>
    <w:rsid w:val="00624D80"/>
    <w:rsid w:val="00632BEF"/>
    <w:rsid w:val="00635F78"/>
    <w:rsid w:val="00641BFF"/>
    <w:rsid w:val="00651745"/>
    <w:rsid w:val="0069370E"/>
    <w:rsid w:val="006A7364"/>
    <w:rsid w:val="006B035B"/>
    <w:rsid w:val="006D3EA7"/>
    <w:rsid w:val="006E770A"/>
    <w:rsid w:val="006F0D85"/>
    <w:rsid w:val="007124E5"/>
    <w:rsid w:val="00712B64"/>
    <w:rsid w:val="00716CB5"/>
    <w:rsid w:val="00720A0D"/>
    <w:rsid w:val="00726A1F"/>
    <w:rsid w:val="00727F52"/>
    <w:rsid w:val="007407F7"/>
    <w:rsid w:val="00747C97"/>
    <w:rsid w:val="00752006"/>
    <w:rsid w:val="00753499"/>
    <w:rsid w:val="00756199"/>
    <w:rsid w:val="00757BC6"/>
    <w:rsid w:val="0076065E"/>
    <w:rsid w:val="0078493D"/>
    <w:rsid w:val="00787D50"/>
    <w:rsid w:val="007A0339"/>
    <w:rsid w:val="007B0BEE"/>
    <w:rsid w:val="007C6E0B"/>
    <w:rsid w:val="007D66D3"/>
    <w:rsid w:val="007E0256"/>
    <w:rsid w:val="007E2BC4"/>
    <w:rsid w:val="007F5A11"/>
    <w:rsid w:val="00812250"/>
    <w:rsid w:val="00814830"/>
    <w:rsid w:val="008517FE"/>
    <w:rsid w:val="008525D4"/>
    <w:rsid w:val="0085365F"/>
    <w:rsid w:val="00865724"/>
    <w:rsid w:val="00867195"/>
    <w:rsid w:val="00867C03"/>
    <w:rsid w:val="00881831"/>
    <w:rsid w:val="00882522"/>
    <w:rsid w:val="00882583"/>
    <w:rsid w:val="008C2FB4"/>
    <w:rsid w:val="008C6742"/>
    <w:rsid w:val="008E21DC"/>
    <w:rsid w:val="008E4A3C"/>
    <w:rsid w:val="008E5272"/>
    <w:rsid w:val="008E6515"/>
    <w:rsid w:val="0090132A"/>
    <w:rsid w:val="0091114E"/>
    <w:rsid w:val="00943720"/>
    <w:rsid w:val="0094578E"/>
    <w:rsid w:val="00957776"/>
    <w:rsid w:val="00977F93"/>
    <w:rsid w:val="0098010D"/>
    <w:rsid w:val="009A2AB7"/>
    <w:rsid w:val="009A50DA"/>
    <w:rsid w:val="009A5D2F"/>
    <w:rsid w:val="009A6675"/>
    <w:rsid w:val="009B11C7"/>
    <w:rsid w:val="009B37C0"/>
    <w:rsid w:val="009C5014"/>
    <w:rsid w:val="009C6846"/>
    <w:rsid w:val="009D2435"/>
    <w:rsid w:val="009D798A"/>
    <w:rsid w:val="009E141F"/>
    <w:rsid w:val="009E3D7F"/>
    <w:rsid w:val="00A12AEE"/>
    <w:rsid w:val="00A150B7"/>
    <w:rsid w:val="00A21885"/>
    <w:rsid w:val="00A26B6A"/>
    <w:rsid w:val="00A316EA"/>
    <w:rsid w:val="00A4584B"/>
    <w:rsid w:val="00A676F7"/>
    <w:rsid w:val="00A81EAD"/>
    <w:rsid w:val="00AA28AA"/>
    <w:rsid w:val="00AA3C68"/>
    <w:rsid w:val="00AB4E34"/>
    <w:rsid w:val="00AD00EA"/>
    <w:rsid w:val="00AD148D"/>
    <w:rsid w:val="00AD4250"/>
    <w:rsid w:val="00AF0D8C"/>
    <w:rsid w:val="00B03CEE"/>
    <w:rsid w:val="00B141ED"/>
    <w:rsid w:val="00B36559"/>
    <w:rsid w:val="00B42F6C"/>
    <w:rsid w:val="00B50E98"/>
    <w:rsid w:val="00B5102A"/>
    <w:rsid w:val="00B73A77"/>
    <w:rsid w:val="00B80226"/>
    <w:rsid w:val="00B9521D"/>
    <w:rsid w:val="00BA370C"/>
    <w:rsid w:val="00BA4B8D"/>
    <w:rsid w:val="00BB14B4"/>
    <w:rsid w:val="00BD3D4F"/>
    <w:rsid w:val="00BF5CA0"/>
    <w:rsid w:val="00C021D5"/>
    <w:rsid w:val="00C20342"/>
    <w:rsid w:val="00C26CF9"/>
    <w:rsid w:val="00C2720E"/>
    <w:rsid w:val="00C30E4E"/>
    <w:rsid w:val="00C31F00"/>
    <w:rsid w:val="00C63E83"/>
    <w:rsid w:val="00C64D86"/>
    <w:rsid w:val="00C64DD1"/>
    <w:rsid w:val="00C7632A"/>
    <w:rsid w:val="00C9160E"/>
    <w:rsid w:val="00CA7F12"/>
    <w:rsid w:val="00CB256C"/>
    <w:rsid w:val="00CC15DD"/>
    <w:rsid w:val="00CC6874"/>
    <w:rsid w:val="00CC7E60"/>
    <w:rsid w:val="00CF019A"/>
    <w:rsid w:val="00D01EFA"/>
    <w:rsid w:val="00D026C5"/>
    <w:rsid w:val="00D066EE"/>
    <w:rsid w:val="00D2059F"/>
    <w:rsid w:val="00D21C79"/>
    <w:rsid w:val="00D44FE5"/>
    <w:rsid w:val="00D6445B"/>
    <w:rsid w:val="00D9208A"/>
    <w:rsid w:val="00D965F4"/>
    <w:rsid w:val="00D972D2"/>
    <w:rsid w:val="00DA1CCA"/>
    <w:rsid w:val="00DA576D"/>
    <w:rsid w:val="00DC3D0B"/>
    <w:rsid w:val="00DD0569"/>
    <w:rsid w:val="00DF09B4"/>
    <w:rsid w:val="00DF481E"/>
    <w:rsid w:val="00E0735F"/>
    <w:rsid w:val="00E2022B"/>
    <w:rsid w:val="00E20E3B"/>
    <w:rsid w:val="00E20FFE"/>
    <w:rsid w:val="00E24A6B"/>
    <w:rsid w:val="00E2636D"/>
    <w:rsid w:val="00E35475"/>
    <w:rsid w:val="00E63F14"/>
    <w:rsid w:val="00E85D21"/>
    <w:rsid w:val="00EB7928"/>
    <w:rsid w:val="00EC1657"/>
    <w:rsid w:val="00EC593F"/>
    <w:rsid w:val="00EC7313"/>
    <w:rsid w:val="00EE4A73"/>
    <w:rsid w:val="00EE5E07"/>
    <w:rsid w:val="00EE749A"/>
    <w:rsid w:val="00EF6BC7"/>
    <w:rsid w:val="00F049F5"/>
    <w:rsid w:val="00F055E7"/>
    <w:rsid w:val="00F123EF"/>
    <w:rsid w:val="00F305A2"/>
    <w:rsid w:val="00F4778B"/>
    <w:rsid w:val="00F55BE7"/>
    <w:rsid w:val="00F716B3"/>
    <w:rsid w:val="00F9352D"/>
    <w:rsid w:val="00FA6036"/>
    <w:rsid w:val="00FB0DDF"/>
    <w:rsid w:val="00FC6C9A"/>
    <w:rsid w:val="00FD5C0B"/>
    <w:rsid w:val="00FE47DA"/>
    <w:rsid w:val="00FE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8E"/>
    <w:rPr>
      <w:rFonts w:ascii="Tahoma" w:hAnsi="Tahoma" w:cs="Tahoma"/>
      <w:sz w:val="16"/>
      <w:szCs w:val="16"/>
    </w:rPr>
  </w:style>
  <w:style w:type="paragraph" w:styleId="HTMLPreformatted">
    <w:name w:val="HTML Preformatted"/>
    <w:basedOn w:val="Normal"/>
    <w:link w:val="HTMLPreformattedChar"/>
    <w:uiPriority w:val="99"/>
    <w:unhideWhenUsed/>
    <w:rsid w:val="002E1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E16B5"/>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9E3D7F"/>
    <w:rPr>
      <w:color w:val="0000FF" w:themeColor="hyperlink"/>
      <w:u w:val="single"/>
    </w:rPr>
  </w:style>
  <w:style w:type="character" w:styleId="CommentReference">
    <w:name w:val="annotation reference"/>
    <w:basedOn w:val="DefaultParagraphFont"/>
    <w:uiPriority w:val="99"/>
    <w:semiHidden/>
    <w:unhideWhenUsed/>
    <w:rsid w:val="00611394"/>
    <w:rPr>
      <w:sz w:val="16"/>
      <w:szCs w:val="16"/>
    </w:rPr>
  </w:style>
  <w:style w:type="paragraph" w:styleId="CommentText">
    <w:name w:val="annotation text"/>
    <w:basedOn w:val="Normal"/>
    <w:link w:val="CommentTextChar"/>
    <w:uiPriority w:val="99"/>
    <w:unhideWhenUsed/>
    <w:rsid w:val="00611394"/>
    <w:pPr>
      <w:spacing w:line="240" w:lineRule="auto"/>
    </w:pPr>
    <w:rPr>
      <w:sz w:val="20"/>
      <w:szCs w:val="20"/>
    </w:rPr>
  </w:style>
  <w:style w:type="character" w:customStyle="1" w:styleId="CommentTextChar">
    <w:name w:val="Comment Text Char"/>
    <w:basedOn w:val="DefaultParagraphFont"/>
    <w:link w:val="CommentText"/>
    <w:uiPriority w:val="99"/>
    <w:rsid w:val="00611394"/>
    <w:rPr>
      <w:sz w:val="20"/>
      <w:szCs w:val="20"/>
    </w:rPr>
  </w:style>
  <w:style w:type="paragraph" w:styleId="CommentSubject">
    <w:name w:val="annotation subject"/>
    <w:basedOn w:val="CommentText"/>
    <w:next w:val="CommentText"/>
    <w:link w:val="CommentSubjectChar"/>
    <w:uiPriority w:val="99"/>
    <w:semiHidden/>
    <w:unhideWhenUsed/>
    <w:rsid w:val="00611394"/>
    <w:rPr>
      <w:b/>
      <w:bCs/>
    </w:rPr>
  </w:style>
  <w:style w:type="character" w:customStyle="1" w:styleId="CommentSubjectChar">
    <w:name w:val="Comment Subject Char"/>
    <w:basedOn w:val="CommentTextChar"/>
    <w:link w:val="CommentSubject"/>
    <w:uiPriority w:val="99"/>
    <w:semiHidden/>
    <w:rsid w:val="00611394"/>
    <w:rPr>
      <w:b/>
      <w:bCs/>
      <w:sz w:val="20"/>
      <w:szCs w:val="20"/>
    </w:rPr>
  </w:style>
  <w:style w:type="paragraph" w:styleId="Header">
    <w:name w:val="header"/>
    <w:basedOn w:val="Normal"/>
    <w:link w:val="HeaderChar"/>
    <w:uiPriority w:val="99"/>
    <w:unhideWhenUsed/>
    <w:rsid w:val="00F12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3EF"/>
  </w:style>
  <w:style w:type="paragraph" w:styleId="Footer">
    <w:name w:val="footer"/>
    <w:basedOn w:val="Normal"/>
    <w:link w:val="FooterChar"/>
    <w:uiPriority w:val="99"/>
    <w:unhideWhenUsed/>
    <w:rsid w:val="00F12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411">
      <w:bodyDiv w:val="1"/>
      <w:marLeft w:val="0"/>
      <w:marRight w:val="0"/>
      <w:marTop w:val="0"/>
      <w:marBottom w:val="0"/>
      <w:divBdr>
        <w:top w:val="none" w:sz="0" w:space="0" w:color="auto"/>
        <w:left w:val="none" w:sz="0" w:space="0" w:color="auto"/>
        <w:bottom w:val="none" w:sz="0" w:space="0" w:color="auto"/>
        <w:right w:val="none" w:sz="0" w:space="0" w:color="auto"/>
      </w:divBdr>
    </w:div>
    <w:div w:id="444812562">
      <w:bodyDiv w:val="1"/>
      <w:marLeft w:val="0"/>
      <w:marRight w:val="0"/>
      <w:marTop w:val="0"/>
      <w:marBottom w:val="0"/>
      <w:divBdr>
        <w:top w:val="none" w:sz="0" w:space="0" w:color="auto"/>
        <w:left w:val="none" w:sz="0" w:space="0" w:color="auto"/>
        <w:bottom w:val="none" w:sz="0" w:space="0" w:color="auto"/>
        <w:right w:val="none" w:sz="0" w:space="0" w:color="auto"/>
      </w:divBdr>
    </w:div>
    <w:div w:id="747314742">
      <w:bodyDiv w:val="1"/>
      <w:marLeft w:val="0"/>
      <w:marRight w:val="0"/>
      <w:marTop w:val="0"/>
      <w:marBottom w:val="0"/>
      <w:divBdr>
        <w:top w:val="none" w:sz="0" w:space="0" w:color="auto"/>
        <w:left w:val="none" w:sz="0" w:space="0" w:color="auto"/>
        <w:bottom w:val="none" w:sz="0" w:space="0" w:color="auto"/>
        <w:right w:val="none" w:sz="0" w:space="0" w:color="auto"/>
      </w:divBdr>
    </w:div>
    <w:div w:id="853344986">
      <w:bodyDiv w:val="1"/>
      <w:marLeft w:val="0"/>
      <w:marRight w:val="0"/>
      <w:marTop w:val="0"/>
      <w:marBottom w:val="0"/>
      <w:divBdr>
        <w:top w:val="none" w:sz="0" w:space="0" w:color="auto"/>
        <w:left w:val="none" w:sz="0" w:space="0" w:color="auto"/>
        <w:bottom w:val="none" w:sz="0" w:space="0" w:color="auto"/>
        <w:right w:val="none" w:sz="0" w:space="0" w:color="auto"/>
      </w:divBdr>
    </w:div>
    <w:div w:id="1001860773">
      <w:bodyDiv w:val="1"/>
      <w:marLeft w:val="0"/>
      <w:marRight w:val="0"/>
      <w:marTop w:val="0"/>
      <w:marBottom w:val="0"/>
      <w:divBdr>
        <w:top w:val="none" w:sz="0" w:space="0" w:color="auto"/>
        <w:left w:val="none" w:sz="0" w:space="0" w:color="auto"/>
        <w:bottom w:val="none" w:sz="0" w:space="0" w:color="auto"/>
        <w:right w:val="none" w:sz="0" w:space="0" w:color="auto"/>
      </w:divBdr>
    </w:div>
    <w:div w:id="1198540310">
      <w:bodyDiv w:val="1"/>
      <w:marLeft w:val="0"/>
      <w:marRight w:val="0"/>
      <w:marTop w:val="0"/>
      <w:marBottom w:val="0"/>
      <w:divBdr>
        <w:top w:val="none" w:sz="0" w:space="0" w:color="auto"/>
        <w:left w:val="none" w:sz="0" w:space="0" w:color="auto"/>
        <w:bottom w:val="none" w:sz="0" w:space="0" w:color="auto"/>
        <w:right w:val="none" w:sz="0" w:space="0" w:color="auto"/>
      </w:divBdr>
    </w:div>
    <w:div w:id="1430665460">
      <w:bodyDiv w:val="1"/>
      <w:marLeft w:val="0"/>
      <w:marRight w:val="0"/>
      <w:marTop w:val="0"/>
      <w:marBottom w:val="0"/>
      <w:divBdr>
        <w:top w:val="none" w:sz="0" w:space="0" w:color="auto"/>
        <w:left w:val="none" w:sz="0" w:space="0" w:color="auto"/>
        <w:bottom w:val="none" w:sz="0" w:space="0" w:color="auto"/>
        <w:right w:val="none" w:sz="0" w:space="0" w:color="auto"/>
      </w:divBdr>
    </w:div>
    <w:div w:id="1470903525">
      <w:bodyDiv w:val="1"/>
      <w:marLeft w:val="0"/>
      <w:marRight w:val="0"/>
      <w:marTop w:val="0"/>
      <w:marBottom w:val="0"/>
      <w:divBdr>
        <w:top w:val="none" w:sz="0" w:space="0" w:color="auto"/>
        <w:left w:val="none" w:sz="0" w:space="0" w:color="auto"/>
        <w:bottom w:val="none" w:sz="0" w:space="0" w:color="auto"/>
        <w:right w:val="none" w:sz="0" w:space="0" w:color="auto"/>
      </w:divBdr>
    </w:div>
    <w:div w:id="1582368479">
      <w:bodyDiv w:val="1"/>
      <w:marLeft w:val="0"/>
      <w:marRight w:val="0"/>
      <w:marTop w:val="0"/>
      <w:marBottom w:val="0"/>
      <w:divBdr>
        <w:top w:val="none" w:sz="0" w:space="0" w:color="auto"/>
        <w:left w:val="none" w:sz="0" w:space="0" w:color="auto"/>
        <w:bottom w:val="none" w:sz="0" w:space="0" w:color="auto"/>
        <w:right w:val="none" w:sz="0" w:space="0" w:color="auto"/>
      </w:divBdr>
    </w:div>
    <w:div w:id="21069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onlinelibrary.wiley.com/doi/10.1111/geb.12208/abstrac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9</Pages>
  <Words>759</Words>
  <Characters>4332</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MNCN</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rearly</dc:creator>
  <cp:keywords/>
  <dc:description/>
  <cp:lastModifiedBy>Early, Regan</cp:lastModifiedBy>
  <cp:revision>34</cp:revision>
  <cp:lastPrinted>2012-08-01T10:49:00Z</cp:lastPrinted>
  <dcterms:created xsi:type="dcterms:W3CDTF">2013-07-11T15:35:00Z</dcterms:created>
  <dcterms:modified xsi:type="dcterms:W3CDTF">2014-08-26T09:21:00Z</dcterms:modified>
</cp:coreProperties>
</file>