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778" w:rsidRPr="001B5FC3" w:rsidRDefault="00646778" w:rsidP="00646778">
      <w:pPr>
        <w:rPr>
          <w:lang w:val="en-GB"/>
        </w:rPr>
      </w:pPr>
    </w:p>
    <w:p w:rsidR="00646778" w:rsidRPr="001B5FC3" w:rsidRDefault="00831231" w:rsidP="00646778">
      <w:pPr>
        <w:rPr>
          <w:lang w:val="en-GB"/>
        </w:rPr>
      </w:pPr>
      <w:r>
        <w:rPr>
          <w:rFonts w:ascii="Courier" w:hAnsi="Courier" w:cs="Courier"/>
          <w:lang w:val="en-GB"/>
        </w:rPr>
        <w:t xml:space="preserve">Revised Draft </w:t>
      </w:r>
      <w:r w:rsidR="00C95FFE">
        <w:rPr>
          <w:rFonts w:ascii="Courier" w:hAnsi="Courier" w:cs="Courier"/>
          <w:lang w:val="en-GB"/>
        </w:rPr>
        <w:t xml:space="preserve">April </w:t>
      </w:r>
      <w:r w:rsidR="002B1FDB">
        <w:rPr>
          <w:rFonts w:ascii="Courier" w:hAnsi="Courier" w:cs="Courier"/>
          <w:lang w:val="en-GB"/>
        </w:rPr>
        <w:t>2</w:t>
      </w:r>
      <w:r w:rsidR="006657F3">
        <w:rPr>
          <w:rFonts w:ascii="Courier" w:hAnsi="Courier" w:cs="Courier"/>
          <w:lang w:val="en-GB"/>
        </w:rPr>
        <w:t>3</w:t>
      </w:r>
      <w:r>
        <w:rPr>
          <w:rFonts w:ascii="Courier" w:hAnsi="Courier" w:cs="Courier"/>
          <w:lang w:val="en-GB"/>
        </w:rPr>
        <w:t xml:space="preserve"> 2015</w:t>
      </w:r>
    </w:p>
    <w:p w:rsidR="00646778" w:rsidRPr="001B5FC3" w:rsidRDefault="00646778" w:rsidP="00646778">
      <w:pPr>
        <w:rPr>
          <w:lang w:val="en-GB"/>
        </w:rPr>
      </w:pPr>
    </w:p>
    <w:p w:rsidR="00646778" w:rsidRPr="001B5FC3" w:rsidRDefault="00646778" w:rsidP="00646778">
      <w:pPr>
        <w:jc w:val="center"/>
        <w:rPr>
          <w:lang w:val="en-GB"/>
        </w:rPr>
      </w:pPr>
    </w:p>
    <w:p w:rsidR="005308A4" w:rsidRDefault="005308A4" w:rsidP="00646778">
      <w:pPr>
        <w:jc w:val="center"/>
        <w:rPr>
          <w:rFonts w:ascii="Times New Roman" w:hAnsi="Times New Roman" w:cs="Times New Roman"/>
          <w:b/>
          <w:sz w:val="36"/>
          <w:lang w:val="en-GB"/>
        </w:rPr>
      </w:pPr>
      <w:r>
        <w:rPr>
          <w:rFonts w:ascii="Times New Roman" w:hAnsi="Times New Roman" w:cs="Times New Roman"/>
          <w:b/>
          <w:sz w:val="36"/>
          <w:lang w:val="en-GB"/>
        </w:rPr>
        <w:t xml:space="preserve">2015 Lancet Commission on </w:t>
      </w:r>
      <w:bookmarkStart w:id="0" w:name="_GoBack"/>
      <w:r>
        <w:rPr>
          <w:rFonts w:ascii="Times New Roman" w:hAnsi="Times New Roman" w:cs="Times New Roman"/>
          <w:b/>
          <w:sz w:val="36"/>
          <w:lang w:val="en-GB"/>
        </w:rPr>
        <w:t>Health and Climate Change:</w:t>
      </w:r>
    </w:p>
    <w:p w:rsidR="005308A4" w:rsidRDefault="005308A4">
      <w:pPr>
        <w:jc w:val="center"/>
        <w:rPr>
          <w:rFonts w:ascii="Times New Roman" w:hAnsi="Times New Roman" w:cs="Times New Roman"/>
          <w:b/>
          <w:sz w:val="36"/>
          <w:lang w:val="en-GB"/>
        </w:rPr>
      </w:pPr>
      <w:r>
        <w:rPr>
          <w:rFonts w:ascii="Times New Roman" w:hAnsi="Times New Roman" w:cs="Times New Roman"/>
          <w:b/>
          <w:sz w:val="36"/>
          <w:lang w:val="en-GB"/>
        </w:rPr>
        <w:t>Policy Responses to Protect Public Health</w:t>
      </w:r>
    </w:p>
    <w:bookmarkEnd w:id="0"/>
    <w:p w:rsidR="00646778" w:rsidRPr="001B5FC3" w:rsidRDefault="00646778" w:rsidP="00646778">
      <w:pPr>
        <w:jc w:val="center"/>
        <w:rPr>
          <w:lang w:val="en-GB"/>
        </w:rPr>
      </w:pPr>
    </w:p>
    <w:p w:rsidR="00646778" w:rsidRPr="001B5FC3" w:rsidRDefault="00646778" w:rsidP="00646778">
      <w:pPr>
        <w:jc w:val="center"/>
        <w:rPr>
          <w:lang w:val="en-GB"/>
        </w:rPr>
      </w:pPr>
    </w:p>
    <w:p w:rsidR="00646778" w:rsidRPr="001B5FC3" w:rsidRDefault="00646778" w:rsidP="00646778">
      <w:pPr>
        <w:tabs>
          <w:tab w:val="left" w:pos="1890"/>
        </w:tabs>
        <w:rPr>
          <w:lang w:val="en-GB"/>
        </w:rPr>
      </w:pPr>
      <w:r w:rsidRPr="001B5FC3">
        <w:rPr>
          <w:lang w:val="en-GB"/>
        </w:rPr>
        <w:tab/>
      </w:r>
    </w:p>
    <w:p w:rsidR="00646778" w:rsidRPr="001B5FC3" w:rsidRDefault="00646778" w:rsidP="00646778">
      <w:pPr>
        <w:rPr>
          <w:lang w:val="en-GB"/>
        </w:rPr>
      </w:pPr>
      <w:r w:rsidRPr="001B5FC3">
        <w:rPr>
          <w:rFonts w:ascii="Times New Roman" w:hAnsi="Times New Roman" w:cs="Times New Roman"/>
          <w:sz w:val="22"/>
          <w:lang w:val="en-GB"/>
        </w:rPr>
        <w:t>Nick Watts,</w:t>
      </w:r>
      <w:r w:rsidR="00831231">
        <w:rPr>
          <w:rFonts w:ascii="Times New Roman" w:hAnsi="Times New Roman" w:cs="Times New Roman"/>
          <w:sz w:val="22"/>
          <w:lang w:val="en-GB"/>
        </w:rPr>
        <w:t xml:space="preserve"> W.</w:t>
      </w:r>
      <w:r w:rsidRPr="001B5FC3">
        <w:rPr>
          <w:rFonts w:ascii="Times New Roman" w:hAnsi="Times New Roman" w:cs="Times New Roman"/>
          <w:sz w:val="22"/>
          <w:lang w:val="en-GB"/>
        </w:rPr>
        <w:t xml:space="preserve"> Neil Adger, Paolo Agnolucci,  Jason Blackstock, Peter Byass, Wenjia Cai, Sarah Chaytor, Tim Colbourn, Mat Collins, Adam Cooper, Peter </w:t>
      </w:r>
      <w:r w:rsidR="00F73742">
        <w:rPr>
          <w:rFonts w:ascii="Times New Roman" w:hAnsi="Times New Roman" w:cs="Times New Roman"/>
          <w:sz w:val="22"/>
          <w:lang w:val="en-GB"/>
        </w:rPr>
        <w:t xml:space="preserve">M. </w:t>
      </w:r>
      <w:r w:rsidRPr="001B5FC3">
        <w:rPr>
          <w:rFonts w:ascii="Times New Roman" w:hAnsi="Times New Roman" w:cs="Times New Roman"/>
          <w:sz w:val="22"/>
          <w:lang w:val="en-GB"/>
        </w:rPr>
        <w:t xml:space="preserve">Cox, </w:t>
      </w:r>
      <w:r w:rsidR="00BE119A">
        <w:rPr>
          <w:rFonts w:ascii="Times New Roman" w:hAnsi="Times New Roman" w:cs="Times New Roman"/>
          <w:sz w:val="22"/>
          <w:lang w:val="en-GB"/>
        </w:rPr>
        <w:t xml:space="preserve">Joanna Depledge, </w:t>
      </w:r>
      <w:r w:rsidRPr="001B5FC3">
        <w:rPr>
          <w:rFonts w:ascii="Times New Roman" w:hAnsi="Times New Roman" w:cs="Times New Roman"/>
          <w:sz w:val="22"/>
          <w:lang w:val="en-GB"/>
        </w:rPr>
        <w:t>Paul Drummond, Paul Ekins, Victor Galaz, Delia Grace, Hilary Graham,  Michael Grubb, Andy Haines, Ian Hamilton, Al</w:t>
      </w:r>
      <w:r w:rsidR="002B1FDB">
        <w:rPr>
          <w:rFonts w:ascii="Times New Roman" w:hAnsi="Times New Roman" w:cs="Times New Roman"/>
          <w:sz w:val="22"/>
          <w:lang w:val="en-GB"/>
        </w:rPr>
        <w:t>a</w:t>
      </w:r>
      <w:r w:rsidRPr="001B5FC3">
        <w:rPr>
          <w:rFonts w:ascii="Times New Roman" w:hAnsi="Times New Roman" w:cs="Times New Roman"/>
          <w:sz w:val="22"/>
          <w:lang w:val="en-GB"/>
        </w:rPr>
        <w:t xml:space="preserve">sdair Hunter, Xujia Jiang, Moxuan Li, </w:t>
      </w:r>
      <w:r w:rsidR="00011902">
        <w:rPr>
          <w:rFonts w:ascii="Times New Roman" w:hAnsi="Times New Roman" w:cs="Times New Roman"/>
          <w:sz w:val="22"/>
          <w:lang w:val="en-GB"/>
        </w:rPr>
        <w:t xml:space="preserve">Ilan Kelman, </w:t>
      </w:r>
      <w:r w:rsidRPr="001B5FC3">
        <w:rPr>
          <w:rFonts w:ascii="Times New Roman" w:hAnsi="Times New Roman" w:cs="Times New Roman"/>
          <w:sz w:val="22"/>
          <w:lang w:val="en-GB"/>
        </w:rPr>
        <w:t>Lu Liang, Melissa Lott, Robert Lowe, Yong Luo, Georgina Mace, Mark Maslin, Maria Nilsson, Tadj Oreszczyn,</w:t>
      </w:r>
      <w:r w:rsidR="00FE3A68">
        <w:rPr>
          <w:rFonts w:ascii="Times New Roman" w:hAnsi="Times New Roman" w:cs="Times New Roman"/>
          <w:sz w:val="22"/>
          <w:lang w:val="en-GB"/>
        </w:rPr>
        <w:t xml:space="preserve"> Steve Pye,</w:t>
      </w:r>
      <w:r w:rsidR="00AB6C93">
        <w:rPr>
          <w:rFonts w:ascii="Times New Roman" w:hAnsi="Times New Roman" w:cs="Times New Roman"/>
          <w:sz w:val="22"/>
          <w:lang w:val="en-GB"/>
        </w:rPr>
        <w:t xml:space="preserve"> Tara Quinn,  My Svensdotte</w:t>
      </w:r>
      <w:r w:rsidRPr="001B5FC3">
        <w:rPr>
          <w:rFonts w:ascii="Times New Roman" w:hAnsi="Times New Roman" w:cs="Times New Roman"/>
          <w:sz w:val="22"/>
          <w:lang w:val="en-GB"/>
        </w:rPr>
        <w:t>r, Sergey Venevsky,  Koko Warner, Bing Xu, Jun Yang, Yongyuan Yin, Chaoqing Yu, Qiang Zhang, Peng Gong (</w:t>
      </w:r>
      <w:r w:rsidR="004E1FC6">
        <w:rPr>
          <w:rFonts w:ascii="Times New Roman" w:hAnsi="Times New Roman" w:cs="Times New Roman"/>
          <w:i/>
          <w:sz w:val="22"/>
          <w:lang w:val="en-GB"/>
        </w:rPr>
        <w:t>co-Chair</w:t>
      </w:r>
      <w:r w:rsidRPr="001B5FC3">
        <w:rPr>
          <w:rFonts w:ascii="Times New Roman" w:hAnsi="Times New Roman" w:cs="Times New Roman"/>
          <w:sz w:val="22"/>
          <w:lang w:val="en-GB"/>
        </w:rPr>
        <w:t>)</w:t>
      </w:r>
      <w:r w:rsidR="00BC32BF">
        <w:rPr>
          <w:rFonts w:ascii="Times New Roman" w:hAnsi="Times New Roman" w:cs="Times New Roman"/>
          <w:sz w:val="22"/>
          <w:lang w:val="en-GB"/>
        </w:rPr>
        <w:t>,</w:t>
      </w:r>
      <w:r w:rsidRPr="001B5FC3">
        <w:rPr>
          <w:rFonts w:ascii="Times New Roman" w:hAnsi="Times New Roman" w:cs="Times New Roman"/>
          <w:sz w:val="22"/>
          <w:lang w:val="en-GB"/>
        </w:rPr>
        <w:t xml:space="preserve"> Hugh Montgomery (</w:t>
      </w:r>
      <w:r w:rsidRPr="001B5FC3">
        <w:rPr>
          <w:rFonts w:ascii="Times New Roman" w:hAnsi="Times New Roman" w:cs="Times New Roman"/>
          <w:i/>
          <w:sz w:val="22"/>
          <w:lang w:val="en-GB"/>
        </w:rPr>
        <w:t>co-Chair</w:t>
      </w:r>
      <w:r w:rsidRPr="001B5FC3">
        <w:rPr>
          <w:rFonts w:ascii="Times New Roman" w:hAnsi="Times New Roman" w:cs="Times New Roman"/>
          <w:sz w:val="22"/>
          <w:lang w:val="en-GB"/>
        </w:rPr>
        <w:t>), Anthony Costello (</w:t>
      </w:r>
      <w:r w:rsidRPr="001B5FC3">
        <w:rPr>
          <w:rFonts w:ascii="Times New Roman" w:hAnsi="Times New Roman" w:cs="Times New Roman"/>
          <w:i/>
          <w:sz w:val="22"/>
          <w:lang w:val="en-GB"/>
        </w:rPr>
        <w:t>co-Chair</w:t>
      </w:r>
      <w:r w:rsidRPr="001B5FC3">
        <w:rPr>
          <w:rFonts w:ascii="Times New Roman" w:hAnsi="Times New Roman" w:cs="Times New Roman"/>
          <w:sz w:val="22"/>
          <w:lang w:val="en-GB"/>
        </w:rPr>
        <w:t>)</w:t>
      </w:r>
    </w:p>
    <w:p w:rsidR="00646778" w:rsidRPr="001B5FC3" w:rsidRDefault="00646778" w:rsidP="00646778">
      <w:pPr>
        <w:jc w:val="both"/>
        <w:rPr>
          <w:rFonts w:ascii="Calibri" w:hAnsi="Calibri" w:cs="Times New Roman"/>
          <w:sz w:val="26"/>
          <w:lang w:val="en-GB"/>
        </w:rPr>
      </w:pPr>
    </w:p>
    <w:p w:rsidR="00F73742" w:rsidRDefault="00F73742">
      <w:pPr>
        <w:rPr>
          <w:rFonts w:ascii="Calibri" w:hAnsi="Calibri" w:cs="Times New Roman"/>
          <w:sz w:val="26"/>
          <w:lang w:val="en-GB"/>
        </w:rPr>
      </w:pPr>
    </w:p>
    <w:p w:rsidR="00F73742" w:rsidRDefault="00F73742">
      <w:pPr>
        <w:rPr>
          <w:rFonts w:ascii="Calibri" w:hAnsi="Calibri" w:cs="Times New Roman"/>
          <w:sz w:val="26"/>
          <w:lang w:val="en-GB"/>
        </w:rPr>
      </w:pPr>
    </w:p>
    <w:p w:rsidR="00F73742" w:rsidRPr="006A7DE4" w:rsidRDefault="005E6E0A" w:rsidP="006A7DE4">
      <w:pPr>
        <w:pStyle w:val="Heading5"/>
        <w:rPr>
          <w:lang w:val="en-GB"/>
        </w:rPr>
      </w:pPr>
      <w:r w:rsidRPr="006A7DE4">
        <w:rPr>
          <w:lang w:val="en-GB"/>
        </w:rPr>
        <w:t>Author Affiliations</w:t>
      </w:r>
    </w:p>
    <w:p w:rsidR="00F73742" w:rsidRPr="006A7DE4" w:rsidRDefault="005E6E0A">
      <w:pPr>
        <w:rPr>
          <w:rFonts w:ascii="Calibri" w:hAnsi="Calibri" w:cs="Times New Roman"/>
          <w:b/>
          <w:sz w:val="16"/>
          <w:szCs w:val="16"/>
          <w:lang w:val="en-GB"/>
        </w:rPr>
      </w:pPr>
      <w:r w:rsidRPr="006A7DE4">
        <w:rPr>
          <w:rFonts w:ascii="Calibri" w:hAnsi="Calibri" w:cs="Times New Roman"/>
          <w:b/>
          <w:sz w:val="16"/>
          <w:szCs w:val="16"/>
          <w:lang w:val="en-GB"/>
        </w:rPr>
        <w:t>University College London, Institute for Global Health</w:t>
      </w:r>
    </w:p>
    <w:p w:rsidR="00012BAE" w:rsidRPr="006A7DE4" w:rsidRDefault="002B1FDB">
      <w:pPr>
        <w:rPr>
          <w:rFonts w:ascii="Calibri" w:hAnsi="Calibri" w:cs="Times New Roman"/>
          <w:sz w:val="16"/>
          <w:szCs w:val="16"/>
          <w:lang w:val="en-GB"/>
        </w:rPr>
      </w:pPr>
      <w:r w:rsidRPr="006A7DE4">
        <w:rPr>
          <w:rFonts w:ascii="Calibri" w:hAnsi="Calibri" w:cs="Times New Roman"/>
          <w:sz w:val="16"/>
          <w:szCs w:val="16"/>
          <w:lang w:val="en-GB"/>
        </w:rPr>
        <w:t xml:space="preserve">Nick Watts MA; </w:t>
      </w:r>
      <w:r w:rsidR="005E6E0A" w:rsidRPr="006A7DE4">
        <w:rPr>
          <w:rFonts w:ascii="Calibri" w:hAnsi="Calibri" w:cs="Times New Roman"/>
          <w:sz w:val="16"/>
          <w:szCs w:val="16"/>
          <w:lang w:val="en-GB"/>
        </w:rPr>
        <w:t>Prof A Costello</w:t>
      </w:r>
      <w:r w:rsidRPr="006A7DE4">
        <w:rPr>
          <w:rFonts w:ascii="Calibri" w:hAnsi="Calibri" w:cs="Times New Roman"/>
          <w:sz w:val="16"/>
          <w:szCs w:val="16"/>
          <w:lang w:val="en-GB"/>
        </w:rPr>
        <w:t xml:space="preserve"> FMedSc</w:t>
      </w:r>
      <w:r w:rsidR="00012BAE" w:rsidRPr="006A7DE4">
        <w:rPr>
          <w:rFonts w:ascii="Calibri" w:hAnsi="Calibri" w:cs="Times New Roman"/>
          <w:sz w:val="16"/>
          <w:szCs w:val="16"/>
          <w:lang w:val="en-GB"/>
        </w:rPr>
        <w:t>;</w:t>
      </w:r>
      <w:r w:rsidRPr="006A7DE4">
        <w:rPr>
          <w:rFonts w:ascii="Calibri" w:hAnsi="Calibri" w:cs="Times New Roman"/>
          <w:sz w:val="16"/>
          <w:szCs w:val="16"/>
          <w:lang w:val="en-GB"/>
        </w:rPr>
        <w:t xml:space="preserve"> Tim Colbourn PhD;</w:t>
      </w:r>
      <w:r w:rsidR="00012BAE" w:rsidRPr="006A7DE4">
        <w:rPr>
          <w:rFonts w:ascii="Calibri" w:hAnsi="Calibri" w:cs="Times New Roman"/>
          <w:sz w:val="16"/>
          <w:szCs w:val="16"/>
          <w:lang w:val="en-GB"/>
        </w:rPr>
        <w:t xml:space="preserve"> Ilan Kelman PhD</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International Livestock Research Institute</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Delia Grace PhD</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London School of Hygiene and Tropical Medicine</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 xml:space="preserve">Prof Andy Haines FMedSci;  </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Tsinghua University, Centre for Earth System Science</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Wenjia Cai PhD; Prof Peng Gong PhD; Xujia Jiang PhD; Moxuan Li PhD; Lu Liang MSc; Prof Yong Luo PhD; Sergey Venevsky PhD;</w:t>
      </w:r>
      <w:r w:rsidR="001167EE">
        <w:rPr>
          <w:rFonts w:ascii="Calibri" w:hAnsi="Calibri" w:cs="Times New Roman"/>
          <w:sz w:val="16"/>
          <w:szCs w:val="16"/>
          <w:lang w:val="en-GB"/>
        </w:rPr>
        <w:t xml:space="preserve"> Prof Bing Xu PhD;</w:t>
      </w:r>
      <w:r w:rsidRPr="006A7DE4">
        <w:rPr>
          <w:rFonts w:ascii="Calibri" w:hAnsi="Calibri" w:cs="Times New Roman"/>
          <w:sz w:val="16"/>
          <w:szCs w:val="16"/>
          <w:lang w:val="en-GB"/>
        </w:rPr>
        <w:t xml:space="preserve"> Jun Yang PhD; Yongyuan Yin PhD; Chaoqing Yu PhD; Prof Qiang Zhang PhD; </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Stockholm Resilience Centre</w:t>
      </w:r>
      <w:r w:rsidR="006657F3">
        <w:rPr>
          <w:rFonts w:ascii="Calibri" w:hAnsi="Calibri" w:cs="Times New Roman"/>
          <w:b/>
          <w:sz w:val="16"/>
          <w:szCs w:val="16"/>
          <w:lang w:val="en-GB"/>
        </w:rPr>
        <w:t>, Stockholm University</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Victor Galaz PhD; My Svensdotter MSc</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Umeå University, Centre for Global Health Research</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Prof Peter Byass PhD; Maria Nilsson PhD</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United Nations University Institute for Environment and Human Security</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Koko Warner PhD</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University of Cambridge, Department of Politics and International Studies</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Joanna Depledge PhD</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University of Exeter, College of Engineering, Mathematics and Physical Sciences</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Prof Matthew Collins PhD; Prof Peter M. Cox PhD; Alasdair Hunter PhD</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University of Exeter, College of Life and Environmental Sciences</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Prof W. Neil Adger PhD; Tara Quinn PhD</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University College London, Centre for Biodiversity and Environment Research</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Prof Georgina Mace D.Phil.</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University College London, Department of Geography</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Prof Mark Maslin PhD;</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University College London Department of Science, Technology, Engineering and Public Policy</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 xml:space="preserve">Jason Blackstock PhD; Adam Cooper PhD; </w:t>
      </w:r>
    </w:p>
    <w:p w:rsidR="002B1FDB" w:rsidRPr="006A7DE4" w:rsidRDefault="00683D83" w:rsidP="002B1FDB">
      <w:pPr>
        <w:rPr>
          <w:rFonts w:ascii="Calibri" w:hAnsi="Calibri" w:cs="Times New Roman"/>
          <w:b/>
          <w:sz w:val="16"/>
          <w:szCs w:val="16"/>
          <w:lang w:val="en-GB"/>
        </w:rPr>
      </w:pPr>
      <w:r w:rsidRPr="00683D83">
        <w:rPr>
          <w:rFonts w:ascii="Calibri" w:hAnsi="Calibri" w:cs="Times New Roman"/>
          <w:b/>
          <w:sz w:val="16"/>
          <w:szCs w:val="16"/>
          <w:lang w:val="en-GB"/>
        </w:rPr>
        <w:t>University College London, Energy Institute, RCUK Centre for Energy Epidemiology</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Ian Hamilton MSc; Prof Robert Lowe PhD; Prof Tadj Oreszczyn PhD; Steve Pye MSc</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University College London, Institute for Human Health and Performance</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Prof Hugh Montgomery MD</w:t>
      </w:r>
    </w:p>
    <w:p w:rsidR="002B1FDB" w:rsidRPr="006A7DE4" w:rsidRDefault="002B1FDB" w:rsidP="002B1FDB">
      <w:pPr>
        <w:rPr>
          <w:rFonts w:ascii="Calibri" w:hAnsi="Calibri" w:cs="Times New Roman"/>
          <w:b/>
          <w:sz w:val="16"/>
          <w:szCs w:val="16"/>
          <w:lang w:val="en-GB"/>
        </w:rPr>
      </w:pPr>
      <w:r w:rsidRPr="006A7DE4">
        <w:rPr>
          <w:rFonts w:ascii="Calibri" w:hAnsi="Calibri" w:cs="Times New Roman"/>
          <w:b/>
          <w:sz w:val="16"/>
          <w:szCs w:val="16"/>
          <w:lang w:val="en-GB"/>
        </w:rPr>
        <w:t>University College London, Institute for Sustainable Resources</w:t>
      </w:r>
    </w:p>
    <w:p w:rsidR="002B1FDB" w:rsidRPr="006A7DE4" w:rsidRDefault="002B1FDB" w:rsidP="002B1FDB">
      <w:pPr>
        <w:rPr>
          <w:rFonts w:ascii="Calibri" w:hAnsi="Calibri" w:cs="Times New Roman"/>
          <w:sz w:val="16"/>
          <w:szCs w:val="16"/>
          <w:lang w:val="en-GB"/>
        </w:rPr>
      </w:pPr>
      <w:r w:rsidRPr="006A7DE4">
        <w:rPr>
          <w:rFonts w:ascii="Calibri" w:hAnsi="Calibri" w:cs="Times New Roman"/>
          <w:sz w:val="16"/>
          <w:szCs w:val="16"/>
          <w:lang w:val="en-GB"/>
        </w:rPr>
        <w:t>Paolo Agnolucci PhD; Paul Drummond MSc; Prof Paul Ekins PhD; Prof Michael Grubb PhD; Melissa Lott M.S.Eng</w:t>
      </w:r>
    </w:p>
    <w:p w:rsidR="002B1FDB" w:rsidRPr="006A7DE4" w:rsidRDefault="002B1FDB">
      <w:pPr>
        <w:rPr>
          <w:rFonts w:ascii="Calibri" w:hAnsi="Calibri" w:cs="Times New Roman"/>
          <w:b/>
          <w:sz w:val="16"/>
          <w:szCs w:val="16"/>
          <w:lang w:val="en-GB"/>
        </w:rPr>
      </w:pPr>
      <w:r w:rsidRPr="006A7DE4">
        <w:rPr>
          <w:rFonts w:ascii="Calibri" w:hAnsi="Calibri" w:cs="Times New Roman"/>
          <w:b/>
          <w:sz w:val="16"/>
          <w:szCs w:val="16"/>
          <w:lang w:val="en-GB"/>
        </w:rPr>
        <w:t>University College London, Public Policy</w:t>
      </w:r>
    </w:p>
    <w:p w:rsidR="00012BAE" w:rsidRPr="006A7DE4" w:rsidRDefault="002B1FDB">
      <w:pPr>
        <w:rPr>
          <w:rFonts w:ascii="Calibri" w:hAnsi="Calibri" w:cs="Times New Roman"/>
          <w:sz w:val="16"/>
          <w:szCs w:val="16"/>
          <w:lang w:val="en-GB"/>
        </w:rPr>
      </w:pPr>
      <w:r w:rsidRPr="006A7DE4">
        <w:rPr>
          <w:rFonts w:ascii="Calibri" w:hAnsi="Calibri" w:cs="Times New Roman"/>
          <w:sz w:val="16"/>
          <w:szCs w:val="16"/>
          <w:lang w:val="en-GB"/>
        </w:rPr>
        <w:t>Sarah Chaytor MA</w:t>
      </w:r>
    </w:p>
    <w:p w:rsidR="00012BAE" w:rsidRPr="006A7DE4" w:rsidRDefault="00012BAE">
      <w:pPr>
        <w:rPr>
          <w:rFonts w:ascii="Calibri" w:hAnsi="Calibri" w:cs="Times New Roman"/>
          <w:b/>
          <w:sz w:val="16"/>
          <w:szCs w:val="16"/>
          <w:lang w:val="en-GB"/>
        </w:rPr>
      </w:pPr>
      <w:r w:rsidRPr="006A7DE4">
        <w:rPr>
          <w:rFonts w:ascii="Calibri" w:hAnsi="Calibri" w:cs="Times New Roman"/>
          <w:b/>
          <w:sz w:val="16"/>
          <w:szCs w:val="16"/>
          <w:lang w:val="en-GB"/>
        </w:rPr>
        <w:t>University of York, Department of Health Sciences</w:t>
      </w:r>
    </w:p>
    <w:p w:rsidR="00012BAE" w:rsidRPr="006A7DE4" w:rsidRDefault="00012BAE">
      <w:pPr>
        <w:rPr>
          <w:rFonts w:ascii="Calibri" w:hAnsi="Calibri" w:cs="Times New Roman"/>
          <w:sz w:val="20"/>
          <w:szCs w:val="20"/>
          <w:lang w:val="en-GB"/>
        </w:rPr>
      </w:pPr>
      <w:r w:rsidRPr="006A7DE4">
        <w:rPr>
          <w:rFonts w:ascii="Calibri" w:hAnsi="Calibri" w:cs="Times New Roman"/>
          <w:sz w:val="16"/>
          <w:szCs w:val="16"/>
          <w:lang w:val="en-GB"/>
        </w:rPr>
        <w:t>Prof Hilary Graham PhD</w:t>
      </w:r>
    </w:p>
    <w:p w:rsidR="00EF1C2E" w:rsidRPr="00FD2424" w:rsidRDefault="00EF1C2E" w:rsidP="00AE7EED">
      <w:pPr>
        <w:jc w:val="both"/>
        <w:rPr>
          <w:sz w:val="22"/>
          <w:szCs w:val="22"/>
          <w:lang w:val="en-GB"/>
        </w:rPr>
      </w:pPr>
    </w:p>
    <w:sdt>
      <w:sdtPr>
        <w:rPr>
          <w:rFonts w:asciiTheme="minorHAnsi" w:eastAsiaTheme="minorEastAsia" w:hAnsiTheme="minorHAnsi" w:cstheme="minorBidi"/>
          <w:color w:val="auto"/>
          <w:sz w:val="24"/>
          <w:szCs w:val="24"/>
          <w:lang w:eastAsia="ja-JP"/>
        </w:rPr>
        <w:id w:val="-1523696352"/>
        <w:docPartObj>
          <w:docPartGallery w:val="Table of Contents"/>
          <w:docPartUnique/>
        </w:docPartObj>
      </w:sdtPr>
      <w:sdtEndPr>
        <w:rPr>
          <w:b/>
          <w:bCs/>
          <w:noProof/>
        </w:rPr>
      </w:sdtEndPr>
      <w:sdtContent>
        <w:p w:rsidR="00646778" w:rsidRDefault="00646778">
          <w:pPr>
            <w:pStyle w:val="TOCHeading"/>
          </w:pPr>
          <w:r>
            <w:t>Table of Contents</w:t>
          </w:r>
        </w:p>
        <w:p w:rsidR="008758B9" w:rsidRDefault="00E13392">
          <w:pPr>
            <w:pStyle w:val="TOC1"/>
            <w:tabs>
              <w:tab w:val="right" w:leader="dot" w:pos="9016"/>
            </w:tabs>
            <w:rPr>
              <w:noProof/>
              <w:sz w:val="22"/>
              <w:szCs w:val="22"/>
              <w:lang w:val="en-AU" w:eastAsia="en-AU"/>
            </w:rPr>
          </w:pPr>
          <w:r>
            <w:fldChar w:fldCharType="begin"/>
          </w:r>
          <w:r w:rsidR="00646778">
            <w:instrText xml:space="preserve"> TOC \o "1-3" \h \z \u </w:instrText>
          </w:r>
          <w:r>
            <w:fldChar w:fldCharType="separate"/>
          </w:r>
          <w:hyperlink w:anchor="_Toc417502027" w:history="1">
            <w:r w:rsidR="008758B9" w:rsidRPr="00B11C3A">
              <w:rPr>
                <w:rStyle w:val="Hyperlink"/>
                <w:noProof/>
                <w:lang w:val="en-GB"/>
              </w:rPr>
              <w:t>Executive Summary – 2015 Lancet Commission on Health and Climate Change</w:t>
            </w:r>
            <w:r w:rsidR="008758B9">
              <w:rPr>
                <w:noProof/>
                <w:webHidden/>
              </w:rPr>
              <w:tab/>
            </w:r>
            <w:r>
              <w:rPr>
                <w:noProof/>
                <w:webHidden/>
              </w:rPr>
              <w:fldChar w:fldCharType="begin"/>
            </w:r>
            <w:r w:rsidR="008758B9">
              <w:rPr>
                <w:noProof/>
                <w:webHidden/>
              </w:rPr>
              <w:instrText xml:space="preserve"> PAGEREF _Toc417502027 \h </w:instrText>
            </w:r>
            <w:r>
              <w:rPr>
                <w:noProof/>
                <w:webHidden/>
              </w:rPr>
            </w:r>
            <w:r>
              <w:rPr>
                <w:noProof/>
                <w:webHidden/>
              </w:rPr>
              <w:fldChar w:fldCharType="separate"/>
            </w:r>
            <w:r w:rsidR="008758B9">
              <w:rPr>
                <w:noProof/>
                <w:webHidden/>
              </w:rPr>
              <w:t>5</w:t>
            </w:r>
            <w:r>
              <w:rPr>
                <w:noProof/>
                <w:webHidden/>
              </w:rPr>
              <w:fldChar w:fldCharType="end"/>
            </w:r>
          </w:hyperlink>
        </w:p>
        <w:p w:rsidR="008758B9" w:rsidRDefault="00E010EE">
          <w:pPr>
            <w:pStyle w:val="TOC1"/>
            <w:tabs>
              <w:tab w:val="right" w:leader="dot" w:pos="9016"/>
            </w:tabs>
            <w:rPr>
              <w:noProof/>
              <w:sz w:val="22"/>
              <w:szCs w:val="22"/>
              <w:lang w:val="en-AU" w:eastAsia="en-AU"/>
            </w:rPr>
          </w:pPr>
          <w:hyperlink w:anchor="_Toc417502028" w:history="1">
            <w:r w:rsidR="008758B9" w:rsidRPr="00B11C3A">
              <w:rPr>
                <w:rStyle w:val="Hyperlink"/>
                <w:noProof/>
              </w:rPr>
              <w:t>Introduction</w:t>
            </w:r>
            <w:r w:rsidR="008758B9">
              <w:rPr>
                <w:noProof/>
                <w:webHidden/>
              </w:rPr>
              <w:tab/>
            </w:r>
            <w:r w:rsidR="00E13392">
              <w:rPr>
                <w:noProof/>
                <w:webHidden/>
              </w:rPr>
              <w:fldChar w:fldCharType="begin"/>
            </w:r>
            <w:r w:rsidR="008758B9">
              <w:rPr>
                <w:noProof/>
                <w:webHidden/>
              </w:rPr>
              <w:instrText xml:space="preserve"> PAGEREF _Toc417502028 \h </w:instrText>
            </w:r>
            <w:r w:rsidR="00E13392">
              <w:rPr>
                <w:noProof/>
                <w:webHidden/>
              </w:rPr>
            </w:r>
            <w:r w:rsidR="00E13392">
              <w:rPr>
                <w:noProof/>
                <w:webHidden/>
              </w:rPr>
              <w:fldChar w:fldCharType="separate"/>
            </w:r>
            <w:r w:rsidR="008758B9">
              <w:rPr>
                <w:noProof/>
                <w:webHidden/>
              </w:rPr>
              <w:t>8</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29" w:history="1">
            <w:r w:rsidR="008758B9" w:rsidRPr="00B11C3A">
              <w:rPr>
                <w:rStyle w:val="Hyperlink"/>
                <w:noProof/>
              </w:rPr>
              <w:t>The Physical Basis</w:t>
            </w:r>
            <w:r w:rsidR="008758B9">
              <w:rPr>
                <w:noProof/>
                <w:webHidden/>
              </w:rPr>
              <w:tab/>
            </w:r>
            <w:r w:rsidR="00E13392">
              <w:rPr>
                <w:noProof/>
                <w:webHidden/>
              </w:rPr>
              <w:fldChar w:fldCharType="begin"/>
            </w:r>
            <w:r w:rsidR="008758B9">
              <w:rPr>
                <w:noProof/>
                <w:webHidden/>
              </w:rPr>
              <w:instrText xml:space="preserve"> PAGEREF _Toc417502029 \h </w:instrText>
            </w:r>
            <w:r w:rsidR="00E13392">
              <w:rPr>
                <w:noProof/>
                <w:webHidden/>
              </w:rPr>
            </w:r>
            <w:r w:rsidR="00E13392">
              <w:rPr>
                <w:noProof/>
                <w:webHidden/>
              </w:rPr>
              <w:fldChar w:fldCharType="separate"/>
            </w:r>
            <w:r w:rsidR="008758B9">
              <w:rPr>
                <w:noProof/>
                <w:webHidden/>
              </w:rPr>
              <w:t>8</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30" w:history="1">
            <w:r w:rsidR="008758B9" w:rsidRPr="00B11C3A">
              <w:rPr>
                <w:rStyle w:val="Hyperlink"/>
                <w:noProof/>
              </w:rPr>
              <w:t>The Health Impacts of Climate Change</w:t>
            </w:r>
            <w:r w:rsidR="008758B9">
              <w:rPr>
                <w:noProof/>
                <w:webHidden/>
              </w:rPr>
              <w:tab/>
            </w:r>
            <w:r w:rsidR="00E13392">
              <w:rPr>
                <w:noProof/>
                <w:webHidden/>
              </w:rPr>
              <w:fldChar w:fldCharType="begin"/>
            </w:r>
            <w:r w:rsidR="008758B9">
              <w:rPr>
                <w:noProof/>
                <w:webHidden/>
              </w:rPr>
              <w:instrText xml:space="preserve"> PAGEREF _Toc417502030 \h </w:instrText>
            </w:r>
            <w:r w:rsidR="00E13392">
              <w:rPr>
                <w:noProof/>
                <w:webHidden/>
              </w:rPr>
            </w:r>
            <w:r w:rsidR="00E13392">
              <w:rPr>
                <w:noProof/>
                <w:webHidden/>
              </w:rPr>
              <w:fldChar w:fldCharType="separate"/>
            </w:r>
            <w:r w:rsidR="008758B9">
              <w:rPr>
                <w:noProof/>
                <w:webHidden/>
              </w:rPr>
              <w:t>8</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31" w:history="1">
            <w:r w:rsidR="008758B9" w:rsidRPr="00B11C3A">
              <w:rPr>
                <w:rStyle w:val="Hyperlink"/>
                <w:noProof/>
              </w:rPr>
              <w:t>Non-Linearities, Interactions and ‘Unknown Unknowns’</w:t>
            </w:r>
            <w:r w:rsidR="008758B9">
              <w:rPr>
                <w:noProof/>
                <w:webHidden/>
              </w:rPr>
              <w:tab/>
            </w:r>
            <w:r w:rsidR="00E13392">
              <w:rPr>
                <w:noProof/>
                <w:webHidden/>
              </w:rPr>
              <w:fldChar w:fldCharType="begin"/>
            </w:r>
            <w:r w:rsidR="008758B9">
              <w:rPr>
                <w:noProof/>
                <w:webHidden/>
              </w:rPr>
              <w:instrText xml:space="preserve"> PAGEREF _Toc417502031 \h </w:instrText>
            </w:r>
            <w:r w:rsidR="00E13392">
              <w:rPr>
                <w:noProof/>
                <w:webHidden/>
              </w:rPr>
            </w:r>
            <w:r w:rsidR="00E13392">
              <w:rPr>
                <w:noProof/>
                <w:webHidden/>
              </w:rPr>
              <w:fldChar w:fldCharType="separate"/>
            </w:r>
            <w:r w:rsidR="008758B9">
              <w:rPr>
                <w:noProof/>
                <w:webHidden/>
              </w:rPr>
              <w:t>11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32" w:history="1">
            <w:r w:rsidR="008758B9" w:rsidRPr="00B11C3A">
              <w:rPr>
                <w:rStyle w:val="Hyperlink"/>
                <w:noProof/>
              </w:rPr>
              <w:t>The Health Co-Benefits of Emissions Reduction</w:t>
            </w:r>
            <w:r w:rsidR="008758B9">
              <w:rPr>
                <w:noProof/>
                <w:webHidden/>
              </w:rPr>
              <w:tab/>
            </w:r>
            <w:r w:rsidR="00E13392">
              <w:rPr>
                <w:noProof/>
                <w:webHidden/>
              </w:rPr>
              <w:fldChar w:fldCharType="begin"/>
            </w:r>
            <w:r w:rsidR="008758B9">
              <w:rPr>
                <w:noProof/>
                <w:webHidden/>
              </w:rPr>
              <w:instrText xml:space="preserve"> PAGEREF _Toc417502032 \h </w:instrText>
            </w:r>
            <w:r w:rsidR="00E13392">
              <w:rPr>
                <w:noProof/>
                <w:webHidden/>
              </w:rPr>
            </w:r>
            <w:r w:rsidR="00E13392">
              <w:rPr>
                <w:noProof/>
                <w:webHidden/>
              </w:rPr>
              <w:fldChar w:fldCharType="separate"/>
            </w:r>
            <w:r w:rsidR="008758B9">
              <w:rPr>
                <w:noProof/>
                <w:webHidden/>
              </w:rPr>
              <w:t>11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33" w:history="1">
            <w:r w:rsidR="008758B9" w:rsidRPr="00B11C3A">
              <w:rPr>
                <w:rStyle w:val="Hyperlink"/>
                <w:noProof/>
              </w:rPr>
              <w:t>This Commission</w:t>
            </w:r>
            <w:r w:rsidR="008758B9">
              <w:rPr>
                <w:noProof/>
                <w:webHidden/>
              </w:rPr>
              <w:tab/>
            </w:r>
            <w:r w:rsidR="00E13392">
              <w:rPr>
                <w:noProof/>
                <w:webHidden/>
              </w:rPr>
              <w:fldChar w:fldCharType="begin"/>
            </w:r>
            <w:r w:rsidR="008758B9">
              <w:rPr>
                <w:noProof/>
                <w:webHidden/>
              </w:rPr>
              <w:instrText xml:space="preserve"> PAGEREF _Toc417502033 \h </w:instrText>
            </w:r>
            <w:r w:rsidR="00E13392">
              <w:rPr>
                <w:noProof/>
                <w:webHidden/>
              </w:rPr>
            </w:r>
            <w:r w:rsidR="00E13392">
              <w:rPr>
                <w:noProof/>
                <w:webHidden/>
              </w:rPr>
              <w:fldChar w:fldCharType="separate"/>
            </w:r>
            <w:r w:rsidR="008758B9">
              <w:rPr>
                <w:noProof/>
                <w:webHidden/>
              </w:rPr>
              <w:t>12</w:t>
            </w:r>
            <w:r w:rsidR="00E13392">
              <w:rPr>
                <w:noProof/>
                <w:webHidden/>
              </w:rPr>
              <w:fldChar w:fldCharType="end"/>
            </w:r>
          </w:hyperlink>
        </w:p>
        <w:p w:rsidR="008758B9" w:rsidRDefault="00E010EE">
          <w:pPr>
            <w:pStyle w:val="TOC1"/>
            <w:tabs>
              <w:tab w:val="right" w:leader="dot" w:pos="9016"/>
            </w:tabs>
            <w:rPr>
              <w:noProof/>
              <w:sz w:val="22"/>
              <w:szCs w:val="22"/>
              <w:lang w:val="en-AU" w:eastAsia="en-AU"/>
            </w:rPr>
          </w:pPr>
          <w:hyperlink w:anchor="_Toc417502034" w:history="1">
            <w:r w:rsidR="008758B9" w:rsidRPr="00B11C3A">
              <w:rPr>
                <w:rStyle w:val="Hyperlink"/>
                <w:noProof/>
              </w:rPr>
              <w:t>Section 1: Climate Change and Exposure to Health Risks</w:t>
            </w:r>
            <w:r w:rsidR="008758B9">
              <w:rPr>
                <w:noProof/>
                <w:webHidden/>
              </w:rPr>
              <w:tab/>
            </w:r>
            <w:r w:rsidR="00E13392">
              <w:rPr>
                <w:noProof/>
                <w:webHidden/>
              </w:rPr>
              <w:fldChar w:fldCharType="begin"/>
            </w:r>
            <w:r w:rsidR="008758B9">
              <w:rPr>
                <w:noProof/>
                <w:webHidden/>
              </w:rPr>
              <w:instrText xml:space="preserve"> PAGEREF _Toc417502034 \h </w:instrText>
            </w:r>
            <w:r w:rsidR="00E13392">
              <w:rPr>
                <w:noProof/>
                <w:webHidden/>
              </w:rPr>
            </w:r>
            <w:r w:rsidR="00E13392">
              <w:rPr>
                <w:noProof/>
                <w:webHidden/>
              </w:rPr>
              <w:fldChar w:fldCharType="separate"/>
            </w:r>
            <w:r w:rsidR="008758B9">
              <w:rPr>
                <w:noProof/>
                <w:webHidden/>
              </w:rPr>
              <w:t>14</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35" w:history="1">
            <w:r w:rsidR="008758B9" w:rsidRPr="00B11C3A">
              <w:rPr>
                <w:rStyle w:val="Hyperlink"/>
                <w:noProof/>
              </w:rPr>
              <w:t>How Climate Affects Human Health</w:t>
            </w:r>
            <w:r w:rsidR="008758B9">
              <w:rPr>
                <w:noProof/>
                <w:webHidden/>
              </w:rPr>
              <w:tab/>
            </w:r>
            <w:r w:rsidR="00E13392">
              <w:rPr>
                <w:noProof/>
                <w:webHidden/>
              </w:rPr>
              <w:fldChar w:fldCharType="begin"/>
            </w:r>
            <w:r w:rsidR="008758B9">
              <w:rPr>
                <w:noProof/>
                <w:webHidden/>
              </w:rPr>
              <w:instrText xml:space="preserve"> PAGEREF _Toc417502035 \h </w:instrText>
            </w:r>
            <w:r w:rsidR="00E13392">
              <w:rPr>
                <w:noProof/>
                <w:webHidden/>
              </w:rPr>
            </w:r>
            <w:r w:rsidR="00E13392">
              <w:rPr>
                <w:noProof/>
                <w:webHidden/>
              </w:rPr>
              <w:fldChar w:fldCharType="separate"/>
            </w:r>
            <w:r w:rsidR="008758B9">
              <w:rPr>
                <w:noProof/>
                <w:webHidden/>
              </w:rPr>
              <w:t>14</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36" w:history="1">
            <w:r w:rsidR="008758B9" w:rsidRPr="00B11C3A">
              <w:rPr>
                <w:rStyle w:val="Hyperlink"/>
                <w:noProof/>
              </w:rPr>
              <w:t>Mechanisms Linking Climate and Health</w:t>
            </w:r>
            <w:r w:rsidR="008758B9">
              <w:rPr>
                <w:noProof/>
                <w:webHidden/>
              </w:rPr>
              <w:tab/>
            </w:r>
            <w:r w:rsidR="00E13392">
              <w:rPr>
                <w:noProof/>
                <w:webHidden/>
              </w:rPr>
              <w:fldChar w:fldCharType="begin"/>
            </w:r>
            <w:r w:rsidR="008758B9">
              <w:rPr>
                <w:noProof/>
                <w:webHidden/>
              </w:rPr>
              <w:instrText xml:space="preserve"> PAGEREF _Toc417502036 \h </w:instrText>
            </w:r>
            <w:r w:rsidR="00E13392">
              <w:rPr>
                <w:noProof/>
                <w:webHidden/>
              </w:rPr>
            </w:r>
            <w:r w:rsidR="00E13392">
              <w:rPr>
                <w:noProof/>
                <w:webHidden/>
              </w:rPr>
              <w:fldChar w:fldCharType="separate"/>
            </w:r>
            <w:r w:rsidR="008758B9">
              <w:rPr>
                <w:noProof/>
                <w:webHidden/>
              </w:rPr>
              <w:t>14</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37" w:history="1">
            <w:r w:rsidR="008758B9" w:rsidRPr="00B11C3A">
              <w:rPr>
                <w:rStyle w:val="Hyperlink"/>
                <w:noProof/>
              </w:rPr>
              <w:t>Direct Mechanisms and Risks: Exposure to Warming and Heatwaves</w:t>
            </w:r>
            <w:r w:rsidR="008758B9">
              <w:rPr>
                <w:noProof/>
                <w:webHidden/>
              </w:rPr>
              <w:tab/>
            </w:r>
            <w:r w:rsidR="00E13392">
              <w:rPr>
                <w:noProof/>
                <w:webHidden/>
              </w:rPr>
              <w:fldChar w:fldCharType="begin"/>
            </w:r>
            <w:r w:rsidR="008758B9">
              <w:rPr>
                <w:noProof/>
                <w:webHidden/>
              </w:rPr>
              <w:instrText xml:space="preserve"> PAGEREF _Toc417502037 \h </w:instrText>
            </w:r>
            <w:r w:rsidR="00E13392">
              <w:rPr>
                <w:noProof/>
                <w:webHidden/>
              </w:rPr>
            </w:r>
            <w:r w:rsidR="00E13392">
              <w:rPr>
                <w:noProof/>
                <w:webHidden/>
              </w:rPr>
              <w:fldChar w:fldCharType="separate"/>
            </w:r>
            <w:r w:rsidR="008758B9">
              <w:rPr>
                <w:noProof/>
                <w:webHidden/>
              </w:rPr>
              <w:t>16</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38" w:history="1">
            <w:r w:rsidR="008758B9" w:rsidRPr="00B11C3A">
              <w:rPr>
                <w:rStyle w:val="Hyperlink"/>
                <w:noProof/>
              </w:rPr>
              <w:t>Indirect and Complex Mechanisms Linking Climate Change and Health</w:t>
            </w:r>
            <w:r w:rsidR="008758B9">
              <w:rPr>
                <w:noProof/>
                <w:webHidden/>
              </w:rPr>
              <w:tab/>
            </w:r>
            <w:r w:rsidR="00E13392">
              <w:rPr>
                <w:noProof/>
                <w:webHidden/>
              </w:rPr>
              <w:fldChar w:fldCharType="begin"/>
            </w:r>
            <w:r w:rsidR="008758B9">
              <w:rPr>
                <w:noProof/>
                <w:webHidden/>
              </w:rPr>
              <w:instrText xml:space="preserve"> PAGEREF _Toc417502038 \h </w:instrText>
            </w:r>
            <w:r w:rsidR="00E13392">
              <w:rPr>
                <w:noProof/>
                <w:webHidden/>
              </w:rPr>
            </w:r>
            <w:r w:rsidR="00E13392">
              <w:rPr>
                <w:noProof/>
                <w:webHidden/>
              </w:rPr>
              <w:fldChar w:fldCharType="separate"/>
            </w:r>
            <w:r w:rsidR="008758B9">
              <w:rPr>
                <w:noProof/>
                <w:webHidden/>
              </w:rPr>
              <w:t>20</w:t>
            </w:r>
            <w:r w:rsidR="00E13392">
              <w:rPr>
                <w:noProof/>
                <w:webHidden/>
              </w:rPr>
              <w:fldChar w:fldCharType="end"/>
            </w:r>
          </w:hyperlink>
        </w:p>
        <w:p w:rsidR="008758B9" w:rsidRDefault="00E010EE">
          <w:pPr>
            <w:pStyle w:val="TOC1"/>
            <w:tabs>
              <w:tab w:val="right" w:leader="dot" w:pos="9016"/>
            </w:tabs>
            <w:rPr>
              <w:noProof/>
              <w:sz w:val="22"/>
              <w:szCs w:val="22"/>
              <w:lang w:val="en-AU" w:eastAsia="en-AU"/>
            </w:rPr>
          </w:pPr>
          <w:hyperlink w:anchor="_Toc417502039" w:history="1">
            <w:r w:rsidR="008758B9" w:rsidRPr="00B11C3A">
              <w:rPr>
                <w:rStyle w:val="Hyperlink"/>
                <w:noProof/>
                <w:lang w:val="en-GB"/>
              </w:rPr>
              <w:t>Section 2: Action for Resilience and Adaptation</w:t>
            </w:r>
            <w:r w:rsidR="008758B9">
              <w:rPr>
                <w:noProof/>
                <w:webHidden/>
              </w:rPr>
              <w:tab/>
            </w:r>
            <w:r w:rsidR="00E13392">
              <w:rPr>
                <w:noProof/>
                <w:webHidden/>
              </w:rPr>
              <w:fldChar w:fldCharType="begin"/>
            </w:r>
            <w:r w:rsidR="008758B9">
              <w:rPr>
                <w:noProof/>
                <w:webHidden/>
              </w:rPr>
              <w:instrText xml:space="preserve"> PAGEREF _Toc417502039 \h </w:instrText>
            </w:r>
            <w:r w:rsidR="00E13392">
              <w:rPr>
                <w:noProof/>
                <w:webHidden/>
              </w:rPr>
            </w:r>
            <w:r w:rsidR="00E13392">
              <w:rPr>
                <w:noProof/>
                <w:webHidden/>
              </w:rPr>
              <w:fldChar w:fldCharType="separate"/>
            </w:r>
            <w:r w:rsidR="008758B9">
              <w:rPr>
                <w:noProof/>
                <w:webHidden/>
              </w:rPr>
              <w:t>26</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40" w:history="1">
            <w:r w:rsidR="008758B9" w:rsidRPr="00B11C3A">
              <w:rPr>
                <w:rStyle w:val="Hyperlink"/>
                <w:noProof/>
                <w:lang w:val="en-GB"/>
              </w:rPr>
              <w:t>Introduction</w:t>
            </w:r>
            <w:r w:rsidR="008758B9">
              <w:rPr>
                <w:noProof/>
                <w:webHidden/>
              </w:rPr>
              <w:tab/>
            </w:r>
            <w:r w:rsidR="00E13392">
              <w:rPr>
                <w:noProof/>
                <w:webHidden/>
              </w:rPr>
              <w:fldChar w:fldCharType="begin"/>
            </w:r>
            <w:r w:rsidR="008758B9">
              <w:rPr>
                <w:noProof/>
                <w:webHidden/>
              </w:rPr>
              <w:instrText xml:space="preserve"> PAGEREF _Toc417502040 \h </w:instrText>
            </w:r>
            <w:r w:rsidR="00E13392">
              <w:rPr>
                <w:noProof/>
                <w:webHidden/>
              </w:rPr>
            </w:r>
            <w:r w:rsidR="00E13392">
              <w:rPr>
                <w:noProof/>
                <w:webHidden/>
              </w:rPr>
              <w:fldChar w:fldCharType="separate"/>
            </w:r>
            <w:r w:rsidR="008758B9">
              <w:rPr>
                <w:noProof/>
                <w:webHidden/>
              </w:rPr>
              <w:t>26</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41" w:history="1">
            <w:r w:rsidR="008758B9" w:rsidRPr="00B11C3A">
              <w:rPr>
                <w:rStyle w:val="Hyperlink"/>
                <w:noProof/>
                <w:lang w:val="en-GB"/>
              </w:rPr>
              <w:t>Adaptation to the Direct Health Impacts of Climate Change</w:t>
            </w:r>
            <w:r w:rsidR="008758B9">
              <w:rPr>
                <w:noProof/>
                <w:webHidden/>
              </w:rPr>
              <w:tab/>
            </w:r>
            <w:r w:rsidR="00E13392">
              <w:rPr>
                <w:noProof/>
                <w:webHidden/>
              </w:rPr>
              <w:fldChar w:fldCharType="begin"/>
            </w:r>
            <w:r w:rsidR="008758B9">
              <w:rPr>
                <w:noProof/>
                <w:webHidden/>
              </w:rPr>
              <w:instrText xml:space="preserve"> PAGEREF _Toc417502041 \h </w:instrText>
            </w:r>
            <w:r w:rsidR="00E13392">
              <w:rPr>
                <w:noProof/>
                <w:webHidden/>
              </w:rPr>
            </w:r>
            <w:r w:rsidR="00E13392">
              <w:rPr>
                <w:noProof/>
                <w:webHidden/>
              </w:rPr>
              <w:fldChar w:fldCharType="separate"/>
            </w:r>
            <w:r w:rsidR="008758B9">
              <w:rPr>
                <w:noProof/>
                <w:webHidden/>
              </w:rPr>
              <w:t>26</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42" w:history="1">
            <w:r w:rsidR="008758B9" w:rsidRPr="00B11C3A">
              <w:rPr>
                <w:rStyle w:val="Hyperlink"/>
                <w:noProof/>
                <w:lang w:val="en-GB"/>
              </w:rPr>
              <w:t>Early Warning Systems for Extreme Events</w:t>
            </w:r>
            <w:r w:rsidR="008758B9">
              <w:rPr>
                <w:noProof/>
                <w:webHidden/>
              </w:rPr>
              <w:tab/>
            </w:r>
            <w:r w:rsidR="00E13392">
              <w:rPr>
                <w:noProof/>
                <w:webHidden/>
              </w:rPr>
              <w:fldChar w:fldCharType="begin"/>
            </w:r>
            <w:r w:rsidR="008758B9">
              <w:rPr>
                <w:noProof/>
                <w:webHidden/>
              </w:rPr>
              <w:instrText xml:space="preserve"> PAGEREF _Toc417502042 \h </w:instrText>
            </w:r>
            <w:r w:rsidR="00E13392">
              <w:rPr>
                <w:noProof/>
                <w:webHidden/>
              </w:rPr>
            </w:r>
            <w:r w:rsidR="00E13392">
              <w:rPr>
                <w:noProof/>
                <w:webHidden/>
              </w:rPr>
              <w:fldChar w:fldCharType="separate"/>
            </w:r>
            <w:r w:rsidR="008758B9">
              <w:rPr>
                <w:noProof/>
                <w:webHidden/>
              </w:rPr>
              <w:t>26</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43" w:history="1">
            <w:r w:rsidR="008758B9" w:rsidRPr="00B11C3A">
              <w:rPr>
                <w:rStyle w:val="Hyperlink"/>
                <w:noProof/>
                <w:lang w:val="en-GB"/>
              </w:rPr>
              <w:t>Actions to Reduce Burdens of Heatwaves</w:t>
            </w:r>
            <w:r w:rsidR="008758B9">
              <w:rPr>
                <w:noProof/>
                <w:webHidden/>
              </w:rPr>
              <w:tab/>
            </w:r>
            <w:r w:rsidR="00E13392">
              <w:rPr>
                <w:noProof/>
                <w:webHidden/>
              </w:rPr>
              <w:fldChar w:fldCharType="begin"/>
            </w:r>
            <w:r w:rsidR="008758B9">
              <w:rPr>
                <w:noProof/>
                <w:webHidden/>
              </w:rPr>
              <w:instrText xml:space="preserve"> PAGEREF _Toc417502043 \h </w:instrText>
            </w:r>
            <w:r w:rsidR="00E13392">
              <w:rPr>
                <w:noProof/>
                <w:webHidden/>
              </w:rPr>
            </w:r>
            <w:r w:rsidR="00E13392">
              <w:rPr>
                <w:noProof/>
                <w:webHidden/>
              </w:rPr>
              <w:fldChar w:fldCharType="separate"/>
            </w:r>
            <w:r w:rsidR="008758B9">
              <w:rPr>
                <w:noProof/>
                <w:webHidden/>
              </w:rPr>
              <w:t>27</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44" w:history="1">
            <w:r w:rsidR="008758B9" w:rsidRPr="00B11C3A">
              <w:rPr>
                <w:rStyle w:val="Hyperlink"/>
                <w:noProof/>
                <w:lang w:val="en-GB"/>
              </w:rPr>
              <w:t>Floods and Storms</w:t>
            </w:r>
            <w:r w:rsidR="008758B9">
              <w:rPr>
                <w:noProof/>
                <w:webHidden/>
              </w:rPr>
              <w:tab/>
            </w:r>
            <w:r w:rsidR="00E13392">
              <w:rPr>
                <w:noProof/>
                <w:webHidden/>
              </w:rPr>
              <w:fldChar w:fldCharType="begin"/>
            </w:r>
            <w:r w:rsidR="008758B9">
              <w:rPr>
                <w:noProof/>
                <w:webHidden/>
              </w:rPr>
              <w:instrText xml:space="preserve"> PAGEREF _Toc417502044 \h </w:instrText>
            </w:r>
            <w:r w:rsidR="00E13392">
              <w:rPr>
                <w:noProof/>
                <w:webHidden/>
              </w:rPr>
            </w:r>
            <w:r w:rsidR="00E13392">
              <w:rPr>
                <w:noProof/>
                <w:webHidden/>
              </w:rPr>
              <w:fldChar w:fldCharType="separate"/>
            </w:r>
            <w:r w:rsidR="008758B9">
              <w:rPr>
                <w:noProof/>
                <w:webHidden/>
              </w:rPr>
              <w:t>27</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45" w:history="1">
            <w:r w:rsidR="008758B9" w:rsidRPr="00B11C3A">
              <w:rPr>
                <w:rStyle w:val="Hyperlink"/>
                <w:noProof/>
                <w:lang w:val="en-GB"/>
              </w:rPr>
              <w:t>Action for Resilience to Indirect Impacts</w:t>
            </w:r>
            <w:r w:rsidR="008758B9">
              <w:rPr>
                <w:noProof/>
                <w:webHidden/>
              </w:rPr>
              <w:tab/>
            </w:r>
            <w:r w:rsidR="00E13392">
              <w:rPr>
                <w:noProof/>
                <w:webHidden/>
              </w:rPr>
              <w:fldChar w:fldCharType="begin"/>
            </w:r>
            <w:r w:rsidR="008758B9">
              <w:rPr>
                <w:noProof/>
                <w:webHidden/>
              </w:rPr>
              <w:instrText xml:space="preserve"> PAGEREF _Toc417502045 \h </w:instrText>
            </w:r>
            <w:r w:rsidR="00E13392">
              <w:rPr>
                <w:noProof/>
                <w:webHidden/>
              </w:rPr>
            </w:r>
            <w:r w:rsidR="00E13392">
              <w:rPr>
                <w:noProof/>
                <w:webHidden/>
              </w:rPr>
              <w:fldChar w:fldCharType="separate"/>
            </w:r>
            <w:r w:rsidR="008758B9">
              <w:rPr>
                <w:noProof/>
                <w:webHidden/>
              </w:rPr>
              <w:t>28</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46" w:history="1">
            <w:r w:rsidR="008758B9" w:rsidRPr="00B11C3A">
              <w:rPr>
                <w:rStyle w:val="Hyperlink"/>
                <w:noProof/>
                <w:lang w:val="en-GB"/>
              </w:rPr>
              <w:t>Food Insecurity</w:t>
            </w:r>
            <w:r w:rsidR="008758B9">
              <w:rPr>
                <w:noProof/>
                <w:webHidden/>
              </w:rPr>
              <w:tab/>
            </w:r>
            <w:r w:rsidR="00E13392">
              <w:rPr>
                <w:noProof/>
                <w:webHidden/>
              </w:rPr>
              <w:fldChar w:fldCharType="begin"/>
            </w:r>
            <w:r w:rsidR="008758B9">
              <w:rPr>
                <w:noProof/>
                <w:webHidden/>
              </w:rPr>
              <w:instrText xml:space="preserve"> PAGEREF _Toc417502046 \h </w:instrText>
            </w:r>
            <w:r w:rsidR="00E13392">
              <w:rPr>
                <w:noProof/>
                <w:webHidden/>
              </w:rPr>
            </w:r>
            <w:r w:rsidR="00E13392">
              <w:rPr>
                <w:noProof/>
                <w:webHidden/>
              </w:rPr>
              <w:fldChar w:fldCharType="separate"/>
            </w:r>
            <w:r w:rsidR="008758B9">
              <w:rPr>
                <w:noProof/>
                <w:webHidden/>
              </w:rPr>
              <w:t>28</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47" w:history="1">
            <w:r w:rsidR="008758B9" w:rsidRPr="00B11C3A">
              <w:rPr>
                <w:rStyle w:val="Hyperlink"/>
                <w:noProof/>
                <w:lang w:val="en-GB"/>
              </w:rPr>
              <w:t>Environmental Migration</w:t>
            </w:r>
            <w:r w:rsidR="008758B9">
              <w:rPr>
                <w:noProof/>
                <w:webHidden/>
              </w:rPr>
              <w:tab/>
            </w:r>
            <w:r w:rsidR="00E13392">
              <w:rPr>
                <w:noProof/>
                <w:webHidden/>
              </w:rPr>
              <w:fldChar w:fldCharType="begin"/>
            </w:r>
            <w:r w:rsidR="008758B9">
              <w:rPr>
                <w:noProof/>
                <w:webHidden/>
              </w:rPr>
              <w:instrText xml:space="preserve"> PAGEREF _Toc417502047 \h </w:instrText>
            </w:r>
            <w:r w:rsidR="00E13392">
              <w:rPr>
                <w:noProof/>
                <w:webHidden/>
              </w:rPr>
            </w:r>
            <w:r w:rsidR="00E13392">
              <w:rPr>
                <w:noProof/>
                <w:webHidden/>
              </w:rPr>
              <w:fldChar w:fldCharType="separate"/>
            </w:r>
            <w:r w:rsidR="008758B9">
              <w:rPr>
                <w:noProof/>
                <w:webHidden/>
              </w:rPr>
              <w:t>29</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48" w:history="1">
            <w:r w:rsidR="008758B9" w:rsidRPr="00B11C3A">
              <w:rPr>
                <w:rStyle w:val="Hyperlink"/>
                <w:noProof/>
                <w:lang w:val="en-GB"/>
              </w:rPr>
              <w:t>Dynamic Infectious Disease Risks</w:t>
            </w:r>
            <w:r w:rsidR="008758B9">
              <w:rPr>
                <w:noProof/>
                <w:webHidden/>
              </w:rPr>
              <w:tab/>
            </w:r>
            <w:r w:rsidR="00E13392">
              <w:rPr>
                <w:noProof/>
                <w:webHidden/>
              </w:rPr>
              <w:fldChar w:fldCharType="begin"/>
            </w:r>
            <w:r w:rsidR="008758B9">
              <w:rPr>
                <w:noProof/>
                <w:webHidden/>
              </w:rPr>
              <w:instrText xml:space="preserve"> PAGEREF _Toc417502048 \h </w:instrText>
            </w:r>
            <w:r w:rsidR="00E13392">
              <w:rPr>
                <w:noProof/>
                <w:webHidden/>
              </w:rPr>
            </w:r>
            <w:r w:rsidR="00E13392">
              <w:rPr>
                <w:noProof/>
                <w:webHidden/>
              </w:rPr>
              <w:fldChar w:fldCharType="separate"/>
            </w:r>
            <w:r w:rsidR="008758B9">
              <w:rPr>
                <w:noProof/>
                <w:webHidden/>
              </w:rPr>
              <w:t>31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49" w:history="1">
            <w:r w:rsidR="008758B9" w:rsidRPr="00B11C3A">
              <w:rPr>
                <w:rStyle w:val="Hyperlink"/>
                <w:noProof/>
                <w:lang w:val="en-GB"/>
              </w:rPr>
              <w:t>Health Co-Benefits from Climate Adaptation</w:t>
            </w:r>
            <w:r w:rsidR="008758B9">
              <w:rPr>
                <w:noProof/>
                <w:webHidden/>
              </w:rPr>
              <w:tab/>
            </w:r>
            <w:r w:rsidR="00E13392">
              <w:rPr>
                <w:noProof/>
                <w:webHidden/>
              </w:rPr>
              <w:fldChar w:fldCharType="begin"/>
            </w:r>
            <w:r w:rsidR="008758B9">
              <w:rPr>
                <w:noProof/>
                <w:webHidden/>
              </w:rPr>
              <w:instrText xml:space="preserve"> PAGEREF _Toc417502049 \h </w:instrText>
            </w:r>
            <w:r w:rsidR="00E13392">
              <w:rPr>
                <w:noProof/>
                <w:webHidden/>
              </w:rPr>
            </w:r>
            <w:r w:rsidR="00E13392">
              <w:rPr>
                <w:noProof/>
                <w:webHidden/>
              </w:rPr>
              <w:fldChar w:fldCharType="separate"/>
            </w:r>
            <w:r w:rsidR="008758B9">
              <w:rPr>
                <w:noProof/>
                <w:webHidden/>
              </w:rPr>
              <w:t>32</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50" w:history="1">
            <w:r w:rsidR="008758B9" w:rsidRPr="00B11C3A">
              <w:rPr>
                <w:rStyle w:val="Hyperlink"/>
                <w:noProof/>
                <w:lang w:val="en-GB"/>
              </w:rPr>
              <w:t>Ecosystem-Based Adaptation (EbA) – Co-Benefits for Indirect Effects</w:t>
            </w:r>
            <w:r w:rsidR="008758B9">
              <w:rPr>
                <w:noProof/>
                <w:webHidden/>
              </w:rPr>
              <w:tab/>
            </w:r>
            <w:r w:rsidR="00E13392">
              <w:rPr>
                <w:noProof/>
                <w:webHidden/>
              </w:rPr>
              <w:fldChar w:fldCharType="begin"/>
            </w:r>
            <w:r w:rsidR="008758B9">
              <w:rPr>
                <w:noProof/>
                <w:webHidden/>
              </w:rPr>
              <w:instrText xml:space="preserve"> PAGEREF _Toc417502050 \h </w:instrText>
            </w:r>
            <w:r w:rsidR="00E13392">
              <w:rPr>
                <w:noProof/>
                <w:webHidden/>
              </w:rPr>
            </w:r>
            <w:r w:rsidR="00E13392">
              <w:rPr>
                <w:noProof/>
                <w:webHidden/>
              </w:rPr>
              <w:fldChar w:fldCharType="separate"/>
            </w:r>
            <w:r w:rsidR="008758B9">
              <w:rPr>
                <w:noProof/>
                <w:webHidden/>
              </w:rPr>
              <w:t>32</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51" w:history="1">
            <w:r w:rsidR="008758B9" w:rsidRPr="00B11C3A">
              <w:rPr>
                <w:rStyle w:val="Hyperlink"/>
                <w:noProof/>
                <w:lang w:val="en-GB"/>
              </w:rPr>
              <w:t>Overcoming Adaptation Barriers</w:t>
            </w:r>
            <w:r w:rsidR="008758B9">
              <w:rPr>
                <w:noProof/>
                <w:webHidden/>
              </w:rPr>
              <w:tab/>
            </w:r>
            <w:r w:rsidR="00E13392">
              <w:rPr>
                <w:noProof/>
                <w:webHidden/>
              </w:rPr>
              <w:fldChar w:fldCharType="begin"/>
            </w:r>
            <w:r w:rsidR="008758B9">
              <w:rPr>
                <w:noProof/>
                <w:webHidden/>
              </w:rPr>
              <w:instrText xml:space="preserve"> PAGEREF _Toc417502051 \h </w:instrText>
            </w:r>
            <w:r w:rsidR="00E13392">
              <w:rPr>
                <w:noProof/>
                <w:webHidden/>
              </w:rPr>
            </w:r>
            <w:r w:rsidR="00E13392">
              <w:rPr>
                <w:noProof/>
                <w:webHidden/>
              </w:rPr>
              <w:fldChar w:fldCharType="separate"/>
            </w:r>
            <w:r w:rsidR="008758B9">
              <w:rPr>
                <w:noProof/>
                <w:webHidden/>
              </w:rPr>
              <w:t>32</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52" w:history="1">
            <w:r w:rsidR="008758B9" w:rsidRPr="00B11C3A">
              <w:rPr>
                <w:rStyle w:val="Hyperlink"/>
                <w:noProof/>
                <w:lang w:val="en-GB"/>
              </w:rPr>
              <w:t>Monitoring Indicators for Adaptation to Indirect Impacts</w:t>
            </w:r>
            <w:r w:rsidR="008758B9">
              <w:rPr>
                <w:noProof/>
                <w:webHidden/>
              </w:rPr>
              <w:tab/>
            </w:r>
            <w:r w:rsidR="00E13392">
              <w:rPr>
                <w:noProof/>
                <w:webHidden/>
              </w:rPr>
              <w:fldChar w:fldCharType="begin"/>
            </w:r>
            <w:r w:rsidR="008758B9">
              <w:rPr>
                <w:noProof/>
                <w:webHidden/>
              </w:rPr>
              <w:instrText xml:space="preserve"> PAGEREF _Toc417502052 \h </w:instrText>
            </w:r>
            <w:r w:rsidR="00E13392">
              <w:rPr>
                <w:noProof/>
                <w:webHidden/>
              </w:rPr>
            </w:r>
            <w:r w:rsidR="00E13392">
              <w:rPr>
                <w:noProof/>
                <w:webHidden/>
              </w:rPr>
              <w:fldChar w:fldCharType="separate"/>
            </w:r>
            <w:r w:rsidR="008758B9">
              <w:rPr>
                <w:noProof/>
                <w:webHidden/>
              </w:rPr>
              <w:t>33</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53" w:history="1">
            <w:r w:rsidR="008758B9" w:rsidRPr="00B11C3A">
              <w:rPr>
                <w:rStyle w:val="Hyperlink"/>
                <w:noProof/>
                <w:lang w:val="en-GB"/>
              </w:rPr>
              <w:t>Conclusion</w:t>
            </w:r>
            <w:r w:rsidR="008758B9">
              <w:rPr>
                <w:noProof/>
                <w:webHidden/>
              </w:rPr>
              <w:tab/>
            </w:r>
            <w:r w:rsidR="00E13392">
              <w:rPr>
                <w:noProof/>
                <w:webHidden/>
              </w:rPr>
              <w:fldChar w:fldCharType="begin"/>
            </w:r>
            <w:r w:rsidR="008758B9">
              <w:rPr>
                <w:noProof/>
                <w:webHidden/>
              </w:rPr>
              <w:instrText xml:space="preserve"> PAGEREF _Toc417502053 \h </w:instrText>
            </w:r>
            <w:r w:rsidR="00E13392">
              <w:rPr>
                <w:noProof/>
                <w:webHidden/>
              </w:rPr>
            </w:r>
            <w:r w:rsidR="00E13392">
              <w:rPr>
                <w:noProof/>
                <w:webHidden/>
              </w:rPr>
              <w:fldChar w:fldCharType="separate"/>
            </w:r>
            <w:r w:rsidR="008758B9">
              <w:rPr>
                <w:noProof/>
                <w:webHidden/>
              </w:rPr>
              <w:t>34</w:t>
            </w:r>
            <w:r w:rsidR="00E13392">
              <w:rPr>
                <w:noProof/>
                <w:webHidden/>
              </w:rPr>
              <w:fldChar w:fldCharType="end"/>
            </w:r>
          </w:hyperlink>
        </w:p>
        <w:p w:rsidR="008758B9" w:rsidRDefault="00E010EE">
          <w:pPr>
            <w:pStyle w:val="TOC1"/>
            <w:tabs>
              <w:tab w:val="right" w:leader="dot" w:pos="9016"/>
            </w:tabs>
            <w:rPr>
              <w:noProof/>
              <w:sz w:val="22"/>
              <w:szCs w:val="22"/>
              <w:lang w:val="en-AU" w:eastAsia="en-AU"/>
            </w:rPr>
          </w:pPr>
          <w:hyperlink w:anchor="_Toc417502054" w:history="1">
            <w:r w:rsidR="008758B9" w:rsidRPr="00B11C3A">
              <w:rPr>
                <w:rStyle w:val="Hyperlink"/>
                <w:noProof/>
                <w:lang w:val="en-GB"/>
              </w:rPr>
              <w:t>Section 3: Transition to a Low-Carbon Energy Infrastructure</w:t>
            </w:r>
            <w:r w:rsidR="008758B9">
              <w:rPr>
                <w:noProof/>
                <w:webHidden/>
              </w:rPr>
              <w:tab/>
            </w:r>
            <w:r w:rsidR="00E13392">
              <w:rPr>
                <w:noProof/>
                <w:webHidden/>
              </w:rPr>
              <w:fldChar w:fldCharType="begin"/>
            </w:r>
            <w:r w:rsidR="008758B9">
              <w:rPr>
                <w:noProof/>
                <w:webHidden/>
              </w:rPr>
              <w:instrText xml:space="preserve"> PAGEREF _Toc417502054 \h </w:instrText>
            </w:r>
            <w:r w:rsidR="00E13392">
              <w:rPr>
                <w:noProof/>
                <w:webHidden/>
              </w:rPr>
            </w:r>
            <w:r w:rsidR="00E13392">
              <w:rPr>
                <w:noProof/>
                <w:webHidden/>
              </w:rPr>
              <w:fldChar w:fldCharType="separate"/>
            </w:r>
            <w:r w:rsidR="008758B9">
              <w:rPr>
                <w:noProof/>
                <w:webHidden/>
              </w:rPr>
              <w:t>35</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55" w:history="1">
            <w:r w:rsidR="008758B9" w:rsidRPr="00B11C3A">
              <w:rPr>
                <w:rStyle w:val="Hyperlink"/>
                <w:noProof/>
                <w:lang w:val="en-GB"/>
              </w:rPr>
              <w:t>Introduction</w:t>
            </w:r>
            <w:r w:rsidR="008758B9">
              <w:rPr>
                <w:noProof/>
                <w:webHidden/>
              </w:rPr>
              <w:tab/>
            </w:r>
            <w:r w:rsidR="00E13392">
              <w:rPr>
                <w:noProof/>
                <w:webHidden/>
              </w:rPr>
              <w:fldChar w:fldCharType="begin"/>
            </w:r>
            <w:r w:rsidR="008758B9">
              <w:rPr>
                <w:noProof/>
                <w:webHidden/>
              </w:rPr>
              <w:instrText xml:space="preserve"> PAGEREF _Toc417502055 \h </w:instrText>
            </w:r>
            <w:r w:rsidR="00E13392">
              <w:rPr>
                <w:noProof/>
                <w:webHidden/>
              </w:rPr>
            </w:r>
            <w:r w:rsidR="00E13392">
              <w:rPr>
                <w:noProof/>
                <w:webHidden/>
              </w:rPr>
              <w:fldChar w:fldCharType="separate"/>
            </w:r>
            <w:r w:rsidR="008758B9">
              <w:rPr>
                <w:noProof/>
                <w:webHidden/>
              </w:rPr>
              <w:t>35</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56" w:history="1">
            <w:r w:rsidR="008758B9" w:rsidRPr="00B11C3A">
              <w:rPr>
                <w:rStyle w:val="Hyperlink"/>
                <w:noProof/>
                <w:lang w:val="en-GB"/>
              </w:rPr>
              <w:t>Main Sources of GHG Emissions</w:t>
            </w:r>
            <w:r w:rsidR="008758B9">
              <w:rPr>
                <w:noProof/>
                <w:webHidden/>
              </w:rPr>
              <w:tab/>
            </w:r>
            <w:r w:rsidR="00E13392">
              <w:rPr>
                <w:noProof/>
                <w:webHidden/>
              </w:rPr>
              <w:fldChar w:fldCharType="begin"/>
            </w:r>
            <w:r w:rsidR="008758B9">
              <w:rPr>
                <w:noProof/>
                <w:webHidden/>
              </w:rPr>
              <w:instrText xml:space="preserve"> PAGEREF _Toc417502056 \h </w:instrText>
            </w:r>
            <w:r w:rsidR="00E13392">
              <w:rPr>
                <w:noProof/>
                <w:webHidden/>
              </w:rPr>
            </w:r>
            <w:r w:rsidR="00E13392">
              <w:rPr>
                <w:noProof/>
                <w:webHidden/>
              </w:rPr>
              <w:fldChar w:fldCharType="separate"/>
            </w:r>
            <w:r w:rsidR="008758B9">
              <w:rPr>
                <w:noProof/>
                <w:webHidden/>
              </w:rPr>
              <w:t>36</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57" w:history="1">
            <w:r w:rsidR="008758B9" w:rsidRPr="00B11C3A">
              <w:rPr>
                <w:rStyle w:val="Hyperlink"/>
                <w:noProof/>
                <w:lang w:val="en-GB"/>
              </w:rPr>
              <w:t>The Global Energy System</w:t>
            </w:r>
            <w:r w:rsidR="008758B9">
              <w:rPr>
                <w:noProof/>
                <w:webHidden/>
              </w:rPr>
              <w:tab/>
            </w:r>
            <w:r w:rsidR="00E13392">
              <w:rPr>
                <w:noProof/>
                <w:webHidden/>
              </w:rPr>
              <w:fldChar w:fldCharType="begin"/>
            </w:r>
            <w:r w:rsidR="008758B9">
              <w:rPr>
                <w:noProof/>
                <w:webHidden/>
              </w:rPr>
              <w:instrText xml:space="preserve"> PAGEREF _Toc417502057 \h </w:instrText>
            </w:r>
            <w:r w:rsidR="00E13392">
              <w:rPr>
                <w:noProof/>
                <w:webHidden/>
              </w:rPr>
            </w:r>
            <w:r w:rsidR="00E13392">
              <w:rPr>
                <w:noProof/>
                <w:webHidden/>
              </w:rPr>
              <w:fldChar w:fldCharType="separate"/>
            </w:r>
            <w:r w:rsidR="008758B9">
              <w:rPr>
                <w:noProof/>
                <w:webHidden/>
              </w:rPr>
              <w:t>37</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58" w:history="1">
            <w:r w:rsidR="008758B9" w:rsidRPr="00B11C3A">
              <w:rPr>
                <w:rStyle w:val="Hyperlink"/>
                <w:noProof/>
                <w:lang w:val="en-GB"/>
              </w:rPr>
              <w:t>The Growth in Energy Demand</w:t>
            </w:r>
            <w:r w:rsidR="008758B9">
              <w:rPr>
                <w:noProof/>
                <w:webHidden/>
              </w:rPr>
              <w:tab/>
            </w:r>
            <w:r w:rsidR="00E13392">
              <w:rPr>
                <w:noProof/>
                <w:webHidden/>
              </w:rPr>
              <w:fldChar w:fldCharType="begin"/>
            </w:r>
            <w:r w:rsidR="008758B9">
              <w:rPr>
                <w:noProof/>
                <w:webHidden/>
              </w:rPr>
              <w:instrText xml:space="preserve"> PAGEREF _Toc417502058 \h </w:instrText>
            </w:r>
            <w:r w:rsidR="00E13392">
              <w:rPr>
                <w:noProof/>
                <w:webHidden/>
              </w:rPr>
            </w:r>
            <w:r w:rsidR="00E13392">
              <w:rPr>
                <w:noProof/>
                <w:webHidden/>
              </w:rPr>
              <w:fldChar w:fldCharType="separate"/>
            </w:r>
            <w:r w:rsidR="008758B9">
              <w:rPr>
                <w:noProof/>
                <w:webHidden/>
              </w:rPr>
              <w:t>37</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59" w:history="1">
            <w:r w:rsidR="008758B9" w:rsidRPr="00B11C3A">
              <w:rPr>
                <w:rStyle w:val="Hyperlink"/>
                <w:noProof/>
                <w:lang w:val="en-GB"/>
              </w:rPr>
              <w:t>Meeting our Future Energy Needs</w:t>
            </w:r>
            <w:r w:rsidR="008758B9">
              <w:rPr>
                <w:noProof/>
                <w:webHidden/>
              </w:rPr>
              <w:tab/>
            </w:r>
            <w:r w:rsidR="00E13392">
              <w:rPr>
                <w:noProof/>
                <w:webHidden/>
              </w:rPr>
              <w:fldChar w:fldCharType="begin"/>
            </w:r>
            <w:r w:rsidR="008758B9">
              <w:rPr>
                <w:noProof/>
                <w:webHidden/>
              </w:rPr>
              <w:instrText xml:space="preserve"> PAGEREF _Toc417502059 \h </w:instrText>
            </w:r>
            <w:r w:rsidR="00E13392">
              <w:rPr>
                <w:noProof/>
                <w:webHidden/>
              </w:rPr>
            </w:r>
            <w:r w:rsidR="00E13392">
              <w:rPr>
                <w:noProof/>
                <w:webHidden/>
              </w:rPr>
              <w:fldChar w:fldCharType="separate"/>
            </w:r>
            <w:r w:rsidR="008758B9">
              <w:rPr>
                <w:noProof/>
                <w:webHidden/>
              </w:rPr>
              <w:t>38</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60" w:history="1">
            <w:r w:rsidR="008758B9" w:rsidRPr="00B11C3A">
              <w:rPr>
                <w:rStyle w:val="Hyperlink"/>
                <w:noProof/>
                <w:lang w:val="en-GB"/>
              </w:rPr>
              <w:t>The Health Burden of the Current Energy System</w:t>
            </w:r>
            <w:r w:rsidR="008758B9">
              <w:rPr>
                <w:noProof/>
                <w:webHidden/>
              </w:rPr>
              <w:tab/>
            </w:r>
            <w:r w:rsidR="00E13392">
              <w:rPr>
                <w:noProof/>
                <w:webHidden/>
              </w:rPr>
              <w:fldChar w:fldCharType="begin"/>
            </w:r>
            <w:r w:rsidR="008758B9">
              <w:rPr>
                <w:noProof/>
                <w:webHidden/>
              </w:rPr>
              <w:instrText xml:space="preserve"> PAGEREF _Toc417502060 \h </w:instrText>
            </w:r>
            <w:r w:rsidR="00E13392">
              <w:rPr>
                <w:noProof/>
                <w:webHidden/>
              </w:rPr>
            </w:r>
            <w:r w:rsidR="00E13392">
              <w:rPr>
                <w:noProof/>
                <w:webHidden/>
              </w:rPr>
              <w:fldChar w:fldCharType="separate"/>
            </w:r>
            <w:r w:rsidR="008758B9">
              <w:rPr>
                <w:noProof/>
                <w:webHidden/>
              </w:rPr>
              <w:t>39</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61" w:history="1">
            <w:r w:rsidR="008758B9" w:rsidRPr="00B11C3A">
              <w:rPr>
                <w:rStyle w:val="Hyperlink"/>
                <w:noProof/>
                <w:lang w:val="en-GB"/>
              </w:rPr>
              <w:t>Connections between Actions, Technologies and Health Outcomes</w:t>
            </w:r>
            <w:r w:rsidR="008758B9">
              <w:rPr>
                <w:noProof/>
                <w:webHidden/>
              </w:rPr>
              <w:tab/>
            </w:r>
            <w:r w:rsidR="00E13392">
              <w:rPr>
                <w:noProof/>
                <w:webHidden/>
              </w:rPr>
              <w:fldChar w:fldCharType="begin"/>
            </w:r>
            <w:r w:rsidR="008758B9">
              <w:rPr>
                <w:noProof/>
                <w:webHidden/>
              </w:rPr>
              <w:instrText xml:space="preserve"> PAGEREF _Toc417502061 \h </w:instrText>
            </w:r>
            <w:r w:rsidR="00E13392">
              <w:rPr>
                <w:noProof/>
                <w:webHidden/>
              </w:rPr>
            </w:r>
            <w:r w:rsidR="00E13392">
              <w:rPr>
                <w:noProof/>
                <w:webHidden/>
              </w:rPr>
              <w:fldChar w:fldCharType="separate"/>
            </w:r>
            <w:r w:rsidR="008758B9">
              <w:rPr>
                <w:noProof/>
                <w:webHidden/>
              </w:rPr>
              <w:t>40</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62" w:history="1">
            <w:r w:rsidR="008758B9" w:rsidRPr="00B11C3A">
              <w:rPr>
                <w:rStyle w:val="Hyperlink"/>
                <w:noProof/>
                <w:lang w:val="en-GB"/>
              </w:rPr>
              <w:t>Pathways to (GHG Emissions Reduction) Pathways</w:t>
            </w:r>
            <w:r w:rsidR="008758B9">
              <w:rPr>
                <w:noProof/>
                <w:webHidden/>
              </w:rPr>
              <w:tab/>
            </w:r>
            <w:r w:rsidR="00E13392">
              <w:rPr>
                <w:noProof/>
                <w:webHidden/>
              </w:rPr>
              <w:fldChar w:fldCharType="begin"/>
            </w:r>
            <w:r w:rsidR="008758B9">
              <w:rPr>
                <w:noProof/>
                <w:webHidden/>
              </w:rPr>
              <w:instrText xml:space="preserve"> PAGEREF _Toc417502062 \h </w:instrText>
            </w:r>
            <w:r w:rsidR="00E13392">
              <w:rPr>
                <w:noProof/>
                <w:webHidden/>
              </w:rPr>
            </w:r>
            <w:r w:rsidR="00E13392">
              <w:rPr>
                <w:noProof/>
                <w:webHidden/>
              </w:rPr>
              <w:fldChar w:fldCharType="separate"/>
            </w:r>
            <w:r w:rsidR="008758B9">
              <w:rPr>
                <w:noProof/>
                <w:webHidden/>
              </w:rPr>
              <w:t>42</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63" w:history="1">
            <w:r w:rsidR="008758B9" w:rsidRPr="00B11C3A">
              <w:rPr>
                <w:rStyle w:val="Hyperlink"/>
                <w:noProof/>
                <w:lang w:val="en-GB"/>
              </w:rPr>
              <w:t>Technical Options and Pathways to Achieve a 2°C Warming Target</w:t>
            </w:r>
            <w:r w:rsidR="008758B9">
              <w:rPr>
                <w:noProof/>
                <w:webHidden/>
              </w:rPr>
              <w:tab/>
            </w:r>
            <w:r w:rsidR="00E13392">
              <w:rPr>
                <w:noProof/>
                <w:webHidden/>
              </w:rPr>
              <w:fldChar w:fldCharType="begin"/>
            </w:r>
            <w:r w:rsidR="008758B9">
              <w:rPr>
                <w:noProof/>
                <w:webHidden/>
              </w:rPr>
              <w:instrText xml:space="preserve"> PAGEREF _Toc417502063 \h </w:instrText>
            </w:r>
            <w:r w:rsidR="00E13392">
              <w:rPr>
                <w:noProof/>
                <w:webHidden/>
              </w:rPr>
            </w:r>
            <w:r w:rsidR="00E13392">
              <w:rPr>
                <w:noProof/>
                <w:webHidden/>
              </w:rPr>
              <w:fldChar w:fldCharType="separate"/>
            </w:r>
            <w:r w:rsidR="008758B9">
              <w:rPr>
                <w:noProof/>
                <w:webHidden/>
              </w:rPr>
              <w:t>43</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64" w:history="1">
            <w:r w:rsidR="008758B9" w:rsidRPr="00B11C3A">
              <w:rPr>
                <w:rStyle w:val="Hyperlink"/>
                <w:noProof/>
                <w:lang w:val="en-GB"/>
              </w:rPr>
              <w:t>Conclusions</w:t>
            </w:r>
            <w:r w:rsidR="008758B9">
              <w:rPr>
                <w:noProof/>
                <w:webHidden/>
              </w:rPr>
              <w:tab/>
            </w:r>
            <w:r w:rsidR="00E13392">
              <w:rPr>
                <w:noProof/>
                <w:webHidden/>
              </w:rPr>
              <w:fldChar w:fldCharType="begin"/>
            </w:r>
            <w:r w:rsidR="008758B9">
              <w:rPr>
                <w:noProof/>
                <w:webHidden/>
              </w:rPr>
              <w:instrText xml:space="preserve"> PAGEREF _Toc417502064 \h </w:instrText>
            </w:r>
            <w:r w:rsidR="00E13392">
              <w:rPr>
                <w:noProof/>
                <w:webHidden/>
              </w:rPr>
            </w:r>
            <w:r w:rsidR="00E13392">
              <w:rPr>
                <w:noProof/>
                <w:webHidden/>
              </w:rPr>
              <w:fldChar w:fldCharType="separate"/>
            </w:r>
            <w:r w:rsidR="008758B9">
              <w:rPr>
                <w:noProof/>
                <w:webHidden/>
              </w:rPr>
              <w:t>48</w:t>
            </w:r>
            <w:r w:rsidR="00E13392">
              <w:rPr>
                <w:noProof/>
                <w:webHidden/>
              </w:rPr>
              <w:fldChar w:fldCharType="end"/>
            </w:r>
          </w:hyperlink>
        </w:p>
        <w:p w:rsidR="008758B9" w:rsidRDefault="00E010EE">
          <w:pPr>
            <w:pStyle w:val="TOC1"/>
            <w:tabs>
              <w:tab w:val="right" w:leader="dot" w:pos="9016"/>
            </w:tabs>
            <w:rPr>
              <w:noProof/>
              <w:sz w:val="22"/>
              <w:szCs w:val="22"/>
              <w:lang w:val="en-AU" w:eastAsia="en-AU"/>
            </w:rPr>
          </w:pPr>
          <w:hyperlink w:anchor="_Toc417502065" w:history="1">
            <w:r w:rsidR="008758B9" w:rsidRPr="00B11C3A">
              <w:rPr>
                <w:rStyle w:val="Hyperlink"/>
                <w:noProof/>
              </w:rPr>
              <w:t>Section 4: Financial and Economic Action</w:t>
            </w:r>
            <w:r w:rsidR="008758B9">
              <w:rPr>
                <w:noProof/>
                <w:webHidden/>
              </w:rPr>
              <w:tab/>
            </w:r>
            <w:r w:rsidR="00E13392">
              <w:rPr>
                <w:noProof/>
                <w:webHidden/>
              </w:rPr>
              <w:fldChar w:fldCharType="begin"/>
            </w:r>
            <w:r w:rsidR="008758B9">
              <w:rPr>
                <w:noProof/>
                <w:webHidden/>
              </w:rPr>
              <w:instrText xml:space="preserve"> PAGEREF _Toc417502065 \h </w:instrText>
            </w:r>
            <w:r w:rsidR="00E13392">
              <w:rPr>
                <w:noProof/>
                <w:webHidden/>
              </w:rPr>
            </w:r>
            <w:r w:rsidR="00E13392">
              <w:rPr>
                <w:noProof/>
                <w:webHidden/>
              </w:rPr>
              <w:fldChar w:fldCharType="separate"/>
            </w:r>
            <w:r w:rsidR="008758B9">
              <w:rPr>
                <w:noProof/>
                <w:webHidden/>
              </w:rPr>
              <w:t>50</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66" w:history="1">
            <w:r w:rsidR="008758B9" w:rsidRPr="00B11C3A">
              <w:rPr>
                <w:rStyle w:val="Hyperlink"/>
                <w:noProof/>
              </w:rPr>
              <w:t>The Total Economic Cost of Fossil Fuel Use</w:t>
            </w:r>
            <w:r w:rsidR="008758B9">
              <w:rPr>
                <w:noProof/>
                <w:webHidden/>
              </w:rPr>
              <w:tab/>
            </w:r>
            <w:r w:rsidR="00E13392">
              <w:rPr>
                <w:noProof/>
                <w:webHidden/>
              </w:rPr>
              <w:fldChar w:fldCharType="begin"/>
            </w:r>
            <w:r w:rsidR="008758B9">
              <w:rPr>
                <w:noProof/>
                <w:webHidden/>
              </w:rPr>
              <w:instrText xml:space="preserve"> PAGEREF _Toc417502066 \h </w:instrText>
            </w:r>
            <w:r w:rsidR="00E13392">
              <w:rPr>
                <w:noProof/>
                <w:webHidden/>
              </w:rPr>
            </w:r>
            <w:r w:rsidR="00E13392">
              <w:rPr>
                <w:noProof/>
                <w:webHidden/>
              </w:rPr>
              <w:fldChar w:fldCharType="separate"/>
            </w:r>
            <w:r w:rsidR="008758B9">
              <w:rPr>
                <w:noProof/>
                <w:webHidden/>
              </w:rPr>
              <w:t>50</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67" w:history="1">
            <w:r w:rsidR="008758B9" w:rsidRPr="00B11C3A">
              <w:rPr>
                <w:rStyle w:val="Hyperlink"/>
                <w:noProof/>
              </w:rPr>
              <w:t>The Health and Related Economic Benefits of Climate Change Adaptation</w:t>
            </w:r>
            <w:r w:rsidR="008758B9">
              <w:rPr>
                <w:noProof/>
                <w:webHidden/>
              </w:rPr>
              <w:tab/>
            </w:r>
            <w:r w:rsidR="00E13392">
              <w:rPr>
                <w:noProof/>
                <w:webHidden/>
              </w:rPr>
              <w:fldChar w:fldCharType="begin"/>
            </w:r>
            <w:r w:rsidR="008758B9">
              <w:rPr>
                <w:noProof/>
                <w:webHidden/>
              </w:rPr>
              <w:instrText xml:space="preserve"> PAGEREF _Toc417502067 \h </w:instrText>
            </w:r>
            <w:r w:rsidR="00E13392">
              <w:rPr>
                <w:noProof/>
                <w:webHidden/>
              </w:rPr>
            </w:r>
            <w:r w:rsidR="00E13392">
              <w:rPr>
                <w:noProof/>
                <w:webHidden/>
              </w:rPr>
              <w:fldChar w:fldCharType="separate"/>
            </w:r>
            <w:r w:rsidR="008758B9">
              <w:rPr>
                <w:noProof/>
                <w:webHidden/>
              </w:rPr>
              <w:t>51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68" w:history="1">
            <w:r w:rsidR="008758B9" w:rsidRPr="00B11C3A">
              <w:rPr>
                <w:rStyle w:val="Hyperlink"/>
                <w:noProof/>
              </w:rPr>
              <w:t>The Health and Related Economic Benefits of Climate Change Mitigation</w:t>
            </w:r>
            <w:r w:rsidR="008758B9">
              <w:rPr>
                <w:noProof/>
                <w:webHidden/>
              </w:rPr>
              <w:tab/>
            </w:r>
            <w:r w:rsidR="00E13392">
              <w:rPr>
                <w:noProof/>
                <w:webHidden/>
              </w:rPr>
              <w:fldChar w:fldCharType="begin"/>
            </w:r>
            <w:r w:rsidR="008758B9">
              <w:rPr>
                <w:noProof/>
                <w:webHidden/>
              </w:rPr>
              <w:instrText xml:space="preserve"> PAGEREF _Toc417502068 \h </w:instrText>
            </w:r>
            <w:r w:rsidR="00E13392">
              <w:rPr>
                <w:noProof/>
                <w:webHidden/>
              </w:rPr>
            </w:r>
            <w:r w:rsidR="00E13392">
              <w:rPr>
                <w:noProof/>
                <w:webHidden/>
              </w:rPr>
              <w:fldChar w:fldCharType="separate"/>
            </w:r>
            <w:r w:rsidR="008758B9">
              <w:rPr>
                <w:noProof/>
                <w:webHidden/>
              </w:rPr>
              <w:t>51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69" w:history="1">
            <w:r w:rsidR="008758B9" w:rsidRPr="00B11C3A">
              <w:rPr>
                <w:rStyle w:val="Hyperlink"/>
                <w:noProof/>
              </w:rPr>
              <w:t>Investment required for mitigation and adaptation</w:t>
            </w:r>
            <w:r w:rsidR="008758B9">
              <w:rPr>
                <w:noProof/>
                <w:webHidden/>
              </w:rPr>
              <w:tab/>
            </w:r>
            <w:r w:rsidR="00E13392">
              <w:rPr>
                <w:noProof/>
                <w:webHidden/>
              </w:rPr>
              <w:fldChar w:fldCharType="begin"/>
            </w:r>
            <w:r w:rsidR="008758B9">
              <w:rPr>
                <w:noProof/>
                <w:webHidden/>
              </w:rPr>
              <w:instrText xml:space="preserve"> PAGEREF _Toc417502069 \h </w:instrText>
            </w:r>
            <w:r w:rsidR="00E13392">
              <w:rPr>
                <w:noProof/>
                <w:webHidden/>
              </w:rPr>
            </w:r>
            <w:r w:rsidR="00E13392">
              <w:rPr>
                <w:noProof/>
                <w:webHidden/>
              </w:rPr>
              <w:fldChar w:fldCharType="separate"/>
            </w:r>
            <w:r w:rsidR="008758B9">
              <w:rPr>
                <w:noProof/>
                <w:webHidden/>
              </w:rPr>
              <w:t>54</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70" w:history="1">
            <w:r w:rsidR="008758B9" w:rsidRPr="00B11C3A">
              <w:rPr>
                <w:rStyle w:val="Hyperlink"/>
                <w:noProof/>
              </w:rPr>
              <w:t>Macroeconomic implications of climate change mitigation and adaptation</w:t>
            </w:r>
            <w:r w:rsidR="008758B9">
              <w:rPr>
                <w:noProof/>
                <w:webHidden/>
              </w:rPr>
              <w:tab/>
            </w:r>
            <w:r w:rsidR="00E13392">
              <w:rPr>
                <w:noProof/>
                <w:webHidden/>
              </w:rPr>
              <w:fldChar w:fldCharType="begin"/>
            </w:r>
            <w:r w:rsidR="008758B9">
              <w:rPr>
                <w:noProof/>
                <w:webHidden/>
              </w:rPr>
              <w:instrText xml:space="preserve"> PAGEREF _Toc417502070 \h </w:instrText>
            </w:r>
            <w:r w:rsidR="00E13392">
              <w:rPr>
                <w:noProof/>
                <w:webHidden/>
              </w:rPr>
            </w:r>
            <w:r w:rsidR="00E13392">
              <w:rPr>
                <w:noProof/>
                <w:webHidden/>
              </w:rPr>
              <w:fldChar w:fldCharType="separate"/>
            </w:r>
            <w:r w:rsidR="008758B9">
              <w:rPr>
                <w:noProof/>
                <w:webHidden/>
              </w:rPr>
              <w:t>54</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71" w:history="1">
            <w:r w:rsidR="008758B9" w:rsidRPr="00B11C3A">
              <w:rPr>
                <w:rStyle w:val="Hyperlink"/>
                <w:noProof/>
              </w:rPr>
              <w:t>The macroeconomic impacts of climate change</w:t>
            </w:r>
            <w:r w:rsidR="008758B9">
              <w:rPr>
                <w:noProof/>
                <w:webHidden/>
              </w:rPr>
              <w:tab/>
            </w:r>
            <w:r w:rsidR="00E13392">
              <w:rPr>
                <w:noProof/>
                <w:webHidden/>
              </w:rPr>
              <w:fldChar w:fldCharType="begin"/>
            </w:r>
            <w:r w:rsidR="008758B9">
              <w:rPr>
                <w:noProof/>
                <w:webHidden/>
              </w:rPr>
              <w:instrText xml:space="preserve"> PAGEREF _Toc417502071 \h </w:instrText>
            </w:r>
            <w:r w:rsidR="00E13392">
              <w:rPr>
                <w:noProof/>
                <w:webHidden/>
              </w:rPr>
            </w:r>
            <w:r w:rsidR="00E13392">
              <w:rPr>
                <w:noProof/>
                <w:webHidden/>
              </w:rPr>
              <w:fldChar w:fldCharType="separate"/>
            </w:r>
            <w:r w:rsidR="008758B9">
              <w:rPr>
                <w:noProof/>
                <w:webHidden/>
              </w:rPr>
              <w:t>55</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72" w:history="1">
            <w:r w:rsidR="008758B9" w:rsidRPr="00B11C3A">
              <w:rPr>
                <w:rStyle w:val="Hyperlink"/>
                <w:noProof/>
              </w:rPr>
              <w:t>The macroeconomic impacts of responding to climate change</w:t>
            </w:r>
            <w:r w:rsidR="008758B9">
              <w:rPr>
                <w:noProof/>
                <w:webHidden/>
              </w:rPr>
              <w:tab/>
            </w:r>
            <w:r w:rsidR="00E13392">
              <w:rPr>
                <w:noProof/>
                <w:webHidden/>
              </w:rPr>
              <w:fldChar w:fldCharType="begin"/>
            </w:r>
            <w:r w:rsidR="008758B9">
              <w:rPr>
                <w:noProof/>
                <w:webHidden/>
              </w:rPr>
              <w:instrText xml:space="preserve"> PAGEREF _Toc417502072 \h </w:instrText>
            </w:r>
            <w:r w:rsidR="00E13392">
              <w:rPr>
                <w:noProof/>
                <w:webHidden/>
              </w:rPr>
            </w:r>
            <w:r w:rsidR="00E13392">
              <w:rPr>
                <w:noProof/>
                <w:webHidden/>
              </w:rPr>
              <w:fldChar w:fldCharType="separate"/>
            </w:r>
            <w:r w:rsidR="008758B9">
              <w:rPr>
                <w:noProof/>
                <w:webHidden/>
              </w:rPr>
              <w:t>56</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73" w:history="1">
            <w:r w:rsidR="008758B9" w:rsidRPr="00B11C3A">
              <w:rPr>
                <w:rStyle w:val="Hyperlink"/>
                <w:noProof/>
              </w:rPr>
              <w:t>Possible sources of finance</w:t>
            </w:r>
            <w:r w:rsidR="008758B9">
              <w:rPr>
                <w:noProof/>
                <w:webHidden/>
              </w:rPr>
              <w:tab/>
            </w:r>
            <w:r w:rsidR="00E13392">
              <w:rPr>
                <w:noProof/>
                <w:webHidden/>
              </w:rPr>
              <w:fldChar w:fldCharType="begin"/>
            </w:r>
            <w:r w:rsidR="008758B9">
              <w:rPr>
                <w:noProof/>
                <w:webHidden/>
              </w:rPr>
              <w:instrText xml:space="preserve"> PAGEREF _Toc417502073 \h </w:instrText>
            </w:r>
            <w:r w:rsidR="00E13392">
              <w:rPr>
                <w:noProof/>
                <w:webHidden/>
              </w:rPr>
            </w:r>
            <w:r w:rsidR="00E13392">
              <w:rPr>
                <w:noProof/>
                <w:webHidden/>
              </w:rPr>
              <w:fldChar w:fldCharType="separate"/>
            </w:r>
            <w:r w:rsidR="008758B9">
              <w:rPr>
                <w:noProof/>
                <w:webHidden/>
              </w:rPr>
              <w:t>56</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74" w:history="1">
            <w:r w:rsidR="008758B9" w:rsidRPr="00B11C3A">
              <w:rPr>
                <w:rStyle w:val="Hyperlink"/>
                <w:noProof/>
              </w:rPr>
              <w:t>Enabling architecture and policy instruments</w:t>
            </w:r>
            <w:r w:rsidR="008758B9">
              <w:rPr>
                <w:noProof/>
                <w:webHidden/>
              </w:rPr>
              <w:tab/>
            </w:r>
            <w:r w:rsidR="00E13392">
              <w:rPr>
                <w:noProof/>
                <w:webHidden/>
              </w:rPr>
              <w:fldChar w:fldCharType="begin"/>
            </w:r>
            <w:r w:rsidR="008758B9">
              <w:rPr>
                <w:noProof/>
                <w:webHidden/>
              </w:rPr>
              <w:instrText xml:space="preserve"> PAGEREF _Toc417502074 \h </w:instrText>
            </w:r>
            <w:r w:rsidR="00E13392">
              <w:rPr>
                <w:noProof/>
                <w:webHidden/>
              </w:rPr>
            </w:r>
            <w:r w:rsidR="00E13392">
              <w:rPr>
                <w:noProof/>
                <w:webHidden/>
              </w:rPr>
              <w:fldChar w:fldCharType="separate"/>
            </w:r>
            <w:r w:rsidR="008758B9">
              <w:rPr>
                <w:noProof/>
                <w:webHidden/>
              </w:rPr>
              <w:t>57</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75" w:history="1">
            <w:r w:rsidR="008758B9" w:rsidRPr="00B11C3A">
              <w:rPr>
                <w:rStyle w:val="Hyperlink"/>
                <w:noProof/>
              </w:rPr>
              <w:t>Standards and engagement</w:t>
            </w:r>
            <w:r w:rsidR="008758B9">
              <w:rPr>
                <w:noProof/>
                <w:webHidden/>
              </w:rPr>
              <w:tab/>
            </w:r>
            <w:r w:rsidR="00E13392">
              <w:rPr>
                <w:noProof/>
                <w:webHidden/>
              </w:rPr>
              <w:fldChar w:fldCharType="begin"/>
            </w:r>
            <w:r w:rsidR="008758B9">
              <w:rPr>
                <w:noProof/>
                <w:webHidden/>
              </w:rPr>
              <w:instrText xml:space="preserve"> PAGEREF _Toc417502075 \h </w:instrText>
            </w:r>
            <w:r w:rsidR="00E13392">
              <w:rPr>
                <w:noProof/>
                <w:webHidden/>
              </w:rPr>
            </w:r>
            <w:r w:rsidR="00E13392">
              <w:rPr>
                <w:noProof/>
                <w:webHidden/>
              </w:rPr>
              <w:fldChar w:fldCharType="separate"/>
            </w:r>
            <w:r w:rsidR="008758B9">
              <w:rPr>
                <w:noProof/>
                <w:webHidden/>
              </w:rPr>
              <w:t>58</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76" w:history="1">
            <w:r w:rsidR="008758B9" w:rsidRPr="00B11C3A">
              <w:rPr>
                <w:rStyle w:val="Hyperlink"/>
                <w:noProof/>
              </w:rPr>
              <w:t>Markets and prices</w:t>
            </w:r>
            <w:r w:rsidR="008758B9">
              <w:rPr>
                <w:noProof/>
                <w:webHidden/>
              </w:rPr>
              <w:tab/>
            </w:r>
            <w:r w:rsidR="00E13392">
              <w:rPr>
                <w:noProof/>
                <w:webHidden/>
              </w:rPr>
              <w:fldChar w:fldCharType="begin"/>
            </w:r>
            <w:r w:rsidR="008758B9">
              <w:rPr>
                <w:noProof/>
                <w:webHidden/>
              </w:rPr>
              <w:instrText xml:space="preserve"> PAGEREF _Toc417502076 \h </w:instrText>
            </w:r>
            <w:r w:rsidR="00E13392">
              <w:rPr>
                <w:noProof/>
                <w:webHidden/>
              </w:rPr>
            </w:r>
            <w:r w:rsidR="00E13392">
              <w:rPr>
                <w:noProof/>
                <w:webHidden/>
              </w:rPr>
              <w:fldChar w:fldCharType="separate"/>
            </w:r>
            <w:r w:rsidR="008758B9">
              <w:rPr>
                <w:noProof/>
                <w:webHidden/>
              </w:rPr>
              <w:t>59</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77" w:history="1">
            <w:r w:rsidR="008758B9" w:rsidRPr="00B11C3A">
              <w:rPr>
                <w:rStyle w:val="Hyperlink"/>
                <w:noProof/>
              </w:rPr>
              <w:t>Strategic Investment</w:t>
            </w:r>
            <w:r w:rsidR="008758B9">
              <w:rPr>
                <w:noProof/>
                <w:webHidden/>
              </w:rPr>
              <w:tab/>
            </w:r>
            <w:r w:rsidR="00E13392">
              <w:rPr>
                <w:noProof/>
                <w:webHidden/>
              </w:rPr>
              <w:fldChar w:fldCharType="begin"/>
            </w:r>
            <w:r w:rsidR="008758B9">
              <w:rPr>
                <w:noProof/>
                <w:webHidden/>
              </w:rPr>
              <w:instrText xml:space="preserve"> PAGEREF _Toc417502077 \h </w:instrText>
            </w:r>
            <w:r w:rsidR="00E13392">
              <w:rPr>
                <w:noProof/>
                <w:webHidden/>
              </w:rPr>
            </w:r>
            <w:r w:rsidR="00E13392">
              <w:rPr>
                <w:noProof/>
                <w:webHidden/>
              </w:rPr>
              <w:fldChar w:fldCharType="separate"/>
            </w:r>
            <w:r w:rsidR="008758B9">
              <w:rPr>
                <w:noProof/>
                <w:webHidden/>
              </w:rPr>
              <w:t>61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78" w:history="1">
            <w:r w:rsidR="008758B9" w:rsidRPr="00B11C3A">
              <w:rPr>
                <w:rStyle w:val="Hyperlink"/>
                <w:noProof/>
              </w:rPr>
              <w:t>Institutional Reform and support</w:t>
            </w:r>
            <w:r w:rsidR="008758B9">
              <w:rPr>
                <w:noProof/>
                <w:webHidden/>
              </w:rPr>
              <w:tab/>
            </w:r>
            <w:r w:rsidR="00E13392">
              <w:rPr>
                <w:noProof/>
                <w:webHidden/>
              </w:rPr>
              <w:fldChar w:fldCharType="begin"/>
            </w:r>
            <w:r w:rsidR="008758B9">
              <w:rPr>
                <w:noProof/>
                <w:webHidden/>
              </w:rPr>
              <w:instrText xml:space="preserve"> PAGEREF _Toc417502078 \h </w:instrText>
            </w:r>
            <w:r w:rsidR="00E13392">
              <w:rPr>
                <w:noProof/>
                <w:webHidden/>
              </w:rPr>
            </w:r>
            <w:r w:rsidR="00E13392">
              <w:rPr>
                <w:noProof/>
                <w:webHidden/>
              </w:rPr>
              <w:fldChar w:fldCharType="separate"/>
            </w:r>
            <w:r w:rsidR="008758B9">
              <w:rPr>
                <w:noProof/>
                <w:webHidden/>
              </w:rPr>
              <w:t>61</w:t>
            </w:r>
            <w:r w:rsidR="00E13392">
              <w:rPr>
                <w:noProof/>
                <w:webHidden/>
              </w:rPr>
              <w:fldChar w:fldCharType="end"/>
            </w:r>
          </w:hyperlink>
        </w:p>
        <w:p w:rsidR="008758B9" w:rsidRDefault="00E010EE">
          <w:pPr>
            <w:pStyle w:val="TOC1"/>
            <w:tabs>
              <w:tab w:val="right" w:leader="dot" w:pos="9016"/>
            </w:tabs>
            <w:rPr>
              <w:noProof/>
              <w:sz w:val="22"/>
              <w:szCs w:val="22"/>
              <w:lang w:val="en-AU" w:eastAsia="en-AU"/>
            </w:rPr>
          </w:pPr>
          <w:hyperlink w:anchor="_Toc417502079" w:history="1">
            <w:r w:rsidR="008758B9" w:rsidRPr="00B11C3A">
              <w:rPr>
                <w:rStyle w:val="Hyperlink"/>
                <w:noProof/>
              </w:rPr>
              <w:t>Section 5: Delivering a Healthy Low-Carbon Future</w:t>
            </w:r>
            <w:r w:rsidR="008758B9">
              <w:rPr>
                <w:noProof/>
                <w:webHidden/>
              </w:rPr>
              <w:tab/>
            </w:r>
            <w:r w:rsidR="00E13392">
              <w:rPr>
                <w:noProof/>
                <w:webHidden/>
              </w:rPr>
              <w:fldChar w:fldCharType="begin"/>
            </w:r>
            <w:r w:rsidR="008758B9">
              <w:rPr>
                <w:noProof/>
                <w:webHidden/>
              </w:rPr>
              <w:instrText xml:space="preserve"> PAGEREF _Toc417502079 \h </w:instrText>
            </w:r>
            <w:r w:rsidR="00E13392">
              <w:rPr>
                <w:noProof/>
                <w:webHidden/>
              </w:rPr>
            </w:r>
            <w:r w:rsidR="00E13392">
              <w:rPr>
                <w:noProof/>
                <w:webHidden/>
              </w:rPr>
              <w:fldChar w:fldCharType="separate"/>
            </w:r>
            <w:r w:rsidR="008758B9">
              <w:rPr>
                <w:noProof/>
                <w:webHidden/>
              </w:rPr>
              <w:t>63</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80" w:history="1">
            <w:r w:rsidR="008758B9" w:rsidRPr="00B11C3A">
              <w:rPr>
                <w:rStyle w:val="Hyperlink"/>
                <w:noProof/>
              </w:rPr>
              <w:t>Introduction</w:t>
            </w:r>
            <w:r w:rsidR="008758B9">
              <w:rPr>
                <w:noProof/>
                <w:webHidden/>
              </w:rPr>
              <w:tab/>
            </w:r>
            <w:r w:rsidR="00E13392">
              <w:rPr>
                <w:noProof/>
                <w:webHidden/>
              </w:rPr>
              <w:fldChar w:fldCharType="begin"/>
            </w:r>
            <w:r w:rsidR="008758B9">
              <w:rPr>
                <w:noProof/>
                <w:webHidden/>
              </w:rPr>
              <w:instrText xml:space="preserve"> PAGEREF _Toc417502080 \h </w:instrText>
            </w:r>
            <w:r w:rsidR="00E13392">
              <w:rPr>
                <w:noProof/>
                <w:webHidden/>
              </w:rPr>
            </w:r>
            <w:r w:rsidR="00E13392">
              <w:rPr>
                <w:noProof/>
                <w:webHidden/>
              </w:rPr>
              <w:fldChar w:fldCharType="separate"/>
            </w:r>
            <w:r w:rsidR="008758B9">
              <w:rPr>
                <w:noProof/>
                <w:webHidden/>
              </w:rPr>
              <w:t>63</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81" w:history="1">
            <w:r w:rsidR="008758B9" w:rsidRPr="00B11C3A">
              <w:rPr>
                <w:rStyle w:val="Hyperlink"/>
                <w:noProof/>
              </w:rPr>
              <w:t>Three Phases of Response – The International Regime</w:t>
            </w:r>
            <w:r w:rsidR="008758B9">
              <w:rPr>
                <w:noProof/>
                <w:webHidden/>
              </w:rPr>
              <w:tab/>
            </w:r>
            <w:r w:rsidR="00E13392">
              <w:rPr>
                <w:noProof/>
                <w:webHidden/>
              </w:rPr>
              <w:fldChar w:fldCharType="begin"/>
            </w:r>
            <w:r w:rsidR="008758B9">
              <w:rPr>
                <w:noProof/>
                <w:webHidden/>
              </w:rPr>
              <w:instrText xml:space="preserve"> PAGEREF _Toc417502081 \h </w:instrText>
            </w:r>
            <w:r w:rsidR="00E13392">
              <w:rPr>
                <w:noProof/>
                <w:webHidden/>
              </w:rPr>
            </w:r>
            <w:r w:rsidR="00E13392">
              <w:rPr>
                <w:noProof/>
                <w:webHidden/>
              </w:rPr>
              <w:fldChar w:fldCharType="separate"/>
            </w:r>
            <w:r w:rsidR="008758B9">
              <w:rPr>
                <w:noProof/>
                <w:webHidden/>
              </w:rPr>
              <w:t>63</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82" w:history="1">
            <w:r w:rsidR="008758B9" w:rsidRPr="00B11C3A">
              <w:rPr>
                <w:rStyle w:val="Hyperlink"/>
                <w:noProof/>
              </w:rPr>
              <w:t>First Phase: Understanding the Evidence and Establishing Institutions and Broad Goals</w:t>
            </w:r>
            <w:r w:rsidR="008758B9">
              <w:rPr>
                <w:noProof/>
                <w:webHidden/>
              </w:rPr>
              <w:tab/>
            </w:r>
            <w:r w:rsidR="00E13392">
              <w:rPr>
                <w:noProof/>
                <w:webHidden/>
              </w:rPr>
              <w:fldChar w:fldCharType="begin"/>
            </w:r>
            <w:r w:rsidR="008758B9">
              <w:rPr>
                <w:noProof/>
                <w:webHidden/>
              </w:rPr>
              <w:instrText xml:space="preserve"> PAGEREF _Toc417502082 \h </w:instrText>
            </w:r>
            <w:r w:rsidR="00E13392">
              <w:rPr>
                <w:noProof/>
                <w:webHidden/>
              </w:rPr>
            </w:r>
            <w:r w:rsidR="00E13392">
              <w:rPr>
                <w:noProof/>
                <w:webHidden/>
              </w:rPr>
              <w:fldChar w:fldCharType="separate"/>
            </w:r>
            <w:r w:rsidR="008758B9">
              <w:rPr>
                <w:noProof/>
                <w:webHidden/>
              </w:rPr>
              <w:t>63</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83" w:history="1">
            <w:r w:rsidR="008758B9" w:rsidRPr="00B11C3A">
              <w:rPr>
                <w:rStyle w:val="Hyperlink"/>
                <w:noProof/>
              </w:rPr>
              <w:t>Second Phase: Leading Through Top-Down International Commitments</w:t>
            </w:r>
            <w:r w:rsidR="008758B9">
              <w:rPr>
                <w:noProof/>
                <w:webHidden/>
              </w:rPr>
              <w:tab/>
            </w:r>
            <w:r w:rsidR="00E13392">
              <w:rPr>
                <w:noProof/>
                <w:webHidden/>
              </w:rPr>
              <w:fldChar w:fldCharType="begin"/>
            </w:r>
            <w:r w:rsidR="008758B9">
              <w:rPr>
                <w:noProof/>
                <w:webHidden/>
              </w:rPr>
              <w:instrText xml:space="preserve"> PAGEREF _Toc417502083 \h </w:instrText>
            </w:r>
            <w:r w:rsidR="00E13392">
              <w:rPr>
                <w:noProof/>
                <w:webHidden/>
              </w:rPr>
            </w:r>
            <w:r w:rsidR="00E13392">
              <w:rPr>
                <w:noProof/>
                <w:webHidden/>
              </w:rPr>
              <w:fldChar w:fldCharType="separate"/>
            </w:r>
            <w:r w:rsidR="008758B9">
              <w:rPr>
                <w:noProof/>
                <w:webHidden/>
              </w:rPr>
              <w:t>64</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84" w:history="1">
            <w:r w:rsidR="008758B9" w:rsidRPr="00B11C3A">
              <w:rPr>
                <w:rStyle w:val="Hyperlink"/>
                <w:noProof/>
              </w:rPr>
              <w:t>Third Phase: Bottom-Up Initiatives</w:t>
            </w:r>
            <w:r w:rsidR="008758B9">
              <w:rPr>
                <w:noProof/>
                <w:webHidden/>
              </w:rPr>
              <w:tab/>
            </w:r>
            <w:r w:rsidR="00E13392">
              <w:rPr>
                <w:noProof/>
                <w:webHidden/>
              </w:rPr>
              <w:fldChar w:fldCharType="begin"/>
            </w:r>
            <w:r w:rsidR="008758B9">
              <w:rPr>
                <w:noProof/>
                <w:webHidden/>
              </w:rPr>
              <w:instrText xml:space="preserve"> PAGEREF _Toc417502084 \h </w:instrText>
            </w:r>
            <w:r w:rsidR="00E13392">
              <w:rPr>
                <w:noProof/>
                <w:webHidden/>
              </w:rPr>
            </w:r>
            <w:r w:rsidR="00E13392">
              <w:rPr>
                <w:noProof/>
                <w:webHidden/>
              </w:rPr>
              <w:fldChar w:fldCharType="separate"/>
            </w:r>
            <w:r w:rsidR="008758B9">
              <w:rPr>
                <w:noProof/>
                <w:webHidden/>
              </w:rPr>
              <w:t>64</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85" w:history="1">
            <w:r w:rsidR="008758B9" w:rsidRPr="00B11C3A">
              <w:rPr>
                <w:rStyle w:val="Hyperlink"/>
                <w:noProof/>
              </w:rPr>
              <w:t>Patchy Progress in the Negotiations</w:t>
            </w:r>
            <w:r w:rsidR="008758B9">
              <w:rPr>
                <w:noProof/>
                <w:webHidden/>
              </w:rPr>
              <w:tab/>
            </w:r>
            <w:r w:rsidR="00E13392">
              <w:rPr>
                <w:noProof/>
                <w:webHidden/>
              </w:rPr>
              <w:fldChar w:fldCharType="begin"/>
            </w:r>
            <w:r w:rsidR="008758B9">
              <w:rPr>
                <w:noProof/>
                <w:webHidden/>
              </w:rPr>
              <w:instrText xml:space="preserve"> PAGEREF _Toc417502085 \h </w:instrText>
            </w:r>
            <w:r w:rsidR="00E13392">
              <w:rPr>
                <w:noProof/>
                <w:webHidden/>
              </w:rPr>
            </w:r>
            <w:r w:rsidR="00E13392">
              <w:rPr>
                <w:noProof/>
                <w:webHidden/>
              </w:rPr>
              <w:fldChar w:fldCharType="separate"/>
            </w:r>
            <w:r w:rsidR="008758B9">
              <w:rPr>
                <w:noProof/>
                <w:webHidden/>
              </w:rPr>
              <w:t>65</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86" w:history="1">
            <w:r w:rsidR="008758B9" w:rsidRPr="00B11C3A">
              <w:rPr>
                <w:rStyle w:val="Hyperlink"/>
                <w:noProof/>
              </w:rPr>
              <w:t>The Generic Barriers</w:t>
            </w:r>
            <w:r w:rsidR="008758B9">
              <w:rPr>
                <w:noProof/>
                <w:webHidden/>
              </w:rPr>
              <w:tab/>
            </w:r>
            <w:r w:rsidR="00E13392">
              <w:rPr>
                <w:noProof/>
                <w:webHidden/>
              </w:rPr>
              <w:fldChar w:fldCharType="begin"/>
            </w:r>
            <w:r w:rsidR="008758B9">
              <w:rPr>
                <w:noProof/>
                <w:webHidden/>
              </w:rPr>
              <w:instrText xml:space="preserve"> PAGEREF _Toc417502086 \h </w:instrText>
            </w:r>
            <w:r w:rsidR="00E13392">
              <w:rPr>
                <w:noProof/>
                <w:webHidden/>
              </w:rPr>
            </w:r>
            <w:r w:rsidR="00E13392">
              <w:rPr>
                <w:noProof/>
                <w:webHidden/>
              </w:rPr>
              <w:fldChar w:fldCharType="separate"/>
            </w:r>
            <w:r w:rsidR="008758B9">
              <w:rPr>
                <w:noProof/>
                <w:webHidden/>
              </w:rPr>
              <w:t>66</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87" w:history="1">
            <w:r w:rsidR="008758B9" w:rsidRPr="00B11C3A">
              <w:rPr>
                <w:rStyle w:val="Hyperlink"/>
                <w:noProof/>
              </w:rPr>
              <w:t>Cities, States and Provinces: Progress at the Sub-National Level</w:t>
            </w:r>
            <w:r w:rsidR="008758B9">
              <w:rPr>
                <w:noProof/>
                <w:webHidden/>
              </w:rPr>
              <w:tab/>
            </w:r>
            <w:r w:rsidR="00E13392">
              <w:rPr>
                <w:noProof/>
                <w:webHidden/>
              </w:rPr>
              <w:fldChar w:fldCharType="begin"/>
            </w:r>
            <w:r w:rsidR="008758B9">
              <w:rPr>
                <w:noProof/>
                <w:webHidden/>
              </w:rPr>
              <w:instrText xml:space="preserve"> PAGEREF _Toc417502087 \h </w:instrText>
            </w:r>
            <w:r w:rsidR="00E13392">
              <w:rPr>
                <w:noProof/>
                <w:webHidden/>
              </w:rPr>
            </w:r>
            <w:r w:rsidR="00E13392">
              <w:rPr>
                <w:noProof/>
                <w:webHidden/>
              </w:rPr>
              <w:fldChar w:fldCharType="separate"/>
            </w:r>
            <w:r w:rsidR="008758B9">
              <w:rPr>
                <w:noProof/>
                <w:webHidden/>
              </w:rPr>
              <w:t>67</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88" w:history="1">
            <w:r w:rsidR="008758B9" w:rsidRPr="00B11C3A">
              <w:rPr>
                <w:rStyle w:val="Hyperlink"/>
                <w:noProof/>
              </w:rPr>
              <w:t>Public Opinion and Behavior</w:t>
            </w:r>
            <w:r w:rsidR="008758B9">
              <w:rPr>
                <w:noProof/>
                <w:webHidden/>
              </w:rPr>
              <w:tab/>
            </w:r>
            <w:r w:rsidR="00E13392">
              <w:rPr>
                <w:noProof/>
                <w:webHidden/>
              </w:rPr>
              <w:fldChar w:fldCharType="begin"/>
            </w:r>
            <w:r w:rsidR="008758B9">
              <w:rPr>
                <w:noProof/>
                <w:webHidden/>
              </w:rPr>
              <w:instrText xml:space="preserve"> PAGEREF _Toc417502088 \h </w:instrText>
            </w:r>
            <w:r w:rsidR="00E13392">
              <w:rPr>
                <w:noProof/>
                <w:webHidden/>
              </w:rPr>
            </w:r>
            <w:r w:rsidR="00E13392">
              <w:rPr>
                <w:noProof/>
                <w:webHidden/>
              </w:rPr>
              <w:fldChar w:fldCharType="separate"/>
            </w:r>
            <w:r w:rsidR="008758B9">
              <w:rPr>
                <w:noProof/>
                <w:webHidden/>
              </w:rPr>
              <w:t>68</w:t>
            </w:r>
            <w:r w:rsidR="00E13392">
              <w:rPr>
                <w:noProof/>
                <w:webHidden/>
              </w:rPr>
              <w:fldChar w:fldCharType="end"/>
            </w:r>
          </w:hyperlink>
        </w:p>
        <w:p w:rsidR="008758B9" w:rsidRDefault="00E010EE">
          <w:pPr>
            <w:pStyle w:val="TOC3"/>
            <w:tabs>
              <w:tab w:val="right" w:leader="dot" w:pos="9016"/>
            </w:tabs>
            <w:rPr>
              <w:noProof/>
              <w:sz w:val="22"/>
              <w:szCs w:val="22"/>
              <w:lang w:val="en-AU" w:eastAsia="en-AU"/>
            </w:rPr>
          </w:pPr>
          <w:hyperlink w:anchor="_Toc417502089" w:history="1">
            <w:r w:rsidR="008758B9" w:rsidRPr="00B11C3A">
              <w:rPr>
                <w:rStyle w:val="Hyperlink"/>
                <w:noProof/>
              </w:rPr>
              <w:t>Public Responses to Climate Change</w:t>
            </w:r>
            <w:r w:rsidR="008758B9">
              <w:rPr>
                <w:noProof/>
                <w:webHidden/>
              </w:rPr>
              <w:tab/>
            </w:r>
            <w:r w:rsidR="00E13392">
              <w:rPr>
                <w:noProof/>
                <w:webHidden/>
              </w:rPr>
              <w:fldChar w:fldCharType="begin"/>
            </w:r>
            <w:r w:rsidR="008758B9">
              <w:rPr>
                <w:noProof/>
                <w:webHidden/>
              </w:rPr>
              <w:instrText xml:space="preserve"> PAGEREF _Toc417502089 \h </w:instrText>
            </w:r>
            <w:r w:rsidR="00E13392">
              <w:rPr>
                <w:noProof/>
                <w:webHidden/>
              </w:rPr>
            </w:r>
            <w:r w:rsidR="00E13392">
              <w:rPr>
                <w:noProof/>
                <w:webHidden/>
              </w:rPr>
              <w:fldChar w:fldCharType="separate"/>
            </w:r>
            <w:r w:rsidR="008758B9">
              <w:rPr>
                <w:noProof/>
                <w:webHidden/>
              </w:rPr>
              <w:t>70</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90" w:history="1">
            <w:r w:rsidR="008758B9" w:rsidRPr="00B11C3A">
              <w:rPr>
                <w:rStyle w:val="Hyperlink"/>
                <w:noProof/>
              </w:rPr>
              <w:t>Conclusions</w:t>
            </w:r>
            <w:r w:rsidR="008758B9">
              <w:rPr>
                <w:noProof/>
                <w:webHidden/>
              </w:rPr>
              <w:tab/>
            </w:r>
            <w:r w:rsidR="00E13392">
              <w:rPr>
                <w:noProof/>
                <w:webHidden/>
              </w:rPr>
              <w:fldChar w:fldCharType="begin"/>
            </w:r>
            <w:r w:rsidR="008758B9">
              <w:rPr>
                <w:noProof/>
                <w:webHidden/>
              </w:rPr>
              <w:instrText xml:space="preserve"> PAGEREF _Toc417502090 \h </w:instrText>
            </w:r>
            <w:r w:rsidR="00E13392">
              <w:rPr>
                <w:noProof/>
                <w:webHidden/>
              </w:rPr>
            </w:r>
            <w:r w:rsidR="00E13392">
              <w:rPr>
                <w:noProof/>
                <w:webHidden/>
              </w:rPr>
              <w:fldChar w:fldCharType="separate"/>
            </w:r>
            <w:r w:rsidR="008758B9">
              <w:rPr>
                <w:noProof/>
                <w:webHidden/>
              </w:rPr>
              <w:t>71</w:t>
            </w:r>
            <w:r w:rsidR="00E13392">
              <w:rPr>
                <w:noProof/>
                <w:webHidden/>
              </w:rPr>
              <w:fldChar w:fldCharType="end"/>
            </w:r>
          </w:hyperlink>
        </w:p>
        <w:p w:rsidR="008758B9" w:rsidRDefault="00E010EE">
          <w:pPr>
            <w:pStyle w:val="TOC1"/>
            <w:tabs>
              <w:tab w:val="right" w:leader="dot" w:pos="9016"/>
            </w:tabs>
            <w:rPr>
              <w:noProof/>
              <w:sz w:val="22"/>
              <w:szCs w:val="22"/>
              <w:lang w:val="en-AU" w:eastAsia="en-AU"/>
            </w:rPr>
          </w:pPr>
          <w:hyperlink w:anchor="_Toc417502091" w:history="1">
            <w:r w:rsidR="008758B9" w:rsidRPr="00B11C3A">
              <w:rPr>
                <w:rStyle w:val="Hyperlink"/>
                <w:noProof/>
              </w:rPr>
              <w:t>Section 6: Bringing the Health Voice to Climate Change</w:t>
            </w:r>
            <w:r w:rsidR="008758B9">
              <w:rPr>
                <w:noProof/>
                <w:webHidden/>
              </w:rPr>
              <w:tab/>
            </w:r>
            <w:r w:rsidR="00E13392">
              <w:rPr>
                <w:noProof/>
                <w:webHidden/>
              </w:rPr>
              <w:fldChar w:fldCharType="begin"/>
            </w:r>
            <w:r w:rsidR="008758B9">
              <w:rPr>
                <w:noProof/>
                <w:webHidden/>
              </w:rPr>
              <w:instrText xml:space="preserve"> PAGEREF _Toc417502091 \h </w:instrText>
            </w:r>
            <w:r w:rsidR="00E13392">
              <w:rPr>
                <w:noProof/>
                <w:webHidden/>
              </w:rPr>
            </w:r>
            <w:r w:rsidR="00E13392">
              <w:rPr>
                <w:noProof/>
                <w:webHidden/>
              </w:rPr>
              <w:fldChar w:fldCharType="separate"/>
            </w:r>
            <w:r w:rsidR="008758B9">
              <w:rPr>
                <w:noProof/>
                <w:webHidden/>
              </w:rPr>
              <w:t>72</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92" w:history="1">
            <w:r w:rsidR="008758B9" w:rsidRPr="00B11C3A">
              <w:rPr>
                <w:rStyle w:val="Hyperlink"/>
                <w:noProof/>
              </w:rPr>
              <w:t>A Countdown to 2030: Global Health and Climate Action</w:t>
            </w:r>
            <w:r w:rsidR="008758B9">
              <w:rPr>
                <w:noProof/>
                <w:webHidden/>
              </w:rPr>
              <w:tab/>
            </w:r>
            <w:r w:rsidR="00E13392">
              <w:rPr>
                <w:noProof/>
                <w:webHidden/>
              </w:rPr>
              <w:fldChar w:fldCharType="begin"/>
            </w:r>
            <w:r w:rsidR="008758B9">
              <w:rPr>
                <w:noProof/>
                <w:webHidden/>
              </w:rPr>
              <w:instrText xml:space="preserve"> PAGEREF _Toc417502092 \h </w:instrText>
            </w:r>
            <w:r w:rsidR="00E13392">
              <w:rPr>
                <w:noProof/>
                <w:webHidden/>
              </w:rPr>
            </w:r>
            <w:r w:rsidR="00E13392">
              <w:rPr>
                <w:noProof/>
                <w:webHidden/>
              </w:rPr>
              <w:fldChar w:fldCharType="separate"/>
            </w:r>
            <w:r w:rsidR="008758B9">
              <w:rPr>
                <w:noProof/>
                <w:webHidden/>
              </w:rPr>
              <w:t>74</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93" w:history="1">
            <w:r w:rsidR="008758B9" w:rsidRPr="00B11C3A">
              <w:rPr>
                <w:rStyle w:val="Hyperlink"/>
                <w:noProof/>
              </w:rPr>
              <w:t>Optimism</w:t>
            </w:r>
            <w:r w:rsidR="008758B9">
              <w:rPr>
                <w:noProof/>
                <w:webHidden/>
              </w:rPr>
              <w:tab/>
            </w:r>
            <w:r w:rsidR="00E13392">
              <w:rPr>
                <w:noProof/>
                <w:webHidden/>
              </w:rPr>
              <w:fldChar w:fldCharType="begin"/>
            </w:r>
            <w:r w:rsidR="008758B9">
              <w:rPr>
                <w:noProof/>
                <w:webHidden/>
              </w:rPr>
              <w:instrText xml:space="preserve"> PAGEREF _Toc417502093 \h </w:instrText>
            </w:r>
            <w:r w:rsidR="00E13392">
              <w:rPr>
                <w:noProof/>
                <w:webHidden/>
              </w:rPr>
            </w:r>
            <w:r w:rsidR="00E13392">
              <w:rPr>
                <w:noProof/>
                <w:webHidden/>
              </w:rPr>
              <w:fldChar w:fldCharType="separate"/>
            </w:r>
            <w:r w:rsidR="008758B9">
              <w:rPr>
                <w:noProof/>
                <w:webHidden/>
              </w:rPr>
              <w:t>75</w:t>
            </w:r>
            <w:r w:rsidR="00E13392">
              <w:rPr>
                <w:noProof/>
                <w:webHidden/>
              </w:rPr>
              <w:fldChar w:fldCharType="end"/>
            </w:r>
          </w:hyperlink>
        </w:p>
        <w:p w:rsidR="008758B9" w:rsidRDefault="00E010EE">
          <w:pPr>
            <w:pStyle w:val="TOC1"/>
            <w:tabs>
              <w:tab w:val="right" w:leader="dot" w:pos="9016"/>
            </w:tabs>
            <w:rPr>
              <w:noProof/>
              <w:sz w:val="22"/>
              <w:szCs w:val="22"/>
              <w:lang w:val="en-AU" w:eastAsia="en-AU"/>
            </w:rPr>
          </w:pPr>
          <w:hyperlink w:anchor="_Toc417502094" w:history="1">
            <w:r w:rsidR="008758B9" w:rsidRPr="00B11C3A">
              <w:rPr>
                <w:rStyle w:val="Hyperlink"/>
                <w:noProof/>
              </w:rPr>
              <w:t>Contributors</w:t>
            </w:r>
            <w:r w:rsidR="008758B9">
              <w:rPr>
                <w:noProof/>
                <w:webHidden/>
              </w:rPr>
              <w:tab/>
            </w:r>
            <w:r w:rsidR="00E13392">
              <w:rPr>
                <w:noProof/>
                <w:webHidden/>
              </w:rPr>
              <w:fldChar w:fldCharType="begin"/>
            </w:r>
            <w:r w:rsidR="008758B9">
              <w:rPr>
                <w:noProof/>
                <w:webHidden/>
              </w:rPr>
              <w:instrText xml:space="preserve"> PAGEREF _Toc417502094 \h </w:instrText>
            </w:r>
            <w:r w:rsidR="00E13392">
              <w:rPr>
                <w:noProof/>
                <w:webHidden/>
              </w:rPr>
            </w:r>
            <w:r w:rsidR="00E13392">
              <w:rPr>
                <w:noProof/>
                <w:webHidden/>
              </w:rPr>
              <w:fldChar w:fldCharType="separate"/>
            </w:r>
            <w:r w:rsidR="008758B9">
              <w:rPr>
                <w:noProof/>
                <w:webHidden/>
              </w:rPr>
              <w:t>77</w:t>
            </w:r>
            <w:r w:rsidR="00E13392">
              <w:rPr>
                <w:noProof/>
                <w:webHidden/>
              </w:rPr>
              <w:fldChar w:fldCharType="end"/>
            </w:r>
          </w:hyperlink>
        </w:p>
        <w:p w:rsidR="008758B9" w:rsidRDefault="00E010EE">
          <w:pPr>
            <w:pStyle w:val="TOC1"/>
            <w:tabs>
              <w:tab w:val="right" w:leader="dot" w:pos="9016"/>
            </w:tabs>
            <w:rPr>
              <w:noProof/>
              <w:sz w:val="22"/>
              <w:szCs w:val="22"/>
              <w:lang w:val="en-AU" w:eastAsia="en-AU"/>
            </w:rPr>
          </w:pPr>
          <w:hyperlink w:anchor="_Toc417502095" w:history="1">
            <w:r w:rsidR="008758B9" w:rsidRPr="00B11C3A">
              <w:rPr>
                <w:rStyle w:val="Hyperlink"/>
                <w:noProof/>
              </w:rPr>
              <w:t>Conflicts of Interest</w:t>
            </w:r>
            <w:r w:rsidR="008758B9">
              <w:rPr>
                <w:noProof/>
                <w:webHidden/>
              </w:rPr>
              <w:tab/>
            </w:r>
            <w:r w:rsidR="00E13392">
              <w:rPr>
                <w:noProof/>
                <w:webHidden/>
              </w:rPr>
              <w:fldChar w:fldCharType="begin"/>
            </w:r>
            <w:r w:rsidR="008758B9">
              <w:rPr>
                <w:noProof/>
                <w:webHidden/>
              </w:rPr>
              <w:instrText xml:space="preserve"> PAGEREF _Toc417502095 \h </w:instrText>
            </w:r>
            <w:r w:rsidR="00E13392">
              <w:rPr>
                <w:noProof/>
                <w:webHidden/>
              </w:rPr>
            </w:r>
            <w:r w:rsidR="00E13392">
              <w:rPr>
                <w:noProof/>
                <w:webHidden/>
              </w:rPr>
              <w:fldChar w:fldCharType="separate"/>
            </w:r>
            <w:r w:rsidR="008758B9">
              <w:rPr>
                <w:noProof/>
                <w:webHidden/>
              </w:rPr>
              <w:t>78</w:t>
            </w:r>
            <w:r w:rsidR="00E13392">
              <w:rPr>
                <w:noProof/>
                <w:webHidden/>
              </w:rPr>
              <w:fldChar w:fldCharType="end"/>
            </w:r>
          </w:hyperlink>
        </w:p>
        <w:p w:rsidR="008758B9" w:rsidRDefault="00E010EE">
          <w:pPr>
            <w:pStyle w:val="TOC1"/>
            <w:tabs>
              <w:tab w:val="right" w:leader="dot" w:pos="9016"/>
            </w:tabs>
            <w:rPr>
              <w:noProof/>
              <w:sz w:val="22"/>
              <w:szCs w:val="22"/>
              <w:lang w:val="en-AU" w:eastAsia="en-AU"/>
            </w:rPr>
          </w:pPr>
          <w:hyperlink w:anchor="_Toc417502096" w:history="1">
            <w:r w:rsidR="008758B9" w:rsidRPr="00B11C3A">
              <w:rPr>
                <w:rStyle w:val="Hyperlink"/>
                <w:noProof/>
              </w:rPr>
              <w:t>Acknowledgements</w:t>
            </w:r>
            <w:r w:rsidR="008758B9">
              <w:rPr>
                <w:noProof/>
                <w:webHidden/>
              </w:rPr>
              <w:tab/>
            </w:r>
            <w:r w:rsidR="00E13392">
              <w:rPr>
                <w:noProof/>
                <w:webHidden/>
              </w:rPr>
              <w:fldChar w:fldCharType="begin"/>
            </w:r>
            <w:r w:rsidR="008758B9">
              <w:rPr>
                <w:noProof/>
                <w:webHidden/>
              </w:rPr>
              <w:instrText xml:space="preserve"> PAGEREF _Toc417502096 \h </w:instrText>
            </w:r>
            <w:r w:rsidR="00E13392">
              <w:rPr>
                <w:noProof/>
                <w:webHidden/>
              </w:rPr>
            </w:r>
            <w:r w:rsidR="00E13392">
              <w:rPr>
                <w:noProof/>
                <w:webHidden/>
              </w:rPr>
              <w:fldChar w:fldCharType="separate"/>
            </w:r>
            <w:r w:rsidR="008758B9">
              <w:rPr>
                <w:noProof/>
                <w:webHidden/>
              </w:rPr>
              <w:t>79</w:t>
            </w:r>
            <w:r w:rsidR="00E13392">
              <w:rPr>
                <w:noProof/>
                <w:webHidden/>
              </w:rPr>
              <w:fldChar w:fldCharType="end"/>
            </w:r>
          </w:hyperlink>
        </w:p>
        <w:p w:rsidR="008758B9" w:rsidRDefault="00E010EE">
          <w:pPr>
            <w:pStyle w:val="TOC1"/>
            <w:tabs>
              <w:tab w:val="right" w:leader="dot" w:pos="9016"/>
            </w:tabs>
            <w:rPr>
              <w:noProof/>
              <w:sz w:val="22"/>
              <w:szCs w:val="22"/>
              <w:lang w:val="en-AU" w:eastAsia="en-AU"/>
            </w:rPr>
          </w:pPr>
          <w:hyperlink w:anchor="_Toc417502097" w:history="1">
            <w:r w:rsidR="008758B9" w:rsidRPr="00B11C3A">
              <w:rPr>
                <w:rStyle w:val="Hyperlink"/>
                <w:noProof/>
                <w:lang w:val="en-GB"/>
              </w:rPr>
              <w:t>References</w:t>
            </w:r>
            <w:r w:rsidR="008758B9">
              <w:rPr>
                <w:noProof/>
                <w:webHidden/>
              </w:rPr>
              <w:tab/>
            </w:r>
            <w:r w:rsidR="00E13392">
              <w:rPr>
                <w:noProof/>
                <w:webHidden/>
              </w:rPr>
              <w:fldChar w:fldCharType="begin"/>
            </w:r>
            <w:r w:rsidR="008758B9">
              <w:rPr>
                <w:noProof/>
                <w:webHidden/>
              </w:rPr>
              <w:instrText xml:space="preserve"> PAGEREF _Toc417502097 \h </w:instrText>
            </w:r>
            <w:r w:rsidR="00E13392">
              <w:rPr>
                <w:noProof/>
                <w:webHidden/>
              </w:rPr>
            </w:r>
            <w:r w:rsidR="00E13392">
              <w:rPr>
                <w:noProof/>
                <w:webHidden/>
              </w:rPr>
              <w:fldChar w:fldCharType="separate"/>
            </w:r>
            <w:r w:rsidR="008758B9">
              <w:rPr>
                <w:noProof/>
                <w:webHidden/>
              </w:rPr>
              <w:t>80</w:t>
            </w:r>
            <w:r w:rsidR="00E13392">
              <w:rPr>
                <w:noProof/>
                <w:webHidden/>
              </w:rPr>
              <w:fldChar w:fldCharType="end"/>
            </w:r>
          </w:hyperlink>
        </w:p>
        <w:p w:rsidR="008758B9" w:rsidRDefault="00E010EE">
          <w:pPr>
            <w:pStyle w:val="TOC1"/>
            <w:tabs>
              <w:tab w:val="right" w:leader="dot" w:pos="9016"/>
            </w:tabs>
            <w:rPr>
              <w:noProof/>
              <w:sz w:val="22"/>
              <w:szCs w:val="22"/>
              <w:lang w:val="en-AU" w:eastAsia="en-AU"/>
            </w:rPr>
          </w:pPr>
          <w:hyperlink w:anchor="_Toc417502098" w:history="1">
            <w:r w:rsidR="008758B9" w:rsidRPr="00B11C3A">
              <w:rPr>
                <w:rStyle w:val="Hyperlink"/>
                <w:noProof/>
              </w:rPr>
              <w:t xml:space="preserve">List of </w:t>
            </w:r>
            <w:r w:rsidR="008758B9" w:rsidRPr="00B11C3A">
              <w:rPr>
                <w:rStyle w:val="Hyperlink"/>
                <w:noProof/>
                <w:lang w:val="en-GB"/>
              </w:rPr>
              <w:t>Appendices</w:t>
            </w:r>
            <w:r w:rsidR="008758B9">
              <w:rPr>
                <w:noProof/>
                <w:webHidden/>
              </w:rPr>
              <w:tab/>
            </w:r>
            <w:r w:rsidR="00E13392">
              <w:rPr>
                <w:noProof/>
                <w:webHidden/>
              </w:rPr>
              <w:fldChar w:fldCharType="begin"/>
            </w:r>
            <w:r w:rsidR="008758B9">
              <w:rPr>
                <w:noProof/>
                <w:webHidden/>
              </w:rPr>
              <w:instrText xml:space="preserve"> PAGEREF _Toc417502098 \h </w:instrText>
            </w:r>
            <w:r w:rsidR="00E13392">
              <w:rPr>
                <w:noProof/>
                <w:webHidden/>
              </w:rPr>
            </w:r>
            <w:r w:rsidR="00E13392">
              <w:rPr>
                <w:noProof/>
                <w:webHidden/>
              </w:rPr>
              <w:fldChar w:fldCharType="separate"/>
            </w:r>
            <w:r w:rsidR="008758B9">
              <w:rPr>
                <w:noProof/>
                <w:webHidden/>
              </w:rPr>
              <w:t>101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099" w:history="1">
            <w:r w:rsidR="008758B9" w:rsidRPr="00B11C3A">
              <w:rPr>
                <w:rStyle w:val="Hyperlink"/>
                <w:noProof/>
                <w:lang w:val="en-GB"/>
              </w:rPr>
              <w:t>Appendix 1: Estimating Human Exposure to Climate Change (for Figures 2.2-2.5)</w:t>
            </w:r>
            <w:r w:rsidR="008758B9">
              <w:rPr>
                <w:noProof/>
                <w:webHidden/>
              </w:rPr>
              <w:tab/>
            </w:r>
            <w:r w:rsidR="00E13392">
              <w:rPr>
                <w:noProof/>
                <w:webHidden/>
              </w:rPr>
              <w:fldChar w:fldCharType="begin"/>
            </w:r>
            <w:r w:rsidR="008758B9">
              <w:rPr>
                <w:noProof/>
                <w:webHidden/>
              </w:rPr>
              <w:instrText xml:space="preserve"> PAGEREF _Toc417502099 \h </w:instrText>
            </w:r>
            <w:r w:rsidR="00E13392">
              <w:rPr>
                <w:noProof/>
                <w:webHidden/>
              </w:rPr>
            </w:r>
            <w:r w:rsidR="00E13392">
              <w:rPr>
                <w:noProof/>
                <w:webHidden/>
              </w:rPr>
              <w:fldChar w:fldCharType="separate"/>
            </w:r>
            <w:r w:rsidR="008758B9">
              <w:rPr>
                <w:noProof/>
                <w:webHidden/>
              </w:rPr>
              <w:t>101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100" w:history="1">
            <w:r w:rsidR="008758B9" w:rsidRPr="00B11C3A">
              <w:rPr>
                <w:rStyle w:val="Hyperlink"/>
                <w:noProof/>
                <w:lang w:val="en-GB"/>
              </w:rPr>
              <w:t>Appendix 2: UK Household Energy Efficiency and Health Impact</w:t>
            </w:r>
            <w:r w:rsidR="008758B9">
              <w:rPr>
                <w:noProof/>
                <w:webHidden/>
              </w:rPr>
              <w:tab/>
            </w:r>
            <w:r w:rsidR="00E13392">
              <w:rPr>
                <w:noProof/>
                <w:webHidden/>
              </w:rPr>
              <w:fldChar w:fldCharType="begin"/>
            </w:r>
            <w:r w:rsidR="008758B9">
              <w:rPr>
                <w:noProof/>
                <w:webHidden/>
              </w:rPr>
              <w:instrText xml:space="preserve"> PAGEREF _Toc417502100 \h </w:instrText>
            </w:r>
            <w:r w:rsidR="00E13392">
              <w:rPr>
                <w:noProof/>
                <w:webHidden/>
              </w:rPr>
            </w:r>
            <w:r w:rsidR="00E13392">
              <w:rPr>
                <w:noProof/>
                <w:webHidden/>
              </w:rPr>
              <w:fldChar w:fldCharType="separate"/>
            </w:r>
            <w:r w:rsidR="008758B9">
              <w:rPr>
                <w:noProof/>
                <w:webHidden/>
              </w:rPr>
              <w:t>101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101" w:history="1">
            <w:r w:rsidR="008758B9" w:rsidRPr="00B11C3A">
              <w:rPr>
                <w:rStyle w:val="Hyperlink"/>
                <w:noProof/>
                <w:lang w:val="en-GB"/>
              </w:rPr>
              <w:t>Appendix 3: The Cost of Ambient Air Pollution in China</w:t>
            </w:r>
            <w:r w:rsidR="008758B9">
              <w:rPr>
                <w:noProof/>
                <w:webHidden/>
              </w:rPr>
              <w:tab/>
            </w:r>
            <w:r w:rsidR="00E13392">
              <w:rPr>
                <w:noProof/>
                <w:webHidden/>
              </w:rPr>
              <w:fldChar w:fldCharType="begin"/>
            </w:r>
            <w:r w:rsidR="008758B9">
              <w:rPr>
                <w:noProof/>
                <w:webHidden/>
              </w:rPr>
              <w:instrText xml:space="preserve"> PAGEREF _Toc417502101 \h </w:instrText>
            </w:r>
            <w:r w:rsidR="00E13392">
              <w:rPr>
                <w:noProof/>
                <w:webHidden/>
              </w:rPr>
            </w:r>
            <w:r w:rsidR="00E13392">
              <w:rPr>
                <w:noProof/>
                <w:webHidden/>
              </w:rPr>
              <w:fldChar w:fldCharType="separate"/>
            </w:r>
            <w:r w:rsidR="008758B9">
              <w:rPr>
                <w:noProof/>
                <w:webHidden/>
              </w:rPr>
              <w:t>101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102" w:history="1">
            <w:r w:rsidR="008758B9" w:rsidRPr="00B11C3A">
              <w:rPr>
                <w:rStyle w:val="Hyperlink"/>
                <w:noProof/>
                <w:lang w:val="en-GB"/>
              </w:rPr>
              <w:t>Appendix 4: Climate-Smart Development – Adding up the Benefits</w:t>
            </w:r>
            <w:r w:rsidR="008758B9">
              <w:rPr>
                <w:noProof/>
                <w:webHidden/>
              </w:rPr>
              <w:tab/>
            </w:r>
            <w:r w:rsidR="00E13392">
              <w:rPr>
                <w:noProof/>
                <w:webHidden/>
              </w:rPr>
              <w:fldChar w:fldCharType="begin"/>
            </w:r>
            <w:r w:rsidR="008758B9">
              <w:rPr>
                <w:noProof/>
                <w:webHidden/>
              </w:rPr>
              <w:instrText xml:space="preserve"> PAGEREF _Toc417502102 \h </w:instrText>
            </w:r>
            <w:r w:rsidR="00E13392">
              <w:rPr>
                <w:noProof/>
                <w:webHidden/>
              </w:rPr>
            </w:r>
            <w:r w:rsidR="00E13392">
              <w:rPr>
                <w:noProof/>
                <w:webHidden/>
              </w:rPr>
              <w:fldChar w:fldCharType="separate"/>
            </w:r>
            <w:r w:rsidR="008758B9">
              <w:rPr>
                <w:noProof/>
                <w:webHidden/>
              </w:rPr>
              <w:t>101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103" w:history="1">
            <w:r w:rsidR="008758B9" w:rsidRPr="00B11C3A">
              <w:rPr>
                <w:rStyle w:val="Hyperlink"/>
                <w:noProof/>
                <w:lang w:val="en-GB"/>
              </w:rPr>
              <w:t>Appendix 5: ‘Enter the Dragon – The Chinese ETS Pilots’</w:t>
            </w:r>
            <w:r w:rsidR="008758B9">
              <w:rPr>
                <w:noProof/>
                <w:webHidden/>
              </w:rPr>
              <w:tab/>
            </w:r>
            <w:r w:rsidR="00E13392">
              <w:rPr>
                <w:noProof/>
                <w:webHidden/>
              </w:rPr>
              <w:fldChar w:fldCharType="begin"/>
            </w:r>
            <w:r w:rsidR="008758B9">
              <w:rPr>
                <w:noProof/>
                <w:webHidden/>
              </w:rPr>
              <w:instrText xml:space="preserve"> PAGEREF _Toc417502103 \h </w:instrText>
            </w:r>
            <w:r w:rsidR="00E13392">
              <w:rPr>
                <w:noProof/>
                <w:webHidden/>
              </w:rPr>
            </w:r>
            <w:r w:rsidR="00E13392">
              <w:rPr>
                <w:noProof/>
                <w:webHidden/>
              </w:rPr>
              <w:fldChar w:fldCharType="separate"/>
            </w:r>
            <w:r w:rsidR="008758B9">
              <w:rPr>
                <w:noProof/>
                <w:webHidden/>
              </w:rPr>
              <w:t>101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104" w:history="1">
            <w:r w:rsidR="008758B9" w:rsidRPr="00B11C3A">
              <w:rPr>
                <w:rStyle w:val="Hyperlink"/>
                <w:noProof/>
                <w:lang w:val="en-GB"/>
              </w:rPr>
              <w:t>Appendix 6: ‘Feed-in Tariffs – Rolling-out Renewables’</w:t>
            </w:r>
            <w:r w:rsidR="008758B9">
              <w:rPr>
                <w:noProof/>
                <w:webHidden/>
              </w:rPr>
              <w:tab/>
            </w:r>
            <w:r w:rsidR="00E13392">
              <w:rPr>
                <w:noProof/>
                <w:webHidden/>
              </w:rPr>
              <w:fldChar w:fldCharType="begin"/>
            </w:r>
            <w:r w:rsidR="008758B9">
              <w:rPr>
                <w:noProof/>
                <w:webHidden/>
              </w:rPr>
              <w:instrText xml:space="preserve"> PAGEREF _Toc417502104 \h </w:instrText>
            </w:r>
            <w:r w:rsidR="00E13392">
              <w:rPr>
                <w:noProof/>
                <w:webHidden/>
              </w:rPr>
            </w:r>
            <w:r w:rsidR="00E13392">
              <w:rPr>
                <w:noProof/>
                <w:webHidden/>
              </w:rPr>
              <w:fldChar w:fldCharType="separate"/>
            </w:r>
            <w:r w:rsidR="008758B9">
              <w:rPr>
                <w:noProof/>
                <w:webHidden/>
              </w:rPr>
              <w:t>101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105" w:history="1">
            <w:r w:rsidR="008758B9" w:rsidRPr="00B11C3A">
              <w:rPr>
                <w:rStyle w:val="Hyperlink"/>
                <w:noProof/>
                <w:lang w:val="en-GB"/>
              </w:rPr>
              <w:t>Appendix 7: ‘Climate Bonds’ – A Key Tool in Attracting Institutional Investor Finance</w:t>
            </w:r>
            <w:r w:rsidR="008758B9">
              <w:rPr>
                <w:noProof/>
                <w:webHidden/>
              </w:rPr>
              <w:tab/>
            </w:r>
            <w:r w:rsidR="00E13392">
              <w:rPr>
                <w:noProof/>
                <w:webHidden/>
              </w:rPr>
              <w:fldChar w:fldCharType="begin"/>
            </w:r>
            <w:r w:rsidR="008758B9">
              <w:rPr>
                <w:noProof/>
                <w:webHidden/>
              </w:rPr>
              <w:instrText xml:space="preserve"> PAGEREF _Toc417502105 \h </w:instrText>
            </w:r>
            <w:r w:rsidR="00E13392">
              <w:rPr>
                <w:noProof/>
                <w:webHidden/>
              </w:rPr>
            </w:r>
            <w:r w:rsidR="00E13392">
              <w:rPr>
                <w:noProof/>
                <w:webHidden/>
              </w:rPr>
              <w:fldChar w:fldCharType="separate"/>
            </w:r>
            <w:r w:rsidR="008758B9">
              <w:rPr>
                <w:noProof/>
                <w:webHidden/>
              </w:rPr>
              <w:t>101</w:t>
            </w:r>
            <w:r w:rsidR="00E13392">
              <w:rPr>
                <w:noProof/>
                <w:webHidden/>
              </w:rPr>
              <w:fldChar w:fldCharType="end"/>
            </w:r>
          </w:hyperlink>
        </w:p>
        <w:p w:rsidR="008758B9" w:rsidRDefault="00E010EE">
          <w:pPr>
            <w:pStyle w:val="TOC2"/>
            <w:tabs>
              <w:tab w:val="right" w:leader="dot" w:pos="9016"/>
            </w:tabs>
            <w:rPr>
              <w:noProof/>
              <w:sz w:val="22"/>
              <w:szCs w:val="22"/>
              <w:lang w:val="en-AU" w:eastAsia="en-AU"/>
            </w:rPr>
          </w:pPr>
          <w:hyperlink w:anchor="_Toc417502106" w:history="1">
            <w:r w:rsidR="008758B9" w:rsidRPr="00B11C3A">
              <w:rPr>
                <w:rStyle w:val="Hyperlink"/>
                <w:noProof/>
                <w:lang w:val="en-GB"/>
              </w:rPr>
              <w:t>Appendix 8: Tobacco Control and Vested Interest – A Lesson from Recent History</w:t>
            </w:r>
            <w:r w:rsidR="008758B9">
              <w:rPr>
                <w:noProof/>
                <w:webHidden/>
              </w:rPr>
              <w:tab/>
            </w:r>
            <w:r w:rsidR="00E13392">
              <w:rPr>
                <w:noProof/>
                <w:webHidden/>
              </w:rPr>
              <w:fldChar w:fldCharType="begin"/>
            </w:r>
            <w:r w:rsidR="008758B9">
              <w:rPr>
                <w:noProof/>
                <w:webHidden/>
              </w:rPr>
              <w:instrText xml:space="preserve"> PAGEREF _Toc417502106 \h </w:instrText>
            </w:r>
            <w:r w:rsidR="00E13392">
              <w:rPr>
                <w:noProof/>
                <w:webHidden/>
              </w:rPr>
            </w:r>
            <w:r w:rsidR="00E13392">
              <w:rPr>
                <w:noProof/>
                <w:webHidden/>
              </w:rPr>
              <w:fldChar w:fldCharType="separate"/>
            </w:r>
            <w:r w:rsidR="008758B9">
              <w:rPr>
                <w:noProof/>
                <w:webHidden/>
              </w:rPr>
              <w:t>101</w:t>
            </w:r>
            <w:r w:rsidR="00E13392">
              <w:rPr>
                <w:noProof/>
                <w:webHidden/>
              </w:rPr>
              <w:fldChar w:fldCharType="end"/>
            </w:r>
          </w:hyperlink>
        </w:p>
        <w:p w:rsidR="00646778" w:rsidRDefault="00E13392">
          <w:r>
            <w:rPr>
              <w:b/>
              <w:bCs/>
              <w:noProof/>
            </w:rPr>
            <w:fldChar w:fldCharType="end"/>
          </w:r>
        </w:p>
      </w:sdtContent>
    </w:sdt>
    <w:p w:rsidR="00076B51" w:rsidRDefault="00076B51">
      <w:pPr>
        <w:spacing w:after="160" w:line="259" w:lineRule="auto"/>
        <w:rPr>
          <w:rFonts w:ascii="Calibri" w:hAnsi="Calibri" w:cs="Times New Roman"/>
          <w:sz w:val="26"/>
          <w:lang w:val="en-GB"/>
        </w:rPr>
      </w:pPr>
      <w:r>
        <w:rPr>
          <w:rFonts w:ascii="Calibri" w:hAnsi="Calibri" w:cs="Times New Roman"/>
          <w:sz w:val="26"/>
          <w:lang w:val="en-GB"/>
        </w:rPr>
        <w:br w:type="page"/>
      </w:r>
    </w:p>
    <w:p w:rsidR="00646778" w:rsidRDefault="00FF08CB" w:rsidP="00646778">
      <w:pPr>
        <w:pStyle w:val="Heading1"/>
        <w:rPr>
          <w:lang w:val="en-GB"/>
        </w:rPr>
      </w:pPr>
      <w:bookmarkStart w:id="1" w:name="_Toc415931362"/>
      <w:bookmarkStart w:id="2" w:name="_Toc417502027"/>
      <w:r>
        <w:rPr>
          <w:lang w:val="en-GB"/>
        </w:rPr>
        <w:lastRenderedPageBreak/>
        <w:t>Executive Summary</w:t>
      </w:r>
      <w:r w:rsidR="00646778">
        <w:rPr>
          <w:lang w:val="en-GB"/>
        </w:rPr>
        <w:t xml:space="preserve"> – </w:t>
      </w:r>
      <w:r w:rsidR="00B807A0">
        <w:rPr>
          <w:lang w:val="en-GB"/>
        </w:rPr>
        <w:t xml:space="preserve">2015 </w:t>
      </w:r>
      <w:r w:rsidR="00646778">
        <w:rPr>
          <w:lang w:val="en-GB"/>
        </w:rPr>
        <w:t>Lancet Commission on Health and Climate Change</w:t>
      </w:r>
      <w:bookmarkEnd w:id="1"/>
      <w:bookmarkEnd w:id="2"/>
    </w:p>
    <w:p w:rsidR="00646778" w:rsidRPr="00E62A9C" w:rsidRDefault="00F72F76" w:rsidP="00F72F76">
      <w:pPr>
        <w:tabs>
          <w:tab w:val="left" w:pos="7300"/>
        </w:tabs>
        <w:rPr>
          <w:sz w:val="22"/>
          <w:szCs w:val="22"/>
          <w:lang w:val="en-GB"/>
        </w:rPr>
      </w:pPr>
      <w:r>
        <w:rPr>
          <w:lang w:val="en-GB"/>
        </w:rPr>
        <w:tab/>
      </w:r>
    </w:p>
    <w:p w:rsidR="00C0266B" w:rsidRDefault="00C0266B" w:rsidP="00C0266B">
      <w:pPr>
        <w:tabs>
          <w:tab w:val="left" w:pos="7300"/>
        </w:tabs>
        <w:rPr>
          <w:sz w:val="22"/>
          <w:szCs w:val="22"/>
          <w:lang w:val="en-GB"/>
        </w:rPr>
      </w:pPr>
      <w:r>
        <w:rPr>
          <w:lang w:val="en-GB"/>
        </w:rPr>
        <w:tab/>
      </w:r>
    </w:p>
    <w:p w:rsidR="00C967CD" w:rsidRDefault="00C967CD" w:rsidP="00C967CD">
      <w:pPr>
        <w:rPr>
          <w:sz w:val="22"/>
          <w:szCs w:val="22"/>
          <w:lang w:val="en-GB"/>
        </w:rPr>
      </w:pPr>
      <w:r>
        <w:rPr>
          <w:sz w:val="22"/>
          <w:szCs w:val="22"/>
          <w:lang w:val="en-GB"/>
        </w:rPr>
        <w:t xml:space="preserve">The 2015 Lancet Commission on Health and Climate Change was formed </w:t>
      </w:r>
      <w:r w:rsidR="005F1610">
        <w:rPr>
          <w:sz w:val="22"/>
          <w:szCs w:val="22"/>
          <w:lang w:val="en-GB"/>
        </w:rPr>
        <w:t xml:space="preserve">to map out the impacts of climate change, and the necessary policy responses, </w:t>
      </w:r>
      <w:r>
        <w:rPr>
          <w:sz w:val="22"/>
          <w:szCs w:val="22"/>
          <w:lang w:val="en-GB"/>
        </w:rPr>
        <w:t xml:space="preserve">in order to ensure the highest attainable standards of health for populations worldwide. This Commission is multidisciplinary and international in nature, with strong collaboration between academic centres in Europe and China. </w:t>
      </w:r>
    </w:p>
    <w:p w:rsidR="00C967CD" w:rsidRDefault="00C967CD" w:rsidP="00C967CD">
      <w:pPr>
        <w:rPr>
          <w:rFonts w:ascii="Calibri" w:hAnsi="Calibri"/>
          <w:sz w:val="22"/>
          <w:szCs w:val="22"/>
        </w:rPr>
      </w:pPr>
    </w:p>
    <w:p w:rsidR="00C967CD" w:rsidRDefault="00C967CD" w:rsidP="00C967CD">
      <w:pPr>
        <w:rPr>
          <w:sz w:val="22"/>
          <w:szCs w:val="22"/>
          <w:lang w:val="en-GB"/>
        </w:rPr>
      </w:pPr>
      <w:r>
        <w:rPr>
          <w:rFonts w:ascii="Calibri" w:hAnsi="Calibri"/>
          <w:sz w:val="22"/>
          <w:szCs w:val="22"/>
        </w:rPr>
        <w:t xml:space="preserve">The central finding from the Commission’s work, is that </w:t>
      </w:r>
      <w:r>
        <w:rPr>
          <w:rFonts w:ascii="Calibri" w:hAnsi="Calibri"/>
          <w:b/>
          <w:sz w:val="22"/>
          <w:szCs w:val="22"/>
        </w:rPr>
        <w:t>tackling climate change could be the greatest global health opportunity of the 21</w:t>
      </w:r>
      <w:r>
        <w:rPr>
          <w:rFonts w:ascii="Calibri" w:hAnsi="Calibri"/>
          <w:b/>
          <w:sz w:val="22"/>
          <w:szCs w:val="22"/>
          <w:vertAlign w:val="superscript"/>
        </w:rPr>
        <w:t>st</w:t>
      </w:r>
      <w:r>
        <w:rPr>
          <w:rFonts w:ascii="Calibri" w:hAnsi="Calibri"/>
          <w:b/>
          <w:sz w:val="22"/>
          <w:szCs w:val="22"/>
        </w:rPr>
        <w:t xml:space="preserve"> century.</w:t>
      </w:r>
      <w:r>
        <w:rPr>
          <w:rFonts w:ascii="Calibri" w:hAnsi="Calibri"/>
          <w:b/>
          <w:i/>
          <w:sz w:val="22"/>
          <w:szCs w:val="22"/>
        </w:rPr>
        <w:t xml:space="preserve"> </w:t>
      </w:r>
      <w:r>
        <w:rPr>
          <w:rFonts w:ascii="Calibri" w:hAnsi="Calibri"/>
          <w:sz w:val="22"/>
          <w:szCs w:val="22"/>
        </w:rPr>
        <w:t>The key messages from the Commission are summarized below</w:t>
      </w:r>
      <w:r w:rsidR="00741892">
        <w:rPr>
          <w:rFonts w:ascii="Calibri" w:hAnsi="Calibri"/>
          <w:sz w:val="22"/>
          <w:szCs w:val="22"/>
        </w:rPr>
        <w:t>, accompanied by ten underlying recommendations to accelerate action in the next five years</w:t>
      </w:r>
      <w:r w:rsidR="005F1610">
        <w:rPr>
          <w:sz w:val="22"/>
          <w:szCs w:val="22"/>
          <w:lang w:val="en-GB"/>
        </w:rPr>
        <w:t>.</w:t>
      </w:r>
    </w:p>
    <w:p w:rsidR="00C967CD" w:rsidRDefault="00C967CD" w:rsidP="00C967CD">
      <w:pPr>
        <w:rPr>
          <w:sz w:val="22"/>
          <w:szCs w:val="22"/>
          <w:lang w:val="en-GB"/>
        </w:rPr>
      </w:pPr>
    </w:p>
    <w:p w:rsidR="00C967CD" w:rsidRDefault="005F1610" w:rsidP="006A7DE4">
      <w:pPr>
        <w:pStyle w:val="Heading6"/>
        <w:rPr>
          <w:lang w:val="en-GB"/>
        </w:rPr>
      </w:pPr>
      <w:r>
        <w:rPr>
          <w:lang w:val="en-GB"/>
        </w:rPr>
        <w:t xml:space="preserve">The effects of </w:t>
      </w:r>
      <w:r w:rsidR="00C967CD">
        <w:rPr>
          <w:lang w:val="en-GB"/>
        </w:rPr>
        <w:t>climate change are being felt today,</w:t>
      </w:r>
      <w:r>
        <w:rPr>
          <w:lang w:val="en-GB"/>
        </w:rPr>
        <w:t xml:space="preserve"> and future projections </w:t>
      </w:r>
      <w:r w:rsidR="00C967CD">
        <w:rPr>
          <w:lang w:val="en-GB"/>
        </w:rPr>
        <w:t>pose an unacceptably high and potentially catastrophic risk to human health</w:t>
      </w:r>
    </w:p>
    <w:p w:rsidR="00C967CD" w:rsidRDefault="00C967CD" w:rsidP="00C967CD">
      <w:pPr>
        <w:rPr>
          <w:sz w:val="22"/>
          <w:szCs w:val="22"/>
          <w:lang w:val="en-GB"/>
        </w:rPr>
      </w:pPr>
    </w:p>
    <w:p w:rsidR="00C967CD" w:rsidRPr="00C0266B" w:rsidRDefault="00C967CD" w:rsidP="00C967CD">
      <w:pPr>
        <w:rPr>
          <w:sz w:val="22"/>
          <w:szCs w:val="22"/>
          <w:lang w:val="en-GB"/>
        </w:rPr>
      </w:pPr>
      <w:r>
        <w:rPr>
          <w:sz w:val="22"/>
          <w:szCs w:val="22"/>
          <w:lang w:val="en-GB"/>
        </w:rPr>
        <w:t>The implications of climate change for a global population of nine billion threatens to undermine the last half-century of gains in development and global health. The direct effects of climate change include increased heat stress, floods, drought, and</w:t>
      </w:r>
      <w:r w:rsidR="005F1610">
        <w:rPr>
          <w:sz w:val="22"/>
          <w:szCs w:val="22"/>
          <w:lang w:val="en-GB"/>
        </w:rPr>
        <w:t xml:space="preserve"> increased</w:t>
      </w:r>
      <w:r>
        <w:rPr>
          <w:sz w:val="22"/>
          <w:szCs w:val="22"/>
          <w:lang w:val="en-GB"/>
        </w:rPr>
        <w:t xml:space="preserve"> </w:t>
      </w:r>
      <w:r w:rsidR="00CA79F2">
        <w:rPr>
          <w:sz w:val="22"/>
          <w:szCs w:val="22"/>
          <w:lang w:val="en-GB"/>
        </w:rPr>
        <w:t>frequency of intense storms</w:t>
      </w:r>
      <w:r w:rsidR="005F1610">
        <w:rPr>
          <w:sz w:val="22"/>
          <w:szCs w:val="22"/>
          <w:lang w:val="en-GB"/>
        </w:rPr>
        <w:t>, with the indirect threatening</w:t>
      </w:r>
      <w:r>
        <w:rPr>
          <w:sz w:val="22"/>
          <w:szCs w:val="22"/>
          <w:lang w:val="en-GB"/>
        </w:rPr>
        <w:t xml:space="preserve"> population health through </w:t>
      </w:r>
      <w:r w:rsidR="00E31DC3">
        <w:rPr>
          <w:sz w:val="22"/>
          <w:szCs w:val="22"/>
          <w:lang w:val="en-GB"/>
        </w:rPr>
        <w:t xml:space="preserve">adverse </w:t>
      </w:r>
      <w:r>
        <w:rPr>
          <w:sz w:val="22"/>
          <w:szCs w:val="22"/>
          <w:lang w:val="en-GB"/>
        </w:rPr>
        <w:t>changes in</w:t>
      </w:r>
      <w:r w:rsidR="00341FD1">
        <w:rPr>
          <w:sz w:val="22"/>
          <w:szCs w:val="22"/>
          <w:lang w:val="en-GB"/>
        </w:rPr>
        <w:t xml:space="preserve"> air pollution,</w:t>
      </w:r>
      <w:r w:rsidR="00E31DC3">
        <w:rPr>
          <w:sz w:val="22"/>
          <w:szCs w:val="22"/>
          <w:lang w:val="en-GB"/>
        </w:rPr>
        <w:t xml:space="preserve"> the spread of</w:t>
      </w:r>
      <w:r>
        <w:rPr>
          <w:sz w:val="22"/>
          <w:szCs w:val="22"/>
          <w:lang w:val="en-GB"/>
        </w:rPr>
        <w:t xml:space="preserve"> </w:t>
      </w:r>
      <w:r>
        <w:rPr>
          <w:rFonts w:ascii="Calibri" w:hAnsi="Calibri" w:cs="Times New Roman"/>
          <w:sz w:val="22"/>
          <w:szCs w:val="22"/>
          <w:lang w:val="en-GB"/>
        </w:rPr>
        <w:t xml:space="preserve">disease vectors, food insecurity and </w:t>
      </w:r>
      <w:r w:rsidR="00CA79F2">
        <w:rPr>
          <w:rFonts w:ascii="Calibri" w:hAnsi="Calibri" w:cs="Times New Roman"/>
          <w:sz w:val="22"/>
          <w:szCs w:val="22"/>
          <w:lang w:val="en-GB"/>
        </w:rPr>
        <w:t>under-nutrition</w:t>
      </w:r>
      <w:r>
        <w:rPr>
          <w:rFonts w:ascii="Calibri" w:hAnsi="Calibri" w:cs="Times New Roman"/>
          <w:sz w:val="22"/>
          <w:szCs w:val="22"/>
          <w:lang w:val="en-GB"/>
        </w:rPr>
        <w:t>, displacement and mental ill health.</w:t>
      </w:r>
    </w:p>
    <w:p w:rsidR="00C967CD" w:rsidRDefault="00C967CD" w:rsidP="00C967CD">
      <w:pPr>
        <w:rPr>
          <w:rFonts w:ascii="Calibri" w:hAnsi="Calibri"/>
          <w:sz w:val="22"/>
          <w:szCs w:val="22"/>
          <w:lang w:val="en-GB"/>
        </w:rPr>
      </w:pPr>
    </w:p>
    <w:p w:rsidR="00C967CD" w:rsidRDefault="00C967CD" w:rsidP="00C967CD">
      <w:pPr>
        <w:rPr>
          <w:sz w:val="22"/>
          <w:szCs w:val="22"/>
          <w:lang w:val="en-GB"/>
        </w:rPr>
      </w:pPr>
      <w:r>
        <w:rPr>
          <w:sz w:val="22"/>
          <w:szCs w:val="22"/>
          <w:lang w:val="en-GB"/>
        </w:rPr>
        <w:t xml:space="preserve">Keeping global average temperature rise to a minimum to </w:t>
      </w:r>
      <w:r w:rsidR="005F1610">
        <w:rPr>
          <w:sz w:val="22"/>
          <w:szCs w:val="22"/>
          <w:lang w:val="en-GB"/>
        </w:rPr>
        <w:t>less than 2</w:t>
      </w:r>
      <w:r w:rsidR="005F1610">
        <w:rPr>
          <w:sz w:val="22"/>
          <w:szCs w:val="22"/>
          <w:vertAlign w:val="superscript"/>
          <w:lang w:val="en-GB"/>
        </w:rPr>
        <w:t xml:space="preserve"> o</w:t>
      </w:r>
      <w:r w:rsidR="005F1610">
        <w:rPr>
          <w:sz w:val="22"/>
          <w:szCs w:val="22"/>
          <w:lang w:val="en-GB"/>
        </w:rPr>
        <w:t xml:space="preserve">C to </w:t>
      </w:r>
      <w:r>
        <w:rPr>
          <w:sz w:val="22"/>
          <w:szCs w:val="22"/>
          <w:lang w:val="en-GB"/>
        </w:rPr>
        <w:t>avoid</w:t>
      </w:r>
      <w:r w:rsidR="005F1610">
        <w:rPr>
          <w:sz w:val="22"/>
          <w:szCs w:val="22"/>
          <w:lang w:val="en-GB"/>
        </w:rPr>
        <w:t xml:space="preserve"> the</w:t>
      </w:r>
      <w:r>
        <w:rPr>
          <w:sz w:val="22"/>
          <w:szCs w:val="22"/>
          <w:lang w:val="en-GB"/>
        </w:rPr>
        <w:t xml:space="preserve"> risk of potentially catastrophic climate change impacts requires total anthropogenic CO</w:t>
      </w:r>
      <w:r>
        <w:rPr>
          <w:sz w:val="22"/>
          <w:szCs w:val="22"/>
          <w:vertAlign w:val="subscript"/>
          <w:lang w:val="en-GB"/>
        </w:rPr>
        <w:t xml:space="preserve">2 </w:t>
      </w:r>
      <w:r>
        <w:rPr>
          <w:sz w:val="22"/>
          <w:szCs w:val="22"/>
          <w:lang w:val="en-GB"/>
        </w:rPr>
        <w:t>emissions to be kept below 2900 billion tonnes (GtCO</w:t>
      </w:r>
      <w:r>
        <w:rPr>
          <w:sz w:val="22"/>
          <w:szCs w:val="22"/>
          <w:vertAlign w:val="subscript"/>
          <w:lang w:val="en-GB"/>
        </w:rPr>
        <w:t>2</w:t>
      </w:r>
      <w:r>
        <w:rPr>
          <w:sz w:val="22"/>
          <w:szCs w:val="22"/>
          <w:lang w:val="en-GB"/>
        </w:rPr>
        <w:t>)</w:t>
      </w:r>
      <w:r w:rsidR="00E31DC3">
        <w:rPr>
          <w:sz w:val="22"/>
          <w:szCs w:val="22"/>
          <w:lang w:val="en-GB"/>
        </w:rPr>
        <w:t xml:space="preserve"> by the end of the century</w:t>
      </w:r>
      <w:r>
        <w:rPr>
          <w:sz w:val="22"/>
          <w:szCs w:val="22"/>
          <w:lang w:val="en-GB"/>
        </w:rPr>
        <w:t>. As of 2011, total emissions since 1870 were a little over half of this</w:t>
      </w:r>
      <w:r w:rsidR="00CA79F2">
        <w:rPr>
          <w:sz w:val="22"/>
          <w:szCs w:val="22"/>
          <w:lang w:val="en-GB"/>
        </w:rPr>
        <w:t>, with current trends expected to exceed 2900 GtCO</w:t>
      </w:r>
      <w:r w:rsidR="00CA79F2" w:rsidRPr="009F6910">
        <w:rPr>
          <w:sz w:val="22"/>
          <w:szCs w:val="22"/>
          <w:vertAlign w:val="subscript"/>
          <w:lang w:val="en-GB"/>
        </w:rPr>
        <w:t>2</w:t>
      </w:r>
      <w:r w:rsidR="00CA79F2">
        <w:rPr>
          <w:sz w:val="22"/>
          <w:szCs w:val="22"/>
          <w:vertAlign w:val="subscript"/>
          <w:lang w:val="en-GB"/>
        </w:rPr>
        <w:t xml:space="preserve"> </w:t>
      </w:r>
      <w:r w:rsidR="00CA79F2">
        <w:rPr>
          <w:sz w:val="22"/>
          <w:szCs w:val="22"/>
          <w:lang w:val="en-GB"/>
        </w:rPr>
        <w:t xml:space="preserve">in the next </w:t>
      </w:r>
      <w:r w:rsidR="00DF6540">
        <w:rPr>
          <w:sz w:val="22"/>
          <w:szCs w:val="22"/>
          <w:lang w:val="en-GB"/>
        </w:rPr>
        <w:t xml:space="preserve">15 - </w:t>
      </w:r>
      <w:r w:rsidR="00CA79F2">
        <w:rPr>
          <w:sz w:val="22"/>
          <w:szCs w:val="22"/>
          <w:lang w:val="en-GB"/>
        </w:rPr>
        <w:t>30 years</w:t>
      </w:r>
      <w:r>
        <w:rPr>
          <w:sz w:val="22"/>
          <w:szCs w:val="22"/>
          <w:lang w:val="en-GB"/>
        </w:rPr>
        <w:t xml:space="preserve">. </w:t>
      </w:r>
      <w:r>
        <w:rPr>
          <w:sz w:val="22"/>
          <w:szCs w:val="22"/>
        </w:rPr>
        <w:t>High-end emissions projection scenarios show global average warming of 2.6-4.8 degrees</w:t>
      </w:r>
      <w:r w:rsidR="00CA79F2">
        <w:rPr>
          <w:sz w:val="22"/>
          <w:szCs w:val="22"/>
        </w:rPr>
        <w:t xml:space="preserve"> Celsius</w:t>
      </w:r>
      <w:r>
        <w:rPr>
          <w:sz w:val="22"/>
          <w:szCs w:val="22"/>
        </w:rPr>
        <w:t xml:space="preserve"> by the end of the century, with all their regional amplification and attendant impacts</w:t>
      </w:r>
      <w:r w:rsidR="005F1610">
        <w:rPr>
          <w:sz w:val="22"/>
          <w:szCs w:val="22"/>
        </w:rPr>
        <w:t>. However,</w:t>
      </w:r>
      <w:r>
        <w:rPr>
          <w:sz w:val="22"/>
          <w:szCs w:val="22"/>
        </w:rPr>
        <w:t xml:space="preserve"> current trajectories are tracking</w:t>
      </w:r>
      <w:r w:rsidR="005F1610">
        <w:rPr>
          <w:sz w:val="22"/>
          <w:szCs w:val="22"/>
        </w:rPr>
        <w:t xml:space="preserve"> well in excess of even these high-end projections</w:t>
      </w:r>
      <w:r>
        <w:rPr>
          <w:sz w:val="22"/>
          <w:szCs w:val="22"/>
        </w:rPr>
        <w:t>.</w:t>
      </w:r>
    </w:p>
    <w:p w:rsidR="00C967CD" w:rsidRDefault="00C967CD" w:rsidP="00C967CD">
      <w:pPr>
        <w:rPr>
          <w:sz w:val="22"/>
          <w:szCs w:val="22"/>
          <w:lang w:val="en-GB"/>
        </w:rPr>
      </w:pPr>
    </w:p>
    <w:p w:rsidR="00C967CD" w:rsidRDefault="00C967CD" w:rsidP="00C967CD">
      <w:pPr>
        <w:rPr>
          <w:rFonts w:ascii="Calibri" w:hAnsi="Calibri"/>
          <w:b/>
          <w:sz w:val="22"/>
          <w:szCs w:val="22"/>
          <w:lang w:val="en-GB"/>
        </w:rPr>
      </w:pPr>
    </w:p>
    <w:p w:rsidR="00C967CD" w:rsidRPr="00B807A0" w:rsidRDefault="00C967CD" w:rsidP="006A7DE4">
      <w:pPr>
        <w:pStyle w:val="Heading6"/>
      </w:pPr>
      <w:r w:rsidRPr="00B807A0">
        <w:t>Tackling climate change could be the greatest global health opportunity of the 21st century</w:t>
      </w:r>
    </w:p>
    <w:p w:rsidR="00741892" w:rsidRDefault="00741892" w:rsidP="006A7DE4">
      <w:pPr>
        <w:rPr>
          <w:rFonts w:ascii="Calibri" w:hAnsi="Calibri"/>
          <w:sz w:val="22"/>
          <w:szCs w:val="22"/>
          <w:lang w:val="en-GB"/>
        </w:rPr>
      </w:pPr>
    </w:p>
    <w:p w:rsidR="00741892" w:rsidRPr="00D74F42" w:rsidRDefault="00741892" w:rsidP="00741892">
      <w:pPr>
        <w:rPr>
          <w:sz w:val="22"/>
          <w:szCs w:val="22"/>
          <w:lang w:val="en-GB"/>
        </w:rPr>
      </w:pPr>
      <w:r w:rsidRPr="00A42E57">
        <w:rPr>
          <w:rFonts w:ascii="Calibri" w:hAnsi="Calibri"/>
          <w:sz w:val="22"/>
          <w:szCs w:val="22"/>
          <w:lang w:val="en-GB"/>
        </w:rPr>
        <w:t xml:space="preserve">Many mitigation and adaptation responses to climate change are ‘no-regret’ options, which </w:t>
      </w:r>
      <w:r w:rsidR="00341FD1">
        <w:rPr>
          <w:rFonts w:ascii="Calibri" w:hAnsi="Calibri"/>
          <w:sz w:val="22"/>
          <w:szCs w:val="22"/>
          <w:lang w:val="en-GB"/>
        </w:rPr>
        <w:t xml:space="preserve">lead to direct reductions in the burden of ill-health, </w:t>
      </w:r>
      <w:r w:rsidRPr="00A42E57">
        <w:rPr>
          <w:rFonts w:ascii="Calibri" w:hAnsi="Calibri"/>
          <w:sz w:val="22"/>
          <w:szCs w:val="22"/>
          <w:lang w:val="en-GB"/>
        </w:rPr>
        <w:t>enhance</w:t>
      </w:r>
      <w:r w:rsidRPr="00A42E57">
        <w:rPr>
          <w:sz w:val="22"/>
          <w:szCs w:val="22"/>
          <w:lang w:val="en-GB"/>
        </w:rPr>
        <w:t xml:space="preserve"> community resilience, alleviate poverty and address global inequity. </w:t>
      </w:r>
      <w:r w:rsidRPr="00D74F42">
        <w:rPr>
          <w:sz w:val="22"/>
          <w:szCs w:val="22"/>
          <w:lang w:val="en-GB"/>
        </w:rPr>
        <w:t xml:space="preserve">These benefits are realised in part by ensuring that countries are unconstrained by climate change, </w:t>
      </w:r>
      <w:r w:rsidR="007C661E">
        <w:rPr>
          <w:sz w:val="22"/>
          <w:szCs w:val="22"/>
          <w:lang w:val="en-GB"/>
        </w:rPr>
        <w:t>enabling them to achieve</w:t>
      </w:r>
      <w:r w:rsidRPr="00A42E57">
        <w:rPr>
          <w:sz w:val="22"/>
          <w:szCs w:val="22"/>
          <w:lang w:val="en-GB"/>
        </w:rPr>
        <w:t xml:space="preserve"> better health and wellbeing for their populations. </w:t>
      </w:r>
      <w:r w:rsidR="00341FD1">
        <w:rPr>
          <w:sz w:val="22"/>
          <w:szCs w:val="22"/>
          <w:lang w:val="en-GB"/>
        </w:rPr>
        <w:t xml:space="preserve">These strategies will also </w:t>
      </w:r>
      <w:r w:rsidRPr="00D74F42">
        <w:rPr>
          <w:sz w:val="22"/>
          <w:szCs w:val="22"/>
          <w:lang w:val="en-GB"/>
        </w:rPr>
        <w:t>reduce pressures on national health budgets, delivering potentially large cost savings, and enabling investments in stronger, more resilient health systems.</w:t>
      </w:r>
    </w:p>
    <w:p w:rsidR="001A4C37" w:rsidRPr="00D74F42" w:rsidRDefault="001A4C37" w:rsidP="00C967CD">
      <w:pPr>
        <w:rPr>
          <w:rFonts w:ascii="Calibri" w:hAnsi="Calibri"/>
          <w:sz w:val="22"/>
          <w:szCs w:val="22"/>
          <w:lang w:val="en-GB"/>
        </w:rPr>
      </w:pPr>
    </w:p>
    <w:p w:rsidR="00741892" w:rsidRPr="00D74F42" w:rsidRDefault="00741892" w:rsidP="00C967CD">
      <w:pPr>
        <w:rPr>
          <w:rFonts w:ascii="Calibri" w:hAnsi="Calibri"/>
          <w:sz w:val="22"/>
          <w:szCs w:val="22"/>
          <w:lang w:val="en-GB"/>
        </w:rPr>
      </w:pPr>
      <w:r w:rsidRPr="00D74F42">
        <w:rPr>
          <w:rFonts w:ascii="Calibri" w:hAnsi="Calibri"/>
          <w:sz w:val="22"/>
          <w:szCs w:val="22"/>
          <w:lang w:val="en-GB"/>
        </w:rPr>
        <w:t>In the next five years, governments must:</w:t>
      </w:r>
    </w:p>
    <w:p w:rsidR="00741892" w:rsidRPr="006A7DE4" w:rsidRDefault="001A4C37" w:rsidP="006A7DE4">
      <w:pPr>
        <w:pStyle w:val="ListParagraph"/>
        <w:numPr>
          <w:ilvl w:val="0"/>
          <w:numId w:val="22"/>
        </w:numPr>
        <w:textAlignment w:val="center"/>
        <w:rPr>
          <w:rFonts w:ascii="Calibri" w:eastAsia="Times New Roman" w:hAnsi="Calibri" w:cs="Times New Roman"/>
          <w:color w:val="000000"/>
          <w:sz w:val="22"/>
          <w:szCs w:val="22"/>
          <w:shd w:val="clear" w:color="auto" w:fill="FFFFFF"/>
          <w:lang w:val="en-AU" w:eastAsia="en-AU"/>
        </w:rPr>
      </w:pPr>
      <w:r w:rsidRPr="006A7DE4">
        <w:rPr>
          <w:rFonts w:ascii="Calibri" w:eastAsia="Times New Roman" w:hAnsi="Calibri" w:cs="Times New Roman"/>
          <w:b/>
          <w:i/>
          <w:color w:val="000000"/>
          <w:sz w:val="22"/>
          <w:szCs w:val="22"/>
          <w:shd w:val="clear" w:color="auto" w:fill="FFFFFF"/>
          <w:lang w:eastAsia="en-AU"/>
        </w:rPr>
        <w:t>Invest in climate change and public health research, monitoring and surveillance</w:t>
      </w:r>
      <w:r w:rsidRPr="006A7DE4">
        <w:rPr>
          <w:rFonts w:ascii="Calibri" w:eastAsia="Times New Roman" w:hAnsi="Calibri" w:cs="Times New Roman"/>
          <w:color w:val="000000"/>
          <w:sz w:val="22"/>
          <w:szCs w:val="22"/>
          <w:shd w:val="clear" w:color="auto" w:fill="FFFFFF"/>
          <w:lang w:eastAsia="en-AU"/>
        </w:rPr>
        <w:t xml:space="preserve"> in order to ensure a better understanding of the adaptation needs and the potential health co-benefits of climate mitigation at the local and national level.</w:t>
      </w:r>
    </w:p>
    <w:p w:rsidR="001A4C37" w:rsidRPr="006A7DE4" w:rsidRDefault="001A4C37" w:rsidP="001A4C37">
      <w:pPr>
        <w:pStyle w:val="ListParagraph"/>
        <w:numPr>
          <w:ilvl w:val="0"/>
          <w:numId w:val="22"/>
        </w:numPr>
        <w:textAlignment w:val="center"/>
        <w:rPr>
          <w:rFonts w:ascii="Calibri" w:eastAsia="Times New Roman" w:hAnsi="Calibri" w:cs="Times New Roman"/>
          <w:color w:val="000000"/>
          <w:sz w:val="22"/>
          <w:szCs w:val="22"/>
          <w:shd w:val="clear" w:color="auto" w:fill="FFFFFF"/>
          <w:lang w:eastAsia="en-AU"/>
        </w:rPr>
      </w:pPr>
      <w:r w:rsidRPr="006A7DE4">
        <w:rPr>
          <w:rFonts w:ascii="Calibri" w:eastAsia="Times New Roman" w:hAnsi="Calibri" w:cs="Times New Roman"/>
          <w:b/>
          <w:i/>
          <w:color w:val="000000"/>
          <w:sz w:val="22"/>
          <w:szCs w:val="22"/>
          <w:shd w:val="clear" w:color="auto" w:fill="FFFFFF"/>
          <w:lang w:eastAsia="en-AU"/>
        </w:rPr>
        <w:t>Scale-up financing for climate resilient health systems world-wide.</w:t>
      </w:r>
      <w:r w:rsidRPr="006A7DE4">
        <w:rPr>
          <w:rFonts w:ascii="Calibri" w:eastAsia="Times New Roman" w:hAnsi="Calibri" w:cs="Times New Roman"/>
          <w:color w:val="000000"/>
          <w:sz w:val="22"/>
          <w:szCs w:val="22"/>
          <w:shd w:val="clear" w:color="auto" w:fill="FFFFFF"/>
          <w:lang w:eastAsia="en-AU"/>
        </w:rPr>
        <w:t xml:space="preserve"> Donor countries must support measures which reduce the impacts of climate change on human wellbeing</w:t>
      </w:r>
      <w:r w:rsidR="006657F3">
        <w:rPr>
          <w:rFonts w:ascii="Calibri" w:eastAsia="Times New Roman" w:hAnsi="Calibri" w:cs="Times New Roman"/>
          <w:color w:val="000000"/>
          <w:sz w:val="22"/>
          <w:szCs w:val="22"/>
          <w:shd w:val="clear" w:color="auto" w:fill="FFFFFF"/>
          <w:lang w:eastAsia="en-AU"/>
        </w:rPr>
        <w:t xml:space="preserve"> and support adaptation</w:t>
      </w:r>
      <w:r w:rsidRPr="006A7DE4">
        <w:rPr>
          <w:rFonts w:ascii="Calibri" w:eastAsia="Times New Roman" w:hAnsi="Calibri" w:cs="Times New Roman"/>
          <w:color w:val="000000"/>
          <w:sz w:val="22"/>
          <w:szCs w:val="22"/>
          <w:shd w:val="clear" w:color="auto" w:fill="FFFFFF"/>
          <w:lang w:eastAsia="en-AU"/>
        </w:rPr>
        <w:t xml:space="preserve">. This must </w:t>
      </w:r>
      <w:r w:rsidR="007C661E">
        <w:rPr>
          <w:rFonts w:ascii="Calibri" w:eastAsia="Times New Roman" w:hAnsi="Calibri" w:cs="Times New Roman"/>
          <w:color w:val="000000"/>
          <w:sz w:val="22"/>
          <w:szCs w:val="22"/>
          <w:shd w:val="clear" w:color="auto" w:fill="FFFFFF"/>
          <w:lang w:eastAsia="en-AU"/>
        </w:rPr>
        <w:t>enable the strengthening of</w:t>
      </w:r>
      <w:r w:rsidRPr="006A7DE4">
        <w:rPr>
          <w:rFonts w:ascii="Calibri" w:eastAsia="Times New Roman" w:hAnsi="Calibri" w:cs="Times New Roman"/>
          <w:color w:val="000000"/>
          <w:sz w:val="22"/>
          <w:szCs w:val="22"/>
          <w:shd w:val="clear" w:color="auto" w:fill="FFFFFF"/>
          <w:lang w:eastAsia="en-AU"/>
        </w:rPr>
        <w:t xml:space="preserve"> health systems in low- and middle-income countries, and </w:t>
      </w:r>
      <w:r w:rsidR="007C661E">
        <w:rPr>
          <w:rFonts w:ascii="Calibri" w:eastAsia="Times New Roman" w:hAnsi="Calibri" w:cs="Times New Roman"/>
          <w:color w:val="000000"/>
          <w:sz w:val="22"/>
          <w:szCs w:val="22"/>
          <w:shd w:val="clear" w:color="auto" w:fill="FFFFFF"/>
          <w:lang w:eastAsia="en-AU"/>
        </w:rPr>
        <w:t>reduce</w:t>
      </w:r>
      <w:r w:rsidRPr="006A7DE4">
        <w:rPr>
          <w:rFonts w:ascii="Calibri" w:eastAsia="Times New Roman" w:hAnsi="Calibri" w:cs="Times New Roman"/>
          <w:color w:val="000000"/>
          <w:sz w:val="22"/>
          <w:szCs w:val="22"/>
          <w:shd w:val="clear" w:color="auto" w:fill="FFFFFF"/>
          <w:lang w:eastAsia="en-AU"/>
        </w:rPr>
        <w:t xml:space="preserve"> the environmental impact of health care.</w:t>
      </w:r>
    </w:p>
    <w:p w:rsidR="00741892" w:rsidRPr="00A42E57" w:rsidRDefault="001A4C37" w:rsidP="00A42E57">
      <w:pPr>
        <w:pStyle w:val="ListParagraph"/>
        <w:numPr>
          <w:ilvl w:val="0"/>
          <w:numId w:val="22"/>
        </w:numPr>
        <w:textAlignment w:val="center"/>
        <w:rPr>
          <w:rFonts w:ascii="Calibri" w:eastAsia="Times New Roman" w:hAnsi="Calibri" w:cs="Times New Roman"/>
          <w:color w:val="000000"/>
          <w:sz w:val="22"/>
          <w:szCs w:val="22"/>
          <w:shd w:val="clear" w:color="auto" w:fill="FFFFFF"/>
          <w:lang w:eastAsia="en-AU"/>
        </w:rPr>
      </w:pPr>
      <w:r w:rsidRPr="006A7DE4">
        <w:rPr>
          <w:rFonts w:ascii="Calibri" w:eastAsia="Times New Roman" w:hAnsi="Calibri" w:cs="Times New Roman"/>
          <w:b/>
          <w:i/>
          <w:color w:val="000000"/>
          <w:sz w:val="22"/>
          <w:szCs w:val="22"/>
          <w:shd w:val="clear" w:color="auto" w:fill="FFFFFF"/>
          <w:lang w:eastAsia="en-AU"/>
        </w:rPr>
        <w:lastRenderedPageBreak/>
        <w:t xml:space="preserve">Protect cardiovascular and respiratory health by </w:t>
      </w:r>
      <w:r w:rsidR="00A53B5E">
        <w:rPr>
          <w:rFonts w:ascii="Calibri" w:eastAsia="Times New Roman" w:hAnsi="Calibri" w:cs="Times New Roman"/>
          <w:b/>
          <w:i/>
          <w:color w:val="000000"/>
          <w:sz w:val="22"/>
          <w:szCs w:val="22"/>
          <w:shd w:val="clear" w:color="auto" w:fill="FFFFFF"/>
          <w:lang w:eastAsia="en-AU"/>
        </w:rPr>
        <w:t>ensuring</w:t>
      </w:r>
      <w:r w:rsidR="00A53B5E" w:rsidRPr="006A7DE4">
        <w:rPr>
          <w:rFonts w:ascii="Calibri" w:eastAsia="Times New Roman" w:hAnsi="Calibri" w:cs="Times New Roman"/>
          <w:b/>
          <w:i/>
          <w:color w:val="000000"/>
          <w:sz w:val="22"/>
          <w:szCs w:val="22"/>
          <w:shd w:val="clear" w:color="auto" w:fill="FFFFFF"/>
          <w:lang w:eastAsia="en-AU"/>
        </w:rPr>
        <w:t xml:space="preserve"> </w:t>
      </w:r>
      <w:r w:rsidRPr="006A7DE4">
        <w:rPr>
          <w:rFonts w:ascii="Calibri" w:eastAsia="Times New Roman" w:hAnsi="Calibri" w:cs="Times New Roman"/>
          <w:b/>
          <w:i/>
          <w:color w:val="000000"/>
          <w:sz w:val="22"/>
          <w:szCs w:val="22"/>
          <w:shd w:val="clear" w:color="auto" w:fill="FFFFFF"/>
          <w:lang w:eastAsia="en-AU"/>
        </w:rPr>
        <w:t>a rapid phase out of coal from the global energy mix.</w:t>
      </w:r>
      <w:r w:rsidRPr="006A7DE4">
        <w:rPr>
          <w:sz w:val="22"/>
          <w:szCs w:val="22"/>
        </w:rPr>
        <w:t xml:space="preserve"> </w:t>
      </w:r>
      <w:r w:rsidRPr="006A7DE4">
        <w:rPr>
          <w:rFonts w:ascii="Calibri" w:eastAsia="Times New Roman" w:hAnsi="Calibri" w:cs="Times New Roman"/>
          <w:color w:val="000000"/>
          <w:sz w:val="22"/>
          <w:szCs w:val="22"/>
          <w:shd w:val="clear" w:color="auto" w:fill="FFFFFF"/>
          <w:lang w:eastAsia="en-AU"/>
        </w:rPr>
        <w:t xml:space="preserve">Many of the 1,200 coal-fired plants currently proposed for construction globally should be replaced with healthier, </w:t>
      </w:r>
      <w:r w:rsidR="00533334">
        <w:rPr>
          <w:rFonts w:ascii="Calibri" w:eastAsia="Times New Roman" w:hAnsi="Calibri" w:cs="Times New Roman"/>
          <w:color w:val="000000"/>
          <w:sz w:val="22"/>
          <w:szCs w:val="22"/>
          <w:shd w:val="clear" w:color="auto" w:fill="FFFFFF"/>
          <w:lang w:eastAsia="en-AU"/>
        </w:rPr>
        <w:t>cleaner</w:t>
      </w:r>
      <w:r w:rsidR="00533334" w:rsidRPr="006A7DE4">
        <w:rPr>
          <w:rFonts w:ascii="Calibri" w:eastAsia="Times New Roman" w:hAnsi="Calibri" w:cs="Times New Roman"/>
          <w:color w:val="000000"/>
          <w:sz w:val="22"/>
          <w:szCs w:val="22"/>
          <w:shd w:val="clear" w:color="auto" w:fill="FFFFFF"/>
          <w:lang w:eastAsia="en-AU"/>
        </w:rPr>
        <w:t xml:space="preserve"> </w:t>
      </w:r>
      <w:r w:rsidRPr="006A7DE4">
        <w:rPr>
          <w:rFonts w:ascii="Calibri" w:eastAsia="Times New Roman" w:hAnsi="Calibri" w:cs="Times New Roman"/>
          <w:color w:val="000000"/>
          <w:sz w:val="22"/>
          <w:szCs w:val="22"/>
          <w:shd w:val="clear" w:color="auto" w:fill="FFFFFF"/>
          <w:lang w:eastAsia="en-AU"/>
        </w:rPr>
        <w:t>energy alterna</w:t>
      </w:r>
      <w:r w:rsidRPr="00A42E57">
        <w:rPr>
          <w:rFonts w:ascii="Calibri" w:eastAsia="Times New Roman" w:hAnsi="Calibri" w:cs="Times New Roman"/>
          <w:color w:val="000000"/>
          <w:sz w:val="22"/>
          <w:szCs w:val="22"/>
          <w:shd w:val="clear" w:color="auto" w:fill="FFFFFF"/>
          <w:lang w:eastAsia="en-AU"/>
        </w:rPr>
        <w:t>tives.</w:t>
      </w:r>
      <w:r w:rsidR="002C2862">
        <w:rPr>
          <w:rFonts w:ascii="Calibri" w:eastAsia="Times New Roman" w:hAnsi="Calibri" w:cs="Times New Roman"/>
          <w:color w:val="000000"/>
          <w:sz w:val="22"/>
          <w:szCs w:val="22"/>
          <w:shd w:val="clear" w:color="auto" w:fill="FFFFFF"/>
          <w:lang w:eastAsia="en-AU"/>
        </w:rPr>
        <w:t xml:space="preserve"> As part of the transition from renewable energy, there will be a cautious transitional role for natural gas.</w:t>
      </w:r>
      <w:r w:rsidRPr="00A42E57">
        <w:rPr>
          <w:rFonts w:ascii="Calibri" w:eastAsia="Times New Roman" w:hAnsi="Calibri" w:cs="Times New Roman"/>
          <w:color w:val="000000"/>
          <w:sz w:val="22"/>
          <w:szCs w:val="22"/>
          <w:shd w:val="clear" w:color="auto" w:fill="FFFFFF"/>
          <w:lang w:eastAsia="en-AU"/>
        </w:rPr>
        <w:t xml:space="preserve"> </w:t>
      </w:r>
      <w:r w:rsidR="002C2862">
        <w:rPr>
          <w:rFonts w:ascii="Calibri" w:eastAsia="Times New Roman" w:hAnsi="Calibri" w:cs="Times New Roman"/>
          <w:color w:val="000000"/>
          <w:sz w:val="22"/>
          <w:szCs w:val="22"/>
          <w:shd w:val="clear" w:color="auto" w:fill="FFFFFF"/>
          <w:lang w:eastAsia="en-AU"/>
        </w:rPr>
        <w:t>The phase out of coal</w:t>
      </w:r>
      <w:r w:rsidRPr="00A42E57">
        <w:rPr>
          <w:rFonts w:ascii="Calibri" w:eastAsia="Times New Roman" w:hAnsi="Calibri" w:cs="Times New Roman"/>
          <w:color w:val="000000"/>
          <w:sz w:val="22"/>
          <w:szCs w:val="22"/>
          <w:shd w:val="clear" w:color="auto" w:fill="FFFFFF"/>
          <w:lang w:eastAsia="en-AU"/>
        </w:rPr>
        <w:t xml:space="preserve"> must form part of an early and decisive </w:t>
      </w:r>
      <w:r w:rsidRPr="006A7DE4">
        <w:rPr>
          <w:rFonts w:ascii="Calibri" w:eastAsia="Times New Roman" w:hAnsi="Calibri" w:cs="Times New Roman"/>
          <w:color w:val="000000"/>
          <w:sz w:val="22"/>
          <w:szCs w:val="22"/>
          <w:shd w:val="clear" w:color="auto" w:fill="FFFFFF"/>
          <w:lang w:eastAsia="en-AU"/>
        </w:rPr>
        <w:t>policy package</w:t>
      </w:r>
      <w:r w:rsidRPr="00A42E57">
        <w:rPr>
          <w:rFonts w:ascii="Calibri" w:eastAsia="Times New Roman" w:hAnsi="Calibri" w:cs="Times New Roman"/>
          <w:color w:val="000000"/>
          <w:sz w:val="22"/>
          <w:szCs w:val="22"/>
          <w:shd w:val="clear" w:color="auto" w:fill="FFFFFF"/>
          <w:lang w:eastAsia="en-AU"/>
        </w:rPr>
        <w:t xml:space="preserve"> which targets</w:t>
      </w:r>
      <w:r>
        <w:rPr>
          <w:rFonts w:ascii="Calibri" w:eastAsia="Times New Roman" w:hAnsi="Calibri" w:cs="Times New Roman"/>
          <w:color w:val="000000"/>
          <w:sz w:val="22"/>
          <w:szCs w:val="22"/>
          <w:shd w:val="clear" w:color="auto" w:fill="FFFFFF"/>
          <w:lang w:eastAsia="en-AU"/>
        </w:rPr>
        <w:t xml:space="preserve"> air pollution from</w:t>
      </w:r>
      <w:r w:rsidRPr="006A7DE4">
        <w:rPr>
          <w:rFonts w:ascii="Calibri" w:eastAsia="Times New Roman" w:hAnsi="Calibri" w:cs="Times New Roman"/>
          <w:color w:val="000000"/>
          <w:sz w:val="22"/>
          <w:szCs w:val="22"/>
          <w:shd w:val="clear" w:color="auto" w:fill="FFFFFF"/>
          <w:lang w:eastAsia="en-AU"/>
        </w:rPr>
        <w:t xml:space="preserve"> the transport, agriculture, and energy sectors, and aim</w:t>
      </w:r>
      <w:r>
        <w:rPr>
          <w:rFonts w:ascii="Calibri" w:eastAsia="Times New Roman" w:hAnsi="Calibri" w:cs="Times New Roman"/>
          <w:color w:val="000000"/>
          <w:sz w:val="22"/>
          <w:szCs w:val="22"/>
          <w:shd w:val="clear" w:color="auto" w:fill="FFFFFF"/>
          <w:lang w:eastAsia="en-AU"/>
        </w:rPr>
        <w:t>s</w:t>
      </w:r>
      <w:r w:rsidRPr="006A7DE4">
        <w:rPr>
          <w:rFonts w:ascii="Calibri" w:eastAsia="Times New Roman" w:hAnsi="Calibri" w:cs="Times New Roman"/>
          <w:color w:val="000000"/>
          <w:sz w:val="22"/>
          <w:szCs w:val="22"/>
          <w:shd w:val="clear" w:color="auto" w:fill="FFFFFF"/>
          <w:lang w:eastAsia="en-AU"/>
        </w:rPr>
        <w:t xml:space="preserve"> to reduce the health burden of particulate matter (especially PM</w:t>
      </w:r>
      <w:r w:rsidRPr="006A7DE4">
        <w:rPr>
          <w:rFonts w:ascii="Calibri" w:eastAsia="Times New Roman" w:hAnsi="Calibri" w:cs="Times New Roman"/>
          <w:color w:val="000000"/>
          <w:sz w:val="22"/>
          <w:szCs w:val="22"/>
          <w:shd w:val="clear" w:color="auto" w:fill="FFFFFF"/>
          <w:vertAlign w:val="subscript"/>
          <w:lang w:eastAsia="en-AU"/>
        </w:rPr>
        <w:t>2.5</w:t>
      </w:r>
      <w:r w:rsidRPr="006A7DE4">
        <w:rPr>
          <w:rFonts w:ascii="Calibri" w:eastAsia="Times New Roman" w:hAnsi="Calibri" w:cs="Times New Roman"/>
          <w:color w:val="000000"/>
          <w:sz w:val="22"/>
          <w:szCs w:val="22"/>
          <w:shd w:val="clear" w:color="auto" w:fill="FFFFFF"/>
          <w:lang w:eastAsia="en-AU"/>
        </w:rPr>
        <w:t>) and short-lived climate pollutants, thus yielding immediate gains for society.</w:t>
      </w:r>
    </w:p>
    <w:p w:rsidR="001A4C37" w:rsidRPr="006A7DE4" w:rsidRDefault="007C661E" w:rsidP="00A42E57">
      <w:pPr>
        <w:pStyle w:val="ListParagraph"/>
        <w:numPr>
          <w:ilvl w:val="0"/>
          <w:numId w:val="22"/>
        </w:numPr>
        <w:textAlignment w:val="center"/>
        <w:rPr>
          <w:rFonts w:ascii="Calibri" w:eastAsia="Times New Roman" w:hAnsi="Calibri" w:cs="Times New Roman"/>
          <w:color w:val="000000"/>
          <w:sz w:val="22"/>
          <w:szCs w:val="22"/>
          <w:shd w:val="clear" w:color="auto" w:fill="FFFFFF"/>
          <w:lang w:eastAsia="en-AU"/>
        </w:rPr>
      </w:pPr>
      <w:r w:rsidRPr="006A7DE4">
        <w:rPr>
          <w:rFonts w:ascii="Calibri" w:eastAsia="Times New Roman" w:hAnsi="Calibri" w:cs="Times New Roman"/>
          <w:b/>
          <w:i/>
          <w:color w:val="000000"/>
          <w:sz w:val="22"/>
          <w:szCs w:val="22"/>
          <w:shd w:val="clear" w:color="auto" w:fill="FFFFFF"/>
          <w:lang w:eastAsia="en-AU"/>
        </w:rPr>
        <w:t>Encourage a transition to cities that</w:t>
      </w:r>
      <w:r w:rsidR="001A4C37" w:rsidRPr="006A7DE4">
        <w:rPr>
          <w:rFonts w:ascii="Calibri" w:eastAsia="Times New Roman" w:hAnsi="Calibri" w:cs="Times New Roman"/>
          <w:b/>
          <w:i/>
          <w:color w:val="000000"/>
          <w:sz w:val="22"/>
          <w:szCs w:val="22"/>
          <w:shd w:val="clear" w:color="auto" w:fill="FFFFFF"/>
          <w:lang w:eastAsia="en-AU"/>
        </w:rPr>
        <w:t xml:space="preserve"> support and promote lifestyles which are healthy for the individual and for the planet.</w:t>
      </w:r>
      <w:r w:rsidR="001A4C37" w:rsidRPr="006A7DE4">
        <w:rPr>
          <w:rFonts w:ascii="Calibri" w:eastAsia="Times New Roman" w:hAnsi="Calibri" w:cs="Times New Roman"/>
          <w:color w:val="000000"/>
          <w:sz w:val="22"/>
          <w:szCs w:val="22"/>
          <w:shd w:val="clear" w:color="auto" w:fill="FFFFFF"/>
          <w:lang w:eastAsia="en-AU"/>
        </w:rPr>
        <w:t xml:space="preserve"> This should include </w:t>
      </w:r>
      <w:r>
        <w:rPr>
          <w:rFonts w:ascii="Calibri" w:eastAsia="Times New Roman" w:hAnsi="Calibri" w:cs="Times New Roman"/>
          <w:color w:val="000000"/>
          <w:sz w:val="22"/>
          <w:szCs w:val="22"/>
          <w:shd w:val="clear" w:color="auto" w:fill="FFFFFF"/>
          <w:lang w:eastAsia="en-AU"/>
        </w:rPr>
        <w:t>developing</w:t>
      </w:r>
      <w:r w:rsidR="001A4C37" w:rsidRPr="006A7DE4">
        <w:rPr>
          <w:rFonts w:ascii="Calibri" w:eastAsia="Times New Roman" w:hAnsi="Calibri" w:cs="Times New Roman"/>
          <w:color w:val="000000"/>
          <w:sz w:val="22"/>
          <w:szCs w:val="22"/>
          <w:shd w:val="clear" w:color="auto" w:fill="FFFFFF"/>
          <w:lang w:eastAsia="en-AU"/>
        </w:rPr>
        <w:t xml:space="preserve"> a highly energy efficient </w:t>
      </w:r>
      <w:r w:rsidR="00A53B5E">
        <w:rPr>
          <w:rFonts w:ascii="Calibri" w:eastAsia="Times New Roman" w:hAnsi="Calibri" w:cs="Times New Roman"/>
          <w:color w:val="000000"/>
          <w:sz w:val="22"/>
          <w:szCs w:val="22"/>
          <w:shd w:val="clear" w:color="auto" w:fill="FFFFFF"/>
          <w:lang w:eastAsia="en-AU"/>
        </w:rPr>
        <w:t>building</w:t>
      </w:r>
      <w:r w:rsidR="00A53B5E" w:rsidRPr="006A7DE4">
        <w:rPr>
          <w:rFonts w:ascii="Calibri" w:eastAsia="Times New Roman" w:hAnsi="Calibri" w:cs="Times New Roman"/>
          <w:color w:val="000000"/>
          <w:sz w:val="22"/>
          <w:szCs w:val="22"/>
          <w:shd w:val="clear" w:color="auto" w:fill="FFFFFF"/>
          <w:lang w:eastAsia="en-AU"/>
        </w:rPr>
        <w:t xml:space="preserve"> </w:t>
      </w:r>
      <w:r w:rsidR="001A4C37" w:rsidRPr="006A7DE4">
        <w:rPr>
          <w:rFonts w:ascii="Calibri" w:eastAsia="Times New Roman" w:hAnsi="Calibri" w:cs="Times New Roman"/>
          <w:color w:val="000000"/>
          <w:sz w:val="22"/>
          <w:szCs w:val="22"/>
          <w:shd w:val="clear" w:color="auto" w:fill="FFFFFF"/>
          <w:lang w:eastAsia="en-AU"/>
        </w:rPr>
        <w:t xml:space="preserve">stock; providing ease of </w:t>
      </w:r>
      <w:r w:rsidR="001A4C37">
        <w:rPr>
          <w:rFonts w:ascii="Calibri" w:eastAsia="Times New Roman" w:hAnsi="Calibri" w:cs="Times New Roman"/>
          <w:color w:val="000000"/>
          <w:sz w:val="22"/>
          <w:szCs w:val="22"/>
          <w:shd w:val="clear" w:color="auto" w:fill="FFFFFF"/>
          <w:lang w:eastAsia="en-AU"/>
        </w:rPr>
        <w:t xml:space="preserve">low-cost </w:t>
      </w:r>
      <w:r w:rsidR="001A4C37" w:rsidRPr="006A7DE4">
        <w:rPr>
          <w:rFonts w:ascii="Calibri" w:eastAsia="Times New Roman" w:hAnsi="Calibri" w:cs="Times New Roman"/>
          <w:color w:val="000000"/>
          <w:sz w:val="22"/>
          <w:szCs w:val="22"/>
          <w:shd w:val="clear" w:color="auto" w:fill="FFFFFF"/>
          <w:lang w:eastAsia="en-AU"/>
        </w:rPr>
        <w:t>active transportation; and increasing access to green spaces.  Such measures</w:t>
      </w:r>
      <w:r w:rsidR="002C2862">
        <w:rPr>
          <w:rFonts w:ascii="Calibri" w:eastAsia="Times New Roman" w:hAnsi="Calibri" w:cs="Times New Roman"/>
          <w:color w:val="000000"/>
          <w:sz w:val="22"/>
          <w:szCs w:val="22"/>
          <w:shd w:val="clear" w:color="auto" w:fill="FFFFFF"/>
          <w:lang w:eastAsia="en-AU"/>
        </w:rPr>
        <w:t xml:space="preserve"> improve adaptive capacity, whilst also reducing</w:t>
      </w:r>
      <w:r w:rsidR="001A4C37" w:rsidRPr="006A7DE4">
        <w:rPr>
          <w:rFonts w:ascii="Calibri" w:eastAsia="Times New Roman" w:hAnsi="Calibri" w:cs="Times New Roman"/>
          <w:color w:val="000000"/>
          <w:sz w:val="22"/>
          <w:szCs w:val="22"/>
          <w:shd w:val="clear" w:color="auto" w:fill="FFFFFF"/>
          <w:lang w:eastAsia="en-AU"/>
        </w:rPr>
        <w:t xml:space="preserve"> urban pollution, greenhouse gas emissions, and rates of cardiovascular disease, cancer, obesity, diabetes, mental illness and respiratory disease.</w:t>
      </w:r>
    </w:p>
    <w:p w:rsidR="00741892" w:rsidRDefault="00741892" w:rsidP="00C967CD">
      <w:pPr>
        <w:rPr>
          <w:rFonts w:ascii="Calibri" w:hAnsi="Calibri"/>
          <w:sz w:val="22"/>
          <w:szCs w:val="22"/>
          <w:lang w:val="en-GB"/>
        </w:rPr>
      </w:pPr>
    </w:p>
    <w:p w:rsidR="00C967CD" w:rsidRDefault="00C967CD" w:rsidP="00C967CD">
      <w:pPr>
        <w:rPr>
          <w:rFonts w:ascii="Calibri" w:hAnsi="Calibri"/>
          <w:b/>
          <w:sz w:val="22"/>
          <w:szCs w:val="22"/>
          <w:lang w:val="en-GB"/>
        </w:rPr>
      </w:pPr>
    </w:p>
    <w:p w:rsidR="00C967CD" w:rsidRDefault="00C967CD" w:rsidP="006A7DE4">
      <w:pPr>
        <w:pStyle w:val="Heading6"/>
        <w:rPr>
          <w:lang w:val="en-GB"/>
        </w:rPr>
      </w:pPr>
      <w:r>
        <w:rPr>
          <w:lang w:val="en-GB"/>
        </w:rPr>
        <w:t>Achieving a decarbonised global economy and securing the public health benefits it offers is no longer primarily a technical, economic or financial question – it is now a political one.</w:t>
      </w:r>
    </w:p>
    <w:p w:rsidR="00C967CD" w:rsidRDefault="00C967CD" w:rsidP="00C967CD">
      <w:pPr>
        <w:rPr>
          <w:sz w:val="22"/>
          <w:szCs w:val="22"/>
          <w:lang w:val="en-GB"/>
        </w:rPr>
      </w:pPr>
    </w:p>
    <w:p w:rsidR="00C967CD" w:rsidRDefault="00CA79F2" w:rsidP="00C967CD">
      <w:pPr>
        <w:rPr>
          <w:sz w:val="22"/>
          <w:szCs w:val="22"/>
          <w:lang w:val="en-GB"/>
        </w:rPr>
      </w:pPr>
      <w:r>
        <w:rPr>
          <w:sz w:val="22"/>
          <w:szCs w:val="22"/>
          <w:lang w:val="en-GB"/>
        </w:rPr>
        <w:t xml:space="preserve">Bold political commitment can </w:t>
      </w:r>
      <w:r w:rsidR="00A53B5E">
        <w:rPr>
          <w:sz w:val="22"/>
          <w:szCs w:val="22"/>
          <w:lang w:val="en-GB"/>
        </w:rPr>
        <w:t>ensure that</w:t>
      </w:r>
      <w:r>
        <w:rPr>
          <w:sz w:val="22"/>
          <w:szCs w:val="22"/>
          <w:lang w:val="en-GB"/>
        </w:rPr>
        <w:t xml:space="preserve"> the</w:t>
      </w:r>
      <w:r w:rsidR="00C967CD">
        <w:rPr>
          <w:sz w:val="22"/>
          <w:szCs w:val="22"/>
          <w:lang w:val="en-GB"/>
        </w:rPr>
        <w:t xml:space="preserve"> technical expertise, technology, and finance to prevent </w:t>
      </w:r>
      <w:r>
        <w:rPr>
          <w:sz w:val="22"/>
          <w:szCs w:val="22"/>
          <w:lang w:val="en-GB"/>
        </w:rPr>
        <w:t xml:space="preserve">further </w:t>
      </w:r>
      <w:r w:rsidR="00C967CD">
        <w:rPr>
          <w:sz w:val="22"/>
          <w:szCs w:val="22"/>
          <w:lang w:val="en-GB"/>
        </w:rPr>
        <w:t>significant climate change</w:t>
      </w:r>
      <w:r w:rsidR="00A53B5E">
        <w:rPr>
          <w:sz w:val="22"/>
          <w:szCs w:val="22"/>
          <w:lang w:val="en-GB"/>
        </w:rPr>
        <w:t xml:space="preserve"> is</w:t>
      </w:r>
      <w:r>
        <w:rPr>
          <w:sz w:val="22"/>
          <w:szCs w:val="22"/>
          <w:lang w:val="en-GB"/>
        </w:rPr>
        <w:t xml:space="preserve"> </w:t>
      </w:r>
      <w:r w:rsidR="00C967CD">
        <w:rPr>
          <w:sz w:val="22"/>
          <w:szCs w:val="22"/>
          <w:lang w:val="en-GB"/>
        </w:rPr>
        <w:t>readily available, and is not a barrier to action.</w:t>
      </w:r>
    </w:p>
    <w:p w:rsidR="0097423B" w:rsidRDefault="0097423B" w:rsidP="00C967CD">
      <w:pPr>
        <w:rPr>
          <w:sz w:val="22"/>
          <w:szCs w:val="22"/>
          <w:lang w:val="en-GB"/>
        </w:rPr>
      </w:pPr>
    </w:p>
    <w:p w:rsidR="007C661E" w:rsidRDefault="007C661E" w:rsidP="00C967CD">
      <w:pPr>
        <w:rPr>
          <w:sz w:val="22"/>
          <w:szCs w:val="22"/>
          <w:lang w:val="en-GB"/>
        </w:rPr>
      </w:pPr>
      <w:r>
        <w:rPr>
          <w:sz w:val="22"/>
          <w:szCs w:val="22"/>
          <w:lang w:val="en-GB"/>
        </w:rPr>
        <w:t xml:space="preserve">In the next five years, governments </w:t>
      </w:r>
      <w:r w:rsidR="00D74F42">
        <w:rPr>
          <w:sz w:val="22"/>
          <w:szCs w:val="22"/>
          <w:lang w:val="en-GB"/>
        </w:rPr>
        <w:t>must</w:t>
      </w:r>
      <w:r>
        <w:rPr>
          <w:sz w:val="22"/>
          <w:szCs w:val="22"/>
          <w:lang w:val="en-GB"/>
        </w:rPr>
        <w:t>:</w:t>
      </w:r>
    </w:p>
    <w:p w:rsidR="00EE7716" w:rsidRDefault="007C661E" w:rsidP="006A7DE4">
      <w:pPr>
        <w:pStyle w:val="ListParagraph"/>
        <w:numPr>
          <w:ilvl w:val="0"/>
          <w:numId w:val="22"/>
        </w:numPr>
        <w:rPr>
          <w:sz w:val="22"/>
          <w:szCs w:val="22"/>
          <w:lang w:val="en-GB"/>
        </w:rPr>
      </w:pPr>
      <w:r w:rsidRPr="006A7DE4">
        <w:rPr>
          <w:b/>
          <w:i/>
          <w:sz w:val="22"/>
          <w:szCs w:val="22"/>
          <w:lang w:val="en-GB"/>
        </w:rPr>
        <w:t>Establish the framework for a strong</w:t>
      </w:r>
      <w:r w:rsidR="00B36722" w:rsidRPr="006A7DE4">
        <w:rPr>
          <w:b/>
          <w:i/>
          <w:sz w:val="22"/>
          <w:szCs w:val="22"/>
          <w:lang w:val="en-GB"/>
        </w:rPr>
        <w:t>, predictable, and</w:t>
      </w:r>
      <w:r w:rsidRPr="006A7DE4">
        <w:rPr>
          <w:b/>
          <w:i/>
          <w:sz w:val="22"/>
          <w:szCs w:val="22"/>
          <w:lang w:val="en-GB"/>
        </w:rPr>
        <w:t xml:space="preserve"> international carbon pricing mechanism</w:t>
      </w:r>
      <w:r w:rsidR="00B36722" w:rsidRPr="006A7DE4">
        <w:rPr>
          <w:b/>
          <w:i/>
          <w:sz w:val="22"/>
          <w:szCs w:val="22"/>
          <w:lang w:val="en-GB"/>
        </w:rPr>
        <w:t>.</w:t>
      </w:r>
    </w:p>
    <w:p w:rsidR="00D74F42" w:rsidRPr="006A7DE4" w:rsidRDefault="00D74F42" w:rsidP="006A7DE4">
      <w:pPr>
        <w:pStyle w:val="ListParagraph"/>
        <w:numPr>
          <w:ilvl w:val="0"/>
          <w:numId w:val="22"/>
        </w:numPr>
        <w:rPr>
          <w:sz w:val="22"/>
          <w:szCs w:val="22"/>
          <w:lang w:val="en-GB"/>
        </w:rPr>
      </w:pPr>
      <w:r w:rsidRPr="006A7DE4">
        <w:rPr>
          <w:b/>
          <w:i/>
          <w:sz w:val="22"/>
          <w:szCs w:val="22"/>
          <w:lang w:val="en-GB"/>
        </w:rPr>
        <w:t>Rapidly expand access to renewable energy in low- and middle-income countries,</w:t>
      </w:r>
      <w:r w:rsidRPr="00844FA8">
        <w:rPr>
          <w:sz w:val="22"/>
          <w:szCs w:val="22"/>
          <w:lang w:val="en-GB"/>
        </w:rPr>
        <w:t xml:space="preserve"> thus providing reliable electricity for communities and health facilities, unlocking substantial economic gains, and promoting health equity. </w:t>
      </w:r>
      <w:r w:rsidR="00B36722" w:rsidRPr="006A7DE4">
        <w:rPr>
          <w:sz w:val="22"/>
          <w:szCs w:val="22"/>
          <w:lang w:val="en-GB"/>
        </w:rPr>
        <w:t>Indeed, a global development pathway which fails to</w:t>
      </w:r>
      <w:r w:rsidRPr="00844FA8">
        <w:rPr>
          <w:sz w:val="22"/>
          <w:szCs w:val="22"/>
          <w:lang w:val="en-GB"/>
        </w:rPr>
        <w:t xml:space="preserve"> achieve this expansion</w:t>
      </w:r>
      <w:r w:rsidR="00B36722" w:rsidRPr="006A7DE4">
        <w:rPr>
          <w:sz w:val="22"/>
          <w:szCs w:val="22"/>
          <w:lang w:val="en-GB"/>
        </w:rPr>
        <w:t xml:space="preserve"> will come at a detriment</w:t>
      </w:r>
      <w:r w:rsidRPr="00844FA8">
        <w:rPr>
          <w:sz w:val="22"/>
          <w:szCs w:val="22"/>
          <w:lang w:val="en-GB"/>
        </w:rPr>
        <w:t xml:space="preserve"> to</w:t>
      </w:r>
      <w:r w:rsidR="00B36722" w:rsidRPr="006A7DE4">
        <w:rPr>
          <w:sz w:val="22"/>
          <w:szCs w:val="22"/>
          <w:lang w:val="en-GB"/>
        </w:rPr>
        <w:t xml:space="preserve"> public health, and will not achieve long-term economic growth.</w:t>
      </w:r>
    </w:p>
    <w:p w:rsidR="00B36722" w:rsidRPr="006A7DE4" w:rsidRDefault="00B36722" w:rsidP="006A7DE4">
      <w:pPr>
        <w:pStyle w:val="ListParagraph"/>
        <w:numPr>
          <w:ilvl w:val="0"/>
          <w:numId w:val="22"/>
        </w:numPr>
        <w:rPr>
          <w:sz w:val="22"/>
          <w:szCs w:val="22"/>
          <w:lang w:val="en-GB"/>
        </w:rPr>
      </w:pPr>
      <w:r w:rsidRPr="006A7DE4">
        <w:rPr>
          <w:b/>
          <w:i/>
          <w:sz w:val="22"/>
          <w:szCs w:val="22"/>
          <w:lang w:val="en-GB"/>
        </w:rPr>
        <w:t>Ensure that the health impacts of national energy policies are built-in to the government regulation and decision making processes.</w:t>
      </w:r>
      <w:r w:rsidRPr="006A7DE4">
        <w:rPr>
          <w:b/>
          <w:sz w:val="22"/>
          <w:szCs w:val="22"/>
          <w:lang w:val="en-GB"/>
        </w:rPr>
        <w:t xml:space="preserve"> </w:t>
      </w:r>
      <w:r>
        <w:rPr>
          <w:sz w:val="22"/>
          <w:szCs w:val="22"/>
          <w:lang w:val="en-GB"/>
        </w:rPr>
        <w:t>The avoided burden of disease, reduced healthcare costs, and enhanced economic productivity must be accurately quantified, with adequate local capacity and political support to develop low-carbon healthy energy choices.</w:t>
      </w:r>
    </w:p>
    <w:p w:rsidR="00C967CD" w:rsidRDefault="00A42E57" w:rsidP="006A7DE4">
      <w:pPr>
        <w:tabs>
          <w:tab w:val="left" w:pos="3250"/>
        </w:tabs>
        <w:rPr>
          <w:sz w:val="22"/>
          <w:szCs w:val="22"/>
          <w:lang w:val="en-GB"/>
        </w:rPr>
      </w:pPr>
      <w:r>
        <w:rPr>
          <w:sz w:val="22"/>
          <w:szCs w:val="22"/>
          <w:lang w:val="en-GB"/>
        </w:rPr>
        <w:tab/>
      </w:r>
    </w:p>
    <w:p w:rsidR="00C967CD" w:rsidRDefault="00C967CD" w:rsidP="00C967CD">
      <w:pPr>
        <w:rPr>
          <w:sz w:val="22"/>
          <w:szCs w:val="22"/>
          <w:lang w:val="en-GB"/>
        </w:rPr>
      </w:pPr>
    </w:p>
    <w:p w:rsidR="00A42E57" w:rsidRDefault="00A42E57" w:rsidP="006A7DE4">
      <w:pPr>
        <w:pStyle w:val="Heading6"/>
        <w:rPr>
          <w:lang w:val="en-GB"/>
        </w:rPr>
      </w:pPr>
      <w:r>
        <w:rPr>
          <w:lang w:val="en-GB"/>
        </w:rPr>
        <w:t>The health community has a vital role to play accelerating progress to tackle climate change</w:t>
      </w:r>
    </w:p>
    <w:p w:rsidR="00C967CD" w:rsidRDefault="00C967CD" w:rsidP="00C967CD">
      <w:pPr>
        <w:rPr>
          <w:sz w:val="22"/>
          <w:szCs w:val="22"/>
          <w:lang w:val="en-GB"/>
        </w:rPr>
      </w:pPr>
    </w:p>
    <w:p w:rsidR="00C967CD" w:rsidRDefault="00C967CD" w:rsidP="00C967CD">
      <w:pPr>
        <w:rPr>
          <w:sz w:val="22"/>
          <w:szCs w:val="22"/>
          <w:lang w:val="en-GB"/>
        </w:rPr>
      </w:pPr>
      <w:r>
        <w:rPr>
          <w:sz w:val="22"/>
          <w:szCs w:val="22"/>
          <w:lang w:val="en-GB"/>
        </w:rPr>
        <w:t xml:space="preserve">Health professionals have worked to protect against health threats such as tobacco HIV/AIDS and polio, and have </w:t>
      </w:r>
      <w:r w:rsidR="00E31DC3">
        <w:rPr>
          <w:sz w:val="22"/>
          <w:szCs w:val="22"/>
          <w:lang w:val="en-GB"/>
        </w:rPr>
        <w:t xml:space="preserve">often </w:t>
      </w:r>
      <w:r>
        <w:rPr>
          <w:sz w:val="22"/>
          <w:szCs w:val="22"/>
          <w:lang w:val="en-GB"/>
        </w:rPr>
        <w:t>confronted powerful entrenched interests in doing so. Likewise, they must be leaders in responding to the health threat of climate change.  A public health perspective has the potential to unite all actors behind a common cause – the health and wellbeing of our families, communities, and countries. These concepts are far more tangible and visceral than tonnes of atmospheric CO</w:t>
      </w:r>
      <w:r>
        <w:rPr>
          <w:sz w:val="22"/>
          <w:szCs w:val="22"/>
          <w:vertAlign w:val="subscript"/>
          <w:lang w:val="en-GB"/>
        </w:rPr>
        <w:t>2</w:t>
      </w:r>
      <w:r>
        <w:rPr>
          <w:sz w:val="22"/>
          <w:szCs w:val="22"/>
          <w:lang w:val="en-GB"/>
        </w:rPr>
        <w:t>, and are understood and prioritised across all populations regardless of culture or development status.</w:t>
      </w:r>
    </w:p>
    <w:p w:rsidR="00A42E57" w:rsidRDefault="00A42E57" w:rsidP="00C967CD">
      <w:pPr>
        <w:rPr>
          <w:sz w:val="22"/>
          <w:szCs w:val="22"/>
          <w:lang w:val="en-GB"/>
        </w:rPr>
      </w:pPr>
    </w:p>
    <w:p w:rsidR="00A42E57" w:rsidRDefault="00A42E57" w:rsidP="00C967CD">
      <w:pPr>
        <w:rPr>
          <w:sz w:val="22"/>
          <w:szCs w:val="22"/>
          <w:lang w:val="en-GB"/>
        </w:rPr>
      </w:pPr>
      <w:r>
        <w:rPr>
          <w:sz w:val="22"/>
          <w:szCs w:val="22"/>
          <w:lang w:val="en-GB"/>
        </w:rPr>
        <w:t xml:space="preserve">Reducing </w:t>
      </w:r>
      <w:r w:rsidR="00CA79F2">
        <w:rPr>
          <w:sz w:val="22"/>
          <w:szCs w:val="22"/>
          <w:lang w:val="en-GB"/>
        </w:rPr>
        <w:t xml:space="preserve">inequities </w:t>
      </w:r>
      <w:r>
        <w:rPr>
          <w:sz w:val="22"/>
          <w:szCs w:val="22"/>
          <w:lang w:val="en-GB"/>
        </w:rPr>
        <w:t xml:space="preserve">within and between countries is crucial to promoting climate change resilience and improving global health. Neither can be delivered without accompanying sustainable development that addresses key health determinants – access to safe water and clean air, food security, strong and accessible health systems and reductions in social and economic </w:t>
      </w:r>
      <w:r w:rsidR="00CA79F2">
        <w:rPr>
          <w:sz w:val="22"/>
          <w:szCs w:val="22"/>
          <w:lang w:val="en-GB"/>
        </w:rPr>
        <w:t>inequity</w:t>
      </w:r>
      <w:r>
        <w:rPr>
          <w:sz w:val="22"/>
          <w:szCs w:val="22"/>
          <w:lang w:val="en-GB"/>
        </w:rPr>
        <w:t xml:space="preserve">. Any </w:t>
      </w:r>
      <w:r>
        <w:rPr>
          <w:sz w:val="22"/>
          <w:szCs w:val="22"/>
          <w:lang w:val="en-GB"/>
        </w:rPr>
        <w:lastRenderedPageBreak/>
        <w:t>prioritisation in global health must therefore place sustainable development and climate change front and centre.</w:t>
      </w:r>
    </w:p>
    <w:p w:rsidR="00A42E57" w:rsidRDefault="00A42E57" w:rsidP="00C967CD">
      <w:pPr>
        <w:rPr>
          <w:sz w:val="22"/>
          <w:szCs w:val="22"/>
          <w:lang w:val="en-GB"/>
        </w:rPr>
      </w:pPr>
    </w:p>
    <w:p w:rsidR="00A42E57" w:rsidRDefault="00A42E57" w:rsidP="00C967CD">
      <w:pPr>
        <w:rPr>
          <w:sz w:val="22"/>
          <w:szCs w:val="22"/>
          <w:lang w:val="en-GB"/>
        </w:rPr>
      </w:pPr>
      <w:r>
        <w:rPr>
          <w:sz w:val="22"/>
          <w:szCs w:val="22"/>
          <w:lang w:val="en-GB"/>
        </w:rPr>
        <w:t>In the next five years, governments must:</w:t>
      </w:r>
    </w:p>
    <w:p w:rsidR="00A42E57" w:rsidRDefault="00A42E57" w:rsidP="006A7DE4">
      <w:pPr>
        <w:pStyle w:val="ListParagraph"/>
        <w:numPr>
          <w:ilvl w:val="0"/>
          <w:numId w:val="22"/>
        </w:numPr>
        <w:rPr>
          <w:sz w:val="22"/>
          <w:szCs w:val="22"/>
          <w:lang w:val="en-GB"/>
        </w:rPr>
      </w:pPr>
      <w:r w:rsidRPr="006A7DE4">
        <w:rPr>
          <w:b/>
          <w:i/>
          <w:sz w:val="22"/>
          <w:szCs w:val="22"/>
          <w:lang w:val="en-GB"/>
        </w:rPr>
        <w:t>Adopt mechanisms to facilitate collaboration between Ministries of Health and other government departments, empowering health professionals</w:t>
      </w:r>
      <w:r w:rsidRPr="00A42E57">
        <w:rPr>
          <w:sz w:val="22"/>
          <w:szCs w:val="22"/>
          <w:lang w:val="en-GB"/>
        </w:rPr>
        <w:t xml:space="preserve"> and ensuring that health and climate considerations are thoroughly integrated in government-wide strategies</w:t>
      </w:r>
      <w:r>
        <w:rPr>
          <w:sz w:val="22"/>
          <w:szCs w:val="22"/>
          <w:lang w:val="en-GB"/>
        </w:rPr>
        <w:t>. A siloed approach to protecting human health from climate change will not work. This must acknowledge and seek to address the extent to which</w:t>
      </w:r>
      <w:r w:rsidRPr="008B6A20">
        <w:rPr>
          <w:sz w:val="22"/>
          <w:szCs w:val="22"/>
          <w:lang w:val="en-GB"/>
        </w:rPr>
        <w:t xml:space="preserve"> additional global environmental changes such as deforestation, biodiversity loss and ocean acidification, </w:t>
      </w:r>
      <w:r>
        <w:rPr>
          <w:sz w:val="22"/>
          <w:szCs w:val="22"/>
          <w:lang w:val="en-GB"/>
        </w:rPr>
        <w:t xml:space="preserve">will </w:t>
      </w:r>
      <w:r w:rsidRPr="008B6A20">
        <w:rPr>
          <w:sz w:val="22"/>
          <w:szCs w:val="22"/>
          <w:lang w:val="en-GB"/>
        </w:rPr>
        <w:t>impact on human health and decrease resilience to climate change.</w:t>
      </w:r>
    </w:p>
    <w:p w:rsidR="00A42E57" w:rsidRDefault="00A42E57" w:rsidP="006A7DE4">
      <w:pPr>
        <w:pStyle w:val="ListParagraph"/>
        <w:numPr>
          <w:ilvl w:val="0"/>
          <w:numId w:val="22"/>
        </w:numPr>
        <w:rPr>
          <w:sz w:val="22"/>
          <w:szCs w:val="22"/>
          <w:lang w:val="en-GB"/>
        </w:rPr>
      </w:pPr>
      <w:r w:rsidRPr="006A7DE4">
        <w:rPr>
          <w:b/>
          <w:i/>
          <w:sz w:val="22"/>
          <w:szCs w:val="22"/>
          <w:lang w:val="en-GB"/>
        </w:rPr>
        <w:t>Agree and implement an international agreement which supports countries in transitioning to a low-carbon economy.</w:t>
      </w:r>
      <w:r w:rsidRPr="00A42E57">
        <w:rPr>
          <w:sz w:val="22"/>
          <w:szCs w:val="22"/>
          <w:lang w:val="en-GB"/>
        </w:rPr>
        <w:t xml:space="preserve"> </w:t>
      </w:r>
      <w:r>
        <w:rPr>
          <w:sz w:val="22"/>
          <w:szCs w:val="22"/>
          <w:lang w:val="en-GB"/>
        </w:rPr>
        <w:t>Whilst international climate negotiations are very complex, their goals are very simple:  they must agree on ambitious and enforceable global mitigation targets, adaptation finance to protect countries’ right to sustainable development, and the policies and mechanisms which enable these measures. To this end,</w:t>
      </w:r>
      <w:r w:rsidRPr="00A42E57">
        <w:rPr>
          <w:sz w:val="22"/>
          <w:szCs w:val="22"/>
          <w:lang w:val="en-GB"/>
        </w:rPr>
        <w:t xml:space="preserve"> </w:t>
      </w:r>
      <w:r>
        <w:rPr>
          <w:sz w:val="22"/>
          <w:szCs w:val="22"/>
          <w:lang w:val="en-GB"/>
        </w:rPr>
        <w:t xml:space="preserve">international responsibility for reducing </w:t>
      </w:r>
      <w:r w:rsidR="00CA79F2">
        <w:rPr>
          <w:sz w:val="22"/>
          <w:szCs w:val="22"/>
          <w:lang w:val="en-GB"/>
        </w:rPr>
        <w:t xml:space="preserve">GHG </w:t>
      </w:r>
      <w:r>
        <w:rPr>
          <w:sz w:val="22"/>
          <w:szCs w:val="22"/>
          <w:lang w:val="en-GB"/>
        </w:rPr>
        <w:t xml:space="preserve">emissions is shared: interventions which reduce emissions and promote global public health must be prioritised regardless of national boundaries.  </w:t>
      </w:r>
    </w:p>
    <w:p w:rsidR="00A42E57" w:rsidRDefault="00A42E57" w:rsidP="00A42E57">
      <w:pPr>
        <w:rPr>
          <w:sz w:val="22"/>
          <w:szCs w:val="22"/>
          <w:lang w:val="en-GB"/>
        </w:rPr>
      </w:pPr>
    </w:p>
    <w:p w:rsidR="00A42E57" w:rsidRDefault="00A42E57">
      <w:pPr>
        <w:rPr>
          <w:sz w:val="22"/>
          <w:szCs w:val="22"/>
          <w:lang w:val="en-GB"/>
        </w:rPr>
      </w:pPr>
    </w:p>
    <w:p w:rsidR="00A42E57" w:rsidRDefault="00A42E57">
      <w:pPr>
        <w:rPr>
          <w:sz w:val="22"/>
          <w:szCs w:val="22"/>
          <w:lang w:val="en-GB"/>
        </w:rPr>
      </w:pPr>
      <w:r>
        <w:rPr>
          <w:sz w:val="22"/>
          <w:szCs w:val="22"/>
          <w:lang w:val="en-GB"/>
        </w:rPr>
        <w:t>Responding to climate change could be the greatest global health opportunity of the 21</w:t>
      </w:r>
      <w:r w:rsidRPr="006A7DE4">
        <w:rPr>
          <w:sz w:val="22"/>
          <w:szCs w:val="22"/>
          <w:vertAlign w:val="superscript"/>
          <w:lang w:val="en-GB"/>
        </w:rPr>
        <w:t>st</w:t>
      </w:r>
      <w:r>
        <w:rPr>
          <w:sz w:val="22"/>
          <w:szCs w:val="22"/>
          <w:lang w:val="en-GB"/>
        </w:rPr>
        <w:t xml:space="preserve"> century.</w:t>
      </w:r>
    </w:p>
    <w:p w:rsidR="00A42E57" w:rsidRDefault="00A42E57">
      <w:pPr>
        <w:rPr>
          <w:sz w:val="22"/>
          <w:szCs w:val="22"/>
          <w:lang w:val="en-GB"/>
        </w:rPr>
      </w:pPr>
      <w:r>
        <w:rPr>
          <w:sz w:val="22"/>
          <w:szCs w:val="22"/>
          <w:lang w:val="en-GB"/>
        </w:rPr>
        <w:t>To help drive this transition, the 2015 Lancet Commission on Health and Climate Change will:</w:t>
      </w:r>
    </w:p>
    <w:p w:rsidR="00C967CD" w:rsidRPr="006A7DE4" w:rsidRDefault="00A42E57" w:rsidP="006A7DE4">
      <w:pPr>
        <w:pStyle w:val="ListParagraph"/>
        <w:numPr>
          <w:ilvl w:val="0"/>
          <w:numId w:val="22"/>
        </w:numPr>
        <w:rPr>
          <w:sz w:val="22"/>
          <w:szCs w:val="22"/>
          <w:lang w:val="en-GB"/>
        </w:rPr>
      </w:pPr>
      <w:r w:rsidRPr="006A7DE4">
        <w:rPr>
          <w:b/>
          <w:i/>
          <w:sz w:val="22"/>
          <w:szCs w:val="22"/>
          <w:lang w:val="en-GB"/>
        </w:rPr>
        <w:t xml:space="preserve">Develop </w:t>
      </w:r>
      <w:r w:rsidR="00C967CD" w:rsidRPr="006A7DE4">
        <w:rPr>
          <w:b/>
          <w:i/>
          <w:sz w:val="22"/>
          <w:szCs w:val="22"/>
          <w:lang w:val="en-GB"/>
        </w:rPr>
        <w:t>a</w:t>
      </w:r>
      <w:r w:rsidRPr="006A7DE4">
        <w:rPr>
          <w:b/>
          <w:i/>
          <w:sz w:val="22"/>
          <w:szCs w:val="22"/>
          <w:lang w:val="en-GB"/>
        </w:rPr>
        <w:t xml:space="preserve"> new, independent</w:t>
      </w:r>
      <w:r w:rsidR="00C967CD" w:rsidRPr="006A7DE4">
        <w:rPr>
          <w:b/>
          <w:sz w:val="22"/>
          <w:szCs w:val="22"/>
          <w:lang w:val="en-GB"/>
        </w:rPr>
        <w:t xml:space="preserve"> </w:t>
      </w:r>
      <w:r w:rsidR="00C967CD" w:rsidRPr="006A7DE4">
        <w:rPr>
          <w:b/>
          <w:i/>
          <w:sz w:val="22"/>
          <w:szCs w:val="22"/>
          <w:lang w:val="en-GB"/>
        </w:rPr>
        <w:t>Countdown</w:t>
      </w:r>
      <w:r w:rsidR="00341FD1">
        <w:rPr>
          <w:b/>
          <w:i/>
          <w:sz w:val="22"/>
          <w:szCs w:val="22"/>
          <w:lang w:val="en-GB"/>
        </w:rPr>
        <w:t xml:space="preserve"> 2030: Global Health and Climate Action</w:t>
      </w:r>
      <w:r>
        <w:rPr>
          <w:b/>
          <w:i/>
          <w:sz w:val="22"/>
          <w:szCs w:val="22"/>
          <w:lang w:val="en-GB"/>
        </w:rPr>
        <w:t>,</w:t>
      </w:r>
      <w:r w:rsidR="00C967CD" w:rsidRPr="006A7DE4">
        <w:rPr>
          <w:sz w:val="22"/>
          <w:szCs w:val="22"/>
          <w:lang w:val="en-GB"/>
        </w:rPr>
        <w:t xml:space="preserve"> to </w:t>
      </w:r>
      <w:r>
        <w:rPr>
          <w:sz w:val="22"/>
          <w:szCs w:val="22"/>
          <w:lang w:val="en-GB"/>
        </w:rPr>
        <w:t>provide expertise in implementing policies which mitigate climate change and promote public health, and to monitor progress over the next 15 years.</w:t>
      </w:r>
    </w:p>
    <w:p w:rsidR="0027290A" w:rsidRDefault="0027290A" w:rsidP="00646778">
      <w:pPr>
        <w:rPr>
          <w:lang w:val="en-GB"/>
        </w:rPr>
      </w:pPr>
    </w:p>
    <w:p w:rsidR="005E2CAA" w:rsidRDefault="005E2CAA">
      <w:pPr>
        <w:spacing w:after="160" w:line="259" w:lineRule="auto"/>
        <w:rPr>
          <w:lang w:val="en-GB"/>
        </w:rPr>
      </w:pPr>
      <w:r>
        <w:rPr>
          <w:lang w:val="en-GB"/>
        </w:rPr>
        <w:br w:type="page"/>
      </w:r>
    </w:p>
    <w:p w:rsidR="005E2CAA" w:rsidRPr="00871B26" w:rsidRDefault="008822CF" w:rsidP="00A41589">
      <w:pPr>
        <w:pStyle w:val="Heading1"/>
      </w:pPr>
      <w:bookmarkStart w:id="3" w:name="_Toc415931363"/>
      <w:bookmarkStart w:id="4" w:name="_Toc417502028"/>
      <w:r>
        <w:lastRenderedPageBreak/>
        <w:t>Introduction</w:t>
      </w:r>
      <w:bookmarkEnd w:id="3"/>
      <w:bookmarkEnd w:id="4"/>
    </w:p>
    <w:p w:rsidR="005E2CAA" w:rsidRPr="00A41589" w:rsidRDefault="005E2CAA" w:rsidP="00A41589">
      <w:pPr>
        <w:jc w:val="both"/>
        <w:rPr>
          <w:rFonts w:ascii="Calibri" w:hAnsi="Calibri"/>
        </w:rPr>
      </w:pPr>
    </w:p>
    <w:p w:rsidR="00455F3E" w:rsidRDefault="00455F3E" w:rsidP="00A41589">
      <w:pPr>
        <w:jc w:val="both"/>
        <w:rPr>
          <w:rFonts w:ascii="Calibri" w:hAnsi="Calibri"/>
          <w:sz w:val="22"/>
          <w:szCs w:val="22"/>
        </w:rPr>
      </w:pPr>
      <w:r>
        <w:rPr>
          <w:rFonts w:ascii="Calibri" w:hAnsi="Calibri"/>
          <w:sz w:val="22"/>
          <w:szCs w:val="22"/>
        </w:rPr>
        <w:t>In 2009, the UCL-Lancet Commission on Managing the Health Effects of Climate Change</w:t>
      </w:r>
      <w:r w:rsidR="00AB5DCB">
        <w:rPr>
          <w:rFonts w:ascii="Calibri" w:hAnsi="Calibri"/>
          <w:sz w:val="22"/>
          <w:szCs w:val="22"/>
        </w:rPr>
        <w:t xml:space="preserve"> called climate change “</w:t>
      </w:r>
      <w:r>
        <w:rPr>
          <w:rFonts w:ascii="Calibri" w:hAnsi="Calibri"/>
          <w:sz w:val="22"/>
          <w:szCs w:val="22"/>
        </w:rPr>
        <w:t>the biggest global health threat of the 21</w:t>
      </w:r>
      <w:r w:rsidRPr="00971EB6">
        <w:rPr>
          <w:rFonts w:ascii="Calibri" w:hAnsi="Calibri"/>
          <w:sz w:val="22"/>
          <w:szCs w:val="22"/>
          <w:vertAlign w:val="superscript"/>
        </w:rPr>
        <w:t>st</w:t>
      </w:r>
      <w:r>
        <w:rPr>
          <w:rFonts w:ascii="Calibri" w:hAnsi="Calibri"/>
          <w:sz w:val="22"/>
          <w:szCs w:val="22"/>
        </w:rPr>
        <w:t xml:space="preserve"> century”.</w:t>
      </w:r>
      <w:r w:rsidR="00E13392">
        <w:rPr>
          <w:rFonts w:ascii="Calibri" w:hAnsi="Calibri"/>
          <w:sz w:val="22"/>
          <w:szCs w:val="22"/>
        </w:rPr>
        <w:fldChar w:fldCharType="begin">
          <w:fldData xml:space="preserve">PEVuZE5vdGU+PENpdGU+PEF1dGhvcj5Db3N0ZWxsbzwvQXV0aG9yPjxZZWFyPjIwMDk8L1llYXI+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</w:fldData>
        </w:fldChar>
      </w:r>
      <w:r w:rsidR="007C661E">
        <w:rPr>
          <w:rFonts w:ascii="Calibri" w:hAnsi="Calibri"/>
          <w:sz w:val="22"/>
          <w:szCs w:val="22"/>
        </w:rPr>
        <w:instrText xml:space="preserve"> ADDIN EN.CITE </w:instrText>
      </w:r>
      <w:r w:rsidR="00E13392">
        <w:rPr>
          <w:rFonts w:ascii="Calibri" w:hAnsi="Calibri"/>
          <w:sz w:val="22"/>
          <w:szCs w:val="22"/>
        </w:rPr>
        <w:fldChar w:fldCharType="begin">
          <w:fldData xml:space="preserve">PEVuZE5vdGU+PENpdGU+PEF1dGhvcj5Db3N0ZWxsbzwvQXV0aG9yPjxZZWFyPjIwMDk8L1llYXI+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</w:fldData>
        </w:fldChar>
      </w:r>
      <w:r w:rsidR="007C661E">
        <w:rPr>
          <w:rFonts w:ascii="Calibri" w:hAnsi="Calibri"/>
          <w:sz w:val="22"/>
          <w:szCs w:val="22"/>
        </w:rPr>
        <w:instrText xml:space="preserve"> ADDIN EN.CITE.DATA </w:instrText>
      </w:r>
      <w:r w:rsidR="00E13392">
        <w:rPr>
          <w:rFonts w:ascii="Calibri" w:hAnsi="Calibri"/>
          <w:sz w:val="22"/>
          <w:szCs w:val="22"/>
        </w:rPr>
      </w:r>
      <w:r w:rsidR="00E13392">
        <w:rPr>
          <w:rFonts w:ascii="Calibri" w:hAnsi="Calibri"/>
          <w:sz w:val="22"/>
          <w:szCs w:val="22"/>
        </w:rPr>
        <w:fldChar w:fldCharType="end"/>
      </w:r>
      <w:r w:rsidR="00E13392">
        <w:rPr>
          <w:rFonts w:ascii="Calibri" w:hAnsi="Calibri"/>
          <w:sz w:val="22"/>
          <w:szCs w:val="22"/>
        </w:rPr>
      </w:r>
      <w:r w:rsidR="00E13392">
        <w:rPr>
          <w:rFonts w:ascii="Calibri" w:hAnsi="Calibri"/>
          <w:sz w:val="22"/>
          <w:szCs w:val="22"/>
        </w:rPr>
        <w:fldChar w:fldCharType="separate"/>
      </w:r>
      <w:r w:rsidR="007C661E" w:rsidRPr="007C661E">
        <w:rPr>
          <w:rFonts w:ascii="Calibri" w:hAnsi="Calibri"/>
          <w:noProof/>
          <w:sz w:val="22"/>
          <w:szCs w:val="22"/>
          <w:vertAlign w:val="superscript"/>
        </w:rPr>
        <w:t>1</w:t>
      </w:r>
      <w:r w:rsidR="00E13392">
        <w:rPr>
          <w:rFonts w:ascii="Calibri" w:hAnsi="Calibri"/>
          <w:sz w:val="22"/>
          <w:szCs w:val="22"/>
        </w:rPr>
        <w:fldChar w:fldCharType="end"/>
      </w:r>
      <w:r>
        <w:rPr>
          <w:rFonts w:ascii="Calibri" w:hAnsi="Calibri"/>
          <w:sz w:val="22"/>
          <w:szCs w:val="22"/>
        </w:rPr>
        <w:t xml:space="preserve"> </w:t>
      </w:r>
      <w:r w:rsidR="001167EE">
        <w:rPr>
          <w:rFonts w:ascii="Calibri" w:hAnsi="Calibri"/>
          <w:sz w:val="22"/>
          <w:szCs w:val="22"/>
        </w:rPr>
        <w:t xml:space="preserve">Six </w:t>
      </w:r>
      <w:r>
        <w:rPr>
          <w:rFonts w:ascii="Calibri" w:hAnsi="Calibri"/>
          <w:sz w:val="22"/>
          <w:szCs w:val="22"/>
        </w:rPr>
        <w:t>years on,</w:t>
      </w:r>
      <w:r w:rsidR="00AB5DCB">
        <w:rPr>
          <w:rFonts w:ascii="Calibri" w:hAnsi="Calibri"/>
          <w:sz w:val="22"/>
          <w:szCs w:val="22"/>
        </w:rPr>
        <w:t xml:space="preserve"> a new multidisciplinary, international Commission reaches the same conclusion, whilst adding that tackling climate change could be the greatest global opportunity of the 21</w:t>
      </w:r>
      <w:r w:rsidR="00AB5DCB" w:rsidRPr="00FD2424">
        <w:rPr>
          <w:rFonts w:ascii="Calibri" w:hAnsi="Calibri"/>
          <w:sz w:val="22"/>
          <w:szCs w:val="22"/>
          <w:vertAlign w:val="superscript"/>
        </w:rPr>
        <w:t>st</w:t>
      </w:r>
      <w:r w:rsidR="00AB5DCB">
        <w:rPr>
          <w:rFonts w:ascii="Calibri" w:hAnsi="Calibri"/>
          <w:sz w:val="22"/>
          <w:szCs w:val="22"/>
        </w:rPr>
        <w:t xml:space="preserve"> century.</w:t>
      </w:r>
      <w:r w:rsidR="00AB5DCB" w:rsidDel="00AB5DCB">
        <w:rPr>
          <w:rFonts w:ascii="Calibri" w:hAnsi="Calibri"/>
          <w:sz w:val="22"/>
          <w:szCs w:val="22"/>
        </w:rPr>
        <w:t xml:space="preserve"> </w:t>
      </w:r>
    </w:p>
    <w:p w:rsidR="00455F3E" w:rsidRDefault="00455F3E" w:rsidP="00A41589">
      <w:pPr>
        <w:jc w:val="both"/>
        <w:rPr>
          <w:rFonts w:ascii="Calibri" w:hAnsi="Calibri"/>
          <w:sz w:val="22"/>
          <w:szCs w:val="22"/>
        </w:rPr>
      </w:pPr>
    </w:p>
    <w:p w:rsidR="00B37D67" w:rsidRDefault="00AB5DCB" w:rsidP="00D120B5">
      <w:pPr>
        <w:jc w:val="both"/>
        <w:rPr>
          <w:rFonts w:ascii="Calibri" w:hAnsi="Calibri"/>
          <w:sz w:val="22"/>
          <w:szCs w:val="22"/>
        </w:rPr>
      </w:pPr>
      <w:r>
        <w:rPr>
          <w:rFonts w:ascii="Calibri" w:hAnsi="Calibri"/>
          <w:sz w:val="22"/>
          <w:szCs w:val="22"/>
        </w:rPr>
        <w:t xml:space="preserve">The Commission represents a collaboration between European and </w:t>
      </w:r>
      <w:r w:rsidR="00743366">
        <w:rPr>
          <w:rFonts w:ascii="Calibri" w:hAnsi="Calibri"/>
          <w:sz w:val="22"/>
          <w:szCs w:val="22"/>
        </w:rPr>
        <w:t>Chinese</w:t>
      </w:r>
      <w:r>
        <w:rPr>
          <w:rFonts w:ascii="Calibri" w:hAnsi="Calibri"/>
          <w:sz w:val="22"/>
          <w:szCs w:val="22"/>
        </w:rPr>
        <w:t xml:space="preserve"> climate scientists and geographers, social and environmental scientists, biodiversity experts, engineers and energy policy experts, economists, political scientists and public policy experts, and health professionals – all seeking a response to climate change which is designed to protect and promote human health.</w:t>
      </w:r>
    </w:p>
    <w:p w:rsidR="00FC76D6" w:rsidRDefault="00FC76D6" w:rsidP="00A41589">
      <w:pPr>
        <w:jc w:val="both"/>
        <w:rPr>
          <w:rFonts w:ascii="Calibri" w:hAnsi="Calibri"/>
          <w:sz w:val="22"/>
          <w:szCs w:val="22"/>
        </w:rPr>
      </w:pPr>
    </w:p>
    <w:p w:rsidR="00455F3E" w:rsidRPr="001A7027" w:rsidRDefault="00FC76D6" w:rsidP="001A7027">
      <w:pPr>
        <w:pStyle w:val="Heading2"/>
      </w:pPr>
      <w:bookmarkStart w:id="5" w:name="_Toc415931364"/>
      <w:bookmarkStart w:id="6" w:name="_Toc417502029"/>
      <w:r>
        <w:t>The Physical Basis</w:t>
      </w:r>
      <w:bookmarkEnd w:id="5"/>
      <w:bookmarkEnd w:id="6"/>
    </w:p>
    <w:p w:rsidR="00B37D67" w:rsidRPr="00A41589" w:rsidRDefault="00FC76D6" w:rsidP="00B37D67">
      <w:pPr>
        <w:jc w:val="both"/>
        <w:rPr>
          <w:rFonts w:ascii="Calibri" w:hAnsi="Calibri" w:cs="Times New Roman"/>
          <w:sz w:val="22"/>
          <w:szCs w:val="22"/>
        </w:rPr>
      </w:pPr>
      <w:r>
        <w:rPr>
          <w:rFonts w:ascii="Calibri" w:hAnsi="Calibri"/>
          <w:sz w:val="22"/>
          <w:szCs w:val="22"/>
        </w:rPr>
        <w:t xml:space="preserve">The Intergovernmental Panel on Climate Change (IPCC) has </w:t>
      </w:r>
      <w:r w:rsidR="00D120B5">
        <w:rPr>
          <w:rFonts w:ascii="Calibri" w:hAnsi="Calibri"/>
          <w:sz w:val="22"/>
          <w:szCs w:val="22"/>
        </w:rPr>
        <w:t xml:space="preserve">described </w:t>
      </w:r>
      <w:r>
        <w:rPr>
          <w:rFonts w:ascii="Calibri" w:hAnsi="Calibri"/>
          <w:sz w:val="22"/>
          <w:szCs w:val="22"/>
        </w:rPr>
        <w:t>the physical basis for, the impacts of, and the response options to climate change.</w:t>
      </w:r>
      <w:r w:rsidR="00E13392">
        <w:rPr>
          <w:rFonts w:ascii="Calibri" w:hAnsi="Calibri"/>
          <w:sz w:val="22"/>
          <w:szCs w:val="22"/>
        </w:rPr>
        <w:fldChar w:fldCharType="begin"/>
      </w:r>
      <w:r w:rsidR="007C661E">
        <w:rPr>
          <w:rFonts w:ascii="Calibri" w:hAnsi="Calibri"/>
          <w:sz w:val="22"/>
          <w:szCs w:val="22"/>
        </w:rPr>
        <w:instrText xml:space="preserve"> ADDIN EN.CITE &lt;EndNote&gt;&lt;Cite&gt;&lt;Author&gt;IPCC&lt;/Author&gt;&lt;Year&gt;2014&lt;/Year&gt;&lt;RecNum&gt;1278&lt;/RecNum&gt;&lt;DisplayText&gt;&lt;style face="superscript"&gt;2&lt;/style&gt;&lt;/DisplayText&gt;&lt;record&gt;&lt;rec-number&gt;1278&lt;/rec-number&gt;&lt;foreign-keys&gt;&lt;key app="EN" db-id="wtftd20rmszxx0ettxy5exwdf90wv22s2dsf" timestamp="1419212983"&gt;1278&lt;/key&gt;&lt;/foreign-keys&gt;&lt;ref-type name="Book Section"&gt;5&lt;/ref-type&gt;&lt;contributors&gt;&lt;authors&gt;&lt;author&gt;IPCC, 2014&lt;/author&gt;&lt;/authors&gt;&lt;secondary-authors&gt;&lt;author&gt;Field, C.B., V.R. Barros, D.J. Dokken, K.J. Mach, M.D. Mastrandrea, T.E. Bilir, M. Chatterjee, K.L. Ebi, Y.O. Estrada, R.C. Genova, B. Girma, E.S. Kissel, A.N. Levy, S. MacCracken, P.R. Mastrandrea, and L.L. White &lt;/author&gt;&lt;/secondary-authors&gt;&lt;/contributors&gt;&lt;titles&gt;&lt;title&gt;Summary for Policymakers&lt;/title&gt;&lt;secondary-title&gt;Climate Change 2014: Impacts, Adaptation, and Vulnerability. Part A: Global and Sectoral Aspects. Contribution of Working Group II to the Fifth Assessment Report of the Intergovernmental Panel on Climate Change&lt;/secondary-title&gt;&lt;/titles&gt;&lt;pages&gt; 1-32&lt;/pages&gt;&lt;dates&gt;&lt;year&gt;2014&lt;/year&gt;&lt;/dates&gt;&lt;pub-location&gt;Cambridge, United Kingdom and New York, NY, USA&lt;/pub-location&gt;&lt;publisher&gt;Cambridge University Press&lt;/publisher&gt;&lt;urls&gt;&lt;/urls&gt;&lt;/record&gt;&lt;/Cite&gt;&lt;/EndNote&gt;</w:instrText>
      </w:r>
      <w:r w:rsidR="00E13392">
        <w:rPr>
          <w:rFonts w:ascii="Calibri" w:hAnsi="Calibri"/>
          <w:sz w:val="22"/>
          <w:szCs w:val="22"/>
        </w:rPr>
        <w:fldChar w:fldCharType="separate"/>
      </w:r>
      <w:r w:rsidR="007C661E" w:rsidRPr="007C661E">
        <w:rPr>
          <w:rFonts w:ascii="Calibri" w:hAnsi="Calibri"/>
          <w:noProof/>
          <w:sz w:val="22"/>
          <w:szCs w:val="22"/>
          <w:vertAlign w:val="superscript"/>
        </w:rPr>
        <w:t>2</w:t>
      </w:r>
      <w:r w:rsidR="00E13392">
        <w:rPr>
          <w:rFonts w:ascii="Calibri" w:hAnsi="Calibri"/>
          <w:sz w:val="22"/>
          <w:szCs w:val="22"/>
        </w:rPr>
        <w:fldChar w:fldCharType="end"/>
      </w:r>
      <w:r>
        <w:rPr>
          <w:rFonts w:ascii="Calibri" w:hAnsi="Calibri"/>
          <w:sz w:val="22"/>
          <w:szCs w:val="22"/>
        </w:rPr>
        <w:t xml:space="preserve"> </w:t>
      </w:r>
      <w:r w:rsidR="00B37D67">
        <w:rPr>
          <w:rFonts w:ascii="Calibri" w:hAnsi="Calibri"/>
          <w:sz w:val="22"/>
          <w:szCs w:val="22"/>
        </w:rPr>
        <w:t xml:space="preserve">By way of summary, </w:t>
      </w:r>
      <w:r w:rsidR="00B37D67">
        <w:rPr>
          <w:rFonts w:ascii="Calibri" w:hAnsi="Calibri" w:cs="Times New Roman"/>
          <w:sz w:val="22"/>
          <w:szCs w:val="22"/>
        </w:rPr>
        <w:t>s</w:t>
      </w:r>
      <w:r w:rsidR="00B37D67" w:rsidRPr="00A41589">
        <w:rPr>
          <w:rFonts w:ascii="Calibri" w:hAnsi="Calibri" w:cs="Times New Roman"/>
          <w:sz w:val="22"/>
          <w:szCs w:val="22"/>
        </w:rPr>
        <w:t xml:space="preserve">hort-wave solar radiation passes through the Earth’s atmosphere to warm its surface, which emits longer wavelength (infrared) radiation. ‘Greenhouse gases’ (GHGs) in the atmosphere absorb this radiation and re-emit it, sharing it with other atmospheric elements, and with the </w:t>
      </w:r>
      <w:r w:rsidR="00B37D67">
        <w:rPr>
          <w:rFonts w:ascii="Calibri" w:hAnsi="Calibri" w:cs="Times New Roman"/>
          <w:sz w:val="22"/>
          <w:szCs w:val="22"/>
        </w:rPr>
        <w:t>E</w:t>
      </w:r>
      <w:r w:rsidR="00B37D67" w:rsidRPr="00A41589">
        <w:rPr>
          <w:rFonts w:ascii="Calibri" w:hAnsi="Calibri" w:cs="Times New Roman"/>
          <w:sz w:val="22"/>
          <w:szCs w:val="22"/>
        </w:rPr>
        <w:t>arth below. Without this effect, surface temperatures would be more than 30</w:t>
      </w:r>
      <w:r w:rsidR="00B37D67" w:rsidRPr="00D120B5">
        <w:rPr>
          <w:rFonts w:ascii="Calibri" w:hAnsi="Calibri" w:cs="Times New Roman"/>
          <w:sz w:val="22"/>
          <w:szCs w:val="22"/>
          <w:vertAlign w:val="superscript"/>
        </w:rPr>
        <w:t xml:space="preserve"> </w:t>
      </w:r>
      <w:r w:rsidR="00B37D67" w:rsidRPr="00AA6BF5">
        <w:rPr>
          <w:rFonts w:ascii="Calibri" w:hAnsi="Calibri" w:cs="Times New Roman"/>
          <w:sz w:val="22"/>
          <w:szCs w:val="22"/>
          <w:vertAlign w:val="superscript"/>
        </w:rPr>
        <w:t>o</w:t>
      </w:r>
      <w:r w:rsidR="00B37D67">
        <w:rPr>
          <w:rFonts w:ascii="Calibri" w:hAnsi="Calibri" w:cs="Times New Roman"/>
          <w:sz w:val="22"/>
          <w:szCs w:val="22"/>
        </w:rPr>
        <w:t>C</w:t>
      </w:r>
      <w:r w:rsidR="00B37D67" w:rsidRPr="00A41589">
        <w:rPr>
          <w:rFonts w:ascii="Calibri" w:hAnsi="Calibri" w:cs="Times New Roman"/>
          <w:sz w:val="22"/>
          <w:szCs w:val="22"/>
        </w:rPr>
        <w:t xml:space="preserve"> lower than they are today.</w:t>
      </w:r>
      <w:r w:rsidR="00E13392">
        <w:rPr>
          <w:rFonts w:ascii="Calibri" w:hAnsi="Calibri" w:cs="Times New Roman"/>
          <w:sz w:val="22"/>
          <w:szCs w:val="22"/>
        </w:rPr>
        <w:fldChar w:fldCharType="begin"/>
      </w:r>
      <w:r w:rsidR="007C661E">
        <w:rPr>
          <w:rFonts w:ascii="Calibri" w:hAnsi="Calibri" w:cs="Times New Roman"/>
          <w:sz w:val="22"/>
          <w:szCs w:val="22"/>
        </w:rPr>
        <w:instrText xml:space="preserve"> ADDIN EN.CITE &lt;EndNote&gt;&lt;Cite&gt;&lt;Author&gt;Cubasch&lt;/Author&gt;&lt;Year&gt;2013&lt;/Year&gt;&lt;RecNum&gt;1363&lt;/RecNum&gt;&lt;DisplayText&gt;&lt;style face="superscript"&gt;3&lt;/style&gt;&lt;/DisplayText&gt;&lt;record&gt;&lt;rec-number&gt;1363&lt;/rec-number&gt;&lt;foreign-keys&gt;&lt;key app="EN" db-id="wtftd20rmszxx0ettxy5exwdf90wv22s2dsf" timestamp="1419250239"&gt;1363&lt;/key&gt;&lt;/foreign-keys&gt;&lt;ref-type name="Book Section"&gt;5&lt;/ref-type&gt;&lt;contributors&gt;&lt;authors&gt;&lt;author&gt;U. Cubasch&lt;/author&gt;&lt;author&gt;D. Wuebbles&lt;/author&gt;&lt;author&gt;D. Chen&lt;/author&gt;&lt;author&gt;M.C. Facchini&lt;/author&gt;&lt;author&gt;D. Frame&lt;/author&gt;&lt;author&gt;N. Mahowald&lt;/author&gt;&lt;author&gt;J.-G. Winther&lt;/author&gt;&lt;/authors&gt;&lt;secondary-authors&gt;&lt;author&gt;T.F. Stocker&lt;/author&gt;&lt;author&gt;D. Qin&lt;/author&gt;&lt;author&gt;G.-K. Plattner&lt;/author&gt;&lt;author&gt;M. Tignor&lt;/author&gt;&lt;author&gt;S.K. Allen&lt;/author&gt;&lt;author&gt;J. Boschung&lt;/author&gt;&lt;author&gt;A. Nauels&lt;/author&gt;&lt;author&gt;Y. Xia&lt;/author&gt;&lt;author&gt;V. Bex&lt;/author&gt;&lt;author&gt;P.M. Midgley&lt;/author&gt;&lt;/secondary-authors&gt;&lt;/contributors&gt;&lt;titles&gt;&lt;title&gt;Introduction&lt;/title&gt;&lt;secondary-title&gt;Climate Change 2013: The Physical Science Basis. Contribution of Working Group I to the Fifth Assessment Report of the Intergovernmental Panel on Climate Change&lt;/secondary-title&gt;&lt;/titles&gt;&lt;pages&gt;119–158&lt;/pages&gt;&lt;section&gt;1&lt;/section&gt;&lt;dates&gt;&lt;year&gt;2013&lt;/year&gt;&lt;/dates&gt;&lt;pub-location&gt;Cambridge, United Kingdom and New York, NY, USA&lt;/pub-location&gt;&lt;publisher&gt;Cambridge University Press&lt;/publisher&gt;&lt;isbn&gt;ISBN 978-1-107-66182-0&lt;/isbn&gt;&lt;urls&gt;&lt;related-urls&gt;&lt;url&gt;www.climatechange2013.org&lt;/url&gt;&lt;/related-urls&gt;&lt;/urls&gt;&lt;electronic-resource-num&gt;10.1017/CBO9781107415324.007&lt;/electronic-resource-num&gt;&lt;/record&gt;&lt;/Cite&gt;&lt;/EndNote&gt;</w:instrText>
      </w:r>
      <w:r w:rsidR="00E13392">
        <w:rPr>
          <w:rFonts w:ascii="Calibri" w:hAnsi="Calibri" w:cs="Times New Roman"/>
          <w:sz w:val="22"/>
          <w:szCs w:val="22"/>
        </w:rPr>
        <w:fldChar w:fldCharType="separate"/>
      </w:r>
      <w:r w:rsidR="007C661E" w:rsidRPr="007C661E">
        <w:rPr>
          <w:rFonts w:ascii="Calibri" w:hAnsi="Calibri" w:cs="Times New Roman"/>
          <w:noProof/>
          <w:sz w:val="22"/>
          <w:szCs w:val="22"/>
          <w:vertAlign w:val="superscript"/>
        </w:rPr>
        <w:t>3</w:t>
      </w:r>
      <w:r w:rsidR="00E13392">
        <w:rPr>
          <w:rFonts w:ascii="Calibri" w:hAnsi="Calibri" w:cs="Times New Roman"/>
          <w:sz w:val="22"/>
          <w:szCs w:val="22"/>
        </w:rPr>
        <w:fldChar w:fldCharType="end"/>
      </w:r>
      <w:r w:rsidR="00B37D67" w:rsidRPr="001609F5">
        <w:rPr>
          <w:rFonts w:ascii="Calibri" w:hAnsi="Calibri" w:cs="Calibri"/>
          <w:sz w:val="22"/>
          <w:szCs w:val="22"/>
        </w:rPr>
        <w:t xml:space="preserve"> </w:t>
      </w:r>
      <w:r w:rsidR="00B37D67" w:rsidRPr="00A41589">
        <w:rPr>
          <w:rFonts w:ascii="Calibri" w:hAnsi="Calibri"/>
          <w:sz w:val="22"/>
          <w:szCs w:val="22"/>
        </w:rPr>
        <w:t xml:space="preserve">One such GHG </w:t>
      </w:r>
      <w:r w:rsidR="00B37D67" w:rsidRPr="00A41589">
        <w:rPr>
          <w:rFonts w:ascii="Calibri" w:hAnsi="Calibri" w:cs="Times New Roman"/>
          <w:sz w:val="22"/>
          <w:szCs w:val="22"/>
        </w:rPr>
        <w:t>is Carbon Dioxide (CO</w:t>
      </w:r>
      <w:r w:rsidR="00B37D67" w:rsidRPr="00A41589">
        <w:rPr>
          <w:rFonts w:ascii="Calibri" w:hAnsi="Calibri" w:cs="Times New Roman"/>
          <w:sz w:val="22"/>
          <w:szCs w:val="22"/>
          <w:vertAlign w:val="subscript"/>
        </w:rPr>
        <w:t>2</w:t>
      </w:r>
      <w:r w:rsidR="00B37D67" w:rsidRPr="00A41589">
        <w:rPr>
          <w:rFonts w:ascii="Calibri" w:hAnsi="Calibri" w:cs="Times New Roman"/>
          <w:sz w:val="22"/>
          <w:szCs w:val="22"/>
        </w:rPr>
        <w:t xml:space="preserve">), </w:t>
      </w:r>
      <w:r w:rsidR="00B37D67">
        <w:rPr>
          <w:rFonts w:ascii="Calibri" w:hAnsi="Calibri" w:cs="Times New Roman"/>
          <w:sz w:val="22"/>
          <w:szCs w:val="22"/>
        </w:rPr>
        <w:t xml:space="preserve">primarily </w:t>
      </w:r>
      <w:r w:rsidR="00B37D67" w:rsidRPr="00A41589">
        <w:rPr>
          <w:rFonts w:ascii="Calibri" w:hAnsi="Calibri" w:cs="Times New Roman"/>
          <w:sz w:val="22"/>
          <w:szCs w:val="22"/>
        </w:rPr>
        <w:t>released when ‘fossil fuels’ (oil, coal and natural gas) are burned. Others, such as methane (CH</w:t>
      </w:r>
      <w:r w:rsidR="00B37D67">
        <w:rPr>
          <w:rFonts w:ascii="Calibri" w:hAnsi="Calibri" w:cs="Times New Roman"/>
          <w:sz w:val="22"/>
          <w:szCs w:val="22"/>
          <w:vertAlign w:val="subscript"/>
        </w:rPr>
        <w:t>4</w:t>
      </w:r>
      <w:r w:rsidR="00B37D67" w:rsidRPr="00A41589">
        <w:rPr>
          <w:rFonts w:ascii="Calibri" w:hAnsi="Calibri" w:cs="Times New Roman"/>
          <w:sz w:val="22"/>
          <w:szCs w:val="22"/>
        </w:rPr>
        <w:t>) and nitrous oxide (N</w:t>
      </w:r>
      <w:r w:rsidR="00B37D67" w:rsidRPr="00A41589">
        <w:rPr>
          <w:rFonts w:ascii="Calibri" w:hAnsi="Calibri" w:cs="Times New Roman"/>
          <w:sz w:val="22"/>
          <w:szCs w:val="22"/>
          <w:vertAlign w:val="subscript"/>
        </w:rPr>
        <w:t>2</w:t>
      </w:r>
      <w:r w:rsidR="00B37D67" w:rsidRPr="00A41589">
        <w:rPr>
          <w:rFonts w:ascii="Calibri" w:hAnsi="Calibri" w:cs="Times New Roman"/>
          <w:sz w:val="22"/>
          <w:szCs w:val="22"/>
        </w:rPr>
        <w:t>O), are generated through fossil fuel use and human agricultural practice. GHG emissions have steadily climbed since the industrial revolution.</w:t>
      </w:r>
      <w:r w:rsidR="00E13392">
        <w:rPr>
          <w:rFonts w:ascii="Calibri" w:hAnsi="Calibri" w:cs="Times New Roman"/>
          <w:sz w:val="22"/>
          <w:szCs w:val="22"/>
        </w:rPr>
        <w:fldChar w:fldCharType="begin"/>
      </w:r>
      <w:r w:rsidR="007C661E">
        <w:rPr>
          <w:rFonts w:ascii="Calibri" w:hAnsi="Calibri" w:cs="Times New Roman"/>
          <w:sz w:val="22"/>
          <w:szCs w:val="22"/>
        </w:rPr>
        <w:instrText xml:space="preserve"> ADDIN EN.CITE &lt;EndNote&gt;&lt;Cite&gt;&lt;Author&gt;British Petroleum&lt;/Author&gt;&lt;Year&gt;2014&lt;/Year&gt;&lt;RecNum&gt;1385&lt;/RecNum&gt;&lt;DisplayText&gt;&lt;style face="superscript"&gt;4&lt;/style&gt;&lt;/DisplayText&gt;&lt;record&gt;&lt;rec-number&gt;1385&lt;/rec-number&gt;&lt;foreign-keys&gt;&lt;key app="EN" db-id="wtftd20rmszxx0ettxy5exwdf90wv22s2dsf" timestamp="1419252251"&gt;1385&lt;/key&gt;&lt;/foreign-keys&gt;&lt;ref-type name="Report"&gt;27&lt;/ref-type&gt;&lt;contributors&gt;&lt;authors&gt;&lt;author&gt;British Petroleum,&lt;/author&gt;&lt;/authors&gt;&lt;/contributors&gt;&lt;titles&gt;&lt;title&gt;BP Statistical Review of World Energy&lt;/title&gt;&lt;/titles&gt;&lt;dates&gt;&lt;year&gt;2014&lt;/year&gt;&lt;/dates&gt;&lt;pub-location&gt;London&lt;/pub-location&gt;&lt;urls&gt;&lt;related-urls&gt;&lt;url&gt;bp.com/statisticalreview&lt;/url&gt;&lt;/related-urls&gt;&lt;/urls&gt;&lt;/record&gt;&lt;/Cite&gt;&lt;/EndNote&gt;</w:instrText>
      </w:r>
      <w:r w:rsidR="00E13392">
        <w:rPr>
          <w:rFonts w:ascii="Calibri" w:hAnsi="Calibri" w:cs="Times New Roman"/>
          <w:sz w:val="22"/>
          <w:szCs w:val="22"/>
        </w:rPr>
        <w:fldChar w:fldCharType="separate"/>
      </w:r>
      <w:r w:rsidR="007C661E" w:rsidRPr="007C661E">
        <w:rPr>
          <w:rFonts w:ascii="Calibri" w:hAnsi="Calibri" w:cs="Times New Roman"/>
          <w:noProof/>
          <w:sz w:val="22"/>
          <w:szCs w:val="22"/>
          <w:vertAlign w:val="superscript"/>
        </w:rPr>
        <w:t>4</w:t>
      </w:r>
      <w:r w:rsidR="00E13392">
        <w:rPr>
          <w:rFonts w:ascii="Calibri" w:hAnsi="Calibri" w:cs="Times New Roman"/>
          <w:sz w:val="22"/>
          <w:szCs w:val="22"/>
        </w:rPr>
        <w:fldChar w:fldCharType="end"/>
      </w:r>
      <w:r w:rsidR="00B37D67" w:rsidRPr="00A41589">
        <w:rPr>
          <w:rFonts w:ascii="Calibri" w:hAnsi="Calibri" w:cs="Times New Roman"/>
          <w:sz w:val="22"/>
          <w:szCs w:val="22"/>
        </w:rPr>
        <w:t xml:space="preserve"> GHGs remain in the atmosphere for a long time</w:t>
      </w:r>
      <w:r w:rsidR="00CC59CB">
        <w:rPr>
          <w:rFonts w:ascii="Calibri" w:hAnsi="Calibri" w:cs="Times New Roman"/>
          <w:sz w:val="22"/>
          <w:szCs w:val="22"/>
        </w:rPr>
        <w:t>, with a part remaining for thousands of years or longer.</w:t>
      </w:r>
      <w:r w:rsidR="00B37D67" w:rsidRPr="00A41589">
        <w:rPr>
          <w:rFonts w:ascii="Calibri" w:hAnsi="Calibri" w:cs="Times New Roman"/>
          <w:sz w:val="22"/>
          <w:szCs w:val="22"/>
        </w:rPr>
        <w:t>.</w:t>
      </w:r>
      <w:r w:rsidR="00E13392">
        <w:rPr>
          <w:rFonts w:ascii="Calibri" w:hAnsi="Calibri" w:cs="Times New Roman"/>
          <w:sz w:val="22"/>
          <w:szCs w:val="22"/>
        </w:rPr>
        <w:fldChar w:fldCharType="begin"/>
      </w:r>
      <w:r w:rsidR="007C661E">
        <w:rPr>
          <w:rFonts w:ascii="Calibri" w:hAnsi="Calibri" w:cs="Times New Roman"/>
          <w:sz w:val="22"/>
          <w:szCs w:val="22"/>
        </w:rPr>
        <w:instrText xml:space="preserve"> ADDIN EN.CITE &lt;EndNote&gt;&lt;Cite&gt;&lt;Author&gt;Ciais&lt;/Author&gt;&lt;Year&gt;2013&lt;/Year&gt;&lt;RecNum&gt;1368&lt;/RecNum&gt;&lt;DisplayText&gt;&lt;style face="superscript"&gt;5&lt;/style&gt;&lt;/DisplayText&gt;&lt;record&gt;&lt;rec-number&gt;1368&lt;/rec-number&gt;&lt;foreign-keys&gt;&lt;key app="EN" db-id="wtftd20rmszxx0ettxy5exwdf90wv22s2dsf" timestamp="1419250239"&gt;1368&lt;/key&gt;&lt;/foreign-keys&gt;&lt;ref-type name="Book Section"&gt;5&lt;/ref-type&gt;&lt;contributors&gt;&lt;authors&gt;&lt;author&gt;P. Ciais&lt;/author&gt;&lt;author&gt;C. Sabine&lt;/author&gt;&lt;author&gt;G. Bala&lt;/author&gt;&lt;author&gt;L. Bopp&lt;/author&gt;&lt;author&gt;V. Brovkin&lt;/author&gt;&lt;author&gt;J. Canadell&lt;/author&gt;&lt;author&gt;A. Chhabra&lt;/author&gt;&lt;author&gt;R. DeFries&lt;/author&gt;&lt;author&gt;J. Galloway&lt;/author&gt;&lt;author&gt;M. Heimann&lt;/author&gt;&lt;author&gt;C. Jones&lt;/author&gt;&lt;author&gt;C. Le Quéré&lt;/author&gt;&lt;author&gt;R.B. Myneni&lt;/author&gt;&lt;author&gt;S. Piao&lt;/author&gt;&lt;author&gt;P. Thornton&lt;/author&gt;&lt;/authors&gt;&lt;secondary-authors&gt;&lt;author&gt;T.F. Stocker&lt;/author&gt;&lt;author&gt;D. Qin&lt;/author&gt;&lt;author&gt;G.-K. Plattner&lt;/author&gt;&lt;author&gt;M. Tignor&lt;/author&gt;&lt;author&gt;S.K. Allen&lt;/author&gt;&lt;author&gt;J. Boschung&lt;/author&gt;&lt;author&gt;A. Nauels&lt;/author&gt;&lt;author&gt;Y. Xia&lt;/author&gt;&lt;author&gt;V. Bex&lt;/author&gt;&lt;author&gt;P.M. Midgley&lt;/author&gt;&lt;/secondary-authors&gt;&lt;/contributors&gt;&lt;titles&gt;&lt;title&gt;Carbon and Other Biogeochemical Cycles&lt;/title&gt;&lt;secondary-title&gt;Climate Change 2013: The Physical Science Basis. Contribution of Working Group I to the Fifth Assessment Report of the Intergovernmental Panel on Climate Change&lt;/secondary-title&gt;&lt;/titles&gt;&lt;pages&gt;465–570&lt;/pages&gt;&lt;section&gt;6&lt;/section&gt;&lt;dates&gt;&lt;year&gt;2013&lt;/year&gt;&lt;/dates&gt;&lt;pub-location&gt;Cambridge, United Kingdom and New York, NY, USA&lt;/pub-location&gt;&lt;publisher&gt;Cambridge University Press&lt;/publisher&gt;&lt;isbn&gt;ISBN 978-1-107-66182-0&lt;/isbn&gt;&lt;urls&gt;&lt;related-urls&gt;&lt;url&gt;www.climatechange2013.org&lt;/url&gt;&lt;/related-urls&gt;&lt;/urls&gt;&lt;electronic-resource-num&gt;10.1017/CBO9781107415324.015&lt;/electronic-resource-num&gt;&lt;/record&gt;&lt;/Cite&gt;&lt;/EndNote&gt;</w:instrText>
      </w:r>
      <w:r w:rsidR="00E13392">
        <w:rPr>
          <w:rFonts w:ascii="Calibri" w:hAnsi="Calibri" w:cs="Times New Roman"/>
          <w:sz w:val="22"/>
          <w:szCs w:val="22"/>
        </w:rPr>
        <w:fldChar w:fldCharType="separate"/>
      </w:r>
      <w:r w:rsidR="007C661E" w:rsidRPr="007C661E">
        <w:rPr>
          <w:rFonts w:ascii="Calibri" w:hAnsi="Calibri" w:cs="Times New Roman"/>
          <w:noProof/>
          <w:sz w:val="22"/>
          <w:szCs w:val="22"/>
          <w:vertAlign w:val="superscript"/>
        </w:rPr>
        <w:t>5</w:t>
      </w:r>
      <w:r w:rsidR="00E13392">
        <w:rPr>
          <w:rFonts w:ascii="Calibri" w:hAnsi="Calibri" w:cs="Times New Roman"/>
          <w:sz w:val="22"/>
          <w:szCs w:val="22"/>
        </w:rPr>
        <w:fldChar w:fldCharType="end"/>
      </w:r>
      <w:r w:rsidR="00B37D67" w:rsidRPr="001609F5">
        <w:rPr>
          <w:rFonts w:ascii="Calibri" w:hAnsi="Calibri" w:cs="Calibri"/>
          <w:sz w:val="22"/>
          <w:szCs w:val="22"/>
        </w:rPr>
        <w:t xml:space="preserve"> </w:t>
      </w:r>
      <w:r w:rsidR="00B37D67" w:rsidRPr="00A41589">
        <w:rPr>
          <w:rFonts w:ascii="Calibri" w:hAnsi="Calibri" w:cs="Times New Roman"/>
          <w:sz w:val="22"/>
          <w:szCs w:val="22"/>
        </w:rPr>
        <w:t>As a result, atmospheric GHG concentrations have risen steeply in the industrial age</w:t>
      </w:r>
      <w:r w:rsidR="00B37D67">
        <w:rPr>
          <w:rFonts w:ascii="Calibri" w:hAnsi="Calibri" w:cs="Times New Roman"/>
          <w:sz w:val="22"/>
          <w:szCs w:val="22"/>
        </w:rPr>
        <w:t>,</w:t>
      </w:r>
      <w:r w:rsidR="00B37D67" w:rsidRPr="00A41589">
        <w:rPr>
          <w:rFonts w:ascii="Calibri" w:hAnsi="Calibri" w:cs="Times New Roman"/>
          <w:sz w:val="22"/>
          <w:szCs w:val="22"/>
        </w:rPr>
        <w:t xml:space="preserve"> those of CO</w:t>
      </w:r>
      <w:r w:rsidR="00B37D67" w:rsidRPr="00A41589">
        <w:rPr>
          <w:rFonts w:ascii="Calibri" w:hAnsi="Calibri" w:cs="Times New Roman"/>
          <w:sz w:val="22"/>
          <w:szCs w:val="22"/>
          <w:vertAlign w:val="subscript"/>
        </w:rPr>
        <w:t>2</w:t>
      </w:r>
      <w:r w:rsidR="00B37D67" w:rsidRPr="00A41589">
        <w:rPr>
          <w:rFonts w:ascii="Calibri" w:hAnsi="Calibri" w:cs="Times New Roman"/>
          <w:sz w:val="22"/>
          <w:szCs w:val="22"/>
        </w:rPr>
        <w:t xml:space="preserve"> reaching &gt;400 ppm</w:t>
      </w:r>
      <w:r w:rsidR="00B37D67">
        <w:rPr>
          <w:rFonts w:ascii="Calibri" w:hAnsi="Calibri" w:cs="Times New Roman"/>
          <w:sz w:val="22"/>
          <w:szCs w:val="22"/>
        </w:rPr>
        <w:t xml:space="preserve"> (parts per million)</w:t>
      </w:r>
      <w:r w:rsidR="00B37D67" w:rsidRPr="00A41589">
        <w:rPr>
          <w:rFonts w:ascii="Calibri" w:hAnsi="Calibri" w:cs="Times New Roman"/>
          <w:sz w:val="22"/>
          <w:szCs w:val="22"/>
        </w:rPr>
        <w:t xml:space="preserve"> in 2014 for the first time since humans walked the planet.</w:t>
      </w:r>
      <w:r w:rsidR="00B37D67">
        <w:rPr>
          <w:rFonts w:ascii="Calibri" w:hAnsi="Calibri" w:cs="Times New Roman"/>
          <w:sz w:val="22"/>
          <w:szCs w:val="22"/>
        </w:rPr>
        <w:t xml:space="preserve"> Every additional</w:t>
      </w:r>
      <w:r w:rsidR="00B37D67" w:rsidRPr="00A41589">
        <w:rPr>
          <w:rFonts w:ascii="Calibri" w:hAnsi="Calibri" w:cs="Times New Roman"/>
          <w:sz w:val="22"/>
          <w:szCs w:val="22"/>
        </w:rPr>
        <w:t xml:space="preserve"> ppm is equivalent to approximately 7.5 billion tonnes of atmospheric CO</w:t>
      </w:r>
      <w:r w:rsidR="00B37D67" w:rsidRPr="00A41589">
        <w:rPr>
          <w:rFonts w:ascii="Calibri" w:hAnsi="Calibri" w:cs="Times New Roman"/>
          <w:sz w:val="22"/>
          <w:szCs w:val="22"/>
          <w:vertAlign w:val="subscript"/>
        </w:rPr>
        <w:t>2</w:t>
      </w:r>
      <w:r w:rsidR="00B37D67" w:rsidRPr="00A41589">
        <w:rPr>
          <w:rFonts w:ascii="Calibri" w:hAnsi="Calibri" w:cs="Times New Roman"/>
          <w:sz w:val="22"/>
          <w:szCs w:val="22"/>
        </w:rPr>
        <w:t>.</w:t>
      </w:r>
      <w:r w:rsidR="00E13392">
        <w:rPr>
          <w:rFonts w:ascii="Calibri" w:hAnsi="Calibri" w:cs="Times New Roman"/>
          <w:sz w:val="22"/>
          <w:szCs w:val="22"/>
        </w:rPr>
        <w:fldChar w:fldCharType="begin"/>
      </w:r>
      <w:r w:rsidR="007C661E">
        <w:rPr>
          <w:rFonts w:ascii="Calibri" w:hAnsi="Calibri" w:cs="Times New Roman"/>
          <w:sz w:val="22"/>
          <w:szCs w:val="22"/>
        </w:rPr>
        <w:instrText xml:space="preserve"> ADDIN EN.CITE &lt;EndNote&gt;&lt;Cite&gt;&lt;Author&gt;National Oceanic and Atmospheric Administration&lt;/Author&gt;&lt;Year&gt;2014&lt;/Year&gt;&lt;RecNum&gt;1386&lt;/RecNum&gt;&lt;DisplayText&gt;&lt;style face="superscript"&gt;6,7&lt;/style&gt;&lt;/DisplayText&gt;&lt;record&gt;&lt;rec-number&gt;1386&lt;/rec-number&gt;&lt;foreign-keys&gt;&lt;key app="EN" db-id="wtftd20rmszxx0ettxy5exwdf90wv22s2dsf" timestamp="1419252581"&gt;1386&lt;/key&gt;&lt;/foreign-keys&gt;&lt;ref-type name="Web Page"&gt;12&lt;/ref-type&gt;&lt;contributors&gt;&lt;authors&gt;&lt;author&gt;National Oceanic and Atmospheric Administration,&lt;/author&gt;&lt;/authors&gt;&lt;/contributors&gt;&lt;titles&gt;&lt;title&gt;Trends in Atmospheric Carbon Dioxide&lt;/title&gt;&lt;/titles&gt;&lt;volume&gt;2014&lt;/volume&gt;&lt;number&gt;22 Dec&lt;/number&gt;&lt;dates&gt;&lt;year&gt;2014&lt;/year&gt;&lt;/dates&gt;&lt;publisher&gt;NOAA&lt;/publisher&gt;&lt;urls&gt;&lt;related-urls&gt;&lt;url&gt;http://www.esrl.noaa.gov/gmd/ccgg/trends/weekly.html&lt;/url&gt;&lt;/related-urls&gt;&lt;/urls&gt;&lt;/record&gt;&lt;/Cite&gt;&lt;Cite&gt;&lt;Author&gt;Balla&lt;/Author&gt;&lt;Year&gt;2013&lt;/Year&gt;&lt;RecNum&gt;1387&lt;/RecNum&gt;&lt;record&gt;&lt;rec-number&gt;1387&lt;/rec-number&gt;&lt;foreign-keys&gt;&lt;key app="EN" db-id="wtftd20rmszxx0ettxy5exwdf90wv22s2dsf" timestamp="1419252754"&gt;1387&lt;/key&gt;&lt;/foreign-keys&gt;&lt;ref-type name="Journal Article"&gt;17&lt;/ref-type&gt;&lt;contributors&gt;&lt;authors&gt;&lt;author&gt;G Balla&lt;/author&gt;&lt;/authors&gt;&lt;/contributors&gt;&lt;titles&gt;&lt;title&gt;&lt;style face="normal" font="default" size="100%"&gt;Digesting 400 ppm for global mean CO&lt;/style&gt;&lt;style face="subscript" font="default" size="100%"&gt;2&lt;/style&gt;&lt;style face="normal" font="default" size="100%"&gt; concentration&lt;/style&gt;&lt;/title&gt;&lt;secondary-title&gt;Current Science&lt;/secondary-title&gt;&lt;/titles&gt;&lt;periodical&gt;&lt;full-title&gt;Current Science&lt;/full-title&gt;&lt;/periodical&gt;&lt;pages&gt;1471-2&lt;/pages&gt;&lt;volume&gt;104&lt;/volume&gt;&lt;number&gt;11&lt;/number&gt;&lt;edition&gt;10 June 2013&lt;/edition&gt;&lt;dates&gt;&lt;year&gt;2013&lt;/year&gt;&lt;/dates&gt;&lt;urls&gt;&lt;/urls&gt;&lt;/record&gt;&lt;/Cite&gt;&lt;/EndNote&gt;</w:instrText>
      </w:r>
      <w:r w:rsidR="00E13392">
        <w:rPr>
          <w:rFonts w:ascii="Calibri" w:hAnsi="Calibri" w:cs="Times New Roman"/>
          <w:sz w:val="22"/>
          <w:szCs w:val="22"/>
        </w:rPr>
        <w:fldChar w:fldCharType="separate"/>
      </w:r>
      <w:r w:rsidR="007C661E" w:rsidRPr="007C661E">
        <w:rPr>
          <w:rFonts w:ascii="Calibri" w:hAnsi="Calibri" w:cs="Times New Roman"/>
          <w:noProof/>
          <w:sz w:val="22"/>
          <w:szCs w:val="22"/>
          <w:vertAlign w:val="superscript"/>
        </w:rPr>
        <w:t>6,7</w:t>
      </w:r>
      <w:r w:rsidR="00E13392">
        <w:rPr>
          <w:rFonts w:ascii="Calibri" w:hAnsi="Calibri" w:cs="Times New Roman"/>
          <w:sz w:val="22"/>
          <w:szCs w:val="22"/>
        </w:rPr>
        <w:fldChar w:fldCharType="end"/>
      </w:r>
    </w:p>
    <w:p w:rsidR="00B37D67" w:rsidRPr="00A41589" w:rsidRDefault="00B37D67" w:rsidP="00B37D67">
      <w:pPr>
        <w:spacing w:after="160"/>
        <w:jc w:val="both"/>
        <w:rPr>
          <w:rFonts w:ascii="Calibri" w:hAnsi="Calibri"/>
        </w:rPr>
      </w:pPr>
      <w:r w:rsidRPr="00A41589">
        <w:rPr>
          <w:rFonts w:ascii="Calibri" w:hAnsi="Calibri"/>
          <w:sz w:val="22"/>
          <w:szCs w:val="22"/>
        </w:rPr>
        <w:t xml:space="preserve">Given their proven physical properties, such rising concentrations must drive a ‘net positive energy balance’, the additional heat distributing between gaseous atmosphere, land surface and ocean. </w:t>
      </w:r>
      <w:r>
        <w:rPr>
          <w:rFonts w:ascii="Calibri" w:hAnsi="Calibri"/>
          <w:sz w:val="22"/>
          <w:szCs w:val="22"/>
        </w:rPr>
        <w:t xml:space="preserve">The </w:t>
      </w:r>
      <w:r>
        <w:rPr>
          <w:rFonts w:ascii="Calibri" w:hAnsi="Calibri" w:cs="Times New Roman"/>
          <w:sz w:val="22"/>
          <w:szCs w:val="22"/>
        </w:rPr>
        <w:t>IPCC’s</w:t>
      </w:r>
      <w:r w:rsidRPr="00A41589">
        <w:rPr>
          <w:rFonts w:ascii="Calibri" w:hAnsi="Calibri" w:cs="Times New Roman"/>
          <w:sz w:val="22"/>
          <w:szCs w:val="22"/>
        </w:rPr>
        <w:t xml:space="preserve"> 2014 report confirm</w:t>
      </w:r>
      <w:r>
        <w:rPr>
          <w:rFonts w:ascii="Calibri" w:hAnsi="Calibri" w:cs="Times New Roman"/>
          <w:sz w:val="22"/>
          <w:szCs w:val="22"/>
        </w:rPr>
        <w:t>s that such</w:t>
      </w:r>
      <w:r w:rsidRPr="00A41589">
        <w:rPr>
          <w:rFonts w:ascii="Calibri" w:hAnsi="Calibri" w:cs="Times New Roman"/>
          <w:sz w:val="22"/>
          <w:szCs w:val="22"/>
        </w:rPr>
        <w:t xml:space="preserve"> global warming, and the role of human activity in driving it, are </w:t>
      </w:r>
      <w:r w:rsidRPr="00AE796F">
        <w:rPr>
          <w:rFonts w:ascii="Calibri" w:hAnsi="Calibri" w:cs="Times New Roman"/>
          <w:sz w:val="22"/>
          <w:szCs w:val="22"/>
        </w:rPr>
        <w:t>unequivocal</w:t>
      </w:r>
      <w:r w:rsidRPr="00A41589">
        <w:rPr>
          <w:rFonts w:ascii="Calibri" w:hAnsi="Calibri" w:cs="Times New Roman"/>
          <w:sz w:val="22"/>
          <w:szCs w:val="22"/>
        </w:rPr>
        <w:t xml:space="preserve">. </w:t>
      </w:r>
      <w:r w:rsidRPr="00A41589">
        <w:rPr>
          <w:rFonts w:ascii="Calibri" w:hAnsi="Calibri"/>
          <w:sz w:val="22"/>
          <w:szCs w:val="22"/>
        </w:rPr>
        <w:t xml:space="preserve">The oceans have absorbed the bulk (90% or more) of this energy in recent years </w:t>
      </w:r>
      <w:r w:rsidRPr="00A41589">
        <w:rPr>
          <w:rFonts w:ascii="Calibri" w:hAnsi="Calibri" w:cs="Times New Roman"/>
          <w:sz w:val="22"/>
          <w:szCs w:val="22"/>
        </w:rPr>
        <w:t>and ocean surface temperatures have risen.</w:t>
      </w:r>
      <w:r w:rsidR="00E13392">
        <w:rPr>
          <w:rFonts w:ascii="Calibri" w:hAnsi="Calibri" w:cs="Times New Roman"/>
          <w:sz w:val="22"/>
          <w:szCs w:val="22"/>
        </w:rPr>
        <w:fldChar w:fldCharType="begin"/>
      </w:r>
      <w:r w:rsidR="007C661E">
        <w:rPr>
          <w:rFonts w:ascii="Calibri" w:hAnsi="Calibri" w:cs="Times New Roman"/>
          <w:sz w:val="22"/>
          <w:szCs w:val="22"/>
        </w:rPr>
        <w:instrText xml:space="preserve"> ADDIN EN.CITE &lt;EndNote&gt;&lt;Cite&gt;&lt;Author&gt;IPCC&lt;/Author&gt;&lt;Year&gt;2013&lt;/Year&gt;&lt;RecNum&gt;1361&lt;/RecNum&gt;&lt;DisplayText&gt;&lt;style face="superscript"&gt;8&lt;/style&gt;&lt;/DisplayText&gt;&lt;record&gt;&lt;rec-number&gt;1361&lt;/rec-number&gt;&lt;foreign-keys&gt;&lt;key app="EN" db-id="wtftd20rmszxx0ettxy5exwdf90wv22s2dsf" timestamp="1419250239"&gt;1361&lt;/key&gt;&lt;/foreign-keys&gt;&lt;ref-type name="Book Section"&gt;5&lt;/ref-type&gt;&lt;contributors&gt;&lt;authors&gt;&lt;author&gt;IPCC&lt;/author&gt;&lt;/authors&gt;&lt;secondary-authors&gt;&lt;author&gt;T.F. Stocker&lt;/author&gt;&lt;author&gt;D. Qin&lt;/author&gt;&lt;author&gt;G.-K. Plattner&lt;/author&gt;&lt;author&gt;M. Tignor&lt;/author&gt;&lt;author&gt;S.K. Allen&lt;/author&gt;&lt;author&gt;J. Boschung&lt;/author&gt;&lt;author&gt;A. Nauels&lt;/author&gt;&lt;author&gt;Y. Xia&lt;/author&gt;&lt;author&gt;V. Bex&lt;/author&gt;&lt;author&gt;P.M. Midgley&lt;/author&gt;&lt;/secondary-authors&gt;&lt;/contributors&gt;&lt;titles&gt;&lt;title&gt;Summary for Policymakers&lt;/title&gt;&lt;secondary-title&gt;Climate Change 2013: The Physical Science Basis. Contribution of Working Group I to the Fifth Assessment Report of the Intergovernmental Panel on Climate Change&lt;/secondary-title&gt;&lt;/titles&gt;&lt;pages&gt;1–30&lt;/pages&gt;&lt;section&gt;SPM&lt;/section&gt;&lt;dates&gt;&lt;year&gt;2013&lt;/year&gt;&lt;/dates&gt;&lt;pub-location&gt;Cambridge, United Kingdom and New York, NY, USA&lt;/pub-location&gt;&lt;publisher&gt;Cambridge University Press&lt;/publisher&gt;&lt;isbn&gt;ISBN 978-1-107-66182-0&lt;/isbn&gt;&lt;urls&gt;&lt;related-urls&gt;&lt;url&gt;www.climatechange2013.org&lt;/url&gt;&lt;/related-urls&gt;&lt;/urls&gt;&lt;electronic-resource-num&gt;10.1017/CBO9781107415324.004&lt;/electronic-resource-num&gt;&lt;/record&gt;&lt;/Cite&gt;&lt;/EndNote&gt;</w:instrText>
      </w:r>
      <w:r w:rsidR="00E13392">
        <w:rPr>
          <w:rFonts w:ascii="Calibri" w:hAnsi="Calibri" w:cs="Times New Roman"/>
          <w:sz w:val="22"/>
          <w:szCs w:val="22"/>
        </w:rPr>
        <w:fldChar w:fldCharType="separate"/>
      </w:r>
      <w:r w:rsidR="007C661E" w:rsidRPr="007C661E">
        <w:rPr>
          <w:rFonts w:ascii="Calibri" w:hAnsi="Calibri" w:cs="Times New Roman"/>
          <w:noProof/>
          <w:sz w:val="22"/>
          <w:szCs w:val="22"/>
          <w:vertAlign w:val="superscript"/>
        </w:rPr>
        <w:t>8</w:t>
      </w:r>
      <w:r w:rsidR="00E13392">
        <w:rPr>
          <w:rFonts w:ascii="Calibri" w:hAnsi="Calibri" w:cs="Times New Roman"/>
          <w:sz w:val="22"/>
          <w:szCs w:val="22"/>
        </w:rPr>
        <w:fldChar w:fldCharType="end"/>
      </w:r>
      <w:r w:rsidRPr="00A41589">
        <w:rPr>
          <w:rFonts w:ascii="Calibri" w:hAnsi="Calibri" w:cs="Times New Roman"/>
          <w:sz w:val="22"/>
          <w:szCs w:val="22"/>
        </w:rPr>
        <w:t xml:space="preserve"> However, temperatures at the </w:t>
      </w:r>
      <w:r>
        <w:rPr>
          <w:rFonts w:ascii="Calibri" w:hAnsi="Calibri" w:cs="Times New Roman"/>
          <w:sz w:val="22"/>
          <w:szCs w:val="22"/>
        </w:rPr>
        <w:t>E</w:t>
      </w:r>
      <w:r w:rsidRPr="00A41589">
        <w:rPr>
          <w:rFonts w:ascii="Calibri" w:hAnsi="Calibri" w:cs="Times New Roman"/>
          <w:sz w:val="22"/>
          <w:szCs w:val="22"/>
        </w:rPr>
        <w:t>arth’s surface have also risen,</w:t>
      </w:r>
      <w:r>
        <w:rPr>
          <w:rFonts w:ascii="Calibri" w:hAnsi="Calibri" w:cs="Times New Roman"/>
          <w:sz w:val="22"/>
          <w:szCs w:val="22"/>
        </w:rPr>
        <w:t xml:space="preserve"> with</w:t>
      </w:r>
      <w:r w:rsidRPr="00A41589">
        <w:rPr>
          <w:rFonts w:ascii="Calibri" w:hAnsi="Calibri" w:cs="Times New Roman"/>
          <w:sz w:val="22"/>
          <w:szCs w:val="22"/>
        </w:rPr>
        <w:t xml:space="preserve"> each of the last three decades being successively warmer than any preceding decade since 1850.</w:t>
      </w:r>
      <w:r>
        <w:rPr>
          <w:rFonts w:ascii="Calibri" w:hAnsi="Calibri" w:cs="Times New Roman"/>
          <w:sz w:val="22"/>
          <w:szCs w:val="22"/>
        </w:rPr>
        <w:t xml:space="preserve"> Indeed,</w:t>
      </w:r>
      <w:r w:rsidRPr="00A41589">
        <w:rPr>
          <w:rFonts w:ascii="Calibri" w:hAnsi="Calibri" w:cs="Times New Roman"/>
          <w:sz w:val="22"/>
          <w:szCs w:val="22"/>
        </w:rPr>
        <w:t xml:space="preserve"> </w:t>
      </w:r>
      <w:r>
        <w:rPr>
          <w:rFonts w:ascii="Calibri" w:hAnsi="Calibri" w:cs="Times New Roman"/>
          <w:sz w:val="22"/>
          <w:szCs w:val="22"/>
        </w:rPr>
        <w:t xml:space="preserve">2014 was the hottest year on record. </w:t>
      </w:r>
      <w:r w:rsidRPr="00A41589">
        <w:rPr>
          <w:rFonts w:ascii="Calibri" w:hAnsi="Calibri" w:cs="Times New Roman"/>
          <w:sz w:val="22"/>
          <w:szCs w:val="22"/>
        </w:rPr>
        <w:t>Overall, the Earth</w:t>
      </w:r>
      <w:r>
        <w:rPr>
          <w:rFonts w:ascii="Calibri" w:hAnsi="Calibri" w:cs="Times New Roman"/>
          <w:sz w:val="22"/>
          <w:szCs w:val="22"/>
        </w:rPr>
        <w:t xml:space="preserve"> (global average land and ocean temperature)</w:t>
      </w:r>
      <w:r w:rsidRPr="00A41589">
        <w:rPr>
          <w:rFonts w:ascii="Calibri" w:hAnsi="Calibri" w:cs="Times New Roman"/>
          <w:sz w:val="22"/>
          <w:szCs w:val="22"/>
        </w:rPr>
        <w:t xml:space="preserve"> has warmed by some 0.85</w:t>
      </w:r>
      <w:r w:rsidRPr="00A41589">
        <w:rPr>
          <w:rFonts w:ascii="Calibri" w:hAnsi="Calibri" w:cs="Times New Roman"/>
          <w:sz w:val="22"/>
          <w:szCs w:val="22"/>
          <w:vertAlign w:val="superscript"/>
        </w:rPr>
        <w:t>o</w:t>
      </w:r>
      <w:r w:rsidRPr="00A41589">
        <w:rPr>
          <w:rFonts w:ascii="Calibri" w:hAnsi="Calibri" w:cs="Times New Roman"/>
          <w:sz w:val="22"/>
          <w:szCs w:val="22"/>
        </w:rPr>
        <w:t>C between 1880 and 2012</w:t>
      </w:r>
      <w:r w:rsidRPr="00AE796F">
        <w:rPr>
          <w:rFonts w:ascii="Calibri" w:hAnsi="Calibri" w:cs="Calibri"/>
          <w:sz w:val="22"/>
          <w:szCs w:val="22"/>
        </w:rPr>
        <w:t>.</w:t>
      </w:r>
      <w:r w:rsidR="00E13392">
        <w:rPr>
          <w:rFonts w:ascii="Calibri" w:hAnsi="Calibri" w:cs="Calibri"/>
          <w:sz w:val="22"/>
          <w:szCs w:val="22"/>
        </w:rPr>
        <w:fldChar w:fldCharType="begin"/>
      </w:r>
      <w:r w:rsidR="007C661E">
        <w:rPr>
          <w:rFonts w:ascii="Calibri" w:hAnsi="Calibri" w:cs="Calibri"/>
          <w:sz w:val="22"/>
          <w:szCs w:val="22"/>
        </w:rPr>
        <w:instrText xml:space="preserve"> ADDIN EN.CITE &lt;EndNote&gt;&lt;Cite&gt;&lt;Author&gt;IPCC&lt;/Author&gt;&lt;Year&gt;2013&lt;/Year&gt;&lt;RecNum&gt;1361&lt;/RecNum&gt;&lt;DisplayText&gt;&lt;style face="superscript"&gt;8&lt;/style&gt;&lt;/DisplayText&gt;&lt;record&gt;&lt;rec-number&gt;1361&lt;/rec-number&gt;&lt;foreign-keys&gt;&lt;key app="EN" db-id="wtftd20rmszxx0ettxy5exwdf90wv22s2dsf" timestamp="1419250239"&gt;1361&lt;/key&gt;&lt;/foreign-keys&gt;&lt;ref-type name="Book Section"&gt;5&lt;/ref-type&gt;&lt;contributors&gt;&lt;authors&gt;&lt;author&gt;IPCC&lt;/author&gt;&lt;/authors&gt;&lt;secondary-authors&gt;&lt;author&gt;T.F. Stocker&lt;/author&gt;&lt;author&gt;D. Qin&lt;/author&gt;&lt;author&gt;G.-K. Plattner&lt;/author&gt;&lt;author&gt;M. Tignor&lt;/author&gt;&lt;author&gt;S.K. Allen&lt;/author&gt;&lt;author&gt;J. Boschung&lt;/author&gt;&lt;author&gt;A. Nauels&lt;/author&gt;&lt;author&gt;Y. Xia&lt;/author&gt;&lt;author&gt;V. Bex&lt;/author&gt;&lt;author&gt;P.M. Midgley&lt;/author&gt;&lt;/secondary-authors&gt;&lt;/contributors&gt;&lt;titles&gt;&lt;title&gt;Summary for Policymakers&lt;/title&gt;&lt;secondary-title&gt;Climate Change 2013: The Physical Science Basis. Contribution of Working Group I to the Fifth Assessment Report of the Intergovernmental Panel on Climate Change&lt;/secondary-title&gt;&lt;/titles&gt;&lt;pages&gt;1–30&lt;/pages&gt;&lt;section&gt;SPM&lt;/section&gt;&lt;dates&gt;&lt;year&gt;2013&lt;/year&gt;&lt;/dates&gt;&lt;pub-location&gt;Cambridge, United Kingdom and New York, NY, USA&lt;/pub-location&gt;&lt;publisher&gt;Cambridge University Press&lt;/publisher&gt;&lt;isbn&gt;ISBN 978-1-107-66182-0&lt;/isbn&gt;&lt;urls&gt;&lt;related-urls&gt;&lt;url&gt;www.climatechange2013.org&lt;/url&gt;&lt;/related-urls&gt;&lt;/urls&gt;&lt;electronic-resource-num&gt;10.1017/CBO9781107415324.004&lt;/electronic-resource-num&gt;&lt;/record&gt;&lt;/Cite&gt;&lt;/EndNote&gt;</w:instrText>
      </w:r>
      <w:r w:rsidR="00E13392">
        <w:rPr>
          <w:rFonts w:ascii="Calibri" w:hAnsi="Calibri" w:cs="Calibri"/>
          <w:sz w:val="22"/>
          <w:szCs w:val="22"/>
        </w:rPr>
        <w:fldChar w:fldCharType="separate"/>
      </w:r>
      <w:r w:rsidR="007C661E" w:rsidRPr="007C661E">
        <w:rPr>
          <w:rFonts w:ascii="Calibri" w:hAnsi="Calibri" w:cs="Calibri"/>
          <w:noProof/>
          <w:sz w:val="22"/>
          <w:szCs w:val="22"/>
          <w:vertAlign w:val="superscript"/>
        </w:rPr>
        <w:t>8</w:t>
      </w:r>
      <w:r w:rsidR="00E13392">
        <w:rPr>
          <w:rFonts w:ascii="Calibri" w:hAnsi="Calibri" w:cs="Calibri"/>
          <w:sz w:val="22"/>
          <w:szCs w:val="22"/>
        </w:rPr>
        <w:fldChar w:fldCharType="end"/>
      </w:r>
      <w:r w:rsidRPr="00AE796F">
        <w:rPr>
          <w:rFonts w:ascii="Calibri" w:hAnsi="Calibri" w:cs="Calibri"/>
          <w:sz w:val="22"/>
          <w:szCs w:val="22"/>
        </w:rPr>
        <w:t xml:space="preserve"> </w:t>
      </w:r>
      <w:r w:rsidRPr="00A41589">
        <w:rPr>
          <w:rStyle w:val="reference-text"/>
          <w:rFonts w:ascii="Calibri" w:hAnsi="Calibri"/>
          <w:sz w:val="22"/>
          <w:szCs w:val="22"/>
        </w:rPr>
        <w:t>Arctic sea ice is disappearing at a rate of up to 50,000 km</w:t>
      </w:r>
      <w:r w:rsidRPr="00A41589">
        <w:rPr>
          <w:rStyle w:val="reference-text"/>
          <w:rFonts w:ascii="Calibri" w:hAnsi="Calibri"/>
          <w:sz w:val="22"/>
          <w:szCs w:val="22"/>
          <w:vertAlign w:val="superscript"/>
        </w:rPr>
        <w:t>2</w:t>
      </w:r>
      <w:r w:rsidRPr="00A41589">
        <w:rPr>
          <w:rStyle w:val="reference-text"/>
          <w:rFonts w:ascii="Calibri" w:hAnsi="Calibri"/>
          <w:sz w:val="22"/>
          <w:szCs w:val="22"/>
        </w:rPr>
        <w:t>/year, t</w:t>
      </w:r>
      <w:r w:rsidRPr="00A41589">
        <w:rPr>
          <w:rFonts w:ascii="Calibri" w:hAnsi="Calibri"/>
          <w:sz w:val="22"/>
          <w:szCs w:val="22"/>
        </w:rPr>
        <w:t>he Antarctic ice sheet is now losing 159 billion tonnes of ice each year, and sea levels are rising inexorably.</w:t>
      </w:r>
      <w:r w:rsidR="00E13392">
        <w:rPr>
          <w:rFonts w:ascii="Calibri" w:hAnsi="Calibri"/>
          <w:sz w:val="22"/>
          <w:szCs w:val="22"/>
        </w:rPr>
        <w:fldChar w:fldCharType="begin"/>
      </w:r>
      <w:r w:rsidR="007C661E">
        <w:rPr>
          <w:rFonts w:ascii="Calibri" w:hAnsi="Calibri"/>
          <w:sz w:val="22"/>
          <w:szCs w:val="22"/>
        </w:rPr>
        <w:instrText xml:space="preserve"> ADDIN EN.CITE &lt;EndNote&gt;&lt;Cite&gt;&lt;Author&gt;McMillan&lt;/Author&gt;&lt;Year&gt;2014&lt;/Year&gt;&lt;RecNum&gt;1388&lt;/RecNum&gt;&lt;DisplayText&gt;&lt;style face="superscript"&gt;9&lt;/style&gt;&lt;/DisplayText&gt;&lt;record&gt;&lt;rec-number&gt;1388&lt;/rec-number&gt;&lt;foreign-keys&gt;&lt;key app="EN" db-id="wtftd20rmszxx0ettxy5exwdf90wv22s2dsf" timestamp="1419253057"&gt;1388&lt;/key&gt;&lt;/foreign-keys&gt;&lt;ref-type name="Journal Article"&gt;17&lt;/ref-type&gt;&lt;contributors&gt;&lt;authors&gt;&lt;author&gt;M McMillan&lt;/author&gt;&lt;author&gt;A Shepherd&lt;/author&gt;&lt;author&gt;A Sundal&lt;/author&gt;&lt;author&gt;K Briggs&lt;/author&gt;&lt;author&gt;A Muir&lt;/author&gt;&lt;author&gt;A Ridout&lt;/author&gt;&lt;author&gt;A Hogg&lt;/author&gt;&lt;author&gt;D Wingham&lt;/author&gt;&lt;/authors&gt;&lt;/contributors&gt;&lt;titles&gt;&lt;title&gt;Increased ice losses from Antarctica detected by CryoSat-2&lt;/title&gt;&lt;secondary-title&gt;Geophysical Research Letters&lt;/secondary-title&gt;&lt;/titles&gt;&lt;periodical&gt;&lt;full-title&gt;Geophysical Research Letters&lt;/full-title&gt;&lt;/periodical&gt;&lt;pages&gt;3899-905&lt;/pages&gt;&lt;volume&gt;41&lt;/volume&gt;&lt;number&gt;11&lt;/number&gt;&lt;dates&gt;&lt;year&gt;2014&lt;/year&gt;&lt;/dates&gt;&lt;urls&gt;&lt;/urls&gt;&lt;/record&gt;&lt;/Cite&gt;&lt;/EndNote&gt;</w:instrText>
      </w:r>
      <w:r w:rsidR="00E13392">
        <w:rPr>
          <w:rFonts w:ascii="Calibri" w:hAnsi="Calibri"/>
          <w:sz w:val="22"/>
          <w:szCs w:val="22"/>
        </w:rPr>
        <w:fldChar w:fldCharType="separate"/>
      </w:r>
      <w:r w:rsidR="007C661E" w:rsidRPr="007C661E">
        <w:rPr>
          <w:rFonts w:ascii="Calibri" w:hAnsi="Calibri"/>
          <w:noProof/>
          <w:sz w:val="22"/>
          <w:szCs w:val="22"/>
          <w:vertAlign w:val="superscript"/>
        </w:rPr>
        <w:t>9</w:t>
      </w:r>
      <w:r w:rsidR="00E13392">
        <w:rPr>
          <w:rFonts w:ascii="Calibri" w:hAnsi="Calibri"/>
          <w:sz w:val="22"/>
          <w:szCs w:val="22"/>
        </w:rPr>
        <w:fldChar w:fldCharType="end"/>
      </w:r>
      <w:bookmarkStart w:id="7" w:name="back-bib2"/>
      <w:bookmarkEnd w:id="7"/>
    </w:p>
    <w:p w:rsidR="005E2CAA" w:rsidRPr="00A41589" w:rsidRDefault="00B37D67" w:rsidP="00B37D67">
      <w:pPr>
        <w:jc w:val="both"/>
        <w:rPr>
          <w:rFonts w:ascii="Calibri" w:hAnsi="Calibri"/>
        </w:rPr>
      </w:pPr>
      <w:r>
        <w:rPr>
          <w:rFonts w:ascii="Calibri" w:hAnsi="Calibri" w:cs="Times New Roman"/>
          <w:sz w:val="22"/>
          <w:szCs w:val="22"/>
        </w:rPr>
        <w:t>Much of past emissions remain in the atmosphere and will drive continued warming in the future. GHG</w:t>
      </w:r>
      <w:r w:rsidR="00CA79F2">
        <w:rPr>
          <w:rFonts w:ascii="Calibri" w:hAnsi="Calibri" w:cs="Times New Roman"/>
          <w:sz w:val="22"/>
          <w:szCs w:val="22"/>
        </w:rPr>
        <w:t xml:space="preserve"> concentrations in the atmosphere are continuing to rise at a rate</w:t>
      </w:r>
      <w:r>
        <w:rPr>
          <w:rFonts w:ascii="Calibri" w:hAnsi="Calibri" w:cs="Times New Roman"/>
          <w:sz w:val="22"/>
          <w:szCs w:val="22"/>
        </w:rPr>
        <w:t xml:space="preserve"> which is</w:t>
      </w:r>
      <w:r w:rsidRPr="00A41589">
        <w:rPr>
          <w:rFonts w:ascii="Calibri" w:hAnsi="Calibri" w:cs="Times New Roman"/>
          <w:sz w:val="22"/>
          <w:szCs w:val="22"/>
        </w:rPr>
        <w:t xml:space="preserve"> incompatible with limiting warming to 2°C in the coming 35 years (by 2050),</w:t>
      </w:r>
      <w:r>
        <w:rPr>
          <w:rFonts w:ascii="Calibri" w:hAnsi="Calibri" w:cs="Times New Roman"/>
          <w:sz w:val="22"/>
          <w:szCs w:val="22"/>
        </w:rPr>
        <w:t xml:space="preserve"> and which </w:t>
      </w:r>
      <w:r w:rsidRPr="00A41589">
        <w:rPr>
          <w:rFonts w:ascii="Calibri" w:hAnsi="Calibri" w:cs="Times New Roman"/>
          <w:sz w:val="22"/>
          <w:szCs w:val="22"/>
        </w:rPr>
        <w:t xml:space="preserve">exceeds the </w:t>
      </w:r>
      <w:r>
        <w:rPr>
          <w:rFonts w:ascii="Calibri" w:hAnsi="Calibri" w:cs="Times New Roman"/>
          <w:sz w:val="22"/>
          <w:szCs w:val="22"/>
        </w:rPr>
        <w:t>IPCC’s</w:t>
      </w:r>
      <w:r w:rsidRPr="00A41589">
        <w:rPr>
          <w:rFonts w:ascii="Calibri" w:hAnsi="Calibri" w:cs="Times New Roman"/>
          <w:sz w:val="22"/>
          <w:szCs w:val="22"/>
        </w:rPr>
        <w:t xml:space="preserve"> ‘worst case scenario’</w:t>
      </w:r>
      <w:r w:rsidRPr="00D97EB7">
        <w:rPr>
          <w:rFonts w:ascii="Calibri" w:hAnsi="Calibri" w:cs="Times New Roman"/>
          <w:sz w:val="22"/>
          <w:szCs w:val="22"/>
        </w:rPr>
        <w:t>.</w:t>
      </w:r>
      <w:r w:rsidR="00E13392">
        <w:rPr>
          <w:rFonts w:ascii="Calibri" w:hAnsi="Calibri" w:cs="Times New Roman"/>
          <w:sz w:val="22"/>
          <w:szCs w:val="22"/>
        </w:rPr>
        <w:fldChar w:fldCharType="begin"/>
      </w:r>
      <w:r w:rsidR="007C661E">
        <w:rPr>
          <w:rFonts w:ascii="Calibri" w:hAnsi="Calibri" w:cs="Times New Roman"/>
          <w:sz w:val="22"/>
          <w:szCs w:val="22"/>
        </w:rPr>
        <w:instrText xml:space="preserve"> ADDIN EN.CITE &lt;EndNote&gt;&lt;Cite&gt;&lt;Author&gt;Riahi&lt;/Author&gt;&lt;Year&gt;2011&lt;/Year&gt;&lt;RecNum&gt;1389&lt;/RecNum&gt;&lt;DisplayText&gt;&lt;style face="superscript"&gt;10&lt;/style&gt;&lt;/DisplayText&gt;&lt;record&gt;&lt;rec-number&gt;1389&lt;/rec-number&gt;&lt;foreign-keys&gt;&lt;key app="EN" db-id="wtftd20rmszxx0ettxy5exwdf90wv22s2dsf" timestamp="1419253818"&gt;1389&lt;/key&gt;&lt;/foreign-keys&gt;&lt;ref-type name="Journal Article"&gt;17&lt;/ref-type&gt;&lt;contributors&gt;&lt;authors&gt;&lt;author&gt;K Riahi&lt;/author&gt;&lt;author&gt;S Rao&lt;/author&gt;&lt;author&gt;V Krey&lt;/author&gt;&lt;author&gt;C Cho&lt;/author&gt;&lt;author&gt;V Chirkov&lt;/author&gt;&lt;author&gt;G Fischer&lt;/author&gt;&lt;author&gt;G Kindermann&lt;/author&gt;&lt;author&gt;N Nakicenovic&lt;/author&gt;&lt;author&gt;P Rafaj&lt;/author&gt;&lt;/authors&gt;&lt;/contributors&gt;&lt;titles&gt;&lt;title&gt;RCP 8.5—A scenario of comparatively high greenhouse gas emissions&lt;/title&gt;&lt;secondary-title&gt;Climate Change&lt;/secondary-title&gt;&lt;/titles&gt;&lt;periodical&gt;&lt;full-title&gt;Climate Change&lt;/full-title&gt;&lt;/periodical&gt;&lt;volume&gt;109&lt;/volume&gt;&lt;number&gt;33-57&lt;/number&gt;&lt;dates&gt;&lt;year&gt;2011&lt;/year&gt;&lt;/dates&gt;&lt;urls&gt;&lt;/urls&gt;&lt;/record&gt;&lt;/Cite&gt;&lt;/EndNote&gt;</w:instrText>
      </w:r>
      <w:r w:rsidR="00E13392">
        <w:rPr>
          <w:rFonts w:ascii="Calibri" w:hAnsi="Calibri" w:cs="Times New Roman"/>
          <w:sz w:val="22"/>
          <w:szCs w:val="22"/>
        </w:rPr>
        <w:fldChar w:fldCharType="separate"/>
      </w:r>
      <w:r w:rsidR="007C661E" w:rsidRPr="007C661E">
        <w:rPr>
          <w:rFonts w:ascii="Calibri" w:hAnsi="Calibri" w:cs="Times New Roman"/>
          <w:noProof/>
          <w:sz w:val="22"/>
          <w:szCs w:val="22"/>
          <w:vertAlign w:val="superscript"/>
        </w:rPr>
        <w:t>10</w:t>
      </w:r>
      <w:r w:rsidR="00E13392">
        <w:rPr>
          <w:rFonts w:ascii="Calibri" w:hAnsi="Calibri" w:cs="Times New Roman"/>
          <w:sz w:val="22"/>
          <w:szCs w:val="22"/>
        </w:rPr>
        <w:fldChar w:fldCharType="end"/>
      </w:r>
      <w:r w:rsidRPr="00D97EB7">
        <w:rPr>
          <w:rFonts w:ascii="Calibri" w:hAnsi="Calibri" w:cs="Times New Roman"/>
          <w:sz w:val="22"/>
          <w:szCs w:val="22"/>
        </w:rPr>
        <w:t xml:space="preserve"> </w:t>
      </w:r>
      <w:r w:rsidRPr="00A41589">
        <w:rPr>
          <w:rFonts w:ascii="Calibri" w:hAnsi="Calibri" w:cs="Times New Roman"/>
          <w:sz w:val="22"/>
          <w:szCs w:val="22"/>
        </w:rPr>
        <w:t>We are on track for a global average temperature rise of &gt; 4°C above preindustrial temperatures in the next 85 years, at which point global temperature will still be increasing by approximately 0·7°C per decade (due to the ‘lag’ in reaching equilibrium). This distribution will not be even</w:t>
      </w:r>
      <w:r>
        <w:rPr>
          <w:rFonts w:ascii="Calibri" w:hAnsi="Calibri" w:cs="Times New Roman"/>
          <w:sz w:val="22"/>
          <w:szCs w:val="22"/>
        </w:rPr>
        <w:t xml:space="preserve">: the ‘polar amplification’ phenomena may cause temperatures in parts of the Arctic to increase by </w:t>
      </w:r>
      <w:r w:rsidRPr="00A41589">
        <w:rPr>
          <w:rFonts w:ascii="Calibri" w:hAnsi="Calibri" w:cs="Times New Roman"/>
          <w:sz w:val="22"/>
          <w:szCs w:val="22"/>
        </w:rPr>
        <w:t>11°C</w:t>
      </w:r>
      <w:r>
        <w:rPr>
          <w:rFonts w:ascii="Calibri" w:hAnsi="Calibri" w:cs="Times New Roman"/>
          <w:sz w:val="22"/>
          <w:szCs w:val="22"/>
        </w:rPr>
        <w:t xml:space="preserve"> in this timeframe</w:t>
      </w:r>
      <w:r w:rsidRPr="00D97EB7">
        <w:rPr>
          <w:rFonts w:ascii="Calibri" w:hAnsi="Calibri" w:cs="Times New Roman"/>
          <w:sz w:val="22"/>
          <w:szCs w:val="22"/>
        </w:rPr>
        <w:t>.</w:t>
      </w:r>
      <w:r w:rsidR="00E13392">
        <w:rPr>
          <w:rFonts w:ascii="Calibri" w:hAnsi="Calibri" w:cs="Times New Roman"/>
          <w:sz w:val="22"/>
          <w:szCs w:val="22"/>
        </w:rPr>
        <w:fldChar w:fldCharType="begin"/>
      </w:r>
      <w:r w:rsidR="007C661E">
        <w:rPr>
          <w:rFonts w:ascii="Calibri" w:hAnsi="Calibri" w:cs="Times New Roman"/>
          <w:sz w:val="22"/>
          <w:szCs w:val="22"/>
        </w:rPr>
        <w:instrText xml:space="preserve"> ADDIN EN.CITE &lt;EndNote&gt;&lt;Cite&gt;&lt;Author&gt;IPCC&lt;/Author&gt;&lt;Year&gt;2013&lt;/Year&gt;&lt;RecNum&gt;1361&lt;/RecNum&gt;&lt;DisplayText&gt;&lt;style face="superscript"&gt;8&lt;/style&gt;&lt;/DisplayText&gt;&lt;record&gt;&lt;rec-number&gt;1361&lt;/rec-number&gt;&lt;foreign-keys&gt;&lt;key app="EN" db-id="wtftd20rmszxx0ettxy5exwdf90wv22s2dsf" timestamp="1419250239"&gt;1361&lt;/key&gt;&lt;/foreign-keys&gt;&lt;ref-type name="Book Section"&gt;5&lt;/ref-type&gt;&lt;contributors&gt;&lt;authors&gt;&lt;author&gt;IPCC&lt;/author&gt;&lt;/authors&gt;&lt;secondary-authors&gt;&lt;author&gt;T.F. Stocker&lt;/author&gt;&lt;author&gt;D. Qin&lt;/author&gt;&lt;author&gt;G.-K. Plattner&lt;/author&gt;&lt;author&gt;M. Tignor&lt;/author&gt;&lt;author&gt;S.K. Allen&lt;/author&gt;&lt;author&gt;J. Boschung&lt;/author&gt;&lt;author&gt;A. Nauels&lt;/author&gt;&lt;author&gt;Y. Xia&lt;/author&gt;&lt;author&gt;V. Bex&lt;/author&gt;&lt;author&gt;P.M. Midgley&lt;/author&gt;&lt;/secondary-authors&gt;&lt;/contributors&gt;&lt;titles&gt;&lt;title&gt;Summary for Policymakers&lt;/title&gt;&lt;secondary-title&gt;Climate Change 2013: The Physical Science Basis. Contribution of Working Group I to the Fifth Assessment Report of the Intergovernmental Panel on Climate Change&lt;/secondary-title&gt;&lt;/titles&gt;&lt;pages&gt;1–30&lt;/pages&gt;&lt;section&gt;SPM&lt;/section&gt;&lt;dates&gt;&lt;year&gt;2013&lt;/year&gt;&lt;/dates&gt;&lt;pub-location&gt;Cambridge, United Kingdom and New York, NY, USA&lt;/pub-location&gt;&lt;publisher&gt;Cambridge University Press&lt;/publisher&gt;&lt;isbn&gt;ISBN 978-1-107-66182-0&lt;/isbn&gt;&lt;urls&gt;&lt;related-urls&gt;&lt;url&gt;www.climatechange2013.org&lt;/url&gt;&lt;/related-urls&gt;&lt;/urls&gt;&lt;electronic-resource-num&gt;10.1017/CBO9781107415324.004&lt;/electronic-resource-num&gt;&lt;/record&gt;&lt;/Cite&gt;&lt;/EndNote&gt;</w:instrText>
      </w:r>
      <w:r w:rsidR="00E13392">
        <w:rPr>
          <w:rFonts w:ascii="Calibri" w:hAnsi="Calibri" w:cs="Times New Roman"/>
          <w:sz w:val="22"/>
          <w:szCs w:val="22"/>
        </w:rPr>
        <w:fldChar w:fldCharType="separate"/>
      </w:r>
      <w:r w:rsidR="007C661E" w:rsidRPr="007C661E">
        <w:rPr>
          <w:rFonts w:ascii="Calibri" w:hAnsi="Calibri" w:cs="Times New Roman"/>
          <w:noProof/>
          <w:sz w:val="22"/>
          <w:szCs w:val="22"/>
          <w:vertAlign w:val="superscript"/>
        </w:rPr>
        <w:t>8</w:t>
      </w:r>
      <w:r w:rsidR="00E13392">
        <w:rPr>
          <w:rFonts w:ascii="Calibri" w:hAnsi="Calibri" w:cs="Times New Roman"/>
          <w:sz w:val="22"/>
          <w:szCs w:val="22"/>
        </w:rPr>
        <w:fldChar w:fldCharType="end"/>
      </w:r>
    </w:p>
    <w:p w:rsidR="00AC474D" w:rsidRPr="00AC474D" w:rsidRDefault="00AC474D" w:rsidP="00024E43">
      <w:bookmarkStart w:id="8" w:name="_Toc402956346"/>
    </w:p>
    <w:p w:rsidR="005E2CAA" w:rsidRPr="005E2CAA" w:rsidRDefault="005E2CAA" w:rsidP="00A41589">
      <w:pPr>
        <w:pStyle w:val="Heading2"/>
      </w:pPr>
      <w:bookmarkStart w:id="9" w:name="_Toc415931365"/>
      <w:bookmarkStart w:id="10" w:name="_Toc417502030"/>
      <w:r w:rsidRPr="00A41589">
        <w:t>The Health Impacts of Climate Change</w:t>
      </w:r>
      <w:bookmarkEnd w:id="8"/>
      <w:bookmarkEnd w:id="9"/>
      <w:bookmarkEnd w:id="10"/>
      <w:r w:rsidRPr="00A41589">
        <w:t xml:space="preserve"> </w:t>
      </w:r>
    </w:p>
    <w:p w:rsidR="005E2CAA" w:rsidRDefault="00EA2DD4" w:rsidP="00A41589">
      <w:pPr>
        <w:jc w:val="both"/>
        <w:rPr>
          <w:rFonts w:ascii="Calibri" w:hAnsi="Calibri" w:cs="Times New Roman"/>
          <w:sz w:val="22"/>
          <w:szCs w:val="22"/>
        </w:rPr>
      </w:pPr>
      <w:r>
        <w:rPr>
          <w:rFonts w:ascii="Calibri" w:hAnsi="Calibri" w:cs="Times New Roman"/>
          <w:sz w:val="22"/>
          <w:szCs w:val="22"/>
        </w:rPr>
        <w:t>The resultant climate change</w:t>
      </w:r>
      <w:r w:rsidR="005E2CAA" w:rsidRPr="00A41589">
        <w:rPr>
          <w:rFonts w:ascii="Calibri" w:hAnsi="Calibri" w:cs="Times New Roman"/>
          <w:sz w:val="22"/>
          <w:szCs w:val="22"/>
        </w:rPr>
        <w:t xml:space="preserve"> poses a range of threats to human health and survival</w:t>
      </w:r>
      <w:r w:rsidR="006E2408">
        <w:rPr>
          <w:rFonts w:ascii="Calibri" w:hAnsi="Calibri" w:cs="Times New Roman"/>
          <w:sz w:val="22"/>
          <w:szCs w:val="22"/>
        </w:rPr>
        <w:t xml:space="preserve"> in multiple, interacting ways</w:t>
      </w:r>
      <w:r w:rsidR="00CE7A57">
        <w:rPr>
          <w:rFonts w:ascii="Calibri" w:hAnsi="Calibri" w:cs="Times New Roman"/>
          <w:sz w:val="22"/>
          <w:szCs w:val="22"/>
        </w:rPr>
        <w:t xml:space="preserve"> (Figure 1.</w:t>
      </w:r>
      <w:r w:rsidR="008662EF">
        <w:rPr>
          <w:rFonts w:ascii="Calibri" w:hAnsi="Calibri" w:cs="Times New Roman"/>
          <w:sz w:val="22"/>
          <w:szCs w:val="22"/>
        </w:rPr>
        <w:t>1</w:t>
      </w:r>
      <w:r w:rsidR="00CE7A57">
        <w:rPr>
          <w:rFonts w:ascii="Calibri" w:hAnsi="Calibri" w:cs="Times New Roman"/>
          <w:sz w:val="22"/>
          <w:szCs w:val="22"/>
        </w:rPr>
        <w:t>)</w:t>
      </w:r>
      <w:r w:rsidR="005E2CAA" w:rsidRPr="00A41589">
        <w:rPr>
          <w:rFonts w:ascii="Calibri" w:hAnsi="Calibri" w:cs="Times New Roman"/>
          <w:sz w:val="22"/>
          <w:szCs w:val="22"/>
        </w:rPr>
        <w:t xml:space="preserve">. Impacts can be direct (heatwaves and extreme weather events such as a storm, forest fire, flood, or drought), or indirectly mediated through </w:t>
      </w:r>
      <w:r w:rsidR="005E2CAA" w:rsidRPr="00480701">
        <w:rPr>
          <w:rFonts w:ascii="Calibri" w:hAnsi="Calibri" w:cs="Times New Roman"/>
          <w:sz w:val="22"/>
          <w:szCs w:val="22"/>
        </w:rPr>
        <w:t xml:space="preserve">the </w:t>
      </w:r>
      <w:r w:rsidR="005E2CAA" w:rsidRPr="00A41589">
        <w:rPr>
          <w:rFonts w:ascii="Calibri" w:hAnsi="Calibri" w:cs="Times New Roman"/>
          <w:sz w:val="22"/>
          <w:szCs w:val="22"/>
        </w:rPr>
        <w:t>effects of climate change on ecosystems (</w:t>
      </w:r>
      <w:r>
        <w:rPr>
          <w:rFonts w:ascii="Calibri" w:hAnsi="Calibri" w:cs="Times New Roman"/>
          <w:sz w:val="22"/>
          <w:szCs w:val="22"/>
        </w:rPr>
        <w:t>e.g. agricultural losses and changing patterns of disease</w:t>
      </w:r>
      <w:r w:rsidR="005E2CAA" w:rsidRPr="00A41589">
        <w:rPr>
          <w:rFonts w:ascii="Calibri" w:hAnsi="Calibri" w:cs="Times New Roman"/>
          <w:sz w:val="22"/>
          <w:szCs w:val="22"/>
        </w:rPr>
        <w:t xml:space="preserve">), economies and social </w:t>
      </w:r>
      <w:r w:rsidR="005E2CAA" w:rsidRPr="00A41589">
        <w:rPr>
          <w:rFonts w:ascii="Calibri" w:hAnsi="Calibri" w:cs="Times New Roman"/>
          <w:sz w:val="22"/>
          <w:szCs w:val="22"/>
        </w:rPr>
        <w:lastRenderedPageBreak/>
        <w:t xml:space="preserve">structure (e.g. migration and conflict). </w:t>
      </w:r>
      <w:r w:rsidR="006E2408">
        <w:rPr>
          <w:rFonts w:ascii="Calibri" w:hAnsi="Calibri" w:cs="Times New Roman"/>
          <w:sz w:val="22"/>
          <w:szCs w:val="22"/>
        </w:rPr>
        <w:t>A</w:t>
      </w:r>
      <w:r w:rsidR="005E2CAA" w:rsidRPr="00A41589">
        <w:rPr>
          <w:rFonts w:ascii="Calibri" w:hAnsi="Calibri" w:cs="Times New Roman"/>
          <w:sz w:val="22"/>
          <w:szCs w:val="22"/>
        </w:rPr>
        <w:t>fter only 0.85</w:t>
      </w:r>
      <w:r w:rsidR="005E2CAA" w:rsidRPr="00A41589">
        <w:rPr>
          <w:rFonts w:ascii="Calibri" w:hAnsi="Calibri" w:cs="Times New Roman"/>
          <w:sz w:val="22"/>
          <w:szCs w:val="22"/>
          <w:vertAlign w:val="superscript"/>
        </w:rPr>
        <w:t>o</w:t>
      </w:r>
      <w:r w:rsidR="005E2CAA" w:rsidRPr="00A41589">
        <w:rPr>
          <w:rFonts w:ascii="Calibri" w:hAnsi="Calibri" w:cs="Times New Roman"/>
          <w:sz w:val="22"/>
          <w:szCs w:val="22"/>
        </w:rPr>
        <w:t xml:space="preserve">C warming, many </w:t>
      </w:r>
      <w:r w:rsidR="005E2CAA" w:rsidRPr="00A41589">
        <w:rPr>
          <w:rFonts w:ascii="Calibri" w:hAnsi="Calibri"/>
          <w:sz w:val="22"/>
          <w:szCs w:val="22"/>
        </w:rPr>
        <w:t xml:space="preserve">anticipated threats have already become </w:t>
      </w:r>
      <w:r w:rsidR="005E2CAA" w:rsidRPr="00A41589">
        <w:rPr>
          <w:rFonts w:ascii="Calibri" w:hAnsi="Calibri" w:cs="Times New Roman"/>
          <w:sz w:val="22"/>
          <w:szCs w:val="22"/>
        </w:rPr>
        <w:t>real-world impacts.</w:t>
      </w:r>
      <w:r w:rsidR="00CE7A57">
        <w:rPr>
          <w:rFonts w:ascii="Calibri" w:hAnsi="Calibri" w:cs="Times New Roman"/>
          <w:sz w:val="22"/>
          <w:szCs w:val="22"/>
        </w:rPr>
        <w:t xml:space="preserve"> Table 1.1</w:t>
      </w:r>
      <w:r w:rsidR="009A4978">
        <w:rPr>
          <w:rFonts w:ascii="Calibri" w:hAnsi="Calibri" w:cs="Times New Roman"/>
          <w:sz w:val="22"/>
          <w:szCs w:val="22"/>
        </w:rPr>
        <w:t xml:space="preserve"> </w:t>
      </w:r>
      <w:r w:rsidR="006E2408">
        <w:rPr>
          <w:rFonts w:ascii="Calibri" w:hAnsi="Calibri" w:cs="Times New Roman"/>
          <w:sz w:val="22"/>
          <w:szCs w:val="22"/>
        </w:rPr>
        <w:t>(</w:t>
      </w:r>
      <w:r w:rsidR="009A4978">
        <w:rPr>
          <w:rFonts w:ascii="Calibri" w:hAnsi="Calibri" w:cs="Times New Roman"/>
          <w:sz w:val="22"/>
          <w:szCs w:val="22"/>
        </w:rPr>
        <w:t>adapted from a 2013 Special Supplement to the Bulletin of the American Meteorological Society</w:t>
      </w:r>
      <w:r w:rsidR="00AC5CC7">
        <w:rPr>
          <w:rFonts w:ascii="Calibri" w:hAnsi="Calibri" w:cs="Times New Roman"/>
          <w:sz w:val="22"/>
          <w:szCs w:val="22"/>
        </w:rPr>
        <w:t xml:space="preserve">) </w:t>
      </w:r>
      <w:r w:rsidR="009A4978">
        <w:rPr>
          <w:rFonts w:ascii="Calibri" w:hAnsi="Calibri" w:cs="Times New Roman"/>
          <w:sz w:val="22"/>
          <w:szCs w:val="22"/>
        </w:rPr>
        <w:t>summarises evidence</w:t>
      </w:r>
      <w:r w:rsidR="006E2408">
        <w:rPr>
          <w:rFonts w:ascii="Calibri" w:hAnsi="Calibri" w:cs="Times New Roman"/>
          <w:sz w:val="22"/>
          <w:szCs w:val="22"/>
        </w:rPr>
        <w:t xml:space="preserve"> </w:t>
      </w:r>
      <w:r w:rsidR="00CC59CB">
        <w:rPr>
          <w:rFonts w:ascii="Calibri" w:hAnsi="Calibri" w:cs="Times New Roman"/>
          <w:sz w:val="22"/>
          <w:szCs w:val="22"/>
        </w:rPr>
        <w:t>outlining the role of climate change in</w:t>
      </w:r>
      <w:r w:rsidR="009A4978">
        <w:rPr>
          <w:rFonts w:ascii="Calibri" w:hAnsi="Calibri" w:cs="Times New Roman"/>
          <w:sz w:val="22"/>
          <w:szCs w:val="22"/>
        </w:rPr>
        <w:t xml:space="preserve"> present-day extreme weather events (those in 2013)</w:t>
      </w:r>
      <w:r w:rsidR="005E2CAA" w:rsidRPr="00A41589">
        <w:rPr>
          <w:rFonts w:ascii="Calibri" w:hAnsi="Calibri" w:cs="Times New Roman"/>
          <w:sz w:val="22"/>
          <w:szCs w:val="22"/>
        </w:rPr>
        <w:t>.</w:t>
      </w:r>
      <w:r w:rsidR="00B07B9E">
        <w:rPr>
          <w:rFonts w:ascii="Calibri" w:hAnsi="Calibri" w:cs="Times New Roman"/>
          <w:sz w:val="22"/>
          <w:szCs w:val="22"/>
        </w:rPr>
        <w:t xml:space="preserve"> </w:t>
      </w:r>
    </w:p>
    <w:p w:rsidR="002E37E8" w:rsidRDefault="002E37E8" w:rsidP="00A41589">
      <w:pPr>
        <w:jc w:val="both"/>
        <w:rPr>
          <w:rFonts w:ascii="Calibri" w:hAnsi="Calibri" w:cs="Times New Roman"/>
          <w:sz w:val="22"/>
          <w:szCs w:val="22"/>
        </w:rPr>
      </w:pPr>
    </w:p>
    <w:p w:rsidR="002E37E8" w:rsidRPr="00A41589" w:rsidRDefault="002E37E8" w:rsidP="00A41589">
      <w:pPr>
        <w:jc w:val="both"/>
        <w:rPr>
          <w:rFonts w:ascii="Calibri" w:hAnsi="Calibri" w:cs="Times New Roman"/>
          <w:sz w:val="22"/>
          <w:szCs w:val="22"/>
        </w:rPr>
      </w:pPr>
      <w:r>
        <w:rPr>
          <w:rFonts w:ascii="Calibri" w:hAnsi="Calibri"/>
          <w:sz w:val="22"/>
          <w:szCs w:val="22"/>
        </w:rPr>
        <w:t xml:space="preserve">Certain population groups are particularly vulnerable to the health effects of climate change, whether because of existing socioeconomic inequalities, cultural norms or intrinsic physiological factors.  This includes women, young children and older people, people with existing health problems or disabilities, and poor and marginalized communities.  Such inequalities are often also present in relation to the causes climate change: women and children both suffer the majority of the health impacts of indoor air pollution from inefficient cookstoves and kerosene lighting, and so mitigation measures can help to reduce existing health </w:t>
      </w:r>
      <w:r w:rsidR="00DB0FF9">
        <w:rPr>
          <w:rFonts w:ascii="Calibri" w:hAnsi="Calibri"/>
          <w:sz w:val="22"/>
          <w:szCs w:val="22"/>
        </w:rPr>
        <w:t xml:space="preserve">inequities </w:t>
      </w:r>
      <w:r>
        <w:rPr>
          <w:rFonts w:ascii="Calibri" w:hAnsi="Calibri"/>
          <w:sz w:val="22"/>
          <w:szCs w:val="22"/>
        </w:rPr>
        <w:t>such as these.</w:t>
      </w:r>
    </w:p>
    <w:p w:rsidR="00E92360" w:rsidRDefault="00E92360" w:rsidP="00A41589">
      <w:pPr>
        <w:jc w:val="both"/>
        <w:rPr>
          <w:rFonts w:ascii="Calibri" w:hAnsi="Calibri" w:cs="Times New Roman"/>
          <w:sz w:val="22"/>
          <w:szCs w:val="22"/>
        </w:rPr>
      </w:pPr>
    </w:p>
    <w:p w:rsidR="00CC5E3E" w:rsidRDefault="00CC5E3E" w:rsidP="00CC5E3E">
      <w:pPr>
        <w:jc w:val="both"/>
        <w:rPr>
          <w:rFonts w:ascii="Calibri" w:eastAsiaTheme="minorHAnsi" w:hAnsi="Calibri"/>
          <w:sz w:val="22"/>
          <w:szCs w:val="22"/>
          <w:lang w:val="en-AU" w:eastAsia="en-US"/>
        </w:rPr>
      </w:pPr>
    </w:p>
    <w:p w:rsidR="00CC5E3E" w:rsidRDefault="00CC5E3E" w:rsidP="00CC5E3E">
      <w:pPr>
        <w:jc w:val="both"/>
        <w:rPr>
          <w:rFonts w:ascii="Calibri" w:hAnsi="Calibri" w:cs="Times New Roman"/>
          <w:b/>
          <w:highlight w:val="yellow"/>
        </w:rPr>
      </w:pPr>
      <w:r>
        <w:rPr>
          <w:noProof/>
          <w:lang w:val="en-GB" w:eastAsia="en-GB"/>
        </w:rPr>
        <w:drawing>
          <wp:inline distT="0" distB="0" distL="0" distR="0">
            <wp:extent cx="5731510" cy="4011930"/>
            <wp:effectExtent l="0" t="0" r="2540" b="7620"/>
            <wp:docPr id="5" name="Picture 5" descr="C:\Users\Nick\Desktop\Climate change diagram - 17 12 no icons.jpg"/>
            <wp:cNvGraphicFramePr/>
            <a:graphic xmlns:a="http://schemas.openxmlformats.org/drawingml/2006/main">
              <a:graphicData uri="http://schemas.openxmlformats.org/drawingml/2006/picture">
                <pic:pic xmlns:pic="http://schemas.openxmlformats.org/drawingml/2006/picture">
                  <pic:nvPicPr>
                    <pic:cNvPr id="5" name="Picture 5" descr="C:\Users\Nick\Desktop\Climate change diagram - 17 12 no icons.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11930"/>
                    </a:xfrm>
                    <a:prstGeom prst="rect">
                      <a:avLst/>
                    </a:prstGeom>
                    <a:noFill/>
                    <a:ln>
                      <a:noFill/>
                    </a:ln>
                  </pic:spPr>
                </pic:pic>
              </a:graphicData>
            </a:graphic>
          </wp:inline>
        </w:drawing>
      </w:r>
    </w:p>
    <w:p w:rsidR="00CC5E3E" w:rsidRDefault="00CC5E3E" w:rsidP="00CC5E3E">
      <w:pPr>
        <w:spacing w:after="240"/>
        <w:jc w:val="both"/>
        <w:rPr>
          <w:rFonts w:ascii="Calibri" w:hAnsi="Calibri" w:cs="Times New Roman"/>
          <w:sz w:val="20"/>
          <w:szCs w:val="20"/>
        </w:rPr>
      </w:pPr>
      <w:r>
        <w:rPr>
          <w:rFonts w:ascii="Calibri" w:hAnsi="Calibri" w:cs="Times New Roman"/>
          <w:i/>
          <w:sz w:val="20"/>
          <w:szCs w:val="20"/>
        </w:rPr>
        <w:t>Figure 1.1:</w:t>
      </w:r>
      <w:r>
        <w:rPr>
          <w:rFonts w:ascii="Calibri" w:hAnsi="Calibri" w:cs="Times New Roman"/>
          <w:sz w:val="20"/>
          <w:szCs w:val="20"/>
        </w:rPr>
        <w:t xml:space="preserve"> This diagram provides an illustrative overview of many of the links between greenhouse gas emissions, climate change and health. The causal links are explained in greater detail in Section 1 of this Commission.</w:t>
      </w:r>
    </w:p>
    <w:p w:rsidR="00CC5E3E" w:rsidRDefault="00CC5E3E">
      <w:pPr>
        <w:spacing w:after="160" w:line="259" w:lineRule="auto"/>
        <w:rPr>
          <w:rFonts w:ascii="Calibri" w:hAnsi="Calibri" w:cs="Times New Roman"/>
          <w:b/>
          <w:highlight w:val="yellow"/>
        </w:rPr>
      </w:pPr>
      <w:r>
        <w:rPr>
          <w:rFonts w:ascii="Calibri" w:hAnsi="Calibri" w:cs="Times New Roman"/>
          <w:b/>
          <w:highlight w:val="yellow"/>
        </w:rPr>
        <w:br w:type="page"/>
      </w:r>
    </w:p>
    <w:p w:rsidR="00CC5E3E" w:rsidRDefault="00CC5E3E" w:rsidP="00CC5E3E">
      <w:pPr>
        <w:rPr>
          <w:lang w:val="en-GB"/>
        </w:rPr>
        <w:sectPr w:rsidR="00CC5E3E" w:rsidSect="005C5026">
          <w:footerReference w:type="default" r:id="rId9"/>
          <w:pgSz w:w="11906" w:h="16838"/>
          <w:pgMar w:top="1440" w:right="1440" w:bottom="1440" w:left="1440" w:header="708" w:footer="708" w:gutter="0"/>
          <w:lnNumType w:countBy="1" w:restart="continuous"/>
          <w:cols w:space="708"/>
          <w:docGrid w:linePitch="360"/>
        </w:sectPr>
      </w:pPr>
    </w:p>
    <w:p w:rsidR="00CC5E3E" w:rsidRPr="00CC5E3E" w:rsidRDefault="00CC5E3E" w:rsidP="00CC5E3E">
      <w:pPr>
        <w:rPr>
          <w:lang w:val="en-GB"/>
        </w:rPr>
      </w:pPr>
    </w:p>
    <w:tbl>
      <w:tblPr>
        <w:tblStyle w:val="TableGrid"/>
        <w:tblW w:w="16020" w:type="dxa"/>
        <w:tblInd w:w="-998" w:type="dxa"/>
        <w:tblLayout w:type="fixed"/>
        <w:tblLook w:val="04A0" w:firstRow="1" w:lastRow="0" w:firstColumn="1" w:lastColumn="0" w:noHBand="0" w:noVBand="1"/>
      </w:tblPr>
      <w:tblGrid>
        <w:gridCol w:w="1136"/>
        <w:gridCol w:w="2835"/>
        <w:gridCol w:w="4111"/>
        <w:gridCol w:w="2835"/>
        <w:gridCol w:w="4111"/>
        <w:gridCol w:w="992"/>
      </w:tblGrid>
      <w:tr w:rsidR="00CC5E3E" w:rsidTr="00CC5E3E">
        <w:tc>
          <w:tcPr>
            <w:tcW w:w="1135" w:type="dxa"/>
            <w:tcBorders>
              <w:top w:val="single" w:sz="4" w:space="0" w:color="auto"/>
              <w:left w:val="single" w:sz="4" w:space="0" w:color="auto"/>
              <w:bottom w:val="single" w:sz="4" w:space="0" w:color="auto"/>
              <w:right w:val="single" w:sz="4" w:space="0" w:color="auto"/>
            </w:tcBorders>
          </w:tcPr>
          <w:p w:rsidR="00CC5E3E" w:rsidRDefault="00CC5E3E">
            <w:pPr>
              <w:jc w:val="center"/>
              <w:rPr>
                <w:rFonts w:ascii="Gill Sans MT" w:hAnsi="Gill Sans MT" w:cs="Times New Roman"/>
                <w:b/>
                <w:sz w:val="15"/>
                <w:szCs w:val="15"/>
              </w:rPr>
            </w:pPr>
          </w:p>
        </w:tc>
        <w:tc>
          <w:tcPr>
            <w:tcW w:w="2835"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b/>
                <w:sz w:val="15"/>
                <w:szCs w:val="15"/>
              </w:rPr>
            </w:pPr>
            <w:r>
              <w:rPr>
                <w:rFonts w:ascii="Gill Sans MT" w:hAnsi="Gill Sans MT" w:cs="Times New Roman"/>
                <w:b/>
                <w:sz w:val="15"/>
                <w:szCs w:val="15"/>
              </w:rPr>
              <w:t>Summary Statement</w:t>
            </w:r>
          </w:p>
        </w:tc>
        <w:tc>
          <w:tcPr>
            <w:tcW w:w="4111"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b/>
                <w:sz w:val="15"/>
                <w:szCs w:val="15"/>
              </w:rPr>
            </w:pPr>
            <w:r>
              <w:rPr>
                <w:rFonts w:ascii="Gill Sans MT" w:hAnsi="Gill Sans MT" w:cs="Times New Roman"/>
                <w:b/>
                <w:sz w:val="15"/>
                <w:szCs w:val="15"/>
              </w:rPr>
              <w:t>Anthropogenic Influence Increased Event Likelihood or Strength</w:t>
            </w:r>
          </w:p>
        </w:tc>
        <w:tc>
          <w:tcPr>
            <w:tcW w:w="2835"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b/>
                <w:sz w:val="15"/>
                <w:szCs w:val="15"/>
              </w:rPr>
            </w:pPr>
            <w:r>
              <w:rPr>
                <w:rFonts w:ascii="Gill Sans MT" w:hAnsi="Gill Sans MT" w:cs="Times New Roman"/>
                <w:b/>
                <w:sz w:val="15"/>
                <w:szCs w:val="15"/>
              </w:rPr>
              <w:t>Anthropogenic Influence Decreased Event Likelihood or Strength</w:t>
            </w:r>
          </w:p>
        </w:tc>
        <w:tc>
          <w:tcPr>
            <w:tcW w:w="4111"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b/>
                <w:sz w:val="15"/>
                <w:szCs w:val="15"/>
              </w:rPr>
            </w:pPr>
            <w:r>
              <w:rPr>
                <w:rFonts w:ascii="Gill Sans MT" w:hAnsi="Gill Sans MT" w:cs="Times New Roman"/>
                <w:b/>
                <w:sz w:val="15"/>
                <w:szCs w:val="15"/>
              </w:rPr>
              <w:t>Anthropogenic Influence Not Found or Uncertain</w:t>
            </w:r>
          </w:p>
        </w:tc>
        <w:tc>
          <w:tcPr>
            <w:tcW w:w="992"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b/>
                <w:sz w:val="15"/>
                <w:szCs w:val="15"/>
              </w:rPr>
            </w:pPr>
            <w:r>
              <w:rPr>
                <w:rFonts w:ascii="Gill Sans MT" w:hAnsi="Gill Sans MT" w:cs="Times New Roman"/>
                <w:b/>
                <w:sz w:val="15"/>
                <w:szCs w:val="15"/>
              </w:rPr>
              <w:t>Number of Papers</w:t>
            </w:r>
          </w:p>
        </w:tc>
      </w:tr>
      <w:tr w:rsidR="00CC5E3E" w:rsidTr="00CC5E3E">
        <w:tc>
          <w:tcPr>
            <w:tcW w:w="1135" w:type="dxa"/>
            <w:tcBorders>
              <w:top w:val="single" w:sz="4" w:space="0" w:color="auto"/>
              <w:left w:val="single" w:sz="4" w:space="0" w:color="auto"/>
              <w:bottom w:val="single" w:sz="4" w:space="0" w:color="auto"/>
              <w:right w:val="single" w:sz="4" w:space="0" w:color="auto"/>
            </w:tcBorders>
            <w:hideMark/>
          </w:tcPr>
          <w:p w:rsidR="00CC5E3E" w:rsidRDefault="00CC5E3E">
            <w:pPr>
              <w:jc w:val="both"/>
              <w:rPr>
                <w:rFonts w:ascii="Gill Sans MT" w:hAnsi="Gill Sans MT" w:cs="Times New Roman"/>
                <w:b/>
                <w:sz w:val="15"/>
                <w:szCs w:val="15"/>
              </w:rPr>
            </w:pPr>
            <w:r>
              <w:rPr>
                <w:rFonts w:ascii="Gill Sans MT" w:hAnsi="Gill Sans MT" w:cs="Times New Roman"/>
                <w:b/>
                <w:sz w:val="15"/>
                <w:szCs w:val="15"/>
              </w:rPr>
              <w:t>Heat</w:t>
            </w:r>
          </w:p>
        </w:tc>
        <w:tc>
          <w:tcPr>
            <w:tcW w:w="2835" w:type="dxa"/>
            <w:tcBorders>
              <w:top w:val="single" w:sz="4" w:space="0" w:color="auto"/>
              <w:left w:val="single" w:sz="4" w:space="0" w:color="auto"/>
              <w:bottom w:val="single" w:sz="4" w:space="0" w:color="auto"/>
              <w:right w:val="single" w:sz="4" w:space="0" w:color="auto"/>
            </w:tcBorders>
          </w:tcPr>
          <w:p w:rsidR="00CC5E3E" w:rsidRDefault="00CC5E3E">
            <w:pPr>
              <w:spacing w:before="73" w:line="249" w:lineRule="auto"/>
              <w:ind w:left="117" w:right="103"/>
              <w:rPr>
                <w:rFonts w:ascii="Gill Sans MT" w:eastAsia="Gill Sans MT" w:hAnsi="Gill Sans MT" w:cs="Gill Sans MT"/>
                <w:sz w:val="15"/>
                <w:szCs w:val="15"/>
              </w:rPr>
            </w:pPr>
            <w:r>
              <w:rPr>
                <w:rFonts w:ascii="Gill Sans MT" w:eastAsia="Gill Sans MT" w:hAnsi="Gill Sans MT" w:cs="Gill Sans MT"/>
                <w:color w:val="231F20"/>
                <w:spacing w:val="2"/>
                <w:sz w:val="15"/>
                <w:szCs w:val="15"/>
              </w:rPr>
              <w:t>Lon</w:t>
            </w:r>
            <w:r>
              <w:rPr>
                <w:rFonts w:ascii="Gill Sans MT" w:eastAsia="Gill Sans MT" w:hAnsi="Gill Sans MT" w:cs="Gill Sans MT"/>
                <w:color w:val="231F20"/>
                <w:sz w:val="15"/>
                <w:szCs w:val="15"/>
              </w:rPr>
              <w:t>g</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3"/>
                <w:sz w:val="15"/>
                <w:szCs w:val="15"/>
              </w:rPr>
              <w:t>d</w:t>
            </w:r>
            <w:r>
              <w:rPr>
                <w:rFonts w:ascii="Gill Sans MT" w:eastAsia="Gill Sans MT" w:hAnsi="Gill Sans MT" w:cs="Gill Sans MT"/>
                <w:color w:val="231F20"/>
                <w:spacing w:val="2"/>
                <w:sz w:val="15"/>
                <w:szCs w:val="15"/>
              </w:rPr>
              <w:t>u</w:t>
            </w:r>
            <w:r>
              <w:rPr>
                <w:rFonts w:ascii="Gill Sans MT" w:eastAsia="Gill Sans MT" w:hAnsi="Gill Sans MT" w:cs="Gill Sans MT"/>
                <w:color w:val="231F20"/>
                <w:spacing w:val="5"/>
                <w:sz w:val="15"/>
                <w:szCs w:val="15"/>
              </w:rPr>
              <w:t>r</w:t>
            </w:r>
            <w:r>
              <w:rPr>
                <w:rFonts w:ascii="Gill Sans MT" w:eastAsia="Gill Sans MT" w:hAnsi="Gill Sans MT" w:cs="Gill Sans MT"/>
                <w:color w:val="231F20"/>
                <w:spacing w:val="2"/>
                <w:sz w:val="15"/>
                <w:szCs w:val="15"/>
              </w:rPr>
              <w:t>a</w:t>
            </w:r>
            <w:r>
              <w:rPr>
                <w:rFonts w:ascii="Gill Sans MT" w:eastAsia="Gill Sans MT" w:hAnsi="Gill Sans MT" w:cs="Gill Sans MT"/>
                <w:color w:val="231F20"/>
                <w:spacing w:val="3"/>
                <w:sz w:val="15"/>
                <w:szCs w:val="15"/>
              </w:rPr>
              <w:t>t</w:t>
            </w:r>
            <w:r>
              <w:rPr>
                <w:rFonts w:ascii="Gill Sans MT" w:eastAsia="Gill Sans MT" w:hAnsi="Gill Sans MT" w:cs="Gill Sans MT"/>
                <w:color w:val="231F20"/>
                <w:spacing w:val="2"/>
                <w:sz w:val="15"/>
                <w:szCs w:val="15"/>
              </w:rPr>
              <w:t>io</w:t>
            </w:r>
            <w:r>
              <w:rPr>
                <w:rFonts w:ascii="Gill Sans MT" w:eastAsia="Gill Sans MT" w:hAnsi="Gill Sans MT" w:cs="Gill Sans MT"/>
                <w:color w:val="231F20"/>
                <w:sz w:val="15"/>
                <w:szCs w:val="15"/>
              </w:rPr>
              <w:t>n</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2"/>
                <w:sz w:val="15"/>
                <w:szCs w:val="15"/>
              </w:rPr>
              <w:t>h</w:t>
            </w:r>
            <w:r>
              <w:rPr>
                <w:rFonts w:ascii="Gill Sans MT" w:eastAsia="Gill Sans MT" w:hAnsi="Gill Sans MT" w:cs="Gill Sans MT"/>
                <w:color w:val="231F20"/>
                <w:spacing w:val="5"/>
                <w:sz w:val="15"/>
                <w:szCs w:val="15"/>
              </w:rPr>
              <w:t>e</w:t>
            </w:r>
            <w:r>
              <w:rPr>
                <w:rFonts w:ascii="Gill Sans MT" w:eastAsia="Gill Sans MT" w:hAnsi="Gill Sans MT" w:cs="Gill Sans MT"/>
                <w:color w:val="231F20"/>
                <w:spacing w:val="2"/>
                <w:sz w:val="15"/>
                <w:szCs w:val="15"/>
              </w:rPr>
              <w:t>a</w:t>
            </w:r>
            <w:r>
              <w:rPr>
                <w:rFonts w:ascii="Gill Sans MT" w:eastAsia="Gill Sans MT" w:hAnsi="Gill Sans MT" w:cs="Gill Sans MT"/>
                <w:color w:val="231F20"/>
                <w:sz w:val="15"/>
                <w:szCs w:val="15"/>
              </w:rPr>
              <w:t>t</w:t>
            </w:r>
            <w:r>
              <w:rPr>
                <w:rFonts w:ascii="Gill Sans MT" w:eastAsia="Gill Sans MT" w:hAnsi="Gill Sans MT" w:cs="Gill Sans MT"/>
                <w:color w:val="231F20"/>
                <w:spacing w:val="4"/>
                <w:sz w:val="15"/>
                <w:szCs w:val="15"/>
              </w:rPr>
              <w:t xml:space="preserve"> w</w:t>
            </w:r>
            <w:r>
              <w:rPr>
                <w:rFonts w:ascii="Gill Sans MT" w:eastAsia="Gill Sans MT" w:hAnsi="Gill Sans MT" w:cs="Gill Sans MT"/>
                <w:color w:val="231F20"/>
                <w:sz w:val="15"/>
                <w:szCs w:val="15"/>
              </w:rPr>
              <w:t>av</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s</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3"/>
                <w:sz w:val="15"/>
                <w:szCs w:val="15"/>
              </w:rPr>
              <w:t>d</w:t>
            </w:r>
            <w:r>
              <w:rPr>
                <w:rFonts w:ascii="Gill Sans MT" w:eastAsia="Gill Sans MT" w:hAnsi="Gill Sans MT" w:cs="Gill Sans MT"/>
                <w:color w:val="231F20"/>
                <w:spacing w:val="2"/>
                <w:sz w:val="15"/>
                <w:szCs w:val="15"/>
              </w:rPr>
              <w:t>u</w:t>
            </w:r>
            <w:r>
              <w:rPr>
                <w:rFonts w:ascii="Gill Sans MT" w:eastAsia="Gill Sans MT" w:hAnsi="Gill Sans MT" w:cs="Gill Sans MT"/>
                <w:color w:val="231F20"/>
                <w:sz w:val="15"/>
                <w:szCs w:val="15"/>
              </w:rPr>
              <w:t>r</w:t>
            </w:r>
            <w:r>
              <w:rPr>
                <w:rFonts w:ascii="Gill Sans MT" w:eastAsia="Gill Sans MT" w:hAnsi="Gill Sans MT" w:cs="Gill Sans MT"/>
                <w:color w:val="231F20"/>
                <w:spacing w:val="2"/>
                <w:sz w:val="15"/>
                <w:szCs w:val="15"/>
              </w:rPr>
              <w:t>in</w:t>
            </w:r>
            <w:r>
              <w:rPr>
                <w:rFonts w:ascii="Gill Sans MT" w:eastAsia="Gill Sans MT" w:hAnsi="Gill Sans MT" w:cs="Gill Sans MT"/>
                <w:color w:val="231F20"/>
                <w:sz w:val="15"/>
                <w:szCs w:val="15"/>
              </w:rPr>
              <w:t>g</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w w:val="101"/>
                <w:sz w:val="15"/>
                <w:szCs w:val="15"/>
              </w:rPr>
              <w:t>t</w:t>
            </w:r>
            <w:r>
              <w:rPr>
                <w:rFonts w:ascii="Gill Sans MT" w:eastAsia="Gill Sans MT" w:hAnsi="Gill Sans MT" w:cs="Gill Sans MT"/>
                <w:color w:val="231F20"/>
                <w:spacing w:val="2"/>
                <w:w w:val="101"/>
                <w:sz w:val="15"/>
                <w:szCs w:val="15"/>
              </w:rPr>
              <w:t>h</w:t>
            </w:r>
            <w:r>
              <w:rPr>
                <w:rFonts w:ascii="Gill Sans MT" w:eastAsia="Gill Sans MT" w:hAnsi="Gill Sans MT" w:cs="Gill Sans MT"/>
                <w:color w:val="231F20"/>
                <w:w w:val="101"/>
                <w:sz w:val="15"/>
                <w:szCs w:val="15"/>
              </w:rPr>
              <w:t xml:space="preserve">e </w:t>
            </w:r>
            <w:r>
              <w:rPr>
                <w:rFonts w:ascii="Gill Sans MT" w:eastAsia="Gill Sans MT" w:hAnsi="Gill Sans MT" w:cs="Gill Sans MT"/>
                <w:color w:val="231F20"/>
                <w:spacing w:val="2"/>
                <w:sz w:val="15"/>
                <w:szCs w:val="15"/>
              </w:rPr>
              <w:t>s</w:t>
            </w:r>
            <w:r>
              <w:rPr>
                <w:rFonts w:ascii="Gill Sans MT" w:eastAsia="Gill Sans MT" w:hAnsi="Gill Sans MT" w:cs="Gill Sans MT"/>
                <w:color w:val="231F20"/>
                <w:spacing w:val="3"/>
                <w:sz w:val="15"/>
                <w:szCs w:val="15"/>
              </w:rPr>
              <w:t>um</w:t>
            </w:r>
            <w:r>
              <w:rPr>
                <w:rFonts w:ascii="Gill Sans MT" w:eastAsia="Gill Sans MT" w:hAnsi="Gill Sans MT" w:cs="Gill Sans MT"/>
                <w:color w:val="231F20"/>
                <w:spacing w:val="2"/>
                <w:sz w:val="15"/>
                <w:szCs w:val="15"/>
              </w:rPr>
              <w:t>m</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r</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3"/>
                <w:sz w:val="15"/>
                <w:szCs w:val="15"/>
              </w:rPr>
              <w:t>a</w:t>
            </w:r>
            <w:r>
              <w:rPr>
                <w:rFonts w:ascii="Gill Sans MT" w:eastAsia="Gill Sans MT" w:hAnsi="Gill Sans MT" w:cs="Gill Sans MT"/>
                <w:color w:val="231F20"/>
                <w:spacing w:val="2"/>
                <w:sz w:val="15"/>
                <w:szCs w:val="15"/>
              </w:rPr>
              <w:t>n</w:t>
            </w:r>
            <w:r>
              <w:rPr>
                <w:rFonts w:ascii="Gill Sans MT" w:eastAsia="Gill Sans MT" w:hAnsi="Gill Sans MT" w:cs="Gill Sans MT"/>
                <w:color w:val="231F20"/>
                <w:sz w:val="15"/>
                <w:szCs w:val="15"/>
              </w:rPr>
              <w:t>d</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pacing w:val="2"/>
                <w:sz w:val="15"/>
                <w:szCs w:val="15"/>
              </w:rPr>
              <w:t>p</w:t>
            </w:r>
            <w:r>
              <w:rPr>
                <w:rFonts w:ascii="Gill Sans MT" w:eastAsia="Gill Sans MT" w:hAnsi="Gill Sans MT" w:cs="Gill Sans MT"/>
                <w:color w:val="231F20"/>
                <w:spacing w:val="1"/>
                <w:sz w:val="15"/>
                <w:szCs w:val="15"/>
              </w:rPr>
              <w:t>re</w:t>
            </w:r>
            <w:r>
              <w:rPr>
                <w:rFonts w:ascii="Gill Sans MT" w:eastAsia="Gill Sans MT" w:hAnsi="Gill Sans MT" w:cs="Gill Sans MT"/>
                <w:color w:val="231F20"/>
                <w:spacing w:val="4"/>
                <w:sz w:val="15"/>
                <w:szCs w:val="15"/>
              </w:rPr>
              <w:t>v</w:t>
            </w:r>
            <w:r>
              <w:rPr>
                <w:rFonts w:ascii="Gill Sans MT" w:eastAsia="Gill Sans MT" w:hAnsi="Gill Sans MT" w:cs="Gill Sans MT"/>
                <w:color w:val="231F20"/>
                <w:spacing w:val="2"/>
                <w:sz w:val="15"/>
                <w:szCs w:val="15"/>
              </w:rPr>
              <w:t>ailin</w:t>
            </w:r>
            <w:r>
              <w:rPr>
                <w:rFonts w:ascii="Gill Sans MT" w:eastAsia="Gill Sans MT" w:hAnsi="Gill Sans MT" w:cs="Gill Sans MT"/>
                <w:color w:val="231F20"/>
                <w:sz w:val="15"/>
                <w:szCs w:val="15"/>
              </w:rPr>
              <w:t>g</w:t>
            </w:r>
            <w:r>
              <w:rPr>
                <w:rFonts w:ascii="Gill Sans MT" w:eastAsia="Gill Sans MT" w:hAnsi="Gill Sans MT" w:cs="Gill Sans MT"/>
                <w:color w:val="231F20"/>
                <w:spacing w:val="7"/>
                <w:sz w:val="15"/>
                <w:szCs w:val="15"/>
              </w:rPr>
              <w:t xml:space="preserve"> </w:t>
            </w:r>
            <w:r>
              <w:rPr>
                <w:rFonts w:ascii="Gill Sans MT" w:eastAsia="Gill Sans MT" w:hAnsi="Gill Sans MT" w:cs="Gill Sans MT"/>
                <w:color w:val="231F20"/>
                <w:spacing w:val="4"/>
                <w:sz w:val="15"/>
                <w:szCs w:val="15"/>
              </w:rPr>
              <w:t>w</w:t>
            </w:r>
            <w:r>
              <w:rPr>
                <w:rFonts w:ascii="Gill Sans MT" w:eastAsia="Gill Sans MT" w:hAnsi="Gill Sans MT" w:cs="Gill Sans MT"/>
                <w:color w:val="231F20"/>
                <w:spacing w:val="2"/>
                <w:sz w:val="15"/>
                <w:szCs w:val="15"/>
              </w:rPr>
              <w:t>a</w:t>
            </w:r>
            <w:r>
              <w:rPr>
                <w:rFonts w:ascii="Gill Sans MT" w:eastAsia="Gill Sans MT" w:hAnsi="Gill Sans MT" w:cs="Gill Sans MT"/>
                <w:color w:val="231F20"/>
                <w:spacing w:val="3"/>
                <w:sz w:val="15"/>
                <w:szCs w:val="15"/>
              </w:rPr>
              <w:t>rm</w:t>
            </w:r>
            <w:r>
              <w:rPr>
                <w:rFonts w:ascii="Gill Sans MT" w:eastAsia="Gill Sans MT" w:hAnsi="Gill Sans MT" w:cs="Gill Sans MT"/>
                <w:color w:val="231F20"/>
                <w:spacing w:val="4"/>
                <w:sz w:val="15"/>
                <w:szCs w:val="15"/>
              </w:rPr>
              <w:t>t</w:t>
            </w:r>
            <w:r>
              <w:rPr>
                <w:rFonts w:ascii="Gill Sans MT" w:eastAsia="Gill Sans MT" w:hAnsi="Gill Sans MT" w:cs="Gill Sans MT"/>
                <w:color w:val="231F20"/>
                <w:sz w:val="15"/>
                <w:szCs w:val="15"/>
              </w:rPr>
              <w:t>h</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1"/>
                <w:w w:val="101"/>
                <w:sz w:val="15"/>
                <w:szCs w:val="15"/>
              </w:rPr>
              <w:t>f</w:t>
            </w:r>
            <w:r>
              <w:rPr>
                <w:rFonts w:ascii="Gill Sans MT" w:eastAsia="Gill Sans MT" w:hAnsi="Gill Sans MT" w:cs="Gill Sans MT"/>
                <w:color w:val="231F20"/>
                <w:spacing w:val="2"/>
                <w:w w:val="101"/>
                <w:sz w:val="15"/>
                <w:szCs w:val="15"/>
              </w:rPr>
              <w:t>o</w:t>
            </w:r>
            <w:r>
              <w:rPr>
                <w:rFonts w:ascii="Gill Sans MT" w:eastAsia="Gill Sans MT" w:hAnsi="Gill Sans MT" w:cs="Gill Sans MT"/>
                <w:color w:val="231F20"/>
                <w:w w:val="101"/>
                <w:sz w:val="15"/>
                <w:szCs w:val="15"/>
              </w:rPr>
              <w:t xml:space="preserve">r </w:t>
            </w:r>
            <w:r>
              <w:rPr>
                <w:rFonts w:ascii="Gill Sans MT" w:eastAsia="Gill Sans MT" w:hAnsi="Gill Sans MT" w:cs="Gill Sans MT"/>
                <w:color w:val="231F20"/>
                <w:spacing w:val="3"/>
                <w:sz w:val="15"/>
                <w:szCs w:val="15"/>
              </w:rPr>
              <w:t>a</w:t>
            </w:r>
            <w:r>
              <w:rPr>
                <w:rFonts w:ascii="Gill Sans MT" w:eastAsia="Gill Sans MT" w:hAnsi="Gill Sans MT" w:cs="Gill Sans MT"/>
                <w:color w:val="231F20"/>
                <w:spacing w:val="2"/>
                <w:sz w:val="15"/>
                <w:szCs w:val="15"/>
              </w:rPr>
              <w:t>nn</w:t>
            </w:r>
            <w:r>
              <w:rPr>
                <w:rFonts w:ascii="Gill Sans MT" w:eastAsia="Gill Sans MT" w:hAnsi="Gill Sans MT" w:cs="Gill Sans MT"/>
                <w:color w:val="231F20"/>
                <w:spacing w:val="4"/>
                <w:sz w:val="15"/>
                <w:szCs w:val="15"/>
              </w:rPr>
              <w:t>u</w:t>
            </w:r>
            <w:r>
              <w:rPr>
                <w:rFonts w:ascii="Gill Sans MT" w:eastAsia="Gill Sans MT" w:hAnsi="Gill Sans MT" w:cs="Gill Sans MT"/>
                <w:color w:val="231F20"/>
                <w:spacing w:val="2"/>
                <w:sz w:val="15"/>
                <w:szCs w:val="15"/>
              </w:rPr>
              <w:t>a</w:t>
            </w:r>
            <w:r>
              <w:rPr>
                <w:rFonts w:ascii="Gill Sans MT" w:eastAsia="Gill Sans MT" w:hAnsi="Gill Sans MT" w:cs="Gill Sans MT"/>
                <w:color w:val="231F20"/>
                <w:sz w:val="15"/>
                <w:szCs w:val="15"/>
              </w:rPr>
              <w:t>l</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1"/>
                <w:sz w:val="15"/>
                <w:szCs w:val="15"/>
              </w:rPr>
              <w:t>c</w:t>
            </w:r>
            <w:r>
              <w:rPr>
                <w:rFonts w:ascii="Gill Sans MT" w:eastAsia="Gill Sans MT" w:hAnsi="Gill Sans MT" w:cs="Gill Sans MT"/>
                <w:color w:val="231F20"/>
                <w:spacing w:val="2"/>
                <w:sz w:val="15"/>
                <w:szCs w:val="15"/>
              </w:rPr>
              <w:t>on</w:t>
            </w:r>
            <w:r>
              <w:rPr>
                <w:rFonts w:ascii="Gill Sans MT" w:eastAsia="Gill Sans MT" w:hAnsi="Gill Sans MT" w:cs="Gill Sans MT"/>
                <w:color w:val="231F20"/>
                <w:spacing w:val="3"/>
                <w:sz w:val="15"/>
                <w:szCs w:val="15"/>
              </w:rPr>
              <w:t>dit</w:t>
            </w:r>
            <w:r>
              <w:rPr>
                <w:rFonts w:ascii="Gill Sans MT" w:eastAsia="Gill Sans MT" w:hAnsi="Gill Sans MT" w:cs="Gill Sans MT"/>
                <w:color w:val="231F20"/>
                <w:spacing w:val="2"/>
                <w:sz w:val="15"/>
                <w:szCs w:val="15"/>
              </w:rPr>
              <w:t>io</w:t>
            </w:r>
            <w:r>
              <w:rPr>
                <w:rFonts w:ascii="Gill Sans MT" w:eastAsia="Gill Sans MT" w:hAnsi="Gill Sans MT" w:cs="Gill Sans MT"/>
                <w:color w:val="231F20"/>
                <w:spacing w:val="3"/>
                <w:sz w:val="15"/>
                <w:szCs w:val="15"/>
              </w:rPr>
              <w:t>n</w:t>
            </w:r>
            <w:r>
              <w:rPr>
                <w:rFonts w:ascii="Gill Sans MT" w:eastAsia="Gill Sans MT" w:hAnsi="Gill Sans MT" w:cs="Gill Sans MT"/>
                <w:color w:val="231F20"/>
                <w:sz w:val="15"/>
                <w:szCs w:val="15"/>
              </w:rPr>
              <w:t>s</w:t>
            </w:r>
            <w:r>
              <w:rPr>
                <w:rFonts w:ascii="Gill Sans MT" w:eastAsia="Gill Sans MT" w:hAnsi="Gill Sans MT" w:cs="Gill Sans MT"/>
                <w:color w:val="231F20"/>
                <w:spacing w:val="7"/>
                <w:sz w:val="15"/>
                <w:szCs w:val="15"/>
              </w:rPr>
              <w:t xml:space="preserve"> </w:t>
            </w:r>
            <w:r>
              <w:rPr>
                <w:rFonts w:ascii="Gill Sans MT" w:eastAsia="Gill Sans MT" w:hAnsi="Gill Sans MT" w:cs="Gill Sans MT"/>
                <w:color w:val="231F20"/>
                <w:spacing w:val="2"/>
                <w:sz w:val="15"/>
                <w:szCs w:val="15"/>
              </w:rPr>
              <w:t>a</w:t>
            </w:r>
            <w:r>
              <w:rPr>
                <w:rFonts w:ascii="Gill Sans MT" w:eastAsia="Gill Sans MT" w:hAnsi="Gill Sans MT" w:cs="Gill Sans MT"/>
                <w:color w:val="231F20"/>
                <w:spacing w:val="1"/>
                <w:sz w:val="15"/>
                <w:szCs w:val="15"/>
              </w:rPr>
              <w:t>r</w:t>
            </w:r>
            <w:r>
              <w:rPr>
                <w:rFonts w:ascii="Gill Sans MT" w:eastAsia="Gill Sans MT" w:hAnsi="Gill Sans MT" w:cs="Gill Sans MT"/>
                <w:color w:val="231F20"/>
                <w:sz w:val="15"/>
                <w:szCs w:val="15"/>
              </w:rPr>
              <w:t>e</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pacing w:val="3"/>
                <w:w w:val="101"/>
                <w:sz w:val="15"/>
                <w:szCs w:val="15"/>
              </w:rPr>
              <w:t>be</w:t>
            </w:r>
            <w:r>
              <w:rPr>
                <w:rFonts w:ascii="Gill Sans MT" w:eastAsia="Gill Sans MT" w:hAnsi="Gill Sans MT" w:cs="Gill Sans MT"/>
                <w:color w:val="231F20"/>
                <w:spacing w:val="1"/>
                <w:w w:val="101"/>
                <w:sz w:val="15"/>
                <w:szCs w:val="15"/>
              </w:rPr>
              <w:t>c</w:t>
            </w:r>
            <w:r>
              <w:rPr>
                <w:rFonts w:ascii="Gill Sans MT" w:eastAsia="Gill Sans MT" w:hAnsi="Gill Sans MT" w:cs="Gill Sans MT"/>
                <w:color w:val="231F20"/>
                <w:spacing w:val="3"/>
                <w:w w:val="101"/>
                <w:sz w:val="15"/>
                <w:szCs w:val="15"/>
              </w:rPr>
              <w:t>o</w:t>
            </w:r>
            <w:r>
              <w:rPr>
                <w:rFonts w:ascii="Gill Sans MT" w:eastAsia="Gill Sans MT" w:hAnsi="Gill Sans MT" w:cs="Gill Sans MT"/>
                <w:color w:val="231F20"/>
                <w:spacing w:val="2"/>
                <w:w w:val="101"/>
                <w:sz w:val="15"/>
                <w:szCs w:val="15"/>
              </w:rPr>
              <w:t>min</w:t>
            </w:r>
            <w:r>
              <w:rPr>
                <w:rFonts w:ascii="Gill Sans MT" w:eastAsia="Gill Sans MT" w:hAnsi="Gill Sans MT" w:cs="Gill Sans MT"/>
                <w:color w:val="231F20"/>
                <w:w w:val="101"/>
                <w:sz w:val="15"/>
                <w:szCs w:val="15"/>
              </w:rPr>
              <w:t xml:space="preserve">g </w:t>
            </w:r>
            <w:r>
              <w:rPr>
                <w:rFonts w:ascii="Gill Sans MT" w:eastAsia="Gill Sans MT" w:hAnsi="Gill Sans MT" w:cs="Gill Sans MT"/>
                <w:color w:val="231F20"/>
                <w:spacing w:val="3"/>
                <w:sz w:val="15"/>
                <w:szCs w:val="15"/>
              </w:rPr>
              <w:t>inc</w:t>
            </w:r>
            <w:r>
              <w:rPr>
                <w:rFonts w:ascii="Gill Sans MT" w:eastAsia="Gill Sans MT" w:hAnsi="Gill Sans MT" w:cs="Gill Sans MT"/>
                <w:color w:val="231F20"/>
                <w:spacing w:val="1"/>
                <w:sz w:val="15"/>
                <w:szCs w:val="15"/>
              </w:rPr>
              <w:t>r</w:t>
            </w:r>
            <w:r>
              <w:rPr>
                <w:rFonts w:ascii="Gill Sans MT" w:eastAsia="Gill Sans MT" w:hAnsi="Gill Sans MT" w:cs="Gill Sans MT"/>
                <w:color w:val="231F20"/>
                <w:spacing w:val="4"/>
                <w:sz w:val="15"/>
                <w:szCs w:val="15"/>
              </w:rPr>
              <w:t>ea</w:t>
            </w:r>
            <w:r>
              <w:rPr>
                <w:rFonts w:ascii="Gill Sans MT" w:eastAsia="Gill Sans MT" w:hAnsi="Gill Sans MT" w:cs="Gill Sans MT"/>
                <w:color w:val="231F20"/>
                <w:spacing w:val="2"/>
                <w:sz w:val="15"/>
                <w:szCs w:val="15"/>
              </w:rPr>
              <w:t>sin</w:t>
            </w:r>
            <w:r>
              <w:rPr>
                <w:rFonts w:ascii="Gill Sans MT" w:eastAsia="Gill Sans MT" w:hAnsi="Gill Sans MT" w:cs="Gill Sans MT"/>
                <w:color w:val="231F20"/>
                <w:spacing w:val="3"/>
                <w:sz w:val="15"/>
                <w:szCs w:val="15"/>
              </w:rPr>
              <w:t>g</w:t>
            </w:r>
            <w:r>
              <w:rPr>
                <w:rFonts w:ascii="Gill Sans MT" w:eastAsia="Gill Sans MT" w:hAnsi="Gill Sans MT" w:cs="Gill Sans MT"/>
                <w:color w:val="231F20"/>
                <w:spacing w:val="2"/>
                <w:sz w:val="15"/>
                <w:szCs w:val="15"/>
              </w:rPr>
              <w:t>l</w:t>
            </w:r>
            <w:r>
              <w:rPr>
                <w:rFonts w:ascii="Gill Sans MT" w:eastAsia="Gill Sans MT" w:hAnsi="Gill Sans MT" w:cs="Gill Sans MT"/>
                <w:color w:val="231F20"/>
                <w:sz w:val="15"/>
                <w:szCs w:val="15"/>
              </w:rPr>
              <w:t>y</w:t>
            </w:r>
            <w:r>
              <w:rPr>
                <w:rFonts w:ascii="Gill Sans MT" w:eastAsia="Gill Sans MT" w:hAnsi="Gill Sans MT" w:cs="Gill Sans MT"/>
                <w:color w:val="231F20"/>
                <w:spacing w:val="8"/>
                <w:sz w:val="15"/>
                <w:szCs w:val="15"/>
              </w:rPr>
              <w:t xml:space="preserve"> </w:t>
            </w:r>
            <w:r>
              <w:rPr>
                <w:rFonts w:ascii="Gill Sans MT" w:eastAsia="Gill Sans MT" w:hAnsi="Gill Sans MT" w:cs="Gill Sans MT"/>
                <w:color w:val="231F20"/>
                <w:spacing w:val="3"/>
                <w:sz w:val="15"/>
                <w:szCs w:val="15"/>
              </w:rPr>
              <w:t>li</w:t>
            </w:r>
            <w:r>
              <w:rPr>
                <w:rFonts w:ascii="Gill Sans MT" w:eastAsia="Gill Sans MT" w:hAnsi="Gill Sans MT" w:cs="Gill Sans MT"/>
                <w:color w:val="231F20"/>
                <w:sz w:val="15"/>
                <w:szCs w:val="15"/>
              </w:rPr>
              <w:t>ke</w:t>
            </w:r>
            <w:r>
              <w:rPr>
                <w:rFonts w:ascii="Gill Sans MT" w:eastAsia="Gill Sans MT" w:hAnsi="Gill Sans MT" w:cs="Gill Sans MT"/>
                <w:color w:val="231F20"/>
                <w:spacing w:val="2"/>
                <w:sz w:val="15"/>
                <w:szCs w:val="15"/>
              </w:rPr>
              <w:t>l</w:t>
            </w:r>
            <w:r>
              <w:rPr>
                <w:rFonts w:ascii="Gill Sans MT" w:eastAsia="Gill Sans MT" w:hAnsi="Gill Sans MT" w:cs="Gill Sans MT"/>
                <w:color w:val="231F20"/>
                <w:sz w:val="15"/>
                <w:szCs w:val="15"/>
              </w:rPr>
              <w:t>y</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2"/>
                <w:sz w:val="15"/>
                <w:szCs w:val="15"/>
              </w:rPr>
              <w:t>d</w:t>
            </w:r>
            <w:r>
              <w:rPr>
                <w:rFonts w:ascii="Gill Sans MT" w:eastAsia="Gill Sans MT" w:hAnsi="Gill Sans MT" w:cs="Gill Sans MT"/>
                <w:color w:val="231F20"/>
                <w:spacing w:val="3"/>
                <w:sz w:val="15"/>
                <w:szCs w:val="15"/>
              </w:rPr>
              <w:t>u</w:t>
            </w:r>
            <w:r>
              <w:rPr>
                <w:rFonts w:ascii="Gill Sans MT" w:eastAsia="Gill Sans MT" w:hAnsi="Gill Sans MT" w:cs="Gill Sans MT"/>
                <w:color w:val="231F20"/>
                <w:sz w:val="15"/>
                <w:szCs w:val="15"/>
              </w:rPr>
              <w:t>e</w:t>
            </w:r>
            <w:r>
              <w:rPr>
                <w:rFonts w:ascii="Gill Sans MT" w:eastAsia="Gill Sans MT" w:hAnsi="Gill Sans MT" w:cs="Gill Sans MT"/>
                <w:color w:val="231F20"/>
                <w:spacing w:val="3"/>
                <w:sz w:val="15"/>
                <w:szCs w:val="15"/>
              </w:rPr>
              <w:t xml:space="preserve"> t</w:t>
            </w:r>
            <w:r>
              <w:rPr>
                <w:rFonts w:ascii="Gill Sans MT" w:eastAsia="Gill Sans MT" w:hAnsi="Gill Sans MT" w:cs="Gill Sans MT"/>
                <w:color w:val="231F20"/>
                <w:sz w:val="15"/>
                <w:szCs w:val="15"/>
              </w:rPr>
              <w:t>o</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z w:val="15"/>
                <w:szCs w:val="15"/>
              </w:rPr>
              <w:t>a</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4"/>
                <w:w w:val="101"/>
                <w:sz w:val="15"/>
                <w:szCs w:val="15"/>
              </w:rPr>
              <w:t>w</w:t>
            </w:r>
            <w:r>
              <w:rPr>
                <w:rFonts w:ascii="Gill Sans MT" w:eastAsia="Gill Sans MT" w:hAnsi="Gill Sans MT" w:cs="Gill Sans MT"/>
                <w:color w:val="231F20"/>
                <w:spacing w:val="2"/>
                <w:w w:val="101"/>
                <w:sz w:val="15"/>
                <w:szCs w:val="15"/>
              </w:rPr>
              <w:t>ar</w:t>
            </w:r>
            <w:r>
              <w:rPr>
                <w:rFonts w:ascii="Gill Sans MT" w:eastAsia="Gill Sans MT" w:hAnsi="Gill Sans MT" w:cs="Gill Sans MT"/>
                <w:color w:val="231F20"/>
                <w:spacing w:val="3"/>
                <w:w w:val="101"/>
                <w:sz w:val="15"/>
                <w:szCs w:val="15"/>
              </w:rPr>
              <w:t>mi</w:t>
            </w:r>
            <w:r>
              <w:rPr>
                <w:rFonts w:ascii="Gill Sans MT" w:eastAsia="Gill Sans MT" w:hAnsi="Gill Sans MT" w:cs="Gill Sans MT"/>
                <w:color w:val="231F20"/>
                <w:spacing w:val="2"/>
                <w:w w:val="101"/>
                <w:sz w:val="15"/>
                <w:szCs w:val="15"/>
              </w:rPr>
              <w:t>n</w:t>
            </w:r>
            <w:r>
              <w:rPr>
                <w:rFonts w:ascii="Gill Sans MT" w:eastAsia="Gill Sans MT" w:hAnsi="Gill Sans MT" w:cs="Gill Sans MT"/>
                <w:color w:val="231F20"/>
                <w:w w:val="101"/>
                <w:sz w:val="15"/>
                <w:szCs w:val="15"/>
              </w:rPr>
              <w:t xml:space="preserve">g </w:t>
            </w:r>
            <w:r>
              <w:rPr>
                <w:rFonts w:ascii="Gill Sans MT" w:eastAsia="Gill Sans MT" w:hAnsi="Gill Sans MT" w:cs="Gill Sans MT"/>
                <w:color w:val="231F20"/>
                <w:spacing w:val="2"/>
                <w:w w:val="101"/>
                <w:sz w:val="15"/>
                <w:szCs w:val="15"/>
              </w:rPr>
              <w:t>p</w:t>
            </w:r>
            <w:r>
              <w:rPr>
                <w:rFonts w:ascii="Gill Sans MT" w:eastAsia="Gill Sans MT" w:hAnsi="Gill Sans MT" w:cs="Gill Sans MT"/>
                <w:color w:val="231F20"/>
                <w:spacing w:val="4"/>
                <w:w w:val="101"/>
                <w:sz w:val="15"/>
                <w:szCs w:val="15"/>
              </w:rPr>
              <w:t>l</w:t>
            </w:r>
            <w:r>
              <w:rPr>
                <w:rFonts w:ascii="Gill Sans MT" w:eastAsia="Gill Sans MT" w:hAnsi="Gill Sans MT" w:cs="Gill Sans MT"/>
                <w:color w:val="231F20"/>
                <w:spacing w:val="3"/>
                <w:w w:val="101"/>
                <w:sz w:val="15"/>
                <w:szCs w:val="15"/>
              </w:rPr>
              <w:t>a</w:t>
            </w:r>
            <w:r>
              <w:rPr>
                <w:rFonts w:ascii="Gill Sans MT" w:eastAsia="Gill Sans MT" w:hAnsi="Gill Sans MT" w:cs="Gill Sans MT"/>
                <w:color w:val="231F20"/>
                <w:spacing w:val="2"/>
                <w:w w:val="101"/>
                <w:sz w:val="15"/>
                <w:szCs w:val="15"/>
              </w:rPr>
              <w:t>n</w:t>
            </w:r>
            <w:r>
              <w:rPr>
                <w:rFonts w:ascii="Gill Sans MT" w:eastAsia="Gill Sans MT" w:hAnsi="Gill Sans MT" w:cs="Gill Sans MT"/>
                <w:color w:val="231F20"/>
                <w:spacing w:val="3"/>
                <w:w w:val="101"/>
                <w:sz w:val="15"/>
                <w:szCs w:val="15"/>
              </w:rPr>
              <w:t>e</w:t>
            </w:r>
            <w:r>
              <w:rPr>
                <w:rFonts w:ascii="Gill Sans MT" w:eastAsia="Gill Sans MT" w:hAnsi="Gill Sans MT" w:cs="Gill Sans MT"/>
                <w:color w:val="231F20"/>
                <w:spacing w:val="8"/>
                <w:w w:val="101"/>
                <w:sz w:val="15"/>
                <w:szCs w:val="15"/>
              </w:rPr>
              <w:t>t</w:t>
            </w:r>
            <w:r>
              <w:rPr>
                <w:rFonts w:ascii="Gill Sans MT" w:eastAsia="Gill Sans MT" w:hAnsi="Gill Sans MT" w:cs="Gill Sans MT"/>
                <w:color w:val="231F20"/>
                <w:w w:val="101"/>
                <w:sz w:val="15"/>
                <w:szCs w:val="15"/>
              </w:rPr>
              <w:t>.</w:t>
            </w:r>
          </w:p>
          <w:p w:rsidR="00CC5E3E" w:rsidRDefault="00CC5E3E">
            <w:pPr>
              <w:jc w:val="both"/>
              <w:rPr>
                <w:rFonts w:ascii="Gill Sans MT" w:hAnsi="Gill Sans MT" w:cs="Times New Roman"/>
                <w:sz w:val="15"/>
                <w:szCs w:val="15"/>
              </w:rPr>
            </w:pPr>
          </w:p>
        </w:tc>
        <w:tc>
          <w:tcPr>
            <w:tcW w:w="4111" w:type="dxa"/>
            <w:tcBorders>
              <w:top w:val="single" w:sz="4" w:space="0" w:color="auto"/>
              <w:left w:val="single" w:sz="4" w:space="0" w:color="auto"/>
              <w:bottom w:val="single" w:sz="4" w:space="0" w:color="auto"/>
              <w:right w:val="single" w:sz="4" w:space="0" w:color="auto"/>
            </w:tcBorders>
            <w:hideMark/>
          </w:tcPr>
          <w:p w:rsidR="00CC5E3E" w:rsidRDefault="00CC5E3E">
            <w:pPr>
              <w:spacing w:before="73"/>
              <w:ind w:left="95" w:right="-20"/>
              <w:rPr>
                <w:rFonts w:ascii="Gill Sans MT" w:eastAsia="Gill Sans MT" w:hAnsi="Gill Sans MT" w:cs="Gill Sans MT"/>
                <w:sz w:val="15"/>
                <w:szCs w:val="15"/>
              </w:rPr>
            </w:pPr>
            <w:r>
              <w:rPr>
                <w:rFonts w:ascii="Gill Sans MT" w:eastAsia="Gill Sans MT" w:hAnsi="Gill Sans MT" w:cs="Gill Sans MT"/>
                <w:b/>
                <w:bCs/>
                <w:color w:val="231F20"/>
                <w:spacing w:val="2"/>
                <w:sz w:val="15"/>
                <w:szCs w:val="15"/>
              </w:rPr>
              <w:t>Europ</w:t>
            </w:r>
            <w:r>
              <w:rPr>
                <w:rFonts w:ascii="Gill Sans MT" w:eastAsia="Gill Sans MT" w:hAnsi="Gill Sans MT" w:cs="Gill Sans MT"/>
                <w:b/>
                <w:bCs/>
                <w:color w:val="231F20"/>
                <w:sz w:val="15"/>
                <w:szCs w:val="15"/>
              </w:rPr>
              <w:t>e</w:t>
            </w:r>
            <w:r>
              <w:rPr>
                <w:rFonts w:ascii="Gill Sans MT" w:eastAsia="Gill Sans MT" w:hAnsi="Gill Sans MT" w:cs="Gill Sans MT"/>
                <w:b/>
                <w:bCs/>
                <w:color w:val="231F20"/>
                <w:spacing w:val="10"/>
                <w:sz w:val="15"/>
                <w:szCs w:val="15"/>
              </w:rPr>
              <w:t xml:space="preserve"> </w:t>
            </w:r>
            <w:r>
              <w:rPr>
                <w:rFonts w:ascii="Gill Sans MT" w:eastAsia="Gill Sans MT" w:hAnsi="Gill Sans MT" w:cs="Gill Sans MT"/>
                <w:b/>
                <w:bCs/>
                <w:color w:val="231F20"/>
                <w:spacing w:val="2"/>
                <w:sz w:val="15"/>
                <w:szCs w:val="15"/>
              </w:rPr>
              <w:t>Hea</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8"/>
                <w:sz w:val="15"/>
                <w:szCs w:val="15"/>
              </w:rPr>
              <w:t xml:space="preserve"> </w:t>
            </w:r>
            <w:r>
              <w:rPr>
                <w:rFonts w:ascii="Gill Sans MT" w:eastAsia="Gill Sans MT" w:hAnsi="Gill Sans MT" w:cs="Gill Sans MT"/>
                <w:b/>
                <w:bCs/>
                <w:color w:val="231F20"/>
                <w:spacing w:val="2"/>
                <w:sz w:val="15"/>
                <w:szCs w:val="15"/>
              </w:rPr>
              <w:t>(2003</w:t>
            </w:r>
            <w:r>
              <w:rPr>
                <w:rFonts w:ascii="Gill Sans MT" w:eastAsia="Gill Sans MT" w:hAnsi="Gill Sans MT" w:cs="Gill Sans MT"/>
                <w:b/>
                <w:bCs/>
                <w:color w:val="231F20"/>
                <w:sz w:val="15"/>
                <w:szCs w:val="15"/>
              </w:rPr>
              <w:t>)</w:t>
            </w:r>
            <w:r>
              <w:rPr>
                <w:rFonts w:ascii="Gill Sans MT" w:eastAsia="Gill Sans MT" w:hAnsi="Gill Sans MT" w:cs="Gill Sans MT"/>
                <w:b/>
                <w:bCs/>
                <w:color w:val="231F20"/>
                <w:spacing w:val="10"/>
                <w:sz w:val="15"/>
                <w:szCs w:val="15"/>
              </w:rPr>
              <w:t xml:space="preserve"> </w:t>
            </w:r>
            <w:r>
              <w:rPr>
                <w:rFonts w:ascii="Gill Sans MT" w:eastAsia="Gill Sans MT" w:hAnsi="Gill Sans MT" w:cs="Gill Sans MT"/>
                <w:color w:val="231F20"/>
                <w:spacing w:val="5"/>
                <w:sz w:val="15"/>
                <w:szCs w:val="15"/>
              </w:rPr>
              <w:t>(</w:t>
            </w:r>
            <w:r>
              <w:rPr>
                <w:rFonts w:ascii="Gill Sans MT" w:eastAsia="Gill Sans MT" w:hAnsi="Gill Sans MT" w:cs="Gill Sans MT"/>
                <w:color w:val="231F20"/>
                <w:spacing w:val="2"/>
                <w:sz w:val="15"/>
                <w:szCs w:val="15"/>
              </w:rPr>
              <w:t>Stot</w:t>
            </w:r>
            <w:r>
              <w:rPr>
                <w:rFonts w:ascii="Gill Sans MT" w:eastAsia="Gill Sans MT" w:hAnsi="Gill Sans MT" w:cs="Gill Sans MT"/>
                <w:color w:val="231F20"/>
                <w:sz w:val="15"/>
                <w:szCs w:val="15"/>
              </w:rPr>
              <w:t>t</w:t>
            </w:r>
            <w:r>
              <w:rPr>
                <w:rFonts w:ascii="Gill Sans MT" w:eastAsia="Gill Sans MT" w:hAnsi="Gill Sans MT" w:cs="Gill Sans MT"/>
                <w:color w:val="231F20"/>
                <w:spacing w:val="8"/>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2"/>
                <w:w w:val="101"/>
                <w:sz w:val="15"/>
                <w:szCs w:val="15"/>
              </w:rPr>
              <w:t>2004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&lt;EndNote&gt;&lt;Cite&gt;&lt;Author&gt;Stott&lt;/Author&gt;&lt;Year&gt;2004&lt;/Year&gt;&lt;RecNum&gt;1039&lt;/RecNum&gt;&lt;DisplayText&gt;&lt;style face="superscript"&gt;11&lt;/style&gt;&lt;/DisplayText&gt;&lt;record&gt;&lt;rec-number&gt;1039&lt;/rec-number&gt;&lt;foreign-keys&gt;&lt;key app="EN" db-id="wtftd20rmszxx0ettxy5exwdf90wv22s2dsf" timestamp="1419212983"&gt;1039&lt;/key&gt;&lt;/foreign-keys&gt;&lt;ref-type name="Journal Article"&gt;17&lt;/ref-type&gt;&lt;contributors&gt;&lt;authors&gt;&lt;author&gt;Stott, Peter A.&lt;/author&gt;&lt;author&gt;Stone, D. A.&lt;/author&gt;&lt;author&gt;Allen, M. R.&lt;/author&gt;&lt;/authors&gt;&lt;/contributors&gt;&lt;titles&gt;&lt;title&gt;Human contribution to the European heatwave of 2003&lt;/title&gt;&lt;secondary-title&gt;Nature&lt;/secondary-title&gt;&lt;/titles&gt;&lt;periodical&gt;&lt;full-title&gt;Nature&lt;/full-title&gt;&lt;/periodical&gt;&lt;pages&gt;610-614&lt;/pages&gt;&lt;volume&gt;432&lt;/volume&gt;&lt;number&gt;7017&lt;/number&gt;&lt;dates&gt;&lt;year&gt;2004&lt;/year&gt;&lt;pub-dates&gt;&lt;date&gt;12/02/print&lt;/date&gt;&lt;/pub-dates&gt;&lt;/dates&gt;&lt;isbn&gt;0028-0836&lt;/isbn&gt;&lt;work-type&gt;10.1038/nature03089&lt;/work-type&gt;&lt;urls&gt;&lt;related-urls&gt;&lt;url&gt;http://dx.doi.org/10.1038/nature03089&lt;/url&gt;&lt;/related-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11</w:t>
            </w:r>
            <w:r w:rsidR="00E13392">
              <w:rPr>
                <w:rFonts w:ascii="Gill Sans MT" w:eastAsia="Gill Sans MT" w:hAnsi="Gill Sans MT" w:cs="Gill Sans MT"/>
                <w:color w:val="231F20"/>
                <w:w w:val="101"/>
                <w:sz w:val="15"/>
                <w:szCs w:val="15"/>
              </w:rPr>
              <w:fldChar w:fldCharType="end"/>
            </w:r>
          </w:p>
          <w:p w:rsidR="00CC5E3E" w:rsidRDefault="00CC5E3E">
            <w:pPr>
              <w:spacing w:before="8" w:line="249" w:lineRule="auto"/>
              <w:ind w:left="189" w:right="372" w:hanging="95"/>
              <w:rPr>
                <w:rFonts w:ascii="Gill Sans MT" w:eastAsia="Gill Sans MT" w:hAnsi="Gill Sans MT" w:cs="Gill Sans MT"/>
                <w:sz w:val="15"/>
                <w:szCs w:val="15"/>
              </w:rPr>
            </w:pPr>
            <w:r>
              <w:rPr>
                <w:rFonts w:ascii="Gill Sans MT" w:eastAsia="Gill Sans MT" w:hAnsi="Gill Sans MT" w:cs="Gill Sans MT"/>
                <w:b/>
                <w:bCs/>
                <w:color w:val="231F20"/>
                <w:spacing w:val="2"/>
                <w:sz w:val="15"/>
                <w:szCs w:val="15"/>
              </w:rPr>
              <w:t>Russi</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9"/>
                <w:sz w:val="15"/>
                <w:szCs w:val="15"/>
              </w:rPr>
              <w:t xml:space="preserve"> </w:t>
            </w:r>
            <w:r>
              <w:rPr>
                <w:rFonts w:ascii="Gill Sans MT" w:eastAsia="Gill Sans MT" w:hAnsi="Gill Sans MT" w:cs="Gill Sans MT"/>
                <w:b/>
                <w:bCs/>
                <w:color w:val="231F20"/>
                <w:spacing w:val="2"/>
                <w:sz w:val="15"/>
                <w:szCs w:val="15"/>
              </w:rPr>
              <w:t>Hea</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8"/>
                <w:sz w:val="15"/>
                <w:szCs w:val="15"/>
              </w:rPr>
              <w:t xml:space="preserve"> </w:t>
            </w:r>
            <w:r>
              <w:rPr>
                <w:rFonts w:ascii="Gill Sans MT" w:eastAsia="Gill Sans MT" w:hAnsi="Gill Sans MT" w:cs="Gill Sans MT"/>
                <w:b/>
                <w:bCs/>
                <w:color w:val="231F20"/>
                <w:spacing w:val="2"/>
                <w:sz w:val="15"/>
                <w:szCs w:val="15"/>
              </w:rPr>
              <w:t>(2010</w:t>
            </w:r>
            <w:r>
              <w:rPr>
                <w:rFonts w:ascii="Gill Sans MT" w:eastAsia="Gill Sans MT" w:hAnsi="Gill Sans MT" w:cs="Gill Sans MT"/>
                <w:b/>
                <w:bCs/>
                <w:color w:val="231F20"/>
                <w:sz w:val="15"/>
                <w:szCs w:val="15"/>
              </w:rPr>
              <w:t>)</w:t>
            </w:r>
            <w:r>
              <w:rPr>
                <w:rFonts w:ascii="Gill Sans MT" w:eastAsia="Gill Sans MT" w:hAnsi="Gill Sans MT" w:cs="Gill Sans MT"/>
                <w:b/>
                <w:bCs/>
                <w:color w:val="231F20"/>
                <w:spacing w:val="9"/>
                <w:sz w:val="15"/>
                <w:szCs w:val="15"/>
              </w:rPr>
              <w:t xml:space="preserve"> </w:t>
            </w:r>
            <w:r>
              <w:rPr>
                <w:rFonts w:ascii="Gill Sans MT" w:eastAsia="Gill Sans MT" w:hAnsi="Gill Sans MT" w:cs="Gill Sans MT"/>
                <w:color w:val="231F20"/>
                <w:spacing w:val="5"/>
                <w:sz w:val="15"/>
                <w:szCs w:val="15"/>
              </w:rPr>
              <w:t>(</w:t>
            </w:r>
            <w:r>
              <w:rPr>
                <w:rFonts w:ascii="Gill Sans MT" w:eastAsia="Gill Sans MT" w:hAnsi="Gill Sans MT" w:cs="Gill Sans MT"/>
                <w:color w:val="231F20"/>
                <w:spacing w:val="2"/>
                <w:sz w:val="15"/>
                <w:szCs w:val="15"/>
              </w:rPr>
              <w:t>Rahmstor</w:t>
            </w:r>
            <w:r>
              <w:rPr>
                <w:rFonts w:ascii="Gill Sans MT" w:eastAsia="Gill Sans MT" w:hAnsi="Gill Sans MT" w:cs="Gill Sans MT"/>
                <w:color w:val="231F20"/>
                <w:sz w:val="15"/>
                <w:szCs w:val="15"/>
              </w:rPr>
              <w:t>f</w:t>
            </w:r>
            <w:r>
              <w:rPr>
                <w:rFonts w:ascii="Gill Sans MT" w:eastAsia="Gill Sans MT" w:hAnsi="Gill Sans MT" w:cs="Gill Sans MT"/>
                <w:color w:val="231F20"/>
                <w:spacing w:val="12"/>
                <w:sz w:val="15"/>
                <w:szCs w:val="15"/>
              </w:rPr>
              <w:t xml:space="preserve"> </w:t>
            </w:r>
            <w:r>
              <w:rPr>
                <w:rFonts w:ascii="Gill Sans MT" w:eastAsia="Gill Sans MT" w:hAnsi="Gill Sans MT" w:cs="Gill Sans MT"/>
                <w:color w:val="231F20"/>
                <w:sz w:val="15"/>
                <w:szCs w:val="15"/>
              </w:rPr>
              <w:t>&amp;</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2"/>
                <w:sz w:val="15"/>
                <w:szCs w:val="15"/>
              </w:rPr>
              <w:t>Couman</w:t>
            </w:r>
            <w:r>
              <w:rPr>
                <w:rFonts w:ascii="Gill Sans MT" w:eastAsia="Gill Sans MT" w:hAnsi="Gill Sans MT" w:cs="Gill Sans MT"/>
                <w:color w:val="231F20"/>
                <w:sz w:val="15"/>
                <w:szCs w:val="15"/>
              </w:rPr>
              <w:t>,</w:t>
            </w:r>
            <w:r>
              <w:rPr>
                <w:rFonts w:ascii="Gill Sans MT" w:eastAsia="Gill Sans MT" w:hAnsi="Gill Sans MT" w:cs="Gill Sans MT"/>
                <w:color w:val="231F20"/>
                <w:spacing w:val="13"/>
                <w:sz w:val="15"/>
                <w:szCs w:val="15"/>
              </w:rPr>
              <w:t xml:space="preserve"> </w:t>
            </w:r>
            <w:r>
              <w:rPr>
                <w:rFonts w:ascii="Gill Sans MT" w:eastAsia="Gill Sans MT" w:hAnsi="Gill Sans MT" w:cs="Gill Sans MT"/>
                <w:color w:val="231F20"/>
                <w:spacing w:val="3"/>
                <w:w w:val="101"/>
                <w:sz w:val="15"/>
                <w:szCs w:val="15"/>
              </w:rPr>
              <w:t>2011</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&lt;EndNote&gt;&lt;Cite&gt;&lt;Author&gt;Rahmstorf&lt;/Author&gt;&lt;Year&gt;2011&lt;/Year&gt;&lt;RecNum&gt;1415&lt;/RecNum&gt;&lt;DisplayText&gt;&lt;style face="superscript"&gt;12&lt;/style&gt;&lt;/DisplayText&gt;&lt;record&gt;&lt;rec-number&gt;1415&lt;/rec-number&gt;&lt;foreign-keys&gt;&lt;key app="EN" db-id="wtftd20rmszxx0ettxy5exwdf90wv22s2dsf" timestamp="1419277974"&gt;1415&lt;/key&gt;&lt;/foreign-keys&gt;&lt;ref-type name="Journal Article"&gt;17&lt;/ref-type&gt;&lt;contributors&gt;&lt;authors&gt;&lt;author&gt;S Rahmstorf&lt;/author&gt;&lt;author&gt;D Coumou&lt;/author&gt;&lt;/authors&gt;&lt;/contributors&gt;&lt;titles&gt;&lt;title&gt; Increase of extreme events in a warming world&lt;/title&gt;&lt;secondary-title&gt;Proc. Natl. Acad. Sci. U.S.A.&lt;/secondary-title&gt;&lt;/titles&gt;&lt;periodical&gt;&lt;full-title&gt;Proc. Natl. Acad. Sci. U.S.A.&lt;/full-title&gt;&lt;/periodical&gt;&lt;pages&gt;17905-9&lt;/pages&gt;&lt;volume&gt;108&lt;/volume&gt;&lt;number&gt;44&lt;/number&gt;&lt;dates&gt;&lt;year&gt;2011&lt;/year&gt;&lt;/dates&gt;&lt;urls&gt;&lt;/urls&gt;&lt;/record&gt;&lt;/Cite&gt;&lt;/EndNote&gt;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12</w:t>
            </w:r>
            <w:r w:rsidR="00E13392">
              <w:rPr>
                <w:rFonts w:ascii="Gill Sans MT" w:eastAsia="Gill Sans MT" w:hAnsi="Gill Sans MT" w:cs="Gill Sans MT"/>
                <w:color w:val="231F20"/>
                <w:w w:val="101"/>
                <w:sz w:val="15"/>
                <w:szCs w:val="15"/>
              </w:rPr>
              <w:fldChar w:fldCharType="end"/>
            </w:r>
            <w:r>
              <w:rPr>
                <w:rFonts w:ascii="Gill Sans MT" w:eastAsia="Gill Sans MT" w:hAnsi="Gill Sans MT" w:cs="Gill Sans MT"/>
                <w:color w:val="231F20"/>
                <w:w w:val="101"/>
                <w:sz w:val="15"/>
                <w:szCs w:val="15"/>
              </w:rPr>
              <w:t xml:space="preserve">; </w:t>
            </w:r>
            <w:r>
              <w:rPr>
                <w:rFonts w:ascii="Gill Sans MT" w:eastAsia="Gill Sans MT" w:hAnsi="Gill Sans MT" w:cs="Gill Sans MT"/>
                <w:color w:val="231F20"/>
                <w:spacing w:val="5"/>
                <w:sz w:val="15"/>
                <w:szCs w:val="15"/>
              </w:rPr>
              <w:t>(</w:t>
            </w:r>
            <w:r>
              <w:rPr>
                <w:rFonts w:ascii="Gill Sans MT" w:eastAsia="Gill Sans MT" w:hAnsi="Gill Sans MT" w:cs="Gill Sans MT"/>
                <w:color w:val="231F20"/>
                <w:spacing w:val="2"/>
                <w:sz w:val="15"/>
                <w:szCs w:val="15"/>
              </w:rPr>
              <w:t>Ott</w:t>
            </w:r>
            <w:r>
              <w:rPr>
                <w:rFonts w:ascii="Gill Sans MT" w:eastAsia="Gill Sans MT" w:hAnsi="Gill Sans MT" w:cs="Gill Sans MT"/>
                <w:color w:val="231F20"/>
                <w:sz w:val="15"/>
                <w:szCs w:val="15"/>
              </w:rPr>
              <w:t>o</w:t>
            </w:r>
            <w:r>
              <w:rPr>
                <w:rFonts w:ascii="Gill Sans MT" w:eastAsia="Gill Sans MT" w:hAnsi="Gill Sans MT" w:cs="Gill Sans MT"/>
                <w:color w:val="231F20"/>
                <w:spacing w:val="10"/>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2"/>
                <w:w w:val="101"/>
                <w:sz w:val="15"/>
                <w:szCs w:val="15"/>
              </w:rPr>
              <w:t>2012</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&lt;EndNote&gt;&lt;Cite&gt;&lt;Author&gt;Otto&lt;/Author&gt;&lt;Year&gt;2012&lt;/Year&gt;&lt;RecNum&gt;1416&lt;/RecNum&gt;&lt;DisplayText&gt;&lt;style face="superscript"&gt;13&lt;/style&gt;&lt;/DisplayText&gt;&lt;record&gt;&lt;rec-number&gt;1416&lt;/rec-number&gt;&lt;foreign-keys&gt;&lt;key app="EN" db-id="wtftd20rmszxx0ettxy5exwdf90wv22s2dsf" timestamp="1419278121"&gt;1416&lt;/key&gt;&lt;/foreign-keys&gt;&lt;ref-type name="Journal Article"&gt;17&lt;/ref-type&gt;&lt;contributors&gt;&lt;authors&gt;&lt;author&gt;FEL Otto&lt;/author&gt;&lt;author&gt;N Massey&lt;/author&gt;&lt;author&gt;GJ van Oldenborgh&lt;/author&gt;&lt;author&gt;RG Jones&lt;/author&gt;&lt;author&gt;MR Allen&lt;/author&gt;&lt;/authors&gt;&lt;/contributors&gt;&lt;titles&gt;&lt;title&gt;Reconciling two approaches to attribution of the 2010 Russian heat wave&lt;/title&gt;&lt;secondary-title&gt;Geophysical Research Letters&lt;/secondary-title&gt;&lt;/titles&gt;&lt;periodical&gt;&lt;full-title&gt;Geophysical Research Letters&lt;/full-title&gt;&lt;/periodical&gt;&lt;volume&gt;39&lt;/volume&gt;&lt;number&gt;4&lt;/number&gt;&lt;dates&gt;&lt;year&gt;2012&lt;/year&gt;&lt;/dates&gt;&lt;urls&gt;&lt;/urls&gt;&lt;/record&gt;&lt;/Cite&gt;&lt;/EndNote&gt;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13</w:t>
            </w:r>
            <w:r w:rsidR="00E13392">
              <w:rPr>
                <w:rFonts w:ascii="Gill Sans MT" w:eastAsia="Gill Sans MT" w:hAnsi="Gill Sans MT" w:cs="Gill Sans MT"/>
                <w:color w:val="231F20"/>
                <w:w w:val="101"/>
                <w:sz w:val="15"/>
                <w:szCs w:val="15"/>
              </w:rPr>
              <w:fldChar w:fldCharType="end"/>
            </w:r>
          </w:p>
          <w:p w:rsidR="00CC5E3E" w:rsidRDefault="00CC5E3E">
            <w:pPr>
              <w:tabs>
                <w:tab w:val="left" w:pos="3544"/>
              </w:tabs>
              <w:spacing w:line="249" w:lineRule="auto"/>
              <w:ind w:left="189" w:right="314" w:hanging="94"/>
              <w:rPr>
                <w:rFonts w:ascii="Gill Sans MT" w:eastAsia="Gill Sans MT" w:hAnsi="Gill Sans MT" w:cs="Gill Sans MT"/>
                <w:sz w:val="15"/>
                <w:szCs w:val="15"/>
              </w:rPr>
            </w:pPr>
            <w:r>
              <w:rPr>
                <w:rFonts w:ascii="Gill Sans MT" w:eastAsia="Gill Sans MT" w:hAnsi="Gill Sans MT" w:cs="Gill Sans MT"/>
                <w:b/>
                <w:bCs/>
                <w:color w:val="231F20"/>
                <w:spacing w:val="2"/>
                <w:sz w:val="15"/>
                <w:szCs w:val="15"/>
              </w:rPr>
              <w:t>US</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8"/>
                <w:sz w:val="15"/>
                <w:szCs w:val="15"/>
              </w:rPr>
              <w:t xml:space="preserve"> </w:t>
            </w:r>
            <w:r>
              <w:rPr>
                <w:rFonts w:ascii="Gill Sans MT" w:eastAsia="Gill Sans MT" w:hAnsi="Gill Sans MT" w:cs="Gill Sans MT"/>
                <w:b/>
                <w:bCs/>
                <w:color w:val="231F20"/>
                <w:spacing w:val="2"/>
                <w:sz w:val="15"/>
                <w:szCs w:val="15"/>
              </w:rPr>
              <w:t>Hea</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8"/>
                <w:sz w:val="15"/>
                <w:szCs w:val="15"/>
              </w:rPr>
              <w:t xml:space="preserve"> </w:t>
            </w:r>
            <w:r>
              <w:rPr>
                <w:rFonts w:ascii="Gill Sans MT" w:eastAsia="Gill Sans MT" w:hAnsi="Gill Sans MT" w:cs="Gill Sans MT"/>
                <w:b/>
                <w:bCs/>
                <w:color w:val="231F20"/>
                <w:spacing w:val="2"/>
                <w:sz w:val="15"/>
                <w:szCs w:val="15"/>
              </w:rPr>
              <w:t>(2012</w:t>
            </w:r>
            <w:r>
              <w:rPr>
                <w:rFonts w:ascii="Gill Sans MT" w:eastAsia="Gill Sans MT" w:hAnsi="Gill Sans MT" w:cs="Gill Sans MT"/>
                <w:b/>
                <w:bCs/>
                <w:color w:val="231F20"/>
                <w:sz w:val="15"/>
                <w:szCs w:val="15"/>
              </w:rPr>
              <w:t>)</w:t>
            </w:r>
            <w:r>
              <w:rPr>
                <w:rFonts w:ascii="Gill Sans MT" w:eastAsia="Gill Sans MT" w:hAnsi="Gill Sans MT" w:cs="Gill Sans MT"/>
                <w:b/>
                <w:bCs/>
                <w:color w:val="231F20"/>
                <w:spacing w:val="9"/>
                <w:sz w:val="15"/>
                <w:szCs w:val="15"/>
              </w:rPr>
              <w:t xml:space="preserve"> </w:t>
            </w:r>
            <w:r>
              <w:rPr>
                <w:rFonts w:ascii="Gill Sans MT" w:eastAsia="Gill Sans MT" w:hAnsi="Gill Sans MT" w:cs="Gill Sans MT"/>
                <w:color w:val="231F20"/>
                <w:spacing w:val="5"/>
                <w:sz w:val="15"/>
                <w:szCs w:val="15"/>
              </w:rPr>
              <w:t>(</w:t>
            </w:r>
            <w:r>
              <w:rPr>
                <w:rFonts w:ascii="Gill Sans MT" w:eastAsia="Gill Sans MT" w:hAnsi="Gill Sans MT" w:cs="Gill Sans MT"/>
                <w:color w:val="231F20"/>
                <w:spacing w:val="2"/>
                <w:sz w:val="15"/>
                <w:szCs w:val="15"/>
              </w:rPr>
              <w:t>Diffenbaug</w:t>
            </w:r>
            <w:r>
              <w:rPr>
                <w:rFonts w:ascii="Gill Sans MT" w:eastAsia="Gill Sans MT" w:hAnsi="Gill Sans MT" w:cs="Gill Sans MT"/>
                <w:color w:val="231F20"/>
                <w:sz w:val="15"/>
                <w:szCs w:val="15"/>
              </w:rPr>
              <w:t>h</w:t>
            </w:r>
            <w:r>
              <w:rPr>
                <w:rFonts w:ascii="Gill Sans MT" w:eastAsia="Gill Sans MT" w:hAnsi="Gill Sans MT" w:cs="Gill Sans MT"/>
                <w:color w:val="231F20"/>
                <w:spacing w:val="13"/>
                <w:sz w:val="15"/>
                <w:szCs w:val="15"/>
              </w:rPr>
              <w:t xml:space="preserve"> </w:t>
            </w:r>
            <w:r>
              <w:rPr>
                <w:rFonts w:ascii="Gill Sans MT" w:eastAsia="Gill Sans MT" w:hAnsi="Gill Sans MT" w:cs="Gill Sans MT"/>
                <w:color w:val="231F20"/>
                <w:sz w:val="15"/>
                <w:szCs w:val="15"/>
              </w:rPr>
              <w:t>&amp;</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2"/>
                <w:sz w:val="15"/>
                <w:szCs w:val="15"/>
              </w:rPr>
              <w:t>Scherer</w:t>
            </w:r>
            <w:r>
              <w:rPr>
                <w:rFonts w:ascii="Gill Sans MT" w:eastAsia="Gill Sans MT" w:hAnsi="Gill Sans MT" w:cs="Gill Sans MT"/>
                <w:color w:val="231F20"/>
                <w:sz w:val="15"/>
                <w:szCs w:val="15"/>
              </w:rPr>
              <w:t>,</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2"/>
                <w:w w:val="101"/>
                <w:sz w:val="15"/>
                <w:szCs w:val="15"/>
              </w:rPr>
              <w:t>2013</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&lt;EndNote&gt;&lt;Cite&gt;&lt;Author&gt;Peterson&lt;/Author&gt;&lt;Year&gt;2013&lt;/Year&gt;&lt;RecNum&gt;1570&lt;/RecNum&gt;&lt;DisplayText&gt;&lt;style face="superscript"&gt;14&lt;/style&gt;&lt;/DisplayText&gt;&lt;record&gt;&lt;rec-number&gt;1570&lt;/rec-number&gt;&lt;foreign-keys&gt;&lt;key app="EN" db-id="wtftd20rmszxx0ettxy5exwdf90wv22s2dsf" timestamp="1428037922"&gt;1570&lt;/key&gt;&lt;/foreign-keys&gt;&lt;ref-type name="Journal Article"&gt;17&lt;/ref-type&gt;&lt;contributors&gt;&lt;authors&gt;&lt;author&gt;T Peterson&lt;/author&gt;&lt;author&gt;M Hoerling&lt;/author&gt;&lt;author&gt;P Stott&lt;/author&gt;&lt;author&gt;S Herring&lt;/author&gt;&lt;/authors&gt;&lt;/contributors&gt;&lt;titles&gt;&lt;title&gt;Explaining Extreme Events of 2012 from a Climate Perspective&lt;/title&gt;&lt;secondary-title&gt;Special Bulletin of the American Meteorological Society&lt;/secondary-title&gt;&lt;/titles&gt;&lt;periodical&gt;&lt;full-title&gt;Special Bulletin of the American Meteorological Society&lt;/full-title&gt;&lt;/periodical&gt;&lt;pages&gt;S1-S106&lt;/pages&gt;&lt;volume&gt;94&lt;/volume&gt;&lt;number&gt;9&lt;/number&gt;&lt;dates&gt;&lt;year&gt;2013&lt;/year&gt;&lt;/dates&gt;&lt;urls&gt;&lt;/urls&gt;&lt;/record&gt;&lt;/Cite&gt;&lt;/EndNote&gt;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14</w:t>
            </w:r>
            <w:r w:rsidR="00E13392">
              <w:rPr>
                <w:rFonts w:ascii="Gill Sans MT" w:eastAsia="Gill Sans MT" w:hAnsi="Gill Sans MT" w:cs="Gill Sans MT"/>
                <w:color w:val="231F20"/>
                <w:w w:val="101"/>
                <w:sz w:val="15"/>
                <w:szCs w:val="15"/>
              </w:rPr>
              <w:fldChar w:fldCharType="end"/>
            </w:r>
            <w:r>
              <w:rPr>
                <w:rFonts w:ascii="Gill Sans MT" w:eastAsia="Gill Sans MT" w:hAnsi="Gill Sans MT" w:cs="Gill Sans MT"/>
                <w:color w:val="231F20"/>
                <w:w w:val="101"/>
                <w:sz w:val="15"/>
                <w:szCs w:val="15"/>
              </w:rPr>
              <w:t xml:space="preserve"> </w:t>
            </w:r>
            <w:r>
              <w:rPr>
                <w:rFonts w:ascii="Gill Sans MT" w:eastAsia="Gill Sans MT" w:hAnsi="Gill Sans MT" w:cs="Gill Sans MT"/>
                <w:color w:val="231F20"/>
                <w:spacing w:val="5"/>
                <w:sz w:val="15"/>
                <w:szCs w:val="15"/>
              </w:rPr>
              <w:t>(</w:t>
            </w:r>
            <w:r>
              <w:rPr>
                <w:rFonts w:ascii="Gill Sans MT" w:eastAsia="Gill Sans MT" w:hAnsi="Gill Sans MT" w:cs="Gill Sans MT"/>
                <w:color w:val="231F20"/>
                <w:spacing w:val="2"/>
                <w:sz w:val="15"/>
                <w:szCs w:val="15"/>
              </w:rPr>
              <w:t>Knutso</w:t>
            </w:r>
            <w:r>
              <w:rPr>
                <w:rFonts w:ascii="Gill Sans MT" w:eastAsia="Gill Sans MT" w:hAnsi="Gill Sans MT" w:cs="Gill Sans MT"/>
                <w:color w:val="231F20"/>
                <w:sz w:val="15"/>
                <w:szCs w:val="15"/>
              </w:rPr>
              <w:t>n</w:t>
            </w:r>
            <w:r>
              <w:rPr>
                <w:rFonts w:ascii="Gill Sans MT" w:eastAsia="Gill Sans MT" w:hAnsi="Gill Sans MT" w:cs="Gill Sans MT"/>
                <w:color w:val="231F20"/>
                <w:spacing w:val="12"/>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2"/>
                <w:w w:val="101"/>
                <w:sz w:val="15"/>
                <w:szCs w:val="15"/>
              </w:rPr>
              <w:t>2013</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&lt;EndNote&gt;&lt;Cite&gt;&lt;Author&gt;Peterson&lt;/Author&gt;&lt;Year&gt;2013&lt;/Year&gt;&lt;RecNum&gt;1570&lt;/RecNum&gt;&lt;DisplayText&gt;&lt;style face="superscript"&gt;14&lt;/style&gt;&lt;/DisplayText&gt;&lt;record&gt;&lt;rec-number&gt;1570&lt;/rec-number&gt;&lt;foreign-keys&gt;&lt;key app="EN" db-id="wtftd20rmszxx0ettxy5exwdf90wv22s2dsf" timestamp="1428037922"&gt;1570&lt;/key&gt;&lt;/foreign-keys&gt;&lt;ref-type name="Journal Article"&gt;17&lt;/ref-type&gt;&lt;contributors&gt;&lt;authors&gt;&lt;author&gt;T Peterson&lt;/author&gt;&lt;author&gt;M Hoerling&lt;/author&gt;&lt;author&gt;P Stott&lt;/author&gt;&lt;author&gt;S Herring&lt;/author&gt;&lt;/authors&gt;&lt;/contributors&gt;&lt;titles&gt;&lt;title&gt;Explaining Extreme Events of 2012 from a Climate Perspective&lt;/title&gt;&lt;secondary-title&gt;Special Bulletin of the American Meteorological Society&lt;/secondary-title&gt;&lt;/titles&gt;&lt;periodical&gt;&lt;full-title&gt;Special Bulletin of the American Meteorological Society&lt;/full-title&gt;&lt;/periodical&gt;&lt;pages&gt;S1-S106&lt;/pages&gt;&lt;volume&gt;94&lt;/volume&gt;&lt;number&gt;9&lt;/number&gt;&lt;dates&gt;&lt;year&gt;2013&lt;/year&gt;&lt;/dates&gt;&lt;urls&gt;&lt;/urls&gt;&lt;/record&gt;&lt;/Cite&gt;&lt;/EndNote&gt;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14</w:t>
            </w:r>
            <w:r w:rsidR="00E13392">
              <w:rPr>
                <w:rFonts w:ascii="Gill Sans MT" w:eastAsia="Gill Sans MT" w:hAnsi="Gill Sans MT" w:cs="Gill Sans MT"/>
                <w:color w:val="231F20"/>
                <w:w w:val="101"/>
                <w:sz w:val="15"/>
                <w:szCs w:val="15"/>
              </w:rPr>
              <w:fldChar w:fldCharType="end"/>
            </w:r>
          </w:p>
          <w:p w:rsidR="00CC5E3E" w:rsidRDefault="00CC5E3E">
            <w:pPr>
              <w:spacing w:line="249" w:lineRule="auto"/>
              <w:ind w:left="187" w:right="682" w:hanging="92"/>
              <w:rPr>
                <w:rFonts w:ascii="Gill Sans MT" w:eastAsia="Gill Sans MT" w:hAnsi="Gill Sans MT" w:cs="Gill Sans MT"/>
                <w:sz w:val="15"/>
                <w:szCs w:val="15"/>
              </w:rPr>
            </w:pPr>
            <w:r>
              <w:rPr>
                <w:rFonts w:ascii="Gill Sans MT" w:eastAsia="Gill Sans MT" w:hAnsi="Gill Sans MT" w:cs="Gill Sans MT"/>
                <w:b/>
                <w:bCs/>
                <w:color w:val="231F20"/>
                <w:spacing w:val="2"/>
                <w:sz w:val="15"/>
                <w:szCs w:val="15"/>
              </w:rPr>
              <w:t>A</w:t>
            </w:r>
            <w:r>
              <w:rPr>
                <w:rFonts w:ascii="Gill Sans MT" w:eastAsia="Gill Sans MT" w:hAnsi="Gill Sans MT" w:cs="Gill Sans MT"/>
                <w:b/>
                <w:bCs/>
                <w:color w:val="231F20"/>
                <w:spacing w:val="3"/>
                <w:sz w:val="15"/>
                <w:szCs w:val="15"/>
              </w:rPr>
              <w:t>us</w:t>
            </w:r>
            <w:r>
              <w:rPr>
                <w:rFonts w:ascii="Gill Sans MT" w:eastAsia="Gill Sans MT" w:hAnsi="Gill Sans MT" w:cs="Gill Sans MT"/>
                <w:b/>
                <w:bCs/>
                <w:color w:val="231F20"/>
                <w:spacing w:val="5"/>
                <w:sz w:val="15"/>
                <w:szCs w:val="15"/>
              </w:rPr>
              <w:t>t</w:t>
            </w:r>
            <w:r>
              <w:rPr>
                <w:rFonts w:ascii="Gill Sans MT" w:eastAsia="Gill Sans MT" w:hAnsi="Gill Sans MT" w:cs="Gill Sans MT"/>
                <w:b/>
                <w:bCs/>
                <w:color w:val="231F20"/>
                <w:spacing w:val="4"/>
                <w:sz w:val="15"/>
                <w:szCs w:val="15"/>
              </w:rPr>
              <w:t>ra</w:t>
            </w:r>
            <w:r>
              <w:rPr>
                <w:rFonts w:ascii="Gill Sans MT" w:eastAsia="Gill Sans MT" w:hAnsi="Gill Sans MT" w:cs="Gill Sans MT"/>
                <w:b/>
                <w:bCs/>
                <w:color w:val="231F20"/>
                <w:spacing w:val="2"/>
                <w:sz w:val="15"/>
                <w:szCs w:val="15"/>
              </w:rPr>
              <w:t>l</w:t>
            </w:r>
            <w:r>
              <w:rPr>
                <w:rFonts w:ascii="Gill Sans MT" w:eastAsia="Gill Sans MT" w:hAnsi="Gill Sans MT" w:cs="Gill Sans MT"/>
                <w:b/>
                <w:bCs/>
                <w:color w:val="231F20"/>
                <w:spacing w:val="3"/>
                <w:sz w:val="15"/>
                <w:szCs w:val="15"/>
              </w:rPr>
              <w:t>i</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pacing w:val="3"/>
                <w:sz w:val="15"/>
                <w:szCs w:val="15"/>
              </w:rPr>
              <w:t>He</w:t>
            </w:r>
            <w:r>
              <w:rPr>
                <w:rFonts w:ascii="Gill Sans MT" w:eastAsia="Gill Sans MT" w:hAnsi="Gill Sans MT" w:cs="Gill Sans MT"/>
                <w:b/>
                <w:bCs/>
                <w:color w:val="231F20"/>
                <w:sz w:val="15"/>
                <w:szCs w:val="15"/>
              </w:rPr>
              <w:t>at</w:t>
            </w:r>
            <w:r>
              <w:rPr>
                <w:rFonts w:ascii="Gill Sans MT" w:eastAsia="Gill Sans MT" w:hAnsi="Gill Sans MT" w:cs="Gill Sans MT"/>
                <w:b/>
                <w:bCs/>
                <w:color w:val="231F20"/>
                <w:spacing w:val="4"/>
                <w:sz w:val="15"/>
                <w:szCs w:val="15"/>
              </w:rPr>
              <w:t xml:space="preserve"> </w:t>
            </w:r>
            <w:r>
              <w:rPr>
                <w:rFonts w:ascii="Gill Sans MT" w:eastAsia="Gill Sans MT" w:hAnsi="Gill Sans MT" w:cs="Gill Sans MT"/>
                <w:b/>
                <w:bCs/>
                <w:color w:val="231F20"/>
                <w:sz w:val="15"/>
                <w:szCs w:val="15"/>
              </w:rPr>
              <w:t>(2013)</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pacing w:val="3"/>
                <w:sz w:val="15"/>
                <w:szCs w:val="15"/>
              </w:rPr>
              <w:t>(Arbl</w:t>
            </w:r>
            <w:r>
              <w:rPr>
                <w:rFonts w:ascii="Gill Sans MT" w:eastAsia="Gill Sans MT" w:hAnsi="Gill Sans MT" w:cs="Gill Sans MT"/>
                <w:color w:val="231F20"/>
                <w:spacing w:val="4"/>
                <w:sz w:val="15"/>
                <w:szCs w:val="15"/>
              </w:rPr>
              <w:t>a</w:t>
            </w:r>
            <w:r>
              <w:rPr>
                <w:rFonts w:ascii="Gill Sans MT" w:eastAsia="Gill Sans MT" w:hAnsi="Gill Sans MT" w:cs="Gill Sans MT"/>
                <w:color w:val="231F20"/>
                <w:spacing w:val="3"/>
                <w:sz w:val="15"/>
                <w:szCs w:val="15"/>
              </w:rPr>
              <w:t>ste</w:t>
            </w:r>
            <w:r>
              <w:rPr>
                <w:rFonts w:ascii="Gill Sans MT" w:eastAsia="Gill Sans MT" w:hAnsi="Gill Sans MT" w:cs="Gill Sans MT"/>
                <w:color w:val="231F20"/>
                <w:sz w:val="15"/>
                <w:szCs w:val="15"/>
              </w:rPr>
              <w:t>r</w:t>
            </w:r>
            <w:r>
              <w:rPr>
                <w:rFonts w:ascii="Gill Sans MT" w:eastAsia="Gill Sans MT" w:hAnsi="Gill Sans MT" w:cs="Gill Sans MT"/>
                <w:color w:val="231F20"/>
                <w:spacing w:val="7"/>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z w:val="15"/>
                <w:szCs w:val="15"/>
              </w:rPr>
              <w:t>,</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w w:val="101"/>
                <w:sz w:val="15"/>
                <w:szCs w:val="15"/>
              </w:rPr>
              <w:t xml:space="preserve">2014; </w:t>
            </w:r>
            <w:r>
              <w:rPr>
                <w:rFonts w:ascii="Gill Sans MT" w:eastAsia="Gill Sans MT" w:hAnsi="Gill Sans MT" w:cs="Gill Sans MT"/>
                <w:color w:val="231F20"/>
                <w:spacing w:val="4"/>
                <w:sz w:val="15"/>
                <w:szCs w:val="15"/>
              </w:rPr>
              <w:t>K</w:t>
            </w:r>
            <w:r>
              <w:rPr>
                <w:rFonts w:ascii="Gill Sans MT" w:eastAsia="Gill Sans MT" w:hAnsi="Gill Sans MT" w:cs="Gill Sans MT"/>
                <w:color w:val="231F20"/>
                <w:spacing w:val="2"/>
                <w:sz w:val="15"/>
                <w:szCs w:val="15"/>
              </w:rPr>
              <w:t>in</w:t>
            </w:r>
            <w:r>
              <w:rPr>
                <w:rFonts w:ascii="Gill Sans MT" w:eastAsia="Gill Sans MT" w:hAnsi="Gill Sans MT" w:cs="Gill Sans MT"/>
                <w:color w:val="231F20"/>
                <w:sz w:val="15"/>
                <w:szCs w:val="15"/>
              </w:rPr>
              <w:t>g</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z w:val="15"/>
                <w:szCs w:val="15"/>
              </w:rPr>
              <w:t>.,</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z w:val="15"/>
                <w:szCs w:val="15"/>
              </w:rPr>
              <w:t>2014;</w:t>
            </w:r>
            <w:r>
              <w:rPr>
                <w:rFonts w:ascii="Gill Sans MT" w:eastAsia="Gill Sans MT" w:hAnsi="Gill Sans MT" w:cs="Gill Sans MT"/>
                <w:color w:val="231F20"/>
                <w:spacing w:val="4"/>
                <w:sz w:val="15"/>
                <w:szCs w:val="15"/>
              </w:rPr>
              <w:t xml:space="preserve"> K</w:t>
            </w:r>
            <w:r>
              <w:rPr>
                <w:rFonts w:ascii="Gill Sans MT" w:eastAsia="Gill Sans MT" w:hAnsi="Gill Sans MT" w:cs="Gill Sans MT"/>
                <w:color w:val="231F20"/>
                <w:spacing w:val="2"/>
                <w:sz w:val="15"/>
                <w:szCs w:val="15"/>
              </w:rPr>
              <w:t>n</w:t>
            </w:r>
            <w:r>
              <w:rPr>
                <w:rFonts w:ascii="Gill Sans MT" w:eastAsia="Gill Sans MT" w:hAnsi="Gill Sans MT" w:cs="Gill Sans MT"/>
                <w:color w:val="231F20"/>
                <w:spacing w:val="3"/>
                <w:sz w:val="15"/>
                <w:szCs w:val="15"/>
              </w:rPr>
              <w:t>u</w:t>
            </w:r>
            <w:r>
              <w:rPr>
                <w:rFonts w:ascii="Gill Sans MT" w:eastAsia="Gill Sans MT" w:hAnsi="Gill Sans MT" w:cs="Gill Sans MT"/>
                <w:color w:val="231F20"/>
                <w:spacing w:val="4"/>
                <w:sz w:val="15"/>
                <w:szCs w:val="15"/>
              </w:rPr>
              <w:t>t</w:t>
            </w:r>
            <w:r>
              <w:rPr>
                <w:rFonts w:ascii="Gill Sans MT" w:eastAsia="Gill Sans MT" w:hAnsi="Gill Sans MT" w:cs="Gill Sans MT"/>
                <w:color w:val="231F20"/>
                <w:spacing w:val="2"/>
                <w:sz w:val="15"/>
                <w:szCs w:val="15"/>
              </w:rPr>
              <w:t>so</w:t>
            </w:r>
            <w:r>
              <w:rPr>
                <w:rFonts w:ascii="Gill Sans MT" w:eastAsia="Gill Sans MT" w:hAnsi="Gill Sans MT" w:cs="Gill Sans MT"/>
                <w:color w:val="231F20"/>
                <w:sz w:val="15"/>
                <w:szCs w:val="15"/>
              </w:rPr>
              <w:t>n</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z w:val="15"/>
                <w:szCs w:val="15"/>
              </w:rPr>
              <w:t>.,</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w w:val="101"/>
                <w:sz w:val="15"/>
                <w:szCs w:val="15"/>
              </w:rPr>
              <w:t>2014a;</w:t>
            </w:r>
          </w:p>
          <w:p w:rsidR="00CC5E3E" w:rsidRDefault="00CC5E3E" w:rsidP="00CC5E3E">
            <w:pPr>
              <w:spacing w:line="249" w:lineRule="auto"/>
              <w:ind w:left="96" w:right="881" w:firstLine="89"/>
              <w:rPr>
                <w:rFonts w:ascii="Gill Sans MT" w:eastAsia="Gill Sans MT" w:hAnsi="Gill Sans MT" w:cs="Gill Sans MT"/>
                <w:color w:val="231F20"/>
                <w:w w:val="101"/>
                <w:sz w:val="15"/>
                <w:szCs w:val="15"/>
              </w:rPr>
            </w:pPr>
            <w:r>
              <w:rPr>
                <w:rFonts w:ascii="Gill Sans MT" w:eastAsia="Gill Sans MT" w:hAnsi="Gill Sans MT" w:cs="Gill Sans MT"/>
                <w:color w:val="231F20"/>
                <w:spacing w:val="2"/>
                <w:sz w:val="15"/>
                <w:szCs w:val="15"/>
              </w:rPr>
              <w:t>L</w:t>
            </w:r>
            <w:r>
              <w:rPr>
                <w:rFonts w:ascii="Gill Sans MT" w:eastAsia="Gill Sans MT" w:hAnsi="Gill Sans MT" w:cs="Gill Sans MT"/>
                <w:color w:val="231F20"/>
                <w:spacing w:val="1"/>
                <w:sz w:val="15"/>
                <w:szCs w:val="15"/>
              </w:rPr>
              <w:t>e</w:t>
            </w:r>
            <w:r>
              <w:rPr>
                <w:rFonts w:ascii="Gill Sans MT" w:eastAsia="Gill Sans MT" w:hAnsi="Gill Sans MT" w:cs="Gill Sans MT"/>
                <w:color w:val="231F20"/>
                <w:spacing w:val="3"/>
                <w:sz w:val="15"/>
                <w:szCs w:val="15"/>
              </w:rPr>
              <w:t>w</w:t>
            </w:r>
            <w:r>
              <w:rPr>
                <w:rFonts w:ascii="Gill Sans MT" w:eastAsia="Gill Sans MT" w:hAnsi="Gill Sans MT" w:cs="Gill Sans MT"/>
                <w:color w:val="231F20"/>
                <w:spacing w:val="2"/>
                <w:sz w:val="15"/>
                <w:szCs w:val="15"/>
              </w:rPr>
              <w:t>i</w:t>
            </w:r>
            <w:r>
              <w:rPr>
                <w:rFonts w:ascii="Gill Sans MT" w:eastAsia="Gill Sans MT" w:hAnsi="Gill Sans MT" w:cs="Gill Sans MT"/>
                <w:color w:val="231F20"/>
                <w:sz w:val="15"/>
                <w:szCs w:val="15"/>
              </w:rPr>
              <w:t>s</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z w:val="15"/>
                <w:szCs w:val="15"/>
              </w:rPr>
              <w:t>,</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z w:val="15"/>
                <w:szCs w:val="15"/>
              </w:rPr>
              <w:t>2014;</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z w:val="15"/>
                <w:szCs w:val="15"/>
              </w:rPr>
              <w:t>P</w:t>
            </w:r>
            <w:r>
              <w:rPr>
                <w:rFonts w:ascii="Gill Sans MT" w:eastAsia="Gill Sans MT" w:hAnsi="Gill Sans MT" w:cs="Gill Sans MT"/>
                <w:color w:val="231F20"/>
                <w:spacing w:val="3"/>
                <w:sz w:val="15"/>
                <w:szCs w:val="15"/>
              </w:rPr>
              <w:t>er</w:t>
            </w:r>
            <w:r>
              <w:rPr>
                <w:rFonts w:ascii="Gill Sans MT" w:eastAsia="Gill Sans MT" w:hAnsi="Gill Sans MT" w:cs="Gill Sans MT"/>
                <w:color w:val="231F20"/>
                <w:spacing w:val="4"/>
                <w:sz w:val="15"/>
                <w:szCs w:val="15"/>
              </w:rPr>
              <w:t>k</w:t>
            </w:r>
            <w:r>
              <w:rPr>
                <w:rFonts w:ascii="Gill Sans MT" w:eastAsia="Gill Sans MT" w:hAnsi="Gill Sans MT" w:cs="Gill Sans MT"/>
                <w:color w:val="231F20"/>
                <w:spacing w:val="2"/>
                <w:sz w:val="15"/>
                <w:szCs w:val="15"/>
              </w:rPr>
              <w:t>i</w:t>
            </w:r>
            <w:r>
              <w:rPr>
                <w:rFonts w:ascii="Gill Sans MT" w:eastAsia="Gill Sans MT" w:hAnsi="Gill Sans MT" w:cs="Gill Sans MT"/>
                <w:color w:val="231F20"/>
                <w:spacing w:val="3"/>
                <w:sz w:val="15"/>
                <w:szCs w:val="15"/>
              </w:rPr>
              <w:t>n</w:t>
            </w:r>
            <w:r>
              <w:rPr>
                <w:rFonts w:ascii="Gill Sans MT" w:eastAsia="Gill Sans MT" w:hAnsi="Gill Sans MT" w:cs="Gill Sans MT"/>
                <w:color w:val="231F20"/>
                <w:sz w:val="15"/>
                <w:szCs w:val="15"/>
              </w:rPr>
              <w:t>s</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pacing w:val="-4"/>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w w:val="101"/>
                <w:sz w:val="15"/>
                <w:szCs w:val="15"/>
              </w:rPr>
              <w:t>2014)</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r>
              <w:rPr>
                <w:rFonts w:ascii="Gill Sans MT" w:eastAsia="Gill Sans MT" w:hAnsi="Gill Sans MT" w:cs="Gill Sans MT"/>
                <w:color w:val="231F20"/>
                <w:w w:val="101"/>
                <w:sz w:val="15"/>
                <w:szCs w:val="15"/>
              </w:rPr>
              <w:t xml:space="preserve"> </w:t>
            </w:r>
            <w:r>
              <w:rPr>
                <w:rFonts w:ascii="Gill Sans MT" w:eastAsia="Gill Sans MT" w:hAnsi="Gill Sans MT" w:cs="Gill Sans MT"/>
                <w:b/>
                <w:bCs/>
                <w:color w:val="231F20"/>
                <w:spacing w:val="3"/>
                <w:sz w:val="15"/>
                <w:szCs w:val="15"/>
              </w:rPr>
              <w:t>E</w:t>
            </w:r>
            <w:r>
              <w:rPr>
                <w:rFonts w:ascii="Gill Sans MT" w:eastAsia="Gill Sans MT" w:hAnsi="Gill Sans MT" w:cs="Gill Sans MT"/>
                <w:b/>
                <w:bCs/>
                <w:color w:val="231F20"/>
                <w:spacing w:val="2"/>
                <w:sz w:val="15"/>
                <w:szCs w:val="15"/>
              </w:rPr>
              <w:t>ur</w:t>
            </w:r>
            <w:r>
              <w:rPr>
                <w:rFonts w:ascii="Gill Sans MT" w:eastAsia="Gill Sans MT" w:hAnsi="Gill Sans MT" w:cs="Gill Sans MT"/>
                <w:b/>
                <w:bCs/>
                <w:color w:val="231F20"/>
                <w:spacing w:val="3"/>
                <w:sz w:val="15"/>
                <w:szCs w:val="15"/>
              </w:rPr>
              <w:t>op</w:t>
            </w:r>
            <w:r>
              <w:rPr>
                <w:rFonts w:ascii="Gill Sans MT" w:eastAsia="Gill Sans MT" w:hAnsi="Gill Sans MT" w:cs="Gill Sans MT"/>
                <w:b/>
                <w:bCs/>
                <w:color w:val="231F20"/>
                <w:sz w:val="15"/>
                <w:szCs w:val="15"/>
              </w:rPr>
              <w:t>e</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b/>
                <w:bCs/>
                <w:color w:val="231F20"/>
                <w:spacing w:val="3"/>
                <w:sz w:val="15"/>
                <w:szCs w:val="15"/>
              </w:rPr>
              <w:t>He</w:t>
            </w:r>
            <w:r>
              <w:rPr>
                <w:rFonts w:ascii="Gill Sans MT" w:eastAsia="Gill Sans MT" w:hAnsi="Gill Sans MT" w:cs="Gill Sans MT"/>
                <w:b/>
                <w:bCs/>
                <w:color w:val="231F20"/>
                <w:spacing w:val="2"/>
                <w:sz w:val="15"/>
                <w:szCs w:val="15"/>
              </w:rPr>
              <w:t>a</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4"/>
                <w:sz w:val="15"/>
                <w:szCs w:val="15"/>
              </w:rPr>
              <w:t xml:space="preserve"> </w:t>
            </w:r>
            <w:r>
              <w:rPr>
                <w:rFonts w:ascii="Gill Sans MT" w:eastAsia="Gill Sans MT" w:hAnsi="Gill Sans MT" w:cs="Gill Sans MT"/>
                <w:b/>
                <w:bCs/>
                <w:color w:val="231F20"/>
                <w:sz w:val="15"/>
                <w:szCs w:val="15"/>
              </w:rPr>
              <w:t>(2013)</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pacing w:val="2"/>
                <w:sz w:val="15"/>
                <w:szCs w:val="15"/>
              </w:rPr>
              <w:t>(Don</w:t>
            </w:r>
            <w:r>
              <w:rPr>
                <w:rFonts w:ascii="Gill Sans MT" w:eastAsia="Gill Sans MT" w:hAnsi="Gill Sans MT" w:cs="Gill Sans MT"/>
                <w:color w:val="231F20"/>
                <w:sz w:val="15"/>
                <w:szCs w:val="15"/>
              </w:rPr>
              <w:t>g</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al</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2"/>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r>
              <w:rPr>
                <w:rFonts w:ascii="Gill Sans MT" w:eastAsia="Gill Sans MT" w:hAnsi="Gill Sans MT" w:cs="Gill Sans MT"/>
                <w:b/>
                <w:color w:val="231F20"/>
                <w:w w:val="101"/>
                <w:sz w:val="15"/>
                <w:szCs w:val="15"/>
                <w:vertAlign w:val="superscript"/>
              </w:rPr>
              <w:t xml:space="preserve">  </w:t>
            </w:r>
            <w:r>
              <w:rPr>
                <w:rFonts w:ascii="Gill Sans MT" w:eastAsia="Gill Sans MT" w:hAnsi="Gill Sans MT" w:cs="Gill Sans MT"/>
                <w:b/>
                <w:bCs/>
                <w:color w:val="231F20"/>
                <w:spacing w:val="3"/>
                <w:sz w:val="15"/>
                <w:szCs w:val="15"/>
              </w:rPr>
              <w:t>C</w:t>
            </w:r>
            <w:r>
              <w:rPr>
                <w:rFonts w:ascii="Gill Sans MT" w:eastAsia="Gill Sans MT" w:hAnsi="Gill Sans MT" w:cs="Gill Sans MT"/>
                <w:b/>
                <w:bCs/>
                <w:color w:val="231F20"/>
                <w:spacing w:val="2"/>
                <w:sz w:val="15"/>
                <w:szCs w:val="15"/>
              </w:rPr>
              <w:t>h</w:t>
            </w:r>
            <w:r>
              <w:rPr>
                <w:rFonts w:ascii="Gill Sans MT" w:eastAsia="Gill Sans MT" w:hAnsi="Gill Sans MT" w:cs="Gill Sans MT"/>
                <w:b/>
                <w:bCs/>
                <w:color w:val="231F20"/>
                <w:spacing w:val="3"/>
                <w:sz w:val="15"/>
                <w:szCs w:val="15"/>
              </w:rPr>
              <w:t>in</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b/>
                <w:bCs/>
                <w:color w:val="231F20"/>
                <w:spacing w:val="3"/>
                <w:sz w:val="15"/>
                <w:szCs w:val="15"/>
              </w:rPr>
              <w:t>H</w:t>
            </w:r>
            <w:r>
              <w:rPr>
                <w:rFonts w:ascii="Gill Sans MT" w:eastAsia="Gill Sans MT" w:hAnsi="Gill Sans MT" w:cs="Gill Sans MT"/>
                <w:b/>
                <w:bCs/>
                <w:color w:val="231F20"/>
                <w:spacing w:val="4"/>
                <w:sz w:val="15"/>
                <w:szCs w:val="15"/>
              </w:rPr>
              <w:t>e</w:t>
            </w:r>
            <w:r>
              <w:rPr>
                <w:rFonts w:ascii="Gill Sans MT" w:eastAsia="Gill Sans MT" w:hAnsi="Gill Sans MT" w:cs="Gill Sans MT"/>
                <w:b/>
                <w:bCs/>
                <w:color w:val="231F20"/>
                <w:spacing w:val="2"/>
                <w:sz w:val="15"/>
                <w:szCs w:val="15"/>
              </w:rPr>
              <w:t>a</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4"/>
                <w:sz w:val="15"/>
                <w:szCs w:val="15"/>
              </w:rPr>
              <w:t xml:space="preserve"> </w:t>
            </w:r>
            <w:r>
              <w:rPr>
                <w:rFonts w:ascii="Gill Sans MT" w:eastAsia="Gill Sans MT" w:hAnsi="Gill Sans MT" w:cs="Gill Sans MT"/>
                <w:b/>
                <w:bCs/>
                <w:color w:val="231F20"/>
                <w:sz w:val="15"/>
                <w:szCs w:val="15"/>
              </w:rPr>
              <w:t>(2013)</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pacing w:val="5"/>
                <w:sz w:val="15"/>
                <w:szCs w:val="15"/>
              </w:rPr>
              <w:t>(</w:t>
            </w:r>
            <w:r>
              <w:rPr>
                <w:rFonts w:ascii="Gill Sans MT" w:eastAsia="Gill Sans MT" w:hAnsi="Gill Sans MT" w:cs="Gill Sans MT"/>
                <w:color w:val="231F20"/>
                <w:spacing w:val="2"/>
                <w:sz w:val="15"/>
                <w:szCs w:val="15"/>
              </w:rPr>
              <w:t>Zho</w:t>
            </w:r>
            <w:r>
              <w:rPr>
                <w:rFonts w:ascii="Gill Sans MT" w:eastAsia="Gill Sans MT" w:hAnsi="Gill Sans MT" w:cs="Gill Sans MT"/>
                <w:color w:val="231F20"/>
                <w:sz w:val="15"/>
                <w:szCs w:val="15"/>
              </w:rPr>
              <w:t>u</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2"/>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r>
              <w:rPr>
                <w:rFonts w:ascii="Gill Sans MT" w:eastAsia="Gill Sans MT" w:hAnsi="Gill Sans MT" w:cs="Gill Sans MT"/>
                <w:color w:val="231F20"/>
                <w:w w:val="101"/>
                <w:sz w:val="15"/>
                <w:szCs w:val="15"/>
              </w:rPr>
              <w:t xml:space="preserve"> </w:t>
            </w:r>
            <w:r>
              <w:rPr>
                <w:rFonts w:ascii="Gill Sans MT" w:eastAsia="Gill Sans MT" w:hAnsi="Gill Sans MT" w:cs="Gill Sans MT"/>
                <w:b/>
                <w:bCs/>
                <w:color w:val="231F20"/>
                <w:spacing w:val="4"/>
                <w:sz w:val="15"/>
                <w:szCs w:val="15"/>
              </w:rPr>
              <w:t>J</w:t>
            </w:r>
            <w:r>
              <w:rPr>
                <w:rFonts w:ascii="Gill Sans MT" w:eastAsia="Gill Sans MT" w:hAnsi="Gill Sans MT" w:cs="Gill Sans MT"/>
                <w:b/>
                <w:bCs/>
                <w:color w:val="231F20"/>
                <w:spacing w:val="5"/>
                <w:sz w:val="15"/>
                <w:szCs w:val="15"/>
              </w:rPr>
              <w:t>a</w:t>
            </w:r>
            <w:r>
              <w:rPr>
                <w:rFonts w:ascii="Gill Sans MT" w:eastAsia="Gill Sans MT" w:hAnsi="Gill Sans MT" w:cs="Gill Sans MT"/>
                <w:b/>
                <w:bCs/>
                <w:color w:val="231F20"/>
                <w:spacing w:val="3"/>
                <w:sz w:val="15"/>
                <w:szCs w:val="15"/>
              </w:rPr>
              <w:t>p</w:t>
            </w:r>
            <w:r>
              <w:rPr>
                <w:rFonts w:ascii="Gill Sans MT" w:eastAsia="Gill Sans MT" w:hAnsi="Gill Sans MT" w:cs="Gill Sans MT"/>
                <w:b/>
                <w:bCs/>
                <w:color w:val="231F20"/>
                <w:spacing w:val="4"/>
                <w:sz w:val="15"/>
                <w:szCs w:val="15"/>
              </w:rPr>
              <w:t>a</w:t>
            </w:r>
            <w:r>
              <w:rPr>
                <w:rFonts w:ascii="Gill Sans MT" w:eastAsia="Gill Sans MT" w:hAnsi="Gill Sans MT" w:cs="Gill Sans MT"/>
                <w:b/>
                <w:bCs/>
                <w:color w:val="231F20"/>
                <w:sz w:val="15"/>
                <w:szCs w:val="15"/>
              </w:rPr>
              <w:t>n</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b/>
                <w:bCs/>
                <w:color w:val="231F20"/>
                <w:spacing w:val="3"/>
                <w:sz w:val="15"/>
                <w:szCs w:val="15"/>
              </w:rPr>
              <w:t>He</w:t>
            </w:r>
            <w:r>
              <w:rPr>
                <w:rFonts w:ascii="Gill Sans MT" w:eastAsia="Gill Sans MT" w:hAnsi="Gill Sans MT" w:cs="Gill Sans MT"/>
                <w:b/>
                <w:bCs/>
                <w:color w:val="231F20"/>
                <w:spacing w:val="2"/>
                <w:sz w:val="15"/>
                <w:szCs w:val="15"/>
              </w:rPr>
              <w:t>a</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4"/>
                <w:sz w:val="15"/>
                <w:szCs w:val="15"/>
              </w:rPr>
              <w:t xml:space="preserve"> </w:t>
            </w:r>
            <w:r>
              <w:rPr>
                <w:rFonts w:ascii="Gill Sans MT" w:eastAsia="Gill Sans MT" w:hAnsi="Gill Sans MT" w:cs="Gill Sans MT"/>
                <w:b/>
                <w:bCs/>
                <w:color w:val="231F20"/>
                <w:sz w:val="15"/>
                <w:szCs w:val="15"/>
              </w:rPr>
              <w:t>(2013)</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pacing w:val="4"/>
                <w:sz w:val="15"/>
                <w:szCs w:val="15"/>
              </w:rPr>
              <w:t>I</w:t>
            </w:r>
            <w:r>
              <w:rPr>
                <w:rFonts w:ascii="Gill Sans MT" w:eastAsia="Gill Sans MT" w:hAnsi="Gill Sans MT" w:cs="Gill Sans MT"/>
                <w:color w:val="231F20"/>
                <w:spacing w:val="3"/>
                <w:sz w:val="15"/>
                <w:szCs w:val="15"/>
              </w:rPr>
              <w:t>m</w:t>
            </w:r>
            <w:r>
              <w:rPr>
                <w:rFonts w:ascii="Gill Sans MT" w:eastAsia="Gill Sans MT" w:hAnsi="Gill Sans MT" w:cs="Gill Sans MT"/>
                <w:color w:val="231F20"/>
                <w:spacing w:val="1"/>
                <w:sz w:val="15"/>
                <w:szCs w:val="15"/>
              </w:rPr>
              <w:t>a</w:t>
            </w:r>
            <w:r>
              <w:rPr>
                <w:rFonts w:ascii="Gill Sans MT" w:eastAsia="Gill Sans MT" w:hAnsi="Gill Sans MT" w:cs="Gill Sans MT"/>
                <w:color w:val="231F20"/>
                <w:spacing w:val="4"/>
                <w:sz w:val="15"/>
                <w:szCs w:val="15"/>
              </w:rPr>
              <w:t>d</w:t>
            </w:r>
            <w:r>
              <w:rPr>
                <w:rFonts w:ascii="Gill Sans MT" w:eastAsia="Gill Sans MT" w:hAnsi="Gill Sans MT" w:cs="Gill Sans MT"/>
                <w:color w:val="231F20"/>
                <w:sz w:val="15"/>
                <w:szCs w:val="15"/>
              </w:rPr>
              <w:t>a</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2"/>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r>
              <w:rPr>
                <w:rFonts w:ascii="Gill Sans MT" w:eastAsia="Gill Sans MT" w:hAnsi="Gill Sans MT" w:cs="Gill Sans MT"/>
                <w:color w:val="231F20"/>
                <w:w w:val="101"/>
                <w:sz w:val="15"/>
                <w:szCs w:val="15"/>
              </w:rPr>
              <w:t xml:space="preserve"> </w:t>
            </w:r>
            <w:r>
              <w:rPr>
                <w:rFonts w:ascii="Gill Sans MT" w:eastAsia="Gill Sans MT" w:hAnsi="Gill Sans MT" w:cs="Gill Sans MT"/>
                <w:b/>
                <w:bCs/>
                <w:color w:val="231F20"/>
                <w:sz w:val="15"/>
                <w:szCs w:val="15"/>
              </w:rPr>
              <w:t>K</w:t>
            </w:r>
            <w:r>
              <w:rPr>
                <w:rFonts w:ascii="Gill Sans MT" w:eastAsia="Gill Sans MT" w:hAnsi="Gill Sans MT" w:cs="Gill Sans MT"/>
                <w:b/>
                <w:bCs/>
                <w:color w:val="231F20"/>
                <w:spacing w:val="2"/>
                <w:sz w:val="15"/>
                <w:szCs w:val="15"/>
              </w:rPr>
              <w:t>or</w:t>
            </w:r>
            <w:r>
              <w:rPr>
                <w:rFonts w:ascii="Gill Sans MT" w:eastAsia="Gill Sans MT" w:hAnsi="Gill Sans MT" w:cs="Gill Sans MT"/>
                <w:b/>
                <w:bCs/>
                <w:color w:val="231F20"/>
                <w:spacing w:val="4"/>
                <w:sz w:val="15"/>
                <w:szCs w:val="15"/>
              </w:rPr>
              <w:t>e</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b/>
                <w:bCs/>
                <w:color w:val="231F20"/>
                <w:spacing w:val="3"/>
                <w:sz w:val="15"/>
                <w:szCs w:val="15"/>
              </w:rPr>
              <w:t>H</w:t>
            </w:r>
            <w:r>
              <w:rPr>
                <w:rFonts w:ascii="Gill Sans MT" w:eastAsia="Gill Sans MT" w:hAnsi="Gill Sans MT" w:cs="Gill Sans MT"/>
                <w:b/>
                <w:bCs/>
                <w:color w:val="231F20"/>
                <w:spacing w:val="4"/>
                <w:sz w:val="15"/>
                <w:szCs w:val="15"/>
              </w:rPr>
              <w:t>e</w:t>
            </w:r>
            <w:r>
              <w:rPr>
                <w:rFonts w:ascii="Gill Sans MT" w:eastAsia="Gill Sans MT" w:hAnsi="Gill Sans MT" w:cs="Gill Sans MT"/>
                <w:b/>
                <w:bCs/>
                <w:color w:val="231F20"/>
                <w:spacing w:val="2"/>
                <w:sz w:val="15"/>
                <w:szCs w:val="15"/>
              </w:rPr>
              <w:t>a</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4"/>
                <w:sz w:val="15"/>
                <w:szCs w:val="15"/>
              </w:rPr>
              <w:t xml:space="preserve"> </w:t>
            </w:r>
            <w:r>
              <w:rPr>
                <w:rFonts w:ascii="Gill Sans MT" w:eastAsia="Gill Sans MT" w:hAnsi="Gill Sans MT" w:cs="Gill Sans MT"/>
                <w:b/>
                <w:bCs/>
                <w:color w:val="231F20"/>
                <w:sz w:val="15"/>
                <w:szCs w:val="15"/>
              </w:rPr>
              <w:t>(2013)</w:t>
            </w:r>
            <w:r>
              <w:rPr>
                <w:rFonts w:ascii="Gill Sans MT" w:eastAsia="Gill Sans MT" w:hAnsi="Gill Sans MT" w:cs="Gill Sans MT"/>
                <w:b/>
                <w:bCs/>
                <w:color w:val="231F20"/>
                <w:spacing w:val="4"/>
                <w:sz w:val="15"/>
                <w:szCs w:val="15"/>
              </w:rPr>
              <w:t xml:space="preserve"> </w:t>
            </w:r>
            <w:r>
              <w:rPr>
                <w:rFonts w:ascii="Gill Sans MT" w:eastAsia="Gill Sans MT" w:hAnsi="Gill Sans MT" w:cs="Gill Sans MT"/>
                <w:color w:val="231F20"/>
                <w:spacing w:val="3"/>
                <w:sz w:val="15"/>
                <w:szCs w:val="15"/>
              </w:rPr>
              <w:t>(</w:t>
            </w:r>
            <w:r>
              <w:rPr>
                <w:rFonts w:ascii="Gill Sans MT" w:eastAsia="Gill Sans MT" w:hAnsi="Gill Sans MT" w:cs="Gill Sans MT"/>
                <w:color w:val="231F20"/>
                <w:spacing w:val="4"/>
                <w:sz w:val="15"/>
                <w:szCs w:val="15"/>
              </w:rPr>
              <w:t>M</w:t>
            </w:r>
            <w:r>
              <w:rPr>
                <w:rFonts w:ascii="Gill Sans MT" w:eastAsia="Gill Sans MT" w:hAnsi="Gill Sans MT" w:cs="Gill Sans MT"/>
                <w:color w:val="231F20"/>
                <w:spacing w:val="2"/>
                <w:sz w:val="15"/>
                <w:szCs w:val="15"/>
              </w:rPr>
              <w:t>i</w:t>
            </w:r>
            <w:r>
              <w:rPr>
                <w:rFonts w:ascii="Gill Sans MT" w:eastAsia="Gill Sans MT" w:hAnsi="Gill Sans MT" w:cs="Gill Sans MT"/>
                <w:color w:val="231F20"/>
                <w:sz w:val="15"/>
                <w:szCs w:val="15"/>
              </w:rPr>
              <w:t>n</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2"/>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p>
        </w:tc>
        <w:tc>
          <w:tcPr>
            <w:tcW w:w="2835" w:type="dxa"/>
            <w:tcBorders>
              <w:top w:val="single" w:sz="4" w:space="0" w:color="auto"/>
              <w:left w:val="single" w:sz="4" w:space="0" w:color="auto"/>
              <w:bottom w:val="single" w:sz="4" w:space="0" w:color="auto"/>
              <w:right w:val="single" w:sz="4" w:space="0" w:color="auto"/>
            </w:tcBorders>
          </w:tcPr>
          <w:p w:rsidR="00CC5E3E" w:rsidRDefault="00CC5E3E">
            <w:pPr>
              <w:jc w:val="both"/>
              <w:rPr>
                <w:rFonts w:ascii="Gill Sans MT" w:hAnsi="Gill Sans MT" w:cs="Times New Roman"/>
                <w:sz w:val="15"/>
                <w:szCs w:val="15"/>
              </w:rPr>
            </w:pPr>
          </w:p>
        </w:tc>
        <w:tc>
          <w:tcPr>
            <w:tcW w:w="4111" w:type="dxa"/>
            <w:tcBorders>
              <w:top w:val="single" w:sz="4" w:space="0" w:color="auto"/>
              <w:left w:val="single" w:sz="4" w:space="0" w:color="auto"/>
              <w:bottom w:val="single" w:sz="4" w:space="0" w:color="auto"/>
              <w:right w:val="single" w:sz="4" w:space="0" w:color="auto"/>
            </w:tcBorders>
          </w:tcPr>
          <w:p w:rsidR="00CC5E3E" w:rsidRDefault="00CC5E3E">
            <w:pPr>
              <w:jc w:val="both"/>
              <w:rPr>
                <w:rFonts w:ascii="Gill Sans MT" w:hAnsi="Gill Sans MT" w:cs="Times New Roman"/>
                <w:sz w:val="15"/>
                <w:szCs w:val="15"/>
              </w:rPr>
            </w:pPr>
          </w:p>
        </w:tc>
        <w:tc>
          <w:tcPr>
            <w:tcW w:w="992"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sz w:val="15"/>
                <w:szCs w:val="15"/>
              </w:rPr>
            </w:pPr>
            <w:r>
              <w:rPr>
                <w:rFonts w:ascii="Gill Sans MT" w:hAnsi="Gill Sans MT" w:cs="Times New Roman"/>
                <w:sz w:val="15"/>
                <w:szCs w:val="15"/>
              </w:rPr>
              <w:t>14</w:t>
            </w:r>
          </w:p>
        </w:tc>
      </w:tr>
      <w:tr w:rsidR="00CC5E3E" w:rsidTr="00CC5E3E">
        <w:tc>
          <w:tcPr>
            <w:tcW w:w="1135" w:type="dxa"/>
            <w:tcBorders>
              <w:top w:val="single" w:sz="4" w:space="0" w:color="auto"/>
              <w:left w:val="single" w:sz="4" w:space="0" w:color="auto"/>
              <w:bottom w:val="single" w:sz="4" w:space="0" w:color="auto"/>
              <w:right w:val="single" w:sz="4" w:space="0" w:color="auto"/>
            </w:tcBorders>
            <w:hideMark/>
          </w:tcPr>
          <w:p w:rsidR="00CC5E3E" w:rsidRDefault="00CC5E3E">
            <w:pPr>
              <w:jc w:val="both"/>
              <w:rPr>
                <w:rFonts w:ascii="Gill Sans MT" w:hAnsi="Gill Sans MT" w:cs="Times New Roman"/>
                <w:b/>
                <w:sz w:val="15"/>
                <w:szCs w:val="15"/>
              </w:rPr>
            </w:pPr>
            <w:r>
              <w:rPr>
                <w:rFonts w:ascii="Gill Sans MT" w:hAnsi="Gill Sans MT" w:cs="Times New Roman"/>
                <w:b/>
                <w:sz w:val="15"/>
                <w:szCs w:val="15"/>
              </w:rPr>
              <w:t>Cold</w:t>
            </w:r>
          </w:p>
        </w:tc>
        <w:tc>
          <w:tcPr>
            <w:tcW w:w="2835" w:type="dxa"/>
            <w:tcBorders>
              <w:top w:val="single" w:sz="4" w:space="0" w:color="auto"/>
              <w:left w:val="single" w:sz="4" w:space="0" w:color="auto"/>
              <w:bottom w:val="single" w:sz="4" w:space="0" w:color="auto"/>
              <w:right w:val="single" w:sz="4" w:space="0" w:color="auto"/>
            </w:tcBorders>
            <w:hideMark/>
          </w:tcPr>
          <w:p w:rsidR="00CC5E3E" w:rsidRDefault="00CC5E3E">
            <w:pPr>
              <w:spacing w:before="66" w:line="249" w:lineRule="auto"/>
              <w:ind w:left="118" w:right="27"/>
              <w:rPr>
                <w:rFonts w:ascii="Gill Sans MT" w:eastAsia="Gill Sans MT" w:hAnsi="Gill Sans MT" w:cs="Gill Sans MT"/>
                <w:sz w:val="15"/>
                <w:szCs w:val="15"/>
              </w:rPr>
            </w:pPr>
            <w:r>
              <w:rPr>
                <w:rFonts w:ascii="Gill Sans MT" w:eastAsia="Gill Sans MT" w:hAnsi="Gill Sans MT" w:cs="Gill Sans MT"/>
                <w:color w:val="231F20"/>
                <w:spacing w:val="1"/>
                <w:sz w:val="15"/>
                <w:szCs w:val="15"/>
              </w:rPr>
              <w:t>P</w:t>
            </w:r>
            <w:r>
              <w:rPr>
                <w:rFonts w:ascii="Gill Sans MT" w:eastAsia="Gill Sans MT" w:hAnsi="Gill Sans MT" w:cs="Gill Sans MT"/>
                <w:color w:val="231F20"/>
                <w:sz w:val="15"/>
                <w:szCs w:val="15"/>
              </w:rPr>
              <w:t>r</w:t>
            </w:r>
            <w:r>
              <w:rPr>
                <w:rFonts w:ascii="Gill Sans MT" w:eastAsia="Gill Sans MT" w:hAnsi="Gill Sans MT" w:cs="Gill Sans MT"/>
                <w:color w:val="231F20"/>
                <w:spacing w:val="1"/>
                <w:sz w:val="15"/>
                <w:szCs w:val="15"/>
              </w:rPr>
              <w:t>olonge</w:t>
            </w:r>
            <w:r>
              <w:rPr>
                <w:rFonts w:ascii="Gill Sans MT" w:eastAsia="Gill Sans MT" w:hAnsi="Gill Sans MT" w:cs="Gill Sans MT"/>
                <w:color w:val="231F20"/>
                <w:sz w:val="15"/>
                <w:szCs w:val="15"/>
              </w:rPr>
              <w:t>d</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z w:val="15"/>
                <w:szCs w:val="15"/>
              </w:rPr>
              <w:t>c</w:t>
            </w:r>
            <w:r>
              <w:rPr>
                <w:rFonts w:ascii="Gill Sans MT" w:eastAsia="Gill Sans MT" w:hAnsi="Gill Sans MT" w:cs="Gill Sans MT"/>
                <w:color w:val="231F20"/>
                <w:spacing w:val="1"/>
                <w:sz w:val="15"/>
                <w:szCs w:val="15"/>
              </w:rPr>
              <w:t>ol</w:t>
            </w:r>
            <w:r>
              <w:rPr>
                <w:rFonts w:ascii="Gill Sans MT" w:eastAsia="Gill Sans MT" w:hAnsi="Gill Sans MT" w:cs="Gill Sans MT"/>
                <w:color w:val="231F20"/>
                <w:sz w:val="15"/>
                <w:szCs w:val="15"/>
              </w:rPr>
              <w:t>d</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3"/>
                <w:sz w:val="15"/>
                <w:szCs w:val="15"/>
              </w:rPr>
              <w:t>w</w:t>
            </w:r>
            <w:r>
              <w:rPr>
                <w:rFonts w:ascii="Gill Sans MT" w:eastAsia="Gill Sans MT" w:hAnsi="Gill Sans MT" w:cs="Gill Sans MT"/>
                <w:color w:val="231F20"/>
                <w:spacing w:val="-2"/>
                <w:sz w:val="15"/>
                <w:szCs w:val="15"/>
              </w:rPr>
              <w:t>a</w:t>
            </w:r>
            <w:r>
              <w:rPr>
                <w:rFonts w:ascii="Gill Sans MT" w:eastAsia="Gill Sans MT" w:hAnsi="Gill Sans MT" w:cs="Gill Sans MT"/>
                <w:color w:val="231F20"/>
                <w:spacing w:val="-1"/>
                <w:sz w:val="15"/>
                <w:szCs w:val="15"/>
              </w:rPr>
              <w:t>v</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z w:val="15"/>
                <w:szCs w:val="15"/>
              </w:rPr>
              <w:t>s</w:t>
            </w:r>
            <w:r>
              <w:rPr>
                <w:rFonts w:ascii="Gill Sans MT" w:eastAsia="Gill Sans MT" w:hAnsi="Gill Sans MT" w:cs="Gill Sans MT"/>
                <w:color w:val="231F20"/>
                <w:spacing w:val="2"/>
                <w:sz w:val="15"/>
                <w:szCs w:val="15"/>
              </w:rPr>
              <w:t xml:space="preserve"> h</w:t>
            </w:r>
            <w:r>
              <w:rPr>
                <w:rFonts w:ascii="Gill Sans MT" w:eastAsia="Gill Sans MT" w:hAnsi="Gill Sans MT" w:cs="Gill Sans MT"/>
                <w:color w:val="231F20"/>
                <w:spacing w:val="-2"/>
                <w:sz w:val="15"/>
                <w:szCs w:val="15"/>
              </w:rPr>
              <w:t>a</w:t>
            </w:r>
            <w:r>
              <w:rPr>
                <w:rFonts w:ascii="Gill Sans MT" w:eastAsia="Gill Sans MT" w:hAnsi="Gill Sans MT" w:cs="Gill Sans MT"/>
                <w:color w:val="231F20"/>
                <w:spacing w:val="-1"/>
                <w:sz w:val="15"/>
                <w:szCs w:val="15"/>
              </w:rPr>
              <w:t>v</w:t>
            </w:r>
            <w:r>
              <w:rPr>
                <w:rFonts w:ascii="Gill Sans MT" w:eastAsia="Gill Sans MT" w:hAnsi="Gill Sans MT" w:cs="Gill Sans MT"/>
                <w:color w:val="231F20"/>
                <w:sz w:val="15"/>
                <w:szCs w:val="15"/>
              </w:rPr>
              <w:t>e</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1"/>
                <w:w w:val="101"/>
                <w:sz w:val="15"/>
                <w:szCs w:val="15"/>
              </w:rPr>
              <w:t>b</w:t>
            </w:r>
            <w:r>
              <w:rPr>
                <w:rFonts w:ascii="Gill Sans MT" w:eastAsia="Gill Sans MT" w:hAnsi="Gill Sans MT" w:cs="Gill Sans MT"/>
                <w:color w:val="231F20"/>
                <w:spacing w:val="2"/>
                <w:w w:val="101"/>
                <w:sz w:val="15"/>
                <w:szCs w:val="15"/>
              </w:rPr>
              <w:t>e</w:t>
            </w:r>
            <w:r>
              <w:rPr>
                <w:rFonts w:ascii="Gill Sans MT" w:eastAsia="Gill Sans MT" w:hAnsi="Gill Sans MT" w:cs="Gill Sans MT"/>
                <w:color w:val="231F20"/>
                <w:w w:val="101"/>
                <w:sz w:val="15"/>
                <w:szCs w:val="15"/>
              </w:rPr>
              <w:t>c</w:t>
            </w:r>
            <w:r>
              <w:rPr>
                <w:rFonts w:ascii="Gill Sans MT" w:eastAsia="Gill Sans MT" w:hAnsi="Gill Sans MT" w:cs="Gill Sans MT"/>
                <w:color w:val="231F20"/>
                <w:spacing w:val="1"/>
                <w:w w:val="101"/>
                <w:sz w:val="15"/>
                <w:szCs w:val="15"/>
              </w:rPr>
              <w:t>om</w:t>
            </w:r>
            <w:r>
              <w:rPr>
                <w:rFonts w:ascii="Gill Sans MT" w:eastAsia="Gill Sans MT" w:hAnsi="Gill Sans MT" w:cs="Gill Sans MT"/>
                <w:color w:val="231F20"/>
                <w:w w:val="101"/>
                <w:sz w:val="15"/>
                <w:szCs w:val="15"/>
              </w:rPr>
              <w:t xml:space="preserve">e </w:t>
            </w:r>
            <w:r>
              <w:rPr>
                <w:rFonts w:ascii="Gill Sans MT" w:eastAsia="Gill Sans MT" w:hAnsi="Gill Sans MT" w:cs="Gill Sans MT"/>
                <w:color w:val="231F20"/>
                <w:spacing w:val="1"/>
                <w:sz w:val="15"/>
                <w:szCs w:val="15"/>
              </w:rPr>
              <w:t>muc</w:t>
            </w:r>
            <w:r>
              <w:rPr>
                <w:rFonts w:ascii="Gill Sans MT" w:eastAsia="Gill Sans MT" w:hAnsi="Gill Sans MT" w:cs="Gill Sans MT"/>
                <w:color w:val="231F20"/>
                <w:sz w:val="15"/>
                <w:szCs w:val="15"/>
              </w:rPr>
              <w:t>h</w:t>
            </w:r>
            <w:r>
              <w:rPr>
                <w:rFonts w:ascii="Gill Sans MT" w:eastAsia="Gill Sans MT" w:hAnsi="Gill Sans MT" w:cs="Gill Sans MT"/>
                <w:color w:val="231F20"/>
                <w:spacing w:val="1"/>
                <w:sz w:val="15"/>
                <w:szCs w:val="15"/>
              </w:rPr>
              <w:t xml:space="preserve"> l</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pacing w:val="1"/>
                <w:sz w:val="15"/>
                <w:szCs w:val="15"/>
              </w:rPr>
              <w:t>s</w:t>
            </w:r>
            <w:r>
              <w:rPr>
                <w:rFonts w:ascii="Gill Sans MT" w:eastAsia="Gill Sans MT" w:hAnsi="Gill Sans MT" w:cs="Gill Sans MT"/>
                <w:color w:val="231F20"/>
                <w:sz w:val="15"/>
                <w:szCs w:val="15"/>
              </w:rPr>
              <w:t>s l</w:t>
            </w:r>
            <w:r>
              <w:rPr>
                <w:rFonts w:ascii="Gill Sans MT" w:eastAsia="Gill Sans MT" w:hAnsi="Gill Sans MT" w:cs="Gill Sans MT"/>
                <w:color w:val="231F20"/>
                <w:spacing w:val="1"/>
                <w:sz w:val="15"/>
                <w:szCs w:val="15"/>
              </w:rPr>
              <w:t>i</w:t>
            </w:r>
            <w:r>
              <w:rPr>
                <w:rFonts w:ascii="Gill Sans MT" w:eastAsia="Gill Sans MT" w:hAnsi="Gill Sans MT" w:cs="Gill Sans MT"/>
                <w:color w:val="231F20"/>
                <w:spacing w:val="-1"/>
                <w:sz w:val="15"/>
                <w:szCs w:val="15"/>
              </w:rPr>
              <w:t>k</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pacing w:val="1"/>
                <w:sz w:val="15"/>
                <w:szCs w:val="15"/>
              </w:rPr>
              <w:t>l</w:t>
            </w:r>
            <w:r>
              <w:rPr>
                <w:rFonts w:ascii="Gill Sans MT" w:eastAsia="Gill Sans MT" w:hAnsi="Gill Sans MT" w:cs="Gill Sans MT"/>
                <w:color w:val="231F20"/>
                <w:spacing w:val="-5"/>
                <w:sz w:val="15"/>
                <w:szCs w:val="15"/>
              </w:rPr>
              <w:t>y</w:t>
            </w:r>
            <w:r>
              <w:rPr>
                <w:rFonts w:ascii="Gill Sans MT" w:eastAsia="Gill Sans MT" w:hAnsi="Gill Sans MT" w:cs="Gill Sans MT"/>
                <w:color w:val="231F20"/>
                <w:sz w:val="15"/>
                <w:szCs w:val="15"/>
              </w:rPr>
              <w:t>,</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z w:val="15"/>
                <w:szCs w:val="15"/>
              </w:rPr>
              <w:t>s</w:t>
            </w:r>
            <w:r>
              <w:rPr>
                <w:rFonts w:ascii="Gill Sans MT" w:eastAsia="Gill Sans MT" w:hAnsi="Gill Sans MT" w:cs="Gill Sans MT"/>
                <w:color w:val="231F20"/>
                <w:spacing w:val="1"/>
                <w:sz w:val="15"/>
                <w:szCs w:val="15"/>
              </w:rPr>
              <w:t>uc</w:t>
            </w:r>
            <w:r>
              <w:rPr>
                <w:rFonts w:ascii="Gill Sans MT" w:eastAsia="Gill Sans MT" w:hAnsi="Gill Sans MT" w:cs="Gill Sans MT"/>
                <w:color w:val="231F20"/>
                <w:sz w:val="15"/>
                <w:szCs w:val="15"/>
              </w:rPr>
              <w:t>h</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2"/>
                <w:sz w:val="15"/>
                <w:szCs w:val="15"/>
              </w:rPr>
              <w:t>th</w:t>
            </w:r>
            <w:r>
              <w:rPr>
                <w:rFonts w:ascii="Gill Sans MT" w:eastAsia="Gill Sans MT" w:hAnsi="Gill Sans MT" w:cs="Gill Sans MT"/>
                <w:color w:val="231F20"/>
                <w:sz w:val="15"/>
                <w:szCs w:val="15"/>
              </w:rPr>
              <w:t xml:space="preserve">at </w:t>
            </w:r>
            <w:r>
              <w:rPr>
                <w:rFonts w:ascii="Gill Sans MT" w:eastAsia="Gill Sans MT" w:hAnsi="Gill Sans MT" w:cs="Gill Sans MT"/>
                <w:color w:val="231F20"/>
                <w:spacing w:val="2"/>
                <w:sz w:val="15"/>
                <w:szCs w:val="15"/>
              </w:rPr>
              <w:t>t</w:t>
            </w:r>
            <w:r>
              <w:rPr>
                <w:rFonts w:ascii="Gill Sans MT" w:eastAsia="Gill Sans MT" w:hAnsi="Gill Sans MT" w:cs="Gill Sans MT"/>
                <w:color w:val="231F20"/>
                <w:spacing w:val="1"/>
                <w:sz w:val="15"/>
                <w:szCs w:val="15"/>
              </w:rPr>
              <w:t>h</w:t>
            </w:r>
            <w:r>
              <w:rPr>
                <w:rFonts w:ascii="Gill Sans MT" w:eastAsia="Gill Sans MT" w:hAnsi="Gill Sans MT" w:cs="Gill Sans MT"/>
                <w:color w:val="231F20"/>
                <w:sz w:val="15"/>
                <w:szCs w:val="15"/>
              </w:rPr>
              <w:t xml:space="preserve">e </w:t>
            </w:r>
            <w:r>
              <w:rPr>
                <w:rFonts w:ascii="Gill Sans MT" w:eastAsia="Gill Sans MT" w:hAnsi="Gill Sans MT" w:cs="Gill Sans MT"/>
                <w:color w:val="231F20"/>
                <w:w w:val="101"/>
                <w:sz w:val="15"/>
                <w:szCs w:val="15"/>
              </w:rPr>
              <w:t>se</w:t>
            </w:r>
            <w:r>
              <w:rPr>
                <w:rFonts w:ascii="Gill Sans MT" w:eastAsia="Gill Sans MT" w:hAnsi="Gill Sans MT" w:cs="Gill Sans MT"/>
                <w:color w:val="231F20"/>
                <w:spacing w:val="-1"/>
                <w:w w:val="101"/>
                <w:sz w:val="15"/>
                <w:szCs w:val="15"/>
              </w:rPr>
              <w:t>v</w:t>
            </w:r>
            <w:r>
              <w:rPr>
                <w:rFonts w:ascii="Gill Sans MT" w:eastAsia="Gill Sans MT" w:hAnsi="Gill Sans MT" w:cs="Gill Sans MT"/>
                <w:color w:val="231F20"/>
                <w:spacing w:val="2"/>
                <w:w w:val="101"/>
                <w:sz w:val="15"/>
                <w:szCs w:val="15"/>
              </w:rPr>
              <w:t>e</w:t>
            </w:r>
            <w:r>
              <w:rPr>
                <w:rFonts w:ascii="Gill Sans MT" w:eastAsia="Gill Sans MT" w:hAnsi="Gill Sans MT" w:cs="Gill Sans MT"/>
                <w:color w:val="231F20"/>
                <w:w w:val="101"/>
                <w:sz w:val="15"/>
                <w:szCs w:val="15"/>
              </w:rPr>
              <w:t>r</w:t>
            </w:r>
            <w:r>
              <w:rPr>
                <w:rFonts w:ascii="Gill Sans MT" w:eastAsia="Gill Sans MT" w:hAnsi="Gill Sans MT" w:cs="Gill Sans MT"/>
                <w:color w:val="231F20"/>
                <w:spacing w:val="2"/>
                <w:w w:val="101"/>
                <w:sz w:val="15"/>
                <w:szCs w:val="15"/>
              </w:rPr>
              <w:t>e</w:t>
            </w:r>
            <w:r>
              <w:rPr>
                <w:rFonts w:ascii="Gill Sans MT" w:eastAsia="Gill Sans MT" w:hAnsi="Gill Sans MT" w:cs="Gill Sans MT"/>
                <w:color w:val="231F20"/>
                <w:spacing w:val="1"/>
                <w:w w:val="101"/>
                <w:sz w:val="15"/>
                <w:szCs w:val="15"/>
              </w:rPr>
              <w:t>l</w:t>
            </w:r>
            <w:r>
              <w:rPr>
                <w:rFonts w:ascii="Gill Sans MT" w:eastAsia="Gill Sans MT" w:hAnsi="Gill Sans MT" w:cs="Gill Sans MT"/>
                <w:color w:val="231F20"/>
                <w:w w:val="101"/>
                <w:sz w:val="15"/>
                <w:szCs w:val="15"/>
              </w:rPr>
              <w:t xml:space="preserve">y </w:t>
            </w:r>
            <w:r>
              <w:rPr>
                <w:rFonts w:ascii="Gill Sans MT" w:eastAsia="Gill Sans MT" w:hAnsi="Gill Sans MT" w:cs="Gill Sans MT"/>
                <w:color w:val="231F20"/>
                <w:sz w:val="15"/>
                <w:szCs w:val="15"/>
              </w:rPr>
              <w:t>c</w:t>
            </w:r>
            <w:r>
              <w:rPr>
                <w:rFonts w:ascii="Gill Sans MT" w:eastAsia="Gill Sans MT" w:hAnsi="Gill Sans MT" w:cs="Gill Sans MT"/>
                <w:color w:val="231F20"/>
                <w:spacing w:val="1"/>
                <w:sz w:val="15"/>
                <w:szCs w:val="15"/>
              </w:rPr>
              <w:t>o</w:t>
            </w:r>
            <w:r>
              <w:rPr>
                <w:rFonts w:ascii="Gill Sans MT" w:eastAsia="Gill Sans MT" w:hAnsi="Gill Sans MT" w:cs="Gill Sans MT"/>
                <w:color w:val="231F20"/>
                <w:sz w:val="15"/>
                <w:szCs w:val="15"/>
              </w:rPr>
              <w:t>ld</w:t>
            </w:r>
            <w:r>
              <w:rPr>
                <w:rFonts w:ascii="Gill Sans MT" w:eastAsia="Gill Sans MT" w:hAnsi="Gill Sans MT" w:cs="Gill Sans MT"/>
                <w:color w:val="231F20"/>
                <w:spacing w:val="1"/>
                <w:sz w:val="15"/>
                <w:szCs w:val="15"/>
              </w:rPr>
              <w:t xml:space="preserve"> 2</w:t>
            </w:r>
            <w:r>
              <w:rPr>
                <w:rFonts w:ascii="Gill Sans MT" w:eastAsia="Gill Sans MT" w:hAnsi="Gill Sans MT" w:cs="Gill Sans MT"/>
                <w:color w:val="231F20"/>
                <w:spacing w:val="-4"/>
                <w:sz w:val="15"/>
                <w:szCs w:val="15"/>
              </w:rPr>
              <w:t>0</w:t>
            </w:r>
            <w:r>
              <w:rPr>
                <w:rFonts w:ascii="Gill Sans MT" w:eastAsia="Gill Sans MT" w:hAnsi="Gill Sans MT" w:cs="Gill Sans MT"/>
                <w:color w:val="231F20"/>
                <w:spacing w:val="-8"/>
                <w:sz w:val="15"/>
                <w:szCs w:val="15"/>
              </w:rPr>
              <w:t>1</w:t>
            </w:r>
            <w:r>
              <w:rPr>
                <w:rFonts w:ascii="Gill Sans MT" w:eastAsia="Gill Sans MT" w:hAnsi="Gill Sans MT" w:cs="Gill Sans MT"/>
                <w:color w:val="231F20"/>
                <w:sz w:val="15"/>
                <w:szCs w:val="15"/>
              </w:rPr>
              <w:t>3</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1"/>
                <w:sz w:val="15"/>
                <w:szCs w:val="15"/>
              </w:rPr>
              <w:t>wint</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z w:val="15"/>
                <w:szCs w:val="15"/>
              </w:rPr>
              <w:t>r</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1"/>
                <w:sz w:val="15"/>
                <w:szCs w:val="15"/>
              </w:rPr>
              <w:t>ov</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z w:val="15"/>
                <w:szCs w:val="15"/>
              </w:rPr>
              <w:t>r</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2"/>
                <w:sz w:val="15"/>
                <w:szCs w:val="15"/>
              </w:rPr>
              <w:t>t</w:t>
            </w:r>
            <w:r>
              <w:rPr>
                <w:rFonts w:ascii="Gill Sans MT" w:eastAsia="Gill Sans MT" w:hAnsi="Gill Sans MT" w:cs="Gill Sans MT"/>
                <w:color w:val="231F20"/>
                <w:spacing w:val="1"/>
                <w:sz w:val="15"/>
                <w:szCs w:val="15"/>
              </w:rPr>
              <w:t>h</w:t>
            </w:r>
            <w:r>
              <w:rPr>
                <w:rFonts w:ascii="Gill Sans MT" w:eastAsia="Gill Sans MT" w:hAnsi="Gill Sans MT" w:cs="Gill Sans MT"/>
                <w:color w:val="231F20"/>
                <w:sz w:val="15"/>
                <w:szCs w:val="15"/>
              </w:rPr>
              <w:t xml:space="preserve">e </w:t>
            </w:r>
            <w:r>
              <w:rPr>
                <w:rFonts w:ascii="Gill Sans MT" w:eastAsia="Gill Sans MT" w:hAnsi="Gill Sans MT" w:cs="Gill Sans MT"/>
                <w:color w:val="231F20"/>
                <w:spacing w:val="2"/>
                <w:sz w:val="15"/>
                <w:szCs w:val="15"/>
              </w:rPr>
              <w:t>U</w:t>
            </w:r>
            <w:r>
              <w:rPr>
                <w:rFonts w:ascii="Gill Sans MT" w:eastAsia="Gill Sans MT" w:hAnsi="Gill Sans MT" w:cs="Gill Sans MT"/>
                <w:color w:val="231F20"/>
                <w:spacing w:val="1"/>
                <w:sz w:val="15"/>
                <w:szCs w:val="15"/>
              </w:rPr>
              <w:t>K</w:t>
            </w:r>
            <w:r>
              <w:rPr>
                <w:rFonts w:ascii="Gill Sans MT" w:eastAsia="Gill Sans MT" w:hAnsi="Gill Sans MT" w:cs="Gill Sans MT"/>
                <w:color w:val="231F20"/>
                <w:sz w:val="15"/>
                <w:szCs w:val="15"/>
              </w:rPr>
              <w:t>,</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1"/>
                <w:w w:val="101"/>
                <w:sz w:val="15"/>
                <w:szCs w:val="15"/>
              </w:rPr>
              <w:t>i</w:t>
            </w:r>
            <w:r>
              <w:rPr>
                <w:rFonts w:ascii="Gill Sans MT" w:eastAsia="Gill Sans MT" w:hAnsi="Gill Sans MT" w:cs="Gill Sans MT"/>
                <w:color w:val="231F20"/>
                <w:spacing w:val="3"/>
                <w:w w:val="101"/>
                <w:sz w:val="15"/>
                <w:szCs w:val="15"/>
              </w:rPr>
              <w:t>t</w:t>
            </w:r>
            <w:r>
              <w:rPr>
                <w:rFonts w:ascii="Gill Sans MT" w:eastAsia="Gill Sans MT" w:hAnsi="Gill Sans MT" w:cs="Gill Sans MT"/>
                <w:color w:val="231F20"/>
                <w:w w:val="101"/>
                <w:sz w:val="15"/>
                <w:szCs w:val="15"/>
              </w:rPr>
              <w:t xml:space="preserve">s </w:t>
            </w:r>
            <w:r>
              <w:rPr>
                <w:rFonts w:ascii="Gill Sans MT" w:eastAsia="Gill Sans MT" w:hAnsi="Gill Sans MT" w:cs="Gill Sans MT"/>
                <w:color w:val="231F20"/>
                <w:spacing w:val="1"/>
                <w:sz w:val="15"/>
                <w:szCs w:val="15"/>
              </w:rPr>
              <w:t>p</w:t>
            </w:r>
            <w:r>
              <w:rPr>
                <w:rFonts w:ascii="Gill Sans MT" w:eastAsia="Gill Sans MT" w:hAnsi="Gill Sans MT" w:cs="Gill Sans MT"/>
                <w:color w:val="231F20"/>
                <w:sz w:val="15"/>
                <w:szCs w:val="15"/>
              </w:rPr>
              <w:t>r</w:t>
            </w:r>
            <w:r>
              <w:rPr>
                <w:rFonts w:ascii="Gill Sans MT" w:eastAsia="Gill Sans MT" w:hAnsi="Gill Sans MT" w:cs="Gill Sans MT"/>
                <w:color w:val="231F20"/>
                <w:spacing w:val="1"/>
                <w:sz w:val="15"/>
                <w:szCs w:val="15"/>
              </w:rPr>
              <w:t>o</w:t>
            </w:r>
            <w:r>
              <w:rPr>
                <w:rFonts w:ascii="Gill Sans MT" w:eastAsia="Gill Sans MT" w:hAnsi="Gill Sans MT" w:cs="Gill Sans MT"/>
                <w:color w:val="231F20"/>
                <w:spacing w:val="2"/>
                <w:sz w:val="15"/>
                <w:szCs w:val="15"/>
              </w:rPr>
              <w:t>b</w:t>
            </w:r>
            <w:r>
              <w:rPr>
                <w:rFonts w:ascii="Gill Sans MT" w:eastAsia="Gill Sans MT" w:hAnsi="Gill Sans MT" w:cs="Gill Sans MT"/>
                <w:color w:val="231F20"/>
                <w:spacing w:val="1"/>
                <w:sz w:val="15"/>
                <w:szCs w:val="15"/>
              </w:rPr>
              <w:t>abili</w:t>
            </w:r>
            <w:r>
              <w:rPr>
                <w:rFonts w:ascii="Gill Sans MT" w:eastAsia="Gill Sans MT" w:hAnsi="Gill Sans MT" w:cs="Gill Sans MT"/>
                <w:color w:val="231F20"/>
                <w:spacing w:val="4"/>
                <w:sz w:val="15"/>
                <w:szCs w:val="15"/>
              </w:rPr>
              <w:t>t</w:t>
            </w:r>
            <w:r>
              <w:rPr>
                <w:rFonts w:ascii="Gill Sans MT" w:eastAsia="Gill Sans MT" w:hAnsi="Gill Sans MT" w:cs="Gill Sans MT"/>
                <w:color w:val="231F20"/>
                <w:sz w:val="15"/>
                <w:szCs w:val="15"/>
              </w:rPr>
              <w:t>y</w:t>
            </w:r>
            <w:r>
              <w:rPr>
                <w:rFonts w:ascii="Gill Sans MT" w:eastAsia="Gill Sans MT" w:hAnsi="Gill Sans MT" w:cs="Gill Sans MT"/>
                <w:color w:val="231F20"/>
                <w:spacing w:val="7"/>
                <w:sz w:val="15"/>
                <w:szCs w:val="15"/>
              </w:rPr>
              <w:t xml:space="preserve"> </w:t>
            </w:r>
            <w:r>
              <w:rPr>
                <w:rFonts w:ascii="Gill Sans MT" w:eastAsia="Gill Sans MT" w:hAnsi="Gill Sans MT" w:cs="Gill Sans MT"/>
                <w:color w:val="231F20"/>
                <w:spacing w:val="1"/>
                <w:sz w:val="15"/>
                <w:szCs w:val="15"/>
              </w:rPr>
              <w:t>o</w:t>
            </w:r>
            <w:r>
              <w:rPr>
                <w:rFonts w:ascii="Gill Sans MT" w:eastAsia="Gill Sans MT" w:hAnsi="Gill Sans MT" w:cs="Gill Sans MT"/>
                <w:color w:val="231F20"/>
                <w:sz w:val="15"/>
                <w:szCs w:val="15"/>
              </w:rPr>
              <w:t>f</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1"/>
                <w:sz w:val="15"/>
                <w:szCs w:val="15"/>
              </w:rPr>
              <w:t>occur</w:t>
            </w:r>
            <w:r>
              <w:rPr>
                <w:rFonts w:ascii="Gill Sans MT" w:eastAsia="Gill Sans MT" w:hAnsi="Gill Sans MT" w:cs="Gill Sans MT"/>
                <w:color w:val="231F20"/>
                <w:sz w:val="15"/>
                <w:szCs w:val="15"/>
              </w:rPr>
              <w:t>r</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pacing w:val="1"/>
                <w:sz w:val="15"/>
                <w:szCs w:val="15"/>
              </w:rPr>
              <w:t>n</w:t>
            </w:r>
            <w:r>
              <w:rPr>
                <w:rFonts w:ascii="Gill Sans MT" w:eastAsia="Gill Sans MT" w:hAnsi="Gill Sans MT" w:cs="Gill Sans MT"/>
                <w:color w:val="231F20"/>
                <w:sz w:val="15"/>
                <w:szCs w:val="15"/>
              </w:rPr>
              <w:t>ce</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2"/>
                <w:sz w:val="15"/>
                <w:szCs w:val="15"/>
              </w:rPr>
              <w:t>m</w:t>
            </w:r>
            <w:r>
              <w:rPr>
                <w:rFonts w:ascii="Gill Sans MT" w:eastAsia="Gill Sans MT" w:hAnsi="Gill Sans MT" w:cs="Gill Sans MT"/>
                <w:color w:val="231F20"/>
                <w:spacing w:val="-2"/>
                <w:sz w:val="15"/>
                <w:szCs w:val="15"/>
              </w:rPr>
              <w:t>a</w:t>
            </w:r>
            <w:r>
              <w:rPr>
                <w:rFonts w:ascii="Gill Sans MT" w:eastAsia="Gill Sans MT" w:hAnsi="Gill Sans MT" w:cs="Gill Sans MT"/>
                <w:color w:val="231F20"/>
                <w:sz w:val="15"/>
                <w:szCs w:val="15"/>
              </w:rPr>
              <w:t xml:space="preserve">y </w:t>
            </w:r>
            <w:r>
              <w:rPr>
                <w:rFonts w:ascii="Gill Sans MT" w:eastAsia="Gill Sans MT" w:hAnsi="Gill Sans MT" w:cs="Gill Sans MT"/>
                <w:color w:val="231F20"/>
                <w:spacing w:val="2"/>
                <w:w w:val="101"/>
                <w:sz w:val="15"/>
                <w:szCs w:val="15"/>
              </w:rPr>
              <w:t>h</w:t>
            </w:r>
            <w:r>
              <w:rPr>
                <w:rFonts w:ascii="Gill Sans MT" w:eastAsia="Gill Sans MT" w:hAnsi="Gill Sans MT" w:cs="Gill Sans MT"/>
                <w:color w:val="231F20"/>
                <w:spacing w:val="-2"/>
                <w:w w:val="101"/>
                <w:sz w:val="15"/>
                <w:szCs w:val="15"/>
              </w:rPr>
              <w:t>a</w:t>
            </w:r>
            <w:r>
              <w:rPr>
                <w:rFonts w:ascii="Gill Sans MT" w:eastAsia="Gill Sans MT" w:hAnsi="Gill Sans MT" w:cs="Gill Sans MT"/>
                <w:color w:val="231F20"/>
                <w:spacing w:val="-1"/>
                <w:w w:val="101"/>
                <w:sz w:val="15"/>
                <w:szCs w:val="15"/>
              </w:rPr>
              <w:t>v</w:t>
            </w:r>
            <w:r>
              <w:rPr>
                <w:rFonts w:ascii="Gill Sans MT" w:eastAsia="Gill Sans MT" w:hAnsi="Gill Sans MT" w:cs="Gill Sans MT"/>
                <w:color w:val="231F20"/>
                <w:w w:val="101"/>
                <w:sz w:val="15"/>
                <w:szCs w:val="15"/>
              </w:rPr>
              <w:t xml:space="preserve">e </w:t>
            </w:r>
            <w:r>
              <w:rPr>
                <w:rFonts w:ascii="Gill Sans MT" w:eastAsia="Gill Sans MT" w:hAnsi="Gill Sans MT" w:cs="Gill Sans MT"/>
                <w:color w:val="231F20"/>
                <w:spacing w:val="3"/>
                <w:sz w:val="15"/>
                <w:szCs w:val="15"/>
              </w:rPr>
              <w:t>f</w:t>
            </w:r>
            <w:r>
              <w:rPr>
                <w:rFonts w:ascii="Gill Sans MT" w:eastAsia="Gill Sans MT" w:hAnsi="Gill Sans MT" w:cs="Gill Sans MT"/>
                <w:color w:val="231F20"/>
                <w:spacing w:val="1"/>
                <w:sz w:val="15"/>
                <w:szCs w:val="15"/>
              </w:rPr>
              <w:t>a</w:t>
            </w:r>
            <w:r>
              <w:rPr>
                <w:rFonts w:ascii="Gill Sans MT" w:eastAsia="Gill Sans MT" w:hAnsi="Gill Sans MT" w:cs="Gill Sans MT"/>
                <w:color w:val="231F20"/>
                <w:sz w:val="15"/>
                <w:szCs w:val="15"/>
              </w:rPr>
              <w:t>ll</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z w:val="15"/>
                <w:szCs w:val="15"/>
              </w:rPr>
              <w:t>n</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2"/>
                <w:sz w:val="15"/>
                <w:szCs w:val="15"/>
              </w:rPr>
              <w:t>3</w:t>
            </w:r>
            <w:r>
              <w:rPr>
                <w:rFonts w:ascii="Gill Sans MT" w:eastAsia="Gill Sans MT" w:hAnsi="Gill Sans MT" w:cs="Gill Sans MT"/>
                <w:color w:val="231F20"/>
                <w:spacing w:val="7"/>
                <w:sz w:val="15"/>
                <w:szCs w:val="15"/>
              </w:rPr>
              <w:t>0</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z w:val="15"/>
                <w:szCs w:val="15"/>
              </w:rPr>
              <w:t>f</w:t>
            </w:r>
            <w:r>
              <w:rPr>
                <w:rFonts w:ascii="Gill Sans MT" w:eastAsia="Gill Sans MT" w:hAnsi="Gill Sans MT" w:cs="Gill Sans MT"/>
                <w:color w:val="231F20"/>
                <w:spacing w:val="1"/>
                <w:sz w:val="15"/>
                <w:szCs w:val="15"/>
              </w:rPr>
              <w:t>o</w:t>
            </w:r>
            <w:r>
              <w:rPr>
                <w:rFonts w:ascii="Gill Sans MT" w:eastAsia="Gill Sans MT" w:hAnsi="Gill Sans MT" w:cs="Gill Sans MT"/>
                <w:color w:val="231F20"/>
                <w:sz w:val="15"/>
                <w:szCs w:val="15"/>
              </w:rPr>
              <w:t>ld</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1"/>
                <w:sz w:val="15"/>
                <w:szCs w:val="15"/>
              </w:rPr>
              <w:t>du</w:t>
            </w:r>
            <w:r>
              <w:rPr>
                <w:rFonts w:ascii="Gill Sans MT" w:eastAsia="Gill Sans MT" w:hAnsi="Gill Sans MT" w:cs="Gill Sans MT"/>
                <w:color w:val="231F20"/>
                <w:sz w:val="15"/>
                <w:szCs w:val="15"/>
              </w:rPr>
              <w:t xml:space="preserve">e </w:t>
            </w:r>
            <w:r>
              <w:rPr>
                <w:rFonts w:ascii="Gill Sans MT" w:eastAsia="Gill Sans MT" w:hAnsi="Gill Sans MT" w:cs="Gill Sans MT"/>
                <w:color w:val="231F20"/>
                <w:spacing w:val="2"/>
                <w:sz w:val="15"/>
                <w:szCs w:val="15"/>
              </w:rPr>
              <w:t>t</w:t>
            </w:r>
            <w:r>
              <w:rPr>
                <w:rFonts w:ascii="Gill Sans MT" w:eastAsia="Gill Sans MT" w:hAnsi="Gill Sans MT" w:cs="Gill Sans MT"/>
                <w:color w:val="231F20"/>
                <w:sz w:val="15"/>
                <w:szCs w:val="15"/>
              </w:rPr>
              <w:t>o</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pacing w:val="1"/>
                <w:sz w:val="15"/>
                <w:szCs w:val="15"/>
              </w:rPr>
              <w:t>glo</w:t>
            </w:r>
            <w:r>
              <w:rPr>
                <w:rFonts w:ascii="Gill Sans MT" w:eastAsia="Gill Sans MT" w:hAnsi="Gill Sans MT" w:cs="Gill Sans MT"/>
                <w:color w:val="231F20"/>
                <w:spacing w:val="2"/>
                <w:sz w:val="15"/>
                <w:szCs w:val="15"/>
              </w:rPr>
              <w:t>b</w:t>
            </w:r>
            <w:r>
              <w:rPr>
                <w:rFonts w:ascii="Gill Sans MT" w:eastAsia="Gill Sans MT" w:hAnsi="Gill Sans MT" w:cs="Gill Sans MT"/>
                <w:color w:val="231F20"/>
                <w:spacing w:val="1"/>
                <w:sz w:val="15"/>
                <w:szCs w:val="15"/>
              </w:rPr>
              <w:t>a</w:t>
            </w:r>
            <w:r>
              <w:rPr>
                <w:rFonts w:ascii="Gill Sans MT" w:eastAsia="Gill Sans MT" w:hAnsi="Gill Sans MT" w:cs="Gill Sans MT"/>
                <w:color w:val="231F20"/>
                <w:sz w:val="15"/>
                <w:szCs w:val="15"/>
              </w:rPr>
              <w:t>l</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2"/>
                <w:w w:val="101"/>
                <w:sz w:val="15"/>
                <w:szCs w:val="15"/>
              </w:rPr>
              <w:t>w</w:t>
            </w:r>
            <w:r>
              <w:rPr>
                <w:rFonts w:ascii="Gill Sans MT" w:eastAsia="Gill Sans MT" w:hAnsi="Gill Sans MT" w:cs="Gill Sans MT"/>
                <w:color w:val="231F20"/>
                <w:spacing w:val="1"/>
                <w:w w:val="101"/>
                <w:sz w:val="15"/>
                <w:szCs w:val="15"/>
              </w:rPr>
              <w:t>a</w:t>
            </w:r>
            <w:r>
              <w:rPr>
                <w:rFonts w:ascii="Gill Sans MT" w:eastAsia="Gill Sans MT" w:hAnsi="Gill Sans MT" w:cs="Gill Sans MT"/>
                <w:color w:val="231F20"/>
                <w:spacing w:val="2"/>
                <w:w w:val="101"/>
                <w:sz w:val="15"/>
                <w:szCs w:val="15"/>
              </w:rPr>
              <w:t>r</w:t>
            </w:r>
            <w:r>
              <w:rPr>
                <w:rFonts w:ascii="Gill Sans MT" w:eastAsia="Gill Sans MT" w:hAnsi="Gill Sans MT" w:cs="Gill Sans MT"/>
                <w:color w:val="231F20"/>
                <w:spacing w:val="1"/>
                <w:w w:val="101"/>
                <w:sz w:val="15"/>
                <w:szCs w:val="15"/>
              </w:rPr>
              <w:t>mi</w:t>
            </w:r>
            <w:r>
              <w:rPr>
                <w:rFonts w:ascii="Gill Sans MT" w:eastAsia="Gill Sans MT" w:hAnsi="Gill Sans MT" w:cs="Gill Sans MT"/>
                <w:color w:val="231F20"/>
                <w:w w:val="101"/>
                <w:sz w:val="15"/>
                <w:szCs w:val="15"/>
              </w:rPr>
              <w:t>ng.</w:t>
            </w:r>
          </w:p>
        </w:tc>
        <w:tc>
          <w:tcPr>
            <w:tcW w:w="4111" w:type="dxa"/>
            <w:tcBorders>
              <w:top w:val="single" w:sz="4" w:space="0" w:color="auto"/>
              <w:left w:val="single" w:sz="4" w:space="0" w:color="auto"/>
              <w:bottom w:val="single" w:sz="4" w:space="0" w:color="auto"/>
              <w:right w:val="single" w:sz="4" w:space="0" w:color="auto"/>
            </w:tcBorders>
          </w:tcPr>
          <w:p w:rsidR="00CC5E3E" w:rsidRDefault="00CC5E3E">
            <w:pPr>
              <w:jc w:val="both"/>
              <w:rPr>
                <w:rFonts w:ascii="Gill Sans MT" w:hAnsi="Gill Sans MT" w:cs="Times New Roman"/>
                <w:sz w:val="15"/>
                <w:szCs w:val="15"/>
              </w:rPr>
            </w:pPr>
          </w:p>
        </w:tc>
        <w:tc>
          <w:tcPr>
            <w:tcW w:w="2835" w:type="dxa"/>
            <w:tcBorders>
              <w:top w:val="single" w:sz="4" w:space="0" w:color="auto"/>
              <w:left w:val="single" w:sz="4" w:space="0" w:color="auto"/>
              <w:bottom w:val="single" w:sz="4" w:space="0" w:color="auto"/>
              <w:right w:val="single" w:sz="4" w:space="0" w:color="auto"/>
            </w:tcBorders>
          </w:tcPr>
          <w:p w:rsidR="00CC5E3E" w:rsidRDefault="00CC5E3E">
            <w:pPr>
              <w:spacing w:before="66"/>
              <w:ind w:left="139" w:right="-20"/>
              <w:rPr>
                <w:rFonts w:ascii="Gill Sans MT" w:eastAsia="Gill Sans MT" w:hAnsi="Gill Sans MT" w:cs="Gill Sans MT"/>
                <w:sz w:val="15"/>
                <w:szCs w:val="15"/>
              </w:rPr>
            </w:pPr>
            <w:r>
              <w:rPr>
                <w:rFonts w:ascii="Gill Sans MT" w:eastAsia="Gill Sans MT" w:hAnsi="Gill Sans MT" w:cs="Gill Sans MT"/>
                <w:b/>
                <w:bCs/>
                <w:color w:val="231F20"/>
                <w:spacing w:val="5"/>
                <w:sz w:val="15"/>
                <w:szCs w:val="15"/>
              </w:rPr>
              <w:t>U</w:t>
            </w:r>
            <w:r>
              <w:rPr>
                <w:rFonts w:ascii="Gill Sans MT" w:eastAsia="Gill Sans MT" w:hAnsi="Gill Sans MT" w:cs="Gill Sans MT"/>
                <w:b/>
                <w:bCs/>
                <w:color w:val="231F20"/>
                <w:sz w:val="15"/>
                <w:szCs w:val="15"/>
              </w:rPr>
              <w:t>K</w:t>
            </w:r>
            <w:r>
              <w:rPr>
                <w:rFonts w:ascii="Gill Sans MT" w:eastAsia="Gill Sans MT" w:hAnsi="Gill Sans MT" w:cs="Gill Sans MT"/>
                <w:b/>
                <w:bCs/>
                <w:color w:val="231F20"/>
                <w:spacing w:val="3"/>
                <w:sz w:val="15"/>
                <w:szCs w:val="15"/>
              </w:rPr>
              <w:t xml:space="preserve"> </w:t>
            </w:r>
            <w:r>
              <w:rPr>
                <w:rFonts w:ascii="Gill Sans MT" w:eastAsia="Gill Sans MT" w:hAnsi="Gill Sans MT" w:cs="Gill Sans MT"/>
                <w:b/>
                <w:bCs/>
                <w:color w:val="231F20"/>
                <w:spacing w:val="2"/>
                <w:sz w:val="15"/>
                <w:szCs w:val="15"/>
              </w:rPr>
              <w:t>C</w:t>
            </w:r>
            <w:r>
              <w:rPr>
                <w:rFonts w:ascii="Gill Sans MT" w:eastAsia="Gill Sans MT" w:hAnsi="Gill Sans MT" w:cs="Gill Sans MT"/>
                <w:b/>
                <w:bCs/>
                <w:color w:val="231F20"/>
                <w:spacing w:val="3"/>
                <w:sz w:val="15"/>
                <w:szCs w:val="15"/>
              </w:rPr>
              <w:t>ol</w:t>
            </w:r>
            <w:r>
              <w:rPr>
                <w:rFonts w:ascii="Gill Sans MT" w:eastAsia="Gill Sans MT" w:hAnsi="Gill Sans MT" w:cs="Gill Sans MT"/>
                <w:b/>
                <w:bCs/>
                <w:color w:val="231F20"/>
                <w:sz w:val="15"/>
                <w:szCs w:val="15"/>
              </w:rPr>
              <w:t>d</w:t>
            </w:r>
            <w:r>
              <w:rPr>
                <w:rFonts w:ascii="Gill Sans MT" w:eastAsia="Gill Sans MT" w:hAnsi="Gill Sans MT" w:cs="Gill Sans MT"/>
                <w:b/>
                <w:bCs/>
                <w:color w:val="231F20"/>
                <w:spacing w:val="4"/>
                <w:sz w:val="15"/>
                <w:szCs w:val="15"/>
              </w:rPr>
              <w:t xml:space="preserve"> </w:t>
            </w:r>
            <w:r>
              <w:rPr>
                <w:rFonts w:ascii="Gill Sans MT" w:eastAsia="Gill Sans MT" w:hAnsi="Gill Sans MT" w:cs="Gill Sans MT"/>
                <w:b/>
                <w:bCs/>
                <w:color w:val="231F20"/>
                <w:spacing w:val="5"/>
                <w:sz w:val="15"/>
                <w:szCs w:val="15"/>
              </w:rPr>
              <w:t>S</w:t>
            </w:r>
            <w:r>
              <w:rPr>
                <w:rFonts w:ascii="Gill Sans MT" w:eastAsia="Gill Sans MT" w:hAnsi="Gill Sans MT" w:cs="Gill Sans MT"/>
                <w:b/>
                <w:bCs/>
                <w:color w:val="231F20"/>
                <w:spacing w:val="3"/>
                <w:sz w:val="15"/>
                <w:szCs w:val="15"/>
              </w:rPr>
              <w:t>p</w:t>
            </w:r>
            <w:r>
              <w:rPr>
                <w:rFonts w:ascii="Gill Sans MT" w:eastAsia="Gill Sans MT" w:hAnsi="Gill Sans MT" w:cs="Gill Sans MT"/>
                <w:b/>
                <w:bCs/>
                <w:color w:val="231F20"/>
                <w:spacing w:val="4"/>
                <w:sz w:val="15"/>
                <w:szCs w:val="15"/>
              </w:rPr>
              <w:t>r</w:t>
            </w:r>
            <w:r>
              <w:rPr>
                <w:rFonts w:ascii="Gill Sans MT" w:eastAsia="Gill Sans MT" w:hAnsi="Gill Sans MT" w:cs="Gill Sans MT"/>
                <w:b/>
                <w:bCs/>
                <w:color w:val="231F20"/>
                <w:spacing w:val="3"/>
                <w:sz w:val="15"/>
                <w:szCs w:val="15"/>
              </w:rPr>
              <w:t>i</w:t>
            </w:r>
            <w:r>
              <w:rPr>
                <w:rFonts w:ascii="Gill Sans MT" w:eastAsia="Gill Sans MT" w:hAnsi="Gill Sans MT" w:cs="Gill Sans MT"/>
                <w:b/>
                <w:bCs/>
                <w:color w:val="231F20"/>
                <w:spacing w:val="1"/>
                <w:sz w:val="15"/>
                <w:szCs w:val="15"/>
              </w:rPr>
              <w:t>n</w:t>
            </w:r>
            <w:r>
              <w:rPr>
                <w:rFonts w:ascii="Gill Sans MT" w:eastAsia="Gill Sans MT" w:hAnsi="Gill Sans MT" w:cs="Gill Sans MT"/>
                <w:b/>
                <w:bCs/>
                <w:color w:val="231F20"/>
                <w:sz w:val="15"/>
                <w:szCs w:val="15"/>
              </w:rPr>
              <w:t>g</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b/>
                <w:bCs/>
                <w:color w:val="231F20"/>
                <w:w w:val="101"/>
                <w:sz w:val="15"/>
                <w:szCs w:val="15"/>
              </w:rPr>
              <w:t>(2013)</w:t>
            </w:r>
          </w:p>
          <w:p w:rsidR="00CC5E3E" w:rsidRDefault="00CC5E3E">
            <w:pPr>
              <w:spacing w:before="8"/>
              <w:ind w:left="139" w:right="-20"/>
              <w:rPr>
                <w:rFonts w:ascii="Gill Sans MT" w:eastAsia="Gill Sans MT" w:hAnsi="Gill Sans MT" w:cs="Gill Sans MT"/>
                <w:sz w:val="15"/>
                <w:szCs w:val="15"/>
              </w:rPr>
            </w:pPr>
            <w:r>
              <w:rPr>
                <w:rFonts w:ascii="Gill Sans MT" w:eastAsia="Gill Sans MT" w:hAnsi="Gill Sans MT" w:cs="Gill Sans MT"/>
                <w:color w:val="231F20"/>
                <w:spacing w:val="2"/>
                <w:sz w:val="15"/>
                <w:szCs w:val="15"/>
              </w:rPr>
              <w:t>(Christidi</w:t>
            </w:r>
            <w:r>
              <w:rPr>
                <w:rFonts w:ascii="Gill Sans MT" w:eastAsia="Gill Sans MT" w:hAnsi="Gill Sans MT" w:cs="Gill Sans MT"/>
                <w:color w:val="231F20"/>
                <w:sz w:val="15"/>
                <w:szCs w:val="15"/>
              </w:rPr>
              <w:t>s</w:t>
            </w:r>
            <w:r>
              <w:rPr>
                <w:rFonts w:ascii="Gill Sans MT" w:eastAsia="Gill Sans MT" w:hAnsi="Gill Sans MT" w:cs="Gill Sans MT"/>
                <w:color w:val="231F20"/>
                <w:spacing w:val="10"/>
                <w:sz w:val="15"/>
                <w:szCs w:val="15"/>
              </w:rPr>
              <w:t xml:space="preserve"> </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2"/>
                <w:sz w:val="15"/>
                <w:szCs w:val="15"/>
              </w:rPr>
              <w:t>al.</w:t>
            </w:r>
            <w:r>
              <w:rPr>
                <w:rFonts w:ascii="Gill Sans MT" w:eastAsia="Gill Sans MT" w:hAnsi="Gill Sans MT" w:cs="Gill Sans MT"/>
                <w:color w:val="231F20"/>
                <w:sz w:val="15"/>
                <w:szCs w:val="15"/>
              </w:rPr>
              <w:t>,</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2"/>
                <w:w w:val="101"/>
                <w:sz w:val="15"/>
                <w:szCs w:val="15"/>
              </w:rPr>
              <w:t>2014)</w:t>
            </w:r>
            <w:r w:rsidR="00E13392">
              <w:rPr>
                <w:rFonts w:ascii="Gill Sans MT" w:eastAsia="Gill Sans MT" w:hAnsi="Gill Sans MT" w:cs="Gill Sans MT"/>
                <w:color w:val="231F20"/>
                <w:spacing w:val="2"/>
                <w:w w:val="101"/>
                <w:sz w:val="15"/>
                <w:szCs w:val="15"/>
              </w:rPr>
              <w:fldChar w:fldCharType="begin"/>
            </w:r>
            <w:r>
              <w:rPr>
                <w:rFonts w:ascii="Gill Sans MT" w:eastAsia="Gill Sans MT" w:hAnsi="Gill Sans MT" w:cs="Gill Sans MT"/>
                <w:color w:val="231F20"/>
                <w:spacing w:val="2"/>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spacing w:val="2"/>
                <w:w w:val="101"/>
                <w:sz w:val="15"/>
                <w:szCs w:val="15"/>
              </w:rPr>
              <w:fldChar w:fldCharType="separate"/>
            </w:r>
            <w:r w:rsidRPr="00CC5E3E">
              <w:rPr>
                <w:rFonts w:ascii="Gill Sans MT" w:eastAsia="Gill Sans MT" w:hAnsi="Gill Sans MT" w:cs="Gill Sans MT"/>
                <w:noProof/>
                <w:color w:val="231F20"/>
                <w:spacing w:val="2"/>
                <w:w w:val="101"/>
                <w:sz w:val="15"/>
                <w:szCs w:val="15"/>
                <w:vertAlign w:val="superscript"/>
              </w:rPr>
              <w:t>15</w:t>
            </w:r>
            <w:r w:rsidR="00E13392">
              <w:rPr>
                <w:rFonts w:ascii="Gill Sans MT" w:eastAsia="Gill Sans MT" w:hAnsi="Gill Sans MT" w:cs="Gill Sans MT"/>
                <w:color w:val="231F20"/>
                <w:spacing w:val="2"/>
                <w:w w:val="101"/>
                <w:sz w:val="15"/>
                <w:szCs w:val="15"/>
              </w:rPr>
              <w:fldChar w:fldCharType="end"/>
            </w:r>
          </w:p>
          <w:p w:rsidR="00CC5E3E" w:rsidRDefault="00CC5E3E">
            <w:pPr>
              <w:jc w:val="both"/>
              <w:rPr>
                <w:rFonts w:ascii="Gill Sans MT" w:hAnsi="Gill Sans MT" w:cs="Times New Roman"/>
                <w:sz w:val="15"/>
                <w:szCs w:val="15"/>
              </w:rPr>
            </w:pPr>
          </w:p>
        </w:tc>
        <w:tc>
          <w:tcPr>
            <w:tcW w:w="4111" w:type="dxa"/>
            <w:tcBorders>
              <w:top w:val="single" w:sz="4" w:space="0" w:color="auto"/>
              <w:left w:val="single" w:sz="4" w:space="0" w:color="auto"/>
              <w:bottom w:val="single" w:sz="4" w:space="0" w:color="auto"/>
              <w:right w:val="single" w:sz="4" w:space="0" w:color="auto"/>
            </w:tcBorders>
          </w:tcPr>
          <w:p w:rsidR="00CC5E3E" w:rsidRDefault="00CC5E3E">
            <w:pPr>
              <w:spacing w:before="66"/>
              <w:ind w:left="101" w:right="-20"/>
              <w:rPr>
                <w:rFonts w:ascii="Gill Sans MT" w:eastAsia="Gill Sans MT" w:hAnsi="Gill Sans MT" w:cs="Gill Sans MT"/>
                <w:sz w:val="15"/>
                <w:szCs w:val="15"/>
              </w:rPr>
            </w:pPr>
            <w:r>
              <w:rPr>
                <w:rFonts w:ascii="Gill Sans MT" w:eastAsia="Gill Sans MT" w:hAnsi="Gill Sans MT" w:cs="Gill Sans MT"/>
                <w:b/>
                <w:bCs/>
                <w:color w:val="231F20"/>
                <w:spacing w:val="5"/>
                <w:sz w:val="15"/>
                <w:szCs w:val="15"/>
              </w:rPr>
              <w:t>U</w:t>
            </w:r>
            <w:r>
              <w:rPr>
                <w:rFonts w:ascii="Gill Sans MT" w:eastAsia="Gill Sans MT" w:hAnsi="Gill Sans MT" w:cs="Gill Sans MT"/>
                <w:b/>
                <w:bCs/>
                <w:color w:val="231F20"/>
                <w:sz w:val="15"/>
                <w:szCs w:val="15"/>
              </w:rPr>
              <w:t>K</w:t>
            </w:r>
            <w:r>
              <w:rPr>
                <w:rFonts w:ascii="Gill Sans MT" w:eastAsia="Gill Sans MT" w:hAnsi="Gill Sans MT" w:cs="Gill Sans MT"/>
                <w:b/>
                <w:bCs/>
                <w:color w:val="231F20"/>
                <w:spacing w:val="3"/>
                <w:sz w:val="15"/>
                <w:szCs w:val="15"/>
              </w:rPr>
              <w:t xml:space="preserve"> </w:t>
            </w:r>
            <w:r>
              <w:rPr>
                <w:rFonts w:ascii="Gill Sans MT" w:eastAsia="Gill Sans MT" w:hAnsi="Gill Sans MT" w:cs="Gill Sans MT"/>
                <w:b/>
                <w:bCs/>
                <w:color w:val="231F20"/>
                <w:sz w:val="15"/>
                <w:szCs w:val="15"/>
              </w:rPr>
              <w:t>Extreme</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pacing w:val="2"/>
                <w:sz w:val="15"/>
                <w:szCs w:val="15"/>
              </w:rPr>
              <w:t>C</w:t>
            </w:r>
            <w:r>
              <w:rPr>
                <w:rFonts w:ascii="Gill Sans MT" w:eastAsia="Gill Sans MT" w:hAnsi="Gill Sans MT" w:cs="Gill Sans MT"/>
                <w:b/>
                <w:bCs/>
                <w:color w:val="231F20"/>
                <w:spacing w:val="3"/>
                <w:sz w:val="15"/>
                <w:szCs w:val="15"/>
              </w:rPr>
              <w:t>ol</w:t>
            </w:r>
            <w:r>
              <w:rPr>
                <w:rFonts w:ascii="Gill Sans MT" w:eastAsia="Gill Sans MT" w:hAnsi="Gill Sans MT" w:cs="Gill Sans MT"/>
                <w:b/>
                <w:bCs/>
                <w:color w:val="231F20"/>
                <w:sz w:val="15"/>
                <w:szCs w:val="15"/>
              </w:rPr>
              <w:t>d</w:t>
            </w:r>
            <w:r>
              <w:rPr>
                <w:rFonts w:ascii="Gill Sans MT" w:eastAsia="Gill Sans MT" w:hAnsi="Gill Sans MT" w:cs="Gill Sans MT"/>
                <w:b/>
                <w:bCs/>
                <w:color w:val="231F20"/>
                <w:spacing w:val="4"/>
                <w:sz w:val="15"/>
                <w:szCs w:val="15"/>
              </w:rPr>
              <w:t xml:space="preserve"> </w:t>
            </w:r>
            <w:r>
              <w:rPr>
                <w:rFonts w:ascii="Gill Sans MT" w:eastAsia="Gill Sans MT" w:hAnsi="Gill Sans MT" w:cs="Gill Sans MT"/>
                <w:b/>
                <w:bCs/>
                <w:color w:val="231F20"/>
                <w:spacing w:val="5"/>
                <w:w w:val="101"/>
                <w:sz w:val="15"/>
                <w:szCs w:val="15"/>
              </w:rPr>
              <w:t>(2010/11</w:t>
            </w:r>
            <w:r>
              <w:rPr>
                <w:rFonts w:ascii="Gill Sans MT" w:eastAsia="Gill Sans MT" w:hAnsi="Gill Sans MT" w:cs="Gill Sans MT"/>
                <w:b/>
                <w:bCs/>
                <w:color w:val="231F20"/>
                <w:w w:val="101"/>
                <w:sz w:val="15"/>
                <w:szCs w:val="15"/>
              </w:rPr>
              <w:t>)</w:t>
            </w:r>
          </w:p>
          <w:p w:rsidR="00CC5E3E" w:rsidRDefault="00CC5E3E">
            <w:pPr>
              <w:spacing w:before="8"/>
              <w:ind w:left="101" w:right="-20"/>
              <w:rPr>
                <w:rFonts w:ascii="Gill Sans MT" w:eastAsia="Gill Sans MT" w:hAnsi="Gill Sans MT" w:cs="Gill Sans MT"/>
                <w:sz w:val="15"/>
                <w:szCs w:val="15"/>
              </w:rPr>
            </w:pPr>
            <w:r>
              <w:rPr>
                <w:rFonts w:ascii="Gill Sans MT" w:eastAsia="Gill Sans MT" w:hAnsi="Gill Sans MT" w:cs="Gill Sans MT"/>
                <w:color w:val="231F20"/>
                <w:spacing w:val="-1"/>
                <w:sz w:val="15"/>
                <w:szCs w:val="15"/>
              </w:rPr>
              <w:t>(</w:t>
            </w:r>
            <w:r>
              <w:rPr>
                <w:rFonts w:ascii="Gill Sans MT" w:eastAsia="Gill Sans MT" w:hAnsi="Gill Sans MT" w:cs="Gill Sans MT"/>
                <w:color w:val="231F20"/>
                <w:spacing w:val="2"/>
                <w:sz w:val="15"/>
                <w:szCs w:val="15"/>
              </w:rPr>
              <w:t>Ch</w:t>
            </w:r>
            <w:r>
              <w:rPr>
                <w:rFonts w:ascii="Gill Sans MT" w:eastAsia="Gill Sans MT" w:hAnsi="Gill Sans MT" w:cs="Gill Sans MT"/>
                <w:color w:val="231F20"/>
                <w:spacing w:val="3"/>
                <w:sz w:val="15"/>
                <w:szCs w:val="15"/>
              </w:rPr>
              <w:t>r</w:t>
            </w:r>
            <w:r>
              <w:rPr>
                <w:rFonts w:ascii="Gill Sans MT" w:eastAsia="Gill Sans MT" w:hAnsi="Gill Sans MT" w:cs="Gill Sans MT"/>
                <w:color w:val="231F20"/>
                <w:spacing w:val="2"/>
                <w:sz w:val="15"/>
                <w:szCs w:val="15"/>
              </w:rPr>
              <w:t>i</w:t>
            </w:r>
            <w:r>
              <w:rPr>
                <w:rFonts w:ascii="Gill Sans MT" w:eastAsia="Gill Sans MT" w:hAnsi="Gill Sans MT" w:cs="Gill Sans MT"/>
                <w:color w:val="231F20"/>
                <w:spacing w:val="3"/>
                <w:sz w:val="15"/>
                <w:szCs w:val="15"/>
              </w:rPr>
              <w:t>st</w:t>
            </w:r>
            <w:r>
              <w:rPr>
                <w:rFonts w:ascii="Gill Sans MT" w:eastAsia="Gill Sans MT" w:hAnsi="Gill Sans MT" w:cs="Gill Sans MT"/>
                <w:color w:val="231F20"/>
                <w:spacing w:val="2"/>
                <w:sz w:val="15"/>
                <w:szCs w:val="15"/>
              </w:rPr>
              <w:t>i</w:t>
            </w:r>
            <w:r>
              <w:rPr>
                <w:rFonts w:ascii="Gill Sans MT" w:eastAsia="Gill Sans MT" w:hAnsi="Gill Sans MT" w:cs="Gill Sans MT"/>
                <w:color w:val="231F20"/>
                <w:spacing w:val="3"/>
                <w:sz w:val="15"/>
                <w:szCs w:val="15"/>
              </w:rPr>
              <w:t>d</w:t>
            </w:r>
            <w:r>
              <w:rPr>
                <w:rFonts w:ascii="Gill Sans MT" w:eastAsia="Gill Sans MT" w:hAnsi="Gill Sans MT" w:cs="Gill Sans MT"/>
                <w:color w:val="231F20"/>
                <w:spacing w:val="2"/>
                <w:sz w:val="15"/>
                <w:szCs w:val="15"/>
              </w:rPr>
              <w:t>i</w:t>
            </w:r>
            <w:r>
              <w:rPr>
                <w:rFonts w:ascii="Gill Sans MT" w:eastAsia="Gill Sans MT" w:hAnsi="Gill Sans MT" w:cs="Gill Sans MT"/>
                <w:color w:val="231F20"/>
                <w:sz w:val="15"/>
                <w:szCs w:val="15"/>
              </w:rPr>
              <w:t>s</w:t>
            </w:r>
            <w:r>
              <w:rPr>
                <w:rFonts w:ascii="Gill Sans MT" w:eastAsia="Gill Sans MT" w:hAnsi="Gill Sans MT" w:cs="Gill Sans MT"/>
                <w:color w:val="231F20"/>
                <w:spacing w:val="7"/>
                <w:sz w:val="15"/>
                <w:szCs w:val="15"/>
              </w:rPr>
              <w:t xml:space="preserve"> </w:t>
            </w:r>
            <w:r>
              <w:rPr>
                <w:rFonts w:ascii="Gill Sans MT" w:eastAsia="Gill Sans MT" w:hAnsi="Gill Sans MT" w:cs="Gill Sans MT"/>
                <w:color w:val="231F20"/>
                <w:sz w:val="15"/>
                <w:szCs w:val="15"/>
              </w:rPr>
              <w:t>&amp;</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z w:val="15"/>
                <w:szCs w:val="15"/>
              </w:rPr>
              <w:t>Stott,</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w w:val="101"/>
                <w:sz w:val="15"/>
                <w:szCs w:val="15"/>
              </w:rPr>
              <w:t>2012)</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&lt;EndNote&gt;&lt;Cite&gt;&lt;Author&gt;Peterson&lt;/Author&gt;&lt;Year&gt;2012&lt;/Year&gt;&lt;RecNum&gt;1571&lt;/RecNum&gt;&lt;DisplayText&gt;&lt;style face="superscript"&gt;16&lt;/style&gt;&lt;/DisplayText&gt;&lt;record&gt;&lt;rec-number&gt;1571&lt;/rec-number&gt;&lt;foreign-keys&gt;&lt;key app="EN" db-id="wtftd20rmszxx0ettxy5exwdf90wv22s2dsf" timestamp="1428038257"&gt;1571&lt;/key&gt;&lt;/foreign-keys&gt;&lt;ref-type name="Journal Article"&gt;17&lt;/ref-type&gt;&lt;contributors&gt;&lt;authors&gt;&lt;author&gt;T Peterson&lt;/author&gt;&lt;author&gt;P Stott&lt;/author&gt;&lt;author&gt;S Herring&lt;/author&gt;&lt;/authors&gt;&lt;/contributors&gt;&lt;titles&gt;&lt;title&gt;Explaining Extreme Events of 2011 from a Climate Perspective&lt;/title&gt;&lt;secondary-title&gt;Special Supplement to the Bulletin of the American Meteorological Society&lt;/secondary-title&gt;&lt;/titles&gt;&lt;periodical&gt;&lt;full-title&gt;Special Supplement to the Bulletin of the American Meteorological Society&lt;/full-title&gt;&lt;/periodical&gt;&lt;pages&gt;1041-67&lt;/pages&gt;&lt;volume&gt;93&lt;/volume&gt;&lt;dates&gt;&lt;year&gt;2012&lt;/year&gt;&lt;/dates&gt;&lt;urls&gt;&lt;/urls&gt;&lt;/record&gt;&lt;/Cite&gt;&lt;/EndNote&gt;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16</w:t>
            </w:r>
            <w:r w:rsidR="00E13392">
              <w:rPr>
                <w:rFonts w:ascii="Gill Sans MT" w:eastAsia="Gill Sans MT" w:hAnsi="Gill Sans MT" w:cs="Gill Sans MT"/>
                <w:color w:val="231F20"/>
                <w:w w:val="101"/>
                <w:sz w:val="15"/>
                <w:szCs w:val="15"/>
              </w:rPr>
              <w:fldChar w:fldCharType="end"/>
            </w:r>
          </w:p>
          <w:p w:rsidR="00CC5E3E" w:rsidRDefault="007065D4">
            <w:pPr>
              <w:jc w:val="both"/>
              <w:rPr>
                <w:rFonts w:ascii="Gill Sans MT" w:hAnsi="Gill Sans MT" w:cs="Times New Roman"/>
                <w:sz w:val="15"/>
                <w:szCs w:val="15"/>
              </w:rPr>
            </w:pPr>
            <w:r>
              <w:rPr>
                <w:rFonts w:ascii="Gill Sans MT" w:hAnsi="Gill Sans MT" w:cs="Times New Roman"/>
                <w:sz w:val="15"/>
                <w:szCs w:val="15"/>
              </w:rPr>
              <w:t>srto</w:t>
            </w:r>
          </w:p>
        </w:tc>
        <w:tc>
          <w:tcPr>
            <w:tcW w:w="992"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sz w:val="15"/>
                <w:szCs w:val="15"/>
              </w:rPr>
            </w:pPr>
            <w:r>
              <w:rPr>
                <w:rFonts w:ascii="Gill Sans MT" w:hAnsi="Gill Sans MT" w:cs="Times New Roman"/>
                <w:sz w:val="15"/>
                <w:szCs w:val="15"/>
              </w:rPr>
              <w:t>2</w:t>
            </w:r>
          </w:p>
        </w:tc>
      </w:tr>
      <w:tr w:rsidR="00CC5E3E" w:rsidTr="00CC5E3E">
        <w:tc>
          <w:tcPr>
            <w:tcW w:w="1135" w:type="dxa"/>
            <w:tcBorders>
              <w:top w:val="single" w:sz="4" w:space="0" w:color="auto"/>
              <w:left w:val="single" w:sz="4" w:space="0" w:color="auto"/>
              <w:bottom w:val="single" w:sz="4" w:space="0" w:color="auto"/>
              <w:right w:val="single" w:sz="4" w:space="0" w:color="auto"/>
            </w:tcBorders>
            <w:hideMark/>
          </w:tcPr>
          <w:p w:rsidR="00CC5E3E" w:rsidRDefault="00CC5E3E">
            <w:pPr>
              <w:jc w:val="both"/>
              <w:rPr>
                <w:rFonts w:ascii="Gill Sans MT" w:hAnsi="Gill Sans MT" w:cs="Times New Roman"/>
                <w:b/>
                <w:sz w:val="15"/>
                <w:szCs w:val="15"/>
              </w:rPr>
            </w:pPr>
            <w:r>
              <w:rPr>
                <w:rFonts w:ascii="Gill Sans MT" w:hAnsi="Gill Sans MT" w:cs="Times New Roman"/>
                <w:b/>
                <w:sz w:val="15"/>
                <w:szCs w:val="15"/>
              </w:rPr>
              <w:t>Heavy  Precipitation/Flood</w:t>
            </w:r>
          </w:p>
        </w:tc>
        <w:tc>
          <w:tcPr>
            <w:tcW w:w="2835" w:type="dxa"/>
            <w:tcBorders>
              <w:top w:val="single" w:sz="4" w:space="0" w:color="auto"/>
              <w:left w:val="single" w:sz="4" w:space="0" w:color="auto"/>
              <w:bottom w:val="single" w:sz="4" w:space="0" w:color="auto"/>
              <w:right w:val="single" w:sz="4" w:space="0" w:color="auto"/>
            </w:tcBorders>
            <w:hideMark/>
          </w:tcPr>
          <w:p w:rsidR="00CC5E3E" w:rsidRDefault="00CC5E3E">
            <w:pPr>
              <w:spacing w:before="63" w:line="249" w:lineRule="auto"/>
              <w:ind w:left="117" w:right="72"/>
              <w:rPr>
                <w:rFonts w:ascii="Gill Sans MT" w:eastAsia="Gill Sans MT" w:hAnsi="Gill Sans MT" w:cs="Gill Sans MT"/>
                <w:sz w:val="15"/>
                <w:szCs w:val="15"/>
              </w:rPr>
            </w:pPr>
            <w:r>
              <w:rPr>
                <w:rFonts w:ascii="Gill Sans MT" w:eastAsia="Gill Sans MT" w:hAnsi="Gill Sans MT" w:cs="Gill Sans MT"/>
                <w:color w:val="231F20"/>
                <w:spacing w:val="6"/>
                <w:sz w:val="15"/>
                <w:szCs w:val="15"/>
              </w:rPr>
              <w:t>E</w:t>
            </w:r>
            <w:r>
              <w:rPr>
                <w:rFonts w:ascii="Gill Sans MT" w:eastAsia="Gill Sans MT" w:hAnsi="Gill Sans MT" w:cs="Gill Sans MT"/>
                <w:color w:val="231F20"/>
                <w:spacing w:val="4"/>
                <w:sz w:val="15"/>
                <w:szCs w:val="15"/>
              </w:rPr>
              <w:t>x</w:t>
            </w:r>
            <w:r>
              <w:rPr>
                <w:rFonts w:ascii="Gill Sans MT" w:eastAsia="Gill Sans MT" w:hAnsi="Gill Sans MT" w:cs="Gill Sans MT"/>
                <w:color w:val="231F20"/>
                <w:spacing w:val="3"/>
                <w:sz w:val="15"/>
                <w:szCs w:val="15"/>
              </w:rPr>
              <w:t>t</w:t>
            </w:r>
            <w:r>
              <w:rPr>
                <w:rFonts w:ascii="Gill Sans MT" w:eastAsia="Gill Sans MT" w:hAnsi="Gill Sans MT" w:cs="Gill Sans MT"/>
                <w:color w:val="231F20"/>
                <w:spacing w:val="1"/>
                <w:sz w:val="15"/>
                <w:szCs w:val="15"/>
              </w:rPr>
              <w:t>r</w:t>
            </w:r>
            <w:r>
              <w:rPr>
                <w:rFonts w:ascii="Gill Sans MT" w:eastAsia="Gill Sans MT" w:hAnsi="Gill Sans MT" w:cs="Gill Sans MT"/>
                <w:color w:val="231F20"/>
                <w:spacing w:val="4"/>
                <w:sz w:val="15"/>
                <w:szCs w:val="15"/>
              </w:rPr>
              <w:t>e</w:t>
            </w:r>
            <w:r>
              <w:rPr>
                <w:rFonts w:ascii="Gill Sans MT" w:eastAsia="Gill Sans MT" w:hAnsi="Gill Sans MT" w:cs="Gill Sans MT"/>
                <w:color w:val="231F20"/>
                <w:spacing w:val="2"/>
                <w:sz w:val="15"/>
                <w:szCs w:val="15"/>
              </w:rPr>
              <w:t>m</w:t>
            </w:r>
            <w:r>
              <w:rPr>
                <w:rFonts w:ascii="Gill Sans MT" w:eastAsia="Gill Sans MT" w:hAnsi="Gill Sans MT" w:cs="Gill Sans MT"/>
                <w:color w:val="231F20"/>
                <w:sz w:val="15"/>
                <w:szCs w:val="15"/>
              </w:rPr>
              <w:t>e</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2"/>
                <w:sz w:val="15"/>
                <w:szCs w:val="15"/>
              </w:rPr>
              <w:t>p</w:t>
            </w:r>
            <w:r>
              <w:rPr>
                <w:rFonts w:ascii="Gill Sans MT" w:eastAsia="Gill Sans MT" w:hAnsi="Gill Sans MT" w:cs="Gill Sans MT"/>
                <w:color w:val="231F20"/>
                <w:spacing w:val="1"/>
                <w:sz w:val="15"/>
                <w:szCs w:val="15"/>
              </w:rPr>
              <w:t>r</w:t>
            </w:r>
            <w:r>
              <w:rPr>
                <w:rFonts w:ascii="Gill Sans MT" w:eastAsia="Gill Sans MT" w:hAnsi="Gill Sans MT" w:cs="Gill Sans MT"/>
                <w:color w:val="231F20"/>
                <w:spacing w:val="3"/>
                <w:sz w:val="15"/>
                <w:szCs w:val="15"/>
              </w:rPr>
              <w:t>eci</w:t>
            </w:r>
            <w:r>
              <w:rPr>
                <w:rFonts w:ascii="Gill Sans MT" w:eastAsia="Gill Sans MT" w:hAnsi="Gill Sans MT" w:cs="Gill Sans MT"/>
                <w:color w:val="231F20"/>
                <w:spacing w:val="2"/>
                <w:sz w:val="15"/>
                <w:szCs w:val="15"/>
              </w:rPr>
              <w:t>p</w:t>
            </w:r>
            <w:r>
              <w:rPr>
                <w:rFonts w:ascii="Gill Sans MT" w:eastAsia="Gill Sans MT" w:hAnsi="Gill Sans MT" w:cs="Gill Sans MT"/>
                <w:color w:val="231F20"/>
                <w:spacing w:val="3"/>
                <w:sz w:val="15"/>
                <w:szCs w:val="15"/>
              </w:rPr>
              <w:t>i</w:t>
            </w:r>
            <w:r>
              <w:rPr>
                <w:rFonts w:ascii="Gill Sans MT" w:eastAsia="Gill Sans MT" w:hAnsi="Gill Sans MT" w:cs="Gill Sans MT"/>
                <w:color w:val="231F20"/>
                <w:spacing w:val="5"/>
                <w:sz w:val="15"/>
                <w:szCs w:val="15"/>
              </w:rPr>
              <w:t>t</w:t>
            </w:r>
            <w:r>
              <w:rPr>
                <w:rFonts w:ascii="Gill Sans MT" w:eastAsia="Gill Sans MT" w:hAnsi="Gill Sans MT" w:cs="Gill Sans MT"/>
                <w:color w:val="231F20"/>
                <w:spacing w:val="2"/>
                <w:sz w:val="15"/>
                <w:szCs w:val="15"/>
              </w:rPr>
              <w:t>a</w:t>
            </w:r>
            <w:r>
              <w:rPr>
                <w:rFonts w:ascii="Gill Sans MT" w:eastAsia="Gill Sans MT" w:hAnsi="Gill Sans MT" w:cs="Gill Sans MT"/>
                <w:color w:val="231F20"/>
                <w:spacing w:val="3"/>
                <w:sz w:val="15"/>
                <w:szCs w:val="15"/>
              </w:rPr>
              <w:t>t</w:t>
            </w:r>
            <w:r>
              <w:rPr>
                <w:rFonts w:ascii="Gill Sans MT" w:eastAsia="Gill Sans MT" w:hAnsi="Gill Sans MT" w:cs="Gill Sans MT"/>
                <w:color w:val="231F20"/>
                <w:spacing w:val="2"/>
                <w:sz w:val="15"/>
                <w:szCs w:val="15"/>
              </w:rPr>
              <w:t>io</w:t>
            </w:r>
            <w:r>
              <w:rPr>
                <w:rFonts w:ascii="Gill Sans MT" w:eastAsia="Gill Sans MT" w:hAnsi="Gill Sans MT" w:cs="Gill Sans MT"/>
                <w:color w:val="231F20"/>
                <w:sz w:val="15"/>
                <w:szCs w:val="15"/>
              </w:rPr>
              <w:t>n</w:t>
            </w:r>
            <w:r>
              <w:rPr>
                <w:rFonts w:ascii="Gill Sans MT" w:eastAsia="Gill Sans MT" w:hAnsi="Gill Sans MT" w:cs="Gill Sans MT"/>
                <w:color w:val="231F20"/>
                <w:spacing w:val="9"/>
                <w:sz w:val="15"/>
                <w:szCs w:val="15"/>
              </w:rPr>
              <w:t xml:space="preserve"> </w:t>
            </w:r>
            <w:r>
              <w:rPr>
                <w:rFonts w:ascii="Gill Sans MT" w:eastAsia="Gill Sans MT" w:hAnsi="Gill Sans MT" w:cs="Gill Sans MT"/>
                <w:color w:val="231F20"/>
                <w:spacing w:val="1"/>
                <w:sz w:val="15"/>
                <w:szCs w:val="15"/>
              </w:rPr>
              <w:t>e</w:t>
            </w:r>
            <w:r>
              <w:rPr>
                <w:rFonts w:ascii="Gill Sans MT" w:eastAsia="Gill Sans MT" w:hAnsi="Gill Sans MT" w:cs="Gill Sans MT"/>
                <w:color w:val="231F20"/>
                <w:sz w:val="15"/>
                <w:szCs w:val="15"/>
              </w:rPr>
              <w:t>v</w:t>
            </w:r>
            <w:r>
              <w:rPr>
                <w:rFonts w:ascii="Gill Sans MT" w:eastAsia="Gill Sans MT" w:hAnsi="Gill Sans MT" w:cs="Gill Sans MT"/>
                <w:color w:val="231F20"/>
                <w:spacing w:val="4"/>
                <w:sz w:val="15"/>
                <w:szCs w:val="15"/>
              </w:rPr>
              <w:t>e</w:t>
            </w:r>
            <w:r>
              <w:rPr>
                <w:rFonts w:ascii="Gill Sans MT" w:eastAsia="Gill Sans MT" w:hAnsi="Gill Sans MT" w:cs="Gill Sans MT"/>
                <w:color w:val="231F20"/>
                <w:spacing w:val="2"/>
                <w:sz w:val="15"/>
                <w:szCs w:val="15"/>
              </w:rPr>
              <w:t>n</w:t>
            </w:r>
            <w:r>
              <w:rPr>
                <w:rFonts w:ascii="Gill Sans MT" w:eastAsia="Gill Sans MT" w:hAnsi="Gill Sans MT" w:cs="Gill Sans MT"/>
                <w:color w:val="231F20"/>
                <w:spacing w:val="4"/>
                <w:sz w:val="15"/>
                <w:szCs w:val="15"/>
              </w:rPr>
              <w:t>t</w:t>
            </w:r>
            <w:r>
              <w:rPr>
                <w:rFonts w:ascii="Gill Sans MT" w:eastAsia="Gill Sans MT" w:hAnsi="Gill Sans MT" w:cs="Gill Sans MT"/>
                <w:color w:val="231F20"/>
                <w:sz w:val="15"/>
                <w:szCs w:val="15"/>
              </w:rPr>
              <w:t>s</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w w:val="101"/>
                <w:sz w:val="15"/>
                <w:szCs w:val="15"/>
              </w:rPr>
              <w:t>w</w:t>
            </w:r>
            <w:r>
              <w:rPr>
                <w:rFonts w:ascii="Gill Sans MT" w:eastAsia="Gill Sans MT" w:hAnsi="Gill Sans MT" w:cs="Gill Sans MT"/>
                <w:color w:val="231F20"/>
                <w:spacing w:val="3"/>
                <w:w w:val="101"/>
                <w:sz w:val="15"/>
                <w:szCs w:val="15"/>
              </w:rPr>
              <w:t>e</w:t>
            </w:r>
            <w:r>
              <w:rPr>
                <w:rFonts w:ascii="Gill Sans MT" w:eastAsia="Gill Sans MT" w:hAnsi="Gill Sans MT" w:cs="Gill Sans MT"/>
                <w:color w:val="231F20"/>
                <w:spacing w:val="1"/>
                <w:w w:val="101"/>
                <w:sz w:val="15"/>
                <w:szCs w:val="15"/>
              </w:rPr>
              <w:t>r</w:t>
            </w:r>
            <w:r>
              <w:rPr>
                <w:rFonts w:ascii="Gill Sans MT" w:eastAsia="Gill Sans MT" w:hAnsi="Gill Sans MT" w:cs="Gill Sans MT"/>
                <w:color w:val="231F20"/>
                <w:w w:val="101"/>
                <w:sz w:val="15"/>
                <w:szCs w:val="15"/>
              </w:rPr>
              <w:t xml:space="preserve">e </w:t>
            </w:r>
            <w:r>
              <w:rPr>
                <w:rFonts w:ascii="Gill Sans MT" w:eastAsia="Gill Sans MT" w:hAnsi="Gill Sans MT" w:cs="Gill Sans MT"/>
                <w:color w:val="231F20"/>
                <w:spacing w:val="1"/>
                <w:sz w:val="15"/>
                <w:szCs w:val="15"/>
              </w:rPr>
              <w:t>f</w:t>
            </w:r>
            <w:r>
              <w:rPr>
                <w:rFonts w:ascii="Gill Sans MT" w:eastAsia="Gill Sans MT" w:hAnsi="Gill Sans MT" w:cs="Gill Sans MT"/>
                <w:color w:val="231F20"/>
                <w:spacing w:val="2"/>
                <w:sz w:val="15"/>
                <w:szCs w:val="15"/>
              </w:rPr>
              <w:t>oun</w:t>
            </w:r>
            <w:r>
              <w:rPr>
                <w:rFonts w:ascii="Gill Sans MT" w:eastAsia="Gill Sans MT" w:hAnsi="Gill Sans MT" w:cs="Gill Sans MT"/>
                <w:color w:val="231F20"/>
                <w:sz w:val="15"/>
                <w:szCs w:val="15"/>
              </w:rPr>
              <w:t>d</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3"/>
                <w:sz w:val="15"/>
                <w:szCs w:val="15"/>
              </w:rPr>
              <w:t>t</w:t>
            </w:r>
            <w:r>
              <w:rPr>
                <w:rFonts w:ascii="Gill Sans MT" w:eastAsia="Gill Sans MT" w:hAnsi="Gill Sans MT" w:cs="Gill Sans MT"/>
                <w:color w:val="231F20"/>
                <w:sz w:val="15"/>
                <w:szCs w:val="15"/>
              </w:rPr>
              <w:t>o</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3"/>
                <w:sz w:val="15"/>
                <w:szCs w:val="15"/>
              </w:rPr>
              <w:t>h</w:t>
            </w:r>
            <w:r>
              <w:rPr>
                <w:rFonts w:ascii="Gill Sans MT" w:eastAsia="Gill Sans MT" w:hAnsi="Gill Sans MT" w:cs="Gill Sans MT"/>
                <w:color w:val="231F20"/>
                <w:sz w:val="15"/>
                <w:szCs w:val="15"/>
              </w:rPr>
              <w:t>ave</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3"/>
                <w:sz w:val="15"/>
                <w:szCs w:val="15"/>
              </w:rPr>
              <w:t>bee</w:t>
            </w:r>
            <w:r>
              <w:rPr>
                <w:rFonts w:ascii="Gill Sans MT" w:eastAsia="Gill Sans MT" w:hAnsi="Gill Sans MT" w:cs="Gill Sans MT"/>
                <w:color w:val="231F20"/>
                <w:sz w:val="15"/>
                <w:szCs w:val="15"/>
              </w:rPr>
              <w:t>n</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2"/>
                <w:sz w:val="15"/>
                <w:szCs w:val="15"/>
              </w:rPr>
              <w:t>mu</w:t>
            </w:r>
            <w:r>
              <w:rPr>
                <w:rFonts w:ascii="Gill Sans MT" w:eastAsia="Gill Sans MT" w:hAnsi="Gill Sans MT" w:cs="Gill Sans MT"/>
                <w:color w:val="231F20"/>
                <w:spacing w:val="3"/>
                <w:sz w:val="15"/>
                <w:szCs w:val="15"/>
              </w:rPr>
              <w:t>c</w:t>
            </w:r>
            <w:r>
              <w:rPr>
                <w:rFonts w:ascii="Gill Sans MT" w:eastAsia="Gill Sans MT" w:hAnsi="Gill Sans MT" w:cs="Gill Sans MT"/>
                <w:color w:val="231F20"/>
                <w:sz w:val="15"/>
                <w:szCs w:val="15"/>
              </w:rPr>
              <w:t>h</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2"/>
                <w:w w:val="101"/>
                <w:sz w:val="15"/>
                <w:szCs w:val="15"/>
              </w:rPr>
              <w:t>l</w:t>
            </w:r>
            <w:r>
              <w:rPr>
                <w:rFonts w:ascii="Gill Sans MT" w:eastAsia="Gill Sans MT" w:hAnsi="Gill Sans MT" w:cs="Gill Sans MT"/>
                <w:color w:val="231F20"/>
                <w:spacing w:val="3"/>
                <w:w w:val="101"/>
                <w:sz w:val="15"/>
                <w:szCs w:val="15"/>
              </w:rPr>
              <w:t>es</w:t>
            </w:r>
            <w:r>
              <w:rPr>
                <w:rFonts w:ascii="Gill Sans MT" w:eastAsia="Gill Sans MT" w:hAnsi="Gill Sans MT" w:cs="Gill Sans MT"/>
                <w:color w:val="231F20"/>
                <w:w w:val="101"/>
                <w:sz w:val="15"/>
                <w:szCs w:val="15"/>
              </w:rPr>
              <w:t xml:space="preserve">s </w:t>
            </w:r>
            <w:r>
              <w:rPr>
                <w:rFonts w:ascii="Gill Sans MT" w:eastAsia="Gill Sans MT" w:hAnsi="Gill Sans MT" w:cs="Gill Sans MT"/>
                <w:color w:val="231F20"/>
                <w:spacing w:val="2"/>
                <w:sz w:val="15"/>
                <w:szCs w:val="15"/>
              </w:rPr>
              <w:t>in</w:t>
            </w:r>
            <w:r>
              <w:rPr>
                <w:rFonts w:ascii="Gill Sans MT" w:eastAsia="Gill Sans MT" w:hAnsi="Gill Sans MT" w:cs="Gill Sans MT"/>
                <w:color w:val="231F20"/>
                <w:spacing w:val="6"/>
                <w:sz w:val="15"/>
                <w:szCs w:val="15"/>
              </w:rPr>
              <w:t>f</w:t>
            </w:r>
            <w:r>
              <w:rPr>
                <w:rFonts w:ascii="Gill Sans MT" w:eastAsia="Gill Sans MT" w:hAnsi="Gill Sans MT" w:cs="Gill Sans MT"/>
                <w:color w:val="231F20"/>
                <w:spacing w:val="2"/>
                <w:sz w:val="15"/>
                <w:szCs w:val="15"/>
              </w:rPr>
              <w:t>lu</w:t>
            </w:r>
            <w:r>
              <w:rPr>
                <w:rFonts w:ascii="Gill Sans MT" w:eastAsia="Gill Sans MT" w:hAnsi="Gill Sans MT" w:cs="Gill Sans MT"/>
                <w:color w:val="231F20"/>
                <w:spacing w:val="4"/>
                <w:sz w:val="15"/>
                <w:szCs w:val="15"/>
              </w:rPr>
              <w:t>e</w:t>
            </w:r>
            <w:r>
              <w:rPr>
                <w:rFonts w:ascii="Gill Sans MT" w:eastAsia="Gill Sans MT" w:hAnsi="Gill Sans MT" w:cs="Gill Sans MT"/>
                <w:color w:val="231F20"/>
                <w:spacing w:val="2"/>
                <w:sz w:val="15"/>
                <w:szCs w:val="15"/>
              </w:rPr>
              <w:t>nc</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d</w:t>
            </w:r>
            <w:r>
              <w:rPr>
                <w:rFonts w:ascii="Gill Sans MT" w:eastAsia="Gill Sans MT" w:hAnsi="Gill Sans MT" w:cs="Gill Sans MT"/>
                <w:color w:val="231F20"/>
                <w:spacing w:val="7"/>
                <w:sz w:val="15"/>
                <w:szCs w:val="15"/>
              </w:rPr>
              <w:t xml:space="preserve"> </w:t>
            </w:r>
            <w:r>
              <w:rPr>
                <w:rFonts w:ascii="Gill Sans MT" w:eastAsia="Gill Sans MT" w:hAnsi="Gill Sans MT" w:cs="Gill Sans MT"/>
                <w:color w:val="231F20"/>
                <w:sz w:val="15"/>
                <w:szCs w:val="15"/>
              </w:rPr>
              <w:t>by</w:t>
            </w:r>
            <w:r>
              <w:rPr>
                <w:rFonts w:ascii="Gill Sans MT" w:eastAsia="Gill Sans MT" w:hAnsi="Gill Sans MT" w:cs="Gill Sans MT"/>
                <w:color w:val="231F20"/>
                <w:spacing w:val="2"/>
                <w:sz w:val="15"/>
                <w:szCs w:val="15"/>
              </w:rPr>
              <w:t xml:space="preserve"> h</w:t>
            </w:r>
            <w:r>
              <w:rPr>
                <w:rFonts w:ascii="Gill Sans MT" w:eastAsia="Gill Sans MT" w:hAnsi="Gill Sans MT" w:cs="Gill Sans MT"/>
                <w:color w:val="231F20"/>
                <w:spacing w:val="3"/>
                <w:sz w:val="15"/>
                <w:szCs w:val="15"/>
              </w:rPr>
              <w:t>uma</w:t>
            </w:r>
            <w:r>
              <w:rPr>
                <w:rFonts w:ascii="Gill Sans MT" w:eastAsia="Gill Sans MT" w:hAnsi="Gill Sans MT" w:cs="Gill Sans MT"/>
                <w:color w:val="231F20"/>
                <w:spacing w:val="4"/>
                <w:sz w:val="15"/>
                <w:szCs w:val="15"/>
              </w:rPr>
              <w:t>n-</w:t>
            </w:r>
            <w:r>
              <w:rPr>
                <w:rFonts w:ascii="Gill Sans MT" w:eastAsia="Gill Sans MT" w:hAnsi="Gill Sans MT" w:cs="Gill Sans MT"/>
                <w:color w:val="231F20"/>
                <w:spacing w:val="2"/>
                <w:sz w:val="15"/>
                <w:szCs w:val="15"/>
              </w:rPr>
              <w:t>in</w:t>
            </w:r>
            <w:r>
              <w:rPr>
                <w:rFonts w:ascii="Gill Sans MT" w:eastAsia="Gill Sans MT" w:hAnsi="Gill Sans MT" w:cs="Gill Sans MT"/>
                <w:color w:val="231F20"/>
                <w:spacing w:val="3"/>
                <w:sz w:val="15"/>
                <w:szCs w:val="15"/>
              </w:rPr>
              <w:t>d</w:t>
            </w:r>
            <w:r>
              <w:rPr>
                <w:rFonts w:ascii="Gill Sans MT" w:eastAsia="Gill Sans MT" w:hAnsi="Gill Sans MT" w:cs="Gill Sans MT"/>
                <w:color w:val="231F20"/>
                <w:spacing w:val="2"/>
                <w:sz w:val="15"/>
                <w:szCs w:val="15"/>
              </w:rPr>
              <w:t>uc</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d</w:t>
            </w:r>
            <w:r>
              <w:rPr>
                <w:rFonts w:ascii="Gill Sans MT" w:eastAsia="Gill Sans MT" w:hAnsi="Gill Sans MT" w:cs="Gill Sans MT"/>
                <w:color w:val="231F20"/>
                <w:spacing w:val="10"/>
                <w:sz w:val="15"/>
                <w:szCs w:val="15"/>
              </w:rPr>
              <w:t xml:space="preserve"> </w:t>
            </w:r>
            <w:r>
              <w:rPr>
                <w:rFonts w:ascii="Gill Sans MT" w:eastAsia="Gill Sans MT" w:hAnsi="Gill Sans MT" w:cs="Gill Sans MT"/>
                <w:color w:val="231F20"/>
                <w:spacing w:val="3"/>
                <w:w w:val="101"/>
                <w:sz w:val="15"/>
                <w:szCs w:val="15"/>
              </w:rPr>
              <w:t>c</w:t>
            </w:r>
            <w:r>
              <w:rPr>
                <w:rFonts w:ascii="Gill Sans MT" w:eastAsia="Gill Sans MT" w:hAnsi="Gill Sans MT" w:cs="Gill Sans MT"/>
                <w:color w:val="231F20"/>
                <w:spacing w:val="2"/>
                <w:w w:val="101"/>
                <w:sz w:val="15"/>
                <w:szCs w:val="15"/>
              </w:rPr>
              <w:t>li</w:t>
            </w:r>
            <w:r>
              <w:rPr>
                <w:rFonts w:ascii="Gill Sans MT" w:eastAsia="Gill Sans MT" w:hAnsi="Gill Sans MT" w:cs="Gill Sans MT"/>
                <w:color w:val="231F20"/>
                <w:spacing w:val="3"/>
                <w:w w:val="101"/>
                <w:sz w:val="15"/>
                <w:szCs w:val="15"/>
              </w:rPr>
              <w:t>m</w:t>
            </w:r>
            <w:r>
              <w:rPr>
                <w:rFonts w:ascii="Gill Sans MT" w:eastAsia="Gill Sans MT" w:hAnsi="Gill Sans MT" w:cs="Gill Sans MT"/>
                <w:color w:val="231F20"/>
                <w:spacing w:val="2"/>
                <w:w w:val="101"/>
                <w:sz w:val="15"/>
                <w:szCs w:val="15"/>
              </w:rPr>
              <w:t>a</w:t>
            </w:r>
            <w:r>
              <w:rPr>
                <w:rFonts w:ascii="Gill Sans MT" w:eastAsia="Gill Sans MT" w:hAnsi="Gill Sans MT" w:cs="Gill Sans MT"/>
                <w:color w:val="231F20"/>
                <w:spacing w:val="3"/>
                <w:w w:val="101"/>
                <w:sz w:val="15"/>
                <w:szCs w:val="15"/>
              </w:rPr>
              <w:t>t</w:t>
            </w:r>
            <w:r>
              <w:rPr>
                <w:rFonts w:ascii="Gill Sans MT" w:eastAsia="Gill Sans MT" w:hAnsi="Gill Sans MT" w:cs="Gill Sans MT"/>
                <w:color w:val="231F20"/>
                <w:w w:val="101"/>
                <w:sz w:val="15"/>
                <w:szCs w:val="15"/>
              </w:rPr>
              <w:t xml:space="preserve">e </w:t>
            </w:r>
            <w:r>
              <w:rPr>
                <w:rFonts w:ascii="Gill Sans MT" w:eastAsia="Gill Sans MT" w:hAnsi="Gill Sans MT" w:cs="Gill Sans MT"/>
                <w:color w:val="231F20"/>
                <w:spacing w:val="3"/>
                <w:sz w:val="15"/>
                <w:szCs w:val="15"/>
              </w:rPr>
              <w:t>cha</w:t>
            </w:r>
            <w:r>
              <w:rPr>
                <w:rFonts w:ascii="Gill Sans MT" w:eastAsia="Gill Sans MT" w:hAnsi="Gill Sans MT" w:cs="Gill Sans MT"/>
                <w:color w:val="231F20"/>
                <w:spacing w:val="2"/>
                <w:sz w:val="15"/>
                <w:szCs w:val="15"/>
              </w:rPr>
              <w:t>ng</w:t>
            </w:r>
            <w:r>
              <w:rPr>
                <w:rFonts w:ascii="Gill Sans MT" w:eastAsia="Gill Sans MT" w:hAnsi="Gill Sans MT" w:cs="Gill Sans MT"/>
                <w:color w:val="231F20"/>
                <w:sz w:val="15"/>
                <w:szCs w:val="15"/>
              </w:rPr>
              <w:t>e</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sz w:val="15"/>
                <w:szCs w:val="15"/>
              </w:rPr>
              <w:t>t</w:t>
            </w:r>
            <w:r>
              <w:rPr>
                <w:rFonts w:ascii="Gill Sans MT" w:eastAsia="Gill Sans MT" w:hAnsi="Gill Sans MT" w:cs="Gill Sans MT"/>
                <w:color w:val="231F20"/>
                <w:spacing w:val="3"/>
                <w:sz w:val="15"/>
                <w:szCs w:val="15"/>
              </w:rPr>
              <w:t>ha</w:t>
            </w:r>
            <w:r>
              <w:rPr>
                <w:rFonts w:ascii="Gill Sans MT" w:eastAsia="Gill Sans MT" w:hAnsi="Gill Sans MT" w:cs="Gill Sans MT"/>
                <w:color w:val="231F20"/>
                <w:sz w:val="15"/>
                <w:szCs w:val="15"/>
              </w:rPr>
              <w:t>n</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3"/>
                <w:sz w:val="15"/>
                <w:szCs w:val="15"/>
              </w:rPr>
              <w:t>ext</w:t>
            </w:r>
            <w:r>
              <w:rPr>
                <w:rFonts w:ascii="Gill Sans MT" w:eastAsia="Gill Sans MT" w:hAnsi="Gill Sans MT" w:cs="Gill Sans MT"/>
                <w:color w:val="231F20"/>
                <w:spacing w:val="1"/>
                <w:sz w:val="15"/>
                <w:szCs w:val="15"/>
              </w:rPr>
              <w:t>r</w:t>
            </w:r>
            <w:r>
              <w:rPr>
                <w:rFonts w:ascii="Gill Sans MT" w:eastAsia="Gill Sans MT" w:hAnsi="Gill Sans MT" w:cs="Gill Sans MT"/>
                <w:color w:val="231F20"/>
                <w:spacing w:val="3"/>
                <w:sz w:val="15"/>
                <w:szCs w:val="15"/>
              </w:rPr>
              <w:t>em</w:t>
            </w:r>
            <w:r>
              <w:rPr>
                <w:rFonts w:ascii="Gill Sans MT" w:eastAsia="Gill Sans MT" w:hAnsi="Gill Sans MT" w:cs="Gill Sans MT"/>
                <w:color w:val="231F20"/>
                <w:sz w:val="15"/>
                <w:szCs w:val="15"/>
              </w:rPr>
              <w:t>e</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3"/>
                <w:w w:val="101"/>
                <w:sz w:val="15"/>
                <w:szCs w:val="15"/>
              </w:rPr>
              <w:t>tempe</w:t>
            </w:r>
            <w:r>
              <w:rPr>
                <w:rFonts w:ascii="Gill Sans MT" w:eastAsia="Gill Sans MT" w:hAnsi="Gill Sans MT" w:cs="Gill Sans MT"/>
                <w:color w:val="231F20"/>
                <w:spacing w:val="5"/>
                <w:w w:val="101"/>
                <w:sz w:val="15"/>
                <w:szCs w:val="15"/>
              </w:rPr>
              <w:t>r</w:t>
            </w:r>
            <w:r>
              <w:rPr>
                <w:rFonts w:ascii="Gill Sans MT" w:eastAsia="Gill Sans MT" w:hAnsi="Gill Sans MT" w:cs="Gill Sans MT"/>
                <w:color w:val="231F20"/>
                <w:spacing w:val="2"/>
                <w:w w:val="101"/>
                <w:sz w:val="15"/>
                <w:szCs w:val="15"/>
              </w:rPr>
              <w:t>a</w:t>
            </w:r>
            <w:r>
              <w:rPr>
                <w:rFonts w:ascii="Gill Sans MT" w:eastAsia="Gill Sans MT" w:hAnsi="Gill Sans MT" w:cs="Gill Sans MT"/>
                <w:color w:val="231F20"/>
                <w:spacing w:val="3"/>
                <w:w w:val="101"/>
                <w:sz w:val="15"/>
                <w:szCs w:val="15"/>
              </w:rPr>
              <w:t>t</w:t>
            </w:r>
            <w:r>
              <w:rPr>
                <w:rFonts w:ascii="Gill Sans MT" w:eastAsia="Gill Sans MT" w:hAnsi="Gill Sans MT" w:cs="Gill Sans MT"/>
                <w:color w:val="231F20"/>
                <w:spacing w:val="2"/>
                <w:w w:val="101"/>
                <w:sz w:val="15"/>
                <w:szCs w:val="15"/>
              </w:rPr>
              <w:t>u</w:t>
            </w:r>
            <w:r>
              <w:rPr>
                <w:rFonts w:ascii="Gill Sans MT" w:eastAsia="Gill Sans MT" w:hAnsi="Gill Sans MT" w:cs="Gill Sans MT"/>
                <w:color w:val="231F20"/>
                <w:spacing w:val="1"/>
                <w:w w:val="101"/>
                <w:sz w:val="15"/>
                <w:szCs w:val="15"/>
              </w:rPr>
              <w:t>r</w:t>
            </w:r>
            <w:r>
              <w:rPr>
                <w:rFonts w:ascii="Gill Sans MT" w:eastAsia="Gill Sans MT" w:hAnsi="Gill Sans MT" w:cs="Gill Sans MT"/>
                <w:color w:val="231F20"/>
                <w:w w:val="101"/>
                <w:sz w:val="15"/>
                <w:szCs w:val="15"/>
              </w:rPr>
              <w:t xml:space="preserve">e </w:t>
            </w:r>
            <w:r>
              <w:rPr>
                <w:rFonts w:ascii="Gill Sans MT" w:eastAsia="Gill Sans MT" w:hAnsi="Gill Sans MT" w:cs="Gill Sans MT"/>
                <w:color w:val="231F20"/>
                <w:spacing w:val="1"/>
                <w:w w:val="101"/>
                <w:sz w:val="15"/>
                <w:szCs w:val="15"/>
              </w:rPr>
              <w:t>e</w:t>
            </w:r>
            <w:r>
              <w:rPr>
                <w:rFonts w:ascii="Gill Sans MT" w:eastAsia="Gill Sans MT" w:hAnsi="Gill Sans MT" w:cs="Gill Sans MT"/>
                <w:color w:val="231F20"/>
                <w:w w:val="101"/>
                <w:sz w:val="15"/>
                <w:szCs w:val="15"/>
              </w:rPr>
              <w:t>v</w:t>
            </w:r>
            <w:r>
              <w:rPr>
                <w:rFonts w:ascii="Gill Sans MT" w:eastAsia="Gill Sans MT" w:hAnsi="Gill Sans MT" w:cs="Gill Sans MT"/>
                <w:color w:val="231F20"/>
                <w:spacing w:val="4"/>
                <w:w w:val="101"/>
                <w:sz w:val="15"/>
                <w:szCs w:val="15"/>
              </w:rPr>
              <w:t>e</w:t>
            </w:r>
            <w:r>
              <w:rPr>
                <w:rFonts w:ascii="Gill Sans MT" w:eastAsia="Gill Sans MT" w:hAnsi="Gill Sans MT" w:cs="Gill Sans MT"/>
                <w:color w:val="231F20"/>
                <w:spacing w:val="3"/>
                <w:w w:val="101"/>
                <w:sz w:val="15"/>
                <w:szCs w:val="15"/>
              </w:rPr>
              <w:t>n</w:t>
            </w:r>
            <w:r>
              <w:rPr>
                <w:rFonts w:ascii="Gill Sans MT" w:eastAsia="Gill Sans MT" w:hAnsi="Gill Sans MT" w:cs="Gill Sans MT"/>
                <w:color w:val="231F20"/>
                <w:spacing w:val="4"/>
                <w:w w:val="101"/>
                <w:sz w:val="15"/>
                <w:szCs w:val="15"/>
              </w:rPr>
              <w:t>ts</w:t>
            </w:r>
            <w:r>
              <w:rPr>
                <w:rFonts w:ascii="Gill Sans MT" w:eastAsia="Gill Sans MT" w:hAnsi="Gill Sans MT" w:cs="Gill Sans MT"/>
                <w:color w:val="231F20"/>
                <w:w w:val="101"/>
                <w:sz w:val="15"/>
                <w:szCs w:val="15"/>
              </w:rPr>
              <w:t>.</w:t>
            </w:r>
          </w:p>
        </w:tc>
        <w:tc>
          <w:tcPr>
            <w:tcW w:w="4111" w:type="dxa"/>
            <w:tcBorders>
              <w:top w:val="single" w:sz="4" w:space="0" w:color="auto"/>
              <w:left w:val="single" w:sz="4" w:space="0" w:color="auto"/>
              <w:bottom w:val="single" w:sz="4" w:space="0" w:color="auto"/>
              <w:right w:val="single" w:sz="4" w:space="0" w:color="auto"/>
            </w:tcBorders>
          </w:tcPr>
          <w:p w:rsidR="00CC5E3E" w:rsidRDefault="00CC5E3E">
            <w:pPr>
              <w:spacing w:before="63"/>
              <w:ind w:left="95" w:right="-20"/>
              <w:rPr>
                <w:rFonts w:ascii="Gill Sans MT" w:eastAsia="Gill Sans MT" w:hAnsi="Gill Sans MT" w:cs="Gill Sans MT"/>
                <w:sz w:val="15"/>
                <w:szCs w:val="15"/>
              </w:rPr>
            </w:pPr>
            <w:r>
              <w:rPr>
                <w:rFonts w:ascii="Gill Sans MT" w:eastAsia="Gill Sans MT" w:hAnsi="Gill Sans MT" w:cs="Gill Sans MT"/>
                <w:b/>
                <w:bCs/>
                <w:color w:val="231F20"/>
                <w:spacing w:val="3"/>
                <w:sz w:val="15"/>
                <w:szCs w:val="15"/>
              </w:rPr>
              <w:t>U</w:t>
            </w:r>
            <w:r>
              <w:rPr>
                <w:rFonts w:ascii="Gill Sans MT" w:eastAsia="Gill Sans MT" w:hAnsi="Gill Sans MT" w:cs="Gill Sans MT"/>
                <w:b/>
                <w:bCs/>
                <w:color w:val="231F20"/>
                <w:sz w:val="15"/>
                <w:szCs w:val="15"/>
              </w:rPr>
              <w:t>K</w:t>
            </w:r>
            <w:r>
              <w:rPr>
                <w:rFonts w:ascii="Gill Sans MT" w:eastAsia="Gill Sans MT" w:hAnsi="Gill Sans MT" w:cs="Gill Sans MT"/>
                <w:b/>
                <w:bCs/>
                <w:color w:val="231F20"/>
                <w:spacing w:val="8"/>
                <w:sz w:val="15"/>
                <w:szCs w:val="15"/>
              </w:rPr>
              <w:t xml:space="preserve"> </w:t>
            </w:r>
            <w:r>
              <w:rPr>
                <w:rFonts w:ascii="Gill Sans MT" w:eastAsia="Gill Sans MT" w:hAnsi="Gill Sans MT" w:cs="Gill Sans MT"/>
                <w:b/>
                <w:bCs/>
                <w:color w:val="231F20"/>
                <w:spacing w:val="3"/>
                <w:sz w:val="15"/>
                <w:szCs w:val="15"/>
              </w:rPr>
              <w:t>Flood</w:t>
            </w:r>
            <w:r>
              <w:rPr>
                <w:rFonts w:ascii="Gill Sans MT" w:eastAsia="Gill Sans MT" w:hAnsi="Gill Sans MT" w:cs="Gill Sans MT"/>
                <w:b/>
                <w:bCs/>
                <w:color w:val="231F20"/>
                <w:sz w:val="15"/>
                <w:szCs w:val="15"/>
              </w:rPr>
              <w:t>s</w:t>
            </w:r>
            <w:r>
              <w:rPr>
                <w:rFonts w:ascii="Gill Sans MT" w:eastAsia="Gill Sans MT" w:hAnsi="Gill Sans MT" w:cs="Gill Sans MT"/>
                <w:b/>
                <w:bCs/>
                <w:color w:val="231F20"/>
                <w:spacing w:val="12"/>
                <w:sz w:val="15"/>
                <w:szCs w:val="15"/>
              </w:rPr>
              <w:t xml:space="preserve"> </w:t>
            </w:r>
            <w:r>
              <w:rPr>
                <w:rFonts w:ascii="Gill Sans MT" w:eastAsia="Gill Sans MT" w:hAnsi="Gill Sans MT" w:cs="Gill Sans MT"/>
                <w:b/>
                <w:bCs/>
                <w:color w:val="231F20"/>
                <w:spacing w:val="3"/>
                <w:sz w:val="15"/>
                <w:szCs w:val="15"/>
              </w:rPr>
              <w:t>(2011</w:t>
            </w:r>
            <w:r>
              <w:rPr>
                <w:rFonts w:ascii="Gill Sans MT" w:eastAsia="Gill Sans MT" w:hAnsi="Gill Sans MT" w:cs="Gill Sans MT"/>
                <w:b/>
                <w:bCs/>
                <w:color w:val="231F20"/>
                <w:sz w:val="15"/>
                <w:szCs w:val="15"/>
              </w:rPr>
              <w:t>)</w:t>
            </w:r>
            <w:r>
              <w:rPr>
                <w:rFonts w:ascii="Gill Sans MT" w:eastAsia="Gill Sans MT" w:hAnsi="Gill Sans MT" w:cs="Gill Sans MT"/>
                <w:b/>
                <w:bCs/>
                <w:color w:val="231F20"/>
                <w:spacing w:val="11"/>
                <w:sz w:val="15"/>
                <w:szCs w:val="15"/>
              </w:rPr>
              <w:t xml:space="preserve"> </w:t>
            </w:r>
            <w:r>
              <w:rPr>
                <w:rFonts w:ascii="Gill Sans MT" w:eastAsia="Gill Sans MT" w:hAnsi="Gill Sans MT" w:cs="Gill Sans MT"/>
                <w:color w:val="231F20"/>
                <w:sz w:val="15"/>
                <w:szCs w:val="15"/>
              </w:rPr>
              <w:t>(Pall</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z w:val="15"/>
                <w:szCs w:val="15"/>
              </w:rPr>
              <w:t>et</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z w:val="15"/>
                <w:szCs w:val="15"/>
              </w:rPr>
              <w:t>al.,</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w w:val="101"/>
                <w:sz w:val="15"/>
                <w:szCs w:val="15"/>
              </w:rPr>
              <w:t>2011)</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&lt;EndNote&gt;&lt;Cite&gt;&lt;Author&gt;Pall&lt;/Author&gt;&lt;Year&gt;2011&lt;/Year&gt;&lt;RecNum&gt;1576&lt;/RecNum&gt;&lt;DisplayText&gt;&lt;style face="superscript"&gt;17&lt;/style&gt;&lt;/DisplayText&gt;&lt;record&gt;&lt;rec-number&gt;1576&lt;/rec-number&gt;&lt;foreign-keys&gt;&lt;key app="EN" db-id="wtftd20rmszxx0ettxy5exwdf90wv22s2dsf" timestamp="1428134685"&gt;1576&lt;/key&gt;&lt;/foreign-keys&gt;&lt;ref-type name="Journal Article"&gt;17&lt;/ref-type&gt;&lt;contributors&gt;&lt;authors&gt;&lt;author&gt;P Pall&lt;/author&gt;&lt;author&gt;T Aina&lt;/author&gt;&lt;author&gt;DA Stone&lt;/author&gt;&lt;author&gt;PA Stott&lt;/author&gt;&lt;author&gt;T Nozawa&lt;/author&gt;&lt;author&gt;AGN Hilberts&lt;/author&gt;&lt;author&gt;D Lohmann&lt;/author&gt;&lt;author&gt;MR Allen&lt;/author&gt;&lt;/authors&gt;&lt;/contributors&gt;&lt;titles&gt;&lt;title&gt;Anthropogenic greenhouse gas contribution to flood risk in England and Wales in autumn 2000&lt;/title&gt;&lt;secondary-title&gt;Nature&lt;/secondary-title&gt;&lt;/titles&gt;&lt;periodical&gt;&lt;full-title&gt;Nature&lt;/full-title&gt;&lt;/periodical&gt;&lt;pages&gt;382–5&lt;/pages&gt;&lt;volume&gt;470&lt;/volume&gt;&lt;number&gt;7334&lt;/number&gt;&lt;dates&gt;&lt;year&gt;2011&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17</w:t>
            </w:r>
            <w:r w:rsidR="00E13392">
              <w:rPr>
                <w:rFonts w:ascii="Gill Sans MT" w:eastAsia="Gill Sans MT" w:hAnsi="Gill Sans MT" w:cs="Gill Sans MT"/>
                <w:color w:val="231F20"/>
                <w:w w:val="101"/>
                <w:sz w:val="15"/>
                <w:szCs w:val="15"/>
              </w:rPr>
              <w:fldChar w:fldCharType="end"/>
            </w:r>
          </w:p>
          <w:p w:rsidR="00CC5E3E" w:rsidRDefault="00CC5E3E">
            <w:pPr>
              <w:spacing w:before="8"/>
              <w:ind w:left="95" w:right="-20"/>
              <w:rPr>
                <w:rFonts w:ascii="Gill Sans MT" w:eastAsia="Gill Sans MT" w:hAnsi="Gill Sans MT" w:cs="Gill Sans MT"/>
                <w:sz w:val="15"/>
                <w:szCs w:val="15"/>
              </w:rPr>
            </w:pP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6"/>
                <w:sz w:val="15"/>
                <w:szCs w:val="15"/>
              </w:rPr>
              <w:t>S</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10"/>
                <w:sz w:val="15"/>
                <w:szCs w:val="15"/>
              </w:rPr>
              <w:t xml:space="preserve"> </w:t>
            </w:r>
            <w:r>
              <w:rPr>
                <w:rFonts w:ascii="Gill Sans MT" w:eastAsia="Gill Sans MT" w:hAnsi="Gill Sans MT" w:cs="Gill Sans MT"/>
                <w:b/>
                <w:bCs/>
                <w:color w:val="231F20"/>
                <w:spacing w:val="4"/>
                <w:sz w:val="15"/>
                <w:szCs w:val="15"/>
              </w:rPr>
              <w:t>S</w:t>
            </w:r>
            <w:r>
              <w:rPr>
                <w:rFonts w:ascii="Gill Sans MT" w:eastAsia="Gill Sans MT" w:hAnsi="Gill Sans MT" w:cs="Gill Sans MT"/>
                <w:b/>
                <w:bCs/>
                <w:color w:val="231F20"/>
                <w:spacing w:val="3"/>
                <w:sz w:val="15"/>
                <w:szCs w:val="15"/>
              </w:rPr>
              <w:t>e</w:t>
            </w:r>
            <w:r>
              <w:rPr>
                <w:rFonts w:ascii="Gill Sans MT" w:eastAsia="Gill Sans MT" w:hAnsi="Gill Sans MT" w:cs="Gill Sans MT"/>
                <w:b/>
                <w:bCs/>
                <w:color w:val="231F20"/>
                <w:spacing w:val="4"/>
                <w:sz w:val="15"/>
                <w:szCs w:val="15"/>
              </w:rPr>
              <w:t>a</w:t>
            </w:r>
            <w:r>
              <w:rPr>
                <w:rFonts w:ascii="Gill Sans MT" w:eastAsia="Gill Sans MT" w:hAnsi="Gill Sans MT" w:cs="Gill Sans MT"/>
                <w:b/>
                <w:bCs/>
                <w:color w:val="231F20"/>
                <w:spacing w:val="3"/>
                <w:sz w:val="15"/>
                <w:szCs w:val="15"/>
              </w:rPr>
              <w:t>s</w:t>
            </w:r>
            <w:r>
              <w:rPr>
                <w:rFonts w:ascii="Gill Sans MT" w:eastAsia="Gill Sans MT" w:hAnsi="Gill Sans MT" w:cs="Gill Sans MT"/>
                <w:b/>
                <w:bCs/>
                <w:color w:val="231F20"/>
                <w:spacing w:val="2"/>
                <w:sz w:val="15"/>
                <w:szCs w:val="15"/>
              </w:rPr>
              <w:t>o</w:t>
            </w:r>
            <w:r>
              <w:rPr>
                <w:rFonts w:ascii="Gill Sans MT" w:eastAsia="Gill Sans MT" w:hAnsi="Gill Sans MT" w:cs="Gill Sans MT"/>
                <w:b/>
                <w:bCs/>
                <w:color w:val="231F20"/>
                <w:spacing w:val="3"/>
                <w:sz w:val="15"/>
                <w:szCs w:val="15"/>
              </w:rPr>
              <w:t>n</w:t>
            </w:r>
            <w:r>
              <w:rPr>
                <w:rFonts w:ascii="Gill Sans MT" w:eastAsia="Gill Sans MT" w:hAnsi="Gill Sans MT" w:cs="Gill Sans MT"/>
                <w:b/>
                <w:bCs/>
                <w:color w:val="231F20"/>
                <w:spacing w:val="4"/>
                <w:sz w:val="15"/>
                <w:szCs w:val="15"/>
              </w:rPr>
              <w:t>a</w:t>
            </w:r>
            <w:r>
              <w:rPr>
                <w:rFonts w:ascii="Gill Sans MT" w:eastAsia="Gill Sans MT" w:hAnsi="Gill Sans MT" w:cs="Gill Sans MT"/>
                <w:b/>
                <w:bCs/>
                <w:color w:val="231F20"/>
                <w:sz w:val="15"/>
                <w:szCs w:val="15"/>
              </w:rPr>
              <w:t>l</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pacing w:val="1"/>
                <w:sz w:val="15"/>
                <w:szCs w:val="15"/>
              </w:rPr>
              <w:t>P</w:t>
            </w:r>
            <w:r>
              <w:rPr>
                <w:rFonts w:ascii="Gill Sans MT" w:eastAsia="Gill Sans MT" w:hAnsi="Gill Sans MT" w:cs="Gill Sans MT"/>
                <w:b/>
                <w:bCs/>
                <w:color w:val="231F20"/>
                <w:spacing w:val="2"/>
                <w:sz w:val="15"/>
                <w:szCs w:val="15"/>
              </w:rPr>
              <w:t>r</w:t>
            </w:r>
            <w:r>
              <w:rPr>
                <w:rFonts w:ascii="Gill Sans MT" w:eastAsia="Gill Sans MT" w:hAnsi="Gill Sans MT" w:cs="Gill Sans MT"/>
                <w:b/>
                <w:bCs/>
                <w:color w:val="231F20"/>
                <w:spacing w:val="3"/>
                <w:sz w:val="15"/>
                <w:szCs w:val="15"/>
              </w:rPr>
              <w:t>eci</w:t>
            </w:r>
            <w:r>
              <w:rPr>
                <w:rFonts w:ascii="Gill Sans MT" w:eastAsia="Gill Sans MT" w:hAnsi="Gill Sans MT" w:cs="Gill Sans MT"/>
                <w:b/>
                <w:bCs/>
                <w:color w:val="231F20"/>
                <w:sz w:val="15"/>
                <w:szCs w:val="15"/>
              </w:rPr>
              <w:t>p</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b/>
                <w:bCs/>
                <w:color w:val="231F20"/>
                <w:sz w:val="15"/>
                <w:szCs w:val="15"/>
              </w:rPr>
              <w:t>(2013)</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b/>
                <w:bCs/>
                <w:color w:val="231F20"/>
                <w:sz w:val="15"/>
                <w:szCs w:val="15"/>
              </w:rPr>
              <w:t>(</w:t>
            </w:r>
            <w:r>
              <w:rPr>
                <w:rFonts w:ascii="Gill Sans MT" w:eastAsia="Gill Sans MT" w:hAnsi="Gill Sans MT" w:cs="Gill Sans MT"/>
                <w:color w:val="231F20"/>
                <w:spacing w:val="4"/>
                <w:sz w:val="15"/>
                <w:szCs w:val="15"/>
              </w:rPr>
              <w:t>K</w:t>
            </w:r>
            <w:r>
              <w:rPr>
                <w:rFonts w:ascii="Gill Sans MT" w:eastAsia="Gill Sans MT" w:hAnsi="Gill Sans MT" w:cs="Gill Sans MT"/>
                <w:color w:val="231F20"/>
                <w:spacing w:val="2"/>
                <w:sz w:val="15"/>
                <w:szCs w:val="15"/>
              </w:rPr>
              <w:t>n</w:t>
            </w:r>
            <w:r>
              <w:rPr>
                <w:rFonts w:ascii="Gill Sans MT" w:eastAsia="Gill Sans MT" w:hAnsi="Gill Sans MT" w:cs="Gill Sans MT"/>
                <w:color w:val="231F20"/>
                <w:spacing w:val="3"/>
                <w:sz w:val="15"/>
                <w:szCs w:val="15"/>
              </w:rPr>
              <w:t>u</w:t>
            </w:r>
            <w:r>
              <w:rPr>
                <w:rFonts w:ascii="Gill Sans MT" w:eastAsia="Gill Sans MT" w:hAnsi="Gill Sans MT" w:cs="Gill Sans MT"/>
                <w:color w:val="231F20"/>
                <w:spacing w:val="4"/>
                <w:sz w:val="15"/>
                <w:szCs w:val="15"/>
              </w:rPr>
              <w:t>t</w:t>
            </w:r>
            <w:r>
              <w:rPr>
                <w:rFonts w:ascii="Gill Sans MT" w:eastAsia="Gill Sans MT" w:hAnsi="Gill Sans MT" w:cs="Gill Sans MT"/>
                <w:color w:val="231F20"/>
                <w:spacing w:val="2"/>
                <w:sz w:val="15"/>
                <w:szCs w:val="15"/>
              </w:rPr>
              <w:t>so</w:t>
            </w:r>
            <w:r>
              <w:rPr>
                <w:rFonts w:ascii="Gill Sans MT" w:eastAsia="Gill Sans MT" w:hAnsi="Gill Sans MT" w:cs="Gill Sans MT"/>
                <w:color w:val="231F20"/>
                <w:sz w:val="15"/>
                <w:szCs w:val="15"/>
              </w:rPr>
              <w:t>n</w:t>
            </w:r>
            <w:r>
              <w:rPr>
                <w:rFonts w:ascii="Gill Sans MT" w:eastAsia="Gill Sans MT" w:hAnsi="Gill Sans MT" w:cs="Gill Sans MT"/>
                <w:color w:val="231F20"/>
                <w:spacing w:val="7"/>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z w:val="15"/>
                <w:szCs w:val="15"/>
              </w:rPr>
              <w:t>.,</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2"/>
                <w:w w:val="101"/>
                <w:sz w:val="15"/>
                <w:szCs w:val="15"/>
              </w:rPr>
              <w:t>2014b</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p>
          <w:p w:rsidR="00CC5E3E" w:rsidRDefault="00CC5E3E">
            <w:pPr>
              <w:spacing w:before="8"/>
              <w:ind w:left="95" w:right="-20"/>
              <w:rPr>
                <w:rFonts w:ascii="Gill Sans MT" w:eastAsia="Gill Sans MT" w:hAnsi="Gill Sans MT" w:cs="Gill Sans MT"/>
                <w:sz w:val="15"/>
                <w:szCs w:val="15"/>
              </w:rPr>
            </w:pPr>
            <w:r>
              <w:rPr>
                <w:rFonts w:ascii="Gill Sans MT" w:eastAsia="Gill Sans MT" w:hAnsi="Gill Sans MT" w:cs="Gill Sans MT"/>
                <w:b/>
                <w:bCs/>
                <w:color w:val="231F20"/>
                <w:spacing w:val="3"/>
                <w:sz w:val="15"/>
                <w:szCs w:val="15"/>
              </w:rPr>
              <w:t>Indi</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4"/>
                <w:sz w:val="15"/>
                <w:szCs w:val="15"/>
              </w:rPr>
              <w:t xml:space="preserve"> </w:t>
            </w:r>
            <w:r>
              <w:rPr>
                <w:rFonts w:ascii="Gill Sans MT" w:eastAsia="Gill Sans MT" w:hAnsi="Gill Sans MT" w:cs="Gill Sans MT"/>
                <w:b/>
                <w:bCs/>
                <w:color w:val="231F20"/>
                <w:spacing w:val="1"/>
                <w:sz w:val="15"/>
                <w:szCs w:val="15"/>
              </w:rPr>
              <w:t>P</w:t>
            </w:r>
            <w:r>
              <w:rPr>
                <w:rFonts w:ascii="Gill Sans MT" w:eastAsia="Gill Sans MT" w:hAnsi="Gill Sans MT" w:cs="Gill Sans MT"/>
                <w:b/>
                <w:bCs/>
                <w:color w:val="231F20"/>
                <w:spacing w:val="2"/>
                <w:sz w:val="15"/>
                <w:szCs w:val="15"/>
              </w:rPr>
              <w:t>r</w:t>
            </w:r>
            <w:r>
              <w:rPr>
                <w:rFonts w:ascii="Gill Sans MT" w:eastAsia="Gill Sans MT" w:hAnsi="Gill Sans MT" w:cs="Gill Sans MT"/>
                <w:b/>
                <w:bCs/>
                <w:color w:val="231F20"/>
                <w:spacing w:val="3"/>
                <w:sz w:val="15"/>
                <w:szCs w:val="15"/>
              </w:rPr>
              <w:t>eci</w:t>
            </w:r>
            <w:r>
              <w:rPr>
                <w:rFonts w:ascii="Gill Sans MT" w:eastAsia="Gill Sans MT" w:hAnsi="Gill Sans MT" w:cs="Gill Sans MT"/>
                <w:b/>
                <w:bCs/>
                <w:color w:val="231F20"/>
                <w:sz w:val="15"/>
                <w:szCs w:val="15"/>
              </w:rPr>
              <w:t>p</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b/>
                <w:bCs/>
                <w:color w:val="231F20"/>
                <w:sz w:val="15"/>
                <w:szCs w:val="15"/>
              </w:rPr>
              <w:t>(2013)</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pacing w:val="3"/>
                <w:sz w:val="15"/>
                <w:szCs w:val="15"/>
              </w:rPr>
              <w:t>S</w:t>
            </w:r>
            <w:r>
              <w:rPr>
                <w:rFonts w:ascii="Gill Sans MT" w:eastAsia="Gill Sans MT" w:hAnsi="Gill Sans MT" w:cs="Gill Sans MT"/>
                <w:color w:val="231F20"/>
                <w:spacing w:val="2"/>
                <w:sz w:val="15"/>
                <w:szCs w:val="15"/>
              </w:rPr>
              <w:t>ing</w:t>
            </w:r>
            <w:r>
              <w:rPr>
                <w:rFonts w:ascii="Gill Sans MT" w:eastAsia="Gill Sans MT" w:hAnsi="Gill Sans MT" w:cs="Gill Sans MT"/>
                <w:color w:val="231F20"/>
                <w:sz w:val="15"/>
                <w:szCs w:val="15"/>
              </w:rPr>
              <w:t>h</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2"/>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p>
          <w:p w:rsidR="00CC5E3E" w:rsidRDefault="00CC5E3E">
            <w:pPr>
              <w:spacing w:line="200" w:lineRule="exact"/>
              <w:ind w:left="40"/>
              <w:rPr>
                <w:rFonts w:ascii="Gill Sans MT" w:hAnsi="Gill Sans MT"/>
                <w:sz w:val="15"/>
                <w:szCs w:val="15"/>
              </w:rPr>
            </w:pPr>
          </w:p>
          <w:p w:rsidR="00CC5E3E" w:rsidRDefault="00CC5E3E">
            <w:pPr>
              <w:jc w:val="both"/>
              <w:rPr>
                <w:rFonts w:ascii="Gill Sans MT" w:hAnsi="Gill Sans MT" w:cs="Times New Roman"/>
                <w:sz w:val="15"/>
                <w:szCs w:val="15"/>
              </w:rPr>
            </w:pPr>
          </w:p>
        </w:tc>
        <w:tc>
          <w:tcPr>
            <w:tcW w:w="2835" w:type="dxa"/>
            <w:tcBorders>
              <w:top w:val="single" w:sz="4" w:space="0" w:color="auto"/>
              <w:left w:val="single" w:sz="4" w:space="0" w:color="auto"/>
              <w:bottom w:val="single" w:sz="4" w:space="0" w:color="auto"/>
              <w:right w:val="single" w:sz="4" w:space="0" w:color="auto"/>
            </w:tcBorders>
          </w:tcPr>
          <w:p w:rsidR="00CC5E3E" w:rsidRDefault="00CC5E3E">
            <w:pPr>
              <w:spacing w:before="63"/>
              <w:ind w:left="139" w:right="-20"/>
              <w:rPr>
                <w:rFonts w:ascii="Gill Sans MT" w:eastAsia="Gill Sans MT" w:hAnsi="Gill Sans MT" w:cs="Gill Sans MT"/>
                <w:sz w:val="15"/>
                <w:szCs w:val="15"/>
              </w:rPr>
            </w:pP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6"/>
                <w:sz w:val="15"/>
                <w:szCs w:val="15"/>
              </w:rPr>
              <w:t>S</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16"/>
                <w:sz w:val="15"/>
                <w:szCs w:val="15"/>
              </w:rPr>
              <w:t xml:space="preserve"> </w:t>
            </w:r>
            <w:r w:rsidR="007065D4">
              <w:rPr>
                <w:rFonts w:ascii="Gill Sans MT" w:eastAsia="Gill Sans MT" w:hAnsi="Gill Sans MT" w:cs="Gill Sans MT"/>
                <w:b/>
                <w:bCs/>
                <w:color w:val="231F20"/>
                <w:spacing w:val="16"/>
                <w:sz w:val="15"/>
                <w:szCs w:val="15"/>
              </w:rPr>
              <w:t>Great</w:t>
            </w:r>
            <w:r w:rsidR="007065D4">
              <w:rPr>
                <w:rFonts w:ascii="Gill Sans MT" w:eastAsia="Gill Sans MT" w:hAnsi="Gill Sans MT" w:cs="Gill Sans MT"/>
                <w:b/>
                <w:bCs/>
                <w:color w:val="231F20"/>
                <w:spacing w:val="3"/>
                <w:sz w:val="15"/>
                <w:szCs w:val="15"/>
              </w:rPr>
              <w:t xml:space="preserve"> Plains Drought</w:t>
            </w:r>
            <w:r>
              <w:rPr>
                <w:rFonts w:ascii="Gill Sans MT" w:eastAsia="Gill Sans MT" w:hAnsi="Gill Sans MT" w:cs="Gill Sans MT"/>
                <w:b/>
                <w:bCs/>
                <w:color w:val="231F20"/>
                <w:spacing w:val="8"/>
                <w:sz w:val="15"/>
                <w:szCs w:val="15"/>
              </w:rPr>
              <w:t xml:space="preserve"> </w:t>
            </w:r>
            <w:r>
              <w:rPr>
                <w:rFonts w:ascii="Gill Sans MT" w:eastAsia="Gill Sans MT" w:hAnsi="Gill Sans MT" w:cs="Gill Sans MT"/>
                <w:b/>
                <w:bCs/>
                <w:color w:val="231F20"/>
                <w:w w:val="101"/>
                <w:sz w:val="15"/>
                <w:szCs w:val="15"/>
              </w:rPr>
              <w:t>(2013)</w:t>
            </w:r>
          </w:p>
          <w:p w:rsidR="00CC5E3E" w:rsidRDefault="00CC5E3E">
            <w:pPr>
              <w:spacing w:before="8"/>
              <w:ind w:left="139" w:right="-20"/>
              <w:rPr>
                <w:rFonts w:ascii="Gill Sans MT" w:eastAsia="Gill Sans MT" w:hAnsi="Gill Sans MT" w:cs="Gill Sans MT"/>
                <w:sz w:val="15"/>
                <w:szCs w:val="15"/>
              </w:rPr>
            </w:pPr>
            <w:r>
              <w:rPr>
                <w:rFonts w:ascii="Gill Sans MT" w:eastAsia="Gill Sans MT" w:hAnsi="Gill Sans MT" w:cs="Gill Sans MT"/>
                <w:color w:val="231F20"/>
                <w:spacing w:val="2"/>
                <w:sz w:val="15"/>
                <w:szCs w:val="15"/>
              </w:rPr>
              <w:t>(</w:t>
            </w:r>
            <w:r>
              <w:rPr>
                <w:rFonts w:ascii="Gill Sans MT" w:eastAsia="Gill Sans MT" w:hAnsi="Gill Sans MT" w:cs="Gill Sans MT"/>
                <w:color w:val="231F20"/>
                <w:spacing w:val="3"/>
                <w:sz w:val="15"/>
                <w:szCs w:val="15"/>
              </w:rPr>
              <w:t>H</w:t>
            </w:r>
            <w:r>
              <w:rPr>
                <w:rFonts w:ascii="Gill Sans MT" w:eastAsia="Gill Sans MT" w:hAnsi="Gill Sans MT" w:cs="Gill Sans MT"/>
                <w:color w:val="231F20"/>
                <w:spacing w:val="2"/>
                <w:sz w:val="15"/>
                <w:szCs w:val="15"/>
              </w:rPr>
              <w:t>o</w:t>
            </w:r>
            <w:r>
              <w:rPr>
                <w:rFonts w:ascii="Gill Sans MT" w:eastAsia="Gill Sans MT" w:hAnsi="Gill Sans MT" w:cs="Gill Sans MT"/>
                <w:color w:val="231F20"/>
                <w:spacing w:val="3"/>
                <w:sz w:val="15"/>
                <w:szCs w:val="15"/>
              </w:rPr>
              <w:t>er</w:t>
            </w:r>
            <w:r>
              <w:rPr>
                <w:rFonts w:ascii="Gill Sans MT" w:eastAsia="Gill Sans MT" w:hAnsi="Gill Sans MT" w:cs="Gill Sans MT"/>
                <w:color w:val="231F20"/>
                <w:spacing w:val="2"/>
                <w:sz w:val="15"/>
                <w:szCs w:val="15"/>
              </w:rPr>
              <w:t>lin</w:t>
            </w:r>
            <w:r>
              <w:rPr>
                <w:rFonts w:ascii="Gill Sans MT" w:eastAsia="Gill Sans MT" w:hAnsi="Gill Sans MT" w:cs="Gill Sans MT"/>
                <w:color w:val="231F20"/>
                <w:sz w:val="15"/>
                <w:szCs w:val="15"/>
              </w:rPr>
              <w:t>g</w:t>
            </w:r>
            <w:r>
              <w:rPr>
                <w:rFonts w:ascii="Gill Sans MT" w:eastAsia="Gill Sans MT" w:hAnsi="Gill Sans MT" w:cs="Gill Sans MT"/>
                <w:color w:val="231F20"/>
                <w:spacing w:val="7"/>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z w:val="15"/>
                <w:szCs w:val="15"/>
              </w:rPr>
              <w:t>,</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2"/>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p>
          <w:p w:rsidR="00CC5E3E" w:rsidRDefault="00CC5E3E">
            <w:pPr>
              <w:jc w:val="both"/>
              <w:rPr>
                <w:rFonts w:ascii="Gill Sans MT" w:hAnsi="Gill Sans MT" w:cs="Times New Roman"/>
                <w:sz w:val="15"/>
                <w:szCs w:val="15"/>
              </w:rPr>
            </w:pPr>
          </w:p>
        </w:tc>
        <w:tc>
          <w:tcPr>
            <w:tcW w:w="4111" w:type="dxa"/>
            <w:tcBorders>
              <w:top w:val="single" w:sz="4" w:space="0" w:color="auto"/>
              <w:left w:val="single" w:sz="4" w:space="0" w:color="auto"/>
              <w:bottom w:val="single" w:sz="4" w:space="0" w:color="auto"/>
              <w:right w:val="single" w:sz="4" w:space="0" w:color="auto"/>
            </w:tcBorders>
            <w:hideMark/>
          </w:tcPr>
          <w:p w:rsidR="00CC5E3E" w:rsidRDefault="00CC5E3E">
            <w:pPr>
              <w:tabs>
                <w:tab w:val="left" w:pos="3828"/>
              </w:tabs>
              <w:spacing w:before="64" w:line="249" w:lineRule="auto"/>
              <w:ind w:left="101" w:right="241"/>
              <w:rPr>
                <w:rFonts w:ascii="Gill Sans MT" w:eastAsia="Gill Sans MT" w:hAnsi="Gill Sans MT" w:cs="Gill Sans MT"/>
                <w:sz w:val="15"/>
                <w:szCs w:val="15"/>
              </w:rPr>
            </w:pPr>
            <w:r>
              <w:rPr>
                <w:rFonts w:ascii="Gill Sans MT" w:eastAsia="Gill Sans MT" w:hAnsi="Gill Sans MT" w:cs="Gill Sans MT"/>
                <w:b/>
                <w:bCs/>
                <w:color w:val="231F20"/>
                <w:sz w:val="15"/>
                <w:szCs w:val="15"/>
              </w:rPr>
              <w:t>Thailand</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z w:val="15"/>
                <w:szCs w:val="15"/>
              </w:rPr>
              <w:t>Floods</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b/>
                <w:bCs/>
                <w:color w:val="231F20"/>
                <w:sz w:val="15"/>
                <w:szCs w:val="15"/>
              </w:rPr>
              <w:t>(2011)</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Va</w:t>
            </w:r>
            <w:r>
              <w:rPr>
                <w:rFonts w:ascii="Gill Sans MT" w:eastAsia="Gill Sans MT" w:hAnsi="Gill Sans MT" w:cs="Gill Sans MT"/>
                <w:color w:val="231F20"/>
                <w:sz w:val="15"/>
                <w:szCs w:val="15"/>
              </w:rPr>
              <w:t>n</w:t>
            </w:r>
            <w:r>
              <w:rPr>
                <w:rFonts w:ascii="Gill Sans MT" w:eastAsia="Gill Sans MT" w:hAnsi="Gill Sans MT" w:cs="Gill Sans MT"/>
                <w:color w:val="231F20"/>
                <w:spacing w:val="8"/>
                <w:sz w:val="15"/>
                <w:szCs w:val="15"/>
              </w:rPr>
              <w:t xml:space="preserve"> </w:t>
            </w:r>
            <w:r>
              <w:rPr>
                <w:rFonts w:ascii="Gill Sans MT" w:eastAsia="Gill Sans MT" w:hAnsi="Gill Sans MT" w:cs="Gill Sans MT"/>
                <w:color w:val="231F20"/>
                <w:spacing w:val="2"/>
                <w:sz w:val="15"/>
                <w:szCs w:val="15"/>
              </w:rPr>
              <w:t>Oldenborg</w:t>
            </w:r>
            <w:r>
              <w:rPr>
                <w:rFonts w:ascii="Gill Sans MT" w:eastAsia="Gill Sans MT" w:hAnsi="Gill Sans MT" w:cs="Gill Sans MT"/>
                <w:color w:val="231F20"/>
                <w:sz w:val="15"/>
                <w:szCs w:val="15"/>
              </w:rPr>
              <w:t>h</w:t>
            </w:r>
            <w:r>
              <w:rPr>
                <w:rFonts w:ascii="Gill Sans MT" w:eastAsia="Gill Sans MT" w:hAnsi="Gill Sans MT" w:cs="Gill Sans MT"/>
                <w:color w:val="231F20"/>
                <w:spacing w:val="12"/>
                <w:sz w:val="15"/>
                <w:szCs w:val="15"/>
              </w:rPr>
              <w:t xml:space="preserve"> </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1"/>
                <w:sz w:val="15"/>
                <w:szCs w:val="15"/>
              </w:rPr>
              <w:t>al</w:t>
            </w:r>
            <w:r>
              <w:rPr>
                <w:rFonts w:ascii="Gill Sans MT" w:eastAsia="Gill Sans MT" w:hAnsi="Gill Sans MT" w:cs="Gill Sans MT"/>
                <w:color w:val="231F20"/>
                <w:spacing w:val="-4"/>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w w:val="101"/>
                <w:sz w:val="15"/>
                <w:szCs w:val="15"/>
              </w:rPr>
              <w:t>2012</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&lt;EndNote&gt;&lt;Cite&gt;&lt;Author&gt;Peterson&lt;/Author&gt;&lt;Year&gt;2012&lt;/Year&gt;&lt;RecNum&gt;1571&lt;/RecNum&gt;&lt;DisplayText&gt;&lt;style face="superscript"&gt;16&lt;/style&gt;&lt;/DisplayText&gt;&lt;record&gt;&lt;rec-number&gt;1571&lt;/rec-number&gt;&lt;foreign-keys&gt;&lt;key app="EN" db-id="wtftd20rmszxx0ettxy5exwdf90wv22s2dsf" timestamp="1428038257"&gt;1571&lt;/key&gt;&lt;/foreign-keys&gt;&lt;ref-type name="Journal Article"&gt;17&lt;/ref-type&gt;&lt;contributors&gt;&lt;authors&gt;&lt;author&gt;T Peterson&lt;/author&gt;&lt;author&gt;P Stott&lt;/author&gt;&lt;author&gt;S Herring&lt;/author&gt;&lt;/authors&gt;&lt;/contributors&gt;&lt;titles&gt;&lt;title&gt;Explaining Extreme Events of 2011 from a Climate Perspective&lt;/title&gt;&lt;secondary-title&gt;Special Supplement to the Bulletin of the American Meteorological Society&lt;/secondary-title&gt;&lt;/titles&gt;&lt;periodical&gt;&lt;full-title&gt;Special Supplement to the Bulletin of the American Meteorological Society&lt;/full-title&gt;&lt;/periodical&gt;&lt;pages&gt;1041-67&lt;/pages&gt;&lt;volume&gt;93&lt;/volume&gt;&lt;dates&gt;&lt;year&gt;2012&lt;/year&gt;&lt;/dates&gt;&lt;urls&gt;&lt;/urls&gt;&lt;/record&gt;&lt;/Cite&gt;&lt;/EndNote&gt;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16</w:t>
            </w:r>
            <w:r w:rsidR="00E13392">
              <w:rPr>
                <w:rFonts w:ascii="Gill Sans MT" w:eastAsia="Gill Sans MT" w:hAnsi="Gill Sans MT" w:cs="Gill Sans MT"/>
                <w:color w:val="231F20"/>
                <w:w w:val="101"/>
                <w:sz w:val="15"/>
                <w:szCs w:val="15"/>
              </w:rPr>
              <w:fldChar w:fldCharType="end"/>
            </w:r>
            <w:r>
              <w:rPr>
                <w:rFonts w:ascii="Gill Sans MT" w:eastAsia="Gill Sans MT" w:hAnsi="Gill Sans MT" w:cs="Gill Sans MT"/>
                <w:color w:val="231F20"/>
                <w:w w:val="101"/>
                <w:sz w:val="15"/>
                <w:szCs w:val="15"/>
              </w:rPr>
              <w:t xml:space="preserve"> </w:t>
            </w:r>
            <w:r>
              <w:rPr>
                <w:rFonts w:ascii="Gill Sans MT" w:eastAsia="Gill Sans MT" w:hAnsi="Gill Sans MT" w:cs="Gill Sans MT"/>
                <w:b/>
                <w:bCs/>
                <w:color w:val="231F20"/>
                <w:sz w:val="15"/>
                <w:szCs w:val="15"/>
              </w:rPr>
              <w:t>UK</w:t>
            </w:r>
            <w:r>
              <w:rPr>
                <w:rFonts w:ascii="Gill Sans MT" w:eastAsia="Gill Sans MT" w:hAnsi="Gill Sans MT" w:cs="Gill Sans MT"/>
                <w:b/>
                <w:bCs/>
                <w:color w:val="231F20"/>
                <w:spacing w:val="3"/>
                <w:sz w:val="15"/>
                <w:szCs w:val="15"/>
              </w:rPr>
              <w:t xml:space="preserve"> </w:t>
            </w:r>
            <w:r>
              <w:rPr>
                <w:rFonts w:ascii="Gill Sans MT" w:eastAsia="Gill Sans MT" w:hAnsi="Gill Sans MT" w:cs="Gill Sans MT"/>
                <w:b/>
                <w:bCs/>
                <w:color w:val="231F20"/>
                <w:sz w:val="15"/>
                <w:szCs w:val="15"/>
              </w:rPr>
              <w:t>Summer</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z w:val="15"/>
                <w:szCs w:val="15"/>
              </w:rPr>
              <w:t>Floods</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b/>
                <w:bCs/>
                <w:color w:val="231F20"/>
                <w:sz w:val="15"/>
                <w:szCs w:val="15"/>
              </w:rPr>
              <w:t>(2012)</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Sparro</w:t>
            </w:r>
            <w:r>
              <w:rPr>
                <w:rFonts w:ascii="Gill Sans MT" w:eastAsia="Gill Sans MT" w:hAnsi="Gill Sans MT" w:cs="Gill Sans MT"/>
                <w:color w:val="231F20"/>
                <w:sz w:val="15"/>
                <w:szCs w:val="15"/>
              </w:rPr>
              <w:t>w</w:t>
            </w:r>
            <w:r>
              <w:rPr>
                <w:rFonts w:ascii="Gill Sans MT" w:eastAsia="Gill Sans MT" w:hAnsi="Gill Sans MT" w:cs="Gill Sans MT"/>
                <w:color w:val="231F20"/>
                <w:spacing w:val="11"/>
                <w:sz w:val="15"/>
                <w:szCs w:val="15"/>
              </w:rPr>
              <w:t xml:space="preserve"> </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1"/>
                <w:sz w:val="15"/>
                <w:szCs w:val="15"/>
              </w:rPr>
              <w:t>al</w:t>
            </w:r>
            <w:r>
              <w:rPr>
                <w:rFonts w:ascii="Gill Sans MT" w:eastAsia="Gill Sans MT" w:hAnsi="Gill Sans MT" w:cs="Gill Sans MT"/>
                <w:color w:val="231F20"/>
                <w:spacing w:val="-4"/>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w w:val="101"/>
                <w:sz w:val="15"/>
                <w:szCs w:val="15"/>
              </w:rPr>
              <w:t>2013</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&lt;EndNote&gt;&lt;Cite&gt;&lt;Author&gt;Peterson&lt;/Author&gt;&lt;Year&gt;2013&lt;/Year&gt;&lt;RecNum&gt;1570&lt;/RecNum&gt;&lt;DisplayText&gt;&lt;style face="superscript"&gt;14&lt;/style&gt;&lt;/DisplayText&gt;&lt;record&gt;&lt;rec-number&gt;1570&lt;/rec-number&gt;&lt;foreign-keys&gt;&lt;key app="EN" db-id="wtftd20rmszxx0ettxy5exwdf90wv22s2dsf" timestamp="1428037922"&gt;1570&lt;/key&gt;&lt;/foreign-keys&gt;&lt;ref-type name="Journal Article"&gt;17&lt;/ref-type&gt;&lt;contributors&gt;&lt;authors&gt;&lt;author&gt;T Peterson&lt;/author&gt;&lt;author&gt;M Hoerling&lt;/author&gt;&lt;author&gt;P Stott&lt;/author&gt;&lt;author&gt;S Herring&lt;/author&gt;&lt;/authors&gt;&lt;/contributors&gt;&lt;titles&gt;&lt;title&gt;Explaining Extreme Events of 2012 from a Climate Perspective&lt;/title&gt;&lt;secondary-title&gt;Special Bulletin of the American Meteorological Society&lt;/secondary-title&gt;&lt;/titles&gt;&lt;periodical&gt;&lt;full-title&gt;Special Bulletin of the American Meteorological Society&lt;/full-title&gt;&lt;/periodical&gt;&lt;pages&gt;S1-S106&lt;/pages&gt;&lt;volume&gt;94&lt;/volume&gt;&lt;number&gt;9&lt;/number&gt;&lt;dates&gt;&lt;year&gt;2013&lt;/year&gt;&lt;/dates&gt;&lt;urls&gt;&lt;/urls&gt;&lt;/record&gt;&lt;/Cite&gt;&lt;/EndNote&gt;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14</w:t>
            </w:r>
            <w:r w:rsidR="00E13392">
              <w:rPr>
                <w:rFonts w:ascii="Gill Sans MT" w:eastAsia="Gill Sans MT" w:hAnsi="Gill Sans MT" w:cs="Gill Sans MT"/>
                <w:color w:val="231F20"/>
                <w:w w:val="101"/>
                <w:sz w:val="15"/>
                <w:szCs w:val="15"/>
              </w:rPr>
              <w:fldChar w:fldCharType="end"/>
            </w:r>
            <w:r>
              <w:rPr>
                <w:rFonts w:ascii="Gill Sans MT" w:eastAsia="Gill Sans MT" w:hAnsi="Gill Sans MT" w:cs="Gill Sans MT"/>
                <w:color w:val="231F20"/>
                <w:w w:val="101"/>
                <w:sz w:val="15"/>
                <w:szCs w:val="15"/>
              </w:rPr>
              <w:t xml:space="preserve"> </w:t>
            </w:r>
            <w:r>
              <w:rPr>
                <w:rFonts w:ascii="Gill Sans MT" w:eastAsia="Gill Sans MT" w:hAnsi="Gill Sans MT" w:cs="Gill Sans MT"/>
                <w:b/>
                <w:bCs/>
                <w:color w:val="231F20"/>
                <w:sz w:val="15"/>
                <w:szCs w:val="15"/>
              </w:rPr>
              <w:t>North</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b/>
                <w:bCs/>
                <w:color w:val="231F20"/>
                <w:sz w:val="15"/>
                <w:szCs w:val="15"/>
              </w:rPr>
              <w:t>China</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b/>
                <w:bCs/>
                <w:color w:val="231F20"/>
                <w:sz w:val="15"/>
                <w:szCs w:val="15"/>
              </w:rPr>
              <w:t>Floods</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b/>
                <w:bCs/>
                <w:color w:val="231F20"/>
                <w:sz w:val="15"/>
                <w:szCs w:val="15"/>
              </w:rPr>
              <w:t>(2012)</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Tet</w:t>
            </w:r>
            <w:r>
              <w:rPr>
                <w:rFonts w:ascii="Gill Sans MT" w:eastAsia="Gill Sans MT" w:hAnsi="Gill Sans MT" w:cs="Gill Sans MT"/>
                <w:color w:val="231F20"/>
                <w:sz w:val="15"/>
                <w:szCs w:val="15"/>
              </w:rPr>
              <w:t>t</w:t>
            </w:r>
            <w:r>
              <w:rPr>
                <w:rFonts w:ascii="Gill Sans MT" w:eastAsia="Gill Sans MT" w:hAnsi="Gill Sans MT" w:cs="Gill Sans MT"/>
                <w:color w:val="231F20"/>
                <w:spacing w:val="8"/>
                <w:sz w:val="15"/>
                <w:szCs w:val="15"/>
              </w:rPr>
              <w:t xml:space="preserve"> </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1"/>
                <w:sz w:val="15"/>
                <w:szCs w:val="15"/>
              </w:rPr>
              <w:t>al</w:t>
            </w:r>
            <w:r>
              <w:rPr>
                <w:rFonts w:ascii="Gill Sans MT" w:eastAsia="Gill Sans MT" w:hAnsi="Gill Sans MT" w:cs="Gill Sans MT"/>
                <w:color w:val="231F20"/>
                <w:spacing w:val="-4"/>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w w:val="101"/>
                <w:sz w:val="15"/>
                <w:szCs w:val="15"/>
              </w:rPr>
              <w:t>2013</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&lt;EndNote&gt;&lt;Cite&gt;&lt;Author&gt;Peterson&lt;/Author&gt;&lt;Year&gt;2013&lt;/Year&gt;&lt;RecNum&gt;1570&lt;/RecNum&gt;&lt;DisplayText&gt;&lt;style face="superscript"&gt;14&lt;/style&gt;&lt;/DisplayText&gt;&lt;record&gt;&lt;rec-number&gt;1570&lt;/rec-number&gt;&lt;foreign-keys&gt;&lt;key app="EN" db-id="wtftd20rmszxx0ettxy5exwdf90wv22s2dsf" timestamp="1428037922"&gt;1570&lt;/key&gt;&lt;/foreign-keys&gt;&lt;ref-type name="Journal Article"&gt;17&lt;/ref-type&gt;&lt;contributors&gt;&lt;authors&gt;&lt;author&gt;T Peterson&lt;/author&gt;&lt;author&gt;M Hoerling&lt;/author&gt;&lt;author&gt;P Stott&lt;/author&gt;&lt;author&gt;S Herring&lt;/author&gt;&lt;/authors&gt;&lt;/contributors&gt;&lt;titles&gt;&lt;title&gt;Explaining Extreme Events of 2012 from a Climate Perspective&lt;/title&gt;&lt;secondary-title&gt;Special Bulletin of the American Meteorological Society&lt;/secondary-title&gt;&lt;/titles&gt;&lt;periodical&gt;&lt;full-title&gt;Special Bulletin of the American Meteorological Society&lt;/full-title&gt;&lt;/periodical&gt;&lt;pages&gt;S1-S106&lt;/pages&gt;&lt;volume&gt;94&lt;/volume&gt;&lt;number&gt;9&lt;/number&gt;&lt;dates&gt;&lt;year&gt;2013&lt;/year&gt;&lt;/dates&gt;&lt;urls&gt;&lt;/urls&gt;&lt;/record&gt;&lt;/Cite&gt;&lt;/EndNote&gt;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14</w:t>
            </w:r>
            <w:r w:rsidR="00E13392">
              <w:rPr>
                <w:rFonts w:ascii="Gill Sans MT" w:eastAsia="Gill Sans MT" w:hAnsi="Gill Sans MT" w:cs="Gill Sans MT"/>
                <w:color w:val="231F20"/>
                <w:w w:val="101"/>
                <w:sz w:val="15"/>
                <w:szCs w:val="15"/>
              </w:rPr>
              <w:fldChar w:fldCharType="end"/>
            </w:r>
          </w:p>
          <w:p w:rsidR="00CC5E3E" w:rsidRPr="00377342" w:rsidRDefault="00CC5E3E">
            <w:pPr>
              <w:spacing w:line="249" w:lineRule="auto"/>
              <w:ind w:left="101" w:right="754"/>
              <w:rPr>
                <w:rFonts w:ascii="Gill Sans MT" w:eastAsia="Gill Sans MT" w:hAnsi="Gill Sans MT" w:cs="Gill Sans MT"/>
                <w:color w:val="231F20"/>
                <w:w w:val="101"/>
                <w:sz w:val="15"/>
                <w:szCs w:val="15"/>
                <w:lang w:val="es-VE"/>
              </w:rPr>
            </w:pPr>
            <w:r w:rsidRPr="00377342">
              <w:rPr>
                <w:rFonts w:ascii="Gill Sans MT" w:eastAsia="Gill Sans MT" w:hAnsi="Gill Sans MT" w:cs="Gill Sans MT"/>
                <w:b/>
                <w:bCs/>
                <w:color w:val="231F20"/>
                <w:sz w:val="15"/>
                <w:szCs w:val="15"/>
                <w:lang w:val="es-VE"/>
              </w:rPr>
              <w:t>SW</w:t>
            </w:r>
            <w:r w:rsidRPr="00377342">
              <w:rPr>
                <w:rFonts w:ascii="Gill Sans MT" w:eastAsia="Gill Sans MT" w:hAnsi="Gill Sans MT" w:cs="Gill Sans MT"/>
                <w:b/>
                <w:bCs/>
                <w:color w:val="231F20"/>
                <w:spacing w:val="4"/>
                <w:sz w:val="15"/>
                <w:szCs w:val="15"/>
                <w:lang w:val="es-VE"/>
              </w:rPr>
              <w:t xml:space="preserve"> </w:t>
            </w:r>
            <w:r w:rsidRPr="00377342">
              <w:rPr>
                <w:rFonts w:ascii="Gill Sans MT" w:eastAsia="Gill Sans MT" w:hAnsi="Gill Sans MT" w:cs="Gill Sans MT"/>
                <w:b/>
                <w:bCs/>
                <w:color w:val="231F20"/>
                <w:sz w:val="15"/>
                <w:szCs w:val="15"/>
                <w:lang w:val="es-VE"/>
              </w:rPr>
              <w:t>Japan</w:t>
            </w:r>
            <w:r w:rsidRPr="00377342">
              <w:rPr>
                <w:rFonts w:ascii="Gill Sans MT" w:eastAsia="Gill Sans MT" w:hAnsi="Gill Sans MT" w:cs="Gill Sans MT"/>
                <w:b/>
                <w:bCs/>
                <w:color w:val="231F20"/>
                <w:spacing w:val="5"/>
                <w:sz w:val="15"/>
                <w:szCs w:val="15"/>
                <w:lang w:val="es-VE"/>
              </w:rPr>
              <w:t xml:space="preserve"> </w:t>
            </w:r>
            <w:r w:rsidRPr="00377342">
              <w:rPr>
                <w:rFonts w:ascii="Gill Sans MT" w:eastAsia="Gill Sans MT" w:hAnsi="Gill Sans MT" w:cs="Gill Sans MT"/>
                <w:b/>
                <w:bCs/>
                <w:color w:val="231F20"/>
                <w:sz w:val="15"/>
                <w:szCs w:val="15"/>
                <w:lang w:val="es-VE"/>
              </w:rPr>
              <w:t>Floods</w:t>
            </w:r>
            <w:r w:rsidRPr="00377342">
              <w:rPr>
                <w:rFonts w:ascii="Gill Sans MT" w:eastAsia="Gill Sans MT" w:hAnsi="Gill Sans MT" w:cs="Gill Sans MT"/>
                <w:b/>
                <w:bCs/>
                <w:color w:val="231F20"/>
                <w:spacing w:val="6"/>
                <w:sz w:val="15"/>
                <w:szCs w:val="15"/>
                <w:lang w:val="es-VE"/>
              </w:rPr>
              <w:t xml:space="preserve"> </w:t>
            </w:r>
            <w:r w:rsidRPr="00377342">
              <w:rPr>
                <w:rFonts w:ascii="Gill Sans MT" w:eastAsia="Gill Sans MT" w:hAnsi="Gill Sans MT" w:cs="Gill Sans MT"/>
                <w:b/>
                <w:bCs/>
                <w:color w:val="231F20"/>
                <w:sz w:val="15"/>
                <w:szCs w:val="15"/>
                <w:lang w:val="es-VE"/>
              </w:rPr>
              <w:t>(2012)</w:t>
            </w:r>
            <w:r w:rsidRPr="00377342">
              <w:rPr>
                <w:rFonts w:ascii="Gill Sans MT" w:eastAsia="Gill Sans MT" w:hAnsi="Gill Sans MT" w:cs="Gill Sans MT"/>
                <w:b/>
                <w:bCs/>
                <w:color w:val="231F20"/>
                <w:spacing w:val="5"/>
                <w:sz w:val="15"/>
                <w:szCs w:val="15"/>
                <w:lang w:val="es-VE"/>
              </w:rPr>
              <w:t xml:space="preserve"> </w:t>
            </w:r>
            <w:r w:rsidRPr="00377342">
              <w:rPr>
                <w:rFonts w:ascii="Gill Sans MT" w:eastAsia="Gill Sans MT" w:hAnsi="Gill Sans MT" w:cs="Gill Sans MT"/>
                <w:color w:val="231F20"/>
                <w:sz w:val="15"/>
                <w:szCs w:val="15"/>
                <w:lang w:val="es-VE"/>
              </w:rPr>
              <w:t>(</w:t>
            </w:r>
            <w:r w:rsidRPr="00377342">
              <w:rPr>
                <w:rFonts w:ascii="Gill Sans MT" w:eastAsia="Gill Sans MT" w:hAnsi="Gill Sans MT" w:cs="Gill Sans MT"/>
                <w:color w:val="231F20"/>
                <w:spacing w:val="2"/>
                <w:sz w:val="15"/>
                <w:szCs w:val="15"/>
                <w:lang w:val="es-VE"/>
              </w:rPr>
              <w:t>Imad</w:t>
            </w:r>
            <w:r w:rsidRPr="00377342">
              <w:rPr>
                <w:rFonts w:ascii="Gill Sans MT" w:eastAsia="Gill Sans MT" w:hAnsi="Gill Sans MT" w:cs="Gill Sans MT"/>
                <w:color w:val="231F20"/>
                <w:sz w:val="15"/>
                <w:szCs w:val="15"/>
                <w:lang w:val="es-VE"/>
              </w:rPr>
              <w:t>a</w:t>
            </w:r>
            <w:r w:rsidRPr="00377342">
              <w:rPr>
                <w:rFonts w:ascii="Gill Sans MT" w:eastAsia="Gill Sans MT" w:hAnsi="Gill Sans MT" w:cs="Gill Sans MT"/>
                <w:color w:val="231F20"/>
                <w:spacing w:val="10"/>
                <w:sz w:val="15"/>
                <w:szCs w:val="15"/>
                <w:lang w:val="es-VE"/>
              </w:rPr>
              <w:t xml:space="preserve"> </w:t>
            </w:r>
            <w:r w:rsidRPr="00377342">
              <w:rPr>
                <w:rFonts w:ascii="Gill Sans MT" w:eastAsia="Gill Sans MT" w:hAnsi="Gill Sans MT" w:cs="Gill Sans MT"/>
                <w:color w:val="231F20"/>
                <w:spacing w:val="2"/>
                <w:sz w:val="15"/>
                <w:szCs w:val="15"/>
                <w:lang w:val="es-VE"/>
              </w:rPr>
              <w:t>e</w:t>
            </w:r>
            <w:r w:rsidRPr="00377342">
              <w:rPr>
                <w:rFonts w:ascii="Gill Sans MT" w:eastAsia="Gill Sans MT" w:hAnsi="Gill Sans MT" w:cs="Gill Sans MT"/>
                <w:color w:val="231F20"/>
                <w:sz w:val="15"/>
                <w:szCs w:val="15"/>
                <w:lang w:val="es-VE"/>
              </w:rPr>
              <w:t>t</w:t>
            </w:r>
            <w:r w:rsidRPr="00377342">
              <w:rPr>
                <w:rFonts w:ascii="Gill Sans MT" w:eastAsia="Gill Sans MT" w:hAnsi="Gill Sans MT" w:cs="Gill Sans MT"/>
                <w:color w:val="231F20"/>
                <w:spacing w:val="-1"/>
                <w:sz w:val="15"/>
                <w:szCs w:val="15"/>
                <w:lang w:val="es-VE"/>
              </w:rPr>
              <w:t xml:space="preserve"> </w:t>
            </w:r>
            <w:r w:rsidRPr="00377342">
              <w:rPr>
                <w:rFonts w:ascii="Gill Sans MT" w:eastAsia="Gill Sans MT" w:hAnsi="Gill Sans MT" w:cs="Gill Sans MT"/>
                <w:color w:val="231F20"/>
                <w:spacing w:val="1"/>
                <w:sz w:val="15"/>
                <w:szCs w:val="15"/>
                <w:lang w:val="es-VE"/>
              </w:rPr>
              <w:t>al</w:t>
            </w:r>
            <w:r w:rsidRPr="00377342">
              <w:rPr>
                <w:rFonts w:ascii="Gill Sans MT" w:eastAsia="Gill Sans MT" w:hAnsi="Gill Sans MT" w:cs="Gill Sans MT"/>
                <w:color w:val="231F20"/>
                <w:spacing w:val="-4"/>
                <w:sz w:val="15"/>
                <w:szCs w:val="15"/>
                <w:lang w:val="es-VE"/>
              </w:rPr>
              <w:t>.</w:t>
            </w:r>
            <w:r w:rsidRPr="00377342">
              <w:rPr>
                <w:rFonts w:ascii="Gill Sans MT" w:eastAsia="Gill Sans MT" w:hAnsi="Gill Sans MT" w:cs="Gill Sans MT"/>
                <w:color w:val="231F20"/>
                <w:sz w:val="15"/>
                <w:szCs w:val="15"/>
                <w:lang w:val="es-VE"/>
              </w:rPr>
              <w:t>,</w:t>
            </w:r>
            <w:r w:rsidRPr="00377342">
              <w:rPr>
                <w:rFonts w:ascii="Gill Sans MT" w:eastAsia="Gill Sans MT" w:hAnsi="Gill Sans MT" w:cs="Gill Sans MT"/>
                <w:color w:val="231F20"/>
                <w:spacing w:val="-5"/>
                <w:sz w:val="15"/>
                <w:szCs w:val="15"/>
                <w:lang w:val="es-VE"/>
              </w:rPr>
              <w:t xml:space="preserve"> </w:t>
            </w:r>
            <w:r w:rsidRPr="00377342">
              <w:rPr>
                <w:rFonts w:ascii="Gill Sans MT" w:eastAsia="Gill Sans MT" w:hAnsi="Gill Sans MT" w:cs="Gill Sans MT"/>
                <w:color w:val="231F20"/>
                <w:spacing w:val="-4"/>
                <w:w w:val="101"/>
                <w:sz w:val="15"/>
                <w:szCs w:val="15"/>
                <w:lang w:val="es-VE"/>
              </w:rPr>
              <w:t>2013</w:t>
            </w:r>
            <w:r w:rsidRPr="00377342">
              <w:rPr>
                <w:rFonts w:ascii="Gill Sans MT" w:eastAsia="Gill Sans MT" w:hAnsi="Gill Sans MT" w:cs="Gill Sans MT"/>
                <w:color w:val="231F20"/>
                <w:w w:val="101"/>
                <w:sz w:val="15"/>
                <w:szCs w:val="15"/>
                <w:lang w:val="es-VE"/>
              </w:rPr>
              <w:t>)</w:t>
            </w:r>
            <w:r w:rsidR="00E13392">
              <w:rPr>
                <w:rFonts w:ascii="Gill Sans MT" w:eastAsia="Gill Sans MT" w:hAnsi="Gill Sans MT" w:cs="Gill Sans MT"/>
                <w:color w:val="231F20"/>
                <w:w w:val="101"/>
                <w:sz w:val="15"/>
                <w:szCs w:val="15"/>
              </w:rPr>
              <w:fldChar w:fldCharType="begin"/>
            </w:r>
            <w:r w:rsidRPr="00377342">
              <w:rPr>
                <w:rFonts w:ascii="Gill Sans MT" w:eastAsia="Gill Sans MT" w:hAnsi="Gill Sans MT" w:cs="Gill Sans MT"/>
                <w:color w:val="231F20"/>
                <w:w w:val="101"/>
                <w:sz w:val="15"/>
                <w:szCs w:val="15"/>
                <w:lang w:val="es-VE"/>
              </w:rPr>
              <w:instrText xml:space="preserve"> ADDIN EN.CITE &lt;EndNote&gt;&lt;Cite&gt;&lt;Author&gt;Peterson&lt;/Author&gt;&lt;Year&gt;2013&lt;/Year&gt;&lt;RecNum&gt;1570&lt;/RecNum&gt;&lt;DisplayText&gt;&lt;style face="superscript"&gt;14&lt;/style&gt;&lt;/DisplayText&gt;&lt;record&gt;&lt;rec-number&gt;1570&lt;/rec-number&gt;&lt;foreign-keys&gt;&lt;key app="EN" db-id="wtftd20rmszxx0ettxy5exwdf90wv22s2dsf" timestamp="1428037922"&gt;1570&lt;/key&gt;&lt;/foreign-keys&gt;&lt;ref-type name="Journal Article"&gt;17&lt;/ref-type&gt;&lt;contributors&gt;&lt;authors&gt;&lt;author&gt;T Peterson&lt;/author&gt;&lt;author&gt;M Hoerling&lt;/author&gt;&lt;author&gt;P Stott&lt;/author&gt;&lt;author&gt;S Herring&lt;/author&gt;&lt;/authors&gt;&lt;/contributors&gt;&lt;titles&gt;&lt;title&gt;Explaining Extreme Events of 2012 from a Climate Perspective&lt;/title&gt;&lt;secondary-title&gt;Special Bulletin of the American Meteorological Society&lt;/secondary-title&gt;&lt;/titles&gt;&lt;periodical&gt;&lt;full-title&gt;Special Bulletin of the American Meteorological Society&lt;/full-title&gt;&lt;/periodical&gt;&lt;pages&gt;S1-S106&lt;/pages&gt;&lt;volume&gt;94&lt;/volume&gt;&lt;number&gt;9&lt;/number&gt;&lt;dates&gt;&lt;year&gt;2013&lt;/year&gt;&lt;/dates&gt;&lt;urls&gt;&lt;/urls&gt;&lt;/record&gt;&lt;/Cite&gt;&lt;/EndNote&gt;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377342">
              <w:rPr>
                <w:rFonts w:ascii="Gill Sans MT" w:eastAsia="Gill Sans MT" w:hAnsi="Gill Sans MT" w:cs="Gill Sans MT"/>
                <w:noProof/>
                <w:color w:val="231F20"/>
                <w:w w:val="101"/>
                <w:sz w:val="15"/>
                <w:szCs w:val="15"/>
                <w:vertAlign w:val="superscript"/>
                <w:lang w:val="es-VE"/>
              </w:rPr>
              <w:t>14</w:t>
            </w:r>
            <w:r w:rsidR="00E13392">
              <w:rPr>
                <w:rFonts w:ascii="Gill Sans MT" w:eastAsia="Gill Sans MT" w:hAnsi="Gill Sans MT" w:cs="Gill Sans MT"/>
                <w:color w:val="231F20"/>
                <w:w w:val="101"/>
                <w:sz w:val="15"/>
                <w:szCs w:val="15"/>
              </w:rPr>
              <w:fldChar w:fldCharType="end"/>
            </w:r>
          </w:p>
          <w:p w:rsidR="00CC5E3E" w:rsidRDefault="00CC5E3E">
            <w:pPr>
              <w:spacing w:line="249" w:lineRule="auto"/>
              <w:ind w:left="101" w:right="754"/>
              <w:rPr>
                <w:rFonts w:ascii="Gill Sans MT" w:eastAsia="Gill Sans MT" w:hAnsi="Gill Sans MT" w:cs="Gill Sans MT"/>
                <w:sz w:val="15"/>
                <w:szCs w:val="15"/>
              </w:rPr>
            </w:pPr>
            <w:r>
              <w:rPr>
                <w:rFonts w:ascii="Gill Sans MT" w:eastAsia="Gill Sans MT" w:hAnsi="Gill Sans MT" w:cs="Gill Sans MT"/>
                <w:b/>
                <w:bCs/>
                <w:color w:val="231F20"/>
                <w:sz w:val="15"/>
                <w:szCs w:val="15"/>
              </w:rPr>
              <w:t>SE</w:t>
            </w:r>
            <w:r>
              <w:rPr>
                <w:rFonts w:ascii="Gill Sans MT" w:eastAsia="Gill Sans MT" w:hAnsi="Gill Sans MT" w:cs="Gill Sans MT"/>
                <w:b/>
                <w:bCs/>
                <w:color w:val="231F20"/>
                <w:spacing w:val="3"/>
                <w:sz w:val="15"/>
                <w:szCs w:val="15"/>
              </w:rPr>
              <w:t xml:space="preserve"> </w:t>
            </w:r>
            <w:r>
              <w:rPr>
                <w:rFonts w:ascii="Gill Sans MT" w:eastAsia="Gill Sans MT" w:hAnsi="Gill Sans MT" w:cs="Gill Sans MT"/>
                <w:b/>
                <w:bCs/>
                <w:color w:val="231F20"/>
                <w:sz w:val="15"/>
                <w:szCs w:val="15"/>
              </w:rPr>
              <w:t>Australia</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z w:val="15"/>
                <w:szCs w:val="15"/>
              </w:rPr>
              <w:t>Floods</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b/>
                <w:bCs/>
                <w:color w:val="231F20"/>
                <w:sz w:val="15"/>
                <w:szCs w:val="15"/>
              </w:rPr>
              <w:t>(2012)</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Kin</w:t>
            </w:r>
            <w:r>
              <w:rPr>
                <w:rFonts w:ascii="Gill Sans MT" w:eastAsia="Gill Sans MT" w:hAnsi="Gill Sans MT" w:cs="Gill Sans MT"/>
                <w:color w:val="231F20"/>
                <w:sz w:val="15"/>
                <w:szCs w:val="15"/>
              </w:rPr>
              <w:t>g</w:t>
            </w:r>
            <w:r>
              <w:rPr>
                <w:rFonts w:ascii="Gill Sans MT" w:eastAsia="Gill Sans MT" w:hAnsi="Gill Sans MT" w:cs="Gill Sans MT"/>
                <w:color w:val="231F20"/>
                <w:spacing w:val="8"/>
                <w:sz w:val="15"/>
                <w:szCs w:val="15"/>
              </w:rPr>
              <w:t xml:space="preserve"> </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1"/>
                <w:sz w:val="15"/>
                <w:szCs w:val="15"/>
              </w:rPr>
              <w:t>a</w:t>
            </w:r>
            <w:r>
              <w:rPr>
                <w:rFonts w:ascii="Gill Sans MT" w:eastAsia="Gill Sans MT" w:hAnsi="Gill Sans MT" w:cs="Gill Sans MT"/>
                <w:color w:val="231F20"/>
                <w:spacing w:val="2"/>
                <w:sz w:val="15"/>
                <w:szCs w:val="15"/>
              </w:rPr>
              <w:t>l</w:t>
            </w:r>
            <w:r>
              <w:rPr>
                <w:rFonts w:ascii="Gill Sans MT" w:eastAsia="Gill Sans MT" w:hAnsi="Gill Sans MT" w:cs="Gill Sans MT"/>
                <w:color w:val="231F20"/>
                <w:spacing w:val="-4"/>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w w:val="101"/>
                <w:sz w:val="15"/>
                <w:szCs w:val="15"/>
              </w:rPr>
              <w:t>2013</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&lt;EndNote&gt;&lt;Cite&gt;&lt;Author&gt;Peterson&lt;/Author&gt;&lt;Year&gt;2013&lt;/Year&gt;&lt;RecNum&gt;1570&lt;/RecNum&gt;&lt;DisplayText&gt;&lt;style face="superscript"&gt;14&lt;/style&gt;&lt;/DisplayText&gt;&lt;record&gt;&lt;rec-number&gt;1570&lt;/rec-number&gt;&lt;foreign-keys&gt;&lt;key app="EN" db-id="wtftd20rmszxx0ettxy5exwdf90wv22s2dsf" timestamp="1428037922"&gt;1570&lt;/key&gt;&lt;/foreign-keys&gt;&lt;ref-type name="Journal Article"&gt;17&lt;/ref-type&gt;&lt;contributors&gt;&lt;authors&gt;&lt;author&gt;T Peterson&lt;/author&gt;&lt;author&gt;M Hoerling&lt;/author&gt;&lt;author&gt;P Stott&lt;/author&gt;&lt;author&gt;S Herring&lt;/author&gt;&lt;/authors&gt;&lt;/contributors&gt;&lt;titles&gt;&lt;title&gt;Explaining Extreme Events of 2012 from a Climate Perspective&lt;/title&gt;&lt;secondary-title&gt;Special Bulletin of the American Meteorological Society&lt;/secondary-title&gt;&lt;/titles&gt;&lt;periodical&gt;&lt;full-title&gt;Special Bulletin of the American Meteorological Society&lt;/full-title&gt;&lt;/periodical&gt;&lt;pages&gt;S1-S106&lt;/pages&gt;&lt;volume&gt;94&lt;/volume&gt;&lt;number&gt;9&lt;/number&gt;&lt;dates&gt;&lt;year&gt;2013&lt;/year&gt;&lt;/dates&gt;&lt;urls&gt;&lt;/urls&gt;&lt;/record&gt;&lt;/Cite&gt;&lt;/EndNote&gt;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14</w:t>
            </w:r>
            <w:r w:rsidR="00E13392">
              <w:rPr>
                <w:rFonts w:ascii="Gill Sans MT" w:eastAsia="Gill Sans MT" w:hAnsi="Gill Sans MT" w:cs="Gill Sans MT"/>
                <w:color w:val="231F20"/>
                <w:w w:val="101"/>
                <w:sz w:val="15"/>
                <w:szCs w:val="15"/>
              </w:rPr>
              <w:fldChar w:fldCharType="end"/>
            </w:r>
            <w:r>
              <w:rPr>
                <w:rFonts w:ascii="Gill Sans MT" w:eastAsia="Gill Sans MT" w:hAnsi="Gill Sans MT" w:cs="Gill Sans MT"/>
                <w:color w:val="231F20"/>
                <w:w w:val="101"/>
                <w:sz w:val="15"/>
                <w:szCs w:val="15"/>
              </w:rPr>
              <w:t xml:space="preserve"> </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Ch</w:t>
            </w:r>
            <w:r>
              <w:rPr>
                <w:rFonts w:ascii="Gill Sans MT" w:eastAsia="Gill Sans MT" w:hAnsi="Gill Sans MT" w:cs="Gill Sans MT"/>
                <w:color w:val="231F20"/>
                <w:spacing w:val="3"/>
                <w:sz w:val="15"/>
                <w:szCs w:val="15"/>
              </w:rPr>
              <w:t>r</w:t>
            </w:r>
            <w:r>
              <w:rPr>
                <w:rFonts w:ascii="Gill Sans MT" w:eastAsia="Gill Sans MT" w:hAnsi="Gill Sans MT" w:cs="Gill Sans MT"/>
                <w:color w:val="231F20"/>
                <w:spacing w:val="2"/>
                <w:sz w:val="15"/>
                <w:szCs w:val="15"/>
              </w:rPr>
              <w:t>i</w:t>
            </w:r>
            <w:r>
              <w:rPr>
                <w:rFonts w:ascii="Gill Sans MT" w:eastAsia="Gill Sans MT" w:hAnsi="Gill Sans MT" w:cs="Gill Sans MT"/>
                <w:color w:val="231F20"/>
                <w:spacing w:val="3"/>
                <w:sz w:val="15"/>
                <w:szCs w:val="15"/>
              </w:rPr>
              <w:t>st</w:t>
            </w:r>
            <w:r>
              <w:rPr>
                <w:rFonts w:ascii="Gill Sans MT" w:eastAsia="Gill Sans MT" w:hAnsi="Gill Sans MT" w:cs="Gill Sans MT"/>
                <w:color w:val="231F20"/>
                <w:spacing w:val="2"/>
                <w:sz w:val="15"/>
                <w:szCs w:val="15"/>
              </w:rPr>
              <w:t>i</w:t>
            </w:r>
            <w:r>
              <w:rPr>
                <w:rFonts w:ascii="Gill Sans MT" w:eastAsia="Gill Sans MT" w:hAnsi="Gill Sans MT" w:cs="Gill Sans MT"/>
                <w:color w:val="231F20"/>
                <w:spacing w:val="3"/>
                <w:sz w:val="15"/>
                <w:szCs w:val="15"/>
              </w:rPr>
              <w:t>d</w:t>
            </w:r>
            <w:r>
              <w:rPr>
                <w:rFonts w:ascii="Gill Sans MT" w:eastAsia="Gill Sans MT" w:hAnsi="Gill Sans MT" w:cs="Gill Sans MT"/>
                <w:color w:val="231F20"/>
                <w:spacing w:val="2"/>
                <w:sz w:val="15"/>
                <w:szCs w:val="15"/>
              </w:rPr>
              <w:t>i</w:t>
            </w:r>
            <w:r>
              <w:rPr>
                <w:rFonts w:ascii="Gill Sans MT" w:eastAsia="Gill Sans MT" w:hAnsi="Gill Sans MT" w:cs="Gill Sans MT"/>
                <w:color w:val="231F20"/>
                <w:sz w:val="15"/>
                <w:szCs w:val="15"/>
              </w:rPr>
              <w:t>s</w:t>
            </w:r>
            <w:r>
              <w:rPr>
                <w:rFonts w:ascii="Gill Sans MT" w:eastAsia="Gill Sans MT" w:hAnsi="Gill Sans MT" w:cs="Gill Sans MT"/>
                <w:color w:val="231F20"/>
                <w:spacing w:val="7"/>
                <w:sz w:val="15"/>
                <w:szCs w:val="15"/>
              </w:rPr>
              <w:t xml:space="preserve"> </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1"/>
                <w:sz w:val="15"/>
                <w:szCs w:val="15"/>
              </w:rPr>
              <w:t>al</w:t>
            </w:r>
            <w:r>
              <w:rPr>
                <w:rFonts w:ascii="Gill Sans MT" w:eastAsia="Gill Sans MT" w:hAnsi="Gill Sans MT" w:cs="Gill Sans MT"/>
                <w:color w:val="231F20"/>
                <w:spacing w:val="-4"/>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w w:val="101"/>
                <w:sz w:val="15"/>
                <w:szCs w:val="15"/>
              </w:rPr>
              <w:t>2013</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&lt;EndNote&gt;&lt;Cite&gt;&lt;Author&gt;Peterson&lt;/Author&gt;&lt;Year&gt;2013&lt;/Year&gt;&lt;RecNum&gt;1570&lt;/RecNum&gt;&lt;DisplayText&gt;&lt;style face="superscript"&gt;14&lt;/style&gt;&lt;/DisplayText&gt;&lt;record&gt;&lt;rec-number&gt;1570&lt;/rec-number&gt;&lt;foreign-keys&gt;&lt;key app="EN" db-id="wtftd20rmszxx0ettxy5exwdf90wv22s2dsf" timestamp="1428037922"&gt;1570&lt;/key&gt;&lt;/foreign-keys&gt;&lt;ref-type name="Journal Article"&gt;17&lt;/ref-type&gt;&lt;contributors&gt;&lt;authors&gt;&lt;author&gt;T Peterson&lt;/author&gt;&lt;author&gt;M Hoerling&lt;/author&gt;&lt;author&gt;P Stott&lt;/author&gt;&lt;author&gt;S Herring&lt;/author&gt;&lt;/authors&gt;&lt;/contributors&gt;&lt;titles&gt;&lt;title&gt;Explaining Extreme Events of 2012 from a Climate Perspective&lt;/title&gt;&lt;secondary-title&gt;Special Bulletin of the American Meteorological Society&lt;/secondary-title&gt;&lt;/titles&gt;&lt;periodical&gt;&lt;full-title&gt;Special Bulletin of the American Meteorological Society&lt;/full-title&gt;&lt;/periodical&gt;&lt;pages&gt;S1-S106&lt;/pages&gt;&lt;volume&gt;94&lt;/volume&gt;&lt;number&gt;9&lt;/number&gt;&lt;dates&gt;&lt;year&gt;2013&lt;/year&gt;&lt;/dates&gt;&lt;urls&gt;&lt;/urls&gt;&lt;/record&gt;&lt;/Cite&gt;&lt;/EndNote&gt;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14</w:t>
            </w:r>
            <w:r w:rsidR="00E13392">
              <w:rPr>
                <w:rFonts w:ascii="Gill Sans MT" w:eastAsia="Gill Sans MT" w:hAnsi="Gill Sans MT" w:cs="Gill Sans MT"/>
                <w:color w:val="231F20"/>
                <w:w w:val="101"/>
                <w:sz w:val="15"/>
                <w:szCs w:val="15"/>
              </w:rPr>
              <w:fldChar w:fldCharType="end"/>
            </w:r>
          </w:p>
          <w:p w:rsidR="00CC5E3E" w:rsidRDefault="00CC5E3E">
            <w:pPr>
              <w:ind w:left="102" w:right="-20"/>
              <w:rPr>
                <w:rFonts w:ascii="Gill Sans MT" w:eastAsia="Gill Sans MT" w:hAnsi="Gill Sans MT" w:cs="Gill Sans MT"/>
                <w:sz w:val="15"/>
                <w:szCs w:val="15"/>
              </w:rPr>
            </w:pPr>
            <w:r>
              <w:rPr>
                <w:rFonts w:ascii="Gill Sans MT" w:eastAsia="Gill Sans MT" w:hAnsi="Gill Sans MT" w:cs="Gill Sans MT"/>
                <w:b/>
                <w:bCs/>
                <w:color w:val="231F20"/>
                <w:spacing w:val="3"/>
                <w:sz w:val="15"/>
                <w:szCs w:val="15"/>
              </w:rPr>
              <w:t>S</w:t>
            </w:r>
            <w:r>
              <w:rPr>
                <w:rFonts w:ascii="Gill Sans MT" w:eastAsia="Gill Sans MT" w:hAnsi="Gill Sans MT" w:cs="Gill Sans MT"/>
                <w:b/>
                <w:bCs/>
                <w:color w:val="231F20"/>
                <w:sz w:val="15"/>
                <w:szCs w:val="15"/>
              </w:rPr>
              <w:t>o</w:t>
            </w: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3"/>
                <w:sz w:val="15"/>
                <w:szCs w:val="15"/>
              </w:rPr>
              <w:t>t</w:t>
            </w:r>
            <w:r>
              <w:rPr>
                <w:rFonts w:ascii="Gill Sans MT" w:eastAsia="Gill Sans MT" w:hAnsi="Gill Sans MT" w:cs="Gill Sans MT"/>
                <w:b/>
                <w:bCs/>
                <w:color w:val="231F20"/>
                <w:spacing w:val="1"/>
                <w:sz w:val="15"/>
                <w:szCs w:val="15"/>
              </w:rPr>
              <w:t>h</w:t>
            </w:r>
            <w:r>
              <w:rPr>
                <w:rFonts w:ascii="Gill Sans MT" w:eastAsia="Gill Sans MT" w:hAnsi="Gill Sans MT" w:cs="Gill Sans MT"/>
                <w:b/>
                <w:bCs/>
                <w:color w:val="231F20"/>
                <w:spacing w:val="2"/>
                <w:sz w:val="15"/>
                <w:szCs w:val="15"/>
              </w:rPr>
              <w:t>er</w:t>
            </w:r>
            <w:r>
              <w:rPr>
                <w:rFonts w:ascii="Gill Sans MT" w:eastAsia="Gill Sans MT" w:hAnsi="Gill Sans MT" w:cs="Gill Sans MT"/>
                <w:b/>
                <w:bCs/>
                <w:color w:val="231F20"/>
                <w:sz w:val="15"/>
                <w:szCs w:val="15"/>
              </w:rPr>
              <w:t>n</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b/>
                <w:bCs/>
                <w:color w:val="231F20"/>
                <w:spacing w:val="2"/>
                <w:sz w:val="15"/>
                <w:szCs w:val="15"/>
              </w:rPr>
              <w:t>E</w:t>
            </w:r>
            <w:r>
              <w:rPr>
                <w:rFonts w:ascii="Gill Sans MT" w:eastAsia="Gill Sans MT" w:hAnsi="Gill Sans MT" w:cs="Gill Sans MT"/>
                <w:b/>
                <w:bCs/>
                <w:color w:val="231F20"/>
                <w:spacing w:val="1"/>
                <w:sz w:val="15"/>
                <w:szCs w:val="15"/>
              </w:rPr>
              <w:t>urop</w:t>
            </w:r>
            <w:r>
              <w:rPr>
                <w:rFonts w:ascii="Gill Sans MT" w:eastAsia="Gill Sans MT" w:hAnsi="Gill Sans MT" w:cs="Gill Sans MT"/>
                <w:b/>
                <w:bCs/>
                <w:color w:val="231F20"/>
                <w:sz w:val="15"/>
                <w:szCs w:val="15"/>
              </w:rPr>
              <w:t>e</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b/>
                <w:bCs/>
                <w:color w:val="231F20"/>
                <w:sz w:val="15"/>
                <w:szCs w:val="15"/>
              </w:rPr>
              <w:t>P</w:t>
            </w:r>
            <w:r>
              <w:rPr>
                <w:rFonts w:ascii="Gill Sans MT" w:eastAsia="Gill Sans MT" w:hAnsi="Gill Sans MT" w:cs="Gill Sans MT"/>
                <w:b/>
                <w:bCs/>
                <w:color w:val="231F20"/>
                <w:spacing w:val="1"/>
                <w:sz w:val="15"/>
                <w:szCs w:val="15"/>
              </w:rPr>
              <w:t>rec</w:t>
            </w:r>
            <w:r>
              <w:rPr>
                <w:rFonts w:ascii="Gill Sans MT" w:eastAsia="Gill Sans MT" w:hAnsi="Gill Sans MT" w:cs="Gill Sans MT"/>
                <w:b/>
                <w:bCs/>
                <w:color w:val="231F20"/>
                <w:spacing w:val="2"/>
                <w:sz w:val="15"/>
                <w:szCs w:val="15"/>
              </w:rPr>
              <w:t>i</w:t>
            </w:r>
            <w:r>
              <w:rPr>
                <w:rFonts w:ascii="Gill Sans MT" w:eastAsia="Gill Sans MT" w:hAnsi="Gill Sans MT" w:cs="Gill Sans MT"/>
                <w:b/>
                <w:bCs/>
                <w:color w:val="231F20"/>
                <w:sz w:val="15"/>
                <w:szCs w:val="15"/>
              </w:rPr>
              <w:t>p</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b/>
                <w:bCs/>
                <w:color w:val="231F20"/>
                <w:sz w:val="15"/>
                <w:szCs w:val="15"/>
              </w:rPr>
              <w:t>(2013)</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pacing w:val="6"/>
                <w:sz w:val="15"/>
                <w:szCs w:val="15"/>
              </w:rPr>
              <w:t>(</w:t>
            </w:r>
            <w:r>
              <w:rPr>
                <w:rFonts w:ascii="Gill Sans MT" w:eastAsia="Gill Sans MT" w:hAnsi="Gill Sans MT" w:cs="Gill Sans MT"/>
                <w:color w:val="231F20"/>
                <w:sz w:val="15"/>
                <w:szCs w:val="15"/>
              </w:rPr>
              <w:t>Yi</w:t>
            </w:r>
            <w:r>
              <w:rPr>
                <w:rFonts w:ascii="Gill Sans MT" w:eastAsia="Gill Sans MT" w:hAnsi="Gill Sans MT" w:cs="Gill Sans MT"/>
                <w:color w:val="231F20"/>
                <w:spacing w:val="1"/>
                <w:sz w:val="15"/>
                <w:szCs w:val="15"/>
              </w:rPr>
              <w:t>o</w:t>
            </w:r>
            <w:r>
              <w:rPr>
                <w:rFonts w:ascii="Gill Sans MT" w:eastAsia="Gill Sans MT" w:hAnsi="Gill Sans MT" w:cs="Gill Sans MT"/>
                <w:color w:val="231F20"/>
                <w:sz w:val="15"/>
                <w:szCs w:val="15"/>
              </w:rPr>
              <w:t>u</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z w:val="15"/>
                <w:szCs w:val="15"/>
              </w:rPr>
              <w:t>&amp;</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2"/>
                <w:sz w:val="15"/>
                <w:szCs w:val="15"/>
              </w:rPr>
              <w:t>C</w:t>
            </w:r>
            <w:r>
              <w:rPr>
                <w:rFonts w:ascii="Gill Sans MT" w:eastAsia="Gill Sans MT" w:hAnsi="Gill Sans MT" w:cs="Gill Sans MT"/>
                <w:color w:val="231F20"/>
                <w:sz w:val="15"/>
                <w:szCs w:val="15"/>
              </w:rPr>
              <w:t>a</w:t>
            </w:r>
            <w:r>
              <w:rPr>
                <w:rFonts w:ascii="Gill Sans MT" w:eastAsia="Gill Sans MT" w:hAnsi="Gill Sans MT" w:cs="Gill Sans MT"/>
                <w:color w:val="231F20"/>
                <w:spacing w:val="4"/>
                <w:sz w:val="15"/>
                <w:szCs w:val="15"/>
              </w:rPr>
              <w:t>t</w:t>
            </w:r>
            <w:r>
              <w:rPr>
                <w:rFonts w:ascii="Gill Sans MT" w:eastAsia="Gill Sans MT" w:hAnsi="Gill Sans MT" w:cs="Gill Sans MT"/>
                <w:color w:val="231F20"/>
                <w:spacing w:val="2"/>
                <w:sz w:val="15"/>
                <w:szCs w:val="15"/>
              </w:rPr>
              <w:t>ti</w:t>
            </w:r>
            <w:r>
              <w:rPr>
                <w:rFonts w:ascii="Gill Sans MT" w:eastAsia="Gill Sans MT" w:hAnsi="Gill Sans MT" w:cs="Gill Sans MT"/>
                <w:color w:val="231F20"/>
                <w:sz w:val="15"/>
                <w:szCs w:val="15"/>
              </w:rPr>
              <w:t>a</w:t>
            </w:r>
            <w:r>
              <w:rPr>
                <w:rFonts w:ascii="Gill Sans MT" w:eastAsia="Gill Sans MT" w:hAnsi="Gill Sans MT" w:cs="Gill Sans MT"/>
                <w:color w:val="231F20"/>
                <w:spacing w:val="2"/>
                <w:sz w:val="15"/>
                <w:szCs w:val="15"/>
              </w:rPr>
              <w:t>u</w:t>
            </w:r>
            <w:r>
              <w:rPr>
                <w:rFonts w:ascii="Gill Sans MT" w:eastAsia="Gill Sans MT" w:hAnsi="Gill Sans MT" w:cs="Gill Sans MT"/>
                <w:color w:val="231F20"/>
                <w:spacing w:val="-2"/>
                <w:sz w:val="15"/>
                <w:szCs w:val="15"/>
              </w:rPr>
              <w:t>x</w:t>
            </w:r>
            <w:r>
              <w:rPr>
                <w:rFonts w:ascii="Gill Sans MT" w:eastAsia="Gill Sans MT" w:hAnsi="Gill Sans MT" w:cs="Gill Sans MT"/>
                <w:color w:val="231F20"/>
                <w:sz w:val="15"/>
                <w:szCs w:val="15"/>
              </w:rPr>
              <w:t>,</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pacing w:val="-2"/>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p>
          <w:p w:rsidR="00CC5E3E" w:rsidRDefault="00CC5E3E" w:rsidP="00CC5E3E">
            <w:pPr>
              <w:spacing w:before="8"/>
              <w:ind w:left="102" w:right="-20"/>
              <w:rPr>
                <w:rFonts w:ascii="Gill Sans MT" w:eastAsia="Gill Sans MT" w:hAnsi="Gill Sans MT" w:cs="Gill Sans MT"/>
                <w:sz w:val="15"/>
                <w:szCs w:val="15"/>
              </w:rPr>
            </w:pPr>
            <w:r>
              <w:rPr>
                <w:rFonts w:ascii="Gill Sans MT" w:eastAsia="Gill Sans MT" w:hAnsi="Gill Sans MT" w:cs="Gill Sans MT"/>
                <w:b/>
                <w:bCs/>
                <w:color w:val="231F20"/>
                <w:spacing w:val="1"/>
                <w:sz w:val="15"/>
                <w:szCs w:val="15"/>
              </w:rPr>
              <w:t>C</w:t>
            </w:r>
            <w:r>
              <w:rPr>
                <w:rFonts w:ascii="Gill Sans MT" w:eastAsia="Gill Sans MT" w:hAnsi="Gill Sans MT" w:cs="Gill Sans MT"/>
                <w:b/>
                <w:bCs/>
                <w:color w:val="231F20"/>
                <w:spacing w:val="2"/>
                <w:sz w:val="15"/>
                <w:szCs w:val="15"/>
              </w:rPr>
              <w:t>e</w:t>
            </w:r>
            <w:r>
              <w:rPr>
                <w:rFonts w:ascii="Gill Sans MT" w:eastAsia="Gill Sans MT" w:hAnsi="Gill Sans MT" w:cs="Gill Sans MT"/>
                <w:b/>
                <w:bCs/>
                <w:color w:val="231F20"/>
                <w:sz w:val="15"/>
                <w:szCs w:val="15"/>
              </w:rPr>
              <w:t>n</w:t>
            </w:r>
            <w:r>
              <w:rPr>
                <w:rFonts w:ascii="Gill Sans MT" w:eastAsia="Gill Sans MT" w:hAnsi="Gill Sans MT" w:cs="Gill Sans MT"/>
                <w:b/>
                <w:bCs/>
                <w:color w:val="231F20"/>
                <w:spacing w:val="3"/>
                <w:sz w:val="15"/>
                <w:szCs w:val="15"/>
              </w:rPr>
              <w:t>t</w:t>
            </w:r>
            <w:r>
              <w:rPr>
                <w:rFonts w:ascii="Gill Sans MT" w:eastAsia="Gill Sans MT" w:hAnsi="Gill Sans MT" w:cs="Gill Sans MT"/>
                <w:b/>
                <w:bCs/>
                <w:color w:val="231F20"/>
                <w:spacing w:val="2"/>
                <w:sz w:val="15"/>
                <w:szCs w:val="15"/>
              </w:rPr>
              <w:t>r</w:t>
            </w:r>
            <w:r>
              <w:rPr>
                <w:rFonts w:ascii="Gill Sans MT" w:eastAsia="Gill Sans MT" w:hAnsi="Gill Sans MT" w:cs="Gill Sans MT"/>
                <w:b/>
                <w:bCs/>
                <w:color w:val="231F20"/>
                <w:spacing w:val="3"/>
                <w:sz w:val="15"/>
                <w:szCs w:val="15"/>
              </w:rPr>
              <w:t>a</w:t>
            </w:r>
            <w:r>
              <w:rPr>
                <w:rFonts w:ascii="Gill Sans MT" w:eastAsia="Gill Sans MT" w:hAnsi="Gill Sans MT" w:cs="Gill Sans MT"/>
                <w:b/>
                <w:bCs/>
                <w:color w:val="231F20"/>
                <w:sz w:val="15"/>
                <w:szCs w:val="15"/>
              </w:rPr>
              <w:t>l</w:t>
            </w:r>
            <w:r>
              <w:rPr>
                <w:rFonts w:ascii="Gill Sans MT" w:eastAsia="Gill Sans MT" w:hAnsi="Gill Sans MT" w:cs="Gill Sans MT"/>
                <w:b/>
                <w:bCs/>
                <w:color w:val="231F20"/>
                <w:spacing w:val="3"/>
                <w:sz w:val="15"/>
                <w:szCs w:val="15"/>
              </w:rPr>
              <w:t xml:space="preserve"> </w:t>
            </w:r>
            <w:r>
              <w:rPr>
                <w:rFonts w:ascii="Gill Sans MT" w:eastAsia="Gill Sans MT" w:hAnsi="Gill Sans MT" w:cs="Gill Sans MT"/>
                <w:b/>
                <w:bCs/>
                <w:color w:val="231F20"/>
                <w:spacing w:val="2"/>
                <w:sz w:val="15"/>
                <w:szCs w:val="15"/>
              </w:rPr>
              <w:t>E</w:t>
            </w:r>
            <w:r>
              <w:rPr>
                <w:rFonts w:ascii="Gill Sans MT" w:eastAsia="Gill Sans MT" w:hAnsi="Gill Sans MT" w:cs="Gill Sans MT"/>
                <w:b/>
                <w:bCs/>
                <w:color w:val="231F20"/>
                <w:spacing w:val="1"/>
                <w:sz w:val="15"/>
                <w:szCs w:val="15"/>
              </w:rPr>
              <w:t>urop</w:t>
            </w:r>
            <w:r>
              <w:rPr>
                <w:rFonts w:ascii="Gill Sans MT" w:eastAsia="Gill Sans MT" w:hAnsi="Gill Sans MT" w:cs="Gill Sans MT"/>
                <w:b/>
                <w:bCs/>
                <w:color w:val="231F20"/>
                <w:sz w:val="15"/>
                <w:szCs w:val="15"/>
              </w:rPr>
              <w:t>e</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b/>
                <w:bCs/>
                <w:color w:val="231F20"/>
                <w:sz w:val="15"/>
                <w:szCs w:val="15"/>
              </w:rPr>
              <w:t>P</w:t>
            </w:r>
            <w:r>
              <w:rPr>
                <w:rFonts w:ascii="Gill Sans MT" w:eastAsia="Gill Sans MT" w:hAnsi="Gill Sans MT" w:cs="Gill Sans MT"/>
                <w:b/>
                <w:bCs/>
                <w:color w:val="231F20"/>
                <w:spacing w:val="1"/>
                <w:sz w:val="15"/>
                <w:szCs w:val="15"/>
              </w:rPr>
              <w:t>reci</w:t>
            </w:r>
            <w:r>
              <w:rPr>
                <w:rFonts w:ascii="Gill Sans MT" w:eastAsia="Gill Sans MT" w:hAnsi="Gill Sans MT" w:cs="Gill Sans MT"/>
                <w:b/>
                <w:bCs/>
                <w:color w:val="231F20"/>
                <w:sz w:val="15"/>
                <w:szCs w:val="15"/>
              </w:rPr>
              <w:t>p</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b/>
                <w:bCs/>
                <w:color w:val="231F20"/>
                <w:sz w:val="15"/>
                <w:szCs w:val="15"/>
              </w:rPr>
              <w:t xml:space="preserve">(2013) </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S</w:t>
            </w:r>
            <w:r>
              <w:rPr>
                <w:rFonts w:ascii="Gill Sans MT" w:eastAsia="Gill Sans MT" w:hAnsi="Gill Sans MT" w:cs="Gill Sans MT"/>
                <w:color w:val="231F20"/>
                <w:spacing w:val="1"/>
                <w:sz w:val="15"/>
                <w:szCs w:val="15"/>
              </w:rPr>
              <w:t>c</w:t>
            </w:r>
            <w:r>
              <w:rPr>
                <w:rFonts w:ascii="Gill Sans MT" w:eastAsia="Gill Sans MT" w:hAnsi="Gill Sans MT" w:cs="Gill Sans MT"/>
                <w:color w:val="231F20"/>
                <w:spacing w:val="2"/>
                <w:sz w:val="15"/>
                <w:szCs w:val="15"/>
              </w:rPr>
              <w:t>h</w:t>
            </w:r>
            <w:r>
              <w:rPr>
                <w:rFonts w:ascii="Gill Sans MT" w:eastAsia="Gill Sans MT" w:hAnsi="Gill Sans MT" w:cs="Gill Sans MT"/>
                <w:color w:val="231F20"/>
                <w:spacing w:val="1"/>
                <w:sz w:val="15"/>
                <w:szCs w:val="15"/>
              </w:rPr>
              <w:t>alle</w:t>
            </w:r>
            <w:r>
              <w:rPr>
                <w:rFonts w:ascii="Gill Sans MT" w:eastAsia="Gill Sans MT" w:hAnsi="Gill Sans MT" w:cs="Gill Sans MT"/>
                <w:color w:val="231F20"/>
                <w:sz w:val="15"/>
                <w:szCs w:val="15"/>
              </w:rPr>
              <w:t>r</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1"/>
                <w:sz w:val="15"/>
                <w:szCs w:val="15"/>
              </w:rPr>
              <w:t>al</w:t>
            </w:r>
            <w:r>
              <w:rPr>
                <w:rFonts w:ascii="Gill Sans MT" w:eastAsia="Gill Sans MT" w:hAnsi="Gill Sans MT" w:cs="Gill Sans MT"/>
                <w:color w:val="231F20"/>
                <w:spacing w:val="-4"/>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p>
        </w:tc>
        <w:tc>
          <w:tcPr>
            <w:tcW w:w="992"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sz w:val="15"/>
                <w:szCs w:val="15"/>
              </w:rPr>
            </w:pPr>
            <w:r>
              <w:rPr>
                <w:rFonts w:ascii="Gill Sans MT" w:hAnsi="Gill Sans MT" w:cs="Times New Roman"/>
                <w:sz w:val="15"/>
                <w:szCs w:val="15"/>
              </w:rPr>
              <w:t>14</w:t>
            </w:r>
          </w:p>
        </w:tc>
      </w:tr>
      <w:tr w:rsidR="00CC5E3E" w:rsidTr="00CC5E3E">
        <w:tc>
          <w:tcPr>
            <w:tcW w:w="1135" w:type="dxa"/>
            <w:tcBorders>
              <w:top w:val="single" w:sz="4" w:space="0" w:color="auto"/>
              <w:left w:val="single" w:sz="4" w:space="0" w:color="auto"/>
              <w:bottom w:val="single" w:sz="4" w:space="0" w:color="auto"/>
              <w:right w:val="single" w:sz="4" w:space="0" w:color="auto"/>
            </w:tcBorders>
            <w:hideMark/>
          </w:tcPr>
          <w:p w:rsidR="00CC5E3E" w:rsidRDefault="00CC5E3E">
            <w:pPr>
              <w:jc w:val="both"/>
              <w:rPr>
                <w:rFonts w:ascii="Gill Sans MT" w:hAnsi="Gill Sans MT" w:cs="Times New Roman"/>
                <w:b/>
                <w:sz w:val="15"/>
                <w:szCs w:val="15"/>
              </w:rPr>
            </w:pPr>
            <w:r>
              <w:rPr>
                <w:rFonts w:ascii="Gill Sans MT" w:hAnsi="Gill Sans MT" w:cs="Times New Roman"/>
                <w:b/>
                <w:sz w:val="15"/>
                <w:szCs w:val="15"/>
              </w:rPr>
              <w:t>Drought</w:t>
            </w:r>
          </w:p>
        </w:tc>
        <w:tc>
          <w:tcPr>
            <w:tcW w:w="2835" w:type="dxa"/>
            <w:tcBorders>
              <w:top w:val="single" w:sz="4" w:space="0" w:color="auto"/>
              <w:left w:val="single" w:sz="4" w:space="0" w:color="auto"/>
              <w:bottom w:val="single" w:sz="4" w:space="0" w:color="auto"/>
              <w:right w:val="single" w:sz="4" w:space="0" w:color="auto"/>
            </w:tcBorders>
            <w:hideMark/>
          </w:tcPr>
          <w:p w:rsidR="00CC5E3E" w:rsidRDefault="00CC5E3E">
            <w:pPr>
              <w:spacing w:before="44" w:line="249" w:lineRule="auto"/>
              <w:ind w:left="117" w:right="183"/>
              <w:rPr>
                <w:rFonts w:ascii="Gill Sans MT" w:eastAsia="Gill Sans MT" w:hAnsi="Gill Sans MT" w:cs="Gill Sans MT"/>
                <w:sz w:val="15"/>
                <w:szCs w:val="15"/>
              </w:rPr>
            </w:pPr>
            <w:r>
              <w:rPr>
                <w:rFonts w:ascii="Gill Sans MT" w:eastAsia="Gill Sans MT" w:hAnsi="Gill Sans MT" w:cs="Gill Sans MT"/>
                <w:color w:val="231F20"/>
                <w:spacing w:val="-3"/>
                <w:sz w:val="15"/>
                <w:szCs w:val="15"/>
              </w:rPr>
              <w:t>Drought</w:t>
            </w:r>
            <w:r>
              <w:rPr>
                <w:rFonts w:ascii="Gill Sans MT" w:eastAsia="Gill Sans MT" w:hAnsi="Gill Sans MT" w:cs="Gill Sans MT"/>
                <w:color w:val="231F20"/>
                <w:sz w:val="15"/>
                <w:szCs w:val="15"/>
              </w:rPr>
              <w:t>s</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3"/>
                <w:sz w:val="15"/>
                <w:szCs w:val="15"/>
              </w:rPr>
              <w:t>ar</w:t>
            </w:r>
            <w:r>
              <w:rPr>
                <w:rFonts w:ascii="Gill Sans MT" w:eastAsia="Gill Sans MT" w:hAnsi="Gill Sans MT" w:cs="Gill Sans MT"/>
                <w:color w:val="231F20"/>
                <w:sz w:val="15"/>
                <w:szCs w:val="15"/>
              </w:rPr>
              <w:t>e</w:t>
            </w:r>
            <w:r>
              <w:rPr>
                <w:rFonts w:ascii="Gill Sans MT" w:eastAsia="Gill Sans MT" w:hAnsi="Gill Sans MT" w:cs="Gill Sans MT"/>
                <w:color w:val="231F20"/>
                <w:spacing w:val="-3"/>
                <w:sz w:val="15"/>
                <w:szCs w:val="15"/>
              </w:rPr>
              <w:t xml:space="preserve"> highl</w:t>
            </w:r>
            <w:r>
              <w:rPr>
                <w:rFonts w:ascii="Gill Sans MT" w:eastAsia="Gill Sans MT" w:hAnsi="Gill Sans MT" w:cs="Gill Sans MT"/>
                <w:color w:val="231F20"/>
                <w:sz w:val="15"/>
                <w:szCs w:val="15"/>
              </w:rPr>
              <w:t>y</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3"/>
                <w:w w:val="101"/>
                <w:sz w:val="15"/>
                <w:szCs w:val="15"/>
              </w:rPr>
              <w:t>comple</w:t>
            </w:r>
            <w:r>
              <w:rPr>
                <w:rFonts w:ascii="Gill Sans MT" w:eastAsia="Gill Sans MT" w:hAnsi="Gill Sans MT" w:cs="Gill Sans MT"/>
                <w:color w:val="231F20"/>
                <w:w w:val="101"/>
                <w:sz w:val="15"/>
                <w:szCs w:val="15"/>
              </w:rPr>
              <w:t xml:space="preserve">x </w:t>
            </w:r>
            <w:r>
              <w:rPr>
                <w:rFonts w:ascii="Gill Sans MT" w:eastAsia="Gill Sans MT" w:hAnsi="Gill Sans MT" w:cs="Gill Sans MT"/>
                <w:color w:val="231F20"/>
                <w:spacing w:val="-3"/>
                <w:sz w:val="15"/>
                <w:szCs w:val="15"/>
              </w:rPr>
              <w:t>meteorologica</w:t>
            </w:r>
            <w:r>
              <w:rPr>
                <w:rFonts w:ascii="Gill Sans MT" w:eastAsia="Gill Sans MT" w:hAnsi="Gill Sans MT" w:cs="Gill Sans MT"/>
                <w:color w:val="231F20"/>
                <w:sz w:val="15"/>
                <w:szCs w:val="15"/>
              </w:rPr>
              <w:t>l</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3"/>
                <w:sz w:val="15"/>
                <w:szCs w:val="15"/>
              </w:rPr>
              <w:t>events</w:t>
            </w:r>
            <w:r>
              <w:rPr>
                <w:rFonts w:ascii="Gill Sans MT" w:eastAsia="Gill Sans MT" w:hAnsi="Gill Sans MT" w:cs="Gill Sans MT"/>
                <w:color w:val="231F20"/>
                <w:sz w:val="15"/>
                <w:szCs w:val="15"/>
              </w:rPr>
              <w:t>,</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3"/>
                <w:sz w:val="15"/>
                <w:szCs w:val="15"/>
              </w:rPr>
              <w:t>an</w:t>
            </w:r>
            <w:r>
              <w:rPr>
                <w:rFonts w:ascii="Gill Sans MT" w:eastAsia="Gill Sans MT" w:hAnsi="Gill Sans MT" w:cs="Gill Sans MT"/>
                <w:color w:val="231F20"/>
                <w:sz w:val="15"/>
                <w:szCs w:val="15"/>
              </w:rPr>
              <w:t>d</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pacing w:val="-3"/>
                <w:w w:val="101"/>
                <w:sz w:val="15"/>
                <w:szCs w:val="15"/>
              </w:rPr>
              <w:t>researc</w:t>
            </w:r>
            <w:r>
              <w:rPr>
                <w:rFonts w:ascii="Gill Sans MT" w:eastAsia="Gill Sans MT" w:hAnsi="Gill Sans MT" w:cs="Gill Sans MT"/>
                <w:color w:val="231F20"/>
                <w:w w:val="101"/>
                <w:sz w:val="15"/>
                <w:szCs w:val="15"/>
              </w:rPr>
              <w:t xml:space="preserve">h </w:t>
            </w:r>
            <w:r>
              <w:rPr>
                <w:rFonts w:ascii="Gill Sans MT" w:eastAsia="Gill Sans MT" w:hAnsi="Gill Sans MT" w:cs="Gill Sans MT"/>
                <w:color w:val="231F20"/>
                <w:spacing w:val="-3"/>
                <w:sz w:val="15"/>
                <w:szCs w:val="15"/>
              </w:rPr>
              <w:t>group</w:t>
            </w:r>
            <w:r>
              <w:rPr>
                <w:rFonts w:ascii="Gill Sans MT" w:eastAsia="Gill Sans MT" w:hAnsi="Gill Sans MT" w:cs="Gill Sans MT"/>
                <w:color w:val="231F20"/>
                <w:sz w:val="15"/>
                <w:szCs w:val="15"/>
              </w:rPr>
              <w:t>s</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3"/>
                <w:sz w:val="15"/>
                <w:szCs w:val="15"/>
              </w:rPr>
              <w:t>analyze</w:t>
            </w:r>
            <w:r>
              <w:rPr>
                <w:rFonts w:ascii="Gill Sans MT" w:eastAsia="Gill Sans MT" w:hAnsi="Gill Sans MT" w:cs="Gill Sans MT"/>
                <w:color w:val="231F20"/>
                <w:sz w:val="15"/>
                <w:szCs w:val="15"/>
              </w:rPr>
              <w:t xml:space="preserve">d </w:t>
            </w:r>
            <w:r>
              <w:rPr>
                <w:rFonts w:ascii="Gill Sans MT" w:eastAsia="Gill Sans MT" w:hAnsi="Gill Sans MT" w:cs="Gill Sans MT"/>
                <w:color w:val="231F20"/>
                <w:spacing w:val="-3"/>
                <w:sz w:val="15"/>
                <w:szCs w:val="15"/>
              </w:rPr>
              <w:t>differen</w:t>
            </w:r>
            <w:r>
              <w:rPr>
                <w:rFonts w:ascii="Gill Sans MT" w:eastAsia="Gill Sans MT" w:hAnsi="Gill Sans MT" w:cs="Gill Sans MT"/>
                <w:color w:val="231F20"/>
                <w:sz w:val="15"/>
                <w:szCs w:val="15"/>
              </w:rPr>
              <w:t xml:space="preserve">t </w:t>
            </w:r>
            <w:r>
              <w:rPr>
                <w:rFonts w:ascii="Gill Sans MT" w:eastAsia="Gill Sans MT" w:hAnsi="Gill Sans MT" w:cs="Gill Sans MT"/>
                <w:color w:val="231F20"/>
                <w:spacing w:val="-3"/>
                <w:sz w:val="15"/>
                <w:szCs w:val="15"/>
              </w:rPr>
              <w:t>factor</w:t>
            </w:r>
            <w:r>
              <w:rPr>
                <w:rFonts w:ascii="Gill Sans MT" w:eastAsia="Gill Sans MT" w:hAnsi="Gill Sans MT" w:cs="Gill Sans MT"/>
                <w:color w:val="231F20"/>
                <w:sz w:val="15"/>
                <w:szCs w:val="15"/>
              </w:rPr>
              <w:t>s</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3"/>
                <w:w w:val="101"/>
                <w:sz w:val="15"/>
                <w:szCs w:val="15"/>
              </w:rPr>
              <w:t>tha</w:t>
            </w:r>
            <w:r>
              <w:rPr>
                <w:rFonts w:ascii="Gill Sans MT" w:eastAsia="Gill Sans MT" w:hAnsi="Gill Sans MT" w:cs="Gill Sans MT"/>
                <w:color w:val="231F20"/>
                <w:w w:val="101"/>
                <w:sz w:val="15"/>
                <w:szCs w:val="15"/>
              </w:rPr>
              <w:t xml:space="preserve">t </w:t>
            </w:r>
            <w:r>
              <w:rPr>
                <w:rFonts w:ascii="Gill Sans MT" w:eastAsia="Gill Sans MT" w:hAnsi="Gill Sans MT" w:cs="Gill Sans MT"/>
                <w:color w:val="231F20"/>
                <w:spacing w:val="-3"/>
                <w:sz w:val="15"/>
                <w:szCs w:val="15"/>
              </w:rPr>
              <w:t>influenc</w:t>
            </w:r>
            <w:r>
              <w:rPr>
                <w:rFonts w:ascii="Gill Sans MT" w:eastAsia="Gill Sans MT" w:hAnsi="Gill Sans MT" w:cs="Gill Sans MT"/>
                <w:color w:val="231F20"/>
                <w:sz w:val="15"/>
                <w:szCs w:val="15"/>
              </w:rPr>
              <w:t xml:space="preserve">e </w:t>
            </w:r>
            <w:r>
              <w:rPr>
                <w:rFonts w:ascii="Gill Sans MT" w:eastAsia="Gill Sans MT" w:hAnsi="Gill Sans MT" w:cs="Gill Sans MT"/>
                <w:color w:val="231F20"/>
                <w:spacing w:val="-3"/>
                <w:sz w:val="15"/>
                <w:szCs w:val="15"/>
              </w:rPr>
              <w:t>drought</w:t>
            </w:r>
            <w:r>
              <w:rPr>
                <w:rFonts w:ascii="Gill Sans MT" w:eastAsia="Gill Sans MT" w:hAnsi="Gill Sans MT" w:cs="Gill Sans MT"/>
                <w:color w:val="231F20"/>
                <w:sz w:val="15"/>
                <w:szCs w:val="15"/>
              </w:rPr>
              <w:t xml:space="preserve">s </w:t>
            </w:r>
            <w:r>
              <w:rPr>
                <w:rFonts w:ascii="Gill Sans MT" w:eastAsia="Gill Sans MT" w:hAnsi="Gill Sans MT" w:cs="Gill Sans MT"/>
                <w:color w:val="231F20"/>
                <w:spacing w:val="-3"/>
                <w:sz w:val="15"/>
                <w:szCs w:val="15"/>
              </w:rPr>
              <w:t>suc</w:t>
            </w:r>
            <w:r>
              <w:rPr>
                <w:rFonts w:ascii="Gill Sans MT" w:eastAsia="Gill Sans MT" w:hAnsi="Gill Sans MT" w:cs="Gill Sans MT"/>
                <w:color w:val="231F20"/>
                <w:sz w:val="15"/>
                <w:szCs w:val="15"/>
              </w:rPr>
              <w:t>h</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3"/>
                <w:sz w:val="15"/>
                <w:szCs w:val="15"/>
              </w:rPr>
              <w:t>a</w:t>
            </w:r>
            <w:r>
              <w:rPr>
                <w:rFonts w:ascii="Gill Sans MT" w:eastAsia="Gill Sans MT" w:hAnsi="Gill Sans MT" w:cs="Gill Sans MT"/>
                <w:color w:val="231F20"/>
                <w:sz w:val="15"/>
                <w:szCs w:val="15"/>
              </w:rPr>
              <w:t>s</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3"/>
                <w:sz w:val="15"/>
                <w:szCs w:val="15"/>
              </w:rPr>
              <w:t>se</w:t>
            </w:r>
            <w:r>
              <w:rPr>
                <w:rFonts w:ascii="Gill Sans MT" w:eastAsia="Gill Sans MT" w:hAnsi="Gill Sans MT" w:cs="Gill Sans MT"/>
                <w:color w:val="231F20"/>
                <w:sz w:val="15"/>
                <w:szCs w:val="15"/>
              </w:rPr>
              <w:t>a</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pacing w:val="-3"/>
                <w:w w:val="101"/>
                <w:sz w:val="15"/>
                <w:szCs w:val="15"/>
              </w:rPr>
              <w:t xml:space="preserve">surface </w:t>
            </w:r>
            <w:r>
              <w:rPr>
                <w:rFonts w:ascii="Gill Sans MT" w:eastAsia="Gill Sans MT" w:hAnsi="Gill Sans MT" w:cs="Gill Sans MT"/>
                <w:color w:val="231F20"/>
                <w:spacing w:val="-3"/>
                <w:sz w:val="15"/>
                <w:szCs w:val="15"/>
              </w:rPr>
              <w:t>temperature</w:t>
            </w:r>
            <w:r>
              <w:rPr>
                <w:rFonts w:ascii="Gill Sans MT" w:eastAsia="Gill Sans MT" w:hAnsi="Gill Sans MT" w:cs="Gill Sans MT"/>
                <w:color w:val="231F20"/>
                <w:sz w:val="15"/>
                <w:szCs w:val="15"/>
              </w:rPr>
              <w:t>,</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pacing w:val="-3"/>
                <w:sz w:val="15"/>
                <w:szCs w:val="15"/>
              </w:rPr>
              <w:t>heat</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3"/>
                <w:sz w:val="15"/>
                <w:szCs w:val="15"/>
              </w:rPr>
              <w:t>o</w:t>
            </w:r>
            <w:r>
              <w:rPr>
                <w:rFonts w:ascii="Gill Sans MT" w:eastAsia="Gill Sans MT" w:hAnsi="Gill Sans MT" w:cs="Gill Sans MT"/>
                <w:color w:val="231F20"/>
                <w:sz w:val="15"/>
                <w:szCs w:val="15"/>
              </w:rPr>
              <w:t>r</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3"/>
                <w:w w:val="101"/>
                <w:sz w:val="15"/>
                <w:szCs w:val="15"/>
              </w:rPr>
              <w:t>precipitation</w:t>
            </w:r>
            <w:r>
              <w:rPr>
                <w:rFonts w:ascii="Gill Sans MT" w:eastAsia="Gill Sans MT" w:hAnsi="Gill Sans MT" w:cs="Gill Sans MT"/>
                <w:color w:val="231F20"/>
                <w:w w:val="101"/>
                <w:sz w:val="15"/>
                <w:szCs w:val="15"/>
              </w:rPr>
              <w:t>.</w:t>
            </w:r>
          </w:p>
        </w:tc>
        <w:tc>
          <w:tcPr>
            <w:tcW w:w="4111" w:type="dxa"/>
            <w:tcBorders>
              <w:top w:val="single" w:sz="4" w:space="0" w:color="auto"/>
              <w:left w:val="single" w:sz="4" w:space="0" w:color="auto"/>
              <w:bottom w:val="single" w:sz="4" w:space="0" w:color="auto"/>
              <w:right w:val="single" w:sz="4" w:space="0" w:color="auto"/>
            </w:tcBorders>
            <w:hideMark/>
          </w:tcPr>
          <w:p w:rsidR="00CC5E3E" w:rsidRDefault="00CC5E3E">
            <w:pPr>
              <w:spacing w:before="44"/>
              <w:ind w:left="96" w:right="-20"/>
              <w:rPr>
                <w:rFonts w:ascii="Gill Sans MT" w:eastAsia="Gill Sans MT" w:hAnsi="Gill Sans MT" w:cs="Gill Sans MT"/>
                <w:sz w:val="15"/>
                <w:szCs w:val="15"/>
              </w:rPr>
            </w:pPr>
            <w:r>
              <w:rPr>
                <w:rFonts w:ascii="Gill Sans MT" w:eastAsia="Gill Sans MT" w:hAnsi="Gill Sans MT" w:cs="Gill Sans MT"/>
                <w:b/>
                <w:bCs/>
                <w:color w:val="231F20"/>
                <w:spacing w:val="4"/>
                <w:sz w:val="15"/>
                <w:szCs w:val="15"/>
              </w:rPr>
              <w:t>Eas</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11"/>
                <w:sz w:val="15"/>
                <w:szCs w:val="15"/>
              </w:rPr>
              <w:t xml:space="preserve"> </w:t>
            </w:r>
            <w:r>
              <w:rPr>
                <w:rFonts w:ascii="Gill Sans MT" w:eastAsia="Gill Sans MT" w:hAnsi="Gill Sans MT" w:cs="Gill Sans MT"/>
                <w:b/>
                <w:bCs/>
                <w:color w:val="231F20"/>
                <w:spacing w:val="4"/>
                <w:sz w:val="15"/>
                <w:szCs w:val="15"/>
              </w:rPr>
              <w:t>Af</w:t>
            </w:r>
            <w:r>
              <w:rPr>
                <w:rFonts w:ascii="Gill Sans MT" w:eastAsia="Gill Sans MT" w:hAnsi="Gill Sans MT" w:cs="Gill Sans MT"/>
                <w:b/>
                <w:bCs/>
                <w:color w:val="231F20"/>
                <w:spacing w:val="3"/>
                <w:sz w:val="15"/>
                <w:szCs w:val="15"/>
              </w:rPr>
              <w:t>r</w:t>
            </w:r>
            <w:r>
              <w:rPr>
                <w:rFonts w:ascii="Gill Sans MT" w:eastAsia="Gill Sans MT" w:hAnsi="Gill Sans MT" w:cs="Gill Sans MT"/>
                <w:b/>
                <w:bCs/>
                <w:color w:val="231F20"/>
                <w:spacing w:val="4"/>
                <w:sz w:val="15"/>
                <w:szCs w:val="15"/>
              </w:rPr>
              <w:t>i</w:t>
            </w:r>
            <w:r>
              <w:rPr>
                <w:rFonts w:ascii="Gill Sans MT" w:eastAsia="Gill Sans MT" w:hAnsi="Gill Sans MT" w:cs="Gill Sans MT"/>
                <w:b/>
                <w:bCs/>
                <w:color w:val="231F20"/>
                <w:spacing w:val="3"/>
                <w:sz w:val="15"/>
                <w:szCs w:val="15"/>
              </w:rPr>
              <w:t>c</w:t>
            </w:r>
            <w:r>
              <w:rPr>
                <w:rFonts w:ascii="Gill Sans MT" w:eastAsia="Gill Sans MT" w:hAnsi="Gill Sans MT" w:cs="Gill Sans MT"/>
                <w:b/>
                <w:bCs/>
                <w:color w:val="231F20"/>
                <w:spacing w:val="4"/>
                <w:sz w:val="15"/>
                <w:szCs w:val="15"/>
              </w:rPr>
              <w:t>a</w:t>
            </w:r>
            <w:r>
              <w:rPr>
                <w:rFonts w:ascii="Gill Sans MT" w:eastAsia="Gill Sans MT" w:hAnsi="Gill Sans MT" w:cs="Gill Sans MT"/>
                <w:b/>
                <w:bCs/>
                <w:color w:val="231F20"/>
                <w:sz w:val="15"/>
                <w:szCs w:val="15"/>
              </w:rPr>
              <w:t>n</w:t>
            </w:r>
            <w:r>
              <w:rPr>
                <w:rFonts w:ascii="Gill Sans MT" w:eastAsia="Gill Sans MT" w:hAnsi="Gill Sans MT" w:cs="Gill Sans MT"/>
                <w:b/>
                <w:bCs/>
                <w:color w:val="231F20"/>
                <w:spacing w:val="13"/>
                <w:sz w:val="15"/>
                <w:szCs w:val="15"/>
              </w:rPr>
              <w:t xml:space="preserve"> </w:t>
            </w:r>
            <w:r>
              <w:rPr>
                <w:rFonts w:ascii="Gill Sans MT" w:eastAsia="Gill Sans MT" w:hAnsi="Gill Sans MT" w:cs="Gill Sans MT"/>
                <w:b/>
                <w:bCs/>
                <w:color w:val="231F20"/>
                <w:spacing w:val="4"/>
                <w:sz w:val="15"/>
                <w:szCs w:val="15"/>
              </w:rPr>
              <w:t>D</w:t>
            </w:r>
            <w:r>
              <w:rPr>
                <w:rFonts w:ascii="Gill Sans MT" w:eastAsia="Gill Sans MT" w:hAnsi="Gill Sans MT" w:cs="Gill Sans MT"/>
                <w:b/>
                <w:bCs/>
                <w:color w:val="231F20"/>
                <w:spacing w:val="2"/>
                <w:sz w:val="15"/>
                <w:szCs w:val="15"/>
              </w:rPr>
              <w:t>ro</w:t>
            </w: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3"/>
                <w:sz w:val="15"/>
                <w:szCs w:val="15"/>
              </w:rPr>
              <w:t>g</w:t>
            </w:r>
            <w:r>
              <w:rPr>
                <w:rFonts w:ascii="Gill Sans MT" w:eastAsia="Gill Sans MT" w:hAnsi="Gill Sans MT" w:cs="Gill Sans MT"/>
                <w:b/>
                <w:bCs/>
                <w:color w:val="231F20"/>
                <w:spacing w:val="2"/>
                <w:sz w:val="15"/>
                <w:szCs w:val="15"/>
              </w:rPr>
              <w:t>h</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z w:val="15"/>
                <w:szCs w:val="15"/>
              </w:rPr>
              <w:t>(2011)</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pacing w:val="5"/>
                <w:sz w:val="15"/>
                <w:szCs w:val="15"/>
              </w:rPr>
              <w:t>Funk</w:t>
            </w:r>
            <w:r>
              <w:rPr>
                <w:rFonts w:ascii="Gill Sans MT" w:eastAsia="Gill Sans MT" w:hAnsi="Gill Sans MT" w:cs="Gill Sans MT"/>
                <w:color w:val="231F20"/>
                <w:sz w:val="15"/>
                <w:szCs w:val="15"/>
              </w:rPr>
              <w:t>,</w:t>
            </w:r>
            <w:r>
              <w:rPr>
                <w:rFonts w:ascii="Gill Sans MT" w:eastAsia="Gill Sans MT" w:hAnsi="Gill Sans MT" w:cs="Gill Sans MT"/>
                <w:color w:val="231F20"/>
                <w:spacing w:val="14"/>
                <w:sz w:val="15"/>
                <w:szCs w:val="15"/>
              </w:rPr>
              <w:t xml:space="preserve"> </w:t>
            </w:r>
            <w:r>
              <w:rPr>
                <w:rFonts w:ascii="Gill Sans MT" w:eastAsia="Gill Sans MT" w:hAnsi="Gill Sans MT" w:cs="Gill Sans MT"/>
                <w:color w:val="231F20"/>
                <w:spacing w:val="5"/>
                <w:w w:val="101"/>
                <w:sz w:val="15"/>
                <w:szCs w:val="15"/>
              </w:rPr>
              <w:t>20</w:t>
            </w:r>
            <w:r>
              <w:rPr>
                <w:rFonts w:ascii="Gill Sans MT" w:eastAsia="Gill Sans MT" w:hAnsi="Gill Sans MT" w:cs="Gill Sans MT"/>
                <w:color w:val="231F20"/>
                <w:spacing w:val="4"/>
                <w:w w:val="101"/>
                <w:sz w:val="15"/>
                <w:szCs w:val="15"/>
              </w:rPr>
              <w:t>1</w:t>
            </w:r>
            <w:r>
              <w:rPr>
                <w:rFonts w:ascii="Gill Sans MT" w:eastAsia="Gill Sans MT" w:hAnsi="Gill Sans MT" w:cs="Gill Sans MT"/>
                <w:color w:val="231F20"/>
                <w:spacing w:val="5"/>
                <w:w w:val="101"/>
                <w:sz w:val="15"/>
                <w:szCs w:val="15"/>
              </w:rPr>
              <w:t>2</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&lt;EndNote&gt;&lt;Cite&gt;&lt;Author&gt;Peterson&lt;/Author&gt;&lt;Year&gt;2012&lt;/Year&gt;&lt;RecNum&gt;1571&lt;/RecNum&gt;&lt;DisplayText&gt;&lt;style face="superscript"&gt;16&lt;/style&gt;&lt;/DisplayText&gt;&lt;record&gt;&lt;rec-number&gt;1571&lt;/rec-number&gt;&lt;foreign-keys&gt;&lt;key app="EN" db-id="wtftd20rmszxx0ettxy5exwdf90wv22s2dsf" timestamp="1428038257"&gt;1571&lt;/key&gt;&lt;/foreign-keys&gt;&lt;ref-type name="Journal Article"&gt;17&lt;/ref-type&gt;&lt;contributors&gt;&lt;authors&gt;&lt;author&gt;T Peterson&lt;/author&gt;&lt;author&gt;P Stott&lt;/author&gt;&lt;author&gt;S Herring&lt;/author&gt;&lt;/authors&gt;&lt;/contributors&gt;&lt;titles&gt;&lt;title&gt;Explaining Extreme Events of 2011 from a Climate Perspective&lt;/title&gt;&lt;secondary-title&gt;Special Supplement to the Bulletin of the American Meteorological Society&lt;/secondary-title&gt;&lt;/titles&gt;&lt;periodical&gt;&lt;full-title&gt;Special Supplement to the Bulletin of the American Meteorological Society&lt;/full-title&gt;&lt;/periodical&gt;&lt;pages&gt;1041-67&lt;/pages&gt;&lt;volume&gt;93&lt;/volume&gt;&lt;dates&gt;&lt;year&gt;2012&lt;/year&gt;&lt;/dates&gt;&lt;urls&gt;&lt;/urls&gt;&lt;/record&gt;&lt;/Cite&gt;&lt;/EndNote&gt;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16</w:t>
            </w:r>
            <w:r w:rsidR="00E13392">
              <w:rPr>
                <w:rFonts w:ascii="Gill Sans MT" w:eastAsia="Gill Sans MT" w:hAnsi="Gill Sans MT" w:cs="Gill Sans MT"/>
                <w:color w:val="231F20"/>
                <w:w w:val="101"/>
                <w:sz w:val="15"/>
                <w:szCs w:val="15"/>
              </w:rPr>
              <w:fldChar w:fldCharType="end"/>
            </w:r>
          </w:p>
          <w:p w:rsidR="00CC5E3E" w:rsidRDefault="00CC5E3E">
            <w:pPr>
              <w:spacing w:before="8"/>
              <w:ind w:left="95" w:right="-20"/>
              <w:rPr>
                <w:rFonts w:ascii="Gill Sans MT" w:eastAsia="Gill Sans MT" w:hAnsi="Gill Sans MT" w:cs="Gill Sans MT"/>
                <w:sz w:val="15"/>
                <w:szCs w:val="15"/>
              </w:rPr>
            </w:pPr>
            <w:r>
              <w:rPr>
                <w:rFonts w:ascii="Gill Sans MT" w:eastAsia="Gill Sans MT" w:hAnsi="Gill Sans MT" w:cs="Gill Sans MT"/>
                <w:b/>
                <w:bCs/>
                <w:color w:val="231F20"/>
                <w:spacing w:val="3"/>
                <w:sz w:val="15"/>
                <w:szCs w:val="15"/>
              </w:rPr>
              <w:t>T</w:t>
            </w:r>
            <w:r>
              <w:rPr>
                <w:rFonts w:ascii="Gill Sans MT" w:eastAsia="Gill Sans MT" w:hAnsi="Gill Sans MT" w:cs="Gill Sans MT"/>
                <w:b/>
                <w:bCs/>
                <w:color w:val="231F20"/>
                <w:spacing w:val="4"/>
                <w:sz w:val="15"/>
                <w:szCs w:val="15"/>
              </w:rPr>
              <w:t>exa</w:t>
            </w:r>
            <w:r>
              <w:rPr>
                <w:rFonts w:ascii="Gill Sans MT" w:eastAsia="Gill Sans MT" w:hAnsi="Gill Sans MT" w:cs="Gill Sans MT"/>
                <w:b/>
                <w:bCs/>
                <w:color w:val="231F20"/>
                <w:sz w:val="15"/>
                <w:szCs w:val="15"/>
              </w:rPr>
              <w:t>s</w:t>
            </w:r>
            <w:r>
              <w:rPr>
                <w:rFonts w:ascii="Gill Sans MT" w:eastAsia="Gill Sans MT" w:hAnsi="Gill Sans MT" w:cs="Gill Sans MT"/>
                <w:b/>
                <w:bCs/>
                <w:color w:val="231F20"/>
                <w:spacing w:val="12"/>
                <w:sz w:val="15"/>
                <w:szCs w:val="15"/>
              </w:rPr>
              <w:t xml:space="preserve"> </w:t>
            </w:r>
            <w:r>
              <w:rPr>
                <w:rFonts w:ascii="Gill Sans MT" w:eastAsia="Gill Sans MT" w:hAnsi="Gill Sans MT" w:cs="Gill Sans MT"/>
                <w:b/>
                <w:bCs/>
                <w:color w:val="231F20"/>
                <w:spacing w:val="4"/>
                <w:sz w:val="15"/>
                <w:szCs w:val="15"/>
              </w:rPr>
              <w:t>D</w:t>
            </w:r>
            <w:r>
              <w:rPr>
                <w:rFonts w:ascii="Gill Sans MT" w:eastAsia="Gill Sans MT" w:hAnsi="Gill Sans MT" w:cs="Gill Sans MT"/>
                <w:b/>
                <w:bCs/>
                <w:color w:val="231F20"/>
                <w:spacing w:val="2"/>
                <w:sz w:val="15"/>
                <w:szCs w:val="15"/>
              </w:rPr>
              <w:t>ro</w:t>
            </w: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3"/>
                <w:sz w:val="15"/>
                <w:szCs w:val="15"/>
              </w:rPr>
              <w:t>g</w:t>
            </w:r>
            <w:r>
              <w:rPr>
                <w:rFonts w:ascii="Gill Sans MT" w:eastAsia="Gill Sans MT" w:hAnsi="Gill Sans MT" w:cs="Gill Sans MT"/>
                <w:b/>
                <w:bCs/>
                <w:color w:val="231F20"/>
                <w:spacing w:val="2"/>
                <w:sz w:val="15"/>
                <w:szCs w:val="15"/>
              </w:rPr>
              <w:t>h</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z w:val="15"/>
                <w:szCs w:val="15"/>
              </w:rPr>
              <w:t>(2011)</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pacing w:val="3"/>
                <w:sz w:val="15"/>
                <w:szCs w:val="15"/>
              </w:rPr>
              <w:t>(</w:t>
            </w:r>
            <w:r>
              <w:rPr>
                <w:rFonts w:ascii="Gill Sans MT" w:eastAsia="Gill Sans MT" w:hAnsi="Gill Sans MT" w:cs="Gill Sans MT"/>
                <w:color w:val="231F20"/>
                <w:spacing w:val="5"/>
                <w:sz w:val="15"/>
                <w:szCs w:val="15"/>
              </w:rPr>
              <w:t>Rup</w:t>
            </w:r>
            <w:r>
              <w:rPr>
                <w:rFonts w:ascii="Gill Sans MT" w:eastAsia="Gill Sans MT" w:hAnsi="Gill Sans MT" w:cs="Gill Sans MT"/>
                <w:color w:val="231F20"/>
                <w:sz w:val="15"/>
                <w:szCs w:val="15"/>
              </w:rPr>
              <w:t>p</w:t>
            </w:r>
            <w:r>
              <w:rPr>
                <w:rFonts w:ascii="Gill Sans MT" w:eastAsia="Gill Sans MT" w:hAnsi="Gill Sans MT" w:cs="Gill Sans MT"/>
                <w:color w:val="231F20"/>
                <w:spacing w:val="14"/>
                <w:sz w:val="15"/>
                <w:szCs w:val="15"/>
              </w:rPr>
              <w:t xml:space="preserve"> </w:t>
            </w:r>
            <w:r>
              <w:rPr>
                <w:rFonts w:ascii="Gill Sans MT" w:eastAsia="Gill Sans MT" w:hAnsi="Gill Sans MT" w:cs="Gill Sans MT"/>
                <w:color w:val="231F20"/>
                <w:spacing w:val="5"/>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11"/>
                <w:sz w:val="15"/>
                <w:szCs w:val="15"/>
              </w:rPr>
              <w:t xml:space="preserve"> </w:t>
            </w:r>
            <w:r>
              <w:rPr>
                <w:rFonts w:ascii="Gill Sans MT" w:eastAsia="Gill Sans MT" w:hAnsi="Gill Sans MT" w:cs="Gill Sans MT"/>
                <w:color w:val="231F20"/>
                <w:spacing w:val="5"/>
                <w:sz w:val="15"/>
                <w:szCs w:val="15"/>
              </w:rPr>
              <w:t>al.</w:t>
            </w:r>
            <w:r>
              <w:rPr>
                <w:rFonts w:ascii="Gill Sans MT" w:eastAsia="Gill Sans MT" w:hAnsi="Gill Sans MT" w:cs="Gill Sans MT"/>
                <w:color w:val="231F20"/>
                <w:sz w:val="15"/>
                <w:szCs w:val="15"/>
              </w:rPr>
              <w:t>,</w:t>
            </w:r>
            <w:r>
              <w:rPr>
                <w:rFonts w:ascii="Gill Sans MT" w:eastAsia="Gill Sans MT" w:hAnsi="Gill Sans MT" w:cs="Gill Sans MT"/>
                <w:color w:val="231F20"/>
                <w:spacing w:val="12"/>
                <w:sz w:val="15"/>
                <w:szCs w:val="15"/>
              </w:rPr>
              <w:t xml:space="preserve"> </w:t>
            </w:r>
            <w:r>
              <w:rPr>
                <w:rFonts w:ascii="Gill Sans MT" w:eastAsia="Gill Sans MT" w:hAnsi="Gill Sans MT" w:cs="Gill Sans MT"/>
                <w:color w:val="231F20"/>
                <w:spacing w:val="5"/>
                <w:w w:val="101"/>
                <w:sz w:val="15"/>
                <w:szCs w:val="15"/>
              </w:rPr>
              <w:t>2012</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&lt;EndNote&gt;&lt;Cite&gt;&lt;Author&gt;Peterson&lt;/Author&gt;&lt;Year&gt;2012&lt;/Year&gt;&lt;RecNum&gt;1571&lt;/RecNum&gt;&lt;DisplayText&gt;&lt;style face="superscript"&gt;16&lt;/style&gt;&lt;/DisplayText&gt;&lt;record&gt;&lt;rec-number&gt;1571&lt;/rec-number&gt;&lt;foreign-keys&gt;&lt;key app="EN" db-id="wtftd20rmszxx0ettxy5exwdf90wv22s2dsf" timestamp="1428038257"&gt;1571&lt;/key&gt;&lt;/foreign-keys&gt;&lt;ref-type name="Journal Article"&gt;17&lt;/ref-type&gt;&lt;contributors&gt;&lt;authors&gt;&lt;author&gt;T Peterson&lt;/author&gt;&lt;author&gt;P Stott&lt;/author&gt;&lt;author&gt;S Herring&lt;/author&gt;&lt;/authors&gt;&lt;/contributors&gt;&lt;titles&gt;&lt;title&gt;Explaining Extreme Events of 2011 from a Climate Perspective&lt;/title&gt;&lt;secondary-title&gt;Special Supplement to the Bulletin of the American Meteorological Society&lt;/secondary-title&gt;&lt;/titles&gt;&lt;periodical&gt;&lt;full-title&gt;Special Supplement to the Bulletin of the American Meteorological Society&lt;/full-title&gt;&lt;/periodical&gt;&lt;pages&gt;1041-67&lt;/pages&gt;&lt;volume&gt;93&lt;/volume&gt;&lt;dates&gt;&lt;year&gt;2012&lt;/year&gt;&lt;/dates&gt;&lt;urls&gt;&lt;/urls&gt;&lt;/record&gt;&lt;/Cite&gt;&lt;/EndNote&gt;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16</w:t>
            </w:r>
            <w:r w:rsidR="00E13392">
              <w:rPr>
                <w:rFonts w:ascii="Gill Sans MT" w:eastAsia="Gill Sans MT" w:hAnsi="Gill Sans MT" w:cs="Gill Sans MT"/>
                <w:color w:val="231F20"/>
                <w:w w:val="101"/>
                <w:sz w:val="15"/>
                <w:szCs w:val="15"/>
              </w:rPr>
              <w:fldChar w:fldCharType="end"/>
            </w:r>
          </w:p>
          <w:p w:rsidR="00CC5E3E" w:rsidRDefault="00CC5E3E">
            <w:pPr>
              <w:spacing w:before="8"/>
              <w:ind w:left="95" w:right="-20"/>
              <w:rPr>
                <w:rFonts w:ascii="Gill Sans MT" w:eastAsia="Gill Sans MT" w:hAnsi="Gill Sans MT" w:cs="Gill Sans MT"/>
                <w:sz w:val="15"/>
                <w:szCs w:val="15"/>
              </w:rPr>
            </w:pPr>
            <w:r>
              <w:rPr>
                <w:rFonts w:ascii="Gill Sans MT" w:eastAsia="Gill Sans MT" w:hAnsi="Gill Sans MT" w:cs="Gill Sans MT"/>
                <w:b/>
                <w:bCs/>
                <w:color w:val="231F20"/>
                <w:spacing w:val="4"/>
                <w:sz w:val="15"/>
                <w:szCs w:val="15"/>
              </w:rPr>
              <w:t>I</w:t>
            </w:r>
            <w:r>
              <w:rPr>
                <w:rFonts w:ascii="Gill Sans MT" w:eastAsia="Gill Sans MT" w:hAnsi="Gill Sans MT" w:cs="Gill Sans MT"/>
                <w:b/>
                <w:bCs/>
                <w:color w:val="231F20"/>
                <w:spacing w:val="3"/>
                <w:sz w:val="15"/>
                <w:szCs w:val="15"/>
              </w:rPr>
              <w:t>b</w:t>
            </w:r>
            <w:r>
              <w:rPr>
                <w:rFonts w:ascii="Gill Sans MT" w:eastAsia="Gill Sans MT" w:hAnsi="Gill Sans MT" w:cs="Gill Sans MT"/>
                <w:b/>
                <w:bCs/>
                <w:color w:val="231F20"/>
                <w:spacing w:val="4"/>
                <w:sz w:val="15"/>
                <w:szCs w:val="15"/>
              </w:rPr>
              <w:t>e</w:t>
            </w:r>
            <w:r>
              <w:rPr>
                <w:rFonts w:ascii="Gill Sans MT" w:eastAsia="Gill Sans MT" w:hAnsi="Gill Sans MT" w:cs="Gill Sans MT"/>
                <w:b/>
                <w:bCs/>
                <w:color w:val="231F20"/>
                <w:spacing w:val="3"/>
                <w:sz w:val="15"/>
                <w:szCs w:val="15"/>
              </w:rPr>
              <w:t>ri</w:t>
            </w:r>
            <w:r>
              <w:rPr>
                <w:rFonts w:ascii="Gill Sans MT" w:eastAsia="Gill Sans MT" w:hAnsi="Gill Sans MT" w:cs="Gill Sans MT"/>
                <w:b/>
                <w:bCs/>
                <w:color w:val="231F20"/>
                <w:spacing w:val="4"/>
                <w:sz w:val="15"/>
                <w:szCs w:val="15"/>
              </w:rPr>
              <w:t>a</w:t>
            </w:r>
            <w:r>
              <w:rPr>
                <w:rFonts w:ascii="Gill Sans MT" w:eastAsia="Gill Sans MT" w:hAnsi="Gill Sans MT" w:cs="Gill Sans MT"/>
                <w:b/>
                <w:bCs/>
                <w:color w:val="231F20"/>
                <w:sz w:val="15"/>
                <w:szCs w:val="15"/>
              </w:rPr>
              <w:t>n</w:t>
            </w:r>
            <w:r>
              <w:rPr>
                <w:rFonts w:ascii="Gill Sans MT" w:eastAsia="Gill Sans MT" w:hAnsi="Gill Sans MT" w:cs="Gill Sans MT"/>
                <w:b/>
                <w:bCs/>
                <w:color w:val="231F20"/>
                <w:spacing w:val="13"/>
                <w:sz w:val="15"/>
                <w:szCs w:val="15"/>
              </w:rPr>
              <w:t xml:space="preserve"> </w:t>
            </w:r>
            <w:r>
              <w:rPr>
                <w:rFonts w:ascii="Gill Sans MT" w:eastAsia="Gill Sans MT" w:hAnsi="Gill Sans MT" w:cs="Gill Sans MT"/>
                <w:b/>
                <w:bCs/>
                <w:color w:val="231F20"/>
                <w:spacing w:val="4"/>
                <w:sz w:val="15"/>
                <w:szCs w:val="15"/>
              </w:rPr>
              <w:t>Pe</w:t>
            </w:r>
            <w:r>
              <w:rPr>
                <w:rFonts w:ascii="Gill Sans MT" w:eastAsia="Gill Sans MT" w:hAnsi="Gill Sans MT" w:cs="Gill Sans MT"/>
                <w:b/>
                <w:bCs/>
                <w:color w:val="231F20"/>
                <w:spacing w:val="3"/>
                <w:sz w:val="15"/>
                <w:szCs w:val="15"/>
              </w:rPr>
              <w:t>ni</w:t>
            </w:r>
            <w:r>
              <w:rPr>
                <w:rFonts w:ascii="Gill Sans MT" w:eastAsia="Gill Sans MT" w:hAnsi="Gill Sans MT" w:cs="Gill Sans MT"/>
                <w:b/>
                <w:bCs/>
                <w:color w:val="231F20"/>
                <w:spacing w:val="4"/>
                <w:sz w:val="15"/>
                <w:szCs w:val="15"/>
              </w:rPr>
              <w:t>ns</w:t>
            </w:r>
            <w:r>
              <w:rPr>
                <w:rFonts w:ascii="Gill Sans MT" w:eastAsia="Gill Sans MT" w:hAnsi="Gill Sans MT" w:cs="Gill Sans MT"/>
                <w:b/>
                <w:bCs/>
                <w:color w:val="231F20"/>
                <w:spacing w:val="3"/>
                <w:sz w:val="15"/>
                <w:szCs w:val="15"/>
              </w:rPr>
              <w:t>u</w:t>
            </w:r>
            <w:r>
              <w:rPr>
                <w:rFonts w:ascii="Gill Sans MT" w:eastAsia="Gill Sans MT" w:hAnsi="Gill Sans MT" w:cs="Gill Sans MT"/>
                <w:b/>
                <w:bCs/>
                <w:color w:val="231F20"/>
                <w:spacing w:val="4"/>
                <w:sz w:val="15"/>
                <w:szCs w:val="15"/>
              </w:rPr>
              <w:t>l</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15"/>
                <w:sz w:val="15"/>
                <w:szCs w:val="15"/>
              </w:rPr>
              <w:t xml:space="preserve"> </w:t>
            </w:r>
            <w:r>
              <w:rPr>
                <w:rFonts w:ascii="Gill Sans MT" w:eastAsia="Gill Sans MT" w:hAnsi="Gill Sans MT" w:cs="Gill Sans MT"/>
                <w:b/>
                <w:bCs/>
                <w:color w:val="231F20"/>
                <w:spacing w:val="4"/>
                <w:sz w:val="15"/>
                <w:szCs w:val="15"/>
              </w:rPr>
              <w:t>D</w:t>
            </w:r>
            <w:r>
              <w:rPr>
                <w:rFonts w:ascii="Gill Sans MT" w:eastAsia="Gill Sans MT" w:hAnsi="Gill Sans MT" w:cs="Gill Sans MT"/>
                <w:b/>
                <w:bCs/>
                <w:color w:val="231F20"/>
                <w:spacing w:val="2"/>
                <w:sz w:val="15"/>
                <w:szCs w:val="15"/>
              </w:rPr>
              <w:t>ro</w:t>
            </w: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4"/>
                <w:sz w:val="15"/>
                <w:szCs w:val="15"/>
              </w:rPr>
              <w:t>g</w:t>
            </w:r>
            <w:r>
              <w:rPr>
                <w:rFonts w:ascii="Gill Sans MT" w:eastAsia="Gill Sans MT" w:hAnsi="Gill Sans MT" w:cs="Gill Sans MT"/>
                <w:b/>
                <w:bCs/>
                <w:color w:val="231F20"/>
                <w:spacing w:val="2"/>
                <w:sz w:val="15"/>
                <w:szCs w:val="15"/>
              </w:rPr>
              <w:t>h</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8"/>
                <w:sz w:val="15"/>
                <w:szCs w:val="15"/>
              </w:rPr>
              <w:t xml:space="preserve"> </w:t>
            </w:r>
            <w:r>
              <w:rPr>
                <w:rFonts w:ascii="Gill Sans MT" w:eastAsia="Gill Sans MT" w:hAnsi="Gill Sans MT" w:cs="Gill Sans MT"/>
                <w:b/>
                <w:bCs/>
                <w:color w:val="231F20"/>
                <w:sz w:val="15"/>
                <w:szCs w:val="15"/>
              </w:rPr>
              <w:t>(2011)</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pacing w:val="5"/>
                <w:sz w:val="15"/>
                <w:szCs w:val="15"/>
              </w:rPr>
              <w:t>Trig</w:t>
            </w:r>
            <w:r>
              <w:rPr>
                <w:rFonts w:ascii="Gill Sans MT" w:eastAsia="Gill Sans MT" w:hAnsi="Gill Sans MT" w:cs="Gill Sans MT"/>
                <w:color w:val="231F20"/>
                <w:sz w:val="15"/>
                <w:szCs w:val="15"/>
              </w:rPr>
              <w:t>o</w:t>
            </w:r>
            <w:r>
              <w:rPr>
                <w:rFonts w:ascii="Gill Sans MT" w:eastAsia="Gill Sans MT" w:hAnsi="Gill Sans MT" w:cs="Gill Sans MT"/>
                <w:color w:val="231F20"/>
                <w:spacing w:val="14"/>
                <w:sz w:val="15"/>
                <w:szCs w:val="15"/>
              </w:rPr>
              <w:t xml:space="preserve"> </w:t>
            </w:r>
            <w:r>
              <w:rPr>
                <w:rFonts w:ascii="Gill Sans MT" w:eastAsia="Gill Sans MT" w:hAnsi="Gill Sans MT" w:cs="Gill Sans MT"/>
                <w:color w:val="231F20"/>
                <w:spacing w:val="5"/>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11"/>
                <w:sz w:val="15"/>
                <w:szCs w:val="15"/>
              </w:rPr>
              <w:t xml:space="preserve"> </w:t>
            </w:r>
            <w:r>
              <w:rPr>
                <w:rFonts w:ascii="Gill Sans MT" w:eastAsia="Gill Sans MT" w:hAnsi="Gill Sans MT" w:cs="Gill Sans MT"/>
                <w:color w:val="231F20"/>
                <w:spacing w:val="5"/>
                <w:sz w:val="15"/>
                <w:szCs w:val="15"/>
              </w:rPr>
              <w:t>a</w:t>
            </w:r>
            <w:r>
              <w:rPr>
                <w:rFonts w:ascii="Gill Sans MT" w:eastAsia="Gill Sans MT" w:hAnsi="Gill Sans MT" w:cs="Gill Sans MT"/>
                <w:color w:val="231F20"/>
                <w:spacing w:val="4"/>
                <w:sz w:val="15"/>
                <w:szCs w:val="15"/>
              </w:rPr>
              <w:t>l</w:t>
            </w:r>
            <w:r>
              <w:rPr>
                <w:rFonts w:ascii="Gill Sans MT" w:eastAsia="Gill Sans MT" w:hAnsi="Gill Sans MT" w:cs="Gill Sans MT"/>
                <w:color w:val="231F20"/>
                <w:spacing w:val="5"/>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12"/>
                <w:sz w:val="15"/>
                <w:szCs w:val="15"/>
              </w:rPr>
              <w:t xml:space="preserve"> </w:t>
            </w:r>
            <w:r>
              <w:rPr>
                <w:rFonts w:ascii="Gill Sans MT" w:eastAsia="Gill Sans MT" w:hAnsi="Gill Sans MT" w:cs="Gill Sans MT"/>
                <w:color w:val="231F20"/>
                <w:spacing w:val="5"/>
                <w:w w:val="101"/>
                <w:sz w:val="15"/>
                <w:szCs w:val="15"/>
              </w:rPr>
              <w:t>2012</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&lt;EndNote&gt;&lt;Cite&gt;&lt;Author&gt;Peterson&lt;/Author&gt;&lt;Year&gt;2012&lt;/Year&gt;&lt;RecNum&gt;1571&lt;/RecNum&gt;&lt;DisplayText&gt;&lt;style face="superscript"&gt;16&lt;/style&gt;&lt;/DisplayText&gt;&lt;record&gt;&lt;rec-number&gt;1571&lt;/rec-number&gt;&lt;foreign-keys&gt;&lt;key app="EN" db-id="wtftd20rmszxx0ettxy5exwdf90wv22s2dsf" timestamp="1428038257"&gt;1571&lt;/key&gt;&lt;/foreign-keys&gt;&lt;ref-type name="Journal Article"&gt;17&lt;/ref-type&gt;&lt;contributors&gt;&lt;authors&gt;&lt;author&gt;T Peterson&lt;/author&gt;&lt;author&gt;P Stott&lt;/author&gt;&lt;author&gt;S Herring&lt;/author&gt;&lt;/authors&gt;&lt;/contributors&gt;&lt;titles&gt;&lt;title&gt;Explaining Extreme Events of 2011 from a Climate Perspective&lt;/title&gt;&lt;secondary-title&gt;Special Supplement to the Bulletin of the American Meteorological Society&lt;/secondary-title&gt;&lt;/titles&gt;&lt;periodical&gt;&lt;full-title&gt;Special Supplement to the Bulletin of the American Meteorological Society&lt;/full-title&gt;&lt;/periodical&gt;&lt;pages&gt;1041-67&lt;/pages&gt;&lt;volume&gt;93&lt;/volume&gt;&lt;dates&gt;&lt;year&gt;2012&lt;/year&gt;&lt;/dates&gt;&lt;urls&gt;&lt;/urls&gt;&lt;/record&gt;&lt;/Cite&gt;&lt;/EndNote&gt;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16</w:t>
            </w:r>
            <w:r w:rsidR="00E13392">
              <w:rPr>
                <w:rFonts w:ascii="Gill Sans MT" w:eastAsia="Gill Sans MT" w:hAnsi="Gill Sans MT" w:cs="Gill Sans MT"/>
                <w:color w:val="231F20"/>
                <w:w w:val="101"/>
                <w:sz w:val="15"/>
                <w:szCs w:val="15"/>
              </w:rPr>
              <w:fldChar w:fldCharType="end"/>
            </w:r>
          </w:p>
          <w:p w:rsidR="00CC5E3E" w:rsidRDefault="00CC5E3E">
            <w:pPr>
              <w:spacing w:before="8"/>
              <w:ind w:left="95" w:right="-20"/>
              <w:rPr>
                <w:rFonts w:ascii="Gill Sans MT" w:eastAsia="Gill Sans MT" w:hAnsi="Gill Sans MT" w:cs="Gill Sans MT"/>
                <w:sz w:val="15"/>
                <w:szCs w:val="15"/>
              </w:rPr>
            </w:pPr>
            <w:r>
              <w:rPr>
                <w:rFonts w:ascii="Gill Sans MT" w:eastAsia="Gill Sans MT" w:hAnsi="Gill Sans MT" w:cs="Gill Sans MT"/>
                <w:b/>
                <w:bCs/>
                <w:color w:val="231F20"/>
                <w:spacing w:val="4"/>
                <w:sz w:val="15"/>
                <w:szCs w:val="15"/>
              </w:rPr>
              <w:t>Eas</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11"/>
                <w:sz w:val="15"/>
                <w:szCs w:val="15"/>
              </w:rPr>
              <w:t xml:space="preserve"> </w:t>
            </w:r>
            <w:r>
              <w:rPr>
                <w:rFonts w:ascii="Gill Sans MT" w:eastAsia="Gill Sans MT" w:hAnsi="Gill Sans MT" w:cs="Gill Sans MT"/>
                <w:b/>
                <w:bCs/>
                <w:color w:val="231F20"/>
                <w:spacing w:val="4"/>
                <w:sz w:val="15"/>
                <w:szCs w:val="15"/>
              </w:rPr>
              <w:t>Af</w:t>
            </w:r>
            <w:r>
              <w:rPr>
                <w:rFonts w:ascii="Gill Sans MT" w:eastAsia="Gill Sans MT" w:hAnsi="Gill Sans MT" w:cs="Gill Sans MT"/>
                <w:b/>
                <w:bCs/>
                <w:color w:val="231F20"/>
                <w:spacing w:val="3"/>
                <w:sz w:val="15"/>
                <w:szCs w:val="15"/>
              </w:rPr>
              <w:t>r</w:t>
            </w:r>
            <w:r>
              <w:rPr>
                <w:rFonts w:ascii="Gill Sans MT" w:eastAsia="Gill Sans MT" w:hAnsi="Gill Sans MT" w:cs="Gill Sans MT"/>
                <w:b/>
                <w:bCs/>
                <w:color w:val="231F20"/>
                <w:spacing w:val="4"/>
                <w:sz w:val="15"/>
                <w:szCs w:val="15"/>
              </w:rPr>
              <w:t>i</w:t>
            </w:r>
            <w:r>
              <w:rPr>
                <w:rFonts w:ascii="Gill Sans MT" w:eastAsia="Gill Sans MT" w:hAnsi="Gill Sans MT" w:cs="Gill Sans MT"/>
                <w:b/>
                <w:bCs/>
                <w:color w:val="231F20"/>
                <w:spacing w:val="3"/>
                <w:sz w:val="15"/>
                <w:szCs w:val="15"/>
              </w:rPr>
              <w:t>c</w:t>
            </w:r>
            <w:r>
              <w:rPr>
                <w:rFonts w:ascii="Gill Sans MT" w:eastAsia="Gill Sans MT" w:hAnsi="Gill Sans MT" w:cs="Gill Sans MT"/>
                <w:b/>
                <w:bCs/>
                <w:color w:val="231F20"/>
                <w:spacing w:val="4"/>
                <w:sz w:val="15"/>
                <w:szCs w:val="15"/>
              </w:rPr>
              <w:t>a</w:t>
            </w:r>
            <w:r>
              <w:rPr>
                <w:rFonts w:ascii="Gill Sans MT" w:eastAsia="Gill Sans MT" w:hAnsi="Gill Sans MT" w:cs="Gill Sans MT"/>
                <w:b/>
                <w:bCs/>
                <w:color w:val="231F20"/>
                <w:sz w:val="15"/>
                <w:szCs w:val="15"/>
              </w:rPr>
              <w:t>n</w:t>
            </w:r>
            <w:r>
              <w:rPr>
                <w:rFonts w:ascii="Gill Sans MT" w:eastAsia="Gill Sans MT" w:hAnsi="Gill Sans MT" w:cs="Gill Sans MT"/>
                <w:b/>
                <w:bCs/>
                <w:color w:val="231F20"/>
                <w:spacing w:val="13"/>
                <w:sz w:val="15"/>
                <w:szCs w:val="15"/>
              </w:rPr>
              <w:t xml:space="preserve"> </w:t>
            </w:r>
            <w:r>
              <w:rPr>
                <w:rFonts w:ascii="Gill Sans MT" w:eastAsia="Gill Sans MT" w:hAnsi="Gill Sans MT" w:cs="Gill Sans MT"/>
                <w:b/>
                <w:bCs/>
                <w:color w:val="231F20"/>
                <w:spacing w:val="4"/>
                <w:sz w:val="15"/>
                <w:szCs w:val="15"/>
              </w:rPr>
              <w:t>D</w:t>
            </w:r>
            <w:r>
              <w:rPr>
                <w:rFonts w:ascii="Gill Sans MT" w:eastAsia="Gill Sans MT" w:hAnsi="Gill Sans MT" w:cs="Gill Sans MT"/>
                <w:b/>
                <w:bCs/>
                <w:color w:val="231F20"/>
                <w:spacing w:val="2"/>
                <w:sz w:val="15"/>
                <w:szCs w:val="15"/>
              </w:rPr>
              <w:t>ro</w:t>
            </w: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3"/>
                <w:sz w:val="15"/>
                <w:szCs w:val="15"/>
              </w:rPr>
              <w:t>g</w:t>
            </w:r>
            <w:r>
              <w:rPr>
                <w:rFonts w:ascii="Gill Sans MT" w:eastAsia="Gill Sans MT" w:hAnsi="Gill Sans MT" w:cs="Gill Sans MT"/>
                <w:b/>
                <w:bCs/>
                <w:color w:val="231F20"/>
                <w:spacing w:val="2"/>
                <w:sz w:val="15"/>
                <w:szCs w:val="15"/>
              </w:rPr>
              <w:t>h</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z w:val="15"/>
                <w:szCs w:val="15"/>
              </w:rPr>
              <w:t>(2012)</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pacing w:val="5"/>
                <w:sz w:val="15"/>
                <w:szCs w:val="15"/>
              </w:rPr>
              <w:t>Fun</w:t>
            </w:r>
            <w:r>
              <w:rPr>
                <w:rFonts w:ascii="Gill Sans MT" w:eastAsia="Gill Sans MT" w:hAnsi="Gill Sans MT" w:cs="Gill Sans MT"/>
                <w:color w:val="231F20"/>
                <w:sz w:val="15"/>
                <w:szCs w:val="15"/>
              </w:rPr>
              <w:t>k</w:t>
            </w:r>
            <w:r>
              <w:rPr>
                <w:rFonts w:ascii="Gill Sans MT" w:eastAsia="Gill Sans MT" w:hAnsi="Gill Sans MT" w:cs="Gill Sans MT"/>
                <w:color w:val="231F20"/>
                <w:spacing w:val="13"/>
                <w:sz w:val="15"/>
                <w:szCs w:val="15"/>
              </w:rPr>
              <w:t xml:space="preserve"> </w:t>
            </w:r>
            <w:r>
              <w:rPr>
                <w:rFonts w:ascii="Gill Sans MT" w:eastAsia="Gill Sans MT" w:hAnsi="Gill Sans MT" w:cs="Gill Sans MT"/>
                <w:color w:val="231F20"/>
                <w:spacing w:val="5"/>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11"/>
                <w:sz w:val="15"/>
                <w:szCs w:val="15"/>
              </w:rPr>
              <w:t xml:space="preserve"> </w:t>
            </w:r>
            <w:r>
              <w:rPr>
                <w:rFonts w:ascii="Gill Sans MT" w:eastAsia="Gill Sans MT" w:hAnsi="Gill Sans MT" w:cs="Gill Sans MT"/>
                <w:color w:val="231F20"/>
                <w:spacing w:val="5"/>
                <w:sz w:val="15"/>
                <w:szCs w:val="15"/>
              </w:rPr>
              <w:t>al.</w:t>
            </w:r>
            <w:r>
              <w:rPr>
                <w:rFonts w:ascii="Gill Sans MT" w:eastAsia="Gill Sans MT" w:hAnsi="Gill Sans MT" w:cs="Gill Sans MT"/>
                <w:color w:val="231F20"/>
                <w:sz w:val="15"/>
                <w:szCs w:val="15"/>
              </w:rPr>
              <w:t>,</w:t>
            </w:r>
            <w:r>
              <w:rPr>
                <w:rFonts w:ascii="Gill Sans MT" w:eastAsia="Gill Sans MT" w:hAnsi="Gill Sans MT" w:cs="Gill Sans MT"/>
                <w:color w:val="231F20"/>
                <w:spacing w:val="12"/>
                <w:sz w:val="15"/>
                <w:szCs w:val="15"/>
              </w:rPr>
              <w:t xml:space="preserve"> </w:t>
            </w:r>
            <w:r>
              <w:rPr>
                <w:rFonts w:ascii="Gill Sans MT" w:eastAsia="Gill Sans MT" w:hAnsi="Gill Sans MT" w:cs="Gill Sans MT"/>
                <w:color w:val="231F20"/>
                <w:spacing w:val="5"/>
                <w:w w:val="101"/>
                <w:sz w:val="15"/>
                <w:szCs w:val="15"/>
              </w:rPr>
              <w:t>2012</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&lt;EndNote&gt;&lt;Cite&gt;&lt;Author&gt;Peterson&lt;/Author&gt;&lt;Year&gt;2012&lt;/Year&gt;&lt;RecNum&gt;1571&lt;/RecNum&gt;&lt;DisplayText&gt;&lt;style face="superscript"&gt;16&lt;/style&gt;&lt;/DisplayText&gt;&lt;record&gt;&lt;rec-number&gt;1571&lt;/rec-number&gt;&lt;foreign-keys&gt;&lt;key app="EN" db-id="wtftd20rmszxx0ettxy5exwdf90wv22s2dsf" timestamp="1428038257"&gt;1571&lt;/key&gt;&lt;/foreign-keys&gt;&lt;ref-type name="Journal Article"&gt;17&lt;/ref-type&gt;&lt;contributors&gt;&lt;authors&gt;&lt;author&gt;T Peterson&lt;/author&gt;&lt;author&gt;P Stott&lt;/author&gt;&lt;author&gt;S Herring&lt;/author&gt;&lt;/authors&gt;&lt;/contributors&gt;&lt;titles&gt;&lt;title&gt;Explaining Extreme Events of 2011 from a Climate Perspective&lt;/title&gt;&lt;secondary-title&gt;Special Supplement to the Bulletin of the American Meteorological Society&lt;/secondary-title&gt;&lt;/titles&gt;&lt;periodical&gt;&lt;full-title&gt;Special Supplement to the Bulletin of the American Meteorological Society&lt;/full-title&gt;&lt;/periodical&gt;&lt;pages&gt;1041-67&lt;/pages&gt;&lt;volume&gt;93&lt;/volume&gt;&lt;dates&gt;&lt;year&gt;2012&lt;/year&gt;&lt;/dates&gt;&lt;urls&gt;&lt;/urls&gt;&lt;/record&gt;&lt;/Cite&gt;&lt;/EndNote&gt;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16</w:t>
            </w:r>
            <w:r w:rsidR="00E13392">
              <w:rPr>
                <w:rFonts w:ascii="Gill Sans MT" w:eastAsia="Gill Sans MT" w:hAnsi="Gill Sans MT" w:cs="Gill Sans MT"/>
                <w:color w:val="231F20"/>
                <w:w w:val="101"/>
                <w:sz w:val="15"/>
                <w:szCs w:val="15"/>
              </w:rPr>
              <w:fldChar w:fldCharType="end"/>
            </w:r>
          </w:p>
          <w:p w:rsidR="00CC5E3E" w:rsidRDefault="00CC5E3E">
            <w:pPr>
              <w:spacing w:before="8"/>
              <w:ind w:left="95" w:right="-20"/>
              <w:rPr>
                <w:rFonts w:ascii="Gill Sans MT" w:eastAsia="Gill Sans MT" w:hAnsi="Gill Sans MT" w:cs="Gill Sans MT"/>
                <w:sz w:val="15"/>
                <w:szCs w:val="15"/>
              </w:rPr>
            </w:pPr>
            <w:r>
              <w:rPr>
                <w:rFonts w:ascii="Gill Sans MT" w:eastAsia="Gill Sans MT" w:hAnsi="Gill Sans MT" w:cs="Gill Sans MT"/>
                <w:b/>
                <w:bCs/>
                <w:color w:val="231F20"/>
                <w:spacing w:val="3"/>
                <w:sz w:val="15"/>
                <w:szCs w:val="15"/>
              </w:rPr>
              <w:t>N</w:t>
            </w:r>
            <w:r>
              <w:rPr>
                <w:rFonts w:ascii="Gill Sans MT" w:eastAsia="Gill Sans MT" w:hAnsi="Gill Sans MT" w:cs="Gill Sans MT"/>
                <w:b/>
                <w:bCs/>
                <w:color w:val="231F20"/>
                <w:spacing w:val="1"/>
                <w:sz w:val="15"/>
                <w:szCs w:val="15"/>
              </w:rPr>
              <w:t>e</w:t>
            </w:r>
            <w:r>
              <w:rPr>
                <w:rFonts w:ascii="Gill Sans MT" w:eastAsia="Gill Sans MT" w:hAnsi="Gill Sans MT" w:cs="Gill Sans MT"/>
                <w:b/>
                <w:bCs/>
                <w:color w:val="231F20"/>
                <w:sz w:val="15"/>
                <w:szCs w:val="15"/>
              </w:rPr>
              <w:t>w</w:t>
            </w:r>
            <w:r>
              <w:rPr>
                <w:rFonts w:ascii="Gill Sans MT" w:eastAsia="Gill Sans MT" w:hAnsi="Gill Sans MT" w:cs="Gill Sans MT"/>
                <w:b/>
                <w:bCs/>
                <w:color w:val="231F20"/>
                <w:spacing w:val="4"/>
                <w:sz w:val="15"/>
                <w:szCs w:val="15"/>
              </w:rPr>
              <w:t xml:space="preserve"> </w:t>
            </w:r>
            <w:r>
              <w:rPr>
                <w:rFonts w:ascii="Gill Sans MT" w:eastAsia="Gill Sans MT" w:hAnsi="Gill Sans MT" w:cs="Gill Sans MT"/>
                <w:b/>
                <w:bCs/>
                <w:color w:val="231F20"/>
                <w:spacing w:val="2"/>
                <w:sz w:val="15"/>
                <w:szCs w:val="15"/>
              </w:rPr>
              <w:t>Z</w:t>
            </w:r>
            <w:r>
              <w:rPr>
                <w:rFonts w:ascii="Gill Sans MT" w:eastAsia="Gill Sans MT" w:hAnsi="Gill Sans MT" w:cs="Gill Sans MT"/>
                <w:b/>
                <w:bCs/>
                <w:color w:val="231F20"/>
                <w:spacing w:val="4"/>
                <w:sz w:val="15"/>
                <w:szCs w:val="15"/>
              </w:rPr>
              <w:t>ea</w:t>
            </w:r>
            <w:r>
              <w:rPr>
                <w:rFonts w:ascii="Gill Sans MT" w:eastAsia="Gill Sans MT" w:hAnsi="Gill Sans MT" w:cs="Gill Sans MT"/>
                <w:b/>
                <w:bCs/>
                <w:color w:val="231F20"/>
                <w:spacing w:val="3"/>
                <w:sz w:val="15"/>
                <w:szCs w:val="15"/>
              </w:rPr>
              <w:t>l</w:t>
            </w:r>
            <w:r>
              <w:rPr>
                <w:rFonts w:ascii="Gill Sans MT" w:eastAsia="Gill Sans MT" w:hAnsi="Gill Sans MT" w:cs="Gill Sans MT"/>
                <w:b/>
                <w:bCs/>
                <w:color w:val="231F20"/>
                <w:spacing w:val="4"/>
                <w:sz w:val="15"/>
                <w:szCs w:val="15"/>
              </w:rPr>
              <w:t>a</w:t>
            </w:r>
            <w:r>
              <w:rPr>
                <w:rFonts w:ascii="Gill Sans MT" w:eastAsia="Gill Sans MT" w:hAnsi="Gill Sans MT" w:cs="Gill Sans MT"/>
                <w:b/>
                <w:bCs/>
                <w:color w:val="231F20"/>
                <w:spacing w:val="3"/>
                <w:sz w:val="15"/>
                <w:szCs w:val="15"/>
              </w:rPr>
              <w:t>n</w:t>
            </w:r>
            <w:r>
              <w:rPr>
                <w:rFonts w:ascii="Gill Sans MT" w:eastAsia="Gill Sans MT" w:hAnsi="Gill Sans MT" w:cs="Gill Sans MT"/>
                <w:b/>
                <w:bCs/>
                <w:color w:val="231F20"/>
                <w:sz w:val="15"/>
                <w:szCs w:val="15"/>
              </w:rPr>
              <w:t>d</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pacing w:val="4"/>
                <w:sz w:val="15"/>
                <w:szCs w:val="15"/>
              </w:rPr>
              <w:t>D</w:t>
            </w:r>
            <w:r>
              <w:rPr>
                <w:rFonts w:ascii="Gill Sans MT" w:eastAsia="Gill Sans MT" w:hAnsi="Gill Sans MT" w:cs="Gill Sans MT"/>
                <w:b/>
                <w:bCs/>
                <w:color w:val="231F20"/>
                <w:spacing w:val="2"/>
                <w:sz w:val="15"/>
                <w:szCs w:val="15"/>
              </w:rPr>
              <w:t>ro</w:t>
            </w: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3"/>
                <w:sz w:val="15"/>
                <w:szCs w:val="15"/>
              </w:rPr>
              <w:t>g</w:t>
            </w:r>
            <w:r>
              <w:rPr>
                <w:rFonts w:ascii="Gill Sans MT" w:eastAsia="Gill Sans MT" w:hAnsi="Gill Sans MT" w:cs="Gill Sans MT"/>
                <w:b/>
                <w:bCs/>
                <w:color w:val="231F20"/>
                <w:spacing w:val="2"/>
                <w:sz w:val="15"/>
                <w:szCs w:val="15"/>
              </w:rPr>
              <w:t>h</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z w:val="15"/>
                <w:szCs w:val="15"/>
              </w:rPr>
              <w:t>(2013)</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pacing w:val="3"/>
                <w:sz w:val="15"/>
                <w:szCs w:val="15"/>
              </w:rPr>
              <w:t>(</w:t>
            </w:r>
            <w:r>
              <w:rPr>
                <w:rFonts w:ascii="Gill Sans MT" w:eastAsia="Gill Sans MT" w:hAnsi="Gill Sans MT" w:cs="Gill Sans MT"/>
                <w:color w:val="231F20"/>
                <w:spacing w:val="5"/>
                <w:sz w:val="15"/>
                <w:szCs w:val="15"/>
              </w:rPr>
              <w:t>H</w:t>
            </w:r>
            <w:r>
              <w:rPr>
                <w:rFonts w:ascii="Gill Sans MT" w:eastAsia="Gill Sans MT" w:hAnsi="Gill Sans MT" w:cs="Gill Sans MT"/>
                <w:color w:val="231F20"/>
                <w:spacing w:val="2"/>
                <w:sz w:val="15"/>
                <w:szCs w:val="15"/>
              </w:rPr>
              <w:t>a</w:t>
            </w:r>
            <w:r>
              <w:rPr>
                <w:rFonts w:ascii="Gill Sans MT" w:eastAsia="Gill Sans MT" w:hAnsi="Gill Sans MT" w:cs="Gill Sans MT"/>
                <w:color w:val="231F20"/>
                <w:spacing w:val="3"/>
                <w:sz w:val="15"/>
                <w:szCs w:val="15"/>
              </w:rPr>
              <w:t>rr</w:t>
            </w:r>
            <w:r>
              <w:rPr>
                <w:rFonts w:ascii="Gill Sans MT" w:eastAsia="Gill Sans MT" w:hAnsi="Gill Sans MT" w:cs="Gill Sans MT"/>
                <w:color w:val="231F20"/>
                <w:spacing w:val="2"/>
                <w:sz w:val="15"/>
                <w:szCs w:val="15"/>
              </w:rPr>
              <w:t>in</w:t>
            </w:r>
            <w:r>
              <w:rPr>
                <w:rFonts w:ascii="Gill Sans MT" w:eastAsia="Gill Sans MT" w:hAnsi="Gill Sans MT" w:cs="Gill Sans MT"/>
                <w:color w:val="231F20"/>
                <w:spacing w:val="7"/>
                <w:sz w:val="15"/>
                <w:szCs w:val="15"/>
              </w:rPr>
              <w:t>g</w:t>
            </w:r>
            <w:r>
              <w:rPr>
                <w:rFonts w:ascii="Gill Sans MT" w:eastAsia="Gill Sans MT" w:hAnsi="Gill Sans MT" w:cs="Gill Sans MT"/>
                <w:color w:val="231F20"/>
                <w:spacing w:val="3"/>
                <w:sz w:val="15"/>
                <w:szCs w:val="15"/>
              </w:rPr>
              <w:t>t</w:t>
            </w:r>
            <w:r>
              <w:rPr>
                <w:rFonts w:ascii="Gill Sans MT" w:eastAsia="Gill Sans MT" w:hAnsi="Gill Sans MT" w:cs="Gill Sans MT"/>
                <w:color w:val="231F20"/>
                <w:spacing w:val="2"/>
                <w:sz w:val="15"/>
                <w:szCs w:val="15"/>
              </w:rPr>
              <w:t>o</w:t>
            </w:r>
            <w:r>
              <w:rPr>
                <w:rFonts w:ascii="Gill Sans MT" w:eastAsia="Gill Sans MT" w:hAnsi="Gill Sans MT" w:cs="Gill Sans MT"/>
                <w:color w:val="231F20"/>
                <w:sz w:val="15"/>
                <w:szCs w:val="15"/>
              </w:rPr>
              <w:t>n</w:t>
            </w:r>
            <w:r>
              <w:rPr>
                <w:rFonts w:ascii="Gill Sans MT" w:eastAsia="Gill Sans MT" w:hAnsi="Gill Sans MT" w:cs="Gill Sans MT"/>
                <w:color w:val="231F20"/>
                <w:spacing w:val="8"/>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2"/>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p>
          <w:p w:rsidR="00CC5E3E" w:rsidRDefault="00CC5E3E" w:rsidP="00CC5E3E">
            <w:pPr>
              <w:spacing w:before="8"/>
              <w:ind w:left="95" w:right="-20"/>
              <w:rPr>
                <w:rFonts w:ascii="Gill Sans MT" w:eastAsia="Gill Sans MT" w:hAnsi="Gill Sans MT" w:cs="Gill Sans MT"/>
                <w:sz w:val="15"/>
                <w:szCs w:val="15"/>
              </w:rPr>
            </w:pP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6"/>
                <w:sz w:val="15"/>
                <w:szCs w:val="15"/>
              </w:rPr>
              <w:t>S</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16"/>
                <w:sz w:val="15"/>
                <w:szCs w:val="15"/>
              </w:rPr>
              <w:t xml:space="preserve"> </w:t>
            </w:r>
            <w:r>
              <w:rPr>
                <w:rFonts w:ascii="Gill Sans MT" w:eastAsia="Gill Sans MT" w:hAnsi="Gill Sans MT" w:cs="Gill Sans MT"/>
                <w:b/>
                <w:bCs/>
                <w:color w:val="231F20"/>
                <w:spacing w:val="3"/>
                <w:sz w:val="15"/>
                <w:szCs w:val="15"/>
              </w:rPr>
              <w:t>C</w:t>
            </w:r>
            <w:r>
              <w:rPr>
                <w:rFonts w:ascii="Gill Sans MT" w:eastAsia="Gill Sans MT" w:hAnsi="Gill Sans MT" w:cs="Gill Sans MT"/>
                <w:b/>
                <w:bCs/>
                <w:color w:val="231F20"/>
                <w:spacing w:val="4"/>
                <w:sz w:val="15"/>
                <w:szCs w:val="15"/>
              </w:rPr>
              <w:t>a</w:t>
            </w:r>
            <w:r>
              <w:rPr>
                <w:rFonts w:ascii="Gill Sans MT" w:eastAsia="Gill Sans MT" w:hAnsi="Gill Sans MT" w:cs="Gill Sans MT"/>
                <w:b/>
                <w:bCs/>
                <w:color w:val="231F20"/>
                <w:spacing w:val="3"/>
                <w:sz w:val="15"/>
                <w:szCs w:val="15"/>
              </w:rPr>
              <w:t>l</w:t>
            </w:r>
            <w:r>
              <w:rPr>
                <w:rFonts w:ascii="Gill Sans MT" w:eastAsia="Gill Sans MT" w:hAnsi="Gill Sans MT" w:cs="Gill Sans MT"/>
                <w:b/>
                <w:bCs/>
                <w:color w:val="231F20"/>
                <w:sz w:val="15"/>
                <w:szCs w:val="15"/>
              </w:rPr>
              <w:t>i</w:t>
            </w:r>
            <w:r>
              <w:rPr>
                <w:rFonts w:ascii="Gill Sans MT" w:eastAsia="Gill Sans MT" w:hAnsi="Gill Sans MT" w:cs="Gill Sans MT"/>
                <w:b/>
                <w:bCs/>
                <w:color w:val="231F20"/>
                <w:spacing w:val="2"/>
                <w:sz w:val="15"/>
                <w:szCs w:val="15"/>
              </w:rPr>
              <w:t>fo</w:t>
            </w:r>
            <w:r>
              <w:rPr>
                <w:rFonts w:ascii="Gill Sans MT" w:eastAsia="Gill Sans MT" w:hAnsi="Gill Sans MT" w:cs="Gill Sans MT"/>
                <w:b/>
                <w:bCs/>
                <w:color w:val="231F20"/>
                <w:spacing w:val="4"/>
                <w:sz w:val="15"/>
                <w:szCs w:val="15"/>
              </w:rPr>
              <w:t>r</w:t>
            </w:r>
            <w:r>
              <w:rPr>
                <w:rFonts w:ascii="Gill Sans MT" w:eastAsia="Gill Sans MT" w:hAnsi="Gill Sans MT" w:cs="Gill Sans MT"/>
                <w:b/>
                <w:bCs/>
                <w:color w:val="231F20"/>
                <w:spacing w:val="2"/>
                <w:sz w:val="15"/>
                <w:szCs w:val="15"/>
              </w:rPr>
              <w:t>n</w:t>
            </w:r>
            <w:r>
              <w:rPr>
                <w:rFonts w:ascii="Gill Sans MT" w:eastAsia="Gill Sans MT" w:hAnsi="Gill Sans MT" w:cs="Gill Sans MT"/>
                <w:b/>
                <w:bCs/>
                <w:color w:val="231F20"/>
                <w:spacing w:val="3"/>
                <w:sz w:val="15"/>
                <w:szCs w:val="15"/>
              </w:rPr>
              <w:t>i</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8"/>
                <w:sz w:val="15"/>
                <w:szCs w:val="15"/>
              </w:rPr>
              <w:t xml:space="preserve"> </w:t>
            </w:r>
            <w:r>
              <w:rPr>
                <w:rFonts w:ascii="Gill Sans MT" w:eastAsia="Gill Sans MT" w:hAnsi="Gill Sans MT" w:cs="Gill Sans MT"/>
                <w:b/>
                <w:bCs/>
                <w:color w:val="231F20"/>
                <w:spacing w:val="2"/>
                <w:sz w:val="15"/>
                <w:szCs w:val="15"/>
              </w:rPr>
              <w:t>Dro</w:t>
            </w: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3"/>
                <w:sz w:val="15"/>
                <w:szCs w:val="15"/>
              </w:rPr>
              <w:t>g</w:t>
            </w:r>
            <w:r>
              <w:rPr>
                <w:rFonts w:ascii="Gill Sans MT" w:eastAsia="Gill Sans MT" w:hAnsi="Gill Sans MT" w:cs="Gill Sans MT"/>
                <w:b/>
                <w:bCs/>
                <w:color w:val="231F20"/>
                <w:spacing w:val="2"/>
                <w:sz w:val="15"/>
                <w:szCs w:val="15"/>
              </w:rPr>
              <w:t>h</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z w:val="15"/>
                <w:szCs w:val="15"/>
              </w:rPr>
              <w:t>(2013)</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pacing w:val="1"/>
                <w:sz w:val="15"/>
                <w:szCs w:val="15"/>
              </w:rPr>
              <w:t>S</w:t>
            </w:r>
            <w:r>
              <w:rPr>
                <w:rFonts w:ascii="Gill Sans MT" w:eastAsia="Gill Sans MT" w:hAnsi="Gill Sans MT" w:cs="Gill Sans MT"/>
                <w:color w:val="231F20"/>
                <w:spacing w:val="4"/>
                <w:sz w:val="15"/>
                <w:szCs w:val="15"/>
              </w:rPr>
              <w:t>w</w:t>
            </w:r>
            <w:r>
              <w:rPr>
                <w:rFonts w:ascii="Gill Sans MT" w:eastAsia="Gill Sans MT" w:hAnsi="Gill Sans MT" w:cs="Gill Sans MT"/>
                <w:color w:val="231F20"/>
                <w:spacing w:val="2"/>
                <w:sz w:val="15"/>
                <w:szCs w:val="15"/>
              </w:rPr>
              <w:t>ai</w:t>
            </w:r>
            <w:r>
              <w:rPr>
                <w:rFonts w:ascii="Gill Sans MT" w:eastAsia="Gill Sans MT" w:hAnsi="Gill Sans MT" w:cs="Gill Sans MT"/>
                <w:color w:val="231F20"/>
                <w:sz w:val="15"/>
                <w:szCs w:val="15"/>
              </w:rPr>
              <w:t>n</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z w:val="15"/>
                <w:szCs w:val="15"/>
              </w:rPr>
              <w:t>et</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z w:val="15"/>
                <w:szCs w:val="15"/>
              </w:rPr>
              <w:t>al.,</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2"/>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p>
        </w:tc>
        <w:tc>
          <w:tcPr>
            <w:tcW w:w="2835" w:type="dxa"/>
            <w:tcBorders>
              <w:top w:val="single" w:sz="4" w:space="0" w:color="auto"/>
              <w:left w:val="single" w:sz="4" w:space="0" w:color="auto"/>
              <w:bottom w:val="single" w:sz="4" w:space="0" w:color="auto"/>
              <w:right w:val="single" w:sz="4" w:space="0" w:color="auto"/>
            </w:tcBorders>
          </w:tcPr>
          <w:p w:rsidR="00CC5E3E" w:rsidRDefault="00CC5E3E">
            <w:pPr>
              <w:jc w:val="both"/>
              <w:rPr>
                <w:rFonts w:ascii="Gill Sans MT" w:hAnsi="Gill Sans MT" w:cs="Times New Roman"/>
                <w:sz w:val="15"/>
                <w:szCs w:val="15"/>
              </w:rPr>
            </w:pPr>
          </w:p>
        </w:tc>
        <w:tc>
          <w:tcPr>
            <w:tcW w:w="4111" w:type="dxa"/>
            <w:tcBorders>
              <w:top w:val="single" w:sz="4" w:space="0" w:color="auto"/>
              <w:left w:val="single" w:sz="4" w:space="0" w:color="auto"/>
              <w:bottom w:val="single" w:sz="4" w:space="0" w:color="auto"/>
              <w:right w:val="single" w:sz="4" w:space="0" w:color="auto"/>
            </w:tcBorders>
          </w:tcPr>
          <w:p w:rsidR="00CC5E3E" w:rsidRDefault="00CC5E3E">
            <w:pPr>
              <w:spacing w:before="43"/>
              <w:ind w:left="101" w:right="-20"/>
              <w:rPr>
                <w:rFonts w:ascii="Gill Sans MT" w:eastAsia="Gill Sans MT" w:hAnsi="Gill Sans MT" w:cs="Gill Sans MT"/>
                <w:sz w:val="15"/>
                <w:szCs w:val="15"/>
              </w:rPr>
            </w:pPr>
            <w:r>
              <w:rPr>
                <w:rFonts w:ascii="Gill Sans MT" w:eastAsia="Gill Sans MT" w:hAnsi="Gill Sans MT" w:cs="Gill Sans MT"/>
                <w:b/>
                <w:bCs/>
                <w:color w:val="231F20"/>
                <w:spacing w:val="1"/>
                <w:sz w:val="15"/>
                <w:szCs w:val="15"/>
              </w:rPr>
              <w:t>Centra</w:t>
            </w:r>
            <w:r>
              <w:rPr>
                <w:rFonts w:ascii="Gill Sans MT" w:eastAsia="Gill Sans MT" w:hAnsi="Gill Sans MT" w:cs="Gill Sans MT"/>
                <w:b/>
                <w:bCs/>
                <w:color w:val="231F20"/>
                <w:sz w:val="15"/>
                <w:szCs w:val="15"/>
              </w:rPr>
              <w:t>l</w:t>
            </w:r>
            <w:r>
              <w:rPr>
                <w:rFonts w:ascii="Gill Sans MT" w:eastAsia="Gill Sans MT" w:hAnsi="Gill Sans MT" w:cs="Gill Sans MT"/>
                <w:b/>
                <w:bCs/>
                <w:color w:val="231F20"/>
                <w:spacing w:val="8"/>
                <w:sz w:val="15"/>
                <w:szCs w:val="15"/>
              </w:rPr>
              <w:t xml:space="preserve"> </w:t>
            </w:r>
            <w:r>
              <w:rPr>
                <w:rFonts w:ascii="Gill Sans MT" w:eastAsia="Gill Sans MT" w:hAnsi="Gill Sans MT" w:cs="Gill Sans MT"/>
                <w:b/>
                <w:bCs/>
                <w:color w:val="231F20"/>
                <w:spacing w:val="1"/>
                <w:sz w:val="15"/>
                <w:szCs w:val="15"/>
              </w:rPr>
              <w:t>US</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b/>
                <w:bCs/>
                <w:color w:val="231F20"/>
                <w:spacing w:val="4"/>
                <w:sz w:val="15"/>
                <w:szCs w:val="15"/>
              </w:rPr>
              <w:t>D</w:t>
            </w:r>
            <w:r>
              <w:rPr>
                <w:rFonts w:ascii="Gill Sans MT" w:eastAsia="Gill Sans MT" w:hAnsi="Gill Sans MT" w:cs="Gill Sans MT"/>
                <w:b/>
                <w:bCs/>
                <w:color w:val="231F20"/>
                <w:spacing w:val="2"/>
                <w:sz w:val="15"/>
                <w:szCs w:val="15"/>
              </w:rPr>
              <w:t>ro</w:t>
            </w: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3"/>
                <w:sz w:val="15"/>
                <w:szCs w:val="15"/>
              </w:rPr>
              <w:t>g</w:t>
            </w:r>
            <w:r>
              <w:rPr>
                <w:rFonts w:ascii="Gill Sans MT" w:eastAsia="Gill Sans MT" w:hAnsi="Gill Sans MT" w:cs="Gill Sans MT"/>
                <w:b/>
                <w:bCs/>
                <w:color w:val="231F20"/>
                <w:spacing w:val="2"/>
                <w:sz w:val="15"/>
                <w:szCs w:val="15"/>
              </w:rPr>
              <w:t>h</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z w:val="15"/>
                <w:szCs w:val="15"/>
              </w:rPr>
              <w:t>(2012)</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color w:val="231F20"/>
                <w:spacing w:val="3"/>
                <w:sz w:val="15"/>
                <w:szCs w:val="15"/>
              </w:rPr>
              <w:t>(</w:t>
            </w:r>
            <w:r>
              <w:rPr>
                <w:rFonts w:ascii="Gill Sans MT" w:eastAsia="Gill Sans MT" w:hAnsi="Gill Sans MT" w:cs="Gill Sans MT"/>
                <w:color w:val="231F20"/>
                <w:spacing w:val="5"/>
                <w:sz w:val="15"/>
                <w:szCs w:val="15"/>
              </w:rPr>
              <w:t>Rup</w:t>
            </w:r>
            <w:r>
              <w:rPr>
                <w:rFonts w:ascii="Gill Sans MT" w:eastAsia="Gill Sans MT" w:hAnsi="Gill Sans MT" w:cs="Gill Sans MT"/>
                <w:color w:val="231F20"/>
                <w:sz w:val="15"/>
                <w:szCs w:val="15"/>
              </w:rPr>
              <w:t>p</w:t>
            </w:r>
            <w:r>
              <w:rPr>
                <w:rFonts w:ascii="Gill Sans MT" w:eastAsia="Gill Sans MT" w:hAnsi="Gill Sans MT" w:cs="Gill Sans MT"/>
                <w:color w:val="231F20"/>
                <w:spacing w:val="14"/>
                <w:sz w:val="15"/>
                <w:szCs w:val="15"/>
              </w:rPr>
              <w:t xml:space="preserve"> </w:t>
            </w:r>
            <w:r>
              <w:rPr>
                <w:rFonts w:ascii="Gill Sans MT" w:eastAsia="Gill Sans MT" w:hAnsi="Gill Sans MT" w:cs="Gill Sans MT"/>
                <w:color w:val="231F20"/>
                <w:spacing w:val="5"/>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11"/>
                <w:sz w:val="15"/>
                <w:szCs w:val="15"/>
              </w:rPr>
              <w:t xml:space="preserve"> </w:t>
            </w:r>
            <w:r>
              <w:rPr>
                <w:rFonts w:ascii="Gill Sans MT" w:eastAsia="Gill Sans MT" w:hAnsi="Gill Sans MT" w:cs="Gill Sans MT"/>
                <w:color w:val="231F20"/>
                <w:spacing w:val="5"/>
                <w:sz w:val="15"/>
                <w:szCs w:val="15"/>
              </w:rPr>
              <w:t>al.</w:t>
            </w:r>
            <w:r>
              <w:rPr>
                <w:rFonts w:ascii="Gill Sans MT" w:eastAsia="Gill Sans MT" w:hAnsi="Gill Sans MT" w:cs="Gill Sans MT"/>
                <w:color w:val="231F20"/>
                <w:sz w:val="15"/>
                <w:szCs w:val="15"/>
              </w:rPr>
              <w:t>,</w:t>
            </w:r>
            <w:r>
              <w:rPr>
                <w:rFonts w:ascii="Gill Sans MT" w:eastAsia="Gill Sans MT" w:hAnsi="Gill Sans MT" w:cs="Gill Sans MT"/>
                <w:color w:val="231F20"/>
                <w:spacing w:val="12"/>
                <w:sz w:val="15"/>
                <w:szCs w:val="15"/>
              </w:rPr>
              <w:t xml:space="preserve"> </w:t>
            </w:r>
            <w:r>
              <w:rPr>
                <w:rFonts w:ascii="Gill Sans MT" w:eastAsia="Gill Sans MT" w:hAnsi="Gill Sans MT" w:cs="Gill Sans MT"/>
                <w:color w:val="231F20"/>
                <w:spacing w:val="5"/>
                <w:w w:val="101"/>
                <w:sz w:val="15"/>
                <w:szCs w:val="15"/>
              </w:rPr>
              <w:t>2013</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&lt;EndNote&gt;&lt;Cite&gt;&lt;Author&gt;Peterson&lt;/Author&gt;&lt;Year&gt;2013&lt;/Year&gt;&lt;RecNum&gt;1570&lt;/RecNum&gt;&lt;DisplayText&gt;&lt;style face="superscript"&gt;14&lt;/style&gt;&lt;/DisplayText&gt;&lt;record&gt;&lt;rec-number&gt;1570&lt;/rec-number&gt;&lt;foreign-keys&gt;&lt;key app="EN" db-id="wtftd20rmszxx0ettxy5exwdf90wv22s2dsf" timestamp="1428037922"&gt;1570&lt;/key&gt;&lt;/foreign-keys&gt;&lt;ref-type name="Journal Article"&gt;17&lt;/ref-type&gt;&lt;contributors&gt;&lt;authors&gt;&lt;author&gt;T Peterson&lt;/author&gt;&lt;author&gt;M Hoerling&lt;/author&gt;&lt;author&gt;P Stott&lt;/author&gt;&lt;author&gt;S Herring&lt;/author&gt;&lt;/authors&gt;&lt;/contributors&gt;&lt;titles&gt;&lt;title&gt;Explaining Extreme Events of 2012 from a Climate Perspective&lt;/title&gt;&lt;secondary-title&gt;Special Bulletin of the American Meteorological Society&lt;/secondary-title&gt;&lt;/titles&gt;&lt;periodical&gt;&lt;full-title&gt;Special Bulletin of the American Meteorological Society&lt;/full-title&gt;&lt;/periodical&gt;&lt;pages&gt;S1-S106&lt;/pages&gt;&lt;volume&gt;94&lt;/volume&gt;&lt;number&gt;9&lt;/number&gt;&lt;dates&gt;&lt;year&gt;2013&lt;/year&gt;&lt;/dates&gt;&lt;urls&gt;&lt;/urls&gt;&lt;/record&gt;&lt;/Cite&gt;&lt;/EndNote&gt;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14</w:t>
            </w:r>
            <w:r w:rsidR="00E13392">
              <w:rPr>
                <w:rFonts w:ascii="Gill Sans MT" w:eastAsia="Gill Sans MT" w:hAnsi="Gill Sans MT" w:cs="Gill Sans MT"/>
                <w:color w:val="231F20"/>
                <w:w w:val="101"/>
                <w:sz w:val="15"/>
                <w:szCs w:val="15"/>
              </w:rPr>
              <w:fldChar w:fldCharType="end"/>
            </w:r>
          </w:p>
          <w:p w:rsidR="00CC5E3E" w:rsidRDefault="00CC5E3E">
            <w:pPr>
              <w:spacing w:before="8"/>
              <w:ind w:left="101" w:right="-20"/>
              <w:rPr>
                <w:rFonts w:ascii="Gill Sans MT" w:eastAsia="Gill Sans MT" w:hAnsi="Gill Sans MT" w:cs="Gill Sans MT"/>
                <w:sz w:val="15"/>
                <w:szCs w:val="15"/>
              </w:rPr>
            </w:pP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6"/>
                <w:sz w:val="15"/>
                <w:szCs w:val="15"/>
              </w:rPr>
              <w:t>S</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16"/>
                <w:sz w:val="15"/>
                <w:szCs w:val="15"/>
              </w:rPr>
              <w:t xml:space="preserve"> </w:t>
            </w:r>
            <w:r>
              <w:rPr>
                <w:rFonts w:ascii="Gill Sans MT" w:eastAsia="Gill Sans MT" w:hAnsi="Gill Sans MT" w:cs="Gill Sans MT"/>
                <w:b/>
                <w:bCs/>
                <w:color w:val="231F20"/>
                <w:spacing w:val="3"/>
                <w:sz w:val="15"/>
                <w:szCs w:val="15"/>
              </w:rPr>
              <w:t>C</w:t>
            </w:r>
            <w:r>
              <w:rPr>
                <w:rFonts w:ascii="Gill Sans MT" w:eastAsia="Gill Sans MT" w:hAnsi="Gill Sans MT" w:cs="Gill Sans MT"/>
                <w:b/>
                <w:bCs/>
                <w:color w:val="231F20"/>
                <w:spacing w:val="4"/>
                <w:sz w:val="15"/>
                <w:szCs w:val="15"/>
              </w:rPr>
              <w:t>a</w:t>
            </w:r>
            <w:r>
              <w:rPr>
                <w:rFonts w:ascii="Gill Sans MT" w:eastAsia="Gill Sans MT" w:hAnsi="Gill Sans MT" w:cs="Gill Sans MT"/>
                <w:b/>
                <w:bCs/>
                <w:color w:val="231F20"/>
                <w:spacing w:val="3"/>
                <w:sz w:val="15"/>
                <w:szCs w:val="15"/>
              </w:rPr>
              <w:t>li</w:t>
            </w:r>
            <w:r>
              <w:rPr>
                <w:rFonts w:ascii="Gill Sans MT" w:eastAsia="Gill Sans MT" w:hAnsi="Gill Sans MT" w:cs="Gill Sans MT"/>
                <w:b/>
                <w:bCs/>
                <w:color w:val="231F20"/>
                <w:spacing w:val="2"/>
                <w:sz w:val="15"/>
                <w:szCs w:val="15"/>
              </w:rPr>
              <w:t>fo</w:t>
            </w:r>
            <w:r>
              <w:rPr>
                <w:rFonts w:ascii="Gill Sans MT" w:eastAsia="Gill Sans MT" w:hAnsi="Gill Sans MT" w:cs="Gill Sans MT"/>
                <w:b/>
                <w:bCs/>
                <w:color w:val="231F20"/>
                <w:spacing w:val="4"/>
                <w:sz w:val="15"/>
                <w:szCs w:val="15"/>
              </w:rPr>
              <w:t>r</w:t>
            </w:r>
            <w:r>
              <w:rPr>
                <w:rFonts w:ascii="Gill Sans MT" w:eastAsia="Gill Sans MT" w:hAnsi="Gill Sans MT" w:cs="Gill Sans MT"/>
                <w:b/>
                <w:bCs/>
                <w:color w:val="231F20"/>
                <w:spacing w:val="2"/>
                <w:sz w:val="15"/>
                <w:szCs w:val="15"/>
              </w:rPr>
              <w:t>n</w:t>
            </w:r>
            <w:r>
              <w:rPr>
                <w:rFonts w:ascii="Gill Sans MT" w:eastAsia="Gill Sans MT" w:hAnsi="Gill Sans MT" w:cs="Gill Sans MT"/>
                <w:b/>
                <w:bCs/>
                <w:color w:val="231F20"/>
                <w:spacing w:val="3"/>
                <w:sz w:val="15"/>
                <w:szCs w:val="15"/>
              </w:rPr>
              <w:t>i</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8"/>
                <w:sz w:val="15"/>
                <w:szCs w:val="15"/>
              </w:rPr>
              <w:t xml:space="preserve"> </w:t>
            </w:r>
            <w:r>
              <w:rPr>
                <w:rFonts w:ascii="Gill Sans MT" w:eastAsia="Gill Sans MT" w:hAnsi="Gill Sans MT" w:cs="Gill Sans MT"/>
                <w:b/>
                <w:bCs/>
                <w:color w:val="231F20"/>
                <w:spacing w:val="4"/>
                <w:sz w:val="15"/>
                <w:szCs w:val="15"/>
              </w:rPr>
              <w:t>D</w:t>
            </w:r>
            <w:r>
              <w:rPr>
                <w:rFonts w:ascii="Gill Sans MT" w:eastAsia="Gill Sans MT" w:hAnsi="Gill Sans MT" w:cs="Gill Sans MT"/>
                <w:b/>
                <w:bCs/>
                <w:color w:val="231F20"/>
                <w:spacing w:val="2"/>
                <w:sz w:val="15"/>
                <w:szCs w:val="15"/>
              </w:rPr>
              <w:t>ro</w:t>
            </w: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3"/>
                <w:sz w:val="15"/>
                <w:szCs w:val="15"/>
              </w:rPr>
              <w:t>g</w:t>
            </w:r>
            <w:r>
              <w:rPr>
                <w:rFonts w:ascii="Gill Sans MT" w:eastAsia="Gill Sans MT" w:hAnsi="Gill Sans MT" w:cs="Gill Sans MT"/>
                <w:b/>
                <w:bCs/>
                <w:color w:val="231F20"/>
                <w:spacing w:val="2"/>
                <w:sz w:val="15"/>
                <w:szCs w:val="15"/>
              </w:rPr>
              <w:t>h</w:t>
            </w:r>
            <w:r>
              <w:rPr>
                <w:rFonts w:ascii="Gill Sans MT" w:eastAsia="Gill Sans MT" w:hAnsi="Gill Sans MT" w:cs="Gill Sans MT"/>
                <w:b/>
                <w:bCs/>
                <w:color w:val="231F20"/>
                <w:sz w:val="15"/>
                <w:szCs w:val="15"/>
              </w:rPr>
              <w:t>t</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w w:val="101"/>
                <w:sz w:val="15"/>
                <w:szCs w:val="15"/>
              </w:rPr>
              <w:t>(2013)</w:t>
            </w:r>
            <w:r>
              <w:rPr>
                <w:rFonts w:ascii="Gill Sans MT" w:eastAsia="Gill Sans MT" w:hAnsi="Gill Sans MT" w:cs="Gill Sans MT"/>
                <w:sz w:val="15"/>
                <w:szCs w:val="15"/>
              </w:rPr>
              <w:t xml:space="preserve"> </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pacing w:val="1"/>
                <w:sz w:val="15"/>
                <w:szCs w:val="15"/>
              </w:rPr>
              <w:t>F</w:t>
            </w:r>
            <w:r>
              <w:rPr>
                <w:rFonts w:ascii="Gill Sans MT" w:eastAsia="Gill Sans MT" w:hAnsi="Gill Sans MT" w:cs="Gill Sans MT"/>
                <w:color w:val="231F20"/>
                <w:spacing w:val="3"/>
                <w:sz w:val="15"/>
                <w:szCs w:val="15"/>
              </w:rPr>
              <w:t>u</w:t>
            </w:r>
            <w:r>
              <w:rPr>
                <w:rFonts w:ascii="Gill Sans MT" w:eastAsia="Gill Sans MT" w:hAnsi="Gill Sans MT" w:cs="Gill Sans MT"/>
                <w:color w:val="231F20"/>
                <w:spacing w:val="2"/>
                <w:sz w:val="15"/>
                <w:szCs w:val="15"/>
              </w:rPr>
              <w:t>n</w:t>
            </w:r>
            <w:r>
              <w:rPr>
                <w:rFonts w:ascii="Gill Sans MT" w:eastAsia="Gill Sans MT" w:hAnsi="Gill Sans MT" w:cs="Gill Sans MT"/>
                <w:color w:val="231F20"/>
                <w:sz w:val="15"/>
                <w:szCs w:val="15"/>
              </w:rPr>
              <w:t>k</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z w:val="15"/>
                <w:szCs w:val="15"/>
              </w:rPr>
              <w:t>,</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sz w:val="15"/>
                <w:szCs w:val="15"/>
              </w:rPr>
              <w:t>2014</w:t>
            </w:r>
            <w:r>
              <w:rPr>
                <w:rFonts w:ascii="Gill Sans MT" w:eastAsia="Gill Sans MT" w:hAnsi="Gill Sans MT" w:cs="Gill Sans MT"/>
                <w:color w:val="231F20"/>
                <w:sz w:val="15"/>
                <w:szCs w:val="15"/>
              </w:rPr>
              <w:t>)</w:t>
            </w:r>
            <w:r w:rsidR="00E13392">
              <w:rPr>
                <w:rFonts w:ascii="Gill Sans MT" w:eastAsia="Gill Sans MT" w:hAnsi="Gill Sans MT" w:cs="Gill Sans MT"/>
                <w:color w:val="231F20"/>
                <w:sz w:val="15"/>
                <w:szCs w:val="15"/>
              </w:rPr>
              <w:fldChar w:fldCharType="begin"/>
            </w:r>
            <w:r>
              <w:rPr>
                <w:rFonts w:ascii="Gill Sans MT" w:eastAsia="Gill Sans MT" w:hAnsi="Gill Sans MT" w:cs="Gill Sans MT"/>
                <w:color w:val="231F20"/>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sz w:val="15"/>
                <w:szCs w:val="15"/>
              </w:rPr>
              <w:fldChar w:fldCharType="separate"/>
            </w:r>
            <w:r w:rsidRPr="00CC5E3E">
              <w:rPr>
                <w:rFonts w:ascii="Gill Sans MT" w:eastAsia="Gill Sans MT" w:hAnsi="Gill Sans MT" w:cs="Gill Sans MT"/>
                <w:noProof/>
                <w:color w:val="231F20"/>
                <w:sz w:val="15"/>
                <w:szCs w:val="15"/>
                <w:vertAlign w:val="superscript"/>
              </w:rPr>
              <w:t>15</w:t>
            </w:r>
            <w:r w:rsidR="00E13392">
              <w:rPr>
                <w:rFonts w:ascii="Gill Sans MT" w:eastAsia="Gill Sans MT" w:hAnsi="Gill Sans MT" w:cs="Gill Sans MT"/>
                <w:color w:val="231F20"/>
                <w:sz w:val="15"/>
                <w:szCs w:val="15"/>
              </w:rPr>
              <w:fldChar w:fldCharType="end"/>
            </w:r>
            <w:r>
              <w:rPr>
                <w:rFonts w:ascii="Gill Sans MT" w:eastAsia="Gill Sans MT" w:hAnsi="Gill Sans MT" w:cs="Gill Sans MT"/>
                <w:color w:val="231F20"/>
                <w:sz w:val="15"/>
                <w:szCs w:val="15"/>
              </w:rPr>
              <w:t>;</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2"/>
                <w:sz w:val="15"/>
                <w:szCs w:val="15"/>
              </w:rPr>
              <w:t>W</w:t>
            </w:r>
            <w:r>
              <w:rPr>
                <w:rFonts w:ascii="Gill Sans MT" w:eastAsia="Gill Sans MT" w:hAnsi="Gill Sans MT" w:cs="Gill Sans MT"/>
                <w:color w:val="231F20"/>
                <w:spacing w:val="3"/>
                <w:sz w:val="15"/>
                <w:szCs w:val="15"/>
              </w:rPr>
              <w:t>a</w:t>
            </w:r>
            <w:r>
              <w:rPr>
                <w:rFonts w:ascii="Gill Sans MT" w:eastAsia="Gill Sans MT" w:hAnsi="Gill Sans MT" w:cs="Gill Sans MT"/>
                <w:color w:val="231F20"/>
                <w:spacing w:val="2"/>
                <w:sz w:val="15"/>
                <w:szCs w:val="15"/>
              </w:rPr>
              <w:t>n</w:t>
            </w:r>
            <w:r>
              <w:rPr>
                <w:rFonts w:ascii="Gill Sans MT" w:eastAsia="Gill Sans MT" w:hAnsi="Gill Sans MT" w:cs="Gill Sans MT"/>
                <w:color w:val="231F20"/>
                <w:sz w:val="15"/>
                <w:szCs w:val="15"/>
              </w:rPr>
              <w:t>g</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3"/>
                <w:sz w:val="15"/>
                <w:szCs w:val="15"/>
              </w:rPr>
              <w:t>a</w:t>
            </w:r>
            <w:r>
              <w:rPr>
                <w:rFonts w:ascii="Gill Sans MT" w:eastAsia="Gill Sans MT" w:hAnsi="Gill Sans MT" w:cs="Gill Sans MT"/>
                <w:color w:val="231F20"/>
                <w:spacing w:val="2"/>
                <w:sz w:val="15"/>
                <w:szCs w:val="15"/>
              </w:rPr>
              <w:t>n</w:t>
            </w:r>
            <w:r>
              <w:rPr>
                <w:rFonts w:ascii="Gill Sans MT" w:eastAsia="Gill Sans MT" w:hAnsi="Gill Sans MT" w:cs="Gill Sans MT"/>
                <w:color w:val="231F20"/>
                <w:sz w:val="15"/>
                <w:szCs w:val="15"/>
              </w:rPr>
              <w:t>d</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pacing w:val="4"/>
                <w:sz w:val="15"/>
                <w:szCs w:val="15"/>
              </w:rPr>
              <w:t>S</w:t>
            </w:r>
            <w:r>
              <w:rPr>
                <w:rFonts w:ascii="Gill Sans MT" w:eastAsia="Gill Sans MT" w:hAnsi="Gill Sans MT" w:cs="Gill Sans MT"/>
                <w:color w:val="231F20"/>
                <w:spacing w:val="3"/>
                <w:sz w:val="15"/>
                <w:szCs w:val="15"/>
              </w:rPr>
              <w:t>c</w:t>
            </w:r>
            <w:r>
              <w:rPr>
                <w:rFonts w:ascii="Gill Sans MT" w:eastAsia="Gill Sans MT" w:hAnsi="Gill Sans MT" w:cs="Gill Sans MT"/>
                <w:color w:val="231F20"/>
                <w:spacing w:val="2"/>
                <w:sz w:val="15"/>
                <w:szCs w:val="15"/>
              </w:rPr>
              <w:t>hu</w:t>
            </w:r>
            <w:r>
              <w:rPr>
                <w:rFonts w:ascii="Gill Sans MT" w:eastAsia="Gill Sans MT" w:hAnsi="Gill Sans MT" w:cs="Gill Sans MT"/>
                <w:color w:val="231F20"/>
                <w:spacing w:val="3"/>
                <w:sz w:val="15"/>
                <w:szCs w:val="15"/>
              </w:rPr>
              <w:t>be</w:t>
            </w:r>
            <w:r>
              <w:rPr>
                <w:rFonts w:ascii="Gill Sans MT" w:eastAsia="Gill Sans MT" w:hAnsi="Gill Sans MT" w:cs="Gill Sans MT"/>
                <w:color w:val="231F20"/>
                <w:spacing w:val="7"/>
                <w:sz w:val="15"/>
                <w:szCs w:val="15"/>
              </w:rPr>
              <w:t>r</w:t>
            </w:r>
            <w:r>
              <w:rPr>
                <w:rFonts w:ascii="Gill Sans MT" w:eastAsia="Gill Sans MT" w:hAnsi="Gill Sans MT" w:cs="Gill Sans MT"/>
                <w:color w:val="231F20"/>
                <w:spacing w:val="5"/>
                <w:sz w:val="15"/>
                <w:szCs w:val="15"/>
              </w:rPr>
              <w:t>t</w:t>
            </w:r>
            <w:r>
              <w:rPr>
                <w:rFonts w:ascii="Gill Sans MT" w:eastAsia="Gill Sans MT" w:hAnsi="Gill Sans MT" w:cs="Gill Sans MT"/>
                <w:color w:val="231F20"/>
                <w:sz w:val="15"/>
                <w:szCs w:val="15"/>
              </w:rPr>
              <w:t>,</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4"/>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p>
          <w:p w:rsidR="00CC5E3E" w:rsidRDefault="00CC5E3E">
            <w:pPr>
              <w:spacing w:line="200" w:lineRule="exact"/>
              <w:ind w:left="40"/>
              <w:rPr>
                <w:rFonts w:ascii="Gill Sans MT" w:hAnsi="Gill Sans MT"/>
                <w:sz w:val="15"/>
                <w:szCs w:val="15"/>
              </w:rPr>
            </w:pPr>
          </w:p>
          <w:p w:rsidR="00CC5E3E" w:rsidRDefault="00CC5E3E">
            <w:pPr>
              <w:jc w:val="both"/>
              <w:rPr>
                <w:rFonts w:ascii="Gill Sans MT" w:hAnsi="Gill Sans MT" w:cs="Times New Roman"/>
                <w:sz w:val="15"/>
                <w:szCs w:val="15"/>
              </w:rPr>
            </w:pPr>
          </w:p>
        </w:tc>
        <w:tc>
          <w:tcPr>
            <w:tcW w:w="992"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sz w:val="15"/>
                <w:szCs w:val="15"/>
              </w:rPr>
            </w:pPr>
            <w:r>
              <w:rPr>
                <w:rFonts w:ascii="Gill Sans MT" w:hAnsi="Gill Sans MT" w:cs="Times New Roman"/>
                <w:sz w:val="15"/>
                <w:szCs w:val="15"/>
              </w:rPr>
              <w:t>9</w:t>
            </w:r>
          </w:p>
        </w:tc>
      </w:tr>
      <w:tr w:rsidR="00CC5E3E" w:rsidTr="00CC5E3E">
        <w:tc>
          <w:tcPr>
            <w:tcW w:w="1135" w:type="dxa"/>
            <w:tcBorders>
              <w:top w:val="single" w:sz="4" w:space="0" w:color="auto"/>
              <w:left w:val="single" w:sz="4" w:space="0" w:color="auto"/>
              <w:bottom w:val="single" w:sz="4" w:space="0" w:color="auto"/>
              <w:right w:val="single" w:sz="4" w:space="0" w:color="auto"/>
            </w:tcBorders>
            <w:hideMark/>
          </w:tcPr>
          <w:p w:rsidR="00CC5E3E" w:rsidRDefault="00CC5E3E">
            <w:pPr>
              <w:jc w:val="both"/>
              <w:rPr>
                <w:rFonts w:ascii="Gill Sans MT" w:hAnsi="Gill Sans MT" w:cs="Times New Roman"/>
                <w:b/>
                <w:sz w:val="15"/>
                <w:szCs w:val="15"/>
              </w:rPr>
            </w:pPr>
            <w:r>
              <w:rPr>
                <w:rFonts w:ascii="Gill Sans MT" w:hAnsi="Gill Sans MT" w:cs="Times New Roman"/>
                <w:b/>
                <w:sz w:val="15"/>
                <w:szCs w:val="15"/>
              </w:rPr>
              <w:t>Storms</w:t>
            </w:r>
          </w:p>
        </w:tc>
        <w:tc>
          <w:tcPr>
            <w:tcW w:w="2835" w:type="dxa"/>
            <w:tcBorders>
              <w:top w:val="single" w:sz="4" w:space="0" w:color="auto"/>
              <w:left w:val="single" w:sz="4" w:space="0" w:color="auto"/>
              <w:bottom w:val="single" w:sz="4" w:space="0" w:color="auto"/>
              <w:right w:val="single" w:sz="4" w:space="0" w:color="auto"/>
            </w:tcBorders>
            <w:hideMark/>
          </w:tcPr>
          <w:p w:rsidR="00CC5E3E" w:rsidRDefault="00CC5E3E">
            <w:pPr>
              <w:spacing w:before="33" w:line="249" w:lineRule="auto"/>
              <w:ind w:left="118" w:right="200"/>
              <w:rPr>
                <w:rFonts w:ascii="Gill Sans MT" w:eastAsia="Gill Sans MT" w:hAnsi="Gill Sans MT" w:cs="Gill Sans MT"/>
                <w:sz w:val="15"/>
                <w:szCs w:val="15"/>
              </w:rPr>
            </w:pPr>
            <w:r>
              <w:rPr>
                <w:rFonts w:ascii="Gill Sans MT" w:eastAsia="Gill Sans MT" w:hAnsi="Gill Sans MT" w:cs="Gill Sans MT"/>
                <w:color w:val="231F20"/>
                <w:spacing w:val="3"/>
                <w:sz w:val="15"/>
                <w:szCs w:val="15"/>
              </w:rPr>
              <w:t>T</w:t>
            </w:r>
            <w:r>
              <w:rPr>
                <w:rFonts w:ascii="Gill Sans MT" w:eastAsia="Gill Sans MT" w:hAnsi="Gill Sans MT" w:cs="Gill Sans MT"/>
                <w:color w:val="231F20"/>
                <w:spacing w:val="2"/>
                <w:sz w:val="15"/>
                <w:szCs w:val="15"/>
              </w:rPr>
              <w:t>h</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pacing w:val="1"/>
                <w:sz w:val="15"/>
                <w:szCs w:val="15"/>
              </w:rPr>
              <w:t>r</w:t>
            </w:r>
            <w:r>
              <w:rPr>
                <w:rFonts w:ascii="Gill Sans MT" w:eastAsia="Gill Sans MT" w:hAnsi="Gill Sans MT" w:cs="Gill Sans MT"/>
                <w:color w:val="231F20"/>
                <w:sz w:val="15"/>
                <w:szCs w:val="15"/>
              </w:rPr>
              <w:t>e</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sz w:val="15"/>
                <w:szCs w:val="15"/>
              </w:rPr>
              <w:t>wa</w:t>
            </w:r>
            <w:r>
              <w:rPr>
                <w:rFonts w:ascii="Gill Sans MT" w:eastAsia="Gill Sans MT" w:hAnsi="Gill Sans MT" w:cs="Gill Sans MT"/>
                <w:color w:val="231F20"/>
                <w:sz w:val="15"/>
                <w:szCs w:val="15"/>
              </w:rPr>
              <w:t>s</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pacing w:val="2"/>
                <w:sz w:val="15"/>
                <w:szCs w:val="15"/>
              </w:rPr>
              <w:t>n</w:t>
            </w:r>
            <w:r>
              <w:rPr>
                <w:rFonts w:ascii="Gill Sans MT" w:eastAsia="Gill Sans MT" w:hAnsi="Gill Sans MT" w:cs="Gill Sans MT"/>
                <w:color w:val="231F20"/>
                <w:sz w:val="15"/>
                <w:szCs w:val="15"/>
              </w:rPr>
              <w:t>o</w:t>
            </w:r>
            <w:r>
              <w:rPr>
                <w:rFonts w:ascii="Gill Sans MT" w:eastAsia="Gill Sans MT" w:hAnsi="Gill Sans MT" w:cs="Gill Sans MT"/>
                <w:color w:val="231F20"/>
                <w:spacing w:val="3"/>
                <w:sz w:val="15"/>
                <w:szCs w:val="15"/>
              </w:rPr>
              <w:t xml:space="preserve"> c</w:t>
            </w:r>
            <w:r>
              <w:rPr>
                <w:rFonts w:ascii="Gill Sans MT" w:eastAsia="Gill Sans MT" w:hAnsi="Gill Sans MT" w:cs="Gill Sans MT"/>
                <w:color w:val="231F20"/>
                <w:spacing w:val="2"/>
                <w:sz w:val="15"/>
                <w:szCs w:val="15"/>
              </w:rPr>
              <w:t>l</w:t>
            </w:r>
            <w:r>
              <w:rPr>
                <w:rFonts w:ascii="Gill Sans MT" w:eastAsia="Gill Sans MT" w:hAnsi="Gill Sans MT" w:cs="Gill Sans MT"/>
                <w:color w:val="231F20"/>
                <w:spacing w:val="5"/>
                <w:sz w:val="15"/>
                <w:szCs w:val="15"/>
              </w:rPr>
              <w:t>e</w:t>
            </w:r>
            <w:r>
              <w:rPr>
                <w:rFonts w:ascii="Gill Sans MT" w:eastAsia="Gill Sans MT" w:hAnsi="Gill Sans MT" w:cs="Gill Sans MT"/>
                <w:color w:val="231F20"/>
                <w:spacing w:val="2"/>
                <w:sz w:val="15"/>
                <w:szCs w:val="15"/>
              </w:rPr>
              <w:t>a</w:t>
            </w:r>
            <w:r>
              <w:rPr>
                <w:rFonts w:ascii="Gill Sans MT" w:eastAsia="Gill Sans MT" w:hAnsi="Gill Sans MT" w:cs="Gill Sans MT"/>
                <w:color w:val="231F20"/>
                <w:sz w:val="15"/>
                <w:szCs w:val="15"/>
              </w:rPr>
              <w:t>r</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z w:val="15"/>
                <w:szCs w:val="15"/>
              </w:rPr>
              <w:t>e</w:t>
            </w:r>
            <w:r>
              <w:rPr>
                <w:rFonts w:ascii="Gill Sans MT" w:eastAsia="Gill Sans MT" w:hAnsi="Gill Sans MT" w:cs="Gill Sans MT"/>
                <w:color w:val="231F20"/>
                <w:spacing w:val="3"/>
                <w:sz w:val="15"/>
                <w:szCs w:val="15"/>
              </w:rPr>
              <w:t>v</w:t>
            </w:r>
            <w:r>
              <w:rPr>
                <w:rFonts w:ascii="Gill Sans MT" w:eastAsia="Gill Sans MT" w:hAnsi="Gill Sans MT" w:cs="Gill Sans MT"/>
                <w:color w:val="231F20"/>
                <w:spacing w:val="1"/>
                <w:sz w:val="15"/>
                <w:szCs w:val="15"/>
              </w:rPr>
              <w:t>i</w:t>
            </w:r>
            <w:r>
              <w:rPr>
                <w:rFonts w:ascii="Gill Sans MT" w:eastAsia="Gill Sans MT" w:hAnsi="Gill Sans MT" w:cs="Gill Sans MT"/>
                <w:color w:val="231F20"/>
                <w:spacing w:val="3"/>
                <w:sz w:val="15"/>
                <w:szCs w:val="15"/>
              </w:rPr>
              <w:t>d</w:t>
            </w:r>
            <w:r>
              <w:rPr>
                <w:rFonts w:ascii="Gill Sans MT" w:eastAsia="Gill Sans MT" w:hAnsi="Gill Sans MT" w:cs="Gill Sans MT"/>
                <w:color w:val="231F20"/>
                <w:spacing w:val="4"/>
                <w:sz w:val="15"/>
                <w:szCs w:val="15"/>
              </w:rPr>
              <w:t>e</w:t>
            </w:r>
            <w:r>
              <w:rPr>
                <w:rFonts w:ascii="Gill Sans MT" w:eastAsia="Gill Sans MT" w:hAnsi="Gill Sans MT" w:cs="Gill Sans MT"/>
                <w:color w:val="231F20"/>
                <w:spacing w:val="2"/>
                <w:sz w:val="15"/>
                <w:szCs w:val="15"/>
              </w:rPr>
              <w:t>nc</w:t>
            </w:r>
            <w:r>
              <w:rPr>
                <w:rFonts w:ascii="Gill Sans MT" w:eastAsia="Gill Sans MT" w:hAnsi="Gill Sans MT" w:cs="Gill Sans MT"/>
                <w:color w:val="231F20"/>
                <w:sz w:val="15"/>
                <w:szCs w:val="15"/>
              </w:rPr>
              <w:t>e</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2"/>
                <w:w w:val="101"/>
                <w:sz w:val="15"/>
                <w:szCs w:val="15"/>
              </w:rPr>
              <w:t>fo</w:t>
            </w:r>
            <w:r>
              <w:rPr>
                <w:rFonts w:ascii="Gill Sans MT" w:eastAsia="Gill Sans MT" w:hAnsi="Gill Sans MT" w:cs="Gill Sans MT"/>
                <w:color w:val="231F20"/>
                <w:w w:val="101"/>
                <w:sz w:val="15"/>
                <w:szCs w:val="15"/>
              </w:rPr>
              <w:t xml:space="preserve">r </w:t>
            </w:r>
            <w:r>
              <w:rPr>
                <w:rFonts w:ascii="Gill Sans MT" w:eastAsia="Gill Sans MT" w:hAnsi="Gill Sans MT" w:cs="Gill Sans MT"/>
                <w:color w:val="231F20"/>
                <w:spacing w:val="2"/>
                <w:sz w:val="15"/>
                <w:szCs w:val="15"/>
              </w:rPr>
              <w:t>h</w:t>
            </w:r>
            <w:r>
              <w:rPr>
                <w:rFonts w:ascii="Gill Sans MT" w:eastAsia="Gill Sans MT" w:hAnsi="Gill Sans MT" w:cs="Gill Sans MT"/>
                <w:color w:val="231F20"/>
                <w:spacing w:val="3"/>
                <w:sz w:val="15"/>
                <w:szCs w:val="15"/>
              </w:rPr>
              <w:t>uma</w:t>
            </w:r>
            <w:r>
              <w:rPr>
                <w:rFonts w:ascii="Gill Sans MT" w:eastAsia="Gill Sans MT" w:hAnsi="Gill Sans MT" w:cs="Gill Sans MT"/>
                <w:color w:val="231F20"/>
                <w:sz w:val="15"/>
                <w:szCs w:val="15"/>
              </w:rPr>
              <w:t>n</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2"/>
                <w:sz w:val="15"/>
                <w:szCs w:val="15"/>
              </w:rPr>
              <w:t>in</w:t>
            </w:r>
            <w:r>
              <w:rPr>
                <w:rFonts w:ascii="Gill Sans MT" w:eastAsia="Gill Sans MT" w:hAnsi="Gill Sans MT" w:cs="Gill Sans MT"/>
                <w:color w:val="231F20"/>
                <w:spacing w:val="6"/>
                <w:sz w:val="15"/>
                <w:szCs w:val="15"/>
              </w:rPr>
              <w:t>f</w:t>
            </w:r>
            <w:r>
              <w:rPr>
                <w:rFonts w:ascii="Gill Sans MT" w:eastAsia="Gill Sans MT" w:hAnsi="Gill Sans MT" w:cs="Gill Sans MT"/>
                <w:color w:val="231F20"/>
                <w:spacing w:val="2"/>
                <w:sz w:val="15"/>
                <w:szCs w:val="15"/>
              </w:rPr>
              <w:t>lu</w:t>
            </w:r>
            <w:r>
              <w:rPr>
                <w:rFonts w:ascii="Gill Sans MT" w:eastAsia="Gill Sans MT" w:hAnsi="Gill Sans MT" w:cs="Gill Sans MT"/>
                <w:color w:val="231F20"/>
                <w:spacing w:val="4"/>
                <w:sz w:val="15"/>
                <w:szCs w:val="15"/>
              </w:rPr>
              <w:t>e</w:t>
            </w:r>
            <w:r>
              <w:rPr>
                <w:rFonts w:ascii="Gill Sans MT" w:eastAsia="Gill Sans MT" w:hAnsi="Gill Sans MT" w:cs="Gill Sans MT"/>
                <w:color w:val="231F20"/>
                <w:spacing w:val="2"/>
                <w:sz w:val="15"/>
                <w:szCs w:val="15"/>
              </w:rPr>
              <w:t>nc</w:t>
            </w:r>
            <w:r>
              <w:rPr>
                <w:rFonts w:ascii="Gill Sans MT" w:eastAsia="Gill Sans MT" w:hAnsi="Gill Sans MT" w:cs="Gill Sans MT"/>
                <w:color w:val="231F20"/>
                <w:sz w:val="15"/>
                <w:szCs w:val="15"/>
              </w:rPr>
              <w:t>e</w:t>
            </w:r>
            <w:r>
              <w:rPr>
                <w:rFonts w:ascii="Gill Sans MT" w:eastAsia="Gill Sans MT" w:hAnsi="Gill Sans MT" w:cs="Gill Sans MT"/>
                <w:color w:val="231F20"/>
                <w:spacing w:val="6"/>
                <w:sz w:val="15"/>
                <w:szCs w:val="15"/>
              </w:rPr>
              <w:t xml:space="preserve"> </w:t>
            </w:r>
            <w:r>
              <w:rPr>
                <w:rFonts w:ascii="Gill Sans MT" w:eastAsia="Gill Sans MT" w:hAnsi="Gill Sans MT" w:cs="Gill Sans MT"/>
                <w:color w:val="231F20"/>
                <w:spacing w:val="2"/>
                <w:sz w:val="15"/>
                <w:szCs w:val="15"/>
              </w:rPr>
              <w:t>o</w:t>
            </w:r>
            <w:r>
              <w:rPr>
                <w:rFonts w:ascii="Gill Sans MT" w:eastAsia="Gill Sans MT" w:hAnsi="Gill Sans MT" w:cs="Gill Sans MT"/>
                <w:color w:val="231F20"/>
                <w:sz w:val="15"/>
                <w:szCs w:val="15"/>
              </w:rPr>
              <w:t>n</w:t>
            </w:r>
            <w:r>
              <w:rPr>
                <w:rFonts w:ascii="Gill Sans MT" w:eastAsia="Gill Sans MT" w:hAnsi="Gill Sans MT" w:cs="Gill Sans MT"/>
                <w:color w:val="231F20"/>
                <w:spacing w:val="3"/>
                <w:sz w:val="15"/>
                <w:szCs w:val="15"/>
              </w:rPr>
              <w:t xml:space="preserve"> a</w:t>
            </w:r>
            <w:r>
              <w:rPr>
                <w:rFonts w:ascii="Gill Sans MT" w:eastAsia="Gill Sans MT" w:hAnsi="Gill Sans MT" w:cs="Gill Sans MT"/>
                <w:color w:val="231F20"/>
                <w:sz w:val="15"/>
                <w:szCs w:val="15"/>
              </w:rPr>
              <w:t>ny</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pacing w:val="2"/>
                <w:sz w:val="15"/>
                <w:szCs w:val="15"/>
              </w:rPr>
              <w:t>o</w:t>
            </w:r>
            <w:r>
              <w:rPr>
                <w:rFonts w:ascii="Gill Sans MT" w:eastAsia="Gill Sans MT" w:hAnsi="Gill Sans MT" w:cs="Gill Sans MT"/>
                <w:color w:val="231F20"/>
                <w:sz w:val="15"/>
                <w:szCs w:val="15"/>
              </w:rPr>
              <w:t>f</w:t>
            </w:r>
            <w:r>
              <w:rPr>
                <w:rFonts w:ascii="Gill Sans MT" w:eastAsia="Gill Sans MT" w:hAnsi="Gill Sans MT" w:cs="Gill Sans MT"/>
                <w:color w:val="231F20"/>
                <w:spacing w:val="2"/>
                <w:sz w:val="15"/>
                <w:szCs w:val="15"/>
              </w:rPr>
              <w:t xml:space="preserve"> </w:t>
            </w:r>
            <w:r>
              <w:rPr>
                <w:rFonts w:ascii="Gill Sans MT" w:eastAsia="Gill Sans MT" w:hAnsi="Gill Sans MT" w:cs="Gill Sans MT"/>
                <w:color w:val="231F20"/>
                <w:spacing w:val="4"/>
                <w:sz w:val="15"/>
                <w:szCs w:val="15"/>
              </w:rPr>
              <w:t>t</w:t>
            </w:r>
            <w:r>
              <w:rPr>
                <w:rFonts w:ascii="Gill Sans MT" w:eastAsia="Gill Sans MT" w:hAnsi="Gill Sans MT" w:cs="Gill Sans MT"/>
                <w:color w:val="231F20"/>
                <w:spacing w:val="2"/>
                <w:sz w:val="15"/>
                <w:szCs w:val="15"/>
              </w:rPr>
              <w:t>h</w:t>
            </w:r>
            <w:r>
              <w:rPr>
                <w:rFonts w:ascii="Gill Sans MT" w:eastAsia="Gill Sans MT" w:hAnsi="Gill Sans MT" w:cs="Gill Sans MT"/>
                <w:color w:val="231F20"/>
                <w:sz w:val="15"/>
                <w:szCs w:val="15"/>
              </w:rPr>
              <w:t>e</w:t>
            </w:r>
            <w:r>
              <w:rPr>
                <w:rFonts w:ascii="Gill Sans MT" w:eastAsia="Gill Sans MT" w:hAnsi="Gill Sans MT" w:cs="Gill Sans MT"/>
                <w:color w:val="231F20"/>
                <w:spacing w:val="3"/>
                <w:sz w:val="15"/>
                <w:szCs w:val="15"/>
              </w:rPr>
              <w:t xml:space="preserve"> </w:t>
            </w:r>
            <w:r>
              <w:rPr>
                <w:rFonts w:ascii="Gill Sans MT" w:eastAsia="Gill Sans MT" w:hAnsi="Gill Sans MT" w:cs="Gill Sans MT"/>
                <w:color w:val="231F20"/>
                <w:spacing w:val="4"/>
                <w:w w:val="101"/>
                <w:sz w:val="15"/>
                <w:szCs w:val="15"/>
              </w:rPr>
              <w:t>fou</w:t>
            </w:r>
            <w:r>
              <w:rPr>
                <w:rFonts w:ascii="Gill Sans MT" w:eastAsia="Gill Sans MT" w:hAnsi="Gill Sans MT" w:cs="Gill Sans MT"/>
                <w:color w:val="231F20"/>
                <w:w w:val="101"/>
                <w:sz w:val="15"/>
                <w:szCs w:val="15"/>
              </w:rPr>
              <w:t xml:space="preserve">r </w:t>
            </w:r>
            <w:r>
              <w:rPr>
                <w:rFonts w:ascii="Gill Sans MT" w:eastAsia="Gill Sans MT" w:hAnsi="Gill Sans MT" w:cs="Gill Sans MT"/>
                <w:color w:val="231F20"/>
                <w:sz w:val="15"/>
                <w:szCs w:val="15"/>
              </w:rPr>
              <w:t>v</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pacing w:val="7"/>
                <w:sz w:val="15"/>
                <w:szCs w:val="15"/>
              </w:rPr>
              <w:t>r</w:t>
            </w:r>
            <w:r>
              <w:rPr>
                <w:rFonts w:ascii="Gill Sans MT" w:eastAsia="Gill Sans MT" w:hAnsi="Gill Sans MT" w:cs="Gill Sans MT"/>
                <w:color w:val="231F20"/>
                <w:sz w:val="15"/>
                <w:szCs w:val="15"/>
              </w:rPr>
              <w:t>y</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2"/>
                <w:sz w:val="15"/>
                <w:szCs w:val="15"/>
              </w:rPr>
              <w:t>in</w:t>
            </w:r>
            <w:r>
              <w:rPr>
                <w:rFonts w:ascii="Gill Sans MT" w:eastAsia="Gill Sans MT" w:hAnsi="Gill Sans MT" w:cs="Gill Sans MT"/>
                <w:color w:val="231F20"/>
                <w:spacing w:val="3"/>
                <w:sz w:val="15"/>
                <w:szCs w:val="15"/>
              </w:rPr>
              <w:t>ten</w:t>
            </w:r>
            <w:r>
              <w:rPr>
                <w:rFonts w:ascii="Gill Sans MT" w:eastAsia="Gill Sans MT" w:hAnsi="Gill Sans MT" w:cs="Gill Sans MT"/>
                <w:color w:val="231F20"/>
                <w:spacing w:val="1"/>
                <w:sz w:val="15"/>
                <w:szCs w:val="15"/>
              </w:rPr>
              <w:t>s</w:t>
            </w:r>
            <w:r>
              <w:rPr>
                <w:rFonts w:ascii="Gill Sans MT" w:eastAsia="Gill Sans MT" w:hAnsi="Gill Sans MT" w:cs="Gill Sans MT"/>
                <w:color w:val="231F20"/>
                <w:sz w:val="15"/>
                <w:szCs w:val="15"/>
              </w:rPr>
              <w:t>e</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3"/>
                <w:sz w:val="15"/>
                <w:szCs w:val="15"/>
              </w:rPr>
              <w:t>st</w:t>
            </w:r>
            <w:r>
              <w:rPr>
                <w:rFonts w:ascii="Gill Sans MT" w:eastAsia="Gill Sans MT" w:hAnsi="Gill Sans MT" w:cs="Gill Sans MT"/>
                <w:color w:val="231F20"/>
                <w:spacing w:val="2"/>
                <w:sz w:val="15"/>
                <w:szCs w:val="15"/>
              </w:rPr>
              <w:t>o</w:t>
            </w:r>
            <w:r>
              <w:rPr>
                <w:rFonts w:ascii="Gill Sans MT" w:eastAsia="Gill Sans MT" w:hAnsi="Gill Sans MT" w:cs="Gill Sans MT"/>
                <w:color w:val="231F20"/>
                <w:spacing w:val="3"/>
                <w:sz w:val="15"/>
                <w:szCs w:val="15"/>
              </w:rPr>
              <w:t>rm</w:t>
            </w:r>
            <w:r>
              <w:rPr>
                <w:rFonts w:ascii="Gill Sans MT" w:eastAsia="Gill Sans MT" w:hAnsi="Gill Sans MT" w:cs="Gill Sans MT"/>
                <w:color w:val="231F20"/>
                <w:sz w:val="15"/>
                <w:szCs w:val="15"/>
              </w:rPr>
              <w:t>s</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3"/>
                <w:w w:val="101"/>
                <w:sz w:val="15"/>
                <w:szCs w:val="15"/>
              </w:rPr>
              <w:t>exa</w:t>
            </w:r>
            <w:r>
              <w:rPr>
                <w:rFonts w:ascii="Gill Sans MT" w:eastAsia="Gill Sans MT" w:hAnsi="Gill Sans MT" w:cs="Gill Sans MT"/>
                <w:color w:val="231F20"/>
                <w:spacing w:val="2"/>
                <w:w w:val="101"/>
                <w:sz w:val="15"/>
                <w:szCs w:val="15"/>
              </w:rPr>
              <w:t>min</w:t>
            </w:r>
            <w:r>
              <w:rPr>
                <w:rFonts w:ascii="Gill Sans MT" w:eastAsia="Gill Sans MT" w:hAnsi="Gill Sans MT" w:cs="Gill Sans MT"/>
                <w:color w:val="231F20"/>
                <w:spacing w:val="3"/>
                <w:w w:val="101"/>
                <w:sz w:val="15"/>
                <w:szCs w:val="15"/>
              </w:rPr>
              <w:t>e</w:t>
            </w:r>
            <w:r>
              <w:rPr>
                <w:rFonts w:ascii="Gill Sans MT" w:eastAsia="Gill Sans MT" w:hAnsi="Gill Sans MT" w:cs="Gill Sans MT"/>
                <w:color w:val="231F20"/>
                <w:spacing w:val="5"/>
                <w:w w:val="101"/>
                <w:sz w:val="15"/>
                <w:szCs w:val="15"/>
              </w:rPr>
              <w:t>d</w:t>
            </w:r>
            <w:r>
              <w:rPr>
                <w:rFonts w:ascii="Gill Sans MT" w:eastAsia="Gill Sans MT" w:hAnsi="Gill Sans MT" w:cs="Gill Sans MT"/>
                <w:color w:val="231F20"/>
                <w:w w:val="101"/>
                <w:sz w:val="15"/>
                <w:szCs w:val="15"/>
              </w:rPr>
              <w:t>.</w:t>
            </w:r>
          </w:p>
        </w:tc>
        <w:tc>
          <w:tcPr>
            <w:tcW w:w="4111" w:type="dxa"/>
            <w:tcBorders>
              <w:top w:val="single" w:sz="4" w:space="0" w:color="auto"/>
              <w:left w:val="single" w:sz="4" w:space="0" w:color="auto"/>
              <w:bottom w:val="single" w:sz="4" w:space="0" w:color="auto"/>
              <w:right w:val="single" w:sz="4" w:space="0" w:color="auto"/>
            </w:tcBorders>
          </w:tcPr>
          <w:p w:rsidR="00CC5E3E" w:rsidRDefault="00CC5E3E">
            <w:pPr>
              <w:jc w:val="both"/>
              <w:rPr>
                <w:rFonts w:ascii="Gill Sans MT" w:hAnsi="Gill Sans MT" w:cs="Times New Roman"/>
                <w:sz w:val="15"/>
                <w:szCs w:val="15"/>
              </w:rPr>
            </w:pPr>
          </w:p>
        </w:tc>
        <w:tc>
          <w:tcPr>
            <w:tcW w:w="2835" w:type="dxa"/>
            <w:tcBorders>
              <w:top w:val="single" w:sz="4" w:space="0" w:color="auto"/>
              <w:left w:val="single" w:sz="4" w:space="0" w:color="auto"/>
              <w:bottom w:val="single" w:sz="4" w:space="0" w:color="auto"/>
              <w:right w:val="single" w:sz="4" w:space="0" w:color="auto"/>
            </w:tcBorders>
          </w:tcPr>
          <w:p w:rsidR="00CC5E3E" w:rsidRDefault="00CC5E3E">
            <w:pPr>
              <w:jc w:val="both"/>
              <w:rPr>
                <w:rFonts w:ascii="Gill Sans MT" w:hAnsi="Gill Sans MT" w:cs="Times New Roman"/>
                <w:sz w:val="15"/>
                <w:szCs w:val="15"/>
              </w:rPr>
            </w:pPr>
          </w:p>
        </w:tc>
        <w:tc>
          <w:tcPr>
            <w:tcW w:w="4111" w:type="dxa"/>
            <w:tcBorders>
              <w:top w:val="single" w:sz="4" w:space="0" w:color="auto"/>
              <w:left w:val="single" w:sz="4" w:space="0" w:color="auto"/>
              <w:bottom w:val="single" w:sz="4" w:space="0" w:color="auto"/>
              <w:right w:val="single" w:sz="4" w:space="0" w:color="auto"/>
            </w:tcBorders>
            <w:hideMark/>
          </w:tcPr>
          <w:p w:rsidR="00CC5E3E" w:rsidRDefault="00CC5E3E">
            <w:pPr>
              <w:spacing w:before="55" w:line="249" w:lineRule="auto"/>
              <w:ind w:left="103" w:right="303"/>
              <w:rPr>
                <w:rFonts w:ascii="Gill Sans MT" w:eastAsia="Gill Sans MT" w:hAnsi="Gill Sans MT" w:cs="Gill Sans MT"/>
                <w:sz w:val="15"/>
                <w:szCs w:val="15"/>
              </w:rPr>
            </w:pP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6"/>
                <w:sz w:val="15"/>
                <w:szCs w:val="15"/>
              </w:rPr>
              <w:t>S</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16"/>
                <w:sz w:val="15"/>
                <w:szCs w:val="15"/>
              </w:rPr>
              <w:t xml:space="preserve"> </w:t>
            </w:r>
            <w:r>
              <w:rPr>
                <w:rFonts w:ascii="Gill Sans MT" w:eastAsia="Gill Sans MT" w:hAnsi="Gill Sans MT" w:cs="Gill Sans MT"/>
                <w:b/>
                <w:bCs/>
                <w:color w:val="231F20"/>
                <w:spacing w:val="6"/>
                <w:sz w:val="15"/>
                <w:szCs w:val="15"/>
              </w:rPr>
              <w:t>Hurrican</w:t>
            </w:r>
            <w:r>
              <w:rPr>
                <w:rFonts w:ascii="Gill Sans MT" w:eastAsia="Gill Sans MT" w:hAnsi="Gill Sans MT" w:cs="Gill Sans MT"/>
                <w:b/>
                <w:bCs/>
                <w:color w:val="231F20"/>
                <w:sz w:val="15"/>
                <w:szCs w:val="15"/>
              </w:rPr>
              <w:t>e</w:t>
            </w:r>
            <w:r>
              <w:rPr>
                <w:rFonts w:ascii="Gill Sans MT" w:eastAsia="Gill Sans MT" w:hAnsi="Gill Sans MT" w:cs="Gill Sans MT"/>
                <w:b/>
                <w:bCs/>
                <w:color w:val="231F20"/>
                <w:spacing w:val="20"/>
                <w:sz w:val="15"/>
                <w:szCs w:val="15"/>
              </w:rPr>
              <w:t xml:space="preserve"> </w:t>
            </w:r>
            <w:r>
              <w:rPr>
                <w:rFonts w:ascii="Gill Sans MT" w:eastAsia="Gill Sans MT" w:hAnsi="Gill Sans MT" w:cs="Gill Sans MT"/>
                <w:b/>
                <w:bCs/>
                <w:color w:val="231F20"/>
                <w:spacing w:val="6"/>
                <w:sz w:val="15"/>
                <w:szCs w:val="15"/>
              </w:rPr>
              <w:t>Sand</w:t>
            </w:r>
            <w:r>
              <w:rPr>
                <w:rFonts w:ascii="Gill Sans MT" w:eastAsia="Gill Sans MT" w:hAnsi="Gill Sans MT" w:cs="Gill Sans MT"/>
                <w:b/>
                <w:bCs/>
                <w:color w:val="231F20"/>
                <w:sz w:val="15"/>
                <w:szCs w:val="15"/>
              </w:rPr>
              <w:t>y</w:t>
            </w:r>
            <w:r>
              <w:rPr>
                <w:rFonts w:ascii="Gill Sans MT" w:eastAsia="Gill Sans MT" w:hAnsi="Gill Sans MT" w:cs="Gill Sans MT"/>
                <w:b/>
                <w:bCs/>
                <w:color w:val="231F20"/>
                <w:spacing w:val="17"/>
                <w:sz w:val="15"/>
                <w:szCs w:val="15"/>
              </w:rPr>
              <w:t xml:space="preserve"> </w:t>
            </w:r>
            <w:r>
              <w:rPr>
                <w:rFonts w:ascii="Gill Sans MT" w:eastAsia="Gill Sans MT" w:hAnsi="Gill Sans MT" w:cs="Gill Sans MT"/>
                <w:b/>
                <w:bCs/>
                <w:color w:val="231F20"/>
                <w:spacing w:val="6"/>
                <w:sz w:val="15"/>
                <w:szCs w:val="15"/>
              </w:rPr>
              <w:t>(2012</w:t>
            </w:r>
            <w:r>
              <w:rPr>
                <w:rFonts w:ascii="Gill Sans MT" w:eastAsia="Gill Sans MT" w:hAnsi="Gill Sans MT" w:cs="Gill Sans MT"/>
                <w:b/>
                <w:bCs/>
                <w:color w:val="231F20"/>
                <w:sz w:val="15"/>
                <w:szCs w:val="15"/>
              </w:rPr>
              <w:t>)</w:t>
            </w:r>
            <w:r>
              <w:rPr>
                <w:rFonts w:ascii="Gill Sans MT" w:eastAsia="Gill Sans MT" w:hAnsi="Gill Sans MT" w:cs="Gill Sans MT"/>
                <w:b/>
                <w:bCs/>
                <w:color w:val="231F20"/>
                <w:spacing w:val="18"/>
                <w:sz w:val="15"/>
                <w:szCs w:val="15"/>
              </w:rPr>
              <w:t xml:space="preserve"> </w:t>
            </w:r>
            <w:r>
              <w:rPr>
                <w:rFonts w:ascii="Gill Sans MT" w:eastAsia="Gill Sans MT" w:hAnsi="Gill Sans MT" w:cs="Gill Sans MT"/>
                <w:color w:val="231F20"/>
                <w:sz w:val="15"/>
                <w:szCs w:val="15"/>
              </w:rPr>
              <w:t>(</w:t>
            </w:r>
            <w:r>
              <w:rPr>
                <w:rFonts w:ascii="Gill Sans MT" w:eastAsia="Gill Sans MT" w:hAnsi="Gill Sans MT" w:cs="Gill Sans MT"/>
                <w:color w:val="231F20"/>
                <w:spacing w:val="2"/>
                <w:sz w:val="15"/>
                <w:szCs w:val="15"/>
              </w:rPr>
              <w:t>Swee</w:t>
            </w:r>
            <w:r>
              <w:rPr>
                <w:rFonts w:ascii="Gill Sans MT" w:eastAsia="Gill Sans MT" w:hAnsi="Gill Sans MT" w:cs="Gill Sans MT"/>
                <w:color w:val="231F20"/>
                <w:sz w:val="15"/>
                <w:szCs w:val="15"/>
              </w:rPr>
              <w:t>t</w:t>
            </w:r>
            <w:r>
              <w:rPr>
                <w:rFonts w:ascii="Gill Sans MT" w:eastAsia="Gill Sans MT" w:hAnsi="Gill Sans MT" w:cs="Gill Sans MT"/>
                <w:color w:val="231F20"/>
                <w:spacing w:val="9"/>
                <w:sz w:val="15"/>
                <w:szCs w:val="15"/>
              </w:rPr>
              <w:t xml:space="preserve"> </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1"/>
                <w:sz w:val="15"/>
                <w:szCs w:val="15"/>
              </w:rPr>
              <w:t xml:space="preserve"> </w:t>
            </w:r>
            <w:r>
              <w:rPr>
                <w:rFonts w:ascii="Gill Sans MT" w:eastAsia="Gill Sans MT" w:hAnsi="Gill Sans MT" w:cs="Gill Sans MT"/>
                <w:color w:val="231F20"/>
                <w:spacing w:val="1"/>
                <w:sz w:val="15"/>
                <w:szCs w:val="15"/>
              </w:rPr>
              <w:t>a</w:t>
            </w:r>
            <w:r>
              <w:rPr>
                <w:rFonts w:ascii="Gill Sans MT" w:eastAsia="Gill Sans MT" w:hAnsi="Gill Sans MT" w:cs="Gill Sans MT"/>
                <w:color w:val="231F20"/>
                <w:spacing w:val="2"/>
                <w:sz w:val="15"/>
                <w:szCs w:val="15"/>
              </w:rPr>
              <w:t>l</w:t>
            </w:r>
            <w:r>
              <w:rPr>
                <w:rFonts w:ascii="Gill Sans MT" w:eastAsia="Gill Sans MT" w:hAnsi="Gill Sans MT" w:cs="Gill Sans MT"/>
                <w:color w:val="231F20"/>
                <w:spacing w:val="-4"/>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w w:val="101"/>
                <w:sz w:val="15"/>
                <w:szCs w:val="15"/>
              </w:rPr>
              <w:t>2013</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&lt;EndNote&gt;&lt;Cite&gt;&lt;Author&gt;Peterson&lt;/Author&gt;&lt;Year&gt;2013&lt;/Year&gt;&lt;RecNum&gt;1570&lt;/RecNum&gt;&lt;DisplayText&gt;&lt;style face="superscript"&gt;14&lt;/style&gt;&lt;/DisplayText&gt;&lt;record&gt;&lt;rec-number&gt;1570&lt;/rec-number&gt;&lt;foreign-keys&gt;&lt;key app="EN" db-id="wtftd20rmszxx0ettxy5exwdf90wv22s2dsf" timestamp="1428037922"&gt;1570&lt;/key&gt;&lt;/foreign-keys&gt;&lt;ref-type name="Journal Article"&gt;17&lt;/ref-type&gt;&lt;contributors&gt;&lt;authors&gt;&lt;author&gt;T Peterson&lt;/author&gt;&lt;author&gt;M Hoerling&lt;/author&gt;&lt;author&gt;P Stott&lt;/author&gt;&lt;author&gt;S Herring&lt;/author&gt;&lt;/authors&gt;&lt;/contributors&gt;&lt;titles&gt;&lt;title&gt;Explaining Extreme Events of 2012 from a Climate Perspective&lt;/title&gt;&lt;secondary-title&gt;Special Bulletin of the American Meteorological Society&lt;/secondary-title&gt;&lt;/titles&gt;&lt;periodical&gt;&lt;full-title&gt;Special Bulletin of the American Meteorological Society&lt;/full-title&gt;&lt;/periodical&gt;&lt;pages&gt;S1-S106&lt;/pages&gt;&lt;volume&gt;94&lt;/volume&gt;&lt;number&gt;9&lt;/number&gt;&lt;dates&gt;&lt;year&gt;2013&lt;/year&gt;&lt;/dates&gt;&lt;urls&gt;&lt;/urls&gt;&lt;/record&gt;&lt;/Cite&gt;&lt;/EndNote&gt;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14</w:t>
            </w:r>
            <w:r w:rsidR="00E13392">
              <w:rPr>
                <w:rFonts w:ascii="Gill Sans MT" w:eastAsia="Gill Sans MT" w:hAnsi="Gill Sans MT" w:cs="Gill Sans MT"/>
                <w:color w:val="231F20"/>
                <w:w w:val="101"/>
                <w:sz w:val="15"/>
                <w:szCs w:val="15"/>
              </w:rPr>
              <w:fldChar w:fldCharType="end"/>
            </w:r>
            <w:r>
              <w:rPr>
                <w:rFonts w:ascii="Gill Sans MT" w:eastAsia="Gill Sans MT" w:hAnsi="Gill Sans MT" w:cs="Gill Sans MT"/>
                <w:color w:val="231F20"/>
                <w:w w:val="101"/>
                <w:sz w:val="15"/>
                <w:szCs w:val="15"/>
              </w:rPr>
              <w:t xml:space="preserve"> </w:t>
            </w:r>
            <w:r>
              <w:rPr>
                <w:rFonts w:ascii="Gill Sans MT" w:eastAsia="Gill Sans MT" w:hAnsi="Gill Sans MT" w:cs="Gill Sans MT"/>
                <w:b/>
                <w:bCs/>
                <w:color w:val="231F20"/>
                <w:spacing w:val="3"/>
                <w:sz w:val="15"/>
                <w:szCs w:val="15"/>
              </w:rPr>
              <w:t>C</w:t>
            </w:r>
            <w:r>
              <w:rPr>
                <w:rFonts w:ascii="Gill Sans MT" w:eastAsia="Gill Sans MT" w:hAnsi="Gill Sans MT" w:cs="Gill Sans MT"/>
                <w:b/>
                <w:bCs/>
                <w:color w:val="231F20"/>
                <w:sz w:val="15"/>
                <w:szCs w:val="15"/>
              </w:rPr>
              <w:t>y</w:t>
            </w:r>
            <w:r>
              <w:rPr>
                <w:rFonts w:ascii="Gill Sans MT" w:eastAsia="Gill Sans MT" w:hAnsi="Gill Sans MT" w:cs="Gill Sans MT"/>
                <w:b/>
                <w:bCs/>
                <w:color w:val="231F20"/>
                <w:spacing w:val="3"/>
                <w:sz w:val="15"/>
                <w:szCs w:val="15"/>
              </w:rPr>
              <w:t>clo</w:t>
            </w:r>
            <w:r>
              <w:rPr>
                <w:rFonts w:ascii="Gill Sans MT" w:eastAsia="Gill Sans MT" w:hAnsi="Gill Sans MT" w:cs="Gill Sans MT"/>
                <w:b/>
                <w:bCs/>
                <w:color w:val="231F20"/>
                <w:spacing w:val="2"/>
                <w:sz w:val="15"/>
                <w:szCs w:val="15"/>
              </w:rPr>
              <w:t>n</w:t>
            </w:r>
            <w:r>
              <w:rPr>
                <w:rFonts w:ascii="Gill Sans MT" w:eastAsia="Gill Sans MT" w:hAnsi="Gill Sans MT" w:cs="Gill Sans MT"/>
                <w:b/>
                <w:bCs/>
                <w:color w:val="231F20"/>
                <w:sz w:val="15"/>
                <w:szCs w:val="15"/>
              </w:rPr>
              <w:t>e</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pacing w:val="3"/>
                <w:sz w:val="15"/>
                <w:szCs w:val="15"/>
              </w:rPr>
              <w:t>C</w:t>
            </w:r>
            <w:r>
              <w:rPr>
                <w:rFonts w:ascii="Gill Sans MT" w:eastAsia="Gill Sans MT" w:hAnsi="Gill Sans MT" w:cs="Gill Sans MT"/>
                <w:b/>
                <w:bCs/>
                <w:color w:val="231F20"/>
                <w:spacing w:val="2"/>
                <w:sz w:val="15"/>
                <w:szCs w:val="15"/>
              </w:rPr>
              <w:t>h</w:t>
            </w:r>
            <w:r>
              <w:rPr>
                <w:rFonts w:ascii="Gill Sans MT" w:eastAsia="Gill Sans MT" w:hAnsi="Gill Sans MT" w:cs="Gill Sans MT"/>
                <w:b/>
                <w:bCs/>
                <w:color w:val="231F20"/>
                <w:spacing w:val="4"/>
                <w:sz w:val="15"/>
                <w:szCs w:val="15"/>
              </w:rPr>
              <w:t>r</w:t>
            </w:r>
            <w:r>
              <w:rPr>
                <w:rFonts w:ascii="Gill Sans MT" w:eastAsia="Gill Sans MT" w:hAnsi="Gill Sans MT" w:cs="Gill Sans MT"/>
                <w:b/>
                <w:bCs/>
                <w:color w:val="231F20"/>
                <w:spacing w:val="3"/>
                <w:sz w:val="15"/>
                <w:szCs w:val="15"/>
              </w:rPr>
              <w:t>is</w:t>
            </w:r>
            <w:r>
              <w:rPr>
                <w:rFonts w:ascii="Gill Sans MT" w:eastAsia="Gill Sans MT" w:hAnsi="Gill Sans MT" w:cs="Gill Sans MT"/>
                <w:b/>
                <w:bCs/>
                <w:color w:val="231F20"/>
                <w:spacing w:val="4"/>
                <w:sz w:val="15"/>
                <w:szCs w:val="15"/>
              </w:rPr>
              <w:t>t</w:t>
            </w:r>
            <w:r>
              <w:rPr>
                <w:rFonts w:ascii="Gill Sans MT" w:eastAsia="Gill Sans MT" w:hAnsi="Gill Sans MT" w:cs="Gill Sans MT"/>
                <w:b/>
                <w:bCs/>
                <w:color w:val="231F20"/>
                <w:spacing w:val="3"/>
                <w:sz w:val="15"/>
                <w:szCs w:val="15"/>
              </w:rPr>
              <w:t>i</w:t>
            </w:r>
            <w:r>
              <w:rPr>
                <w:rFonts w:ascii="Gill Sans MT" w:eastAsia="Gill Sans MT" w:hAnsi="Gill Sans MT" w:cs="Gill Sans MT"/>
                <w:b/>
                <w:bCs/>
                <w:color w:val="231F20"/>
                <w:spacing w:val="4"/>
                <w:sz w:val="15"/>
                <w:szCs w:val="15"/>
              </w:rPr>
              <w:t>a</w:t>
            </w:r>
            <w:r>
              <w:rPr>
                <w:rFonts w:ascii="Gill Sans MT" w:eastAsia="Gill Sans MT" w:hAnsi="Gill Sans MT" w:cs="Gill Sans MT"/>
                <w:b/>
                <w:bCs/>
                <w:color w:val="231F20"/>
                <w:sz w:val="15"/>
                <w:szCs w:val="15"/>
              </w:rPr>
              <w:t>n</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z w:val="15"/>
                <w:szCs w:val="15"/>
              </w:rPr>
              <w:t>(2013)</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pacing w:val="-1"/>
                <w:sz w:val="15"/>
                <w:szCs w:val="15"/>
              </w:rPr>
              <w:t>(</w:t>
            </w:r>
            <w:r>
              <w:rPr>
                <w:rFonts w:ascii="Gill Sans MT" w:eastAsia="Gill Sans MT" w:hAnsi="Gill Sans MT" w:cs="Gill Sans MT"/>
                <w:color w:val="231F20"/>
                <w:sz w:val="15"/>
                <w:szCs w:val="15"/>
              </w:rPr>
              <w:t>v</w:t>
            </w:r>
            <w:r>
              <w:rPr>
                <w:rFonts w:ascii="Gill Sans MT" w:eastAsia="Gill Sans MT" w:hAnsi="Gill Sans MT" w:cs="Gill Sans MT"/>
                <w:color w:val="231F20"/>
                <w:spacing w:val="2"/>
                <w:sz w:val="15"/>
                <w:szCs w:val="15"/>
              </w:rPr>
              <w:t>o</w:t>
            </w:r>
            <w:r>
              <w:rPr>
                <w:rFonts w:ascii="Gill Sans MT" w:eastAsia="Gill Sans MT" w:hAnsi="Gill Sans MT" w:cs="Gill Sans MT"/>
                <w:color w:val="231F20"/>
                <w:sz w:val="15"/>
                <w:szCs w:val="15"/>
              </w:rPr>
              <w:t>n</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2"/>
                <w:sz w:val="15"/>
                <w:szCs w:val="15"/>
              </w:rPr>
              <w:t>S</w:t>
            </w:r>
            <w:r>
              <w:rPr>
                <w:rFonts w:ascii="Gill Sans MT" w:eastAsia="Gill Sans MT" w:hAnsi="Gill Sans MT" w:cs="Gill Sans MT"/>
                <w:color w:val="231F20"/>
                <w:spacing w:val="3"/>
                <w:sz w:val="15"/>
                <w:szCs w:val="15"/>
              </w:rPr>
              <w:t>t</w:t>
            </w:r>
            <w:r>
              <w:rPr>
                <w:rFonts w:ascii="Gill Sans MT" w:eastAsia="Gill Sans MT" w:hAnsi="Gill Sans MT" w:cs="Gill Sans MT"/>
                <w:color w:val="231F20"/>
                <w:spacing w:val="2"/>
                <w:sz w:val="15"/>
                <w:szCs w:val="15"/>
              </w:rPr>
              <w:t>o</w:t>
            </w:r>
            <w:r>
              <w:rPr>
                <w:rFonts w:ascii="Gill Sans MT" w:eastAsia="Gill Sans MT" w:hAnsi="Gill Sans MT" w:cs="Gill Sans MT"/>
                <w:color w:val="231F20"/>
                <w:spacing w:val="1"/>
                <w:sz w:val="15"/>
                <w:szCs w:val="15"/>
              </w:rPr>
              <w:t>r</w:t>
            </w:r>
            <w:r>
              <w:rPr>
                <w:rFonts w:ascii="Gill Sans MT" w:eastAsia="Gill Sans MT" w:hAnsi="Gill Sans MT" w:cs="Gill Sans MT"/>
                <w:color w:val="231F20"/>
                <w:spacing w:val="3"/>
                <w:sz w:val="15"/>
                <w:szCs w:val="15"/>
              </w:rPr>
              <w:t>c</w:t>
            </w:r>
            <w:r>
              <w:rPr>
                <w:rFonts w:ascii="Gill Sans MT" w:eastAsia="Gill Sans MT" w:hAnsi="Gill Sans MT" w:cs="Gill Sans MT"/>
                <w:color w:val="231F20"/>
                <w:sz w:val="15"/>
                <w:szCs w:val="15"/>
              </w:rPr>
              <w:t>h</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r>
              <w:rPr>
                <w:rFonts w:ascii="Gill Sans MT" w:eastAsia="Gill Sans MT" w:hAnsi="Gill Sans MT" w:cs="Gill Sans MT"/>
                <w:color w:val="231F20"/>
                <w:w w:val="101"/>
                <w:sz w:val="15"/>
                <w:szCs w:val="15"/>
              </w:rPr>
              <w:t xml:space="preserve"> </w:t>
            </w:r>
            <w:r>
              <w:rPr>
                <w:rFonts w:ascii="Gill Sans MT" w:eastAsia="Gill Sans MT" w:hAnsi="Gill Sans MT" w:cs="Gill Sans MT"/>
                <w:b/>
                <w:bCs/>
                <w:color w:val="231F20"/>
                <w:spacing w:val="5"/>
                <w:sz w:val="15"/>
                <w:szCs w:val="15"/>
              </w:rPr>
              <w:t>P</w:t>
            </w:r>
            <w:r>
              <w:rPr>
                <w:rFonts w:ascii="Gill Sans MT" w:eastAsia="Gill Sans MT" w:hAnsi="Gill Sans MT" w:cs="Gill Sans MT"/>
                <w:b/>
                <w:bCs/>
                <w:color w:val="231F20"/>
                <w:spacing w:val="3"/>
                <w:sz w:val="15"/>
                <w:szCs w:val="15"/>
              </w:rPr>
              <w:t>y</w:t>
            </w:r>
            <w:r>
              <w:rPr>
                <w:rFonts w:ascii="Gill Sans MT" w:eastAsia="Gill Sans MT" w:hAnsi="Gill Sans MT" w:cs="Gill Sans MT"/>
                <w:b/>
                <w:bCs/>
                <w:color w:val="231F20"/>
                <w:spacing w:val="2"/>
                <w:sz w:val="15"/>
                <w:szCs w:val="15"/>
              </w:rPr>
              <w:t>r</w:t>
            </w:r>
            <w:r>
              <w:rPr>
                <w:rFonts w:ascii="Gill Sans MT" w:eastAsia="Gill Sans MT" w:hAnsi="Gill Sans MT" w:cs="Gill Sans MT"/>
                <w:b/>
                <w:bCs/>
                <w:color w:val="231F20"/>
                <w:spacing w:val="4"/>
                <w:sz w:val="15"/>
                <w:szCs w:val="15"/>
              </w:rPr>
              <w:t>e</w:t>
            </w:r>
            <w:r>
              <w:rPr>
                <w:rFonts w:ascii="Gill Sans MT" w:eastAsia="Gill Sans MT" w:hAnsi="Gill Sans MT" w:cs="Gill Sans MT"/>
                <w:b/>
                <w:bCs/>
                <w:color w:val="231F20"/>
                <w:spacing w:val="2"/>
                <w:sz w:val="15"/>
                <w:szCs w:val="15"/>
              </w:rPr>
              <w:t>n</w:t>
            </w:r>
            <w:r>
              <w:rPr>
                <w:rFonts w:ascii="Gill Sans MT" w:eastAsia="Gill Sans MT" w:hAnsi="Gill Sans MT" w:cs="Gill Sans MT"/>
                <w:b/>
                <w:bCs/>
                <w:color w:val="231F20"/>
                <w:spacing w:val="3"/>
                <w:sz w:val="15"/>
                <w:szCs w:val="15"/>
              </w:rPr>
              <w:t>e</w:t>
            </w:r>
            <w:r>
              <w:rPr>
                <w:rFonts w:ascii="Gill Sans MT" w:eastAsia="Gill Sans MT" w:hAnsi="Gill Sans MT" w:cs="Gill Sans MT"/>
                <w:b/>
                <w:bCs/>
                <w:color w:val="231F20"/>
                <w:spacing w:val="4"/>
                <w:sz w:val="15"/>
                <w:szCs w:val="15"/>
              </w:rPr>
              <w:t>e</w:t>
            </w:r>
            <w:r>
              <w:rPr>
                <w:rFonts w:ascii="Gill Sans MT" w:eastAsia="Gill Sans MT" w:hAnsi="Gill Sans MT" w:cs="Gill Sans MT"/>
                <w:b/>
                <w:bCs/>
                <w:color w:val="231F20"/>
                <w:sz w:val="15"/>
                <w:szCs w:val="15"/>
              </w:rPr>
              <w:t>s</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pacing w:val="5"/>
                <w:sz w:val="15"/>
                <w:szCs w:val="15"/>
              </w:rPr>
              <w:t>S</w:t>
            </w:r>
            <w:r>
              <w:rPr>
                <w:rFonts w:ascii="Gill Sans MT" w:eastAsia="Gill Sans MT" w:hAnsi="Gill Sans MT" w:cs="Gill Sans MT"/>
                <w:b/>
                <w:bCs/>
                <w:color w:val="231F20"/>
                <w:spacing w:val="2"/>
                <w:sz w:val="15"/>
                <w:szCs w:val="15"/>
              </w:rPr>
              <w:t>n</w:t>
            </w:r>
            <w:r>
              <w:rPr>
                <w:rFonts w:ascii="Gill Sans MT" w:eastAsia="Gill Sans MT" w:hAnsi="Gill Sans MT" w:cs="Gill Sans MT"/>
                <w:b/>
                <w:bCs/>
                <w:color w:val="231F20"/>
                <w:sz w:val="15"/>
                <w:szCs w:val="15"/>
              </w:rPr>
              <w:t>ow</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b/>
                <w:bCs/>
                <w:color w:val="231F20"/>
                <w:sz w:val="15"/>
                <w:szCs w:val="15"/>
              </w:rPr>
              <w:t>(2013)</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z w:val="15"/>
                <w:szCs w:val="15"/>
              </w:rPr>
              <w:t>(</w:t>
            </w:r>
            <w:r>
              <w:rPr>
                <w:rFonts w:ascii="Gill Sans MT" w:eastAsia="Gill Sans MT" w:hAnsi="Gill Sans MT" w:cs="Gill Sans MT"/>
                <w:color w:val="231F20"/>
                <w:spacing w:val="4"/>
                <w:sz w:val="15"/>
                <w:szCs w:val="15"/>
              </w:rPr>
              <w:t>A</w:t>
            </w:r>
            <w:r>
              <w:rPr>
                <w:rFonts w:ascii="Gill Sans MT" w:eastAsia="Gill Sans MT" w:hAnsi="Gill Sans MT" w:cs="Gill Sans MT"/>
                <w:color w:val="231F20"/>
                <w:spacing w:val="2"/>
                <w:sz w:val="15"/>
                <w:szCs w:val="15"/>
              </w:rPr>
              <w:t>n</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l</w:t>
            </w:r>
            <w:r>
              <w:rPr>
                <w:rFonts w:ascii="Gill Sans MT" w:eastAsia="Gill Sans MT" w:hAnsi="Gill Sans MT" w:cs="Gill Sans MT"/>
                <w:color w:val="231F20"/>
                <w:spacing w:val="4"/>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p>
          <w:p w:rsidR="00CC5E3E" w:rsidRDefault="00CC5E3E" w:rsidP="00CC5E3E">
            <w:pPr>
              <w:ind w:left="103" w:right="-20"/>
              <w:rPr>
                <w:rFonts w:ascii="Gill Sans MT" w:eastAsia="Gill Sans MT" w:hAnsi="Gill Sans MT" w:cs="Gill Sans MT"/>
                <w:sz w:val="15"/>
                <w:szCs w:val="15"/>
              </w:rPr>
            </w:pPr>
            <w:r>
              <w:rPr>
                <w:rFonts w:ascii="Gill Sans MT" w:eastAsia="Gill Sans MT" w:hAnsi="Gill Sans MT" w:cs="Gill Sans MT"/>
                <w:b/>
                <w:bCs/>
                <w:color w:val="231F20"/>
                <w:spacing w:val="1"/>
                <w:sz w:val="15"/>
                <w:szCs w:val="15"/>
              </w:rPr>
              <w:t>U</w:t>
            </w:r>
            <w:r>
              <w:rPr>
                <w:rFonts w:ascii="Gill Sans MT" w:eastAsia="Gill Sans MT" w:hAnsi="Gill Sans MT" w:cs="Gill Sans MT"/>
                <w:b/>
                <w:bCs/>
                <w:color w:val="231F20"/>
                <w:spacing w:val="6"/>
                <w:sz w:val="15"/>
                <w:szCs w:val="15"/>
              </w:rPr>
              <w:t>S</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16"/>
                <w:sz w:val="15"/>
                <w:szCs w:val="15"/>
              </w:rPr>
              <w:t xml:space="preserve"> </w:t>
            </w:r>
            <w:r>
              <w:rPr>
                <w:rFonts w:ascii="Gill Sans MT" w:eastAsia="Gill Sans MT" w:hAnsi="Gill Sans MT" w:cs="Gill Sans MT"/>
                <w:b/>
                <w:bCs/>
                <w:color w:val="231F20"/>
                <w:spacing w:val="2"/>
                <w:sz w:val="15"/>
                <w:szCs w:val="15"/>
              </w:rPr>
              <w:t>S</w:t>
            </w:r>
            <w:r>
              <w:rPr>
                <w:rFonts w:ascii="Gill Sans MT" w:eastAsia="Gill Sans MT" w:hAnsi="Gill Sans MT" w:cs="Gill Sans MT"/>
                <w:b/>
                <w:bCs/>
                <w:color w:val="231F20"/>
                <w:spacing w:val="5"/>
                <w:sz w:val="15"/>
                <w:szCs w:val="15"/>
                <w:vertAlign w:val="superscript"/>
              </w:rPr>
              <w:t>t</w:t>
            </w:r>
            <w:r>
              <w:rPr>
                <w:rFonts w:ascii="Gill Sans MT" w:eastAsia="Gill Sans MT" w:hAnsi="Gill Sans MT" w:cs="Gill Sans MT"/>
                <w:b/>
                <w:bCs/>
                <w:color w:val="231F20"/>
                <w:sz w:val="15"/>
                <w:szCs w:val="15"/>
                <w:vertAlign w:val="superscript"/>
              </w:rPr>
              <w:t>h</w:t>
            </w:r>
            <w:r>
              <w:rPr>
                <w:rFonts w:ascii="Gill Sans MT" w:eastAsia="Gill Sans MT" w:hAnsi="Gill Sans MT" w:cs="Gill Sans MT"/>
                <w:b/>
                <w:bCs/>
                <w:color w:val="231F20"/>
                <w:spacing w:val="3"/>
                <w:sz w:val="15"/>
                <w:szCs w:val="15"/>
              </w:rPr>
              <w:t xml:space="preserve"> D</w:t>
            </w:r>
            <w:r>
              <w:rPr>
                <w:rFonts w:ascii="Gill Sans MT" w:eastAsia="Gill Sans MT" w:hAnsi="Gill Sans MT" w:cs="Gill Sans MT"/>
                <w:b/>
                <w:bCs/>
                <w:color w:val="231F20"/>
                <w:spacing w:val="4"/>
                <w:sz w:val="15"/>
                <w:szCs w:val="15"/>
              </w:rPr>
              <w:t>a</w:t>
            </w:r>
            <w:r>
              <w:rPr>
                <w:rFonts w:ascii="Gill Sans MT" w:eastAsia="Gill Sans MT" w:hAnsi="Gill Sans MT" w:cs="Gill Sans MT"/>
                <w:b/>
                <w:bCs/>
                <w:color w:val="231F20"/>
                <w:spacing w:val="1"/>
                <w:sz w:val="15"/>
                <w:szCs w:val="15"/>
              </w:rPr>
              <w:t>k</w:t>
            </w:r>
            <w:r>
              <w:rPr>
                <w:rFonts w:ascii="Gill Sans MT" w:eastAsia="Gill Sans MT" w:hAnsi="Gill Sans MT" w:cs="Gill Sans MT"/>
                <w:b/>
                <w:bCs/>
                <w:color w:val="231F20"/>
                <w:spacing w:val="2"/>
                <w:sz w:val="15"/>
                <w:szCs w:val="15"/>
              </w:rPr>
              <w:t>o</w:t>
            </w:r>
            <w:r>
              <w:rPr>
                <w:rFonts w:ascii="Gill Sans MT" w:eastAsia="Gill Sans MT" w:hAnsi="Gill Sans MT" w:cs="Gill Sans MT"/>
                <w:b/>
                <w:bCs/>
                <w:color w:val="231F20"/>
                <w:spacing w:val="4"/>
                <w:sz w:val="15"/>
                <w:szCs w:val="15"/>
              </w:rPr>
              <w:t>t</w:t>
            </w:r>
            <w:r>
              <w:rPr>
                <w:rFonts w:ascii="Gill Sans MT" w:eastAsia="Gill Sans MT" w:hAnsi="Gill Sans MT" w:cs="Gill Sans MT"/>
                <w:b/>
                <w:bCs/>
                <w:color w:val="231F20"/>
                <w:sz w:val="15"/>
                <w:szCs w:val="15"/>
              </w:rPr>
              <w:t>a</w:t>
            </w:r>
            <w:r>
              <w:rPr>
                <w:rFonts w:ascii="Gill Sans MT" w:eastAsia="Gill Sans MT" w:hAnsi="Gill Sans MT" w:cs="Gill Sans MT"/>
                <w:b/>
                <w:bCs/>
                <w:color w:val="231F20"/>
                <w:spacing w:val="6"/>
                <w:sz w:val="15"/>
                <w:szCs w:val="15"/>
              </w:rPr>
              <w:t xml:space="preserve"> </w:t>
            </w:r>
            <w:r>
              <w:rPr>
                <w:rFonts w:ascii="Gill Sans MT" w:eastAsia="Gill Sans MT" w:hAnsi="Gill Sans MT" w:cs="Gill Sans MT"/>
                <w:b/>
                <w:bCs/>
                <w:color w:val="231F20"/>
                <w:spacing w:val="4"/>
                <w:sz w:val="15"/>
                <w:szCs w:val="15"/>
              </w:rPr>
              <w:t>B</w:t>
            </w:r>
            <w:r>
              <w:rPr>
                <w:rFonts w:ascii="Gill Sans MT" w:eastAsia="Gill Sans MT" w:hAnsi="Gill Sans MT" w:cs="Gill Sans MT"/>
                <w:b/>
                <w:bCs/>
                <w:color w:val="231F20"/>
                <w:spacing w:val="3"/>
                <w:sz w:val="15"/>
                <w:szCs w:val="15"/>
              </w:rPr>
              <w:t>l</w:t>
            </w:r>
            <w:r>
              <w:rPr>
                <w:rFonts w:ascii="Gill Sans MT" w:eastAsia="Gill Sans MT" w:hAnsi="Gill Sans MT" w:cs="Gill Sans MT"/>
                <w:b/>
                <w:bCs/>
                <w:color w:val="231F20"/>
                <w:spacing w:val="2"/>
                <w:sz w:val="15"/>
                <w:szCs w:val="15"/>
              </w:rPr>
              <w:t>i</w:t>
            </w:r>
            <w:r>
              <w:rPr>
                <w:rFonts w:ascii="Gill Sans MT" w:eastAsia="Gill Sans MT" w:hAnsi="Gill Sans MT" w:cs="Gill Sans MT"/>
                <w:b/>
                <w:bCs/>
                <w:color w:val="231F20"/>
                <w:spacing w:val="4"/>
                <w:sz w:val="15"/>
                <w:szCs w:val="15"/>
              </w:rPr>
              <w:t>z</w:t>
            </w:r>
            <w:r>
              <w:rPr>
                <w:rFonts w:ascii="Gill Sans MT" w:eastAsia="Gill Sans MT" w:hAnsi="Gill Sans MT" w:cs="Gill Sans MT"/>
                <w:b/>
                <w:bCs/>
                <w:color w:val="231F20"/>
                <w:spacing w:val="3"/>
                <w:sz w:val="15"/>
                <w:szCs w:val="15"/>
              </w:rPr>
              <w:t>z</w:t>
            </w:r>
            <w:r>
              <w:rPr>
                <w:rFonts w:ascii="Gill Sans MT" w:eastAsia="Gill Sans MT" w:hAnsi="Gill Sans MT" w:cs="Gill Sans MT"/>
                <w:b/>
                <w:bCs/>
                <w:color w:val="231F20"/>
                <w:spacing w:val="4"/>
                <w:sz w:val="15"/>
                <w:szCs w:val="15"/>
              </w:rPr>
              <w:t>a</w:t>
            </w:r>
            <w:r>
              <w:rPr>
                <w:rFonts w:ascii="Gill Sans MT" w:eastAsia="Gill Sans MT" w:hAnsi="Gill Sans MT" w:cs="Gill Sans MT"/>
                <w:b/>
                <w:bCs/>
                <w:color w:val="231F20"/>
                <w:spacing w:val="2"/>
                <w:sz w:val="15"/>
                <w:szCs w:val="15"/>
              </w:rPr>
              <w:t>r</w:t>
            </w:r>
            <w:r>
              <w:rPr>
                <w:rFonts w:ascii="Gill Sans MT" w:eastAsia="Gill Sans MT" w:hAnsi="Gill Sans MT" w:cs="Gill Sans MT"/>
                <w:b/>
                <w:bCs/>
                <w:color w:val="231F20"/>
                <w:sz w:val="15"/>
                <w:szCs w:val="15"/>
              </w:rPr>
              <w:t>d</w:t>
            </w:r>
            <w:r>
              <w:rPr>
                <w:rFonts w:ascii="Gill Sans MT" w:eastAsia="Gill Sans MT" w:hAnsi="Gill Sans MT" w:cs="Gill Sans MT"/>
                <w:b/>
                <w:bCs/>
                <w:color w:val="231F20"/>
                <w:spacing w:val="7"/>
                <w:sz w:val="15"/>
                <w:szCs w:val="15"/>
              </w:rPr>
              <w:t xml:space="preserve"> </w:t>
            </w:r>
            <w:r>
              <w:rPr>
                <w:rFonts w:ascii="Gill Sans MT" w:eastAsia="Gill Sans MT" w:hAnsi="Gill Sans MT" w:cs="Gill Sans MT"/>
                <w:b/>
                <w:bCs/>
                <w:color w:val="231F20"/>
                <w:sz w:val="15"/>
                <w:szCs w:val="15"/>
              </w:rPr>
              <w:t>(2013)</w:t>
            </w:r>
            <w:r>
              <w:rPr>
                <w:rFonts w:ascii="Gill Sans MT" w:eastAsia="Gill Sans MT" w:hAnsi="Gill Sans MT" w:cs="Gill Sans MT"/>
                <w:b/>
                <w:bCs/>
                <w:color w:val="231F20"/>
                <w:spacing w:val="5"/>
                <w:sz w:val="15"/>
                <w:szCs w:val="15"/>
              </w:rPr>
              <w:t xml:space="preserve"> </w:t>
            </w:r>
            <w:r>
              <w:rPr>
                <w:rFonts w:ascii="Gill Sans MT" w:eastAsia="Gill Sans MT" w:hAnsi="Gill Sans MT" w:cs="Gill Sans MT"/>
                <w:color w:val="231F20"/>
                <w:spacing w:val="3"/>
                <w:sz w:val="15"/>
                <w:szCs w:val="15"/>
              </w:rPr>
              <w:t>(</w:t>
            </w:r>
            <w:r>
              <w:rPr>
                <w:rFonts w:ascii="Gill Sans MT" w:eastAsia="Gill Sans MT" w:hAnsi="Gill Sans MT" w:cs="Gill Sans MT"/>
                <w:color w:val="231F20"/>
                <w:spacing w:val="2"/>
                <w:sz w:val="15"/>
                <w:szCs w:val="15"/>
              </w:rPr>
              <w:t>E</w:t>
            </w:r>
            <w:r>
              <w:rPr>
                <w:rFonts w:ascii="Gill Sans MT" w:eastAsia="Gill Sans MT" w:hAnsi="Gill Sans MT" w:cs="Gill Sans MT"/>
                <w:color w:val="231F20"/>
                <w:spacing w:val="3"/>
                <w:sz w:val="15"/>
                <w:szCs w:val="15"/>
              </w:rPr>
              <w:t>d</w:t>
            </w:r>
            <w:r>
              <w:rPr>
                <w:rFonts w:ascii="Gill Sans MT" w:eastAsia="Gill Sans MT" w:hAnsi="Gill Sans MT" w:cs="Gill Sans MT"/>
                <w:color w:val="231F20"/>
                <w:spacing w:val="4"/>
                <w:sz w:val="15"/>
                <w:szCs w:val="15"/>
              </w:rPr>
              <w:t>w</w:t>
            </w:r>
            <w:r>
              <w:rPr>
                <w:rFonts w:ascii="Gill Sans MT" w:eastAsia="Gill Sans MT" w:hAnsi="Gill Sans MT" w:cs="Gill Sans MT"/>
                <w:color w:val="231F20"/>
                <w:spacing w:val="2"/>
                <w:sz w:val="15"/>
                <w:szCs w:val="15"/>
              </w:rPr>
              <w:t>a</w:t>
            </w:r>
            <w:r>
              <w:rPr>
                <w:rFonts w:ascii="Gill Sans MT" w:eastAsia="Gill Sans MT" w:hAnsi="Gill Sans MT" w:cs="Gill Sans MT"/>
                <w:color w:val="231F20"/>
                <w:spacing w:val="1"/>
                <w:sz w:val="15"/>
                <w:szCs w:val="15"/>
              </w:rPr>
              <w:t>r</w:t>
            </w:r>
            <w:r>
              <w:rPr>
                <w:rFonts w:ascii="Gill Sans MT" w:eastAsia="Gill Sans MT" w:hAnsi="Gill Sans MT" w:cs="Gill Sans MT"/>
                <w:color w:val="231F20"/>
                <w:spacing w:val="3"/>
                <w:sz w:val="15"/>
                <w:szCs w:val="15"/>
              </w:rPr>
              <w:t>d</w:t>
            </w:r>
            <w:r>
              <w:rPr>
                <w:rFonts w:ascii="Gill Sans MT" w:eastAsia="Gill Sans MT" w:hAnsi="Gill Sans MT" w:cs="Gill Sans MT"/>
                <w:color w:val="231F20"/>
                <w:sz w:val="15"/>
                <w:szCs w:val="15"/>
              </w:rPr>
              <w:t>s</w:t>
            </w:r>
            <w:r>
              <w:rPr>
                <w:rFonts w:ascii="Gill Sans MT" w:eastAsia="Gill Sans MT" w:hAnsi="Gill Sans MT" w:cs="Gill Sans MT"/>
                <w:color w:val="231F20"/>
                <w:spacing w:val="7"/>
                <w:sz w:val="15"/>
                <w:szCs w:val="15"/>
              </w:rPr>
              <w:t xml:space="preserve"> </w:t>
            </w:r>
            <w:r>
              <w:rPr>
                <w:rFonts w:ascii="Gill Sans MT" w:eastAsia="Gill Sans MT" w:hAnsi="Gill Sans MT" w:cs="Gill Sans MT"/>
                <w:color w:val="231F20"/>
                <w:spacing w:val="3"/>
                <w:sz w:val="15"/>
                <w:szCs w:val="15"/>
              </w:rPr>
              <w:t>e</w:t>
            </w:r>
            <w:r>
              <w:rPr>
                <w:rFonts w:ascii="Gill Sans MT" w:eastAsia="Gill Sans MT" w:hAnsi="Gill Sans MT" w:cs="Gill Sans MT"/>
                <w:color w:val="231F20"/>
                <w:sz w:val="15"/>
                <w:szCs w:val="15"/>
              </w:rPr>
              <w:t>t</w:t>
            </w:r>
            <w:r>
              <w:rPr>
                <w:rFonts w:ascii="Gill Sans MT" w:eastAsia="Gill Sans MT" w:hAnsi="Gill Sans MT" w:cs="Gill Sans MT"/>
                <w:color w:val="231F20"/>
                <w:spacing w:val="2"/>
                <w:sz w:val="15"/>
                <w:szCs w:val="15"/>
              </w:rPr>
              <w:t xml:space="preserve"> a</w:t>
            </w:r>
            <w:r>
              <w:rPr>
                <w:rFonts w:ascii="Gill Sans MT" w:eastAsia="Gill Sans MT" w:hAnsi="Gill Sans MT" w:cs="Gill Sans MT"/>
                <w:color w:val="231F20"/>
                <w:spacing w:val="3"/>
                <w:sz w:val="15"/>
                <w:szCs w:val="15"/>
              </w:rPr>
              <w:t>l</w:t>
            </w:r>
            <w:r>
              <w:rPr>
                <w:rFonts w:ascii="Gill Sans MT" w:eastAsia="Gill Sans MT" w:hAnsi="Gill Sans MT" w:cs="Gill Sans MT"/>
                <w:color w:val="231F20"/>
                <w:spacing w:val="-2"/>
                <w:sz w:val="15"/>
                <w:szCs w:val="15"/>
              </w:rPr>
              <w:t>.</w:t>
            </w:r>
            <w:r>
              <w:rPr>
                <w:rFonts w:ascii="Gill Sans MT" w:eastAsia="Gill Sans MT" w:hAnsi="Gill Sans MT" w:cs="Gill Sans MT"/>
                <w:color w:val="231F20"/>
                <w:sz w:val="15"/>
                <w:szCs w:val="15"/>
              </w:rPr>
              <w:t>,</w:t>
            </w:r>
            <w:r>
              <w:rPr>
                <w:rFonts w:ascii="Gill Sans MT" w:eastAsia="Gill Sans MT" w:hAnsi="Gill Sans MT" w:cs="Gill Sans MT"/>
                <w:color w:val="231F20"/>
                <w:spacing w:val="-5"/>
                <w:sz w:val="15"/>
                <w:szCs w:val="15"/>
              </w:rPr>
              <w:t xml:space="preserve"> </w:t>
            </w:r>
            <w:r>
              <w:rPr>
                <w:rFonts w:ascii="Gill Sans MT" w:eastAsia="Gill Sans MT" w:hAnsi="Gill Sans MT" w:cs="Gill Sans MT"/>
                <w:color w:val="231F20"/>
                <w:spacing w:val="-4"/>
                <w:w w:val="101"/>
                <w:sz w:val="15"/>
                <w:szCs w:val="15"/>
              </w:rPr>
              <w:t>2014</w:t>
            </w:r>
            <w:r>
              <w:rPr>
                <w:rFonts w:ascii="Gill Sans MT" w:eastAsia="Gill Sans MT" w:hAnsi="Gill Sans MT" w:cs="Gill Sans MT"/>
                <w:color w:val="231F20"/>
                <w:w w:val="101"/>
                <w:sz w:val="15"/>
                <w:szCs w:val="15"/>
              </w:rPr>
              <w:t>)</w:t>
            </w:r>
            <w:r w:rsidR="00E13392">
              <w:rPr>
                <w:rFonts w:ascii="Gill Sans MT" w:eastAsia="Gill Sans MT" w:hAnsi="Gill Sans MT" w:cs="Gill Sans MT"/>
                <w:color w:val="231F20"/>
                <w:w w:val="101"/>
                <w:sz w:val="15"/>
                <w:szCs w:val="15"/>
              </w:rPr>
              <w:fldChar w:fldCharType="begin"/>
            </w:r>
            <w:r>
              <w:rPr>
                <w:rFonts w:ascii="Gill Sans MT" w:eastAsia="Gill Sans MT" w:hAnsi="Gill Sans MT" w:cs="Gill Sans MT"/>
                <w:color w:val="231F20"/>
                <w:w w:val="101"/>
                <w:sz w:val="15"/>
                <w:szCs w:val="15"/>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Gill Sans MT" w:eastAsia="Gill Sans MT" w:hAnsi="Gill Sans MT" w:cs="Gill Sans MT"/>
                <w:color w:val="231F20"/>
                <w:w w:val="101"/>
                <w:sz w:val="15"/>
                <w:szCs w:val="15"/>
              </w:rPr>
              <w:fldChar w:fldCharType="separate"/>
            </w:r>
            <w:r w:rsidRPr="00CC5E3E">
              <w:rPr>
                <w:rFonts w:ascii="Gill Sans MT" w:eastAsia="Gill Sans MT" w:hAnsi="Gill Sans MT" w:cs="Gill Sans MT"/>
                <w:noProof/>
                <w:color w:val="231F20"/>
                <w:w w:val="101"/>
                <w:sz w:val="15"/>
                <w:szCs w:val="15"/>
                <w:vertAlign w:val="superscript"/>
              </w:rPr>
              <w:t>15</w:t>
            </w:r>
            <w:r w:rsidR="00E13392">
              <w:rPr>
                <w:rFonts w:ascii="Gill Sans MT" w:eastAsia="Gill Sans MT" w:hAnsi="Gill Sans MT" w:cs="Gill Sans MT"/>
                <w:color w:val="231F20"/>
                <w:w w:val="101"/>
                <w:sz w:val="15"/>
                <w:szCs w:val="15"/>
              </w:rPr>
              <w:fldChar w:fldCharType="end"/>
            </w:r>
          </w:p>
        </w:tc>
        <w:tc>
          <w:tcPr>
            <w:tcW w:w="992"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sz w:val="15"/>
                <w:szCs w:val="15"/>
              </w:rPr>
            </w:pPr>
            <w:r>
              <w:rPr>
                <w:rFonts w:ascii="Gill Sans MT" w:hAnsi="Gill Sans MT" w:cs="Times New Roman"/>
                <w:sz w:val="15"/>
                <w:szCs w:val="15"/>
              </w:rPr>
              <w:t>4</w:t>
            </w:r>
          </w:p>
        </w:tc>
      </w:tr>
      <w:tr w:rsidR="00CC5E3E" w:rsidTr="00CC5E3E">
        <w:tc>
          <w:tcPr>
            <w:tcW w:w="1135"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b/>
                <w:sz w:val="15"/>
                <w:szCs w:val="15"/>
              </w:rPr>
            </w:pPr>
            <w:r>
              <w:rPr>
                <w:rFonts w:ascii="Gill Sans MT" w:hAnsi="Gill Sans MT" w:cs="Times New Roman"/>
                <w:b/>
                <w:sz w:val="15"/>
                <w:szCs w:val="15"/>
              </w:rPr>
              <w:t>Number of Papers</w:t>
            </w:r>
          </w:p>
        </w:tc>
        <w:tc>
          <w:tcPr>
            <w:tcW w:w="2835" w:type="dxa"/>
            <w:tcBorders>
              <w:top w:val="single" w:sz="4" w:space="0" w:color="auto"/>
              <w:left w:val="single" w:sz="4" w:space="0" w:color="auto"/>
              <w:bottom w:val="single" w:sz="4" w:space="0" w:color="auto"/>
              <w:right w:val="single" w:sz="4" w:space="0" w:color="auto"/>
            </w:tcBorders>
          </w:tcPr>
          <w:p w:rsidR="00CC5E3E" w:rsidRDefault="00CC5E3E">
            <w:pPr>
              <w:jc w:val="center"/>
              <w:rPr>
                <w:rFonts w:ascii="Gill Sans MT" w:hAnsi="Gill Sans MT" w:cs="Times New Roman"/>
                <w:sz w:val="15"/>
                <w:szCs w:val="15"/>
              </w:rPr>
            </w:pPr>
          </w:p>
        </w:tc>
        <w:tc>
          <w:tcPr>
            <w:tcW w:w="4111"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sz w:val="15"/>
                <w:szCs w:val="15"/>
              </w:rPr>
            </w:pPr>
            <w:r>
              <w:rPr>
                <w:rFonts w:ascii="Gill Sans MT" w:hAnsi="Gill Sans MT" w:cs="Times New Roman"/>
                <w:sz w:val="15"/>
                <w:szCs w:val="15"/>
              </w:rPr>
              <w:t>23</w:t>
            </w:r>
          </w:p>
        </w:tc>
        <w:tc>
          <w:tcPr>
            <w:tcW w:w="2835"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sz w:val="15"/>
                <w:szCs w:val="15"/>
              </w:rPr>
            </w:pPr>
            <w:r>
              <w:rPr>
                <w:rFonts w:ascii="Gill Sans MT" w:hAnsi="Gill Sans MT" w:cs="Times New Roman"/>
                <w:sz w:val="15"/>
                <w:szCs w:val="15"/>
              </w:rPr>
              <w:t>2</w:t>
            </w:r>
          </w:p>
        </w:tc>
        <w:tc>
          <w:tcPr>
            <w:tcW w:w="4111"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sz w:val="15"/>
                <w:szCs w:val="15"/>
              </w:rPr>
            </w:pPr>
            <w:r>
              <w:rPr>
                <w:rFonts w:ascii="Gill Sans MT" w:hAnsi="Gill Sans MT" w:cs="Times New Roman"/>
                <w:sz w:val="15"/>
                <w:szCs w:val="15"/>
              </w:rPr>
              <w:t>18</w:t>
            </w:r>
          </w:p>
        </w:tc>
        <w:tc>
          <w:tcPr>
            <w:tcW w:w="992" w:type="dxa"/>
            <w:tcBorders>
              <w:top w:val="single" w:sz="4" w:space="0" w:color="auto"/>
              <w:left w:val="single" w:sz="4" w:space="0" w:color="auto"/>
              <w:bottom w:val="single" w:sz="4" w:space="0" w:color="auto"/>
              <w:right w:val="single" w:sz="4" w:space="0" w:color="auto"/>
            </w:tcBorders>
            <w:hideMark/>
          </w:tcPr>
          <w:p w:rsidR="00CC5E3E" w:rsidRDefault="00CC5E3E">
            <w:pPr>
              <w:jc w:val="center"/>
              <w:rPr>
                <w:rFonts w:ascii="Gill Sans MT" w:hAnsi="Gill Sans MT" w:cs="Times New Roman"/>
                <w:sz w:val="15"/>
                <w:szCs w:val="15"/>
              </w:rPr>
            </w:pPr>
            <w:r>
              <w:rPr>
                <w:rFonts w:ascii="Gill Sans MT" w:hAnsi="Gill Sans MT" w:cs="Times New Roman"/>
                <w:sz w:val="15"/>
                <w:szCs w:val="15"/>
              </w:rPr>
              <w:t>43</w:t>
            </w:r>
          </w:p>
        </w:tc>
      </w:tr>
    </w:tbl>
    <w:p w:rsidR="00CC5E3E" w:rsidRDefault="00CC5E3E" w:rsidP="00CC5E3E">
      <w:pPr>
        <w:spacing w:after="240"/>
        <w:jc w:val="both"/>
        <w:rPr>
          <w:rFonts w:ascii="Calibri" w:hAnsi="Calibri" w:cs="Times New Roman"/>
          <w:b/>
          <w:sz w:val="22"/>
          <w:szCs w:val="22"/>
          <w:lang w:eastAsia="en-US"/>
        </w:rPr>
      </w:pPr>
      <w:r>
        <w:rPr>
          <w:rFonts w:ascii="Calibri" w:hAnsi="Calibri" w:cs="Times New Roman"/>
          <w:i/>
          <w:sz w:val="20"/>
          <w:szCs w:val="20"/>
        </w:rPr>
        <w:t>Table 1.1</w:t>
      </w:r>
      <w:r>
        <w:rPr>
          <w:rFonts w:ascii="Calibri" w:hAnsi="Calibri" w:cs="Times New Roman"/>
          <w:sz w:val="20"/>
          <w:szCs w:val="20"/>
        </w:rPr>
        <w:t>: Summary of detection and attribution studies linking recent extreme weather events to climate change. References are contained in Peterson et al. (2012)</w:t>
      </w:r>
      <w:r w:rsidR="00E13392">
        <w:rPr>
          <w:rFonts w:ascii="Calibri" w:hAnsi="Calibri" w:cs="Times New Roman"/>
          <w:sz w:val="20"/>
          <w:szCs w:val="20"/>
        </w:rPr>
        <w:fldChar w:fldCharType="begin"/>
      </w:r>
      <w:r>
        <w:rPr>
          <w:rFonts w:ascii="Calibri" w:hAnsi="Calibri" w:cs="Times New Roman"/>
          <w:sz w:val="20"/>
          <w:szCs w:val="20"/>
        </w:rPr>
        <w:instrText xml:space="preserve"> ADDIN EN.CITE &lt;EndNote&gt;&lt;Cite&gt;&lt;Author&gt;Peterson&lt;/Author&gt;&lt;Year&gt;2012&lt;/Year&gt;&lt;RecNum&gt;1571&lt;/RecNum&gt;&lt;DisplayText&gt;&lt;style face="superscript"&gt;16&lt;/style&gt;&lt;/DisplayText&gt;&lt;record&gt;&lt;rec-number&gt;1571&lt;/rec-number&gt;&lt;foreign-keys&gt;&lt;key app="EN" db-id="wtftd20rmszxx0ettxy5exwdf90wv22s2dsf" timestamp="1428038257"&gt;1571&lt;/key&gt;&lt;/foreign-keys&gt;&lt;ref-type name="Journal Article"&gt;17&lt;/ref-type&gt;&lt;contributors&gt;&lt;authors&gt;&lt;author&gt;T Peterson&lt;/author&gt;&lt;author&gt;P Stott&lt;/author&gt;&lt;author&gt;S Herring&lt;/author&gt;&lt;/authors&gt;&lt;/contributors&gt;&lt;titles&gt;&lt;title&gt;Explaining Extreme Events of 2011 from a Climate Perspective&lt;/title&gt;&lt;secondary-title&gt;Special Supplement to the Bulletin of the American Meteorological Society&lt;/secondary-title&gt;&lt;/titles&gt;&lt;periodical&gt;&lt;full-title&gt;Special Supplement to the Bulletin of the American Meteorological Society&lt;/full-title&gt;&lt;/periodical&gt;&lt;pages&gt;1041-67&lt;/pages&gt;&lt;volume&gt;93&lt;/volume&gt;&lt;dates&gt;&lt;year&gt;2012&lt;/year&gt;&lt;/dates&gt;&lt;urls&gt;&lt;/urls&gt;&lt;/record&gt;&lt;/Cite&gt;&lt;/EndNote&gt;</w:instrText>
      </w:r>
      <w:r w:rsidR="00E13392">
        <w:rPr>
          <w:rFonts w:ascii="Calibri" w:hAnsi="Calibri" w:cs="Times New Roman"/>
          <w:sz w:val="20"/>
          <w:szCs w:val="20"/>
        </w:rPr>
        <w:fldChar w:fldCharType="separate"/>
      </w:r>
      <w:r w:rsidRPr="00CC5E3E">
        <w:rPr>
          <w:rFonts w:ascii="Calibri" w:hAnsi="Calibri" w:cs="Times New Roman"/>
          <w:noProof/>
          <w:sz w:val="20"/>
          <w:szCs w:val="20"/>
          <w:vertAlign w:val="superscript"/>
        </w:rPr>
        <w:t>16</w:t>
      </w:r>
      <w:r w:rsidR="00E13392">
        <w:rPr>
          <w:rFonts w:ascii="Calibri" w:hAnsi="Calibri" w:cs="Times New Roman"/>
          <w:sz w:val="20"/>
          <w:szCs w:val="20"/>
        </w:rPr>
        <w:fldChar w:fldCharType="end"/>
      </w:r>
      <w:r>
        <w:rPr>
          <w:rFonts w:ascii="Calibri" w:hAnsi="Calibri" w:cs="Times New Roman"/>
          <w:sz w:val="20"/>
          <w:szCs w:val="20"/>
        </w:rPr>
        <w:t>, Peterson et al., (2013)</w:t>
      </w:r>
      <w:r w:rsidR="00E13392">
        <w:rPr>
          <w:rFonts w:ascii="Calibri" w:hAnsi="Calibri" w:cs="Times New Roman"/>
          <w:sz w:val="20"/>
          <w:szCs w:val="20"/>
        </w:rPr>
        <w:fldChar w:fldCharType="begin"/>
      </w:r>
      <w:r>
        <w:rPr>
          <w:rFonts w:ascii="Calibri" w:hAnsi="Calibri" w:cs="Times New Roman"/>
          <w:sz w:val="20"/>
          <w:szCs w:val="20"/>
        </w:rPr>
        <w:instrText xml:space="preserve"> ADDIN EN.CITE &lt;EndNote&gt;&lt;Cite&gt;&lt;Author&gt;Peterson&lt;/Author&gt;&lt;Year&gt;2013&lt;/Year&gt;&lt;RecNum&gt;1570&lt;/RecNum&gt;&lt;DisplayText&gt;&lt;style face="superscript"&gt;14&lt;/style&gt;&lt;/DisplayText&gt;&lt;record&gt;&lt;rec-number&gt;1570&lt;/rec-number&gt;&lt;foreign-keys&gt;&lt;key app="EN" db-id="wtftd20rmszxx0ettxy5exwdf90wv22s2dsf" timestamp="1428037922"&gt;1570&lt;/key&gt;&lt;/foreign-keys&gt;&lt;ref-type name="Journal Article"&gt;17&lt;/ref-type&gt;&lt;contributors&gt;&lt;authors&gt;&lt;author&gt;T Peterson&lt;/author&gt;&lt;author&gt;M Hoerling&lt;/author&gt;&lt;author&gt;P Stott&lt;/author&gt;&lt;author&gt;S Herring&lt;/author&gt;&lt;/authors&gt;&lt;/contributors&gt;&lt;titles&gt;&lt;title&gt;Explaining Extreme Events of 2012 from a Climate Perspective&lt;/title&gt;&lt;secondary-title&gt;Special Bulletin of the American Meteorological Society&lt;/secondary-title&gt;&lt;/titles&gt;&lt;periodical&gt;&lt;full-title&gt;Special Bulletin of the American Meteorological Society&lt;/full-title&gt;&lt;/periodical&gt;&lt;pages&gt;S1-S106&lt;/pages&gt;&lt;volume&gt;94&lt;/volume&gt;&lt;number&gt;9&lt;/number&gt;&lt;dates&gt;&lt;year&gt;2013&lt;/year&gt;&lt;/dates&gt;&lt;urls&gt;&lt;/urls&gt;&lt;/record&gt;&lt;/Cite&gt;&lt;/EndNote&gt;</w:instrText>
      </w:r>
      <w:r w:rsidR="00E13392">
        <w:rPr>
          <w:rFonts w:ascii="Calibri" w:hAnsi="Calibri" w:cs="Times New Roman"/>
          <w:sz w:val="20"/>
          <w:szCs w:val="20"/>
        </w:rPr>
        <w:fldChar w:fldCharType="separate"/>
      </w:r>
      <w:r w:rsidRPr="00CC5E3E">
        <w:rPr>
          <w:rFonts w:ascii="Calibri" w:hAnsi="Calibri" w:cs="Times New Roman"/>
          <w:noProof/>
          <w:sz w:val="20"/>
          <w:szCs w:val="20"/>
          <w:vertAlign w:val="superscript"/>
        </w:rPr>
        <w:t>14</w:t>
      </w:r>
      <w:r w:rsidR="00E13392">
        <w:rPr>
          <w:rFonts w:ascii="Calibri" w:hAnsi="Calibri" w:cs="Times New Roman"/>
          <w:sz w:val="20"/>
          <w:szCs w:val="20"/>
        </w:rPr>
        <w:fldChar w:fldCharType="end"/>
      </w:r>
      <w:r>
        <w:rPr>
          <w:rFonts w:ascii="Calibri" w:hAnsi="Calibri" w:cs="Times New Roman"/>
          <w:sz w:val="20"/>
          <w:szCs w:val="20"/>
        </w:rPr>
        <w:t>, Herring et al. (2014)</w:t>
      </w:r>
      <w:r w:rsidR="00E13392">
        <w:rPr>
          <w:rFonts w:ascii="Calibri" w:hAnsi="Calibri" w:cs="Times New Roman"/>
        </w:rPr>
        <w:fldChar w:fldCharType="begin"/>
      </w:r>
      <w:r>
        <w:rPr>
          <w:rFonts w:ascii="Calibri" w:hAnsi="Calibri" w:cs="Times New Roman"/>
        </w:rPr>
        <w:instrText xml:space="preserve"> ADDIN EN.CITE &lt;EndNote&gt;&lt;Cite&gt;&lt;Author&gt;Herring&lt;/Author&gt;&lt;Year&gt;2014&lt;/Year&gt;&lt;RecNum&gt;1390&lt;/RecNum&gt;&lt;DisplayText&gt;&lt;style face="superscript"&gt;15&lt;/style&gt;&lt;/DisplayText&gt;&lt;record&gt;&lt;rec-number&gt;1390&lt;/rec-number&gt;&lt;foreign-keys&gt;&lt;key app="EN" db-id="wtftd20rmszxx0ettxy5exwdf90wv22s2dsf" timestamp="1419264101"&gt;1390&lt;/key&gt;&lt;/foreign-keys&gt;&lt;ref-type name="Journal Article"&gt;17&lt;/ref-type&gt;&lt;contributors&gt;&lt;authors&gt;&lt;author&gt;S Herring&lt;/author&gt;&lt;author&gt;M Hoerling&lt;/author&gt;&lt;author&gt;T Peterson&lt;/author&gt;&lt;author&gt;P Stott&lt;/author&gt;&lt;/authors&gt;&lt;/contributors&gt;&lt;titles&gt;&lt;title&gt;Explaining Extreme Events of 2013 from a Climate Perspective&lt;/title&gt;&lt;secondary-title&gt;Special Bulletin of the American Meteorological Society&lt;/secondary-title&gt;&lt;/titles&gt;&lt;periodical&gt;&lt;full-title&gt;Special Bulletin of the American Meteorological Society&lt;/full-title&gt;&lt;/periodical&gt;&lt;pages&gt;S1-S96&lt;/pages&gt;&lt;volume&gt;95&lt;/volume&gt;&lt;number&gt;9&lt;/number&gt;&lt;dates&gt;&lt;year&gt;2014&lt;/year&gt;&lt;/dates&gt;&lt;urls&gt;&lt;/urls&gt;&lt;/record&gt;&lt;/Cite&gt;&lt;/EndNote&gt;</w:instrText>
      </w:r>
      <w:r w:rsidR="00E13392">
        <w:rPr>
          <w:rFonts w:ascii="Calibri" w:hAnsi="Calibri" w:cs="Times New Roman"/>
        </w:rPr>
        <w:fldChar w:fldCharType="separate"/>
      </w:r>
      <w:r w:rsidRPr="00CC5E3E">
        <w:rPr>
          <w:rFonts w:ascii="Calibri" w:hAnsi="Calibri" w:cs="Times New Roman"/>
          <w:noProof/>
          <w:vertAlign w:val="superscript"/>
        </w:rPr>
        <w:t>15</w:t>
      </w:r>
      <w:r w:rsidR="00E13392">
        <w:rPr>
          <w:rFonts w:ascii="Calibri" w:hAnsi="Calibri" w:cs="Times New Roman"/>
        </w:rPr>
        <w:fldChar w:fldCharType="end"/>
      </w:r>
      <w:r>
        <w:rPr>
          <w:rFonts w:ascii="Calibri" w:hAnsi="Calibri" w:cs="Times New Roman"/>
          <w:b/>
        </w:rPr>
        <w:t xml:space="preserve"> </w:t>
      </w:r>
      <w:r>
        <w:rPr>
          <w:rFonts w:ascii="Calibri" w:hAnsi="Calibri" w:cs="Times New Roman"/>
          <w:sz w:val="20"/>
          <w:szCs w:val="20"/>
        </w:rPr>
        <w:t>or listed separately. Adapted from the Bulletin of the American Meteorological Society.</w:t>
      </w:r>
    </w:p>
    <w:p w:rsidR="00CC5E3E" w:rsidRDefault="00CC5E3E" w:rsidP="00CC5E3E">
      <w:pPr>
        <w:rPr>
          <w:lang w:val="en-GB"/>
        </w:rPr>
        <w:sectPr w:rsidR="00CC5E3E" w:rsidSect="00CC5E3E">
          <w:pgSz w:w="16838" w:h="11906" w:orient="landscape"/>
          <w:pgMar w:top="1440" w:right="1440" w:bottom="1440" w:left="1440" w:header="709" w:footer="709" w:gutter="0"/>
          <w:lnNumType w:countBy="1" w:restart="continuous"/>
          <w:cols w:space="708"/>
          <w:docGrid w:linePitch="360"/>
        </w:sectPr>
      </w:pPr>
    </w:p>
    <w:p w:rsidR="00CC5E3E" w:rsidRDefault="00CC5E3E" w:rsidP="00CC5E3E">
      <w:pPr>
        <w:rPr>
          <w:lang w:val="en-GB"/>
        </w:rPr>
      </w:pPr>
    </w:p>
    <w:p w:rsidR="005E2CAA" w:rsidRPr="00A41589" w:rsidRDefault="005E2CAA" w:rsidP="00A41589">
      <w:pPr>
        <w:jc w:val="both"/>
        <w:rPr>
          <w:rFonts w:ascii="Calibri" w:hAnsi="Calibri"/>
        </w:rPr>
      </w:pPr>
    </w:p>
    <w:p w:rsidR="005E2CAA" w:rsidRPr="005E2CAA" w:rsidRDefault="005E2CAA" w:rsidP="00A41589">
      <w:pPr>
        <w:pStyle w:val="Heading2"/>
      </w:pPr>
      <w:bookmarkStart w:id="11" w:name="_Toc402956347"/>
      <w:bookmarkStart w:id="12" w:name="_Toc415931366"/>
      <w:bookmarkStart w:id="13" w:name="_Toc417502031"/>
      <w:r w:rsidRPr="00A41589">
        <w:t>Non-</w:t>
      </w:r>
      <w:r w:rsidR="00AC5CC7">
        <w:t>L</w:t>
      </w:r>
      <w:r w:rsidR="00AC5CC7" w:rsidRPr="00A41589">
        <w:t>inearities</w:t>
      </w:r>
      <w:r w:rsidRPr="00A41589">
        <w:t xml:space="preserve">, </w:t>
      </w:r>
      <w:r w:rsidR="00AC5CC7">
        <w:t>I</w:t>
      </w:r>
      <w:r w:rsidR="00AC5CC7" w:rsidRPr="00A41589">
        <w:t xml:space="preserve">nteractions </w:t>
      </w:r>
      <w:r w:rsidRPr="00A41589">
        <w:t>and ‘</w:t>
      </w:r>
      <w:r w:rsidR="00AC5CC7">
        <w:t>U</w:t>
      </w:r>
      <w:r w:rsidR="00AC5CC7" w:rsidRPr="00A41589">
        <w:t xml:space="preserve">nknown </w:t>
      </w:r>
      <w:bookmarkEnd w:id="11"/>
      <w:r w:rsidR="00AC5CC7">
        <w:t>U</w:t>
      </w:r>
      <w:r w:rsidR="00AC5CC7" w:rsidRPr="00A41589">
        <w:t>nknowns’</w:t>
      </w:r>
      <w:bookmarkEnd w:id="12"/>
      <w:bookmarkEnd w:id="13"/>
    </w:p>
    <w:p w:rsidR="00AC5CC7" w:rsidRPr="004B2349" w:rsidRDefault="00AC5CC7" w:rsidP="00A41589">
      <w:pPr>
        <w:jc w:val="both"/>
        <w:rPr>
          <w:rFonts w:ascii="Calibri" w:hAnsi="Calibri"/>
          <w:sz w:val="22"/>
          <w:szCs w:val="22"/>
        </w:rPr>
      </w:pPr>
      <w:r>
        <w:rPr>
          <w:rFonts w:ascii="Calibri" w:hAnsi="Calibri" w:cs="Times New Roman"/>
          <w:sz w:val="22"/>
          <w:szCs w:val="22"/>
        </w:rPr>
        <w:t>T</w:t>
      </w:r>
      <w:r w:rsidRPr="00A41589">
        <w:rPr>
          <w:rFonts w:ascii="Calibri" w:hAnsi="Calibri" w:cs="Times New Roman"/>
          <w:sz w:val="22"/>
          <w:szCs w:val="22"/>
        </w:rPr>
        <w:t xml:space="preserve">he </w:t>
      </w:r>
      <w:r w:rsidR="00DB0FF9">
        <w:rPr>
          <w:rFonts w:ascii="Calibri" w:hAnsi="Calibri" w:cs="Times New Roman"/>
          <w:sz w:val="22"/>
          <w:szCs w:val="22"/>
        </w:rPr>
        <w:t>magniture</w:t>
      </w:r>
      <w:r w:rsidRPr="00A41589">
        <w:rPr>
          <w:rFonts w:ascii="Calibri" w:hAnsi="Calibri" w:cs="Times New Roman"/>
          <w:sz w:val="22"/>
          <w:szCs w:val="22"/>
        </w:rPr>
        <w:t xml:space="preserve"> and </w:t>
      </w:r>
      <w:r>
        <w:rPr>
          <w:rFonts w:ascii="Calibri" w:hAnsi="Calibri" w:cs="Times New Roman"/>
          <w:sz w:val="22"/>
          <w:szCs w:val="22"/>
        </w:rPr>
        <w:t>nature</w:t>
      </w:r>
      <w:r w:rsidRPr="00A41589">
        <w:rPr>
          <w:rFonts w:ascii="Calibri" w:hAnsi="Calibri" w:cs="Times New Roman"/>
          <w:sz w:val="22"/>
          <w:szCs w:val="22"/>
        </w:rPr>
        <w:t xml:space="preserve"> of health impacts are hard to predict with precisi</w:t>
      </w:r>
      <w:r w:rsidRPr="00BD6D8A">
        <w:rPr>
          <w:rFonts w:ascii="Calibri" w:hAnsi="Calibri" w:cs="Times New Roman"/>
          <w:sz w:val="22"/>
          <w:szCs w:val="22"/>
        </w:rPr>
        <w:t>on</w:t>
      </w:r>
      <w:r w:rsidR="00DB0FF9">
        <w:rPr>
          <w:rFonts w:ascii="Calibri" w:hAnsi="Calibri" w:cs="Times New Roman"/>
          <w:sz w:val="22"/>
          <w:szCs w:val="22"/>
        </w:rPr>
        <w:t>, however it is clear that they are pervasive and reflect effects on key determinants of health, including food availability</w:t>
      </w:r>
      <w:r>
        <w:rPr>
          <w:rFonts w:ascii="Calibri" w:hAnsi="Calibri" w:cs="Times New Roman"/>
          <w:sz w:val="22"/>
          <w:szCs w:val="22"/>
        </w:rPr>
        <w:t xml:space="preserve">. </w:t>
      </w:r>
      <w:r w:rsidR="00DB0FF9">
        <w:rPr>
          <w:rFonts w:ascii="Calibri" w:hAnsi="Calibri" w:cs="Times New Roman"/>
          <w:sz w:val="22"/>
          <w:szCs w:val="22"/>
        </w:rPr>
        <w:t>There are real risks that the effects</w:t>
      </w:r>
      <w:r w:rsidRPr="00A41589">
        <w:rPr>
          <w:rFonts w:ascii="Calibri" w:hAnsi="Calibri" w:cs="Times New Roman"/>
          <w:sz w:val="22"/>
          <w:szCs w:val="22"/>
        </w:rPr>
        <w:t xml:space="preserve"> will become non-linear as emissions and global temperatures increase</w:t>
      </w:r>
      <w:r>
        <w:rPr>
          <w:rFonts w:ascii="Calibri" w:hAnsi="Calibri" w:cs="Times New Roman"/>
          <w:sz w:val="22"/>
          <w:szCs w:val="22"/>
        </w:rPr>
        <w:t>. Firstly, l</w:t>
      </w:r>
      <w:r w:rsidRPr="00A41589">
        <w:rPr>
          <w:rFonts w:ascii="Calibri" w:hAnsi="Calibri" w:cs="Times New Roman"/>
          <w:sz w:val="22"/>
          <w:szCs w:val="22"/>
        </w:rPr>
        <w:t>arge-scale disruptions to the climate system are not included in climate modeling and impact assessments.</w:t>
      </w:r>
      <w:r w:rsidR="00E13392">
        <w:rPr>
          <w:rFonts w:ascii="Calibri" w:hAnsi="Calibri" w:cs="Times New Roman"/>
          <w:sz w:val="22"/>
          <w:szCs w:val="22"/>
        </w:rPr>
        <w:fldChar w:fldCharType="begin"/>
      </w:r>
      <w:r w:rsidR="00CC5E3E">
        <w:rPr>
          <w:rFonts w:ascii="Calibri" w:hAnsi="Calibri" w:cs="Times New Roman"/>
          <w:sz w:val="22"/>
          <w:szCs w:val="22"/>
        </w:rPr>
        <w:instrText xml:space="preserve"> ADDIN EN.CITE &lt;EndNote&gt;&lt;Cite&gt;&lt;Author&gt;World Bank&lt;/Author&gt;&lt;Year&gt;2012&lt;/Year&gt;&lt;RecNum&gt;1285&lt;/RecNum&gt;&lt;DisplayText&gt;&lt;style face="superscript"&gt;18&lt;/style&gt;&lt;/DisplayText&gt;&lt;record&gt;&lt;rec-number&gt;1285&lt;/rec-number&gt;&lt;foreign-keys&gt;&lt;key app="EN" db-id="wtftd20rmszxx0ettxy5exwdf90wv22s2dsf" timestamp="1419212983"&gt;1285&lt;/key&gt;&lt;/foreign-keys&gt;&lt;ref-type name="Conference Paper"&gt;47&lt;/ref-type&gt;&lt;contributors&gt;&lt;authors&gt;&lt;author&gt;World Bank,&lt;/author&gt;&lt;/authors&gt;&lt;/contributors&gt;&lt;titles&gt;&lt;title&gt;Turn down the heat: why a 4°C warmer world must be avoided&lt;/title&gt;&lt;/titles&gt;&lt;dates&gt;&lt;year&gt;2012&lt;/year&gt;&lt;pub-dates&gt;&lt;date&gt;November 2012&lt;/date&gt;&lt;/pub-dates&gt;&lt;/dates&gt;&lt;publisher&gt;A Report for the World Bank by the Potsdam Institute for Climate Impact Research and Climate Analytics&lt;/publisher&gt;&lt;urls&gt;&lt;/urls&gt;&lt;/record&gt;&lt;/Cite&gt;&lt;/EndNote&gt;</w:instrText>
      </w:r>
      <w:r w:rsidR="00E13392">
        <w:rPr>
          <w:rFonts w:ascii="Calibri" w:hAnsi="Calibri" w:cs="Times New Roman"/>
          <w:sz w:val="22"/>
          <w:szCs w:val="22"/>
        </w:rPr>
        <w:fldChar w:fldCharType="separate"/>
      </w:r>
      <w:r w:rsidR="00CC5E3E" w:rsidRPr="00CC5E3E">
        <w:rPr>
          <w:rFonts w:ascii="Calibri" w:hAnsi="Calibri" w:cs="Times New Roman"/>
          <w:noProof/>
          <w:sz w:val="22"/>
          <w:szCs w:val="22"/>
          <w:vertAlign w:val="superscript"/>
        </w:rPr>
        <w:t>18</w:t>
      </w:r>
      <w:r w:rsidR="00E13392">
        <w:rPr>
          <w:rFonts w:ascii="Calibri" w:hAnsi="Calibri" w:cs="Times New Roman"/>
          <w:sz w:val="22"/>
          <w:szCs w:val="22"/>
        </w:rPr>
        <w:fldChar w:fldCharType="end"/>
      </w:r>
      <w:r w:rsidRPr="00A41589">
        <w:rPr>
          <w:rFonts w:ascii="Calibri" w:hAnsi="Calibri" w:cs="Times New Roman"/>
          <w:sz w:val="22"/>
          <w:szCs w:val="22"/>
        </w:rPr>
        <w:t xml:space="preserve"> </w:t>
      </w:r>
      <w:r>
        <w:rPr>
          <w:rFonts w:ascii="Calibri" w:hAnsi="Calibri" w:cs="Times New Roman"/>
          <w:sz w:val="22"/>
          <w:szCs w:val="22"/>
        </w:rPr>
        <w:t xml:space="preserve">As we proceed rapidly towards </w:t>
      </w:r>
      <w:r w:rsidRPr="00A41589">
        <w:rPr>
          <w:rFonts w:ascii="Calibri" w:hAnsi="Calibri" w:cs="Times New Roman"/>
          <w:sz w:val="22"/>
          <w:szCs w:val="22"/>
        </w:rPr>
        <w:t>4°C warming by the end of the century</w:t>
      </w:r>
      <w:r>
        <w:rPr>
          <w:rFonts w:ascii="Calibri" w:hAnsi="Calibri" w:cs="Times New Roman"/>
          <w:sz w:val="22"/>
          <w:szCs w:val="22"/>
        </w:rPr>
        <w:t xml:space="preserve">, the likelihood of crossing thresholds and tipping points rises, threatening further warming </w:t>
      </w:r>
      <w:r w:rsidR="003F5DA7">
        <w:rPr>
          <w:rFonts w:ascii="Calibri" w:hAnsi="Calibri" w:cs="Times New Roman"/>
          <w:sz w:val="22"/>
          <w:szCs w:val="22"/>
        </w:rPr>
        <w:t>and accelerated sea-level rise.</w:t>
      </w:r>
      <w:r>
        <w:rPr>
          <w:rFonts w:ascii="Calibri" w:hAnsi="Calibri" w:cs="Times New Roman"/>
          <w:sz w:val="22"/>
          <w:szCs w:val="22"/>
        </w:rPr>
        <w:t xml:space="preserve"> </w:t>
      </w:r>
      <w:r w:rsidRPr="00A41589">
        <w:rPr>
          <w:rFonts w:ascii="Calibri" w:hAnsi="Calibri" w:cs="Times New Roman"/>
          <w:sz w:val="22"/>
          <w:szCs w:val="22"/>
        </w:rPr>
        <w:t xml:space="preserve">Secondly, small risks can interact to produce larger-than-expected chances of catastrophic outcomes, especially if they </w:t>
      </w:r>
      <w:r w:rsidRPr="00A37EA9">
        <w:rPr>
          <w:rFonts w:ascii="Calibri" w:hAnsi="Calibri" w:cs="Times New Roman"/>
          <w:sz w:val="22"/>
          <w:szCs w:val="22"/>
        </w:rPr>
        <w:t>are correlated</w:t>
      </w:r>
      <w:r w:rsidR="00CE7A57" w:rsidRPr="00142ED0">
        <w:rPr>
          <w:rFonts w:ascii="Calibri" w:hAnsi="Calibri" w:cs="Times New Roman"/>
          <w:sz w:val="22"/>
          <w:szCs w:val="22"/>
        </w:rPr>
        <w:t xml:space="preserve"> (Box 1.1)</w:t>
      </w:r>
      <w:r w:rsidRPr="004052FF">
        <w:rPr>
          <w:rFonts w:ascii="Calibri" w:hAnsi="Calibri" w:cs="Times New Roman"/>
          <w:sz w:val="22"/>
          <w:szCs w:val="22"/>
        </w:rPr>
        <w:t>.</w:t>
      </w:r>
      <w:r w:rsidR="00E13392" w:rsidRPr="00142ED0">
        <w:rPr>
          <w:rFonts w:ascii="Calibri" w:hAnsi="Calibri" w:cs="Times New Roman"/>
          <w:sz w:val="22"/>
          <w:szCs w:val="22"/>
        </w:rPr>
        <w:fldChar w:fldCharType="begin">
          <w:fldData xml:space="preserve">PEVuZE5vdGU+PENpdGU+PEF1dGhvcj5Sb2Nrc3Ryw7ZtPC9BdXRob3I+PFllYXI+MjAwOTwvWWVh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</w:fldData>
        </w:fldChar>
      </w:r>
      <w:r w:rsidR="00CC5E3E">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PEVuZE5vdGU+PENpdGU+PEF1dGhvcj5Sb2Nrc3Ryw7ZtPC9BdXRob3I+PFllYXI+MjAwOTwvWWVh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</w:fldData>
        </w:fldChar>
      </w:r>
      <w:r w:rsidR="00CC5E3E">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sidRPr="00142ED0">
        <w:rPr>
          <w:rFonts w:ascii="Calibri" w:hAnsi="Calibri" w:cs="Times New Roman"/>
          <w:sz w:val="22"/>
          <w:szCs w:val="22"/>
        </w:rPr>
      </w:r>
      <w:r w:rsidR="00E13392" w:rsidRPr="00142ED0">
        <w:rPr>
          <w:rFonts w:ascii="Calibri" w:hAnsi="Calibri" w:cs="Times New Roman"/>
          <w:sz w:val="22"/>
          <w:szCs w:val="22"/>
        </w:rPr>
        <w:fldChar w:fldCharType="separate"/>
      </w:r>
      <w:r w:rsidR="00CC5E3E" w:rsidRPr="00CC5E3E">
        <w:rPr>
          <w:rFonts w:ascii="Calibri" w:hAnsi="Calibri" w:cs="Times New Roman"/>
          <w:noProof/>
          <w:sz w:val="22"/>
          <w:szCs w:val="22"/>
          <w:vertAlign w:val="superscript"/>
        </w:rPr>
        <w:t>19,20</w:t>
      </w:r>
      <w:r w:rsidR="00E13392" w:rsidRPr="00142ED0">
        <w:rPr>
          <w:rFonts w:ascii="Calibri" w:hAnsi="Calibri" w:cs="Times New Roman"/>
          <w:sz w:val="22"/>
          <w:szCs w:val="22"/>
        </w:rPr>
        <w:fldChar w:fldCharType="end"/>
      </w:r>
      <w:r w:rsidRPr="00A37EA9">
        <w:rPr>
          <w:rFonts w:ascii="Calibri" w:hAnsi="Calibri" w:cs="Times New Roman"/>
          <w:sz w:val="22"/>
          <w:szCs w:val="22"/>
        </w:rPr>
        <w:t xml:space="preserve"> </w:t>
      </w:r>
    </w:p>
    <w:p w:rsidR="005E2CAA" w:rsidRPr="004B2349" w:rsidRDefault="005E2CAA" w:rsidP="00A41589">
      <w:pPr>
        <w:jc w:val="both"/>
        <w:rPr>
          <w:rFonts w:ascii="Calibri" w:hAnsi="Calibri"/>
          <w:sz w:val="22"/>
          <w:szCs w:val="22"/>
        </w:rPr>
      </w:pPr>
    </w:p>
    <w:p w:rsidR="005E2CAA" w:rsidRPr="004008E1" w:rsidRDefault="005E2CAA" w:rsidP="00A41589">
      <w:pPr>
        <w:jc w:val="both"/>
        <w:rPr>
          <w:rFonts w:ascii="Calibri" w:hAnsi="Calibri" w:cs="Times New Roman"/>
          <w:sz w:val="22"/>
        </w:rPr>
      </w:pPr>
      <w:r w:rsidRPr="004B2349">
        <w:rPr>
          <w:rFonts w:ascii="Calibri" w:hAnsi="Calibri" w:cs="Times New Roman"/>
          <w:sz w:val="22"/>
        </w:rPr>
        <w:t xml:space="preserve">Such impacts (and their interactions) are unlikely to be trivial, and may be sufficient to trigger a </w:t>
      </w:r>
      <w:r w:rsidR="004052FF">
        <w:rPr>
          <w:rFonts w:ascii="Calibri" w:hAnsi="Calibri" w:cs="Times New Roman"/>
          <w:sz w:val="22"/>
        </w:rPr>
        <w:t>‘</w:t>
      </w:r>
      <w:r w:rsidRPr="00142ED0">
        <w:rPr>
          <w:rFonts w:ascii="Calibri" w:hAnsi="Calibri" w:cs="Times New Roman"/>
          <w:sz w:val="22"/>
        </w:rPr>
        <w:t>discontinuity in the long-term progression of humanity’.</w:t>
      </w:r>
      <w:r w:rsidR="00E13392" w:rsidRPr="00142ED0">
        <w:rPr>
          <w:rFonts w:ascii="Calibri" w:hAnsi="Calibri" w:cs="Times New Roman"/>
          <w:sz w:val="22"/>
        </w:rPr>
        <w:fldChar w:fldCharType="begin"/>
      </w:r>
      <w:r w:rsidR="00CC5E3E">
        <w:rPr>
          <w:rFonts w:ascii="Calibri" w:hAnsi="Calibri" w:cs="Times New Roman"/>
          <w:sz w:val="22"/>
        </w:rPr>
        <w:instrText xml:space="preserve"> ADDIN EN.CITE &lt;EndNote&gt;&lt;Cite&gt;&lt;Author&gt;Haines&lt;/Author&gt;&lt;Year&gt;2014&lt;/Year&gt;&lt;RecNum&gt;1396&lt;/RecNum&gt;&lt;DisplayText&gt;&lt;style face="superscript"&gt;21&lt;/style&gt;&lt;/DisplayText&gt;&lt;record&gt;&lt;rec-number&gt;1396&lt;/rec-number&gt;&lt;foreign-keys&gt;&lt;key app="EN" db-id="wtftd20rmszxx0ettxy5exwdf90wv22s2dsf" timestamp="1419265733"&gt;1396&lt;/key&gt;&lt;/foreign-keys&gt;&lt;ref-type name="Journal Article"&gt;17&lt;/ref-type&gt;&lt;contributors&gt;&lt;authors&gt;&lt;author&gt;Andy Haines&lt;/author&gt;&lt;author&gt;Kristie L Ebi&lt;/author&gt;&lt;author&gt;Kirk Smith&lt;/author&gt;&lt;author&gt;Alistair Woodward&lt;/author&gt;&lt;/authors&gt;&lt;/contributors&gt;&lt;titles&gt;&lt;title&gt;Health risks of climate change: act now or pay later&lt;/title&gt;&lt;secondary-title&gt;The Lancet&lt;/secondary-title&gt;&lt;/titles&gt;&lt;periodical&gt;&lt;full-title&gt;The Lancet&lt;/full-title&gt;&lt;/periodical&gt;&lt;pages&gt;1073-5&lt;/pages&gt;&lt;volume&gt;384&lt;/volume&gt;&lt;number&gt;9948&lt;/number&gt;&lt;dates&gt;&lt;year&gt;2014&lt;/year&gt;&lt;/dates&gt;&lt;urls&gt;&lt;/urls&gt;&lt;/record&gt;&lt;/Cite&gt;&lt;/EndNote&gt;</w:instrText>
      </w:r>
      <w:r w:rsidR="00E13392" w:rsidRPr="00142ED0">
        <w:rPr>
          <w:rFonts w:ascii="Calibri" w:hAnsi="Calibri" w:cs="Times New Roman"/>
          <w:sz w:val="22"/>
        </w:rPr>
        <w:fldChar w:fldCharType="separate"/>
      </w:r>
      <w:r w:rsidR="00CC5E3E" w:rsidRPr="00CC5E3E">
        <w:rPr>
          <w:rFonts w:ascii="Calibri" w:hAnsi="Calibri" w:cs="Times New Roman"/>
          <w:noProof/>
          <w:sz w:val="22"/>
          <w:vertAlign w:val="superscript"/>
        </w:rPr>
        <w:t>21</w:t>
      </w:r>
      <w:r w:rsidR="00E13392" w:rsidRPr="00142ED0">
        <w:rPr>
          <w:rFonts w:ascii="Calibri" w:hAnsi="Calibri" w:cs="Times New Roman"/>
          <w:sz w:val="22"/>
        </w:rPr>
        <w:fldChar w:fldCharType="end"/>
      </w:r>
      <w:r w:rsidRPr="00A37EA9">
        <w:rPr>
          <w:rFonts w:ascii="Calibri" w:hAnsi="Calibri" w:cs="Times New Roman"/>
          <w:sz w:val="22"/>
        </w:rPr>
        <w:t xml:space="preserve"> Whilst the poorest and most vulnerable communities might suffer first, the interconnected nature of climate systems, ecosystems, and global society means that none will be immune. Indeed, based on current emission traj</w:t>
      </w:r>
      <w:r w:rsidRPr="00142ED0">
        <w:rPr>
          <w:rFonts w:ascii="Calibri" w:hAnsi="Calibri" w:cs="Times New Roman"/>
          <w:sz w:val="22"/>
        </w:rPr>
        <w:t>ectories, temperature rises in the next 85 years may be ‘incompatible with an organised global community’.</w:t>
      </w:r>
      <w:r w:rsidR="00C27670" w:rsidRPr="004008E1">
        <w:rPr>
          <w:rFonts w:ascii="Calibri" w:hAnsi="Calibri" w:cs="Times New Roman"/>
          <w:sz w:val="22"/>
        </w:rPr>
        <w:t xml:space="preserve"> (Anderson, 2011)</w:t>
      </w:r>
      <w:r w:rsidR="00E13392" w:rsidRPr="004008E1">
        <w:rPr>
          <w:rFonts w:ascii="Calibri" w:hAnsi="Calibri" w:cs="Times New Roman"/>
          <w:sz w:val="22"/>
        </w:rPr>
        <w:fldChar w:fldCharType="begin"/>
      </w:r>
      <w:r w:rsidR="00CC5E3E">
        <w:rPr>
          <w:rFonts w:ascii="Calibri" w:hAnsi="Calibri" w:cs="Times New Roman"/>
          <w:sz w:val="22"/>
        </w:rPr>
        <w:instrText xml:space="preserve"> ADDIN EN.CITE &lt;EndNote&gt;&lt;Cite&gt;&lt;Author&gt;Anderson&lt;/Author&gt;&lt;Year&gt;2011&lt;/Year&gt;&lt;RecNum&gt;1397&lt;/RecNum&gt;&lt;DisplayText&gt;&lt;style face="superscript"&gt;22&lt;/style&gt;&lt;/DisplayText&gt;&lt;record&gt;&lt;rec-number&gt;1397&lt;/rec-number&gt;&lt;foreign-keys&gt;&lt;key app="EN" db-id="wtftd20rmszxx0ettxy5exwdf90wv22s2dsf" timestamp="1419266032"&gt;1397&lt;/key&gt;&lt;/foreign-keys&gt;&lt;ref-type name="Journal Article"&gt;17&lt;/ref-type&gt;&lt;contributors&gt;&lt;authors&gt;&lt;author&gt;K Anderson&lt;/author&gt;&lt;author&gt;A Bows&lt;/author&gt;&lt;/authors&gt;&lt;/contributors&gt;&lt;titles&gt;&lt;title&gt;Beyond &amp;apos;dangerous&amp;apos; climate change: emission scenarios for a new world&lt;/title&gt;&lt;secondary-title&gt;Philos Trans A Math Phys Eng Sci&lt;/secondary-title&gt;&lt;/titles&gt;&lt;periodical&gt;&lt;full-title&gt;Philos Trans A Math Phys Eng Sci&lt;/full-title&gt;&lt;/periodical&gt;&lt;pages&gt;20-44&lt;/pages&gt;&lt;volume&gt;369&lt;/volume&gt;&lt;number&gt;1934&lt;/number&gt;&lt;dates&gt;&lt;year&gt;2011&lt;/year&gt;&lt;/dates&gt;&lt;urls&gt;&lt;/urls&gt;&lt;/record&gt;&lt;/Cite&gt;&lt;/EndNote&gt;</w:instrText>
      </w:r>
      <w:r w:rsidR="00E13392" w:rsidRPr="004008E1">
        <w:rPr>
          <w:rFonts w:ascii="Calibri" w:hAnsi="Calibri" w:cs="Times New Roman"/>
          <w:sz w:val="22"/>
        </w:rPr>
        <w:fldChar w:fldCharType="separate"/>
      </w:r>
      <w:r w:rsidR="00CC5E3E" w:rsidRPr="00CC5E3E">
        <w:rPr>
          <w:rFonts w:ascii="Calibri" w:hAnsi="Calibri" w:cs="Times New Roman"/>
          <w:noProof/>
          <w:sz w:val="22"/>
          <w:vertAlign w:val="superscript"/>
        </w:rPr>
        <w:t>22</w:t>
      </w:r>
      <w:r w:rsidR="00E13392" w:rsidRPr="004008E1">
        <w:rPr>
          <w:rFonts w:ascii="Calibri" w:hAnsi="Calibri" w:cs="Times New Roman"/>
          <w:sz w:val="22"/>
        </w:rPr>
        <w:fldChar w:fldCharType="end"/>
      </w:r>
    </w:p>
    <w:p w:rsidR="005E2CAA" w:rsidRPr="00B50254" w:rsidRDefault="005E2CAA" w:rsidP="00A41589">
      <w:pPr>
        <w:jc w:val="both"/>
        <w:rPr>
          <w:rFonts w:ascii="Calibri" w:hAnsi="Calibri" w:cs="Times New Roman"/>
          <w:sz w:val="22"/>
        </w:rPr>
      </w:pPr>
    </w:p>
    <w:tbl>
      <w:tblPr>
        <w:tblW w:w="0" w:type="auto"/>
        <w:shd w:val="clear" w:color="auto" w:fill="F2F2F2" w:themeFill="background1" w:themeFillShade="F2"/>
        <w:tblLook w:val="04A0" w:firstRow="1" w:lastRow="0" w:firstColumn="1" w:lastColumn="0" w:noHBand="0" w:noVBand="1"/>
      </w:tblPr>
      <w:tblGrid>
        <w:gridCol w:w="9241"/>
      </w:tblGrid>
      <w:tr w:rsidR="00303C0E" w:rsidTr="00FE56B7">
        <w:tc>
          <w:tcPr>
            <w:tcW w:w="9241" w:type="dxa"/>
            <w:shd w:val="clear" w:color="auto" w:fill="F2F2F2" w:themeFill="background1" w:themeFillShade="F2"/>
          </w:tcPr>
          <w:p w:rsidR="00303C0E" w:rsidRPr="00B50254" w:rsidRDefault="00303C0E" w:rsidP="00FE56B7">
            <w:pPr>
              <w:jc w:val="center"/>
              <w:rPr>
                <w:rFonts w:ascii="Calibri" w:hAnsi="Calibri" w:cs="Times New Roman"/>
                <w:b/>
                <w:sz w:val="20"/>
              </w:rPr>
            </w:pPr>
          </w:p>
          <w:p w:rsidR="00303C0E" w:rsidRPr="004B2349" w:rsidRDefault="00303C0E" w:rsidP="00FE56B7">
            <w:pPr>
              <w:jc w:val="center"/>
              <w:rPr>
                <w:rFonts w:ascii="Calibri" w:hAnsi="Calibri" w:cs="Times New Roman"/>
                <w:b/>
                <w:sz w:val="20"/>
              </w:rPr>
            </w:pPr>
            <w:r w:rsidRPr="004B2349">
              <w:rPr>
                <w:rFonts w:ascii="Calibri" w:hAnsi="Calibri" w:cs="Times New Roman"/>
                <w:b/>
                <w:sz w:val="20"/>
              </w:rPr>
              <w:t>Box 1.1 Teeth in the tails</w:t>
            </w:r>
          </w:p>
          <w:p w:rsidR="00303C0E" w:rsidRPr="004B2349" w:rsidRDefault="00303C0E" w:rsidP="00FE56B7">
            <w:pPr>
              <w:jc w:val="center"/>
              <w:rPr>
                <w:rFonts w:ascii="Calibri" w:hAnsi="Calibri" w:cs="Times New Roman"/>
                <w:b/>
                <w:sz w:val="20"/>
              </w:rPr>
            </w:pPr>
          </w:p>
          <w:p w:rsidR="00303C0E" w:rsidRPr="00A37EA9" w:rsidRDefault="00303C0E" w:rsidP="00FE56B7">
            <w:pPr>
              <w:jc w:val="both"/>
              <w:rPr>
                <w:rFonts w:ascii="Calibri" w:hAnsi="Calibri" w:cs="Verdana"/>
                <w:sz w:val="20"/>
                <w:szCs w:val="20"/>
              </w:rPr>
            </w:pPr>
            <w:r w:rsidRPr="004B2349">
              <w:rPr>
                <w:rFonts w:ascii="Calibri" w:hAnsi="Calibri"/>
                <w:sz w:val="20"/>
                <w:szCs w:val="20"/>
              </w:rPr>
              <w:t>Tail risks are those whose probability of occurring is low (e.g. more than 2 or 3 standard deviations from the mean).</w:t>
            </w:r>
            <w:r w:rsidRPr="004B2349">
              <w:rPr>
                <w:rFonts w:ascii="Calibri" w:hAnsi="Calibri"/>
                <w:i/>
                <w:sz w:val="20"/>
                <w:szCs w:val="20"/>
              </w:rPr>
              <w:t xml:space="preserve"> </w:t>
            </w:r>
            <w:r w:rsidRPr="004B2349">
              <w:rPr>
                <w:rFonts w:ascii="Calibri" w:hAnsi="Calibri" w:cs="Times New Roman"/>
                <w:sz w:val="20"/>
                <w:szCs w:val="20"/>
              </w:rPr>
              <w:t>The size of the tail and the combination of tails will decide the chance of extreme or catastrophic outcomes. Interactions between tail risks greatly influence the risk of several happening at once e.g. interactions between crop decline and population migration, or between heatwaves, water insecurity and crop yields. The 2008 global financial crisis serves as an example. Here, rating agencies catastrophically mispriced the risks of pooled mortgage related securities. For example, Nate Silver showed that if five mortgages, each with a 5% risk of defaulting, are pooled, the risk of a default of all five is as long as the defaults are perfectly uncorrelated. If they are perfectly correlated (as nearly occurred with the housing crash) the risk is 5%. In other words, if rating agencies assumed no interaction, their risk would be miscalculated by a factor of 160,000.</w:t>
            </w:r>
            <w:r w:rsidR="00E13392" w:rsidRPr="00142ED0">
              <w:rPr>
                <w:rFonts w:ascii="Calibri" w:hAnsi="Calibri" w:cs="Verdana"/>
                <w:sz w:val="20"/>
                <w:szCs w:val="20"/>
              </w:rPr>
              <w:fldChar w:fldCharType="begin"/>
            </w:r>
            <w:r>
              <w:rPr>
                <w:rFonts w:ascii="Calibri" w:hAnsi="Calibri" w:cs="Verdana"/>
                <w:sz w:val="20"/>
                <w:szCs w:val="20"/>
              </w:rPr>
              <w:instrText xml:space="preserve"> ADDIN EN.CITE &lt;EndNote&gt;&lt;Cite&gt;&lt;Author&gt;Silver&lt;/Author&gt;&lt;Year&gt;2012&lt;/Year&gt;&lt;RecNum&gt;1393&lt;/RecNum&gt;&lt;DisplayText&gt;&lt;style face="superscript"&gt;23&lt;/style&gt;&lt;/DisplayText&gt;&lt;record&gt;&lt;rec-number&gt;1393&lt;/rec-number&gt;&lt;foreign-keys&gt;&lt;key app="EN" db-id="wtftd20rmszxx0ettxy5exwdf90wv22s2dsf" timestamp="1419265273"&gt;1393&lt;/key&gt;&lt;/foreign-keys&gt;&lt;ref-type name="Book"&gt;6&lt;/ref-type&gt;&lt;contributors&gt;&lt;authors&gt;&lt;author&gt;Nate Silver&lt;/author&gt;&lt;/authors&gt;&lt;/contributors&gt;&lt;titles&gt;&lt;title&gt;The Signal and the Noise: The Art and Science of Prediction&lt;/title&gt;&lt;/titles&gt;&lt;dates&gt;&lt;year&gt;2012&lt;/year&gt;&lt;/dates&gt;&lt;pub-location&gt;London&lt;/pub-location&gt;&lt;publisher&gt;Penguin UK&lt;/publisher&gt;&lt;urls&gt;&lt;/urls&gt;&lt;/record&gt;&lt;/Cite&gt;&lt;/EndNote&gt;</w:instrText>
            </w:r>
            <w:r w:rsidR="00E13392" w:rsidRPr="00142ED0">
              <w:rPr>
                <w:rFonts w:ascii="Calibri" w:hAnsi="Calibri" w:cs="Verdana"/>
                <w:sz w:val="20"/>
                <w:szCs w:val="20"/>
              </w:rPr>
              <w:fldChar w:fldCharType="separate"/>
            </w:r>
            <w:r w:rsidRPr="00303C0E">
              <w:rPr>
                <w:rFonts w:ascii="Calibri" w:hAnsi="Calibri" w:cs="Verdana"/>
                <w:noProof/>
                <w:sz w:val="20"/>
                <w:szCs w:val="20"/>
                <w:vertAlign w:val="superscript"/>
              </w:rPr>
              <w:t>23</w:t>
            </w:r>
            <w:r w:rsidR="00E13392" w:rsidRPr="00142ED0">
              <w:rPr>
                <w:rFonts w:ascii="Calibri" w:hAnsi="Calibri" w:cs="Verdana"/>
                <w:sz w:val="20"/>
                <w:szCs w:val="20"/>
              </w:rPr>
              <w:fldChar w:fldCharType="end"/>
            </w:r>
          </w:p>
          <w:p w:rsidR="00303C0E" w:rsidRPr="00142ED0" w:rsidRDefault="00303C0E" w:rsidP="00FE56B7">
            <w:pPr>
              <w:jc w:val="both"/>
              <w:rPr>
                <w:rFonts w:ascii="Calibri" w:hAnsi="Calibri"/>
                <w:sz w:val="20"/>
                <w:szCs w:val="20"/>
              </w:rPr>
            </w:pPr>
          </w:p>
          <w:p w:rsidR="00303C0E" w:rsidRDefault="00303C0E" w:rsidP="00303C0E">
            <w:pPr>
              <w:jc w:val="both"/>
              <w:rPr>
                <w:rFonts w:ascii="Calibri" w:hAnsi="Calibri"/>
              </w:rPr>
            </w:pPr>
            <w:r w:rsidRPr="004008E1">
              <w:rPr>
                <w:rFonts w:ascii="Calibri" w:hAnsi="Calibri" w:cs="Times New Roman"/>
                <w:sz w:val="20"/>
                <w:szCs w:val="20"/>
              </w:rPr>
              <w:t xml:space="preserve">We must not assume that individual climate tail risks will be uncorrelated. In complex systems, individual events may become more highly correlated when events place the whole system under stress. For example, in the UK in 2007, flooding threatened electricity sub-stations in Gloucestershire. </w:t>
            </w:r>
            <w:r w:rsidRPr="00B50254">
              <w:rPr>
                <w:rFonts w:ascii="Calibri" w:hAnsi="Calibri" w:cs="Times New Roman"/>
                <w:sz w:val="20"/>
                <w:szCs w:val="20"/>
              </w:rPr>
              <w:t>The authorities requested the delivery of pumps and other equipment to keep one of these sub-stations, Walham, from floo</w:t>
            </w:r>
            <w:r w:rsidRPr="004B2349">
              <w:rPr>
                <w:rFonts w:ascii="Calibri" w:hAnsi="Calibri" w:cs="Times New Roman"/>
                <w:sz w:val="20"/>
                <w:szCs w:val="20"/>
              </w:rPr>
              <w:t>ding. Loss of the sub-station would have left the whole county, and part of Wales and Herefordshire without power, and many people without drinking water. Equipment had to be delivered by road. Parts of the road system in the region of the sub-station flooded which almost prevented the delivery of equipment. Under normal conditions, disturbances to the three sub-systems - roads, electricity and the public water supply - are uncorrelated and simultaneous failure of all three very unlikely. With extreme flooding they became correlated under the influence of a fourth variable, resulting in a higher than expected probability of all three failing together.</w:t>
            </w:r>
            <w:r w:rsidR="00E13392" w:rsidRPr="00142ED0">
              <w:rPr>
                <w:rFonts w:ascii="Calibri" w:hAnsi="Calibri" w:cs="Times New Roman"/>
                <w:sz w:val="20"/>
                <w:szCs w:val="20"/>
              </w:rPr>
              <w:fldChar w:fldCharType="begin"/>
            </w:r>
            <w:r>
              <w:rPr>
                <w:rFonts w:ascii="Calibri" w:hAnsi="Calibri" w:cs="Times New Roman"/>
                <w:sz w:val="20"/>
                <w:szCs w:val="20"/>
              </w:rPr>
              <w:instrText xml:space="preserve"> ADDIN EN.CITE &lt;EndNote&gt;&lt;Cite&gt;&lt;Author&gt;McMaster&lt;/Author&gt;&lt;Year&gt;2011&lt;/Year&gt;&lt;RecNum&gt;1398&lt;/RecNum&gt;&lt;DisplayText&gt;&lt;style face="superscript"&gt;24,25&lt;/style&gt;&lt;/DisplayText&gt;&lt;record&gt;&lt;rec-number&gt;1398&lt;/rec-number&gt;&lt;foreign-keys&gt;&lt;key app="EN" db-id="wtftd20rmszxx0ettxy5exwdf90wv22s2dsf" timestamp="1419266211"&gt;1398&lt;/key&gt;&lt;/foreign-keys&gt;&lt;ref-type name="Journal Article"&gt;17&lt;/ref-type&gt;&lt;contributors&gt;&lt;authors&gt;&lt;author&gt;R McMaster&lt;/author&gt;&lt;author&gt;C Baber&lt;/author&gt;&lt;/authors&gt;&lt;/contributors&gt;&lt;titles&gt;&lt;title&gt;Multi-agency operations: Cooperation during flooding&lt;/title&gt;&lt;secondary-title&gt;Applied Ergonomics&lt;/secondary-title&gt;&lt;/titles&gt;&lt;periodical&gt;&lt;full-title&gt;Applied Ergonomics&lt;/full-title&gt;&lt;/periodical&gt;&lt;pages&gt;38-47&lt;/pages&gt;&lt;volume&gt;43&lt;/volume&gt;&lt;dates&gt;&lt;year&gt;2011&lt;/year&gt;&lt;/dates&gt;&lt;urls&gt;&lt;/urls&gt;&lt;/record&gt;&lt;/Cite&gt;&lt;Cite&gt;&lt;Author&gt;Overview and Scrutiny Management Committee&lt;/Author&gt;&lt;Year&gt;2007&lt;/Year&gt;&lt;RecNum&gt;1399&lt;/RecNum&gt;&lt;record&gt;&lt;rec-number&gt;1399&lt;/rec-number&gt;&lt;foreign-keys&gt;&lt;key app="EN" db-id="wtftd20rmszxx0ettxy5exwdf90wv22s2dsf" timestamp="1419266322"&gt;1399&lt;/key&gt;&lt;/foreign-keys&gt;&lt;ref-type name="Report"&gt;27&lt;/ref-type&gt;&lt;contributors&gt;&lt;authors&gt;&lt;author&gt;Overview and Scrutiny Management Committee,&lt;/author&gt;&lt;/authors&gt;&lt;/contributors&gt;&lt;titles&gt;&lt;title&gt;Scrutiny Inquiry into the Summery Emergency 2007&lt;/title&gt;&lt;/titles&gt;&lt;dates&gt;&lt;year&gt;2007&lt;/year&gt;&lt;/dates&gt;&lt;pub-location&gt;Gloucestershire&lt;/pub-location&gt;&lt;publisher&gt;Gloucestershire County Council&lt;/publisher&gt;&lt;urls&gt;&lt;/urls&gt;&lt;/record&gt;&lt;/Cite&gt;&lt;/EndNote&gt;</w:instrText>
            </w:r>
            <w:r w:rsidR="00E13392" w:rsidRPr="00142ED0">
              <w:rPr>
                <w:rFonts w:ascii="Calibri" w:hAnsi="Calibri" w:cs="Times New Roman"/>
                <w:sz w:val="20"/>
                <w:szCs w:val="20"/>
              </w:rPr>
              <w:fldChar w:fldCharType="separate"/>
            </w:r>
            <w:r w:rsidRPr="00303C0E">
              <w:rPr>
                <w:rFonts w:ascii="Calibri" w:hAnsi="Calibri" w:cs="Times New Roman"/>
                <w:noProof/>
                <w:sz w:val="20"/>
                <w:szCs w:val="20"/>
                <w:vertAlign w:val="superscript"/>
              </w:rPr>
              <w:t>24,25</w:t>
            </w:r>
            <w:r w:rsidR="00E13392" w:rsidRPr="00142ED0">
              <w:rPr>
                <w:rFonts w:ascii="Calibri" w:hAnsi="Calibri" w:cs="Times New Roman"/>
                <w:sz w:val="20"/>
                <w:szCs w:val="20"/>
              </w:rPr>
              <w:fldChar w:fldCharType="end"/>
            </w:r>
            <w:r>
              <w:rPr>
                <w:rFonts w:ascii="Calibri" w:hAnsi="Calibri" w:cs="Times New Roman"/>
                <w:sz w:val="20"/>
                <w:szCs w:val="20"/>
              </w:rPr>
              <w:t xml:space="preserve"> Indeed, it is these extremes of weather which are often most important for human health, which will occur more frequently with unmitigated climate change.</w:t>
            </w:r>
          </w:p>
        </w:tc>
      </w:tr>
    </w:tbl>
    <w:p w:rsidR="005E2CAA" w:rsidRDefault="005E2CAA" w:rsidP="00A41589">
      <w:pPr>
        <w:jc w:val="both"/>
        <w:rPr>
          <w:rFonts w:ascii="Calibri" w:hAnsi="Calibri"/>
        </w:rPr>
      </w:pPr>
    </w:p>
    <w:p w:rsidR="00303C0E" w:rsidRPr="00A41589" w:rsidRDefault="00303C0E" w:rsidP="00A41589">
      <w:pPr>
        <w:jc w:val="both"/>
        <w:rPr>
          <w:rFonts w:ascii="Calibri" w:hAnsi="Calibri"/>
        </w:rPr>
      </w:pPr>
    </w:p>
    <w:p w:rsidR="005E2CAA" w:rsidRPr="005E2CAA" w:rsidRDefault="005E2CAA" w:rsidP="00A41589">
      <w:pPr>
        <w:pStyle w:val="Heading2"/>
      </w:pPr>
      <w:bookmarkStart w:id="14" w:name="_Toc402956348"/>
      <w:bookmarkStart w:id="15" w:name="_Toc415931367"/>
      <w:bookmarkStart w:id="16" w:name="_Toc417502032"/>
      <w:r w:rsidRPr="00A41589">
        <w:t xml:space="preserve">The </w:t>
      </w:r>
      <w:r w:rsidR="00AC5CC7">
        <w:t>H</w:t>
      </w:r>
      <w:r w:rsidRPr="00A41589">
        <w:t xml:space="preserve">ealth </w:t>
      </w:r>
      <w:r w:rsidR="00AC5CC7">
        <w:t>C</w:t>
      </w:r>
      <w:r w:rsidR="00AC5CC7" w:rsidRPr="00A41589">
        <w:t>o</w:t>
      </w:r>
      <w:r w:rsidRPr="00A41589">
        <w:t>-</w:t>
      </w:r>
      <w:r w:rsidR="00AC5CC7">
        <w:t>B</w:t>
      </w:r>
      <w:r w:rsidR="00AC5CC7" w:rsidRPr="00A41589">
        <w:t xml:space="preserve">enefits </w:t>
      </w:r>
      <w:r w:rsidRPr="00A41589">
        <w:t xml:space="preserve">of </w:t>
      </w:r>
      <w:r w:rsidR="00AC5CC7">
        <w:t>E</w:t>
      </w:r>
      <w:r w:rsidR="00AC5CC7" w:rsidRPr="00A41589">
        <w:t xml:space="preserve">missions </w:t>
      </w:r>
      <w:bookmarkEnd w:id="14"/>
      <w:r w:rsidR="00AC5CC7">
        <w:t>R</w:t>
      </w:r>
      <w:r w:rsidR="00AC5CC7" w:rsidRPr="00A41589">
        <w:t>eduction</w:t>
      </w:r>
      <w:bookmarkEnd w:id="15"/>
      <w:bookmarkEnd w:id="16"/>
    </w:p>
    <w:p w:rsidR="005E2CAA" w:rsidRDefault="005E2CAA" w:rsidP="00FD2424">
      <w:pPr>
        <w:jc w:val="both"/>
        <w:rPr>
          <w:rFonts w:ascii="Calibri" w:hAnsi="Calibri" w:cs="Times New Roman"/>
          <w:sz w:val="22"/>
          <w:szCs w:val="22"/>
        </w:rPr>
      </w:pPr>
      <w:r w:rsidRPr="00A41589">
        <w:rPr>
          <w:rFonts w:ascii="Calibri" w:eastAsia="Times New Roman" w:hAnsi="Calibri" w:cs="Times New Roman"/>
          <w:sz w:val="22"/>
          <w:szCs w:val="22"/>
          <w:lang w:val="en-GB" w:eastAsia="fr-FR"/>
        </w:rPr>
        <w:t>Acting to reduce GHG emissions</w:t>
      </w:r>
      <w:r w:rsidRPr="005871D8">
        <w:rPr>
          <w:rFonts w:ascii="Calibri" w:eastAsia="Times New Roman" w:hAnsi="Calibri" w:cs="Times New Roman"/>
          <w:sz w:val="22"/>
          <w:szCs w:val="22"/>
          <w:lang w:val="en-GB" w:eastAsia="fr-FR"/>
        </w:rPr>
        <w:t>,</w:t>
      </w:r>
      <w:r w:rsidRPr="00A41589">
        <w:rPr>
          <w:rFonts w:ascii="Calibri" w:eastAsia="Times New Roman" w:hAnsi="Calibri" w:cs="Times New Roman"/>
          <w:sz w:val="22"/>
          <w:szCs w:val="22"/>
          <w:lang w:val="en-GB" w:eastAsia="fr-FR"/>
        </w:rPr>
        <w:t xml:space="preserve"> </w:t>
      </w:r>
      <w:r w:rsidR="00D555EE">
        <w:rPr>
          <w:rFonts w:ascii="Calibri" w:eastAsia="Times New Roman" w:hAnsi="Calibri" w:cs="Times New Roman"/>
          <w:sz w:val="22"/>
          <w:szCs w:val="22"/>
          <w:lang w:val="en-GB" w:eastAsia="fr-FR"/>
        </w:rPr>
        <w:t>evidently</w:t>
      </w:r>
      <w:r w:rsidR="00D555EE" w:rsidRPr="00A41589">
        <w:rPr>
          <w:rFonts w:ascii="Calibri" w:eastAsia="Times New Roman" w:hAnsi="Calibri" w:cs="Times New Roman"/>
          <w:sz w:val="22"/>
          <w:szCs w:val="22"/>
          <w:lang w:val="en-GB" w:eastAsia="fr-FR"/>
        </w:rPr>
        <w:t xml:space="preserve"> </w:t>
      </w:r>
      <w:r w:rsidRPr="00A41589">
        <w:rPr>
          <w:rFonts w:ascii="Calibri" w:eastAsia="Times New Roman" w:hAnsi="Calibri" w:cs="Times New Roman"/>
          <w:sz w:val="22"/>
          <w:szCs w:val="22"/>
          <w:lang w:val="en-GB" w:eastAsia="fr-FR"/>
        </w:rPr>
        <w:t xml:space="preserve">protects human health from the direct and indirect impacts of climate change.  However, it also benefits human health through mechanisms quite independent </w:t>
      </w:r>
      <w:r w:rsidRPr="00FD2424">
        <w:rPr>
          <w:rFonts w:ascii="Calibri" w:hAnsi="Calibri" w:cs="Times New Roman"/>
          <w:sz w:val="22"/>
          <w:szCs w:val="22"/>
        </w:rPr>
        <w:t>of those relating to modifying climate risk: so-called ‘</w:t>
      </w:r>
      <w:r w:rsidRPr="00A41589">
        <w:rPr>
          <w:rFonts w:ascii="Calibri" w:hAnsi="Calibri" w:cs="Times New Roman"/>
          <w:sz w:val="22"/>
          <w:szCs w:val="22"/>
        </w:rPr>
        <w:t>health co-benefits</w:t>
      </w:r>
      <w:r w:rsidR="00AC6784">
        <w:rPr>
          <w:rFonts w:ascii="Calibri" w:hAnsi="Calibri" w:cs="Times New Roman"/>
          <w:sz w:val="22"/>
          <w:szCs w:val="22"/>
        </w:rPr>
        <w:t xml:space="preserve"> of mitigation</w:t>
      </w:r>
      <w:r w:rsidRPr="00A41589">
        <w:rPr>
          <w:rFonts w:ascii="Calibri" w:hAnsi="Calibri" w:cs="Times New Roman"/>
          <w:sz w:val="22"/>
          <w:szCs w:val="22"/>
        </w:rPr>
        <w:t>’.</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&lt;EndNote&gt;&lt;Cite&gt;&lt;Author&gt;World Health Organisation&lt;/Author&gt;&lt;Year&gt;2011&lt;/Year&gt;&lt;RecNum&gt;169&lt;/RecNum&gt;&lt;DisplayText&gt;&lt;style face="superscript"&gt;26&lt;/style&gt;&lt;/DisplayText&gt;&lt;record&gt;&lt;rec-number&gt;169&lt;/rec-number&gt;&lt;foreign-keys&gt;&lt;key app="EN" db-id="wtftd20rmszxx0ettxy5exwdf90wv22s2dsf" timestamp="1357412590"&gt;169&lt;/key&gt;&lt;/foreign-keys&gt;&lt;ref-type name="Report"&gt;27&lt;/ref-type&gt;&lt;contributors&gt;&lt;authors&gt;&lt;author&gt;World Health Organisation,&lt;/author&gt;&lt;/authors&gt;&lt;/contributors&gt;&lt;titles&gt;&lt;title&gt;Health in the Green Economy - Series&lt;/title&gt;&lt;/titles&gt;&lt;dates&gt;&lt;year&gt;2011&lt;/year&gt;&lt;/dates&gt;&lt;pub-location&gt;Geneva&lt;/pub-location&gt;&lt;urls&gt;&lt;related-urls&gt;&lt;url&gt;http://www.who.int/hia/green_economy/en/&lt;/url&gt;&lt;/related-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26</w:t>
      </w:r>
      <w:r w:rsidR="00E13392">
        <w:rPr>
          <w:rFonts w:ascii="Calibri" w:hAnsi="Calibri" w:cs="Times New Roman"/>
          <w:sz w:val="22"/>
          <w:szCs w:val="22"/>
        </w:rPr>
        <w:fldChar w:fldCharType="end"/>
      </w:r>
      <w:r w:rsidRPr="004A38FA">
        <w:rPr>
          <w:rFonts w:ascii="Calibri" w:hAnsi="Calibri" w:cs="Times New Roman"/>
          <w:sz w:val="22"/>
          <w:szCs w:val="22"/>
        </w:rPr>
        <w:t xml:space="preserve"> </w:t>
      </w:r>
    </w:p>
    <w:p w:rsidR="00AC5CC7" w:rsidRPr="00A41589" w:rsidRDefault="00AC5CC7" w:rsidP="00FD2424">
      <w:pPr>
        <w:jc w:val="both"/>
        <w:rPr>
          <w:rFonts w:ascii="Calibri" w:hAnsi="Calibri" w:cs="Times New Roman"/>
          <w:sz w:val="22"/>
          <w:szCs w:val="22"/>
        </w:rPr>
      </w:pPr>
    </w:p>
    <w:p w:rsidR="005E2CAA" w:rsidRDefault="005E2CAA" w:rsidP="00FD2424">
      <w:pPr>
        <w:jc w:val="both"/>
        <w:rPr>
          <w:rFonts w:ascii="Calibri" w:hAnsi="Calibri" w:cs="Times New Roman"/>
          <w:sz w:val="22"/>
          <w:szCs w:val="22"/>
        </w:rPr>
      </w:pPr>
      <w:r w:rsidRPr="00A41589">
        <w:rPr>
          <w:rFonts w:ascii="Calibri" w:hAnsi="Calibri" w:cs="Times New Roman"/>
          <w:sz w:val="22"/>
          <w:szCs w:val="22"/>
        </w:rPr>
        <w:lastRenderedPageBreak/>
        <w:t>Reductions in emissions</w:t>
      </w:r>
      <w:r w:rsidR="00C27067">
        <w:rPr>
          <w:rFonts w:ascii="Calibri" w:hAnsi="Calibri" w:cs="Times New Roman"/>
          <w:sz w:val="22"/>
          <w:szCs w:val="22"/>
        </w:rPr>
        <w:t xml:space="preserve"> (e.g. from burning fossil fuels)</w:t>
      </w:r>
      <w:r w:rsidRPr="00A41589">
        <w:rPr>
          <w:rFonts w:ascii="Calibri" w:hAnsi="Calibri" w:cs="Times New Roman"/>
          <w:sz w:val="22"/>
          <w:szCs w:val="22"/>
        </w:rPr>
        <w:t xml:space="preserve"> </w:t>
      </w:r>
      <w:r w:rsidR="00AC6784">
        <w:rPr>
          <w:rFonts w:ascii="Calibri" w:hAnsi="Calibri" w:cs="Times New Roman"/>
          <w:sz w:val="22"/>
          <w:szCs w:val="22"/>
        </w:rPr>
        <w:t>reduce</w:t>
      </w:r>
      <w:r w:rsidR="00AC6784" w:rsidRPr="00A41589">
        <w:rPr>
          <w:rFonts w:ascii="Calibri" w:hAnsi="Calibri" w:cs="Times New Roman"/>
          <w:sz w:val="22"/>
          <w:szCs w:val="22"/>
        </w:rPr>
        <w:t xml:space="preserve"> </w:t>
      </w:r>
      <w:r w:rsidRPr="00A41589">
        <w:rPr>
          <w:rFonts w:ascii="Calibri" w:hAnsi="Calibri" w:cs="Times New Roman"/>
          <w:sz w:val="22"/>
          <w:szCs w:val="22"/>
        </w:rPr>
        <w:t xml:space="preserve">air pollution and </w:t>
      </w:r>
      <w:r w:rsidR="00DB0FF9">
        <w:rPr>
          <w:rFonts w:ascii="Calibri" w:hAnsi="Calibri" w:cs="Times New Roman"/>
          <w:sz w:val="22"/>
          <w:szCs w:val="22"/>
        </w:rPr>
        <w:t>respiratory disease</w:t>
      </w:r>
      <w:r w:rsidRPr="00A41589">
        <w:rPr>
          <w:rFonts w:ascii="Calibri" w:hAnsi="Calibri" w:cs="Times New Roman"/>
          <w:sz w:val="22"/>
          <w:szCs w:val="22"/>
        </w:rPr>
        <w:t xml:space="preserve">, </w:t>
      </w:r>
      <w:r w:rsidR="00AC5CC7">
        <w:rPr>
          <w:rFonts w:ascii="Calibri" w:hAnsi="Calibri" w:cs="Times New Roman"/>
          <w:sz w:val="22"/>
          <w:szCs w:val="22"/>
        </w:rPr>
        <w:t xml:space="preserve">whilst </w:t>
      </w:r>
      <w:r w:rsidRPr="00A41589">
        <w:rPr>
          <w:rFonts w:ascii="Calibri" w:hAnsi="Calibri" w:cs="Times New Roman"/>
          <w:sz w:val="22"/>
          <w:szCs w:val="22"/>
        </w:rPr>
        <w:t xml:space="preserve">safer active transport </w:t>
      </w:r>
      <w:r w:rsidR="00AC5CC7">
        <w:rPr>
          <w:rFonts w:ascii="Calibri" w:hAnsi="Calibri" w:cs="Times New Roman"/>
          <w:sz w:val="22"/>
          <w:szCs w:val="22"/>
        </w:rPr>
        <w:t xml:space="preserve">cuts road traffic accidents, and reduces rates of obesity, diabetes, coronary heart disease and stroke. </w:t>
      </w:r>
      <w:r w:rsidR="009F6FD3">
        <w:rPr>
          <w:rFonts w:ascii="Calibri" w:hAnsi="Calibri" w:cs="Times New Roman"/>
          <w:sz w:val="22"/>
          <w:szCs w:val="22"/>
        </w:rPr>
        <w:t xml:space="preserve">These are just some of the many health co-benefits of mitigation, which often work through a number of causal pathways via the social and environmental determinants of health. </w:t>
      </w:r>
      <w:r w:rsidRPr="00A41589">
        <w:rPr>
          <w:rFonts w:ascii="Calibri" w:hAnsi="Calibri" w:cs="Times New Roman"/>
          <w:sz w:val="22"/>
          <w:szCs w:val="22"/>
        </w:rPr>
        <w:t>Protecting our ecosystems will create the wellbeing we gain from nature and its diversity.</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&lt;EndNote&gt;&lt;Cite&gt;&lt;Author&gt;A Haines&lt;/Author&gt;&lt;Year&gt;2009&lt;/Year&gt;&lt;RecNum&gt;165&lt;/RecNum&gt;&lt;DisplayText&gt;&lt;style face="superscript"&gt;27&lt;/style&gt;&lt;/DisplayText&gt;&lt;record&gt;&lt;rec-number&gt;165&lt;/rec-number&gt;&lt;foreign-keys&gt;&lt;key app="EN" db-id="wtftd20rmszxx0ettxy5exwdf90wv22s2dsf" timestamp="1357412589"&gt;165&lt;/key&gt;&lt;/foreign-keys&gt;&lt;ref-type name="Journal Article"&gt;17&lt;/ref-type&gt;&lt;contributors&gt;&lt;authors&gt;&lt;author&gt;A Haines,&lt;/author&gt;&lt;author&gt;B Armstrong&lt;/author&gt;&lt;author&gt;Z Chalabi&lt;/author&gt;&lt;author&gt;A Dangour&lt;/author&gt;&lt;author&gt;P Edwards&lt;/author&gt;&lt;author&gt;K Lock&lt;/author&gt;&lt;author&gt;I Roberts&lt;/author&gt;&lt;author&gt;C Tonne&lt;/author&gt;&lt;author&gt;P Wilkinson&lt;/author&gt;&lt;/authors&gt;&lt;/contributors&gt;&lt;titles&gt;&lt;title&gt;The health benefits of tackling climate change: An Executive Summary for the Lancet Series&lt;/title&gt;&lt;secondary-title&gt;The Lancet&lt;/secondary-title&gt;&lt;/titles&gt;&lt;periodical&gt;&lt;full-title&gt;The Lancet&lt;/full-title&gt;&lt;/periodical&gt;&lt;dates&gt;&lt;year&gt;2009&lt;/year&gt;&lt;/dates&gt;&lt;urls&gt;&lt;/urls&gt;&lt;/record&gt;&lt;/Cite&gt;&lt;/EndNote&gt;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27</w:t>
      </w:r>
      <w:r w:rsidR="00E13392">
        <w:rPr>
          <w:rFonts w:ascii="Calibri" w:hAnsi="Calibri" w:cs="Times New Roman"/>
          <w:sz w:val="22"/>
          <w:szCs w:val="22"/>
        </w:rPr>
        <w:fldChar w:fldCharType="end"/>
      </w:r>
    </w:p>
    <w:p w:rsidR="00AC5CC7" w:rsidRDefault="00AC5CC7" w:rsidP="00FD2424">
      <w:pPr>
        <w:jc w:val="both"/>
        <w:rPr>
          <w:rFonts w:ascii="Calibri" w:hAnsi="Calibri" w:cs="Times New Roman"/>
          <w:sz w:val="22"/>
          <w:szCs w:val="22"/>
        </w:rPr>
      </w:pPr>
    </w:p>
    <w:p w:rsidR="005E2CAA" w:rsidRPr="001A7027" w:rsidRDefault="00DB0FF9" w:rsidP="00A41589">
      <w:pPr>
        <w:jc w:val="both"/>
        <w:rPr>
          <w:rFonts w:ascii="Calibri" w:hAnsi="Calibri" w:cs="Times New Roman"/>
          <w:sz w:val="22"/>
          <w:szCs w:val="22"/>
        </w:rPr>
      </w:pPr>
      <w:r>
        <w:rPr>
          <w:rFonts w:ascii="Calibri" w:hAnsi="Calibri" w:cs="Times New Roman"/>
          <w:sz w:val="22"/>
          <w:szCs w:val="22"/>
        </w:rPr>
        <w:t>Affordable r</w:t>
      </w:r>
      <w:r w:rsidRPr="00A41589">
        <w:rPr>
          <w:rFonts w:ascii="Calibri" w:hAnsi="Calibri" w:cs="Times New Roman"/>
          <w:sz w:val="22"/>
          <w:szCs w:val="22"/>
        </w:rPr>
        <w:t xml:space="preserve">enewable </w:t>
      </w:r>
      <w:r w:rsidR="005E2CAA" w:rsidRPr="00A41589">
        <w:rPr>
          <w:rFonts w:ascii="Calibri" w:hAnsi="Calibri" w:cs="Times New Roman"/>
          <w:sz w:val="22"/>
          <w:szCs w:val="22"/>
        </w:rPr>
        <w:t xml:space="preserve">energy will also have huge benefits for the poorest. </w:t>
      </w:r>
      <w:r w:rsidR="00AC5CC7">
        <w:rPr>
          <w:rFonts w:ascii="Calibri" w:hAnsi="Calibri" w:cs="Times New Roman"/>
          <w:sz w:val="22"/>
          <w:szCs w:val="22"/>
        </w:rPr>
        <w:t>The</w:t>
      </w:r>
      <w:r w:rsidR="005E2CAA" w:rsidRPr="00A41589">
        <w:rPr>
          <w:rFonts w:ascii="Calibri" w:hAnsi="Calibri" w:cs="Times New Roman"/>
          <w:sz w:val="22"/>
          <w:szCs w:val="22"/>
        </w:rPr>
        <w:t xml:space="preserve"> </w:t>
      </w:r>
      <w:r w:rsidR="005E2CAA" w:rsidRPr="005871D8">
        <w:rPr>
          <w:rFonts w:ascii="Calibri" w:hAnsi="Calibri" w:cs="Times New Roman"/>
          <w:sz w:val="22"/>
          <w:szCs w:val="22"/>
        </w:rPr>
        <w:t>World Health Organisation (</w:t>
      </w:r>
      <w:r w:rsidR="005E2CAA" w:rsidRPr="00A41589">
        <w:rPr>
          <w:rFonts w:ascii="Calibri" w:hAnsi="Calibri" w:cs="Times New Roman"/>
          <w:sz w:val="22"/>
          <w:szCs w:val="22"/>
        </w:rPr>
        <w:t>WHO</w:t>
      </w:r>
      <w:r w:rsidR="005E2CAA" w:rsidRPr="005871D8">
        <w:rPr>
          <w:rFonts w:ascii="Calibri" w:hAnsi="Calibri" w:cs="Times New Roman"/>
          <w:sz w:val="22"/>
          <w:szCs w:val="22"/>
        </w:rPr>
        <w:t>)</w:t>
      </w:r>
      <w:r w:rsidR="005E2CAA" w:rsidRPr="00A41589">
        <w:rPr>
          <w:rFonts w:ascii="Calibri" w:hAnsi="Calibri" w:cs="Times New Roman"/>
          <w:sz w:val="22"/>
          <w:szCs w:val="22"/>
        </w:rPr>
        <w:t xml:space="preserve"> found that in 11 sub-Saharan African countries, 26% of</w:t>
      </w:r>
      <w:r w:rsidR="00011902">
        <w:rPr>
          <w:rFonts w:ascii="Calibri" w:hAnsi="Calibri" w:cs="Times New Roman"/>
          <w:sz w:val="22"/>
          <w:szCs w:val="22"/>
        </w:rPr>
        <w:t xml:space="preserve"> health</w:t>
      </w:r>
      <w:r w:rsidR="005E2CAA" w:rsidRPr="00A41589">
        <w:rPr>
          <w:rFonts w:ascii="Calibri" w:hAnsi="Calibri" w:cs="Times New Roman"/>
          <w:sz w:val="22"/>
          <w:szCs w:val="22"/>
        </w:rPr>
        <w:t xml:space="preserve"> facilities had no energy at all, and only 33% of hospitals had what could be called “reliable electricity provision” as defined by no outages of more than two hours in the past week.</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&lt;EndNote&gt;&lt;Cite&gt;&lt;Author&gt;Bhatia&lt;/Author&gt;&lt;Year&gt;2015&lt;/Year&gt;&lt;RecNum&gt;1400&lt;/RecNum&gt;&lt;DisplayText&gt;&lt;style face="superscript"&gt;28&lt;/style&gt;&lt;/DisplayText&gt;&lt;record&gt;&lt;rec-number&gt;1400&lt;/rec-number&gt;&lt;foreign-keys&gt;&lt;key app="EN" db-id="wtftd20rmszxx0ettxy5exwdf90wv22s2dsf" timestamp="1419266883"&gt;1400&lt;/key&gt;&lt;/foreign-keys&gt;&lt;ref-type name="Report"&gt;27&lt;/ref-type&gt;&lt;contributors&gt;&lt;authors&gt;&lt;author&gt;M Bhatia&lt;/author&gt;&lt;author&gt;N Angelou&lt;/author&gt;&lt;author&gt;R Soni&lt;/author&gt;&lt;author&gt;E Portale&lt;/author&gt;&lt;author&gt;ER Fletcher&lt;/author&gt;&lt;author&gt;S Wilburn&lt;/author&gt;&lt;author&gt;H Adair-Rohani&lt;/author&gt;&lt;author&gt;C Dora&lt;/author&gt;&lt;/authors&gt;&lt;/contributors&gt;&lt;titles&gt;&lt;title&gt;Access to Modern Energy Services for Health Facilities in Resource-Constrained Settings&lt;/title&gt;&lt;/titles&gt;&lt;dates&gt;&lt;year&gt;2015&lt;/year&gt;&lt;/dates&gt;&lt;publisher&gt;The World Bank and World Health Organization&lt;/publisher&gt;&lt;urls&gt;&lt;/urls&gt;&lt;/record&gt;&lt;/Cite&gt;&lt;/EndNote&gt;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28</w:t>
      </w:r>
      <w:r w:rsidR="00E13392">
        <w:rPr>
          <w:rFonts w:ascii="Calibri" w:hAnsi="Calibri" w:cs="Times New Roman"/>
          <w:sz w:val="22"/>
          <w:szCs w:val="22"/>
        </w:rPr>
        <w:fldChar w:fldCharType="end"/>
      </w:r>
      <w:r w:rsidR="005E2CAA" w:rsidRPr="00A41589">
        <w:rPr>
          <w:rFonts w:ascii="Calibri" w:hAnsi="Calibri" w:cs="Calibri"/>
          <w:sz w:val="22"/>
          <w:szCs w:val="22"/>
        </w:rPr>
        <w:t xml:space="preserve"> </w:t>
      </w:r>
      <w:r w:rsidR="005E2CAA" w:rsidRPr="00A41589">
        <w:rPr>
          <w:rFonts w:ascii="Calibri" w:hAnsi="Calibri" w:cs="Times New Roman"/>
          <w:sz w:val="22"/>
          <w:szCs w:val="22"/>
        </w:rPr>
        <w:t>Solar, wind or hydropower can substitute for kerosene lighting and diesel generators. Clean cookstoves and fuels will not only protect the climate from black carbon</w:t>
      </w:r>
      <w:r w:rsidR="00C27067">
        <w:rPr>
          <w:rFonts w:ascii="Calibri" w:hAnsi="Calibri" w:cs="Times New Roman"/>
          <w:sz w:val="22"/>
          <w:szCs w:val="22"/>
        </w:rPr>
        <w:t xml:space="preserve"> (a very short-lived climate pollutant)</w:t>
      </w:r>
      <w:r w:rsidR="005E2CAA" w:rsidRPr="00A41589">
        <w:rPr>
          <w:rFonts w:ascii="Calibri" w:hAnsi="Calibri" w:cs="Times New Roman"/>
          <w:sz w:val="22"/>
          <w:szCs w:val="22"/>
        </w:rPr>
        <w:t>, but also cut deaths from household air pollution, a major killer in low income countries. Buildings and houses designed to provide better insulation, heating efficiency and protection from extreme weather events, will reduce heat and cold exposure, disease risks from mould and allergy, and from infectious and vector-borne diseases.</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&lt;EndNote&gt;&lt;Cite&gt;&lt;Author&gt;Haines&lt;/Author&gt;&lt;Year&gt;2009&lt;/Year&gt;&lt;RecNum&gt;898&lt;/RecNum&gt;&lt;DisplayText&gt;&lt;style face="superscript"&gt;29&lt;/style&gt;&lt;/DisplayText&gt;&lt;record&gt;&lt;rec-number&gt;898&lt;/rec-number&gt;&lt;foreign-keys&gt;&lt;key app="EN" db-id="wtftd20rmszxx0ettxy5exwdf90wv22s2dsf" timestamp="1419212983"&gt;898&lt;/key&gt;&lt;/foreign-keys&gt;&lt;ref-type name="Journal Article"&gt;17&lt;/ref-type&gt;&lt;contributors&gt;&lt;authors&gt;&lt;author&gt;Haines, Andy&lt;/author&gt;&lt;author&gt;McMichael, Anthony J.&lt;/author&gt;&lt;author&gt;Smith, Kirk R.&lt;/author&gt;&lt;author&gt;Roberts, Ian&lt;/author&gt;&lt;author&gt;Woodcock, James&lt;/author&gt;&lt;author&gt;Markandya, Anil&lt;/author&gt;&lt;author&gt;Armstrong, Ben G.&lt;/author&gt;&lt;author&gt;Campbell-Lendrum, Diarmid&lt;/author&gt;&lt;author&gt;Dangour, Alan D.&lt;/author&gt;&lt;author&gt;Davies, Michael&lt;/author&gt;&lt;author&gt;Bruce, Nigel&lt;/author&gt;&lt;author&gt;Tonne, Cathryn&lt;/author&gt;&lt;author&gt;Barrett, Mark&lt;/author&gt;&lt;author&gt;Wilkinson, Paul&lt;/author&gt;&lt;/authors&gt;&lt;/contributors&gt;&lt;titles&gt;&lt;title&gt;Public health benefits of strategies to reduce greenhouse-gas emissions: overview and implications for policy makers&lt;/title&gt;&lt;secondary-title&gt;The Lancet&lt;/secondary-title&gt;&lt;/titles&gt;&lt;periodical&gt;&lt;full-title&gt;The Lancet&lt;/full-title&gt;&lt;/periodical&gt;&lt;pages&gt;2104-2114&lt;/pages&gt;&lt;volume&gt;374&lt;/volume&gt;&lt;number&gt;9707&lt;/number&gt;&lt;dates&gt;&lt;year&gt;2009&lt;/year&gt;&lt;/dates&gt;&lt;isbn&gt;0140-6736&lt;/isbn&gt;&lt;urls&gt;&lt;related-urls&gt;&lt;url&gt;http://linkinghub.elsevier.com/retrieve/pii/S0140673609617591&lt;/url&gt;&lt;/related-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29</w:t>
      </w:r>
      <w:r w:rsidR="00E13392">
        <w:rPr>
          <w:rFonts w:ascii="Calibri" w:hAnsi="Calibri" w:cs="Times New Roman"/>
          <w:sz w:val="22"/>
          <w:szCs w:val="22"/>
        </w:rPr>
        <w:fldChar w:fldCharType="end"/>
      </w:r>
    </w:p>
    <w:p w:rsidR="005E2CAA" w:rsidRPr="00A41589" w:rsidRDefault="005E2CAA" w:rsidP="00A41589">
      <w:pPr>
        <w:jc w:val="both"/>
        <w:rPr>
          <w:rFonts w:ascii="Calibri" w:hAnsi="Calibri"/>
        </w:rPr>
      </w:pPr>
    </w:p>
    <w:p w:rsidR="005E2CAA" w:rsidRPr="00971EB6" w:rsidRDefault="00E92360" w:rsidP="00A41589">
      <w:pPr>
        <w:jc w:val="both"/>
        <w:rPr>
          <w:rFonts w:ascii="Calibri" w:hAnsi="Calibri" w:cs="Times New Roman"/>
          <w:sz w:val="22"/>
        </w:rPr>
      </w:pPr>
      <w:r>
        <w:rPr>
          <w:rFonts w:ascii="Calibri" w:hAnsi="Calibri" w:cs="Times New Roman"/>
          <w:sz w:val="22"/>
        </w:rPr>
        <w:t xml:space="preserve">A </w:t>
      </w:r>
      <w:r w:rsidR="00C0266B">
        <w:rPr>
          <w:rFonts w:ascii="Calibri" w:hAnsi="Calibri" w:cs="Times New Roman"/>
          <w:sz w:val="22"/>
        </w:rPr>
        <w:t>great</w:t>
      </w:r>
      <w:r>
        <w:rPr>
          <w:rFonts w:ascii="Calibri" w:hAnsi="Calibri" w:cs="Times New Roman"/>
          <w:sz w:val="22"/>
        </w:rPr>
        <w:t xml:space="preserve"> number of other co-benefits exist across different sectors, from agriculture to the formal health system. </w:t>
      </w:r>
      <w:r w:rsidR="005E2CAA" w:rsidRPr="00A41589">
        <w:rPr>
          <w:rFonts w:ascii="Calibri" w:hAnsi="Calibri" w:cs="Times New Roman"/>
          <w:sz w:val="22"/>
        </w:rPr>
        <w:t xml:space="preserve">The cost-savings of the health co-benefits achieved by policies to cut </w:t>
      </w:r>
      <w:r w:rsidR="00AC5CC7">
        <w:rPr>
          <w:rFonts w:ascii="Calibri" w:hAnsi="Calibri" w:cs="Times New Roman"/>
          <w:sz w:val="22"/>
        </w:rPr>
        <w:t>GHG</w:t>
      </w:r>
      <w:r w:rsidR="005E2CAA" w:rsidRPr="00A41589">
        <w:rPr>
          <w:rFonts w:ascii="Calibri" w:hAnsi="Calibri" w:cs="Times New Roman"/>
          <w:sz w:val="22"/>
        </w:rPr>
        <w:t xml:space="preserve"> emissions are potentially very large</w:t>
      </w:r>
      <w:r w:rsidR="00AC6784">
        <w:rPr>
          <w:rFonts w:ascii="Calibri" w:hAnsi="Calibri" w:cs="Times New Roman"/>
          <w:sz w:val="22"/>
        </w:rPr>
        <w:t>. This is particularly important in a context where healthcare expenditure is growing relative to total government expenditure, globally.</w:t>
      </w:r>
      <w:r w:rsidR="005E2CAA" w:rsidRPr="00A41589">
        <w:rPr>
          <w:rFonts w:ascii="Calibri" w:hAnsi="Calibri" w:cs="Times New Roman"/>
          <w:sz w:val="22"/>
        </w:rPr>
        <w:t xml:space="preserve"> The health dividend </w:t>
      </w:r>
      <w:r w:rsidR="005E2CAA">
        <w:rPr>
          <w:rFonts w:ascii="Calibri" w:hAnsi="Calibri" w:cs="Times New Roman"/>
          <w:sz w:val="22"/>
        </w:rPr>
        <w:t>on</w:t>
      </w:r>
      <w:r w:rsidR="005E2CAA" w:rsidRPr="00A41589">
        <w:rPr>
          <w:rFonts w:ascii="Calibri" w:hAnsi="Calibri" w:cs="Times New Roman"/>
          <w:sz w:val="22"/>
        </w:rPr>
        <w:t xml:space="preserve"> savings must be factored into any economic assessment of the costs of mitigation and adaptation. The poorest people are also most vulnerable to climate change</w:t>
      </w:r>
      <w:r w:rsidR="00AC6784">
        <w:rPr>
          <w:rFonts w:ascii="Calibri" w:hAnsi="Calibri" w:cs="Times New Roman"/>
          <w:sz w:val="22"/>
        </w:rPr>
        <w:t>, meaning that the costs of global development</w:t>
      </w:r>
      <w:r w:rsidR="005E2CAA" w:rsidRPr="00A41589">
        <w:rPr>
          <w:rFonts w:ascii="Calibri" w:hAnsi="Calibri" w:cs="Times New Roman"/>
          <w:sz w:val="22"/>
        </w:rPr>
        <w:t xml:space="preserve"> will rise if we do nothing, and poverty alleviation and sustainable development goals will not be achieved. </w:t>
      </w:r>
    </w:p>
    <w:p w:rsidR="005E2CAA" w:rsidRDefault="005E2CAA" w:rsidP="005E2CAA">
      <w:pPr>
        <w:jc w:val="both"/>
        <w:rPr>
          <w:rFonts w:ascii="Calibri" w:hAnsi="Calibri"/>
        </w:rPr>
      </w:pPr>
    </w:p>
    <w:p w:rsidR="001917CC" w:rsidRPr="001917CC" w:rsidRDefault="001917CC" w:rsidP="00024E43"/>
    <w:p w:rsidR="005E2CAA" w:rsidRPr="00A41589" w:rsidRDefault="0034354B" w:rsidP="00971EB6">
      <w:pPr>
        <w:pStyle w:val="Heading2"/>
      </w:pPr>
      <w:bookmarkStart w:id="17" w:name="_Toc415931368"/>
      <w:bookmarkStart w:id="18" w:name="_Toc417502033"/>
      <w:r>
        <w:t>This Commission</w:t>
      </w:r>
      <w:bookmarkEnd w:id="17"/>
      <w:bookmarkEnd w:id="18"/>
    </w:p>
    <w:p w:rsidR="004204DA" w:rsidRDefault="005E2CAA" w:rsidP="00A41589">
      <w:pPr>
        <w:jc w:val="both"/>
        <w:rPr>
          <w:rFonts w:ascii="Calibri" w:hAnsi="Calibri" w:cs="Times New Roman"/>
          <w:sz w:val="22"/>
          <w:szCs w:val="22"/>
        </w:rPr>
      </w:pPr>
      <w:r w:rsidRPr="00A41589">
        <w:rPr>
          <w:rFonts w:ascii="Calibri" w:hAnsi="Calibri" w:cs="Times New Roman"/>
          <w:sz w:val="22"/>
          <w:szCs w:val="22"/>
        </w:rPr>
        <w:t xml:space="preserve">Five years </w:t>
      </w:r>
      <w:r w:rsidR="00AC5CC7">
        <w:rPr>
          <w:rFonts w:ascii="Calibri" w:hAnsi="Calibri" w:cs="Times New Roman"/>
          <w:sz w:val="22"/>
          <w:szCs w:val="22"/>
        </w:rPr>
        <w:t>ago, the first</w:t>
      </w:r>
      <w:r w:rsidRPr="00A41589">
        <w:rPr>
          <w:rFonts w:ascii="Calibri" w:hAnsi="Calibri" w:cs="Times New Roman"/>
          <w:sz w:val="22"/>
          <w:szCs w:val="22"/>
        </w:rPr>
        <w:t xml:space="preserve"> Lancet Commission </w:t>
      </w:r>
      <w:r w:rsidR="00AC5CC7">
        <w:rPr>
          <w:rFonts w:ascii="Calibri" w:hAnsi="Calibri" w:cs="Times New Roman"/>
          <w:sz w:val="22"/>
          <w:szCs w:val="22"/>
        </w:rPr>
        <w:t>called climate change “the biggest global health threat of the 21</w:t>
      </w:r>
      <w:r w:rsidR="00AC5CC7" w:rsidRPr="00FD2424">
        <w:rPr>
          <w:rFonts w:ascii="Calibri" w:hAnsi="Calibri" w:cs="Times New Roman"/>
          <w:sz w:val="22"/>
          <w:szCs w:val="22"/>
          <w:vertAlign w:val="superscript"/>
        </w:rPr>
        <w:t>st</w:t>
      </w:r>
      <w:r w:rsidR="00AC5CC7">
        <w:rPr>
          <w:rFonts w:ascii="Calibri" w:hAnsi="Calibri" w:cs="Times New Roman"/>
          <w:sz w:val="22"/>
          <w:szCs w:val="22"/>
        </w:rPr>
        <w:t xml:space="preserve"> century”.</w:t>
      </w:r>
      <w:r w:rsidR="00E13392">
        <w:rPr>
          <w:rFonts w:ascii="Calibri" w:hAnsi="Calibri" w:cs="Times New Roman"/>
          <w:sz w:val="22"/>
          <w:szCs w:val="22"/>
        </w:rPr>
        <w:fldChar w:fldCharType="begin">
          <w:fldData xml:space="preserve">PEVuZE5vdGU+PENpdGU+PEF1dGhvcj5Db3N0ZWxsbzwvQXV0aG9yPjxZZWFyPjIwMDk8L1llYXI+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</w:fldData>
        </w:fldChar>
      </w:r>
      <w:r w:rsidR="007C661E">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PEVuZE5vdGU+PENpdGU+PEF1dGhvcj5Db3N0ZWxsbzwvQXV0aG9yPjxZZWFyPjIwMDk8L1llYXI+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</w:fldData>
        </w:fldChar>
      </w:r>
      <w:r w:rsidR="007C661E">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Pr>
          <w:rFonts w:ascii="Calibri" w:hAnsi="Calibri" w:cs="Times New Roman"/>
          <w:sz w:val="22"/>
          <w:szCs w:val="22"/>
        </w:rPr>
      </w:r>
      <w:r w:rsidR="00E13392">
        <w:rPr>
          <w:rFonts w:ascii="Calibri" w:hAnsi="Calibri" w:cs="Times New Roman"/>
          <w:sz w:val="22"/>
          <w:szCs w:val="22"/>
        </w:rPr>
        <w:fldChar w:fldCharType="separate"/>
      </w:r>
      <w:r w:rsidR="007C661E" w:rsidRPr="007C661E">
        <w:rPr>
          <w:rFonts w:ascii="Calibri" w:hAnsi="Calibri" w:cs="Times New Roman"/>
          <w:noProof/>
          <w:sz w:val="22"/>
          <w:szCs w:val="22"/>
          <w:vertAlign w:val="superscript"/>
        </w:rPr>
        <w:t>1</w:t>
      </w:r>
      <w:r w:rsidR="00E13392">
        <w:rPr>
          <w:rFonts w:ascii="Calibri" w:hAnsi="Calibri" w:cs="Times New Roman"/>
          <w:sz w:val="22"/>
          <w:szCs w:val="22"/>
        </w:rPr>
        <w:fldChar w:fldCharType="end"/>
      </w:r>
      <w:r w:rsidR="00AC5CC7">
        <w:rPr>
          <w:rFonts w:ascii="Calibri" w:hAnsi="Calibri" w:cs="Times New Roman"/>
          <w:sz w:val="22"/>
          <w:szCs w:val="22"/>
        </w:rPr>
        <w:t xml:space="preserve"> Since then, </w:t>
      </w:r>
      <w:r w:rsidRPr="00A41589">
        <w:rPr>
          <w:rFonts w:ascii="Calibri" w:hAnsi="Calibri" w:cs="Times New Roman"/>
          <w:sz w:val="22"/>
          <w:szCs w:val="22"/>
        </w:rPr>
        <w:t xml:space="preserve">climate threats </w:t>
      </w:r>
      <w:r w:rsidR="00AC6784">
        <w:rPr>
          <w:rFonts w:ascii="Calibri" w:hAnsi="Calibri" w:cs="Times New Roman"/>
          <w:sz w:val="22"/>
          <w:szCs w:val="22"/>
        </w:rPr>
        <w:t>continue</w:t>
      </w:r>
      <w:r w:rsidR="00AC5CC7">
        <w:rPr>
          <w:rFonts w:ascii="Calibri" w:hAnsi="Calibri" w:cs="Times New Roman"/>
          <w:sz w:val="22"/>
          <w:szCs w:val="22"/>
        </w:rPr>
        <w:t xml:space="preserve"> to </w:t>
      </w:r>
      <w:r w:rsidRPr="00A41589">
        <w:rPr>
          <w:rFonts w:ascii="Calibri" w:hAnsi="Calibri" w:cs="Times New Roman"/>
          <w:sz w:val="22"/>
          <w:szCs w:val="22"/>
        </w:rPr>
        <w:t>become</w:t>
      </w:r>
      <w:r w:rsidR="00AC6784">
        <w:rPr>
          <w:rFonts w:ascii="Calibri" w:hAnsi="Calibri" w:cs="Times New Roman"/>
          <w:sz w:val="22"/>
          <w:szCs w:val="22"/>
        </w:rPr>
        <w:t xml:space="preserve"> a reality</w:t>
      </w:r>
      <w:r w:rsidRPr="00A41589">
        <w:rPr>
          <w:rFonts w:ascii="Calibri" w:hAnsi="Calibri" w:cs="Times New Roman"/>
          <w:sz w:val="22"/>
          <w:szCs w:val="22"/>
        </w:rPr>
        <w:t xml:space="preserve">, </w:t>
      </w:r>
      <w:r w:rsidR="00AC5CC7">
        <w:rPr>
          <w:rFonts w:ascii="Calibri" w:hAnsi="Calibri" w:cs="Times New Roman"/>
          <w:sz w:val="22"/>
          <w:szCs w:val="22"/>
        </w:rPr>
        <w:t xml:space="preserve">GHG </w:t>
      </w:r>
      <w:r w:rsidRPr="00A41589">
        <w:rPr>
          <w:rFonts w:ascii="Calibri" w:hAnsi="Calibri" w:cs="Times New Roman"/>
          <w:sz w:val="22"/>
          <w:szCs w:val="22"/>
        </w:rPr>
        <w:t>emissions</w:t>
      </w:r>
      <w:r w:rsidR="00AC5CC7">
        <w:rPr>
          <w:rFonts w:ascii="Calibri" w:hAnsi="Calibri" w:cs="Times New Roman"/>
          <w:sz w:val="22"/>
          <w:szCs w:val="22"/>
        </w:rPr>
        <w:t xml:space="preserve"> </w:t>
      </w:r>
      <w:r w:rsidRPr="00A41589">
        <w:rPr>
          <w:rFonts w:ascii="Calibri" w:hAnsi="Calibri" w:cs="Times New Roman"/>
          <w:sz w:val="22"/>
          <w:szCs w:val="22"/>
        </w:rPr>
        <w:t>have risen beyond ‘worst case’ projections and no international agreement on effective action has been reached. The uncertainty around thresholds, interactions and tipping points in climate change and its health impacts are so serious as to mandate an immediate, sustained and globally meaningful response.</w:t>
      </w:r>
    </w:p>
    <w:p w:rsidR="001E5E0E" w:rsidRDefault="001E5E0E" w:rsidP="00A41589">
      <w:pPr>
        <w:jc w:val="both"/>
        <w:rPr>
          <w:rFonts w:ascii="Calibri" w:hAnsi="Calibri" w:cs="Times New Roman"/>
          <w:sz w:val="22"/>
          <w:szCs w:val="22"/>
        </w:rPr>
      </w:pPr>
    </w:p>
    <w:p w:rsidR="005E2CAA" w:rsidRDefault="001E5E0E" w:rsidP="00A41589">
      <w:pPr>
        <w:jc w:val="both"/>
        <w:rPr>
          <w:rFonts w:ascii="Calibri" w:hAnsi="Calibri" w:cs="Times New Roman"/>
          <w:sz w:val="22"/>
        </w:rPr>
      </w:pPr>
      <w:r>
        <w:rPr>
          <w:rFonts w:ascii="Calibri" w:hAnsi="Calibri" w:cs="Times New Roman"/>
          <w:sz w:val="22"/>
          <w:szCs w:val="22"/>
        </w:rPr>
        <w:t xml:space="preserve">This report </w:t>
      </w:r>
      <w:r w:rsidR="00AC5CC7">
        <w:rPr>
          <w:rFonts w:ascii="Calibri" w:hAnsi="Calibri" w:cs="Times New Roman"/>
          <w:sz w:val="22"/>
          <w:szCs w:val="22"/>
        </w:rPr>
        <w:t xml:space="preserve">further examines the evidence of threat, before tabling a prescription for both prevention and symptom management. </w:t>
      </w:r>
      <w:r w:rsidR="005E2CAA" w:rsidRPr="00A41589">
        <w:rPr>
          <w:rFonts w:ascii="Calibri" w:hAnsi="Calibri" w:cs="Times New Roman"/>
          <w:sz w:val="22"/>
        </w:rPr>
        <w:t>We begin in</w:t>
      </w:r>
      <w:r w:rsidR="005E2CAA" w:rsidRPr="00A41589">
        <w:rPr>
          <w:rFonts w:ascii="Calibri" w:hAnsi="Calibri" w:cs="Times New Roman"/>
          <w:b/>
          <w:sz w:val="22"/>
        </w:rPr>
        <w:t xml:space="preserve"> </w:t>
      </w:r>
      <w:r w:rsidR="00024E43">
        <w:rPr>
          <w:rFonts w:ascii="Calibri" w:hAnsi="Calibri" w:cs="Times New Roman"/>
          <w:b/>
          <w:sz w:val="22"/>
        </w:rPr>
        <w:t>Section</w:t>
      </w:r>
      <w:r w:rsidR="008338A5" w:rsidRPr="00A41589">
        <w:rPr>
          <w:rFonts w:ascii="Calibri" w:hAnsi="Calibri" w:cs="Times New Roman"/>
          <w:b/>
          <w:sz w:val="22"/>
        </w:rPr>
        <w:t xml:space="preserve"> </w:t>
      </w:r>
      <w:r w:rsidR="005E2CAA" w:rsidRPr="00A41589">
        <w:rPr>
          <w:rFonts w:ascii="Calibri" w:hAnsi="Calibri" w:cs="Times New Roman"/>
          <w:b/>
          <w:sz w:val="22"/>
        </w:rPr>
        <w:t>1</w:t>
      </w:r>
      <w:r w:rsidR="005E2CAA" w:rsidRPr="00A41589">
        <w:rPr>
          <w:rFonts w:ascii="Calibri" w:hAnsi="Calibri" w:cs="Times New Roman"/>
          <w:sz w:val="22"/>
        </w:rPr>
        <w:t xml:space="preserve"> by</w:t>
      </w:r>
      <w:r w:rsidR="00FA4D49">
        <w:rPr>
          <w:rFonts w:ascii="Calibri" w:hAnsi="Calibri" w:cs="Times New Roman"/>
          <w:sz w:val="22"/>
        </w:rPr>
        <w:t xml:space="preserve"> re-examining the causal pathways between climate change and human health, before</w:t>
      </w:r>
      <w:r w:rsidR="005E2CAA" w:rsidRPr="00A41589">
        <w:rPr>
          <w:rFonts w:ascii="Calibri" w:hAnsi="Calibri" w:cs="Times New Roman"/>
          <w:sz w:val="22"/>
        </w:rPr>
        <w:t xml:space="preserve"> offering new estimates of exposure to climate health risks in the coming decades.</w:t>
      </w:r>
      <w:r w:rsidR="005E2CAA">
        <w:rPr>
          <w:rFonts w:ascii="Calibri" w:hAnsi="Calibri" w:cs="Times New Roman"/>
          <w:sz w:val="22"/>
        </w:rPr>
        <w:t xml:space="preserve"> </w:t>
      </w:r>
      <w:r w:rsidR="005E2CAA" w:rsidRPr="00A41589">
        <w:rPr>
          <w:rFonts w:ascii="Calibri" w:hAnsi="Calibri" w:cs="Times New Roman"/>
          <w:sz w:val="22"/>
        </w:rPr>
        <w:t>The</w:t>
      </w:r>
      <w:r w:rsidR="00FA4D49">
        <w:rPr>
          <w:rFonts w:ascii="Calibri" w:hAnsi="Calibri" w:cs="Times New Roman"/>
          <w:sz w:val="22"/>
        </w:rPr>
        <w:t xml:space="preserve"> changes in the</w:t>
      </w:r>
      <w:r w:rsidR="005E2CAA" w:rsidRPr="00A41589">
        <w:rPr>
          <w:rFonts w:ascii="Calibri" w:hAnsi="Calibri" w:cs="Times New Roman"/>
          <w:sz w:val="22"/>
        </w:rPr>
        <w:t xml:space="preserve"> spat</w:t>
      </w:r>
      <w:r w:rsidR="00FA4D49">
        <w:rPr>
          <w:rFonts w:ascii="Calibri" w:hAnsi="Calibri" w:cs="Times New Roman"/>
          <w:sz w:val="22"/>
        </w:rPr>
        <w:t>ial distribution of populations</w:t>
      </w:r>
      <w:r w:rsidR="005E2CAA" w:rsidRPr="00A41589">
        <w:rPr>
          <w:rFonts w:ascii="Calibri" w:hAnsi="Calibri" w:cs="Times New Roman"/>
          <w:sz w:val="22"/>
        </w:rPr>
        <w:t xml:space="preserve"> and their demographic structure</w:t>
      </w:r>
      <w:r w:rsidR="00FA4D49">
        <w:rPr>
          <w:rFonts w:ascii="Calibri" w:hAnsi="Calibri" w:cs="Times New Roman"/>
          <w:sz w:val="22"/>
        </w:rPr>
        <w:t xml:space="preserve"> over the coming century</w:t>
      </w:r>
      <w:r w:rsidR="005E2CAA" w:rsidRPr="00A41589">
        <w:rPr>
          <w:rFonts w:ascii="Calibri" w:hAnsi="Calibri" w:cs="Times New Roman"/>
          <w:sz w:val="22"/>
        </w:rPr>
        <w:t>, will put more people in harm</w:t>
      </w:r>
      <w:r w:rsidR="00FA4D49">
        <w:rPr>
          <w:rFonts w:ascii="Calibri" w:hAnsi="Calibri" w:cs="Times New Roman"/>
          <w:sz w:val="22"/>
        </w:rPr>
        <w:t>'</w:t>
      </w:r>
      <w:r w:rsidR="005E2CAA" w:rsidRPr="00A41589">
        <w:rPr>
          <w:rFonts w:ascii="Calibri" w:hAnsi="Calibri" w:cs="Times New Roman"/>
          <w:sz w:val="22"/>
        </w:rPr>
        <w:t xml:space="preserve">s way. </w:t>
      </w:r>
      <w:r w:rsidR="00FA4D49">
        <w:rPr>
          <w:rFonts w:ascii="Calibri" w:hAnsi="Calibri" w:cs="Times New Roman"/>
          <w:sz w:val="22"/>
        </w:rPr>
        <w:t xml:space="preserve">This provides the basis for the subsequent </w:t>
      </w:r>
      <w:r w:rsidR="00024E43">
        <w:rPr>
          <w:rFonts w:ascii="Calibri" w:hAnsi="Calibri" w:cs="Times New Roman"/>
          <w:sz w:val="22"/>
        </w:rPr>
        <w:t>Sections</w:t>
      </w:r>
      <w:r w:rsidR="00FA4D49">
        <w:rPr>
          <w:rFonts w:ascii="Calibri" w:hAnsi="Calibri" w:cs="Times New Roman"/>
          <w:sz w:val="22"/>
        </w:rPr>
        <w:t xml:space="preserve">, </w:t>
      </w:r>
      <w:r w:rsidR="005E2CAA" w:rsidRPr="00A41589">
        <w:rPr>
          <w:rFonts w:ascii="Calibri" w:hAnsi="Calibri" w:cs="Times New Roman"/>
          <w:sz w:val="22"/>
        </w:rPr>
        <w:t xml:space="preserve">reinforcing the need for emergency actions to achieve dramatic cuts in greenhouse gas emissions and protect health. </w:t>
      </w:r>
    </w:p>
    <w:p w:rsidR="005E2CAA" w:rsidRPr="00A41589" w:rsidRDefault="005E2CAA" w:rsidP="00A41589">
      <w:pPr>
        <w:jc w:val="both"/>
        <w:rPr>
          <w:rFonts w:ascii="Calibri" w:hAnsi="Calibri"/>
        </w:rPr>
      </w:pPr>
    </w:p>
    <w:p w:rsidR="005E2CAA" w:rsidRDefault="005E2CAA" w:rsidP="00A41589">
      <w:pPr>
        <w:jc w:val="both"/>
        <w:rPr>
          <w:rFonts w:ascii="Calibri" w:hAnsi="Calibri" w:cs="Times New Roman"/>
          <w:sz w:val="22"/>
          <w:szCs w:val="22"/>
        </w:rPr>
      </w:pPr>
      <w:r w:rsidRPr="00A41589">
        <w:rPr>
          <w:rFonts w:ascii="Calibri" w:hAnsi="Calibri" w:cs="Times New Roman"/>
          <w:sz w:val="22"/>
          <w:szCs w:val="22"/>
        </w:rPr>
        <w:t xml:space="preserve">Given that </w:t>
      </w:r>
      <w:r w:rsidR="005C69AD">
        <w:rPr>
          <w:rFonts w:ascii="Calibri" w:hAnsi="Calibri" w:cs="Times New Roman"/>
          <w:sz w:val="22"/>
          <w:szCs w:val="22"/>
        </w:rPr>
        <w:t>the world is</w:t>
      </w:r>
      <w:r w:rsidRPr="00A41589">
        <w:rPr>
          <w:rFonts w:ascii="Calibri" w:hAnsi="Calibri" w:cs="Times New Roman"/>
          <w:sz w:val="22"/>
          <w:szCs w:val="22"/>
        </w:rPr>
        <w:t xml:space="preserve"> already ‘locked in</w:t>
      </w:r>
      <w:r w:rsidR="005C69AD">
        <w:rPr>
          <w:rFonts w:ascii="Calibri" w:hAnsi="Calibri" w:cs="Times New Roman"/>
          <w:sz w:val="22"/>
          <w:szCs w:val="22"/>
        </w:rPr>
        <w:t>’ to</w:t>
      </w:r>
      <w:r w:rsidRPr="00A41589">
        <w:rPr>
          <w:rFonts w:ascii="Calibri" w:hAnsi="Calibri" w:cs="Times New Roman"/>
          <w:sz w:val="22"/>
          <w:szCs w:val="22"/>
        </w:rPr>
        <w:t xml:space="preserve"> a significant rise in global temperatures (even with meaningful action to reduce GHG emissions)</w:t>
      </w:r>
      <w:r w:rsidRPr="00382978">
        <w:rPr>
          <w:rFonts w:ascii="Calibri" w:hAnsi="Calibri" w:cs="Times New Roman"/>
          <w:sz w:val="22"/>
          <w:szCs w:val="22"/>
        </w:rPr>
        <w:t xml:space="preserve">, </w:t>
      </w:r>
      <w:r w:rsidR="00024E43">
        <w:rPr>
          <w:rFonts w:ascii="Calibri" w:hAnsi="Calibri" w:cs="Times New Roman"/>
          <w:b/>
          <w:sz w:val="22"/>
          <w:szCs w:val="22"/>
        </w:rPr>
        <w:t>Section</w:t>
      </w:r>
      <w:r w:rsidR="008338A5" w:rsidRPr="00A41589">
        <w:rPr>
          <w:rFonts w:ascii="Calibri" w:hAnsi="Calibri" w:cs="Times New Roman"/>
          <w:b/>
          <w:sz w:val="22"/>
          <w:szCs w:val="22"/>
        </w:rPr>
        <w:t xml:space="preserve"> </w:t>
      </w:r>
      <w:r w:rsidRPr="00A41589">
        <w:rPr>
          <w:rFonts w:ascii="Calibri" w:hAnsi="Calibri" w:cs="Times New Roman"/>
          <w:b/>
          <w:sz w:val="22"/>
          <w:szCs w:val="22"/>
        </w:rPr>
        <w:t>2</w:t>
      </w:r>
      <w:r w:rsidRPr="00A41589">
        <w:rPr>
          <w:rFonts w:ascii="Calibri" w:hAnsi="Calibri" w:cs="Times New Roman"/>
          <w:sz w:val="22"/>
          <w:szCs w:val="22"/>
        </w:rPr>
        <w:t xml:space="preserve"> considers measures that must be put in place to help lessen their</w:t>
      </w:r>
      <w:r w:rsidR="00AC5CC7">
        <w:rPr>
          <w:rFonts w:ascii="Calibri" w:hAnsi="Calibri" w:cs="Times New Roman"/>
          <w:sz w:val="22"/>
          <w:szCs w:val="22"/>
        </w:rPr>
        <w:t xml:space="preserve"> unavoidable</w:t>
      </w:r>
      <w:r w:rsidRPr="00A41589">
        <w:rPr>
          <w:rFonts w:ascii="Calibri" w:hAnsi="Calibri" w:cs="Times New Roman"/>
          <w:sz w:val="22"/>
          <w:szCs w:val="22"/>
        </w:rPr>
        <w:t xml:space="preserve"> health impacts. ‘Adaptation’ strategies are those that reduce vulnerability and enhance resilience - the capacity of a system to absorb disturbance and re-organi</w:t>
      </w:r>
      <w:r w:rsidRPr="00382978">
        <w:rPr>
          <w:rFonts w:ascii="Calibri" w:hAnsi="Calibri" w:cs="Times New Roman"/>
          <w:sz w:val="22"/>
          <w:szCs w:val="22"/>
        </w:rPr>
        <w:t>s</w:t>
      </w:r>
      <w:r w:rsidRPr="00A41589">
        <w:rPr>
          <w:rFonts w:ascii="Calibri" w:hAnsi="Calibri" w:cs="Times New Roman"/>
          <w:sz w:val="22"/>
          <w:szCs w:val="22"/>
        </w:rPr>
        <w:t>e, so as to retain function, structure, identity and feedbacks</w:t>
      </w:r>
      <w:r w:rsidR="00B328D2">
        <w:rPr>
          <w:rFonts w:ascii="Calibri" w:hAnsi="Calibri" w:cs="Times New Roman"/>
          <w:sz w:val="22"/>
          <w:szCs w:val="22"/>
        </w:rPr>
        <w:t>.</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&lt;EndNote&gt;&lt;Cite&gt;&lt;Author&gt;Walker BH&lt;/Author&gt;&lt;Year&gt;2006&lt;/Year&gt;&lt;RecNum&gt;1208&lt;/RecNum&gt;&lt;DisplayText&gt;&lt;style face="superscript"&gt;30&lt;/style&gt;&lt;/DisplayText&gt;&lt;record&gt;&lt;rec-number&gt;1208&lt;/rec-number&gt;&lt;foreign-keys&gt;&lt;key app="EN" db-id="wtftd20rmszxx0ettxy5exwdf90wv22s2dsf" timestamp="1419212983"&gt;1208&lt;/key&gt;&lt;/foreign-keys&gt;&lt;ref-type name="Journal Article"&gt;17&lt;/ref-type&gt;&lt;contributors&gt;&lt;authors&gt;&lt;author&gt;Walker BH, &lt;/author&gt;&lt;author&gt;Gunderson LH, &lt;/author&gt;&lt;author&gt;Kinzig AP, &lt;/author&gt;&lt;author&gt;Folke C, &lt;/author&gt;&lt;author&gt;Carpenter SR, &lt;/author&gt;&lt;author&gt;Schultz L,&lt;/author&gt;&lt;/authors&gt;&lt;/contributors&gt;&lt;titles&gt;&lt;title&gt;A handful of heuristics and some propositions for understanding resilience in social-ecological systems&lt;/title&gt;&lt;secondary-title&gt;Ecology and Society&lt;/secondary-title&gt;&lt;/titles&gt;&lt;periodical&gt;&lt;full-title&gt;Ecology and Society&lt;/full-title&gt;&lt;/periodical&gt;&lt;pages&gt;13&lt;/pages&gt;&lt;volume&gt;11&lt;/volume&gt;&lt;number&gt;1&lt;/number&gt;&lt;dates&gt;&lt;year&gt;2006&lt;/year&gt;&lt;/dates&gt;&lt;urls&gt;&lt;/urls&gt;&lt;/record&gt;&lt;/Cite&gt;&lt;/EndNote&gt;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30</w:t>
      </w:r>
      <w:r w:rsidR="00E13392">
        <w:rPr>
          <w:rFonts w:ascii="Calibri" w:hAnsi="Calibri" w:cs="Times New Roman"/>
          <w:sz w:val="22"/>
          <w:szCs w:val="22"/>
        </w:rPr>
        <w:fldChar w:fldCharType="end"/>
      </w:r>
      <w:r w:rsidR="00B328D2">
        <w:rPr>
          <w:rFonts w:ascii="Calibri" w:hAnsi="Calibri" w:cs="Times New Roman"/>
          <w:sz w:val="22"/>
          <w:szCs w:val="22"/>
        </w:rPr>
        <w:t xml:space="preserve"> </w:t>
      </w:r>
      <w:r w:rsidRPr="00A41589">
        <w:rPr>
          <w:rFonts w:ascii="Calibri" w:hAnsi="Calibri" w:cs="Times New Roman"/>
          <w:sz w:val="22"/>
          <w:szCs w:val="22"/>
        </w:rPr>
        <w:t xml:space="preserve">We identify institutional and decision-making challenges related to uncertainty, multi-causal pathways and complex interactions between social, ecological and economic factors. We also show tangible ways ahead with </w:t>
      </w:r>
      <w:r w:rsidRPr="00A41589">
        <w:rPr>
          <w:rFonts w:ascii="Calibri" w:hAnsi="Calibri" w:cs="Times New Roman"/>
          <w:sz w:val="22"/>
          <w:szCs w:val="22"/>
        </w:rPr>
        <w:lastRenderedPageBreak/>
        <w:t>adaptations that provide clear no-regret options and co-benefits for food security, human migration and displacement, and dynamic infectious disease risks.</w:t>
      </w:r>
    </w:p>
    <w:p w:rsidR="005E2CAA" w:rsidRPr="00A41589" w:rsidRDefault="005E2CAA" w:rsidP="00A41589">
      <w:pPr>
        <w:jc w:val="both"/>
        <w:rPr>
          <w:rFonts w:ascii="Calibri" w:hAnsi="Calibri"/>
        </w:rPr>
      </w:pPr>
    </w:p>
    <w:p w:rsidR="005E2CAA" w:rsidRDefault="005E2CAA" w:rsidP="00A41589">
      <w:pPr>
        <w:jc w:val="both"/>
        <w:rPr>
          <w:rFonts w:ascii="Calibri" w:hAnsi="Calibri" w:cs="Times New Roman"/>
          <w:sz w:val="22"/>
          <w:szCs w:val="22"/>
        </w:rPr>
      </w:pPr>
      <w:r w:rsidRPr="00A41589">
        <w:rPr>
          <w:rFonts w:ascii="Calibri" w:hAnsi="Calibri" w:cs="Times New Roman"/>
          <w:sz w:val="22"/>
          <w:szCs w:val="22"/>
        </w:rPr>
        <w:t xml:space="preserve">Symptomatic intervention and palliation must, however, be accompanied by immediate action to address the cause of those symptoms: the epidemiology and options for scaling up low carbon </w:t>
      </w:r>
      <w:r w:rsidR="005C69AD">
        <w:rPr>
          <w:rFonts w:ascii="Calibri" w:hAnsi="Calibri" w:cs="Times New Roman"/>
          <w:sz w:val="22"/>
          <w:szCs w:val="22"/>
        </w:rPr>
        <w:t>technologies and technical responses</w:t>
      </w:r>
      <w:r w:rsidRPr="00A41589">
        <w:rPr>
          <w:rFonts w:ascii="Calibri" w:hAnsi="Calibri" w:cs="Times New Roman"/>
          <w:sz w:val="22"/>
          <w:szCs w:val="22"/>
        </w:rPr>
        <w:t xml:space="preserve"> are discussed in </w:t>
      </w:r>
      <w:r w:rsidR="00024E43">
        <w:rPr>
          <w:rFonts w:ascii="Calibri" w:hAnsi="Calibri" w:cs="Times New Roman"/>
          <w:b/>
          <w:sz w:val="22"/>
          <w:szCs w:val="22"/>
        </w:rPr>
        <w:t>Section</w:t>
      </w:r>
      <w:r w:rsidR="008338A5" w:rsidRPr="00A41589">
        <w:rPr>
          <w:rFonts w:ascii="Calibri" w:hAnsi="Calibri" w:cs="Times New Roman"/>
          <w:b/>
          <w:sz w:val="22"/>
          <w:szCs w:val="22"/>
        </w:rPr>
        <w:t xml:space="preserve"> </w:t>
      </w:r>
      <w:r w:rsidRPr="00A41589">
        <w:rPr>
          <w:rFonts w:ascii="Calibri" w:hAnsi="Calibri" w:cs="Times New Roman"/>
          <w:b/>
          <w:sz w:val="22"/>
          <w:szCs w:val="22"/>
        </w:rPr>
        <w:t>3</w:t>
      </w:r>
      <w:r w:rsidR="005C69AD">
        <w:rPr>
          <w:rFonts w:ascii="Calibri" w:hAnsi="Calibri" w:cs="Times New Roman"/>
          <w:sz w:val="22"/>
          <w:szCs w:val="22"/>
        </w:rPr>
        <w:t xml:space="preserve">, as well as the necessary </w:t>
      </w:r>
      <w:r w:rsidRPr="00A41589">
        <w:rPr>
          <w:rFonts w:ascii="Calibri" w:hAnsi="Calibri" w:cs="Times New Roman"/>
          <w:sz w:val="22"/>
          <w:szCs w:val="22"/>
        </w:rPr>
        <w:t xml:space="preserve">measures required </w:t>
      </w:r>
      <w:r w:rsidR="005C69AD">
        <w:rPr>
          <w:rFonts w:ascii="Calibri" w:hAnsi="Calibri" w:cs="Times New Roman"/>
          <w:sz w:val="22"/>
          <w:szCs w:val="22"/>
        </w:rPr>
        <w:t>to facilitate</w:t>
      </w:r>
      <w:r w:rsidRPr="00A41589">
        <w:rPr>
          <w:rFonts w:ascii="Calibri" w:hAnsi="Calibri" w:cs="Times New Roman"/>
          <w:sz w:val="22"/>
          <w:szCs w:val="22"/>
        </w:rPr>
        <w:t xml:space="preserve"> their deploym</w:t>
      </w:r>
      <w:r w:rsidR="005C69AD">
        <w:rPr>
          <w:rFonts w:ascii="Calibri" w:hAnsi="Calibri" w:cs="Times New Roman"/>
          <w:sz w:val="22"/>
          <w:szCs w:val="22"/>
        </w:rPr>
        <w:t>ent. This section also explores the health implications of various mitigation options, with particular attention paid to those which both promote public health and mitigate climate change.</w:t>
      </w:r>
    </w:p>
    <w:p w:rsidR="005E2CAA" w:rsidRPr="00A41589" w:rsidRDefault="005E2CAA" w:rsidP="00A41589">
      <w:pPr>
        <w:jc w:val="both"/>
        <w:rPr>
          <w:rFonts w:ascii="Calibri" w:hAnsi="Calibri"/>
          <w:sz w:val="22"/>
          <w:szCs w:val="22"/>
        </w:rPr>
      </w:pPr>
    </w:p>
    <w:p w:rsidR="005E2CAA" w:rsidRPr="00A41589" w:rsidRDefault="005E2CAA" w:rsidP="00A41589">
      <w:pPr>
        <w:jc w:val="both"/>
        <w:rPr>
          <w:rFonts w:ascii="Calibri" w:hAnsi="Calibri"/>
          <w:sz w:val="22"/>
          <w:szCs w:val="22"/>
        </w:rPr>
      </w:pPr>
      <w:r w:rsidRPr="00A41589">
        <w:rPr>
          <w:rFonts w:ascii="Calibri" w:hAnsi="Calibri" w:cs="Times New Roman"/>
          <w:sz w:val="22"/>
          <w:szCs w:val="22"/>
        </w:rPr>
        <w:t>Transformation to a global low</w:t>
      </w:r>
      <w:r w:rsidR="005C69AD">
        <w:rPr>
          <w:rFonts w:ascii="Calibri" w:hAnsi="Calibri" w:cs="Times New Roman"/>
          <w:sz w:val="22"/>
          <w:szCs w:val="22"/>
        </w:rPr>
        <w:t>-</w:t>
      </w:r>
      <w:r w:rsidRPr="00A41589">
        <w:rPr>
          <w:rFonts w:ascii="Calibri" w:hAnsi="Calibri" w:cs="Times New Roman"/>
          <w:sz w:val="22"/>
          <w:szCs w:val="22"/>
        </w:rPr>
        <w:t>carbon economy, however, requires political will, a feasible plan and the requisite finance.</w:t>
      </w:r>
      <w:r>
        <w:rPr>
          <w:rFonts w:ascii="Calibri" w:hAnsi="Calibri" w:cs="Times New Roman"/>
          <w:sz w:val="22"/>
          <w:szCs w:val="22"/>
        </w:rPr>
        <w:t xml:space="preserve"> </w:t>
      </w:r>
      <w:r w:rsidR="00024E43">
        <w:rPr>
          <w:rFonts w:ascii="Calibri" w:hAnsi="Calibri" w:cs="Times New Roman"/>
          <w:b/>
          <w:sz w:val="22"/>
          <w:szCs w:val="22"/>
        </w:rPr>
        <w:t>Section</w:t>
      </w:r>
      <w:r w:rsidR="008338A5" w:rsidRPr="00A41589">
        <w:rPr>
          <w:rFonts w:ascii="Calibri" w:hAnsi="Calibri" w:cs="Times New Roman"/>
          <w:b/>
          <w:sz w:val="22"/>
          <w:szCs w:val="22"/>
        </w:rPr>
        <w:t xml:space="preserve"> </w:t>
      </w:r>
      <w:r w:rsidRPr="00A41589">
        <w:rPr>
          <w:rFonts w:ascii="Calibri" w:hAnsi="Calibri" w:cs="Times New Roman"/>
          <w:b/>
          <w:sz w:val="22"/>
          <w:szCs w:val="22"/>
        </w:rPr>
        <w:t>4</w:t>
      </w:r>
      <w:r w:rsidRPr="00A41589">
        <w:rPr>
          <w:rFonts w:ascii="Calibri" w:hAnsi="Calibri" w:cs="Times New Roman"/>
          <w:sz w:val="22"/>
          <w:szCs w:val="22"/>
        </w:rPr>
        <w:t xml:space="preserve"> examines the financial, economic and policy options for decarbonisation. The goal of mitigation policy should be to reduce cumulative </w:t>
      </w:r>
      <w:r w:rsidR="000340EE">
        <w:rPr>
          <w:rFonts w:ascii="Calibri" w:hAnsi="Calibri" w:cs="Times New Roman"/>
          <w:sz w:val="22"/>
          <w:szCs w:val="22"/>
        </w:rPr>
        <w:t>as well as</w:t>
      </w:r>
      <w:r w:rsidRPr="00A41589">
        <w:rPr>
          <w:rFonts w:ascii="Calibri" w:hAnsi="Calibri" w:cs="Times New Roman"/>
          <w:sz w:val="22"/>
          <w:szCs w:val="22"/>
        </w:rPr>
        <w:t xml:space="preserve"> annual GHG emissions. Early emissions reduction will delay climate disruption and reduce the overall cost of abatement by avoiding drastic and expensive last-minute action. Immediate action offers a wider range of technological options, allows economies of scale and prospects for learning, and will reduce costs over time. The window of opportunity for evolutionary and revolutionary new technologies to develop, commercialise and deplo</w:t>
      </w:r>
      <w:r w:rsidR="005C69AD">
        <w:rPr>
          <w:rFonts w:ascii="Calibri" w:hAnsi="Calibri" w:cs="Times New Roman"/>
          <w:sz w:val="22"/>
          <w:szCs w:val="22"/>
        </w:rPr>
        <w:t>y is also held open for longer.</w:t>
      </w:r>
    </w:p>
    <w:p w:rsidR="005E2CAA" w:rsidRDefault="005E2CAA" w:rsidP="00A41589">
      <w:pPr>
        <w:jc w:val="both"/>
        <w:rPr>
          <w:rFonts w:ascii="Calibri" w:hAnsi="Calibri" w:cs="Times New Roman"/>
          <w:sz w:val="22"/>
        </w:rPr>
      </w:pPr>
    </w:p>
    <w:p w:rsidR="005E2CAA" w:rsidRPr="005C69AD" w:rsidRDefault="005E2CAA" w:rsidP="00A41589">
      <w:pPr>
        <w:jc w:val="both"/>
        <w:rPr>
          <w:rFonts w:ascii="Calibri" w:hAnsi="Calibri" w:cs="Times New Roman"/>
          <w:sz w:val="22"/>
        </w:rPr>
      </w:pPr>
      <w:r w:rsidRPr="00A41589">
        <w:rPr>
          <w:rFonts w:ascii="Calibri" w:hAnsi="Calibri" w:cs="Times New Roman"/>
          <w:sz w:val="22"/>
        </w:rPr>
        <w:t xml:space="preserve">In </w:t>
      </w:r>
      <w:r w:rsidRPr="00A41589">
        <w:rPr>
          <w:rFonts w:ascii="Calibri" w:hAnsi="Calibri" w:cs="Times New Roman"/>
          <w:b/>
          <w:sz w:val="22"/>
        </w:rPr>
        <w:t>Section 5</w:t>
      </w:r>
      <w:r w:rsidRPr="00A41589">
        <w:rPr>
          <w:rFonts w:ascii="Calibri" w:hAnsi="Calibri" w:cs="Times New Roman"/>
          <w:sz w:val="22"/>
        </w:rPr>
        <w:t xml:space="preserve"> </w:t>
      </w:r>
      <w:r w:rsidR="005C69AD">
        <w:rPr>
          <w:rFonts w:ascii="Calibri" w:hAnsi="Calibri" w:cs="Times New Roman"/>
          <w:sz w:val="22"/>
        </w:rPr>
        <w:t>we examine the political processes and mechanisms which</w:t>
      </w:r>
      <w:r w:rsidR="00AC5CC7">
        <w:rPr>
          <w:rFonts w:ascii="Calibri" w:hAnsi="Calibri" w:cs="Times New Roman"/>
          <w:sz w:val="22"/>
        </w:rPr>
        <w:t xml:space="preserve"> might play a role in</w:t>
      </w:r>
      <w:r w:rsidR="005C69AD">
        <w:rPr>
          <w:rFonts w:ascii="Calibri" w:hAnsi="Calibri" w:cs="Times New Roman"/>
          <w:sz w:val="22"/>
        </w:rPr>
        <w:t xml:space="preserve"> delivering a low-carbon economy. Multiple levels are considered, including the global response (the UN Framework Convention on Climate Change), national and sub-national (cities, states and provinces) policy, and the role of individuals. </w:t>
      </w:r>
      <w:r w:rsidR="00AC5CC7">
        <w:rPr>
          <w:rFonts w:ascii="Calibri" w:hAnsi="Calibri" w:cs="Times New Roman"/>
          <w:sz w:val="22"/>
        </w:rPr>
        <w:t>T</w:t>
      </w:r>
      <w:r w:rsidR="005C69AD">
        <w:rPr>
          <w:rFonts w:ascii="Calibri" w:hAnsi="Calibri" w:cs="Times New Roman"/>
          <w:sz w:val="22"/>
        </w:rPr>
        <w:t>he interaction between these different levels, and the lessons learnt from public health are given particular attention.</w:t>
      </w:r>
    </w:p>
    <w:p w:rsidR="005C69AD" w:rsidRPr="00A41589" w:rsidRDefault="005C69AD" w:rsidP="00A41589">
      <w:pPr>
        <w:jc w:val="both"/>
        <w:rPr>
          <w:rFonts w:ascii="Calibri" w:hAnsi="Calibri"/>
        </w:rPr>
      </w:pPr>
    </w:p>
    <w:p w:rsidR="005E2CAA" w:rsidRPr="00A41589" w:rsidRDefault="005E2CAA" w:rsidP="00A41589">
      <w:pPr>
        <w:jc w:val="both"/>
        <w:rPr>
          <w:rFonts w:ascii="Calibri" w:hAnsi="Calibri"/>
          <w:sz w:val="22"/>
          <w:szCs w:val="22"/>
        </w:rPr>
      </w:pPr>
      <w:r w:rsidRPr="00A41589">
        <w:rPr>
          <w:rFonts w:ascii="Calibri" w:hAnsi="Calibri" w:cs="Times New Roman"/>
          <w:sz w:val="22"/>
          <w:szCs w:val="22"/>
        </w:rPr>
        <w:t>Finally</w:t>
      </w:r>
      <w:r w:rsidRPr="00DC40B8">
        <w:rPr>
          <w:rFonts w:ascii="Calibri" w:hAnsi="Calibri" w:cs="Times New Roman"/>
          <w:sz w:val="22"/>
          <w:szCs w:val="22"/>
        </w:rPr>
        <w:t>,</w:t>
      </w:r>
      <w:r w:rsidRPr="00A41589">
        <w:rPr>
          <w:rFonts w:ascii="Calibri" w:hAnsi="Calibri" w:cs="Times New Roman"/>
          <w:sz w:val="22"/>
          <w:szCs w:val="22"/>
        </w:rPr>
        <w:t xml:space="preserve"> in </w:t>
      </w:r>
      <w:r w:rsidRPr="00DC40B8">
        <w:rPr>
          <w:rFonts w:ascii="Calibri" w:hAnsi="Calibri" w:cs="Times New Roman"/>
          <w:b/>
          <w:sz w:val="22"/>
          <w:szCs w:val="22"/>
        </w:rPr>
        <w:t>S</w:t>
      </w:r>
      <w:r w:rsidRPr="00A41589">
        <w:rPr>
          <w:rFonts w:ascii="Calibri" w:hAnsi="Calibri" w:cs="Times New Roman"/>
          <w:b/>
          <w:sz w:val="22"/>
          <w:szCs w:val="22"/>
        </w:rPr>
        <w:t xml:space="preserve">ection 6 </w:t>
      </w:r>
      <w:r w:rsidR="000340EE">
        <w:rPr>
          <w:rFonts w:ascii="Calibri" w:hAnsi="Calibri" w:cs="Times New Roman"/>
          <w:sz w:val="22"/>
          <w:szCs w:val="22"/>
        </w:rPr>
        <w:t>we</w:t>
      </w:r>
      <w:r w:rsidR="005C69AD">
        <w:rPr>
          <w:rFonts w:ascii="Calibri" w:hAnsi="Calibri" w:cs="Times New Roman"/>
          <w:sz w:val="22"/>
          <w:szCs w:val="22"/>
        </w:rPr>
        <w:t xml:space="preserve"> propose the formation of an international “</w:t>
      </w:r>
      <w:r w:rsidR="00341FD1" w:rsidRPr="006A7DE4">
        <w:rPr>
          <w:b/>
          <w:i/>
          <w:sz w:val="22"/>
          <w:szCs w:val="22"/>
          <w:lang w:val="en-GB"/>
        </w:rPr>
        <w:t>Countdown</w:t>
      </w:r>
      <w:r w:rsidR="00341FD1">
        <w:rPr>
          <w:b/>
          <w:i/>
          <w:sz w:val="22"/>
          <w:szCs w:val="22"/>
          <w:lang w:val="en-GB"/>
        </w:rPr>
        <w:t xml:space="preserve"> 2030: Global Health and Climate Action</w:t>
      </w:r>
      <w:r w:rsidR="005C69AD">
        <w:rPr>
          <w:rFonts w:ascii="Calibri" w:hAnsi="Calibri" w:cs="Times New Roman"/>
          <w:sz w:val="22"/>
          <w:szCs w:val="22"/>
        </w:rPr>
        <w:t xml:space="preserve">”. </w:t>
      </w:r>
      <w:r w:rsidRPr="00A41589">
        <w:rPr>
          <w:rFonts w:ascii="Calibri" w:hAnsi="Calibri" w:cs="Times New Roman"/>
          <w:sz w:val="22"/>
          <w:szCs w:val="22"/>
        </w:rPr>
        <w:t>We outline how a</w:t>
      </w:r>
      <w:r w:rsidR="005C69AD">
        <w:rPr>
          <w:rFonts w:ascii="Calibri" w:hAnsi="Calibri" w:cs="Times New Roman"/>
          <w:sz w:val="22"/>
          <w:szCs w:val="22"/>
        </w:rPr>
        <w:t>n international, multidisciplinary coalition of experts</w:t>
      </w:r>
      <w:r w:rsidRPr="00A41589">
        <w:rPr>
          <w:rFonts w:ascii="Calibri" w:hAnsi="Calibri" w:cs="Times New Roman"/>
          <w:sz w:val="22"/>
          <w:szCs w:val="22"/>
        </w:rPr>
        <w:t xml:space="preserve"> should monitor and report</w:t>
      </w:r>
      <w:r w:rsidR="005C69AD">
        <w:rPr>
          <w:rFonts w:ascii="Calibri" w:hAnsi="Calibri" w:cs="Times New Roman"/>
          <w:sz w:val="22"/>
          <w:szCs w:val="22"/>
        </w:rPr>
        <w:t xml:space="preserve"> on</w:t>
      </w:r>
      <w:r w:rsidRPr="00A41589">
        <w:rPr>
          <w:rFonts w:ascii="Calibri" w:hAnsi="Calibri" w:cs="Times New Roman"/>
          <w:sz w:val="22"/>
          <w:szCs w:val="22"/>
        </w:rPr>
        <w:t xml:space="preserve"> (i) the health impacts of climate change (ii) progress in policy to reduce GHG emissions,</w:t>
      </w:r>
      <w:r w:rsidR="005C69AD">
        <w:rPr>
          <w:rFonts w:ascii="Calibri" w:hAnsi="Calibri" w:cs="Times New Roman"/>
          <w:sz w:val="22"/>
          <w:szCs w:val="22"/>
        </w:rPr>
        <w:t xml:space="preserve"> and synergies utili</w:t>
      </w:r>
      <w:r w:rsidR="00425690">
        <w:rPr>
          <w:rFonts w:ascii="Calibri" w:hAnsi="Calibri" w:cs="Times New Roman"/>
          <w:sz w:val="22"/>
          <w:szCs w:val="22"/>
        </w:rPr>
        <w:t>s</w:t>
      </w:r>
      <w:r w:rsidR="005C69AD">
        <w:rPr>
          <w:rFonts w:ascii="Calibri" w:hAnsi="Calibri" w:cs="Times New Roman"/>
          <w:sz w:val="22"/>
          <w:szCs w:val="22"/>
        </w:rPr>
        <w:t xml:space="preserve">ed to promote </w:t>
      </w:r>
      <w:r w:rsidR="00C27067">
        <w:rPr>
          <w:rFonts w:ascii="Calibri" w:hAnsi="Calibri" w:cs="Times New Roman"/>
          <w:sz w:val="22"/>
          <w:szCs w:val="22"/>
        </w:rPr>
        <w:t xml:space="preserve">and protect </w:t>
      </w:r>
      <w:r w:rsidR="005C69AD">
        <w:rPr>
          <w:rFonts w:ascii="Calibri" w:hAnsi="Calibri" w:cs="Times New Roman"/>
          <w:sz w:val="22"/>
          <w:szCs w:val="22"/>
        </w:rPr>
        <w:t>health,</w:t>
      </w:r>
      <w:r w:rsidRPr="00A41589">
        <w:rPr>
          <w:rFonts w:ascii="Calibri" w:hAnsi="Calibri" w:cs="Times New Roman"/>
          <w:sz w:val="22"/>
          <w:szCs w:val="22"/>
        </w:rPr>
        <w:t xml:space="preserve"> and (iii) progress </w:t>
      </w:r>
      <w:r w:rsidR="005C69AD">
        <w:rPr>
          <w:rFonts w:ascii="Calibri" w:hAnsi="Calibri" w:cs="Times New Roman"/>
          <w:sz w:val="22"/>
          <w:szCs w:val="22"/>
        </w:rPr>
        <w:t>in health</w:t>
      </w:r>
      <w:r w:rsidRPr="00A41589">
        <w:rPr>
          <w:rFonts w:ascii="Calibri" w:hAnsi="Calibri" w:cs="Times New Roman"/>
          <w:sz w:val="22"/>
          <w:szCs w:val="22"/>
        </w:rPr>
        <w:t xml:space="preserve"> adaptation action to reduce population vulnerability, to build climate resilience and to implement </w:t>
      </w:r>
      <w:r w:rsidR="005C69AD">
        <w:rPr>
          <w:rFonts w:ascii="Calibri" w:hAnsi="Calibri" w:cs="Times New Roman"/>
          <w:sz w:val="22"/>
          <w:szCs w:val="22"/>
        </w:rPr>
        <w:t xml:space="preserve">climate-ready </w:t>
      </w:r>
      <w:r w:rsidRPr="00A41589">
        <w:rPr>
          <w:rFonts w:ascii="Calibri" w:hAnsi="Calibri" w:cs="Times New Roman"/>
          <w:sz w:val="22"/>
          <w:szCs w:val="22"/>
        </w:rPr>
        <w:t>low</w:t>
      </w:r>
      <w:r w:rsidR="005C69AD">
        <w:rPr>
          <w:rFonts w:ascii="Calibri" w:hAnsi="Calibri" w:cs="Times New Roman"/>
          <w:sz w:val="22"/>
          <w:szCs w:val="22"/>
        </w:rPr>
        <w:t>-carbon</w:t>
      </w:r>
      <w:r w:rsidRPr="00A41589">
        <w:rPr>
          <w:rFonts w:ascii="Calibri" w:hAnsi="Calibri" w:cs="Times New Roman"/>
          <w:sz w:val="22"/>
          <w:szCs w:val="22"/>
        </w:rPr>
        <w:t xml:space="preserve"> health systems.</w:t>
      </w:r>
      <w:r>
        <w:rPr>
          <w:rFonts w:ascii="Calibri" w:hAnsi="Calibri" w:cs="Times New Roman"/>
          <w:sz w:val="22"/>
          <w:szCs w:val="22"/>
        </w:rPr>
        <w:t xml:space="preserve"> </w:t>
      </w:r>
      <w:r w:rsidRPr="00A41589">
        <w:rPr>
          <w:rFonts w:ascii="Calibri" w:hAnsi="Calibri" w:cs="Times New Roman"/>
          <w:sz w:val="22"/>
          <w:szCs w:val="22"/>
        </w:rPr>
        <w:t>A Countdown process would complement rather than replace existing IPCC reports, and would bring the full weight and voice of the health community to this critical population health challenge.</w:t>
      </w:r>
    </w:p>
    <w:p w:rsidR="005E2CAA" w:rsidRPr="00A41589" w:rsidRDefault="005E2CAA" w:rsidP="00A41589">
      <w:pPr>
        <w:jc w:val="both"/>
        <w:rPr>
          <w:rFonts w:ascii="Calibri" w:hAnsi="Calibri"/>
        </w:rPr>
      </w:pPr>
    </w:p>
    <w:p w:rsidR="00533226" w:rsidRDefault="00533226">
      <w:pPr>
        <w:spacing w:after="160" w:line="259" w:lineRule="auto"/>
        <w:rPr>
          <w:lang w:val="en-GB"/>
        </w:rPr>
      </w:pPr>
      <w:r>
        <w:rPr>
          <w:lang w:val="en-GB"/>
        </w:rPr>
        <w:br w:type="page"/>
      </w:r>
    </w:p>
    <w:p w:rsidR="00533226" w:rsidRPr="00863624" w:rsidRDefault="00024E43" w:rsidP="00533226">
      <w:pPr>
        <w:pStyle w:val="Heading1"/>
      </w:pPr>
      <w:bookmarkStart w:id="19" w:name="_Toc278634743"/>
      <w:bookmarkStart w:id="20" w:name="_Toc415931369"/>
      <w:bookmarkStart w:id="21" w:name="_Toc417502034"/>
      <w:r>
        <w:lastRenderedPageBreak/>
        <w:t>Section</w:t>
      </w:r>
      <w:r w:rsidR="008338A5">
        <w:t xml:space="preserve"> </w:t>
      </w:r>
      <w:r w:rsidR="00CF6727">
        <w:t>1</w:t>
      </w:r>
      <w:r w:rsidR="00533226">
        <w:t xml:space="preserve">: Climate Change and Exposure to Health </w:t>
      </w:r>
      <w:r w:rsidR="00533226" w:rsidRPr="00944267">
        <w:t>R</w:t>
      </w:r>
      <w:r w:rsidR="00533226">
        <w:t>isks</w:t>
      </w:r>
      <w:bookmarkEnd w:id="19"/>
      <w:bookmarkEnd w:id="20"/>
      <w:bookmarkEnd w:id="21"/>
    </w:p>
    <w:p w:rsidR="00533226" w:rsidRPr="00944267" w:rsidRDefault="00533226" w:rsidP="00533226">
      <w:pPr>
        <w:jc w:val="both"/>
        <w:rPr>
          <w:rFonts w:ascii="Calibri" w:hAnsi="Calibri"/>
        </w:rPr>
      </w:pPr>
    </w:p>
    <w:p w:rsidR="00533226" w:rsidRDefault="00533226" w:rsidP="00533226">
      <w:pPr>
        <w:autoSpaceDE w:val="0"/>
        <w:autoSpaceDN w:val="0"/>
        <w:adjustRightInd w:val="0"/>
        <w:jc w:val="both"/>
        <w:rPr>
          <w:rFonts w:ascii="Calibri" w:hAnsi="Calibri" w:cs="Times New Roman"/>
          <w:sz w:val="22"/>
          <w:szCs w:val="22"/>
        </w:rPr>
      </w:pPr>
      <w:r w:rsidRPr="00944267">
        <w:rPr>
          <w:rFonts w:ascii="Calibri" w:hAnsi="Calibri" w:cs="Times New Roman"/>
          <w:sz w:val="22"/>
          <w:szCs w:val="22"/>
        </w:rPr>
        <w:t>No region is immune from the negative impacts of climate change</w:t>
      </w:r>
      <w:r w:rsidR="00882193">
        <w:rPr>
          <w:rFonts w:ascii="Calibri" w:hAnsi="Calibri" w:cs="Times New Roman"/>
          <w:sz w:val="22"/>
          <w:szCs w:val="22"/>
        </w:rPr>
        <w:t>, which will affect</w:t>
      </w:r>
      <w:r w:rsidRPr="00944267">
        <w:rPr>
          <w:rFonts w:ascii="Calibri" w:hAnsi="Calibri" w:cs="Times New Roman"/>
          <w:sz w:val="22"/>
          <w:szCs w:val="22"/>
        </w:rPr>
        <w:t xml:space="preserve"> the natural world,</w:t>
      </w:r>
      <w:r>
        <w:rPr>
          <w:rFonts w:ascii="Calibri" w:hAnsi="Calibri" w:cs="Times New Roman"/>
          <w:sz w:val="22"/>
          <w:szCs w:val="22"/>
        </w:rPr>
        <w:t xml:space="preserve"> economic activities</w:t>
      </w:r>
      <w:r w:rsidR="00882193">
        <w:rPr>
          <w:rFonts w:ascii="Calibri" w:hAnsi="Calibri" w:cs="Times New Roman"/>
          <w:sz w:val="22"/>
          <w:szCs w:val="22"/>
        </w:rPr>
        <w:t>,</w:t>
      </w:r>
      <w:r>
        <w:rPr>
          <w:rFonts w:ascii="Calibri" w:hAnsi="Calibri" w:cs="Times New Roman"/>
          <w:sz w:val="22"/>
          <w:szCs w:val="22"/>
        </w:rPr>
        <w:t xml:space="preserve"> and </w:t>
      </w:r>
      <w:r w:rsidRPr="00944267">
        <w:rPr>
          <w:rFonts w:ascii="Calibri" w:hAnsi="Calibri" w:cs="Times New Roman"/>
          <w:sz w:val="22"/>
          <w:szCs w:val="22"/>
        </w:rPr>
        <w:t>human health and well-being</w:t>
      </w:r>
      <w:r>
        <w:rPr>
          <w:rFonts w:ascii="Calibri" w:hAnsi="Calibri" w:cs="Times New Roman"/>
          <w:sz w:val="22"/>
          <w:szCs w:val="22"/>
        </w:rPr>
        <w:t xml:space="preserve"> in every part of the world</w:t>
      </w:r>
      <w:r w:rsidRPr="00944267">
        <w:rPr>
          <w:rFonts w:ascii="Calibri" w:hAnsi="Calibri" w:cs="Times New Roman"/>
          <w:sz w:val="22"/>
          <w:szCs w:val="22"/>
        </w:rPr>
        <w:t>.</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&lt;EndNote&gt;&lt;Cite&gt;&lt;Author&gt;Smith KR&lt;/Author&gt;&lt;Year&gt;2014&lt;/Year&gt;&lt;RecNum&gt;1199&lt;/RecNum&gt;&lt;DisplayText&gt;&lt;style face="superscript"&gt;31&lt;/style&gt;&lt;/DisplayText&gt;&lt;record&gt;&lt;rec-number&gt;1199&lt;/rec-number&gt;&lt;foreign-keys&gt;&lt;key app="EN" db-id="wtftd20rmszxx0ettxy5exwdf90wv22s2dsf" timestamp="1419212983"&gt;1199&lt;/key&gt;&lt;/foreign-keys&gt;&lt;ref-type name="Book Section"&gt;5&lt;/ref-type&gt;&lt;contributors&gt;&lt;authors&gt;&lt;author&gt;Smith KR, &lt;/author&gt;&lt;author&gt;Woodward A, &lt;/author&gt;&lt;author&gt;Campell-Lendrum D, &lt;/author&gt;&lt;author&gt;Chadee D, &lt;/author&gt;&lt;author&gt;Honda Y, &lt;/author&gt;&lt;author&gt;Liu Q, &lt;/author&gt;&lt;author&gt;Olwoch J, &lt;/author&gt;&lt;author&gt;Revich B, &lt;/author&gt;&lt;author&gt;Sauerborn R, &lt;/author&gt;&lt;author&gt;Aranda C, &lt;/author&gt;&lt;author&gt;Berry H, &lt;/author&gt;&lt;author&gt;Butler C, &lt;/author&gt;&lt;author&gt;Chafe Z, &lt;/author&gt;&lt;author&gt;Cushing L, &lt;/author&gt;&lt;author&gt;Ebi K, &lt;/author&gt;&lt;author&gt;Kjellstrom T, &lt;/author&gt;&lt;author&gt;Kovats S, &lt;/author&gt;&lt;author&gt;Lindsay G, &lt;/author&gt;&lt;author&gt;Lipp E, &lt;/author&gt;&lt;author&gt;McMichael T, &lt;/author&gt;&lt;author&gt;Murray V, &lt;/author&gt;&lt;author&gt;Sankoh O, &lt;/author&gt;&lt;author&gt;O’Neill M, &lt;/author&gt;&lt;author&gt;Shonkoff SB, &lt;/author&gt;&lt;author&gt;Sutherland J, &lt;/author&gt;&lt;author&gt;Yamamoto S,&lt;/author&gt;&lt;/authors&gt;&lt;/contributors&gt;&lt;titles&gt;&lt;title&gt;Human Health - Impacts adaptation and co-benefits&lt;/title&gt;&lt;secondary-title&gt;Climate Change 2014: Impacts, Adaptation, and Vulnerability. Working Group II Contribution to the IPCC 5th Assessment Report&lt;/secondary-title&gt;&lt;/titles&gt;&lt;dates&gt;&lt;year&gt;2014&lt;/year&gt;&lt;/dates&gt;&lt;pub-location&gt;Cambridge, UK and New York, NY, USA&lt;/pub-location&gt;&lt;publisher&gt;Cambridge University Press&lt;/publisher&gt;&lt;urls&gt;&lt;/urls&gt;&lt;/record&gt;&lt;/Cite&gt;&lt;/EndNote&gt;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31</w:t>
      </w:r>
      <w:r w:rsidR="00E13392">
        <w:rPr>
          <w:rFonts w:ascii="Calibri" w:hAnsi="Calibri" w:cs="Times New Roman"/>
          <w:sz w:val="22"/>
          <w:szCs w:val="22"/>
        </w:rPr>
        <w:fldChar w:fldCharType="end"/>
      </w:r>
      <w:r w:rsidRPr="00944267">
        <w:rPr>
          <w:rFonts w:ascii="Calibri" w:hAnsi="Calibri" w:cs="Times New Roman"/>
          <w:sz w:val="22"/>
          <w:szCs w:val="22"/>
        </w:rPr>
        <w:t> </w:t>
      </w:r>
      <w:r>
        <w:rPr>
          <w:rFonts w:ascii="Calibri" w:hAnsi="Calibri" w:cs="Times New Roman"/>
          <w:sz w:val="22"/>
          <w:szCs w:val="22"/>
        </w:rPr>
        <w:t>There are already observed impacts of climate change on health, both directly through extreme weather and hazards and indirectly through changes in</w:t>
      </w:r>
      <w:r w:rsidRPr="00944267">
        <w:rPr>
          <w:rFonts w:ascii="Calibri" w:hAnsi="Calibri" w:cs="Times New Roman"/>
          <w:sz w:val="22"/>
          <w:szCs w:val="22"/>
        </w:rPr>
        <w:t xml:space="preserve"> land use and nutrition.</w:t>
      </w:r>
      <w:r w:rsidRPr="00F10B92">
        <w:rPr>
          <w:rFonts w:ascii="Calibri" w:hAnsi="Calibri" w:cs="Times New Roman"/>
          <w:sz w:val="22"/>
          <w:szCs w:val="22"/>
        </w:rPr>
        <w:t xml:space="preserve"> </w:t>
      </w:r>
      <w:r w:rsidRPr="003523C9">
        <w:rPr>
          <w:rFonts w:ascii="Calibri" w:hAnsi="Calibri" w:cs="Times New Roman"/>
          <w:sz w:val="22"/>
          <w:szCs w:val="22"/>
        </w:rPr>
        <w:t xml:space="preserve">Lags in the response of the climate system to historical emissions means that the world is committed to significant warming over coming decades. </w:t>
      </w:r>
    </w:p>
    <w:p w:rsidR="00533226" w:rsidRDefault="00533226" w:rsidP="00533226">
      <w:pPr>
        <w:autoSpaceDE w:val="0"/>
        <w:autoSpaceDN w:val="0"/>
        <w:adjustRightInd w:val="0"/>
        <w:jc w:val="both"/>
        <w:rPr>
          <w:rFonts w:ascii="Calibri" w:hAnsi="Calibri" w:cs="Times New Roman"/>
          <w:sz w:val="22"/>
          <w:szCs w:val="22"/>
        </w:rPr>
      </w:pPr>
    </w:p>
    <w:p w:rsidR="00533226" w:rsidRDefault="007B298C" w:rsidP="00533226">
      <w:pPr>
        <w:autoSpaceDE w:val="0"/>
        <w:autoSpaceDN w:val="0"/>
        <w:adjustRightInd w:val="0"/>
        <w:jc w:val="both"/>
        <w:rPr>
          <w:rFonts w:ascii="Calibri" w:hAnsi="Calibri" w:cs="Times New Roman"/>
          <w:sz w:val="22"/>
          <w:szCs w:val="22"/>
        </w:rPr>
      </w:pPr>
      <w:r>
        <w:rPr>
          <w:rFonts w:ascii="Calibri" w:hAnsi="Calibri" w:cs="Times New Roman"/>
          <w:sz w:val="22"/>
          <w:szCs w:val="22"/>
        </w:rPr>
        <w:t xml:space="preserve">All plausible futures resulting from realistic anticipated emissions trajectories expose the global population to worsening health consequences. </w:t>
      </w:r>
      <w:r>
        <w:rPr>
          <w:rFonts w:ascii="Calibri" w:eastAsia="MinionPro-Regular" w:hAnsi="Calibri" w:cs="Times New Roman"/>
          <w:sz w:val="22"/>
          <w:szCs w:val="22"/>
        </w:rPr>
        <w:t xml:space="preserve"> In 2014, the World Health Organization (WHO) estimated an additional 250,000 potential deaths annually between 2030 and 2050 for well understood impacts of climate change. The WHO suggest their estimates represent lower bound figures because they omit important causal pathways. The</w:t>
      </w:r>
      <w:r>
        <w:rPr>
          <w:rFonts w:ascii="Calibri" w:eastAsia="MinionPro-Regular" w:hAnsi="Calibri" w:cs="Times New Roman"/>
          <w:color w:val="000000"/>
          <w:sz w:val="22"/>
          <w:szCs w:val="22"/>
        </w:rPr>
        <w:t xml:space="preserve"> effects of economic damage, major heatwave events, river flooding, water scarcity or the impacts of climate change on human security and conflict, for example, are not accounted for in their global burden estimates.</w:t>
      </w:r>
      <w:r w:rsidR="00E13392">
        <w:rPr>
          <w:rFonts w:ascii="Calibri" w:eastAsia="MinionPro-Regular" w:hAnsi="Calibri" w:cs="Times New Roman"/>
          <w:color w:val="000000"/>
          <w:sz w:val="22"/>
          <w:szCs w:val="22"/>
        </w:rPr>
        <w:fldChar w:fldCharType="begin"/>
      </w:r>
      <w:r w:rsidR="00303C0E">
        <w:rPr>
          <w:rFonts w:ascii="Calibri" w:eastAsia="MinionPro-Regular" w:hAnsi="Calibri" w:cs="Times New Roman"/>
          <w:color w:val="000000"/>
          <w:sz w:val="22"/>
          <w:szCs w:val="22"/>
        </w:rPr>
        <w:instrText xml:space="preserve"> ADDIN EN.CITE &lt;EndNote&gt;&lt;Cite&gt;&lt;Author&gt;Hales&lt;/Author&gt;&lt;Year&gt;2014&lt;/Year&gt;&lt;RecNum&gt;1280&lt;/RecNum&gt;&lt;DisplayText&gt;&lt;style face="superscript"&gt;32&lt;/style&gt;&lt;/DisplayText&gt;&lt;record&gt;&lt;rec-number&gt;1280&lt;/rec-number&gt;&lt;foreign-keys&gt;&lt;key app="EN" db-id="wtftd20rmszxx0ettxy5exwdf90wv22s2dsf" timestamp="1419212983"&gt;1280&lt;/key&gt;&lt;/foreign-keys&gt;&lt;ref-type name="Report"&gt;27&lt;/ref-type&gt;&lt;contributors&gt;&lt;authors&gt;&lt;author&gt;Simon Hales&lt;/author&gt;&lt;author&gt;Sari Kovats&lt;/author&gt;&lt;author&gt;Simon Lloyd&lt;/author&gt;&lt;author&gt;Diarmid Campbell-Lendrum&lt;/author&gt;&lt;/authors&gt;&lt;secondary-authors&gt;&lt;author&gt;Simon Hales, Sari Kovats, Simon Lloyd, Diarmid Campbell-Lendrum&lt;/author&gt;&lt;/secondary-authors&gt;&lt;/contributors&gt;&lt;titles&gt;&lt;title&gt;Quantitative risk assessment of the effects of climate change on selected causes of death, 2030s and 2050s&lt;/title&gt;&lt;/titles&gt;&lt;dates&gt;&lt;year&gt;2014&lt;/year&gt;&lt;/dates&gt;&lt;pub-location&gt;Geneva&lt;/pub-location&gt;&lt;publisher&gt;World Health Organization&lt;/publisher&gt;&lt;urls&gt;&lt;/urls&gt;&lt;/record&gt;&lt;/Cite&gt;&lt;/EndNote&gt;</w:instrText>
      </w:r>
      <w:r w:rsidR="00E13392">
        <w:rPr>
          <w:rFonts w:ascii="Calibri" w:eastAsia="MinionPro-Regular" w:hAnsi="Calibri" w:cs="Times New Roman"/>
          <w:color w:val="000000"/>
          <w:sz w:val="22"/>
          <w:szCs w:val="22"/>
        </w:rPr>
        <w:fldChar w:fldCharType="separate"/>
      </w:r>
      <w:r w:rsidR="00303C0E" w:rsidRPr="00303C0E">
        <w:rPr>
          <w:rFonts w:ascii="Calibri" w:eastAsia="MinionPro-Regular" w:hAnsi="Calibri" w:cs="Times New Roman"/>
          <w:noProof/>
          <w:color w:val="000000"/>
          <w:sz w:val="22"/>
          <w:szCs w:val="22"/>
          <w:vertAlign w:val="superscript"/>
        </w:rPr>
        <w:t>32</w:t>
      </w:r>
      <w:r w:rsidR="00E13392">
        <w:rPr>
          <w:rFonts w:ascii="Calibri" w:eastAsia="MinionPro-Regular" w:hAnsi="Calibri" w:cs="Times New Roman"/>
          <w:color w:val="000000"/>
          <w:sz w:val="22"/>
          <w:szCs w:val="22"/>
        </w:rPr>
        <w:fldChar w:fldCharType="end"/>
      </w:r>
      <w:r w:rsidR="00533226" w:rsidRPr="00F10B92">
        <w:rPr>
          <w:rFonts w:ascii="Calibri" w:eastAsia="MinionPro-Regular" w:hAnsi="Calibri" w:cs="Times New Roman"/>
          <w:color w:val="000000"/>
          <w:sz w:val="22"/>
          <w:szCs w:val="22"/>
        </w:rPr>
        <w:t xml:space="preserve"> </w:t>
      </w:r>
      <w:r w:rsidR="00882193" w:rsidRPr="003523C9">
        <w:rPr>
          <w:rFonts w:ascii="Calibri" w:hAnsi="Calibri" w:cs="Times New Roman"/>
          <w:sz w:val="22"/>
          <w:szCs w:val="22"/>
        </w:rPr>
        <w:t>Witho</w:t>
      </w:r>
      <w:r w:rsidR="00882193">
        <w:rPr>
          <w:rFonts w:ascii="Calibri" w:hAnsi="Calibri" w:cs="Times New Roman"/>
          <w:sz w:val="22"/>
          <w:szCs w:val="22"/>
        </w:rPr>
        <w:t xml:space="preserve">ut action to address continued and rising emissions, the risks, and the number of people exposed to those risks, will </w:t>
      </w:r>
      <w:r w:rsidR="00C0266B">
        <w:rPr>
          <w:rFonts w:ascii="Calibri" w:hAnsi="Calibri" w:cs="Times New Roman"/>
          <w:sz w:val="22"/>
          <w:szCs w:val="22"/>
        </w:rPr>
        <w:t xml:space="preserve">likely </w:t>
      </w:r>
      <w:r w:rsidR="00882193">
        <w:rPr>
          <w:rFonts w:ascii="Calibri" w:hAnsi="Calibri" w:cs="Times New Roman"/>
          <w:sz w:val="22"/>
          <w:szCs w:val="22"/>
        </w:rPr>
        <w:t>increase significantly</w:t>
      </w:r>
      <w:r w:rsidR="00882193" w:rsidRPr="003523C9">
        <w:rPr>
          <w:rFonts w:ascii="Calibri" w:hAnsi="Calibri" w:cs="Times New Roman"/>
          <w:sz w:val="22"/>
          <w:szCs w:val="22"/>
        </w:rPr>
        <w:t>.</w:t>
      </w:r>
      <w:r>
        <w:rPr>
          <w:rFonts w:ascii="Calibri" w:hAnsi="Calibri" w:cs="Times New Roman"/>
          <w:sz w:val="22"/>
          <w:szCs w:val="22"/>
        </w:rPr>
        <w:t xml:space="preserve"> The WHO emphasizes that the importance of the interactions between climate change and many other trends affecting public health, stressing the need for interventions designed to address climate change and poverty – two key drivers of ill health.</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&lt;EndNote&gt;&lt;Cite&gt;&lt;Author&gt;Hales&lt;/Author&gt;&lt;Year&gt;2014&lt;/Year&gt;&lt;RecNum&gt;1280&lt;/RecNum&gt;&lt;DisplayText&gt;&lt;style face="superscript"&gt;32&lt;/style&gt;&lt;/DisplayText&gt;&lt;record&gt;&lt;rec-number&gt;1280&lt;/rec-number&gt;&lt;foreign-keys&gt;&lt;key app="EN" db-id="wtftd20rmszxx0ettxy5exwdf90wv22s2dsf" timestamp="1419212983"&gt;1280&lt;/key&gt;&lt;/foreign-keys&gt;&lt;ref-type name="Report"&gt;27&lt;/ref-type&gt;&lt;contributors&gt;&lt;authors&gt;&lt;author&gt;Simon Hales&lt;/author&gt;&lt;author&gt;Sari Kovats&lt;/author&gt;&lt;author&gt;Simon Lloyd&lt;/author&gt;&lt;author&gt;Diarmid Campbell-Lendrum&lt;/author&gt;&lt;/authors&gt;&lt;secondary-authors&gt;&lt;author&gt;Simon Hales, Sari Kovats, Simon Lloyd, Diarmid Campbell-Lendrum&lt;/author&gt;&lt;/secondary-authors&gt;&lt;/contributors&gt;&lt;titles&gt;&lt;title&gt;Quantitative risk assessment of the effects of climate change on selected causes of death, 2030s and 2050s&lt;/title&gt;&lt;/titles&gt;&lt;dates&gt;&lt;year&gt;2014&lt;/year&gt;&lt;/dates&gt;&lt;pub-location&gt;Geneva&lt;/pub-location&gt;&lt;publisher&gt;World Health Organization&lt;/publisher&gt;&lt;urls&gt;&lt;/urls&gt;&lt;/record&gt;&lt;/Cite&gt;&lt;/EndNote&gt;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32</w:t>
      </w:r>
      <w:r w:rsidR="00E13392">
        <w:rPr>
          <w:rFonts w:ascii="Calibri" w:hAnsi="Calibri" w:cs="Times New Roman"/>
          <w:sz w:val="22"/>
          <w:szCs w:val="22"/>
        </w:rPr>
        <w:fldChar w:fldCharType="end"/>
      </w:r>
      <w:r>
        <w:rPr>
          <w:rFonts w:ascii="Calibri" w:hAnsi="Calibri" w:cs="Times New Roman"/>
          <w:sz w:val="22"/>
          <w:szCs w:val="22"/>
        </w:rPr>
        <w:t xml:space="preserve"> Similarly, the authors of the IPCC assessment of climate change on health emphasize that the health impacts become significantly amplified over time.</w:t>
      </w:r>
      <w:r w:rsidR="00E13392">
        <w:rPr>
          <w:rFonts w:ascii="Calibri" w:hAnsi="Calibri" w:cs="Times New Roman"/>
          <w:sz w:val="22"/>
          <w:szCs w:val="22"/>
        </w:rPr>
        <w:fldChar w:fldCharType="begin"/>
      </w:r>
      <w:r w:rsidR="00CC5E3E">
        <w:rPr>
          <w:rFonts w:ascii="Calibri" w:hAnsi="Calibri" w:cs="Times New Roman"/>
          <w:sz w:val="22"/>
          <w:szCs w:val="22"/>
        </w:rPr>
        <w:instrText xml:space="preserve"> ADDIN EN.CITE &lt;EndNote&gt;&lt;Cite&gt;&lt;Author&gt;Haines&lt;/Author&gt;&lt;Year&gt;2014&lt;/Year&gt;&lt;RecNum&gt;1396&lt;/RecNum&gt;&lt;DisplayText&gt;&lt;style face="superscript"&gt;21&lt;/style&gt;&lt;/DisplayText&gt;&lt;record&gt;&lt;rec-number&gt;1396&lt;/rec-number&gt;&lt;foreign-keys&gt;&lt;key app="EN" db-id="wtftd20rmszxx0ettxy5exwdf90wv22s2dsf" timestamp="1419265733"&gt;1396&lt;/key&gt;&lt;/foreign-keys&gt;&lt;ref-type name="Journal Article"&gt;17&lt;/ref-type&gt;&lt;contributors&gt;&lt;authors&gt;&lt;author&gt;Andy Haines&lt;/author&gt;&lt;author&gt;Kristie L Ebi&lt;/author&gt;&lt;author&gt;Kirk Smith&lt;/author&gt;&lt;author&gt;Alistair Woodward&lt;/author&gt;&lt;/authors&gt;&lt;/contributors&gt;&lt;titles&gt;&lt;title&gt;Health risks of climate change: act now or pay later&lt;/title&gt;&lt;secondary-title&gt;The Lancet&lt;/secondary-title&gt;&lt;/titles&gt;&lt;periodical&gt;&lt;full-title&gt;The Lancet&lt;/full-title&gt;&lt;/periodical&gt;&lt;pages&gt;1073-5&lt;/pages&gt;&lt;volume&gt;384&lt;/volume&gt;&lt;number&gt;9948&lt;/number&gt;&lt;dates&gt;&lt;year&gt;2014&lt;/year&gt;&lt;/dates&gt;&lt;urls&gt;&lt;/urls&gt;&lt;/record&gt;&lt;/Cite&gt;&lt;/EndNote&gt;</w:instrText>
      </w:r>
      <w:r w:rsidR="00E13392">
        <w:rPr>
          <w:rFonts w:ascii="Calibri" w:hAnsi="Calibri" w:cs="Times New Roman"/>
          <w:sz w:val="22"/>
          <w:szCs w:val="22"/>
        </w:rPr>
        <w:fldChar w:fldCharType="separate"/>
      </w:r>
      <w:r w:rsidR="00CC5E3E" w:rsidRPr="00CC5E3E">
        <w:rPr>
          <w:rFonts w:ascii="Calibri" w:hAnsi="Calibri" w:cs="Times New Roman"/>
          <w:noProof/>
          <w:sz w:val="22"/>
          <w:szCs w:val="22"/>
          <w:vertAlign w:val="superscript"/>
        </w:rPr>
        <w:t>21</w:t>
      </w:r>
      <w:r w:rsidR="00E13392">
        <w:rPr>
          <w:rFonts w:ascii="Calibri" w:hAnsi="Calibri" w:cs="Times New Roman"/>
          <w:sz w:val="22"/>
          <w:szCs w:val="22"/>
        </w:rPr>
        <w:fldChar w:fldCharType="end"/>
      </w:r>
    </w:p>
    <w:p w:rsidR="00533226" w:rsidRDefault="00533226" w:rsidP="00533226">
      <w:pPr>
        <w:autoSpaceDE w:val="0"/>
        <w:autoSpaceDN w:val="0"/>
        <w:adjustRightInd w:val="0"/>
        <w:jc w:val="both"/>
        <w:rPr>
          <w:rFonts w:ascii="Calibri" w:hAnsi="Calibri" w:cs="Times New Roman"/>
          <w:sz w:val="22"/>
        </w:rPr>
      </w:pPr>
    </w:p>
    <w:p w:rsidR="007B298C" w:rsidRDefault="007B298C" w:rsidP="007B298C">
      <w:pPr>
        <w:jc w:val="both"/>
        <w:rPr>
          <w:rFonts w:ascii="Calibri" w:hAnsi="Calibri" w:cs="Times New Roman"/>
          <w:noProof/>
          <w:sz w:val="22"/>
          <w:szCs w:val="22"/>
          <w:lang w:eastAsia="en-GB"/>
        </w:rPr>
      </w:pPr>
      <w:r>
        <w:rPr>
          <w:rFonts w:ascii="Calibri" w:hAnsi="Calibri" w:cs="Times New Roman"/>
          <w:sz w:val="22"/>
        </w:rPr>
        <w:t xml:space="preserve">This report provides new insights into the potential exposure of populations, demonstrating that when demographic trends are accounted for, such as ageing, migration and aggregate population growth, the populations exposed to climate change that negatively affect health risk are more serious than suggested in many global assessments. It involves new analysis on specific and direct climate risks of heat, drought and heavy precipitation that directly link climate change and </w:t>
      </w:r>
      <w:r>
        <w:rPr>
          <w:rFonts w:ascii="Calibri" w:hAnsi="Calibri" w:cs="Times New Roman"/>
          <w:sz w:val="22"/>
          <w:szCs w:val="22"/>
        </w:rPr>
        <w:t xml:space="preserve">wellbeing. </w:t>
      </w:r>
      <w:r>
        <w:rPr>
          <w:rFonts w:ascii="Calibri" w:hAnsi="Calibri" w:cs="Times New Roman"/>
          <w:noProof/>
          <w:sz w:val="22"/>
          <w:szCs w:val="22"/>
          <w:lang w:eastAsia="en-GB"/>
        </w:rPr>
        <w:t>The number of people exposed to such risk is amplified by social factors: the distribution of population density resulting from urbanisation, and changes in population demographics relating to ageing.</w:t>
      </w:r>
    </w:p>
    <w:p w:rsidR="00882193" w:rsidRDefault="00882193" w:rsidP="00533226">
      <w:pPr>
        <w:jc w:val="both"/>
        <w:rPr>
          <w:rFonts w:ascii="Calibri" w:hAnsi="Calibri" w:cs="Times New Roman"/>
          <w:noProof/>
          <w:sz w:val="22"/>
          <w:szCs w:val="22"/>
          <w:lang w:eastAsia="en-GB"/>
        </w:rPr>
      </w:pPr>
    </w:p>
    <w:p w:rsidR="007B298C" w:rsidRDefault="007B298C" w:rsidP="007B298C">
      <w:pPr>
        <w:jc w:val="both"/>
        <w:rPr>
          <w:rFonts w:ascii="Calibri" w:hAnsi="Calibri" w:cs="Times New Roman"/>
          <w:sz w:val="22"/>
        </w:rPr>
      </w:pPr>
      <w:r>
        <w:rPr>
          <w:rFonts w:ascii="Calibri" w:hAnsi="Calibri" w:cs="Times New Roman"/>
          <w:noProof/>
          <w:sz w:val="22"/>
          <w:szCs w:val="22"/>
          <w:lang w:eastAsia="en-GB"/>
        </w:rPr>
        <w:t>Thus,</w:t>
      </w:r>
      <w:r>
        <w:rPr>
          <w:rFonts w:ascii="Calibri" w:hAnsi="Calibri" w:cs="Times New Roman"/>
          <w:sz w:val="22"/>
        </w:rPr>
        <w:t xml:space="preserve"> </w:t>
      </w:r>
      <w:r>
        <w:rPr>
          <w:rFonts w:ascii="Calibri" w:hAnsi="Calibri" w:cs="Times New Roman"/>
          <w:noProof/>
          <w:sz w:val="22"/>
          <w:szCs w:val="22"/>
          <w:lang w:eastAsia="en-GB"/>
        </w:rPr>
        <w:t xml:space="preserve">human populations are likely to be growing, ageing and migrating towards greater vulnerability to climate risks. </w:t>
      </w:r>
      <w:r>
        <w:rPr>
          <w:rFonts w:ascii="Calibri" w:hAnsi="Calibri" w:cs="Times New Roman"/>
          <w:sz w:val="22"/>
        </w:rPr>
        <w:t>Such data emphasizes the need for action to avoid scenarios where thresholds in climate greatly increase exposure, as well as adaptation to protect populations from consequent impacts.</w:t>
      </w:r>
    </w:p>
    <w:p w:rsidR="00AC18FF" w:rsidRDefault="00AC18FF" w:rsidP="00533226">
      <w:pPr>
        <w:jc w:val="both"/>
        <w:rPr>
          <w:rFonts w:ascii="Calibri" w:hAnsi="Calibri" w:cs="Times New Roman"/>
          <w:b/>
        </w:rPr>
      </w:pPr>
    </w:p>
    <w:p w:rsidR="00533226" w:rsidRPr="00863624" w:rsidRDefault="00533226" w:rsidP="00533226">
      <w:pPr>
        <w:pStyle w:val="Heading2"/>
      </w:pPr>
      <w:bookmarkStart w:id="22" w:name="_Toc278634744"/>
      <w:bookmarkStart w:id="23" w:name="_Toc415931370"/>
      <w:bookmarkStart w:id="24" w:name="_Toc417502035"/>
      <w:r w:rsidRPr="003C3B69">
        <w:t xml:space="preserve">How </w:t>
      </w:r>
      <w:r w:rsidR="00882193">
        <w:t>C</w:t>
      </w:r>
      <w:r w:rsidR="00882193" w:rsidRPr="003C3B69">
        <w:t xml:space="preserve">limate </w:t>
      </w:r>
      <w:r w:rsidR="00882193">
        <w:t>A</w:t>
      </w:r>
      <w:r w:rsidR="00882193" w:rsidRPr="003C3B69">
        <w:t xml:space="preserve">ffects </w:t>
      </w:r>
      <w:r w:rsidR="00882193">
        <w:t>H</w:t>
      </w:r>
      <w:r w:rsidR="00882193" w:rsidRPr="003C3B69">
        <w:t xml:space="preserve">uman </w:t>
      </w:r>
      <w:bookmarkEnd w:id="22"/>
      <w:r w:rsidR="00882193">
        <w:t>H</w:t>
      </w:r>
      <w:r w:rsidR="00882193" w:rsidRPr="003C3B69">
        <w:t>ealth</w:t>
      </w:r>
      <w:bookmarkEnd w:id="23"/>
      <w:bookmarkEnd w:id="24"/>
    </w:p>
    <w:p w:rsidR="00533226" w:rsidRPr="003523C9" w:rsidRDefault="00533226" w:rsidP="00533226">
      <w:pPr>
        <w:jc w:val="both"/>
        <w:rPr>
          <w:rFonts w:ascii="Calibri" w:hAnsi="Calibri"/>
        </w:rPr>
      </w:pPr>
    </w:p>
    <w:p w:rsidR="00533226" w:rsidRPr="003523C9" w:rsidRDefault="00533226" w:rsidP="00971EB6">
      <w:pPr>
        <w:pStyle w:val="Heading3"/>
      </w:pPr>
      <w:bookmarkStart w:id="25" w:name="_Toc415931371"/>
      <w:bookmarkStart w:id="26" w:name="_Toc417502036"/>
      <w:r w:rsidRPr="003523C9">
        <w:t xml:space="preserve">Mechanisms </w:t>
      </w:r>
      <w:r w:rsidR="00882193">
        <w:t>L</w:t>
      </w:r>
      <w:r w:rsidR="00882193" w:rsidRPr="003523C9">
        <w:t xml:space="preserve">inking </w:t>
      </w:r>
      <w:r w:rsidR="00882193">
        <w:t>C</w:t>
      </w:r>
      <w:r w:rsidR="00882193" w:rsidRPr="003523C9">
        <w:t xml:space="preserve">limate </w:t>
      </w:r>
      <w:r w:rsidRPr="003523C9">
        <w:t xml:space="preserve">and </w:t>
      </w:r>
      <w:r w:rsidR="00882193">
        <w:t>H</w:t>
      </w:r>
      <w:r w:rsidR="00882193" w:rsidRPr="003523C9">
        <w:t>ealth</w:t>
      </w:r>
      <w:bookmarkEnd w:id="25"/>
      <w:bookmarkEnd w:id="26"/>
      <w:r w:rsidR="00882193" w:rsidRPr="003523C9">
        <w:t xml:space="preserve"> </w:t>
      </w:r>
    </w:p>
    <w:p w:rsidR="00533226" w:rsidRDefault="004A4E03" w:rsidP="004A4E03">
      <w:pPr>
        <w:rPr>
          <w:rFonts w:ascii="Calibri" w:hAnsi="Calibri" w:cs="Times New Roman"/>
          <w:sz w:val="22"/>
          <w:szCs w:val="22"/>
        </w:rPr>
      </w:pPr>
      <w:r>
        <w:rPr>
          <w:rFonts w:ascii="Calibri" w:hAnsi="Calibri" w:cs="Times New Roman"/>
          <w:sz w:val="22"/>
          <w:szCs w:val="22"/>
        </w:rPr>
        <w:t>The principal pathways linking climate change with health outcomes are represented in Figure 2.1, categorised as direct and indirect mechanisms, interacting with social dynamics to produce health outcomes. All of these risks have social and geographical dimensions, and are unevenly distributed across the world, and influenced by social and economic development, technology, and health service provision. The IPCC report documents in expansive detail the scientific knowledge on many individual risks.</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&lt;EndNote&gt;&lt;Cite&gt;&lt;Author&gt;Smith KR&lt;/Author&gt;&lt;Year&gt;2014&lt;/Year&gt;&lt;RecNum&gt;1199&lt;/RecNum&gt;&lt;DisplayText&gt;&lt;style face="superscript"&gt;31&lt;/style&gt;&lt;/DisplayText&gt;&lt;record&gt;&lt;rec-number&gt;1199&lt;/rec-number&gt;&lt;foreign-keys&gt;&lt;key app="EN" db-id="wtftd20rmszxx0ettxy5exwdf90wv22s2dsf" timestamp="1419212983"&gt;1199&lt;/key&gt;&lt;/foreign-keys&gt;&lt;ref-type name="Book Section"&gt;5&lt;/ref-type&gt;&lt;contributors&gt;&lt;authors&gt;&lt;author&gt;Smith KR, &lt;/author&gt;&lt;author&gt;Woodward A, &lt;/author&gt;&lt;author&gt;Campell-Lendrum D, &lt;/author&gt;&lt;author&gt;Chadee D, &lt;/author&gt;&lt;author&gt;Honda Y, &lt;/author&gt;&lt;author&gt;Liu Q, &lt;/author&gt;&lt;author&gt;Olwoch J, &lt;/author&gt;&lt;author&gt;Revich B, &lt;/author&gt;&lt;author&gt;Sauerborn R, &lt;/author&gt;&lt;author&gt;Aranda C, &lt;/author&gt;&lt;author&gt;Berry H, &lt;/author&gt;&lt;author&gt;Butler C, &lt;/author&gt;&lt;author&gt;Chafe Z, &lt;/author&gt;&lt;author&gt;Cushing L, &lt;/author&gt;&lt;author&gt;Ebi K, &lt;/author&gt;&lt;author&gt;Kjellstrom T, &lt;/author&gt;&lt;author&gt;Kovats S, &lt;/author&gt;&lt;author&gt;Lindsay G, &lt;/author&gt;&lt;author&gt;Lipp E, &lt;/author&gt;&lt;author&gt;McMichael T, &lt;/author&gt;&lt;author&gt;Murray V, &lt;/author&gt;&lt;author&gt;Sankoh O, &lt;/author&gt;&lt;author&gt;O’Neill M, &lt;/author&gt;&lt;author&gt;Shonkoff SB, &lt;/author&gt;&lt;author&gt;Sutherland J, &lt;/author&gt;&lt;author&gt;Yamamoto S,&lt;/author&gt;&lt;/authors&gt;&lt;/contributors&gt;&lt;titles&gt;&lt;title&gt;Human Health - Impacts adaptation and co-benefits&lt;/title&gt;&lt;secondary-title&gt;Climate Change 2014: Impacts, Adaptation, and Vulnerability. Working Group II Contribution to the IPCC 5th Assessment Report&lt;/secondary-title&gt;&lt;/titles&gt;&lt;dates&gt;&lt;year&gt;2014&lt;/year&gt;&lt;/dates&gt;&lt;pub-location&gt;Cambridge, UK and New York, NY, USA&lt;/pub-location&gt;&lt;publisher&gt;Cambridge University Press&lt;/publisher&gt;&lt;urls&gt;&lt;/urls&gt;&lt;/record&gt;&lt;/Cite&gt;&lt;/EndNote&gt;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31</w:t>
      </w:r>
      <w:r w:rsidR="00E13392">
        <w:rPr>
          <w:rFonts w:ascii="Calibri" w:hAnsi="Calibri" w:cs="Times New Roman"/>
          <w:sz w:val="22"/>
          <w:szCs w:val="22"/>
        </w:rPr>
        <w:fldChar w:fldCharType="end"/>
      </w:r>
      <w:r w:rsidR="00533226">
        <w:rPr>
          <w:rFonts w:ascii="Calibri" w:hAnsi="Calibri" w:cs="Times New Roman"/>
          <w:sz w:val="22"/>
          <w:szCs w:val="22"/>
        </w:rPr>
        <w:t xml:space="preserve"> Her</w:t>
      </w:r>
      <w:r w:rsidR="004A38FA">
        <w:rPr>
          <w:rFonts w:ascii="Calibri" w:hAnsi="Calibri" w:cs="Times New Roman"/>
          <w:sz w:val="22"/>
          <w:szCs w:val="22"/>
        </w:rPr>
        <w:t>e, we discuss how these risks may change globally, as a result of a changing climate and of evolving societal and demographic factors</w:t>
      </w:r>
      <w:r w:rsidR="00533226">
        <w:rPr>
          <w:rFonts w:ascii="Calibri" w:hAnsi="Calibri" w:cs="Times New Roman"/>
          <w:sz w:val="22"/>
          <w:szCs w:val="22"/>
        </w:rPr>
        <w:t>.</w:t>
      </w:r>
    </w:p>
    <w:p w:rsidR="00533226" w:rsidRDefault="00533226" w:rsidP="00533226">
      <w:pPr>
        <w:jc w:val="both"/>
        <w:rPr>
          <w:rFonts w:ascii="Calibri" w:hAnsi="Calibri" w:cs="Times New Roman"/>
          <w:sz w:val="22"/>
          <w:szCs w:val="22"/>
        </w:rPr>
      </w:pPr>
    </w:p>
    <w:p w:rsidR="00533226" w:rsidRDefault="000D48A6" w:rsidP="000D48A6">
      <w:pPr>
        <w:rPr>
          <w:rFonts w:ascii="Calibri" w:hAnsi="Calibri" w:cs="Times New Roman"/>
          <w:sz w:val="22"/>
          <w:szCs w:val="22"/>
        </w:rPr>
      </w:pPr>
      <w:r>
        <w:rPr>
          <w:rFonts w:ascii="Calibri" w:hAnsi="Calibri" w:cs="Times New Roman"/>
          <w:sz w:val="22"/>
          <w:szCs w:val="22"/>
        </w:rPr>
        <w:t xml:space="preserve">Changes in extreme weather and resultant storm, flood, drought or heatwave are direct risks. </w:t>
      </w:r>
      <w:r w:rsidR="00533226" w:rsidRPr="003523C9">
        <w:rPr>
          <w:rFonts w:ascii="Calibri" w:hAnsi="Calibri" w:cs="Times New Roman"/>
          <w:sz w:val="22"/>
          <w:szCs w:val="22"/>
        </w:rPr>
        <w:t xml:space="preserve">Indirect risks </w:t>
      </w:r>
      <w:r w:rsidR="00533226" w:rsidRPr="004B23F5">
        <w:rPr>
          <w:rFonts w:ascii="Calibri" w:hAnsi="Calibri" w:cs="Times New Roman"/>
          <w:sz w:val="22"/>
          <w:szCs w:val="22"/>
        </w:rPr>
        <w:t>are mediated through changes in the biosphere (</w:t>
      </w:r>
      <w:r w:rsidR="004A38FA">
        <w:rPr>
          <w:rFonts w:ascii="Calibri" w:hAnsi="Calibri" w:cs="Times New Roman"/>
          <w:sz w:val="22"/>
          <w:szCs w:val="22"/>
        </w:rPr>
        <w:t>e.g.</w:t>
      </w:r>
      <w:r w:rsidR="00533226" w:rsidRPr="004B23F5">
        <w:rPr>
          <w:rFonts w:ascii="Calibri" w:hAnsi="Calibri" w:cs="Times New Roman"/>
          <w:sz w:val="22"/>
          <w:szCs w:val="22"/>
        </w:rPr>
        <w:t xml:space="preserve"> in the burden </w:t>
      </w:r>
      <w:r w:rsidR="00DB0FF9">
        <w:rPr>
          <w:rFonts w:ascii="Calibri" w:hAnsi="Calibri" w:cs="Times New Roman"/>
          <w:sz w:val="22"/>
          <w:szCs w:val="22"/>
        </w:rPr>
        <w:t xml:space="preserve">of disease </w:t>
      </w:r>
      <w:r w:rsidR="00533226" w:rsidRPr="004B23F5">
        <w:rPr>
          <w:rFonts w:ascii="Calibri" w:hAnsi="Calibri" w:cs="Times New Roman"/>
          <w:sz w:val="22"/>
          <w:szCs w:val="22"/>
        </w:rPr>
        <w:t xml:space="preserve">and </w:t>
      </w:r>
      <w:r w:rsidR="00533226" w:rsidRPr="004B23F5">
        <w:rPr>
          <w:rFonts w:ascii="Calibri" w:hAnsi="Calibri" w:cs="Times New Roman"/>
          <w:sz w:val="22"/>
          <w:szCs w:val="22"/>
        </w:rPr>
        <w:lastRenderedPageBreak/>
        <w:t xml:space="preserve">distribution of disease vectors, or food availability), and others through social processes (leading, for instance, to migration and conflict). </w:t>
      </w:r>
      <w:r w:rsidR="00533226">
        <w:rPr>
          <w:rFonts w:ascii="Calibri" w:hAnsi="Calibri" w:cs="Times New Roman"/>
          <w:sz w:val="22"/>
          <w:szCs w:val="22"/>
        </w:rPr>
        <w:t xml:space="preserve">These three pillars </w:t>
      </w:r>
      <w:r w:rsidR="00533226" w:rsidRPr="00BD443B">
        <w:rPr>
          <w:rFonts w:ascii="Calibri" w:hAnsi="Calibri" w:cs="Times New Roman"/>
          <w:sz w:val="22"/>
          <w:szCs w:val="22"/>
        </w:rPr>
        <w:t xml:space="preserve">in Figure </w:t>
      </w:r>
      <w:r w:rsidR="00BD443B" w:rsidRPr="00FD2424">
        <w:rPr>
          <w:rFonts w:ascii="Calibri" w:hAnsi="Calibri" w:cs="Times New Roman"/>
          <w:sz w:val="22"/>
          <w:szCs w:val="22"/>
        </w:rPr>
        <w:t>2</w:t>
      </w:r>
      <w:r w:rsidR="00533226" w:rsidRPr="00BD443B">
        <w:rPr>
          <w:rFonts w:ascii="Calibri" w:hAnsi="Calibri" w:cs="Times New Roman"/>
          <w:sz w:val="22"/>
          <w:szCs w:val="22"/>
        </w:rPr>
        <w:t>.1 interact</w:t>
      </w:r>
      <w:r w:rsidR="00533226" w:rsidRPr="004B23F5">
        <w:rPr>
          <w:rFonts w:ascii="Calibri" w:hAnsi="Calibri" w:cs="Times New Roman"/>
          <w:sz w:val="22"/>
          <w:szCs w:val="22"/>
        </w:rPr>
        <w:t xml:space="preserve"> with one another, and </w:t>
      </w:r>
      <w:r w:rsidR="00533226">
        <w:rPr>
          <w:rFonts w:ascii="Calibri" w:hAnsi="Calibri" w:cs="Times New Roman"/>
          <w:sz w:val="22"/>
          <w:szCs w:val="22"/>
        </w:rPr>
        <w:t>with</w:t>
      </w:r>
      <w:r w:rsidR="00533226" w:rsidRPr="004B23F5">
        <w:rPr>
          <w:rFonts w:ascii="Calibri" w:hAnsi="Calibri" w:cs="Times New Roman"/>
          <w:sz w:val="22"/>
          <w:szCs w:val="22"/>
        </w:rPr>
        <w:t xml:space="preserve"> changes in</w:t>
      </w:r>
      <w:r w:rsidR="00533226" w:rsidRPr="003523C9">
        <w:rPr>
          <w:rFonts w:ascii="Calibri" w:hAnsi="Calibri" w:cs="Times New Roman"/>
          <w:sz w:val="22"/>
          <w:szCs w:val="22"/>
        </w:rPr>
        <w:t xml:space="preserve"> land use</w:t>
      </w:r>
      <w:r w:rsidR="00533226" w:rsidRPr="004B23F5">
        <w:rPr>
          <w:rFonts w:ascii="Calibri" w:hAnsi="Calibri" w:cs="Times New Roman"/>
          <w:sz w:val="22"/>
          <w:szCs w:val="22"/>
        </w:rPr>
        <w:t xml:space="preserve">, crop yield and </w:t>
      </w:r>
      <w:r w:rsidR="00533226" w:rsidRPr="003523C9">
        <w:rPr>
          <w:rFonts w:ascii="Calibri" w:hAnsi="Calibri" w:cs="Times New Roman"/>
          <w:sz w:val="22"/>
          <w:szCs w:val="22"/>
        </w:rPr>
        <w:t>eco</w:t>
      </w:r>
      <w:r w:rsidR="00533226" w:rsidRPr="004B23F5">
        <w:rPr>
          <w:rFonts w:ascii="Calibri" w:hAnsi="Calibri" w:cs="Times New Roman"/>
          <w:sz w:val="22"/>
          <w:szCs w:val="22"/>
        </w:rPr>
        <w:t xml:space="preserve">systems </w:t>
      </w:r>
      <w:r w:rsidR="00533226">
        <w:rPr>
          <w:rFonts w:ascii="Calibri" w:hAnsi="Calibri" w:cs="Times New Roman"/>
          <w:sz w:val="22"/>
          <w:szCs w:val="22"/>
        </w:rPr>
        <w:t>that are being driven by global development and demographic processes</w:t>
      </w:r>
      <w:r w:rsidR="00533226" w:rsidRPr="003523C9">
        <w:rPr>
          <w:rFonts w:ascii="Calibri" w:hAnsi="Calibri" w:cs="Times New Roman"/>
          <w:sz w:val="22"/>
          <w:szCs w:val="22"/>
        </w:rPr>
        <w:t xml:space="preserve">. </w:t>
      </w:r>
      <w:r w:rsidR="005B11FF">
        <w:rPr>
          <w:rFonts w:ascii="Calibri" w:hAnsi="Calibri" w:cs="Times New Roman"/>
          <w:sz w:val="22"/>
          <w:szCs w:val="22"/>
        </w:rPr>
        <w:t>C</w:t>
      </w:r>
      <w:r w:rsidR="005B11FF" w:rsidRPr="004B23F5">
        <w:rPr>
          <w:rFonts w:ascii="Calibri" w:hAnsi="Calibri" w:cs="Times New Roman"/>
          <w:sz w:val="22"/>
          <w:szCs w:val="22"/>
        </w:rPr>
        <w:t xml:space="preserve">limate change will </w:t>
      </w:r>
      <w:r w:rsidR="005B11FF" w:rsidRPr="003523C9">
        <w:rPr>
          <w:rFonts w:ascii="Calibri" w:hAnsi="Calibri" w:cs="Times New Roman"/>
          <w:sz w:val="22"/>
          <w:szCs w:val="22"/>
        </w:rPr>
        <w:t>limit de</w:t>
      </w:r>
      <w:r w:rsidR="005B11FF">
        <w:rPr>
          <w:rFonts w:ascii="Calibri" w:hAnsi="Calibri" w:cs="Times New Roman"/>
          <w:sz w:val="22"/>
          <w:szCs w:val="22"/>
        </w:rPr>
        <w:t>velopment aspirations</w:t>
      </w:r>
      <w:r w:rsidR="005B11FF" w:rsidRPr="003523C9">
        <w:rPr>
          <w:rFonts w:ascii="Calibri" w:hAnsi="Calibri" w:cs="Times New Roman"/>
          <w:sz w:val="22"/>
          <w:szCs w:val="22"/>
        </w:rPr>
        <w:t>, including</w:t>
      </w:r>
      <w:r w:rsidR="005B11FF">
        <w:rPr>
          <w:rFonts w:ascii="Calibri" w:hAnsi="Calibri" w:cs="Times New Roman"/>
          <w:sz w:val="22"/>
          <w:szCs w:val="22"/>
        </w:rPr>
        <w:t xml:space="preserve"> the</w:t>
      </w:r>
      <w:r w:rsidR="005B11FF" w:rsidRPr="003523C9">
        <w:rPr>
          <w:rFonts w:ascii="Calibri" w:hAnsi="Calibri" w:cs="Times New Roman"/>
          <w:sz w:val="22"/>
          <w:szCs w:val="22"/>
        </w:rPr>
        <w:t xml:space="preserve"> provision of health and other services</w:t>
      </w:r>
      <w:r w:rsidR="005B11FF" w:rsidRPr="004B23F5">
        <w:rPr>
          <w:rFonts w:ascii="Calibri" w:hAnsi="Calibri" w:cs="Times New Roman"/>
          <w:sz w:val="22"/>
          <w:szCs w:val="22"/>
        </w:rPr>
        <w:t xml:space="preserve"> </w:t>
      </w:r>
      <w:r w:rsidR="005B11FF">
        <w:rPr>
          <w:rFonts w:ascii="Calibri" w:hAnsi="Calibri" w:cs="Times New Roman"/>
          <w:sz w:val="22"/>
          <w:szCs w:val="22"/>
        </w:rPr>
        <w:t>t</w:t>
      </w:r>
      <w:r w:rsidR="005B11FF" w:rsidRPr="004B23F5">
        <w:rPr>
          <w:rFonts w:ascii="Calibri" w:hAnsi="Calibri" w:cs="Times New Roman"/>
          <w:sz w:val="22"/>
          <w:szCs w:val="22"/>
        </w:rPr>
        <w:t xml:space="preserve">hrough </w:t>
      </w:r>
      <w:r w:rsidR="005B11FF" w:rsidRPr="003523C9">
        <w:rPr>
          <w:rFonts w:ascii="Calibri" w:hAnsi="Calibri" w:cs="Times New Roman"/>
          <w:sz w:val="22"/>
          <w:szCs w:val="22"/>
        </w:rPr>
        <w:t>impacts on national economies and infrastructure.</w:t>
      </w:r>
      <w:r w:rsidR="005B11FF" w:rsidRPr="004B23F5">
        <w:rPr>
          <w:rFonts w:ascii="Calibri" w:hAnsi="Calibri" w:cs="Times New Roman"/>
          <w:sz w:val="22"/>
          <w:szCs w:val="22"/>
        </w:rPr>
        <w:t xml:space="preserve"> </w:t>
      </w:r>
      <w:r w:rsidR="005B11FF" w:rsidRPr="003523C9">
        <w:rPr>
          <w:rFonts w:ascii="Calibri" w:hAnsi="Calibri" w:cs="Times New Roman"/>
          <w:sz w:val="22"/>
          <w:szCs w:val="22"/>
        </w:rPr>
        <w:t>It will affect well</w:t>
      </w:r>
      <w:r w:rsidR="005B11FF">
        <w:rPr>
          <w:rFonts w:ascii="Calibri" w:hAnsi="Calibri" w:cs="Times New Roman"/>
          <w:sz w:val="22"/>
          <w:szCs w:val="22"/>
        </w:rPr>
        <w:t>-</w:t>
      </w:r>
      <w:r w:rsidR="005B11FF" w:rsidRPr="003523C9">
        <w:rPr>
          <w:rFonts w:ascii="Calibri" w:hAnsi="Calibri" w:cs="Times New Roman"/>
          <w:sz w:val="22"/>
          <w:szCs w:val="22"/>
        </w:rPr>
        <w:t xml:space="preserve">being </w:t>
      </w:r>
      <w:r w:rsidR="005B11FF">
        <w:rPr>
          <w:rFonts w:ascii="Calibri" w:hAnsi="Calibri" w:cs="Times New Roman"/>
          <w:sz w:val="22"/>
          <w:szCs w:val="22"/>
        </w:rPr>
        <w:t>in material and other ways. Climate change will, for example, exacerbate perceptions</w:t>
      </w:r>
      <w:r w:rsidR="005B11FF" w:rsidRPr="003523C9">
        <w:rPr>
          <w:rFonts w:ascii="Calibri" w:hAnsi="Calibri" w:cs="Times New Roman"/>
          <w:sz w:val="22"/>
          <w:szCs w:val="22"/>
        </w:rPr>
        <w:t xml:space="preserve"> of insecurity and </w:t>
      </w:r>
      <w:r w:rsidR="005B11FF">
        <w:rPr>
          <w:rFonts w:ascii="Calibri" w:hAnsi="Calibri" w:cs="Times New Roman"/>
          <w:sz w:val="22"/>
          <w:szCs w:val="22"/>
        </w:rPr>
        <w:t>affect aspects of cultural</w:t>
      </w:r>
      <w:r w:rsidR="005B11FF" w:rsidRPr="003523C9">
        <w:rPr>
          <w:rFonts w:ascii="Calibri" w:hAnsi="Calibri" w:cs="Times New Roman"/>
          <w:sz w:val="22"/>
          <w:szCs w:val="22"/>
        </w:rPr>
        <w:t xml:space="preserve"> identity </w:t>
      </w:r>
      <w:r w:rsidR="005B11FF">
        <w:rPr>
          <w:rFonts w:ascii="Calibri" w:hAnsi="Calibri" w:cs="Times New Roman"/>
          <w:sz w:val="22"/>
          <w:szCs w:val="22"/>
        </w:rPr>
        <w:t>in places directly affected</w:t>
      </w:r>
      <w:r w:rsidR="00533226" w:rsidRPr="003523C9">
        <w:rPr>
          <w:rFonts w:ascii="Calibri" w:hAnsi="Calibri" w:cs="Times New Roman"/>
          <w:sz w:val="22"/>
          <w:szCs w:val="22"/>
        </w:rPr>
        <w:t>.</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&lt;EndNote&gt;&lt;Cite&gt;&lt;Author&gt;Adger&lt;/Author&gt;&lt;Year&gt;2014&lt;/Year&gt;&lt;RecNum&gt;1310&lt;/RecNum&gt;&lt;DisplayText&gt;&lt;style face="superscript"&gt;33&lt;/style&gt;&lt;/DisplayText&gt;&lt;record&gt;&lt;rec-number&gt;1310&lt;/rec-number&gt;&lt;foreign-keys&gt;&lt;key app="EN" db-id="wtftd20rmszxx0ettxy5exwdf90wv22s2dsf" timestamp="1419249727"&gt;1310&lt;/key&gt;&lt;/foreign-keys&gt;&lt;ref-type name="Book Section"&gt;5&lt;/ref-type&gt;&lt;contributors&gt;&lt;authors&gt;&lt;author&gt;Adger, W. N.&lt;/author&gt;&lt;author&gt;Pulhin, J. M.&lt;/author&gt;&lt;author&gt;Barnett, J.&lt;/author&gt;&lt;author&gt;Dabelko, G. D.&lt;/author&gt;&lt;author&gt;Hovelsrud, G. K.&lt;/author&gt;&lt;author&gt;Levy, M.&lt;/author&gt;&lt;author&gt;Ú. Oswald, Spring&lt;/author&gt;&lt;author&gt;Vogel, C. H.&lt;/author&gt;&lt;/authors&gt;&lt;secondary-authors&gt;&lt;author&gt;Field, C. B.&lt;/author&gt;&lt;author&gt;Barros, V. R.&lt;/author&gt;&lt;author&gt;Dokken, D. J.&lt;/author&gt;&lt;author&gt;Mach, K. J.&lt;/author&gt;&lt;author&gt;Mastrandrea, M. D.&lt;/author&gt;&lt;author&gt;Bilir, T. E.&lt;/author&gt;&lt;author&gt;Chatterjee, M.&lt;/author&gt;&lt;author&gt;Ebi, K. L.&lt;/author&gt;&lt;author&gt;Estrada, Y. O.&lt;/author&gt;&lt;author&gt;Genova, R. C.&lt;/author&gt;&lt;author&gt;Girma, B.&lt;/author&gt;&lt;author&gt;Kissel, E. S.&lt;/author&gt;&lt;author&gt;Levy, A. N.&lt;/author&gt;&lt;author&gt;MacCracken, S.&lt;/author&gt;&lt;author&gt;Mastrandrea, P. R.&lt;/author&gt;&lt;author&gt;White, L. L.&lt;/author&gt;&lt;/secondary-authors&gt;&lt;/contributors&gt;&lt;titles&gt;&lt;title&gt;Human security&lt;/title&gt;&lt;secondary-title&gt;Climate Change 2014: Impacts, Adaptation, and Vulnerability. Part A: Global and Sectoral Aspects. Contribution of Working Group II to the Fifth Assessment Report of the Intergovernmental Panel of Climate Change&lt;/secondary-title&gt;&lt;short-title&gt;Human security&lt;/short-title&gt;&lt;/titles&gt;&lt;pages&gt;755-791&lt;/pages&gt;&lt;section&gt;12&lt;/section&gt;&lt;dates&gt;&lt;year&gt;2014&lt;/year&gt;&lt;/dates&gt;&lt;pub-location&gt;Cambridge, United Kingdom and New York, NY, USA&lt;/pub-location&gt;&lt;publisher&gt;Cambridge University Press&lt;/publisher&gt;&lt;urls&gt;&lt;/urls&gt;&lt;/record&gt;&lt;/Cite&gt;&lt;/EndNote&gt;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33</w:t>
      </w:r>
      <w:r w:rsidR="00E13392">
        <w:rPr>
          <w:rFonts w:ascii="Calibri" w:hAnsi="Calibri" w:cs="Times New Roman"/>
          <w:sz w:val="22"/>
          <w:szCs w:val="22"/>
        </w:rPr>
        <w:fldChar w:fldCharType="end"/>
      </w:r>
      <w:r w:rsidR="00533226" w:rsidRPr="003523C9">
        <w:rPr>
          <w:rFonts w:ascii="Calibri" w:hAnsi="Calibri" w:cs="Times New Roman"/>
          <w:sz w:val="22"/>
          <w:szCs w:val="22"/>
        </w:rPr>
        <w:t xml:space="preserve"> </w:t>
      </w:r>
    </w:p>
    <w:p w:rsidR="00533226" w:rsidRDefault="00533226" w:rsidP="002F308D">
      <w:pPr>
        <w:jc w:val="right"/>
        <w:rPr>
          <w:rFonts w:ascii="Calibri" w:hAnsi="Calibri" w:cs="Times New Roman"/>
          <w:sz w:val="22"/>
          <w:szCs w:val="22"/>
        </w:rPr>
      </w:pPr>
    </w:p>
    <w:p w:rsidR="002E37E8" w:rsidRDefault="00533226" w:rsidP="002E37E8">
      <w:pPr>
        <w:jc w:val="both"/>
        <w:rPr>
          <w:rFonts w:ascii="Calibri" w:hAnsi="Calibri" w:cs="Times New Roman"/>
          <w:sz w:val="22"/>
          <w:szCs w:val="22"/>
        </w:rPr>
      </w:pPr>
      <w:r>
        <w:rPr>
          <w:rFonts w:ascii="Calibri" w:hAnsi="Calibri" w:cs="Times New Roman"/>
          <w:sz w:val="22"/>
          <w:szCs w:val="22"/>
        </w:rPr>
        <w:t>Thus</w:t>
      </w:r>
      <w:r w:rsidR="00427106">
        <w:rPr>
          <w:rFonts w:ascii="Calibri" w:hAnsi="Calibri" w:cs="Times New Roman"/>
          <w:sz w:val="22"/>
          <w:szCs w:val="22"/>
        </w:rPr>
        <w:t>,</w:t>
      </w:r>
      <w:r>
        <w:rPr>
          <w:rFonts w:ascii="Calibri" w:hAnsi="Calibri" w:cs="Times New Roman"/>
          <w:sz w:val="22"/>
          <w:szCs w:val="22"/>
        </w:rPr>
        <w:t xml:space="preserve"> in Figure </w:t>
      </w:r>
      <w:r w:rsidR="00BD443B">
        <w:rPr>
          <w:rFonts w:ascii="Calibri" w:hAnsi="Calibri" w:cs="Times New Roman"/>
          <w:sz w:val="22"/>
          <w:szCs w:val="22"/>
        </w:rPr>
        <w:t>2</w:t>
      </w:r>
      <w:r>
        <w:rPr>
          <w:rFonts w:ascii="Calibri" w:hAnsi="Calibri" w:cs="Times New Roman"/>
          <w:sz w:val="22"/>
          <w:szCs w:val="22"/>
        </w:rPr>
        <w:t>.1,</w:t>
      </w:r>
      <w:r w:rsidRPr="004B23F5">
        <w:rPr>
          <w:rFonts w:ascii="Calibri" w:hAnsi="Calibri" w:cs="Times New Roman"/>
          <w:sz w:val="22"/>
          <w:szCs w:val="22"/>
        </w:rPr>
        <w:t xml:space="preserve"> c</w:t>
      </w:r>
      <w:r w:rsidRPr="003523C9">
        <w:rPr>
          <w:rFonts w:ascii="Calibri" w:hAnsi="Calibri" w:cs="Times New Roman"/>
          <w:sz w:val="22"/>
          <w:szCs w:val="22"/>
        </w:rPr>
        <w:t xml:space="preserve">limate risks </w:t>
      </w:r>
      <w:r w:rsidRPr="004B23F5">
        <w:rPr>
          <w:rFonts w:ascii="Calibri" w:hAnsi="Calibri" w:cs="Times New Roman"/>
          <w:sz w:val="22"/>
          <w:szCs w:val="22"/>
        </w:rPr>
        <w:t xml:space="preserve">may be both </w:t>
      </w:r>
      <w:r>
        <w:rPr>
          <w:rFonts w:ascii="Calibri" w:hAnsi="Calibri" w:cs="Times New Roman"/>
          <w:sz w:val="22"/>
          <w:szCs w:val="22"/>
        </w:rPr>
        <w:t>amplified</w:t>
      </w:r>
      <w:r w:rsidRPr="004B23F5">
        <w:rPr>
          <w:rFonts w:ascii="Calibri" w:hAnsi="Calibri" w:cs="Times New Roman"/>
          <w:sz w:val="22"/>
          <w:szCs w:val="22"/>
        </w:rPr>
        <w:t xml:space="preserve"> and </w:t>
      </w:r>
      <w:r w:rsidRPr="003523C9">
        <w:rPr>
          <w:rFonts w:ascii="Calibri" w:hAnsi="Calibri" w:cs="Times New Roman"/>
          <w:sz w:val="22"/>
          <w:szCs w:val="22"/>
        </w:rPr>
        <w:t>modified by social factors. The links between food production and food security i</w:t>
      </w:r>
      <w:r>
        <w:rPr>
          <w:rFonts w:ascii="Calibri" w:hAnsi="Calibri" w:cs="Times New Roman"/>
          <w:sz w:val="22"/>
          <w:szCs w:val="22"/>
        </w:rPr>
        <w:t>n any country</w:t>
      </w:r>
      <w:r w:rsidRPr="003523C9">
        <w:rPr>
          <w:rFonts w:ascii="Calibri" w:hAnsi="Calibri" w:cs="Times New Roman"/>
          <w:sz w:val="22"/>
          <w:szCs w:val="22"/>
        </w:rPr>
        <w:t xml:space="preserve">, for instance, are strongly determined by </w:t>
      </w:r>
      <w:r>
        <w:rPr>
          <w:rFonts w:ascii="Calibri" w:hAnsi="Calibri" w:cs="Times New Roman"/>
          <w:sz w:val="22"/>
          <w:szCs w:val="22"/>
        </w:rPr>
        <w:t>policies, regulations and subsidies to ensure adequate food availability and affordable prices.</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&lt;EndNote&gt;&lt;Cite&gt;&lt;Author&gt;Barrett&lt;/Author&gt;&lt;Year&gt;2013&lt;/Year&gt;&lt;RecNum&gt;1279&lt;/RecNum&gt;&lt;DisplayText&gt;&lt;style face="superscript"&gt;34&lt;/style&gt;&lt;/DisplayText&gt;&lt;record&gt;&lt;rec-number&gt;1279&lt;/rec-number&gt;&lt;foreign-keys&gt;&lt;key app="EN" db-id="wtftd20rmszxx0ettxy5exwdf90wv22s2dsf" timestamp="1419212983"&gt;1279&lt;/key&gt;&lt;/foreign-keys&gt;&lt;ref-type name="Book"&gt;6&lt;/ref-type&gt;&lt;contributors&gt;&lt;authors&gt;&lt;author&gt;Barrett, C.B.&lt;/author&gt;&lt;/authors&gt;&lt;/contributors&gt;&lt;titles&gt;&lt;title&gt;Food Security and Sociopolitical Stability&lt;/title&gt;&lt;/titles&gt;&lt;dates&gt;&lt;year&gt;2013&lt;/year&gt;&lt;/dates&gt;&lt;pub-location&gt;Oxford&lt;/pub-location&gt;&lt;publisher&gt;Oxford University Press&lt;/publisher&gt;&lt;urls&gt;&lt;/urls&gt;&lt;/record&gt;&lt;/Cite&gt;&lt;/EndNote&gt;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34</w:t>
      </w:r>
      <w:r w:rsidR="00E13392">
        <w:rPr>
          <w:rFonts w:ascii="Calibri" w:hAnsi="Calibri" w:cs="Times New Roman"/>
          <w:sz w:val="22"/>
          <w:szCs w:val="22"/>
        </w:rPr>
        <w:fldChar w:fldCharType="end"/>
      </w:r>
      <w:r>
        <w:rPr>
          <w:rFonts w:ascii="Calibri" w:hAnsi="Calibri" w:cs="Times New Roman"/>
          <w:sz w:val="22"/>
          <w:szCs w:val="22"/>
        </w:rPr>
        <w:t xml:space="preserve"> </w:t>
      </w:r>
      <w:r w:rsidR="002E37E8">
        <w:rPr>
          <w:rFonts w:ascii="Calibri" w:hAnsi="Calibri" w:cs="Times New Roman"/>
          <w:sz w:val="22"/>
          <w:szCs w:val="22"/>
        </w:rPr>
        <w:t>Vulnerabilities thus arise from the interaction of climatic and social processes. The underpinning science shows that impacts are unevenly distributed, with greater risks in less developed countries, and with specific sub-populations such as  poor and marginalized groups, people with disabilities, the elderly, women and young children bearing the greatest burden of risk in all regions.</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&lt;EndNote&gt;&lt;Cite&gt;&lt;Author&gt;Smith KR&lt;/Author&gt;&lt;Year&gt;2014&lt;/Year&gt;&lt;RecNum&gt;1199&lt;/RecNum&gt;&lt;DisplayText&gt;&lt;style face="superscript"&gt;31&lt;/style&gt;&lt;/DisplayText&gt;&lt;record&gt;&lt;rec-number&gt;1199&lt;/rec-number&gt;&lt;foreign-keys&gt;&lt;key app="EN" db-id="wtftd20rmszxx0ettxy5exwdf90wv22s2dsf" timestamp="1419212983"&gt;1199&lt;/key&gt;&lt;/foreign-keys&gt;&lt;ref-type name="Book Section"&gt;5&lt;/ref-type&gt;&lt;contributors&gt;&lt;authors&gt;&lt;author&gt;Smith KR, &lt;/author&gt;&lt;author&gt;Woodward A, &lt;/author&gt;&lt;author&gt;Campell-Lendrum D, &lt;/author&gt;&lt;author&gt;Chadee D, &lt;/author&gt;&lt;author&gt;Honda Y, &lt;/author&gt;&lt;author&gt;Liu Q, &lt;/author&gt;&lt;author&gt;Olwoch J, &lt;/author&gt;&lt;author&gt;Revich B, &lt;/author&gt;&lt;author&gt;Sauerborn R, &lt;/author&gt;&lt;author&gt;Aranda C, &lt;/author&gt;&lt;author&gt;Berry H, &lt;/author&gt;&lt;author&gt;Butler C, &lt;/author&gt;&lt;author&gt;Chafe Z, &lt;/author&gt;&lt;author&gt;Cushing L, &lt;/author&gt;&lt;author&gt;Ebi K, &lt;/author&gt;&lt;author&gt;Kjellstrom T, &lt;/author&gt;&lt;author&gt;Kovats S, &lt;/author&gt;&lt;author&gt;Lindsay G, &lt;/author&gt;&lt;author&gt;Lipp E, &lt;/author&gt;&lt;author&gt;McMichael T, &lt;/author&gt;&lt;author&gt;Murray V, &lt;/author&gt;&lt;author&gt;Sankoh O, &lt;/author&gt;&lt;author&gt;O’Neill M, &lt;/author&gt;&lt;author&gt;Shonkoff SB, &lt;/author&gt;&lt;author&gt;Sutherland J, &lt;/author&gt;&lt;author&gt;Yamamoto S,&lt;/author&gt;&lt;/authors&gt;&lt;/contributors&gt;&lt;titles&gt;&lt;title&gt;Human Health - Impacts adaptation and co-benefits&lt;/title&gt;&lt;secondary-title&gt;Climate Change 2014: Impacts, Adaptation, and Vulnerability. Working Group II Contribution to the IPCC 5th Assessment Report&lt;/secondary-title&gt;&lt;/titles&gt;&lt;dates&gt;&lt;year&gt;2014&lt;/year&gt;&lt;/dates&gt;&lt;pub-location&gt;Cambridge, UK and New York, NY, USA&lt;/pub-location&gt;&lt;publisher&gt;Cambridge University Press&lt;/publisher&gt;&lt;urls&gt;&lt;/urls&gt;&lt;/record&gt;&lt;/Cite&gt;&lt;/EndNote&gt;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31</w:t>
      </w:r>
      <w:r w:rsidR="00E13392">
        <w:rPr>
          <w:rFonts w:ascii="Calibri" w:hAnsi="Calibri" w:cs="Times New Roman"/>
          <w:sz w:val="22"/>
          <w:szCs w:val="22"/>
        </w:rPr>
        <w:fldChar w:fldCharType="end"/>
      </w:r>
    </w:p>
    <w:p w:rsidR="002E37E8" w:rsidRDefault="002E37E8" w:rsidP="002E37E8">
      <w:pPr>
        <w:jc w:val="both"/>
        <w:rPr>
          <w:rFonts w:ascii="Calibri" w:hAnsi="Calibri" w:cs="Times New Roman"/>
          <w:sz w:val="22"/>
          <w:szCs w:val="22"/>
        </w:rPr>
      </w:pPr>
    </w:p>
    <w:p w:rsidR="002E37E8" w:rsidRDefault="002E37E8" w:rsidP="002E37E8">
      <w:pPr>
        <w:rPr>
          <w:rFonts w:ascii="Times New Roman" w:eastAsiaTheme="minorHAnsi" w:hAnsi="Times New Roman" w:cs="Times New Roman"/>
          <w:lang w:val="en-AU" w:eastAsia="en-AU"/>
        </w:rPr>
      </w:pPr>
      <w:r>
        <w:rPr>
          <w:rFonts w:ascii="Calibri" w:hAnsi="Calibri"/>
          <w:sz w:val="22"/>
          <w:szCs w:val="22"/>
        </w:rPr>
        <w:t>In many regions, the consequences</w:t>
      </w:r>
      <w:r w:rsidR="00DB0FF9">
        <w:rPr>
          <w:rFonts w:ascii="Calibri" w:hAnsi="Calibri"/>
          <w:sz w:val="22"/>
          <w:szCs w:val="22"/>
        </w:rPr>
        <w:t xml:space="preserve"> of</w:t>
      </w:r>
      <w:r>
        <w:rPr>
          <w:rFonts w:ascii="Calibri" w:hAnsi="Calibri"/>
          <w:sz w:val="22"/>
          <w:szCs w:val="22"/>
        </w:rPr>
        <w:t xml:space="preserve"> lower socio-economic status and cultural gender roles combine to increase the health risks which women and girls face as a result of climate change relative to men and boys in the same places, although the converse may apply in some instances. Whilst in developed countries, males comprise approximately 70% of flood disaster fatalities (across studies in which gender was reported), the converse is generally true for disaster-related health risks in developing country settings, in which the overall impacts are much greater.</w:t>
      </w:r>
      <w:r w:rsidR="00E13392">
        <w:rPr>
          <w:rFonts w:ascii="Calibri" w:hAnsi="Calibri"/>
          <w:sz w:val="22"/>
          <w:szCs w:val="22"/>
        </w:rPr>
        <w:fldChar w:fldCharType="begin"/>
      </w:r>
      <w:r w:rsidR="00303C0E">
        <w:rPr>
          <w:rFonts w:ascii="Calibri" w:hAnsi="Calibri"/>
          <w:sz w:val="22"/>
          <w:szCs w:val="22"/>
        </w:rPr>
        <w:instrText xml:space="preserve"> ADDIN EN.CITE &lt;EndNote&gt;&lt;Cite&gt;&lt;Author&gt;Bradshaw&lt;/Author&gt;&lt;Year&gt;2013&lt;/Year&gt;&lt;RecNum&gt;1568&lt;/RecNum&gt;&lt;DisplayText&gt;&lt;style face="superscript"&gt;35,36&lt;/style&gt;&lt;/DisplayText&gt;&lt;record&gt;&lt;rec-number&gt;1568&lt;/rec-number&gt;&lt;foreign-keys&gt;&lt;key app="EN" db-id="wtftd20rmszxx0ettxy5exwdf90wv22s2dsf" timestamp="1428036468"&gt;1568&lt;/key&gt;&lt;/foreign-keys&gt;&lt;ref-type name="Report"&gt;27&lt;/ref-type&gt;&lt;contributors&gt;&lt;authors&gt;&lt;author&gt;S Bradshaw&lt;/author&gt;&lt;author&gt;M Fordham&lt;/author&gt;&lt;/authors&gt;&lt;/contributors&gt;&lt;titles&gt;&lt;title&gt;Women, Girls and Disasters: A Review for DFID&lt;/title&gt;&lt;/titles&gt;&lt;dates&gt;&lt;year&gt;2013&lt;/year&gt;&lt;/dates&gt;&lt;pub-location&gt;London&lt;/pub-location&gt;&lt;publisher&gt;Department for International Development (DFID)&lt;/publisher&gt;&lt;urls&gt;&lt;/urls&gt;&lt;/record&gt;&lt;/Cite&gt;&lt;Cite&gt;&lt;Author&gt;Jonkman&lt;/Author&gt;&lt;Year&gt;2005&lt;/Year&gt;&lt;RecNum&gt;1569&lt;/RecNum&gt;&lt;record&gt;&lt;rec-number&gt;1569&lt;/rec-number&gt;&lt;foreign-keys&gt;&lt;key app="EN" db-id="wtftd20rmszxx0ettxy5exwdf90wv22s2dsf" timestamp="1428036587"&gt;1569&lt;/key&gt;&lt;/foreign-keys&gt;&lt;ref-type name="Journal Article"&gt;17&lt;/ref-type&gt;&lt;contributors&gt;&lt;authors&gt;&lt;author&gt;SN Jonkman&lt;/author&gt;&lt;author&gt;I Kelman&lt;/author&gt;&lt;/authors&gt;&lt;/contributors&gt;&lt;titles&gt;&lt;title&gt;An analysis of the causes and circumstances of flood disaster deaths&lt;/title&gt;&lt;secondary-title&gt;Disasters&lt;/secondary-title&gt;&lt;/titles&gt;&lt;periodical&gt;&lt;full-title&gt;Disasters&lt;/full-title&gt;&lt;/periodical&gt;&lt;pages&gt;75-97&lt;/pages&gt;&lt;volume&gt;29&lt;/volume&gt;&lt;number&gt;1&lt;/number&gt;&lt;dates&gt;&lt;year&gt;2005&lt;/year&gt;&lt;/dates&gt;&lt;urls&gt;&lt;/urls&gt;&lt;/record&gt;&lt;/Cite&gt;&lt;/EndNote&gt;</w:instrText>
      </w:r>
      <w:r w:rsidR="00E13392">
        <w:rPr>
          <w:rFonts w:ascii="Calibri" w:hAnsi="Calibri"/>
          <w:sz w:val="22"/>
          <w:szCs w:val="22"/>
        </w:rPr>
        <w:fldChar w:fldCharType="separate"/>
      </w:r>
      <w:r w:rsidR="00303C0E" w:rsidRPr="00303C0E">
        <w:rPr>
          <w:rFonts w:ascii="Calibri" w:hAnsi="Calibri"/>
          <w:noProof/>
          <w:sz w:val="22"/>
          <w:szCs w:val="22"/>
          <w:vertAlign w:val="superscript"/>
        </w:rPr>
        <w:t>35,36</w:t>
      </w:r>
      <w:r w:rsidR="00E13392">
        <w:rPr>
          <w:rFonts w:ascii="Calibri" w:hAnsi="Calibri"/>
          <w:sz w:val="22"/>
          <w:szCs w:val="22"/>
        </w:rPr>
        <w:fldChar w:fldCharType="end"/>
      </w:r>
      <w:r>
        <w:rPr>
          <w:rFonts w:ascii="Calibri" w:hAnsi="Calibri"/>
          <w:sz w:val="22"/>
          <w:szCs w:val="22"/>
        </w:rPr>
        <w:t xml:space="preserve"> For example, in some cultures women may be forbidden from leaving home unaccompanied, are less likely to have learnt how to swim, and may have less political representation and access to public services.  Additionally, women’s and girls’ nutrition tends to suffer more during periods of climate-related food scarcity than that of their male counterparts, as well as starting from a lower baseline, because they are often last in household food hierarchies.</w:t>
      </w:r>
      <w:r w:rsidR="00E13392">
        <w:rPr>
          <w:rFonts w:ascii="Calibri" w:hAnsi="Calibri"/>
          <w:sz w:val="22"/>
          <w:szCs w:val="22"/>
        </w:rPr>
        <w:fldChar w:fldCharType="begin"/>
      </w:r>
      <w:r w:rsidR="00303C0E">
        <w:rPr>
          <w:rFonts w:ascii="Calibri" w:hAnsi="Calibri"/>
          <w:sz w:val="22"/>
          <w:szCs w:val="22"/>
        </w:rPr>
        <w:instrText xml:space="preserve"> ADDIN EN.CITE &lt;EndNote&gt;&lt;Cite&gt;&lt;Author&gt;World Health Organization&lt;/Author&gt;&lt;Year&gt;2014&lt;/Year&gt;&lt;RecNum&gt;1567&lt;/RecNum&gt;&lt;DisplayText&gt;&lt;style face="superscript"&gt;37&lt;/style&gt;&lt;/DisplayText&gt;&lt;record&gt;&lt;rec-number&gt;1567&lt;/rec-number&gt;&lt;foreign-keys&gt;&lt;key app="EN" db-id="wtftd20rmszxx0ettxy5exwdf90wv22s2dsf" timestamp="1428036227"&gt;1567&lt;/key&gt;&lt;/foreign-keys&gt;&lt;ref-type name="Report"&gt;27&lt;/ref-type&gt;&lt;contributors&gt;&lt;authors&gt;&lt;author&gt;World Health Organization,&lt;/author&gt;&lt;/authors&gt;&lt;/contributors&gt;&lt;titles&gt;&lt;title&gt;Gender, Climate Change and Health&lt;/title&gt;&lt;/titles&gt;&lt;dates&gt;&lt;year&gt;2014&lt;/year&gt;&lt;/dates&gt;&lt;pub-location&gt;Geneva&lt;/pub-location&gt;&lt;urls&gt;&lt;/urls&gt;&lt;/record&gt;&lt;/Cite&gt;&lt;/EndNote&gt;</w:instrText>
      </w:r>
      <w:r w:rsidR="00E13392">
        <w:rPr>
          <w:rFonts w:ascii="Calibri" w:hAnsi="Calibri"/>
          <w:sz w:val="22"/>
          <w:szCs w:val="22"/>
        </w:rPr>
        <w:fldChar w:fldCharType="separate"/>
      </w:r>
      <w:r w:rsidR="00303C0E" w:rsidRPr="00303C0E">
        <w:rPr>
          <w:rFonts w:ascii="Calibri" w:hAnsi="Calibri"/>
          <w:noProof/>
          <w:sz w:val="22"/>
          <w:szCs w:val="22"/>
          <w:vertAlign w:val="superscript"/>
        </w:rPr>
        <w:t>37</w:t>
      </w:r>
      <w:r w:rsidR="00E13392">
        <w:rPr>
          <w:rFonts w:ascii="Calibri" w:hAnsi="Calibri"/>
          <w:sz w:val="22"/>
          <w:szCs w:val="22"/>
        </w:rPr>
        <w:fldChar w:fldCharType="end"/>
      </w:r>
    </w:p>
    <w:p w:rsidR="00533226" w:rsidRPr="00135605" w:rsidRDefault="00533226" w:rsidP="00533226">
      <w:pPr>
        <w:jc w:val="both"/>
        <w:rPr>
          <w:rFonts w:ascii="Calibri" w:hAnsi="Calibri" w:cs="Times New Roman"/>
          <w:sz w:val="22"/>
          <w:szCs w:val="22"/>
        </w:rPr>
      </w:pPr>
    </w:p>
    <w:p w:rsidR="00303C0E" w:rsidRPr="00303C0E" w:rsidRDefault="00303C0E" w:rsidP="00303C0E">
      <w:pPr>
        <w:spacing w:after="160" w:line="259" w:lineRule="auto"/>
        <w:jc w:val="both"/>
        <w:rPr>
          <w:rFonts w:eastAsiaTheme="minorHAnsi"/>
          <w:sz w:val="20"/>
          <w:szCs w:val="20"/>
          <w:lang w:val="en-AU" w:eastAsia="en-US"/>
        </w:rPr>
      </w:pPr>
      <w:r w:rsidRPr="00303C0E">
        <w:rPr>
          <w:rFonts w:eastAsiaTheme="minorHAnsi"/>
          <w:noProof/>
          <w:sz w:val="20"/>
          <w:szCs w:val="20"/>
          <w:lang w:val="en-GB" w:eastAsia="en-GB"/>
        </w:rPr>
        <w:drawing>
          <wp:inline distT="0" distB="0" distL="0" distR="0">
            <wp:extent cx="5486400" cy="3847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847247"/>
                    </a:xfrm>
                    <a:prstGeom prst="rect">
                      <a:avLst/>
                    </a:prstGeom>
                    <a:noFill/>
                    <a:ln>
                      <a:noFill/>
                    </a:ln>
                  </pic:spPr>
                </pic:pic>
              </a:graphicData>
            </a:graphic>
          </wp:inline>
        </w:drawing>
      </w:r>
    </w:p>
    <w:p w:rsidR="00303C0E" w:rsidRPr="00303C0E" w:rsidRDefault="00303C0E" w:rsidP="00303C0E">
      <w:pPr>
        <w:spacing w:after="160" w:line="259" w:lineRule="auto"/>
        <w:jc w:val="both"/>
        <w:rPr>
          <w:rFonts w:eastAsiaTheme="minorHAnsi"/>
          <w:sz w:val="20"/>
          <w:szCs w:val="20"/>
          <w:lang w:val="en-AU" w:eastAsia="en-US"/>
        </w:rPr>
      </w:pPr>
    </w:p>
    <w:p w:rsidR="00303C0E" w:rsidRPr="00303C0E" w:rsidRDefault="00303C0E" w:rsidP="00303C0E">
      <w:pPr>
        <w:widowControl w:val="0"/>
        <w:autoSpaceDE w:val="0"/>
        <w:autoSpaceDN w:val="0"/>
        <w:adjustRightInd w:val="0"/>
        <w:spacing w:after="160" w:line="259" w:lineRule="auto"/>
        <w:jc w:val="both"/>
        <w:rPr>
          <w:rFonts w:eastAsiaTheme="minorHAnsi" w:cs="Consolas"/>
          <w:sz w:val="20"/>
          <w:szCs w:val="20"/>
          <w:lang w:val="en-AU" w:eastAsia="en-US"/>
        </w:rPr>
      </w:pPr>
      <w:r w:rsidRPr="00303C0E">
        <w:rPr>
          <w:rFonts w:eastAsiaTheme="minorHAnsi"/>
          <w:i/>
          <w:sz w:val="20"/>
          <w:szCs w:val="20"/>
          <w:lang w:val="en-AU" w:eastAsia="en-US"/>
        </w:rPr>
        <w:t>Figure 2.1:</w:t>
      </w:r>
      <w:r w:rsidRPr="00303C0E">
        <w:rPr>
          <w:rFonts w:eastAsiaTheme="minorHAnsi"/>
          <w:sz w:val="20"/>
          <w:szCs w:val="20"/>
          <w:lang w:val="en-AU" w:eastAsia="en-US"/>
        </w:rPr>
        <w:t xml:space="preserve"> </w:t>
      </w:r>
      <w:r w:rsidRPr="00303C0E">
        <w:rPr>
          <w:rFonts w:eastAsiaTheme="minorHAnsi" w:cs="Consolas"/>
          <w:sz w:val="20"/>
          <w:szCs w:val="20"/>
          <w:lang w:val="en-AU" w:eastAsia="en-US"/>
        </w:rPr>
        <w:t>Climate change has multiple direct and indirect effects on health and well-being. There are complex interactions between both causes and effects. Ecological processes, such as impacts on biodiversity and changes in disease vectors, and social dynamics may amplify these risks. Social responses also ameliorate some risks through adaptive actions.</w:t>
      </w:r>
    </w:p>
    <w:p w:rsidR="00533226" w:rsidRPr="005763E1" w:rsidRDefault="00533226" w:rsidP="00533226">
      <w:pPr>
        <w:jc w:val="both"/>
        <w:rPr>
          <w:rFonts w:ascii="Calibri" w:hAnsi="Calibri"/>
        </w:rPr>
      </w:pPr>
    </w:p>
    <w:p w:rsidR="00533226" w:rsidRPr="00863624" w:rsidRDefault="00533226" w:rsidP="00533226">
      <w:pPr>
        <w:pStyle w:val="Heading2"/>
      </w:pPr>
      <w:bookmarkStart w:id="27" w:name="_Toc278634745"/>
      <w:bookmarkStart w:id="28" w:name="_Toc415931372"/>
      <w:bookmarkStart w:id="29" w:name="_Toc417502037"/>
      <w:r w:rsidRPr="005763E1">
        <w:t xml:space="preserve">Direct </w:t>
      </w:r>
      <w:r w:rsidR="004A38FA">
        <w:t>M</w:t>
      </w:r>
      <w:r w:rsidRPr="005763E1">
        <w:t xml:space="preserve">echanisms and </w:t>
      </w:r>
      <w:r w:rsidR="004A38FA">
        <w:t>R</w:t>
      </w:r>
      <w:r w:rsidR="004A38FA" w:rsidRPr="005763E1">
        <w:t>isks</w:t>
      </w:r>
      <w:r w:rsidRPr="005763E1">
        <w:t xml:space="preserve">: </w:t>
      </w:r>
      <w:r w:rsidR="004A38FA">
        <w:t>E</w:t>
      </w:r>
      <w:r w:rsidR="004A38FA" w:rsidRPr="005763E1">
        <w:t xml:space="preserve">xposure </w:t>
      </w:r>
      <w:r w:rsidRPr="005763E1">
        <w:t xml:space="preserve">to </w:t>
      </w:r>
      <w:r w:rsidR="004A38FA">
        <w:t>W</w:t>
      </w:r>
      <w:r w:rsidR="004A38FA" w:rsidRPr="005763E1">
        <w:t xml:space="preserve">arming </w:t>
      </w:r>
      <w:r w:rsidRPr="005763E1">
        <w:t xml:space="preserve">and </w:t>
      </w:r>
      <w:r w:rsidR="004A38FA">
        <w:t>H</w:t>
      </w:r>
      <w:r w:rsidR="004A38FA" w:rsidRPr="005763E1">
        <w:t>eat</w:t>
      </w:r>
      <w:r w:rsidRPr="005763E1">
        <w:t>waves</w:t>
      </w:r>
      <w:bookmarkEnd w:id="27"/>
      <w:bookmarkEnd w:id="28"/>
      <w:bookmarkEnd w:id="29"/>
    </w:p>
    <w:p w:rsidR="00533226" w:rsidRPr="000D48A6" w:rsidRDefault="000D48A6" w:rsidP="000D48A6">
      <w:pPr>
        <w:rPr>
          <w:rFonts w:ascii="Times New Roman" w:eastAsiaTheme="minorHAnsi" w:hAnsi="Times New Roman" w:cs="Times New Roman"/>
          <w:lang w:val="en-AU" w:eastAsia="en-AU"/>
        </w:rPr>
      </w:pPr>
      <w:r>
        <w:rPr>
          <w:rFonts w:ascii="Calibri" w:hAnsi="Calibri" w:cs="Times New Roman"/>
          <w:sz w:val="22"/>
        </w:rPr>
        <w:t>While societies are adapted to local climates across the world, heatwaves represent a real risk to vulnerable populations and significant increases in the risks of extreme heat are projected under all scenarios of climate change</w:t>
      </w:r>
      <w:r w:rsidR="00533226">
        <w:rPr>
          <w:rFonts w:ascii="Calibri" w:hAnsi="Calibri" w:cs="Times New Roman"/>
          <w:sz w:val="22"/>
        </w:rPr>
        <w:t>.</w:t>
      </w:r>
      <w:r w:rsidR="00E13392">
        <w:rPr>
          <w:rFonts w:ascii="Calibri" w:hAnsi="Calibri" w:cs="Times New Roman"/>
          <w:sz w:val="22"/>
        </w:rPr>
        <w:fldChar w:fldCharType="begin"/>
      </w:r>
      <w:r w:rsidR="00303C0E">
        <w:rPr>
          <w:rFonts w:ascii="Calibri" w:hAnsi="Calibri" w:cs="Times New Roman"/>
          <w:sz w:val="22"/>
        </w:rPr>
        <w:instrText xml:space="preserve"> ADDIN EN.CITE &lt;EndNote&gt;&lt;Cite&gt;&lt;Author&gt;Patz&lt;/Author&gt;&lt;Year&gt;2005&lt;/Year&gt;&lt;RecNum&gt;1033&lt;/RecNum&gt;&lt;DisplayText&gt;&lt;style face="superscript"&gt;38&lt;/style&gt;&lt;/DisplayText&gt;&lt;record&gt;&lt;rec-number&gt;1033&lt;/rec-number&gt;&lt;foreign-keys&gt;&lt;key app="EN" db-id="wtftd20rmszxx0ettxy5exwdf90wv22s2dsf" timestamp="1419212983"&gt;1033&lt;/key&gt;&lt;/foreign-keys&gt;&lt;ref-type name="Journal Article"&gt;17&lt;/ref-type&gt;&lt;contributors&gt;&lt;authors&gt;&lt;author&gt;Patz, Jonathan A.&lt;/author&gt;&lt;author&gt;Campbell-Lendrum, Diarmid&lt;/author&gt;&lt;author&gt;Holloway, Tracey&lt;/author&gt;&lt;author&gt;Foley, Jonathan A.&lt;/author&gt;&lt;/authors&gt;&lt;/contributors&gt;&lt;titles&gt;&lt;title&gt;Impact of regional climate change on human health&lt;/title&gt;&lt;secondary-title&gt;Nature&lt;/secondary-title&gt;&lt;/titles&gt;&lt;periodical&gt;&lt;full-title&gt;Nature&lt;/full-title&gt;&lt;/periodical&gt;&lt;pages&gt;310-317&lt;/pages&gt;&lt;volume&gt;438&lt;/volume&gt;&lt;number&gt;7066&lt;/number&gt;&lt;dates&gt;&lt;year&gt;2005&lt;/year&gt;&lt;pub-dates&gt;&lt;date&gt;11/17/print&lt;/date&gt;&lt;/pub-dates&gt;&lt;/dates&gt;&lt;publisher&gt;Nature Publishing Group&lt;/publisher&gt;&lt;isbn&gt;0028-0836&lt;/isbn&gt;&lt;work-type&gt;10.1038/nature04188&lt;/work-type&gt;&lt;urls&gt;&lt;related-urls&gt;&lt;url&gt;http://dx.doi.org/10.1038/nature04188&lt;/url&gt;&lt;/related-urls&gt;&lt;/urls&gt;&lt;/record&gt;&lt;/Cite&gt;&lt;/EndNote&gt;</w:instrText>
      </w:r>
      <w:r w:rsidR="00E13392">
        <w:rPr>
          <w:rFonts w:ascii="Calibri" w:hAnsi="Calibri" w:cs="Times New Roman"/>
          <w:sz w:val="22"/>
        </w:rPr>
        <w:fldChar w:fldCharType="separate"/>
      </w:r>
      <w:r w:rsidR="00303C0E" w:rsidRPr="00303C0E">
        <w:rPr>
          <w:rFonts w:ascii="Calibri" w:hAnsi="Calibri" w:cs="Times New Roman"/>
          <w:noProof/>
          <w:sz w:val="22"/>
          <w:vertAlign w:val="superscript"/>
        </w:rPr>
        <w:t>38</w:t>
      </w:r>
      <w:r w:rsidR="00E13392">
        <w:rPr>
          <w:rFonts w:ascii="Calibri" w:hAnsi="Calibri" w:cs="Times New Roman"/>
          <w:sz w:val="22"/>
        </w:rPr>
        <w:fldChar w:fldCharType="end"/>
      </w:r>
      <w:r w:rsidR="00533226">
        <w:rPr>
          <w:rFonts w:ascii="Calibri" w:hAnsi="Calibri" w:cs="Times New Roman"/>
          <w:sz w:val="22"/>
        </w:rPr>
        <w:t xml:space="preserve"> </w:t>
      </w:r>
      <w:r>
        <w:rPr>
          <w:rFonts w:ascii="Calibri" w:hAnsi="Calibri" w:cs="Times New Roman"/>
          <w:sz w:val="22"/>
        </w:rPr>
        <w:t>On an individual basis, tolerance to any change is diminished in those whose capacity for temperature homeostasis is limited by, for example, extremes of age or dehydration. There is a well-established relationship between extreme high temperatures and human morbidity and mortality</w:t>
      </w:r>
      <w:r>
        <w:rPr>
          <w:rFonts w:ascii="Times New Roman" w:eastAsiaTheme="minorHAnsi" w:hAnsi="Times New Roman" w:cs="Times New Roman"/>
          <w:lang w:val="en-AU" w:eastAsia="en-AU"/>
        </w:rPr>
        <w:t xml:space="preserve"> </w:t>
      </w:r>
      <w:r w:rsidR="00C62560">
        <w:rPr>
          <w:rFonts w:ascii="Calibri" w:hAnsi="Calibri" w:cs="Times New Roman"/>
          <w:sz w:val="22"/>
        </w:rPr>
        <w:t>.</w:t>
      </w:r>
      <w:r w:rsidR="00E13392">
        <w:rPr>
          <w:rFonts w:ascii="Calibri" w:hAnsi="Calibri" w:cs="Times New Roman"/>
          <w:sz w:val="22"/>
        </w:rPr>
        <w:fldChar w:fldCharType="begin"/>
      </w:r>
      <w:r w:rsidR="00303C0E">
        <w:rPr>
          <w:rFonts w:ascii="Calibri" w:hAnsi="Calibri" w:cs="Times New Roman"/>
          <w:sz w:val="22"/>
        </w:rPr>
        <w:instrText xml:space="preserve"> ADDIN EN.CITE &lt;EndNote&gt;&lt;Cite&gt;&lt;Author&gt;Åström&lt;/Author&gt;&lt;Year&gt;2013&lt;/Year&gt;&lt;RecNum&gt;1002&lt;/RecNum&gt;&lt;DisplayText&gt;&lt;style face="superscript"&gt;39&lt;/style&gt;&lt;/DisplayText&gt;&lt;record&gt;&lt;rec-number&gt;1002&lt;/rec-number&gt;&lt;foreign-keys&gt;&lt;key app="EN" db-id="wtftd20rmszxx0ettxy5exwdf90wv22s2dsf" timestamp="1419212983"&gt;1002&lt;/key&gt;&lt;/foreign-keys&gt;&lt;ref-type name="Journal Article"&gt;17&lt;/ref-type&gt;&lt;contributors&gt;&lt;authors&gt;&lt;author&gt;Åström, Christofer&lt;/author&gt;&lt;author&gt;Orru, Hans&lt;/author&gt;&lt;author&gt;Rocklöv, Joacim&lt;/author&gt;&lt;author&gt;Strandberg, Gustav&lt;/author&gt;&lt;author&gt;Ebi, Kristie L&lt;/author&gt;&lt;author&gt;Forsberg, Bertil&lt;/author&gt;&lt;/authors&gt;&lt;/contributors&gt;&lt;titles&gt;&lt;title&gt;Heat-related respiratory hospital admissions in Europe in a changing climate: a health impact assessment&lt;/title&gt;&lt;secondary-title&gt;BMJ Open&lt;/secondary-title&gt;&lt;/titles&gt;&lt;periodical&gt;&lt;full-title&gt;BMJ Open&lt;/full-title&gt;&lt;/periodical&gt;&lt;volume&gt;3&lt;/volume&gt;&lt;number&gt;1&lt;/number&gt;&lt;dates&gt;&lt;year&gt;2013&lt;/year&gt;&lt;pub-dates&gt;&lt;date&gt;January 1, 2013&lt;/date&gt;&lt;/pub-dates&gt;&lt;/dates&gt;&lt;urls&gt;&lt;related-urls&gt;&lt;url&gt;http://bmjopen.bmj.com/content/3/1/e001842.abstract&lt;/url&gt;&lt;/related-urls&gt;&lt;/urls&gt;&lt;electronic-resource-num&gt;10.1136/bmjopen-2012-001842&lt;/electronic-resource-num&gt;&lt;/record&gt;&lt;/Cite&gt;&lt;/EndNote&gt;</w:instrText>
      </w:r>
      <w:r w:rsidR="00E13392">
        <w:rPr>
          <w:rFonts w:ascii="Calibri" w:hAnsi="Calibri" w:cs="Times New Roman"/>
          <w:sz w:val="22"/>
        </w:rPr>
        <w:fldChar w:fldCharType="separate"/>
      </w:r>
      <w:r w:rsidR="00303C0E" w:rsidRPr="00303C0E">
        <w:rPr>
          <w:rFonts w:ascii="Calibri" w:hAnsi="Calibri" w:cs="Times New Roman"/>
          <w:noProof/>
          <w:sz w:val="22"/>
          <w:vertAlign w:val="superscript"/>
        </w:rPr>
        <w:t>39</w:t>
      </w:r>
      <w:r w:rsidR="00E13392">
        <w:rPr>
          <w:rFonts w:ascii="Calibri" w:hAnsi="Calibri" w:cs="Times New Roman"/>
          <w:sz w:val="22"/>
        </w:rPr>
        <w:fldChar w:fldCharType="end"/>
      </w:r>
      <w:r w:rsidR="00533226">
        <w:rPr>
          <w:rFonts w:ascii="Calibri" w:hAnsi="Calibri" w:cs="Times New Roman"/>
          <w:sz w:val="22"/>
        </w:rPr>
        <w:t xml:space="preserve"> </w:t>
      </w:r>
      <w:r w:rsidR="00533226" w:rsidRPr="005763E1">
        <w:rPr>
          <w:rFonts w:ascii="Calibri" w:hAnsi="Calibri" w:cs="Times New Roman"/>
          <w:sz w:val="22"/>
        </w:rPr>
        <w:t>There i</w:t>
      </w:r>
      <w:r w:rsidR="00533226">
        <w:rPr>
          <w:rFonts w:ascii="Calibri" w:hAnsi="Calibri" w:cs="Times New Roman"/>
          <w:sz w:val="22"/>
        </w:rPr>
        <w:t>s also now strong evidence that such</w:t>
      </w:r>
      <w:r w:rsidR="00533226" w:rsidRPr="005763E1">
        <w:rPr>
          <w:rFonts w:ascii="Calibri" w:hAnsi="Calibri" w:cs="Times New Roman"/>
          <w:sz w:val="22"/>
        </w:rPr>
        <w:t xml:space="preserve"> heat-related mortality is rising as a result of climate change impacts across a range of localities</w:t>
      </w:r>
      <w:r w:rsidR="00C62560">
        <w:rPr>
          <w:rFonts w:ascii="Calibri" w:hAnsi="Calibri" w:cs="Times New Roman"/>
          <w:sz w:val="22"/>
        </w:rPr>
        <w:t>.</w:t>
      </w:r>
      <w:r w:rsidR="00E13392">
        <w:rPr>
          <w:rFonts w:ascii="Calibri" w:hAnsi="Calibri" w:cs="Times New Roman"/>
          <w:sz w:val="22"/>
        </w:rPr>
        <w:fldChar w:fldCharType="begin"/>
      </w:r>
      <w:r w:rsidR="00303C0E">
        <w:rPr>
          <w:rFonts w:ascii="Calibri" w:hAnsi="Calibri" w:cs="Times New Roman"/>
          <w:sz w:val="22"/>
        </w:rPr>
        <w:instrText xml:space="preserve"> ADDIN EN.CITE &lt;EndNote&gt;&lt;Cite&gt;&lt;Author&gt;Smith KR&lt;/Author&gt;&lt;Year&gt;2014&lt;/Year&gt;&lt;RecNum&gt;1199&lt;/RecNum&gt;&lt;DisplayText&gt;&lt;style face="superscript"&gt;31&lt;/style&gt;&lt;/DisplayText&gt;&lt;record&gt;&lt;rec-number&gt;1199&lt;/rec-number&gt;&lt;foreign-keys&gt;&lt;key app="EN" db-id="wtftd20rmszxx0ettxy5exwdf90wv22s2dsf" timestamp="1419212983"&gt;1199&lt;/key&gt;&lt;/foreign-keys&gt;&lt;ref-type name="Book Section"&gt;5&lt;/ref-type&gt;&lt;contributors&gt;&lt;authors&gt;&lt;author&gt;Smith KR, &lt;/author&gt;&lt;author&gt;Woodward A, &lt;/author&gt;&lt;author&gt;Campell-Lendrum D, &lt;/author&gt;&lt;author&gt;Chadee D, &lt;/author&gt;&lt;author&gt;Honda Y, &lt;/author&gt;&lt;author&gt;Liu Q, &lt;/author&gt;&lt;author&gt;Olwoch J, &lt;/author&gt;&lt;author&gt;Revich B, &lt;/author&gt;&lt;author&gt;Sauerborn R, &lt;/author&gt;&lt;author&gt;Aranda C, &lt;/author&gt;&lt;author&gt;Berry H, &lt;/author&gt;&lt;author&gt;Butler C, &lt;/author&gt;&lt;author&gt;Chafe Z, &lt;/author&gt;&lt;author&gt;Cushing L, &lt;/author&gt;&lt;author&gt;Ebi K, &lt;/author&gt;&lt;author&gt;Kjellstrom T, &lt;/author&gt;&lt;author&gt;Kovats S, &lt;/author&gt;&lt;author&gt;Lindsay G, &lt;/author&gt;&lt;author&gt;Lipp E, &lt;/author&gt;&lt;author&gt;McMichael T, &lt;/author&gt;&lt;author&gt;Murray V, &lt;/author&gt;&lt;author&gt;Sankoh O, &lt;/author&gt;&lt;author&gt;O’Neill M, &lt;/author&gt;&lt;author&gt;Shonkoff SB, &lt;/author&gt;&lt;author&gt;Sutherland J, &lt;/author&gt;&lt;author&gt;Yamamoto S,&lt;/author&gt;&lt;/authors&gt;&lt;/contributors&gt;&lt;titles&gt;&lt;title&gt;Human Health - Impacts adaptation and co-benefits&lt;/title&gt;&lt;secondary-title&gt;Climate Change 2014: Impacts, Adaptation, and Vulnerability. Working Group II Contribution to the IPCC 5th Assessment Report&lt;/secondary-title&gt;&lt;/titles&gt;&lt;dates&gt;&lt;year&gt;2014&lt;/year&gt;&lt;/dates&gt;&lt;pub-location&gt;Cambridge, UK and New York, NY, USA&lt;/pub-location&gt;&lt;publisher&gt;Cambridge University Press&lt;/publisher&gt;&lt;urls&gt;&lt;/urls&gt;&lt;/record&gt;&lt;/Cite&gt;&lt;/EndNote&gt;</w:instrText>
      </w:r>
      <w:r w:rsidR="00E13392">
        <w:rPr>
          <w:rFonts w:ascii="Calibri" w:hAnsi="Calibri" w:cs="Times New Roman"/>
          <w:sz w:val="22"/>
        </w:rPr>
        <w:fldChar w:fldCharType="separate"/>
      </w:r>
      <w:r w:rsidR="00303C0E" w:rsidRPr="00303C0E">
        <w:rPr>
          <w:rFonts w:ascii="Calibri" w:hAnsi="Calibri" w:cs="Times New Roman"/>
          <w:noProof/>
          <w:sz w:val="22"/>
          <w:vertAlign w:val="superscript"/>
        </w:rPr>
        <w:t>31</w:t>
      </w:r>
      <w:r w:rsidR="00E13392">
        <w:rPr>
          <w:rFonts w:ascii="Calibri" w:hAnsi="Calibri" w:cs="Times New Roman"/>
          <w:sz w:val="22"/>
        </w:rPr>
        <w:fldChar w:fldCharType="end"/>
      </w:r>
      <w:r w:rsidR="00083AAE">
        <w:rPr>
          <w:rFonts w:ascii="Calibri" w:hAnsi="Calibri" w:cs="Times New Roman"/>
          <w:sz w:val="22"/>
        </w:rPr>
        <w:t xml:space="preserve"> </w:t>
      </w:r>
    </w:p>
    <w:p w:rsidR="00533226" w:rsidRPr="005763E1" w:rsidRDefault="00533226" w:rsidP="00533226">
      <w:pPr>
        <w:jc w:val="both"/>
        <w:rPr>
          <w:rFonts w:ascii="Calibri" w:hAnsi="Calibri"/>
        </w:rPr>
      </w:pPr>
    </w:p>
    <w:p w:rsidR="002F475D" w:rsidRDefault="002F475D" w:rsidP="002F475D">
      <w:pPr>
        <w:jc w:val="both"/>
        <w:rPr>
          <w:rFonts w:ascii="Calibri" w:hAnsi="Calibri" w:cs="Times New Roman"/>
          <w:sz w:val="22"/>
          <w:szCs w:val="22"/>
        </w:rPr>
      </w:pPr>
      <w:r>
        <w:rPr>
          <w:rFonts w:ascii="Calibri" w:hAnsi="Calibri" w:cs="Times New Roman"/>
          <w:sz w:val="22"/>
          <w:szCs w:val="22"/>
        </w:rPr>
        <w:t>Evidence from previous heatwave events suggests that the key parameters of mortality risk include the magnitude and duration of the temperature anomaly and the speed of temperature rise. The risks are culturally defined – even temperate cities experience such mortality as it is deviation from expectations that drives weather related risks. This is especially true when hot periods occur at the beginning of summer, before people have acclimatised to hotter weather.</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&lt;EndNote&gt;&lt;Cite&gt;&lt;Author&gt;Patz&lt;/Author&gt;&lt;Year&gt;2005&lt;/Year&gt;&lt;RecNum&gt;1033&lt;/RecNum&gt;&lt;DisplayText&gt;&lt;style face="superscript"&gt;38&lt;/style&gt;&lt;/DisplayText&gt;&lt;record&gt;&lt;rec-number&gt;1033&lt;/rec-number&gt;&lt;foreign-keys&gt;&lt;key app="EN" db-id="wtftd20rmszxx0ettxy5exwdf90wv22s2dsf" timestamp="1419212983"&gt;1033&lt;/key&gt;&lt;/foreign-keys&gt;&lt;ref-type name="Journal Article"&gt;17&lt;/ref-type&gt;&lt;contributors&gt;&lt;authors&gt;&lt;author&gt;Patz, Jonathan A.&lt;/author&gt;&lt;author&gt;Campbell-Lendrum, Diarmid&lt;/author&gt;&lt;author&gt;Holloway, Tracey&lt;/author&gt;&lt;author&gt;Foley, Jonathan A.&lt;/author&gt;&lt;/authors&gt;&lt;/contributors&gt;&lt;titles&gt;&lt;title&gt;Impact of regional climate change on human health&lt;/title&gt;&lt;secondary-title&gt;Nature&lt;/secondary-title&gt;&lt;/titles&gt;&lt;periodical&gt;&lt;full-title&gt;Nature&lt;/full-title&gt;&lt;/periodical&gt;&lt;pages&gt;310-317&lt;/pages&gt;&lt;volume&gt;438&lt;/volume&gt;&lt;number&gt;7066&lt;/number&gt;&lt;dates&gt;&lt;year&gt;2005&lt;/year&gt;&lt;pub-dates&gt;&lt;date&gt;11/17/print&lt;/date&gt;&lt;/pub-dates&gt;&lt;/dates&gt;&lt;publisher&gt;Nature Publishing Group&lt;/publisher&gt;&lt;isbn&gt;0028-0836&lt;/isbn&gt;&lt;work-type&gt;10.1038/nature04188&lt;/work-type&gt;&lt;urls&gt;&lt;related-urls&gt;&lt;url&gt;http://dx.doi.org/10.1038/nature04188&lt;/url&gt;&lt;/related-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38</w:t>
      </w:r>
      <w:r w:rsidR="00E13392">
        <w:rPr>
          <w:rFonts w:ascii="Calibri" w:hAnsi="Calibri" w:cs="Times New Roman"/>
          <w:sz w:val="22"/>
          <w:szCs w:val="22"/>
        </w:rPr>
        <w:fldChar w:fldCharType="end"/>
      </w:r>
      <w:r>
        <w:rPr>
          <w:rFonts w:ascii="Calibri" w:hAnsi="Calibri" w:cs="Times New Roman"/>
          <w:sz w:val="22"/>
          <w:szCs w:val="22"/>
        </w:rPr>
        <w:t xml:space="preserve"> The incidence of heatwaves has been shown to have increased in the most recent decades, and the area affected by them has also increased.</w:t>
      </w:r>
      <w:r w:rsidR="00E13392">
        <w:rPr>
          <w:rFonts w:ascii="Calibri" w:hAnsi="Calibri" w:cs="Times New Roman"/>
          <w:sz w:val="22"/>
          <w:szCs w:val="22"/>
        </w:rPr>
        <w:fldChar w:fldCharType="begin">
          <w:fldData xml:space="preserve">PEVuZE5vdGU+PENpdGU+PEF1dGhvcj5SdXNzbzwvQXV0aG9yPjxZZWFyPjIwMTQ8L1llYXI+PFJl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</w:fldData>
        </w:fldChar>
      </w:r>
      <w:r w:rsidR="00303C0E">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PEVuZE5vdGU+PENpdGU+PEF1dGhvcj5SdXNzbzwvQXV0aG9yPjxZZWFyPjIwMTQ8L1llYXI+PFJl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</w:fldData>
        </w:fldChar>
      </w:r>
      <w:r w:rsidR="00303C0E">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Pr>
          <w:rFonts w:ascii="Calibri" w:hAnsi="Calibri" w:cs="Times New Roman"/>
          <w:sz w:val="22"/>
          <w:szCs w:val="22"/>
        </w:rPr>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40,41</w:t>
      </w:r>
      <w:r w:rsidR="00E13392">
        <w:rPr>
          <w:rFonts w:ascii="Calibri" w:hAnsi="Calibri" w:cs="Times New Roman"/>
          <w:sz w:val="22"/>
          <w:szCs w:val="22"/>
        </w:rPr>
        <w:fldChar w:fldCharType="end"/>
      </w:r>
      <w:r>
        <w:rPr>
          <w:rFonts w:ascii="Calibri" w:hAnsi="Calibri" w:cs="Times New Roman"/>
          <w:sz w:val="22"/>
          <w:szCs w:val="22"/>
        </w:rPr>
        <w:t xml:space="preserve"> </w:t>
      </w:r>
    </w:p>
    <w:p w:rsidR="002F475D" w:rsidRDefault="002F475D" w:rsidP="002F475D">
      <w:pPr>
        <w:jc w:val="both"/>
        <w:rPr>
          <w:rFonts w:ascii="Calibri" w:hAnsi="Calibri" w:cs="Times New Roman"/>
          <w:sz w:val="22"/>
          <w:szCs w:val="22"/>
        </w:rPr>
      </w:pPr>
    </w:p>
    <w:p w:rsidR="002F475D" w:rsidRDefault="002F475D" w:rsidP="002F475D">
      <w:pPr>
        <w:jc w:val="both"/>
        <w:rPr>
          <w:rFonts w:ascii="Calibri" w:hAnsi="Calibri" w:cs="Times New Roman"/>
          <w:sz w:val="22"/>
          <w:szCs w:val="22"/>
        </w:rPr>
      </w:pPr>
      <w:r>
        <w:rPr>
          <w:rFonts w:ascii="Calibri" w:hAnsi="Calibri" w:cs="Times New Roman"/>
          <w:sz w:val="22"/>
          <w:szCs w:val="22"/>
        </w:rPr>
        <w:t>The most severe heatwave, measured through the so-called Heat Wave Magnitude Index, is the summer 2010 heatwave in Russia.</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&lt;EndNote&gt;&lt;Cite&gt;&lt;Author&gt;Russo&lt;/Author&gt;&lt;Year&gt;2014&lt;/Year&gt;&lt;RecNum&gt;1283&lt;/RecNum&gt;&lt;DisplayText&gt;&lt;style face="superscript"&gt;40&lt;/style&gt;&lt;/DisplayText&gt;&lt;record&gt;&lt;rec-number&gt;1283&lt;/rec-number&gt;&lt;foreign-keys&gt;&lt;key app="EN" db-id="wtftd20rmszxx0ettxy5exwdf90wv22s2dsf" timestamp="1419212983"&gt;1283&lt;/key&gt;&lt;/foreign-keys&gt;&lt;ref-type name="Journal Article"&gt;17&lt;/ref-type&gt;&lt;contributors&gt;&lt;authors&gt;&lt;author&gt;Russo, Simone&lt;/author&gt;&lt;author&gt;Dosio, Alessandro&lt;/author&gt;&lt;author&gt;Graversen, Rune G.&lt;/author&gt;&lt;author&gt;Sillmann, Jana&lt;/author&gt;&lt;author&gt;Carrao, Hugo&lt;/author&gt;&lt;author&gt;Dunbar, Martha B.&lt;/author&gt;&lt;author&gt;Singleton, Andrew&lt;/author&gt;&lt;author&gt;Montagna, Paolo&lt;/author&gt;&lt;author&gt;Barbola, Paulo&lt;/author&gt;&lt;author&gt;Vogt, Jürgen V.&lt;/author&gt;&lt;/authors&gt;&lt;/contributors&gt;&lt;titles&gt;&lt;title&gt;Magnitude of extreme heat waves in present climate and their projection in a warming world&lt;/title&gt;&lt;secondary-title&gt;Journal of Geophysical Research: Atmospheres&lt;/secondary-title&gt;&lt;/titles&gt;&lt;periodical&gt;&lt;full-title&gt;Journal of Geophysical Research: Atmospheres&lt;/full-title&gt;&lt;/periodical&gt;&lt;keywords&gt;&lt;keyword&gt;climate indices&lt;/keyword&gt;&lt;keyword&gt;climate extremes&lt;/keyword&gt;&lt;keyword&gt;heat waves&lt;/keyword&gt;&lt;keyword&gt;global models&lt;/keyword&gt;&lt;keyword&gt;1626 Global climate models&lt;/keyword&gt;&lt;keyword&gt;1610 Atmosphere&lt;/keyword&gt;&lt;keyword&gt;1616 Climate variability&lt;/keyword&gt;&lt;keyword&gt;4313 Extreme events&lt;/keyword&gt;&lt;keyword&gt;4318 Statistical analysis&lt;/keyword&gt;&lt;/keywords&gt;&lt;dates&gt;&lt;year&gt;2014&lt;/year&gt;&lt;/dates&gt;&lt;isbn&gt;2169-8996&lt;/isbn&gt;&lt;urls&gt;&lt;related-urls&gt;&lt;url&gt;http://dx.doi.org/10.1002/2014JD022098&lt;/url&gt;&lt;/related-urls&gt;&lt;/urls&gt;&lt;electronic-resource-num&gt;10.1002/2014JD022098&lt;/electronic-resource-num&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40</w:t>
      </w:r>
      <w:r w:rsidR="00E13392">
        <w:rPr>
          <w:rFonts w:ascii="Calibri" w:hAnsi="Calibri" w:cs="Times New Roman"/>
          <w:sz w:val="22"/>
          <w:szCs w:val="22"/>
        </w:rPr>
        <w:fldChar w:fldCharType="end"/>
      </w:r>
      <w:r>
        <w:rPr>
          <w:rFonts w:ascii="Calibri" w:hAnsi="Calibri" w:cs="Times New Roman"/>
          <w:sz w:val="22"/>
          <w:szCs w:val="22"/>
        </w:rPr>
        <w:t xml:space="preserve">  </w:t>
      </w:r>
      <w:r w:rsidRPr="004349AE">
        <w:rPr>
          <w:rFonts w:ascii="Calibri" w:hAnsi="Calibri" w:cs="Times New Roman"/>
          <w:sz w:val="22"/>
          <w:szCs w:val="22"/>
        </w:rPr>
        <w:t>Over 25,000 fires over an area of 1.1 million hectares</w:t>
      </w:r>
      <w:r w:rsidR="00E13392" w:rsidRPr="002F475D">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&lt;EndNote&gt;&lt;Cite&gt;&lt;Author&gt;Ryazantzev&lt;/Author&gt;&lt;Year&gt;2011&lt;/Year&gt;&lt;RecNum&gt;1063&lt;/RecNum&gt;&lt;DisplayText&gt;&lt;style face="superscript"&gt;42&lt;/style&gt;&lt;/DisplayText&gt;&lt;record&gt;&lt;rec-number&gt;1063&lt;/rec-number&gt;&lt;foreign-keys&gt;&lt;key app="EN" db-id="wtftd20rmszxx0ettxy5exwdf90wv22s2dsf" timestamp="1419212983"&gt;1063&lt;/key&gt;&lt;/foreign-keys&gt;&lt;ref-type name="Journal Article"&gt;17&lt;/ref-type&gt;&lt;contributors&gt;&lt;authors&gt;&lt;author&gt;Ryazantzev, SV.&lt;/author&gt;&lt;/authors&gt;&lt;/contributors&gt;&lt;titles&gt;&lt;title&gt;Demographic and socio-economic consequences of heat wave and forest fires of 2010 in European Russia&lt;/title&gt;&lt;secondary-title&gt;Ecology and Life&lt;/secondary-title&gt;&lt;/titles&gt;&lt;periodical&gt;&lt;full-title&gt;Ecology and Life&lt;/full-title&gt;&lt;/periodical&gt;&lt;volume&gt;5&lt;/volume&gt;&lt;number&gt;80-85&lt;/number&gt;&lt;dates&gt;&lt;year&gt;2011&lt;/year&gt;&lt;/dates&gt;&lt;urls&gt;&lt;/urls&gt;&lt;/record&gt;&lt;/Cite&gt;&lt;/EndNote&gt;</w:instrText>
      </w:r>
      <w:r w:rsidR="00E13392" w:rsidRPr="002F475D">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42</w:t>
      </w:r>
      <w:r w:rsidR="00E13392" w:rsidRPr="002F475D">
        <w:rPr>
          <w:rFonts w:ascii="Calibri" w:hAnsi="Calibri" w:cs="Times New Roman"/>
          <w:sz w:val="22"/>
          <w:szCs w:val="22"/>
        </w:rPr>
        <w:fldChar w:fldCharType="end"/>
      </w:r>
      <w:r w:rsidRPr="004349AE">
        <w:rPr>
          <w:rFonts w:ascii="Calibri" w:hAnsi="Calibri" w:cs="Times New Roman"/>
          <w:sz w:val="22"/>
          <w:szCs w:val="22"/>
        </w:rPr>
        <w:t xml:space="preserve"> raised concentrations of carbon monoxide, nitrogen oxides, aerosols and particulates (PM</w:t>
      </w:r>
      <w:r w:rsidRPr="004349AE">
        <w:rPr>
          <w:rFonts w:ascii="Calibri" w:hAnsi="Calibri" w:cs="Times New Roman"/>
          <w:sz w:val="22"/>
          <w:szCs w:val="22"/>
          <w:vertAlign w:val="subscript"/>
        </w:rPr>
        <w:t>10</w:t>
      </w:r>
      <w:r w:rsidRPr="004349AE">
        <w:rPr>
          <w:rFonts w:ascii="Calibri" w:hAnsi="Calibri" w:cs="Times New Roman"/>
          <w:sz w:val="22"/>
          <w:szCs w:val="22"/>
        </w:rPr>
        <w:t xml:space="preserve">) in European Russia. The concentration of particulate matter doubled from its normal level in the Moscow region </w:t>
      </w:r>
      <w:r>
        <w:rPr>
          <w:rFonts w:ascii="Calibri" w:hAnsi="Calibri" w:cs="Times New Roman"/>
          <w:sz w:val="22"/>
          <w:szCs w:val="22"/>
        </w:rPr>
        <w:t>in</w:t>
      </w:r>
      <w:r w:rsidRPr="004349AE">
        <w:rPr>
          <w:rFonts w:ascii="Calibri" w:hAnsi="Calibri" w:cs="Times New Roman"/>
          <w:sz w:val="22"/>
          <w:szCs w:val="22"/>
        </w:rPr>
        <w:t xml:space="preserve"> August, 2010, when a large smoke plume covered the entire capital.</w:t>
      </w:r>
      <w:r w:rsidR="00E13392" w:rsidRPr="002F475D">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&lt;EndNote&gt;&lt;Cite&gt;&lt;Author&gt;van Donkelaar&lt;/Author&gt;&lt;Year&gt;2011&lt;/Year&gt;&lt;RecNum&gt;1042&lt;/RecNum&gt;&lt;DisplayText&gt;&lt;style face="superscript"&gt;43&lt;/style&gt;&lt;/DisplayText&gt;&lt;record&gt;&lt;rec-number&gt;1042&lt;/rec-number&gt;&lt;foreign-keys&gt;&lt;key app="EN" db-id="wtftd20rmszxx0ettxy5exwdf90wv22s2dsf" timestamp="1419212983"&gt;1042&lt;/key&gt;&lt;/foreign-keys&gt;&lt;ref-type name="Journal Article"&gt;17&lt;/ref-type&gt;&lt;contributors&gt;&lt;authors&gt;&lt;author&gt;van Donkelaar, Aaron&lt;/author&gt;&lt;author&gt;Martin, Randall V.&lt;/author&gt;&lt;author&gt;Levy, Robert C.&lt;/author&gt;&lt;author&gt;da Silva, Arlindo M.&lt;/author&gt;&lt;author&gt;Krzyzanowski, Michal&lt;/author&gt;&lt;author&gt;Chubarova, Natalia E.&lt;/author&gt;&lt;author&gt;Semutnikova, Eugenia&lt;/author&gt;&lt;author&gt;Cohen, Aaron J.&lt;/author&gt;&lt;/authors&gt;&lt;/contributors&gt;&lt;titles&gt;&lt;title&gt;Satellite-based estimates of ground-level fine particulate matter during extreme events: A case study of the Moscow fires in 2010&lt;/title&gt;&lt;secondary-title&gt;Atmospheric Environment&lt;/secondary-title&gt;&lt;/titles&gt;&lt;periodical&gt;&lt;full-title&gt;Atmospheric Environment&lt;/full-title&gt;&lt;/periodical&gt;&lt;pages&gt;6225-6232&lt;/pages&gt;&lt;volume&gt;45&lt;/volume&gt;&lt;number&gt;34&lt;/number&gt;&lt;keywords&gt;&lt;keyword&gt;MODIS&lt;/keyword&gt;&lt;keyword&gt;PM2.5&lt;/keyword&gt;&lt;keyword&gt;Moscow wildfires&lt;/keyword&gt;&lt;keyword&gt;Aerosol optical depth&lt;/keyword&gt;&lt;/keywords&gt;&lt;dates&gt;&lt;year&gt;2011&lt;/year&gt;&lt;pub-dates&gt;&lt;date&gt;11//&lt;/date&gt;&lt;/pub-dates&gt;&lt;/dates&gt;&lt;isbn&gt;1352-2310&lt;/isbn&gt;&lt;urls&gt;&lt;related-urls&gt;&lt;url&gt;http://www.sciencedirect.com/science/article/pii/S135223101100851X&lt;/url&gt;&lt;/related-urls&gt;&lt;/urls&gt;&lt;electronic-resource-num&gt;http://dx.doi.org/10.1016/j.atmosenv.2011.07.068&lt;/electronic-resource-num&gt;&lt;/record&gt;&lt;/Cite&gt;&lt;/EndNote&gt;</w:instrText>
      </w:r>
      <w:r w:rsidR="00E13392" w:rsidRPr="002F475D">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43</w:t>
      </w:r>
      <w:r w:rsidR="00E13392" w:rsidRPr="002F475D">
        <w:rPr>
          <w:rFonts w:ascii="Calibri" w:hAnsi="Calibri" w:cs="Times New Roman"/>
          <w:sz w:val="22"/>
          <w:szCs w:val="22"/>
        </w:rPr>
        <w:fldChar w:fldCharType="end"/>
      </w:r>
      <w:r w:rsidRPr="004349AE">
        <w:rPr>
          <w:rFonts w:ascii="Calibri" w:hAnsi="Calibri" w:cs="Times New Roman"/>
          <w:sz w:val="22"/>
          <w:szCs w:val="22"/>
        </w:rPr>
        <w:t xml:space="preserve"> In combination with the heat wave, the air pollution increased mortality during July-August 2010 in Moscow, resulting in more than 11,000 additional deaths when compared with July-August 2009.</w:t>
      </w:r>
      <w:r w:rsidR="00E13392" w:rsidRPr="002F475D">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&lt;EndNote&gt;&lt;Cite&gt;&lt;Author&gt;Revitch&lt;/Author&gt;&lt;Year&gt;2012&lt;/Year&gt;&lt;RecNum&gt;1064&lt;/RecNum&gt;&lt;DisplayText&gt;&lt;style face="superscript"&gt;44&lt;/style&gt;&lt;/DisplayText&gt;&lt;record&gt;&lt;rec-number&gt;1064&lt;/rec-number&gt;&lt;foreign-keys&gt;&lt;key app="EN" db-id="wtftd20rmszxx0ettxy5exwdf90wv22s2dsf" timestamp="1419212983"&gt;1064&lt;/key&gt;&lt;/foreign-keys&gt;&lt;ref-type name="Journal Article"&gt;17&lt;/ref-type&gt;&lt;contributors&gt;&lt;authors&gt;&lt;author&gt;Revitch, BA.&lt;/author&gt;&lt;author&gt;Shaposhnikov, DA&lt;/author&gt;&lt;/authors&gt;&lt;/contributors&gt;&lt;titles&gt;&lt;title&gt;Climate change, heat and cold waves as risk factors of increased mortality in Russia&lt;/title&gt;&lt;secondary-title&gt;Ecoforum&lt;/secondary-title&gt;&lt;/titles&gt;&lt;periodical&gt;&lt;full-title&gt;Ecoforum&lt;/full-title&gt;&lt;/periodical&gt;&lt;pages&gt;122-138&lt;/pages&gt;&lt;volume&gt;2&lt;/volume&gt;&lt;number&gt;10&lt;/number&gt;&lt;dates&gt;&lt;year&gt;2012&lt;/year&gt;&lt;/dates&gt;&lt;urls&gt;&lt;/urls&gt;&lt;/record&gt;&lt;/Cite&gt;&lt;/EndNote&gt;</w:instrText>
      </w:r>
      <w:r w:rsidR="00E13392" w:rsidRPr="002F475D">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44</w:t>
      </w:r>
      <w:r w:rsidR="00E13392" w:rsidRPr="002F475D">
        <w:rPr>
          <w:rFonts w:ascii="Calibri" w:hAnsi="Calibri" w:cs="Times New Roman"/>
          <w:sz w:val="22"/>
          <w:szCs w:val="22"/>
        </w:rPr>
        <w:fldChar w:fldCharType="end"/>
      </w:r>
      <w:r>
        <w:rPr>
          <w:rFonts w:ascii="Calibri" w:hAnsi="Calibri" w:cs="Times New Roman"/>
          <w:sz w:val="22"/>
          <w:szCs w:val="22"/>
        </w:rPr>
        <w:t xml:space="preserve"> Projections under climate scenarios show that events with the magnitude of the Russian heatwave of 2010 could have become much more common and with high-end climate scenarios could become almost the summer norm for many regions.</w:t>
      </w:r>
      <w:r w:rsidR="00E13392">
        <w:rPr>
          <w:rFonts w:ascii="Calibri" w:hAnsi="Calibri" w:cs="Times New Roman"/>
          <w:sz w:val="22"/>
          <w:szCs w:val="22"/>
        </w:rPr>
        <w:fldChar w:fldCharType="begin">
          <w:fldData xml:space="preserve">PEVuZE5vdGU+PENpdGU+PEF1dGhvcj5SdXNzbzwvQXV0aG9yPjxZZWFyPjIwMTQ8L1llYXI+PFJl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</w:fldData>
        </w:fldChar>
      </w:r>
      <w:r w:rsidR="00303C0E">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PEVuZE5vdGU+PENpdGU+PEF1dGhvcj5SdXNzbzwvQXV0aG9yPjxZZWFyPjIwMTQ8L1llYXI+PFJl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</w:fldData>
        </w:fldChar>
      </w:r>
      <w:r w:rsidR="00303C0E">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Pr>
          <w:rFonts w:ascii="Calibri" w:hAnsi="Calibri" w:cs="Times New Roman"/>
          <w:sz w:val="22"/>
          <w:szCs w:val="22"/>
        </w:rPr>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40,45</w:t>
      </w:r>
      <w:r w:rsidR="00E13392">
        <w:rPr>
          <w:rFonts w:ascii="Calibri" w:hAnsi="Calibri" w:cs="Times New Roman"/>
          <w:sz w:val="22"/>
          <w:szCs w:val="22"/>
        </w:rPr>
        <w:fldChar w:fldCharType="end"/>
      </w:r>
    </w:p>
    <w:p w:rsidR="002F475D" w:rsidRPr="002F475D" w:rsidRDefault="002F475D" w:rsidP="002F475D">
      <w:pPr>
        <w:jc w:val="both"/>
        <w:rPr>
          <w:rFonts w:cs="Times New Roman"/>
          <w:sz w:val="22"/>
          <w:szCs w:val="22"/>
        </w:rPr>
      </w:pPr>
    </w:p>
    <w:p w:rsidR="002F475D" w:rsidRDefault="002F475D" w:rsidP="002F475D">
      <w:pPr>
        <w:jc w:val="both"/>
        <w:rPr>
          <w:rFonts w:eastAsiaTheme="minorHAnsi" w:cs="Tahoma"/>
          <w:sz w:val="22"/>
          <w:szCs w:val="22"/>
          <w:lang w:eastAsia="en-US"/>
        </w:rPr>
      </w:pPr>
      <w:r>
        <w:rPr>
          <w:rFonts w:eastAsiaTheme="minorHAnsi" w:cs="Tahoma"/>
          <w:sz w:val="22"/>
          <w:szCs w:val="22"/>
          <w:lang w:eastAsia="en-US"/>
        </w:rPr>
        <w:t>Rising mean temperatures mean that the incidence of cold events is likely to diminish. The analysis here focuses on the heat-related element because it swamps the offsetting cold-related benefit and because the health benefits of reductions in cold are not established. W</w:t>
      </w:r>
      <w:r w:rsidRPr="004349AE">
        <w:rPr>
          <w:rFonts w:eastAsiaTheme="minorHAnsi" w:cs="Tahoma"/>
          <w:sz w:val="22"/>
          <w:szCs w:val="22"/>
          <w:lang w:eastAsia="en-US"/>
        </w:rPr>
        <w:t xml:space="preserve">hilst </w:t>
      </w:r>
      <w:r>
        <w:rPr>
          <w:rFonts w:eastAsiaTheme="minorHAnsi" w:cs="Tahoma"/>
          <w:sz w:val="22"/>
          <w:szCs w:val="22"/>
          <w:lang w:eastAsia="en-US"/>
        </w:rPr>
        <w:t>there is an increase in deaths during winter periods in many climates</w:t>
      </w:r>
      <w:r w:rsidRPr="004349AE">
        <w:rPr>
          <w:rFonts w:eastAsiaTheme="minorHAnsi" w:cs="Tahoma"/>
          <w:sz w:val="22"/>
          <w:szCs w:val="22"/>
          <w:lang w:eastAsia="en-US"/>
        </w:rPr>
        <w:t xml:space="preserve">, the mechanisms responsible for this increase are not easily delineated. </w:t>
      </w:r>
      <w:r w:rsidR="00C0266B">
        <w:rPr>
          <w:rFonts w:eastAsiaTheme="minorHAnsi" w:cs="Tahoma"/>
          <w:sz w:val="22"/>
          <w:szCs w:val="22"/>
          <w:lang w:eastAsia="en-US"/>
        </w:rPr>
        <w:t xml:space="preserve">Most </w:t>
      </w:r>
      <w:r w:rsidRPr="004349AE">
        <w:rPr>
          <w:rFonts w:eastAsiaTheme="minorHAnsi" w:cs="Tahoma"/>
          <w:sz w:val="22"/>
          <w:szCs w:val="22"/>
          <w:lang w:eastAsia="en-US"/>
        </w:rPr>
        <w:t xml:space="preserve">of winter related deaths are cardio vascular, </w:t>
      </w:r>
      <w:r>
        <w:rPr>
          <w:rFonts w:eastAsiaTheme="minorHAnsi" w:cs="Tahoma"/>
          <w:sz w:val="22"/>
          <w:szCs w:val="22"/>
          <w:lang w:eastAsia="en-US"/>
        </w:rPr>
        <w:t>yet</w:t>
      </w:r>
      <w:r w:rsidRPr="004349AE">
        <w:rPr>
          <w:rFonts w:eastAsiaTheme="minorHAnsi" w:cs="Tahoma"/>
          <w:sz w:val="22"/>
          <w:szCs w:val="22"/>
          <w:lang w:eastAsia="en-US"/>
        </w:rPr>
        <w:t xml:space="preserve"> the link between temperature and cardiova</w:t>
      </w:r>
      <w:r>
        <w:rPr>
          <w:rFonts w:eastAsiaTheme="minorHAnsi" w:cs="Tahoma"/>
          <w:sz w:val="22"/>
          <w:szCs w:val="22"/>
          <w:lang w:eastAsia="en-US"/>
        </w:rPr>
        <w:t>scular mortality rates is weak. T</w:t>
      </w:r>
      <w:r w:rsidRPr="004349AE">
        <w:rPr>
          <w:rFonts w:eastAsiaTheme="minorHAnsi" w:cs="Tahoma"/>
          <w:sz w:val="22"/>
          <w:szCs w:val="22"/>
          <w:lang w:eastAsia="en-US"/>
        </w:rPr>
        <w:t>here is a stronger link between respiratory deaths and colder temperatures but these account for a small</w:t>
      </w:r>
      <w:r>
        <w:rPr>
          <w:rFonts w:eastAsiaTheme="minorHAnsi" w:cs="Tahoma"/>
          <w:sz w:val="22"/>
          <w:szCs w:val="22"/>
          <w:lang w:eastAsia="en-US"/>
        </w:rPr>
        <w:t>er percentage of winter deaths</w:t>
      </w:r>
      <w:r w:rsidRPr="004349AE">
        <w:rPr>
          <w:rFonts w:eastAsiaTheme="minorHAnsi" w:cs="Tahoma"/>
          <w:sz w:val="22"/>
          <w:szCs w:val="22"/>
          <w:lang w:eastAsia="en-US"/>
        </w:rPr>
        <w:t>.</w:t>
      </w:r>
      <w:r w:rsidR="00E13392">
        <w:rPr>
          <w:rFonts w:eastAsiaTheme="minorHAnsi" w:cs="Tahoma"/>
          <w:sz w:val="22"/>
          <w:szCs w:val="22"/>
          <w:lang w:eastAsia="en-US"/>
        </w:rPr>
        <w:fldChar w:fldCharType="begin"/>
      </w:r>
      <w:r w:rsidR="00303C0E">
        <w:rPr>
          <w:rFonts w:eastAsiaTheme="minorHAnsi" w:cs="Tahoma"/>
          <w:sz w:val="22"/>
          <w:szCs w:val="22"/>
          <w:lang w:eastAsia="en-US"/>
        </w:rPr>
        <w:instrText xml:space="preserve"> ADDIN EN.CITE &lt;EndNote&gt;&lt;Cite&gt;&lt;Author&gt;Ebi&lt;/Author&gt;&lt;Year&gt;2013&lt;/Year&gt;&lt;RecNum&gt;1542&lt;/RecNum&gt;&lt;DisplayText&gt;&lt;style face="superscript"&gt;46&lt;/style&gt;&lt;/DisplayText&gt;&lt;record&gt;&lt;rec-number&gt;1542&lt;/rec-number&gt;&lt;foreign-keys&gt;&lt;key app="EN" db-id="wtftd20rmszxx0ettxy5exwdf90wv22s2dsf" timestamp="1427349091"&gt;1542&lt;/key&gt;&lt;/foreign-keys&gt;&lt;ref-type name="Journal Article"&gt;17&lt;/ref-type&gt;&lt;contributors&gt;&lt;authors&gt;&lt;author&gt;K Ebi&lt;/author&gt;&lt;author&gt;D Mills&lt;/author&gt;&lt;/authors&gt;&lt;/contributors&gt;&lt;titles&gt;&lt;title&gt;Winter mortality in a warming climate: a reassessment&lt;/title&gt;&lt;secondary-title&gt;Wiley Interdisciplinary Reviews: Climate Change&lt;/secondary-title&gt;&lt;/titles&gt;&lt;periodical&gt;&lt;full-title&gt;Wiley Interdisciplinary Reviews: Climate Change&lt;/full-title&gt;&lt;/periodical&gt;&lt;pages&gt;203-12&lt;/pages&gt;&lt;volume&gt;4&lt;/volume&gt;&lt;number&gt;3&lt;/number&gt;&lt;dates&gt;&lt;year&gt;2013&lt;/year&gt;&lt;/dates&gt;&lt;urls&gt;&lt;/urls&gt;&lt;/record&gt;&lt;/Cite&gt;&lt;/EndNote&gt;</w:instrText>
      </w:r>
      <w:r w:rsidR="00E13392">
        <w:rPr>
          <w:rFonts w:eastAsiaTheme="minorHAnsi" w:cs="Tahoma"/>
          <w:sz w:val="22"/>
          <w:szCs w:val="22"/>
          <w:lang w:eastAsia="en-US"/>
        </w:rPr>
        <w:fldChar w:fldCharType="separate"/>
      </w:r>
      <w:r w:rsidR="00303C0E" w:rsidRPr="00303C0E">
        <w:rPr>
          <w:rFonts w:eastAsiaTheme="minorHAnsi" w:cs="Tahoma"/>
          <w:noProof/>
          <w:sz w:val="22"/>
          <w:szCs w:val="22"/>
          <w:vertAlign w:val="superscript"/>
          <w:lang w:eastAsia="en-US"/>
        </w:rPr>
        <w:t>46</w:t>
      </w:r>
      <w:r w:rsidR="00E13392">
        <w:rPr>
          <w:rFonts w:eastAsiaTheme="minorHAnsi" w:cs="Tahoma"/>
          <w:sz w:val="22"/>
          <w:szCs w:val="22"/>
          <w:lang w:eastAsia="en-US"/>
        </w:rPr>
        <w:fldChar w:fldCharType="end"/>
      </w:r>
    </w:p>
    <w:p w:rsidR="002F475D" w:rsidRDefault="002F475D" w:rsidP="002F475D">
      <w:pPr>
        <w:jc w:val="both"/>
        <w:rPr>
          <w:rFonts w:eastAsiaTheme="minorHAnsi" w:cs="Tahoma"/>
          <w:sz w:val="22"/>
          <w:szCs w:val="22"/>
          <w:lang w:eastAsia="en-US"/>
        </w:rPr>
      </w:pPr>
    </w:p>
    <w:p w:rsidR="002F475D" w:rsidRPr="002F475D" w:rsidRDefault="002F475D" w:rsidP="002F475D">
      <w:pPr>
        <w:jc w:val="both"/>
        <w:rPr>
          <w:rFonts w:cs="Times New Roman"/>
          <w:sz w:val="22"/>
          <w:szCs w:val="22"/>
        </w:rPr>
      </w:pPr>
      <w:r w:rsidRPr="004349AE">
        <w:rPr>
          <w:rFonts w:eastAsiaTheme="minorHAnsi" w:cs="Tahoma"/>
          <w:sz w:val="22"/>
          <w:szCs w:val="22"/>
          <w:lang w:eastAsia="en-US"/>
        </w:rPr>
        <w:t>The impact of cold temperatures can be measured considering seasonal means, extreme cold spells and relative temperature changes. Seasonal means and extreme cold spells</w:t>
      </w:r>
      <w:r>
        <w:rPr>
          <w:rFonts w:eastAsiaTheme="minorHAnsi" w:cs="Tahoma"/>
          <w:sz w:val="22"/>
          <w:szCs w:val="22"/>
          <w:lang w:eastAsia="en-US"/>
        </w:rPr>
        <w:t xml:space="preserve"> (or absolute temperature) have</w:t>
      </w:r>
      <w:r w:rsidRPr="004349AE">
        <w:rPr>
          <w:rFonts w:eastAsiaTheme="minorHAnsi" w:cs="Tahoma"/>
          <w:sz w:val="22"/>
          <w:szCs w:val="22"/>
          <w:lang w:eastAsia="en-US"/>
        </w:rPr>
        <w:t> relatively small or ambiguous relationships with number</w:t>
      </w:r>
      <w:r w:rsidR="00C0266B">
        <w:rPr>
          <w:rFonts w:eastAsiaTheme="minorHAnsi" w:cs="Tahoma"/>
          <w:sz w:val="22"/>
          <w:szCs w:val="22"/>
          <w:lang w:eastAsia="en-US"/>
        </w:rPr>
        <w:t>s</w:t>
      </w:r>
      <w:r w:rsidRPr="004349AE">
        <w:rPr>
          <w:rFonts w:eastAsiaTheme="minorHAnsi" w:cs="Tahoma"/>
          <w:sz w:val="22"/>
          <w:szCs w:val="22"/>
          <w:lang w:eastAsia="en-US"/>
        </w:rPr>
        <w:t xml:space="preserve"> of winter deaths, however temperature cooling relative to an area’s average temperature does more clearly correlate with mortality rates.</w:t>
      </w:r>
      <w:r w:rsidR="00E13392">
        <w:rPr>
          <w:rFonts w:eastAsiaTheme="minorHAnsi" w:cs="Tahoma"/>
          <w:sz w:val="22"/>
          <w:szCs w:val="22"/>
          <w:lang w:eastAsia="en-US"/>
        </w:rPr>
        <w:fldChar w:fldCharType="begin"/>
      </w:r>
      <w:r w:rsidR="00303C0E">
        <w:rPr>
          <w:rFonts w:eastAsiaTheme="minorHAnsi" w:cs="Tahoma"/>
          <w:sz w:val="22"/>
          <w:szCs w:val="22"/>
          <w:lang w:eastAsia="en-US"/>
        </w:rPr>
        <w:instrText xml:space="preserve"> ADDIN EN.CITE &lt;EndNote&gt;&lt;Cite&gt;&lt;Author&gt;Ebi&lt;/Author&gt;&lt;Year&gt;2013&lt;/Year&gt;&lt;RecNum&gt;1542&lt;/RecNum&gt;&lt;DisplayText&gt;&lt;style face="superscript"&gt;46,47&lt;/style&gt;&lt;/DisplayText&gt;&lt;record&gt;&lt;rec-number&gt;1542&lt;/rec-number&gt;&lt;foreign-keys&gt;&lt;key app="EN" db-id="wtftd20rmszxx0ettxy5exwdf90wv22s2dsf" timestamp="1427349091"&gt;1542&lt;/key&gt;&lt;/foreign-keys&gt;&lt;ref-type name="Journal Article"&gt;17&lt;/ref-type&gt;&lt;contributors&gt;&lt;authors&gt;&lt;author&gt;K Ebi&lt;/author&gt;&lt;author&gt;D Mills&lt;/author&gt;&lt;/authors&gt;&lt;/contributors&gt;&lt;titles&gt;&lt;title&gt;Winter mortality in a warming climate: a reassessment&lt;/title&gt;&lt;secondary-title&gt;Wiley Interdisciplinary Reviews: Climate Change&lt;/secondary-title&gt;&lt;/titles&gt;&lt;periodical&gt;&lt;full-title&gt;Wiley Interdisciplinary Reviews: Climate Change&lt;/full-title&gt;&lt;/periodical&gt;&lt;pages&gt;203-12&lt;/pages&gt;&lt;volume&gt;4&lt;/volume&gt;&lt;number&gt;3&lt;/number&gt;&lt;dates&gt;&lt;year&gt;2013&lt;/year&gt;&lt;/dates&gt;&lt;urls&gt;&lt;/urls&gt;&lt;/record&gt;&lt;/Cite&gt;&lt;Cite&gt;&lt;Author&gt;Healy&lt;/Author&gt;&lt;Year&gt;2003&lt;/Year&gt;&lt;RecNum&gt;1543&lt;/RecNum&gt;&lt;record&gt;&lt;rec-number&gt;1543&lt;/rec-number&gt;&lt;foreign-keys&gt;&lt;key app="EN" db-id="wtftd20rmszxx0ettxy5exwdf90wv22s2dsf" timestamp="1427349229"&gt;1543&lt;/key&gt;&lt;/foreign-keys&gt;&lt;ref-type name="Journal Article"&gt;17&lt;/ref-type&gt;&lt;contributors&gt;&lt;authors&gt;&lt;author&gt;JD Healy&lt;/author&gt;&lt;/authors&gt;&lt;/contributors&gt;&lt;titles&gt;&lt;title&gt; Excess winter mortality in Europe: a cross country analysis identifying key risk factors&lt;/title&gt;&lt;secondary-title&gt;Journal of epidemiology and community health&lt;/secondary-title&gt;&lt;/titles&gt;&lt;periodical&gt;&lt;full-title&gt;Journal of Epidemiology and Community Health&lt;/full-title&gt;&lt;/periodical&gt;&lt;pages&gt;784-9&lt;/pages&gt;&lt;volume&gt;57&lt;/volume&gt;&lt;number&gt;10&lt;/number&gt;&lt;dates&gt;&lt;year&gt;2003&lt;/year&gt;&lt;/dates&gt;&lt;urls&gt;&lt;/urls&gt;&lt;/record&gt;&lt;/Cite&gt;&lt;/EndNote&gt;</w:instrText>
      </w:r>
      <w:r w:rsidR="00E13392">
        <w:rPr>
          <w:rFonts w:eastAsiaTheme="minorHAnsi" w:cs="Tahoma"/>
          <w:sz w:val="22"/>
          <w:szCs w:val="22"/>
          <w:lang w:eastAsia="en-US"/>
        </w:rPr>
        <w:fldChar w:fldCharType="separate"/>
      </w:r>
      <w:r w:rsidR="00303C0E" w:rsidRPr="00303C0E">
        <w:rPr>
          <w:rFonts w:eastAsiaTheme="minorHAnsi" w:cs="Tahoma"/>
          <w:noProof/>
          <w:sz w:val="22"/>
          <w:szCs w:val="22"/>
          <w:vertAlign w:val="superscript"/>
          <w:lang w:eastAsia="en-US"/>
        </w:rPr>
        <w:t>46,47</w:t>
      </w:r>
      <w:r w:rsidR="00E13392">
        <w:rPr>
          <w:rFonts w:eastAsiaTheme="minorHAnsi" w:cs="Tahoma"/>
          <w:sz w:val="22"/>
          <w:szCs w:val="22"/>
          <w:lang w:eastAsia="en-US"/>
        </w:rPr>
        <w:fldChar w:fldCharType="end"/>
      </w:r>
      <w:r w:rsidRPr="004349AE">
        <w:rPr>
          <w:rFonts w:eastAsiaTheme="minorHAnsi" w:cs="Tahoma"/>
          <w:sz w:val="22"/>
          <w:szCs w:val="22"/>
          <w:lang w:eastAsia="en-US"/>
        </w:rPr>
        <w:t xml:space="preserve"> </w:t>
      </w:r>
      <w:r w:rsidR="000079C3">
        <w:rPr>
          <w:rFonts w:eastAsiaTheme="minorHAnsi" w:cs="Tahoma"/>
          <w:sz w:val="22"/>
          <w:szCs w:val="22"/>
          <w:lang w:eastAsia="en-US"/>
        </w:rPr>
        <w:t>T</w:t>
      </w:r>
      <w:r w:rsidR="00C0266B">
        <w:rPr>
          <w:rFonts w:eastAsiaTheme="minorHAnsi" w:cs="Tahoma"/>
          <w:sz w:val="22"/>
          <w:szCs w:val="22"/>
          <w:lang w:eastAsia="en-US"/>
        </w:rPr>
        <w:t xml:space="preserve">here may </w:t>
      </w:r>
      <w:r w:rsidRPr="004349AE">
        <w:rPr>
          <w:rFonts w:eastAsiaTheme="minorHAnsi" w:cs="Tahoma"/>
          <w:sz w:val="22"/>
          <w:szCs w:val="22"/>
          <w:lang w:eastAsia="en-US"/>
        </w:rPr>
        <w:t xml:space="preserve">be modest reductions in cold related deaths, </w:t>
      </w:r>
      <w:r w:rsidR="000079C3">
        <w:rPr>
          <w:rFonts w:eastAsiaTheme="minorHAnsi" w:cs="Tahoma"/>
          <w:sz w:val="22"/>
          <w:szCs w:val="22"/>
          <w:lang w:eastAsia="en-US"/>
        </w:rPr>
        <w:t xml:space="preserve">however </w:t>
      </w:r>
      <w:r w:rsidRPr="004349AE">
        <w:rPr>
          <w:rFonts w:eastAsiaTheme="minorHAnsi" w:cs="Tahoma"/>
          <w:sz w:val="22"/>
          <w:szCs w:val="22"/>
          <w:lang w:eastAsia="en-US"/>
        </w:rPr>
        <w:t>these reduction</w:t>
      </w:r>
      <w:r>
        <w:rPr>
          <w:rFonts w:eastAsiaTheme="minorHAnsi" w:cs="Tahoma"/>
          <w:sz w:val="22"/>
          <w:szCs w:val="22"/>
          <w:lang w:eastAsia="en-US"/>
        </w:rPr>
        <w:t>s</w:t>
      </w:r>
      <w:r w:rsidRPr="004349AE">
        <w:rPr>
          <w:rFonts w:eastAsiaTheme="minorHAnsi" w:cs="Tahoma"/>
          <w:sz w:val="22"/>
          <w:szCs w:val="22"/>
          <w:lang w:eastAsia="en-US"/>
        </w:rPr>
        <w:t xml:space="preserve"> will be</w:t>
      </w:r>
      <w:r>
        <w:rPr>
          <w:rFonts w:eastAsiaTheme="minorHAnsi" w:cs="Tahoma"/>
          <w:sz w:val="22"/>
          <w:szCs w:val="22"/>
          <w:lang w:eastAsia="en-US"/>
        </w:rPr>
        <w:t xml:space="preserve"> largely</w:t>
      </w:r>
      <w:r w:rsidRPr="004349AE">
        <w:rPr>
          <w:rFonts w:eastAsiaTheme="minorHAnsi" w:cs="Tahoma"/>
          <w:sz w:val="22"/>
          <w:szCs w:val="22"/>
          <w:lang w:eastAsia="en-US"/>
        </w:rPr>
        <w:t xml:space="preserve"> outweighed</w:t>
      </w:r>
      <w:r>
        <w:rPr>
          <w:rFonts w:eastAsiaTheme="minorHAnsi" w:cs="Tahoma"/>
          <w:sz w:val="22"/>
          <w:szCs w:val="22"/>
          <w:lang w:eastAsia="en-US"/>
        </w:rPr>
        <w:t xml:space="preserve"> at the global scale</w:t>
      </w:r>
      <w:r w:rsidRPr="004349AE">
        <w:rPr>
          <w:rFonts w:eastAsiaTheme="minorHAnsi" w:cs="Tahoma"/>
          <w:sz w:val="22"/>
          <w:szCs w:val="22"/>
          <w:lang w:eastAsia="en-US"/>
        </w:rPr>
        <w:t xml:space="preserve"> by heat related mortality</w:t>
      </w:r>
      <w:r w:rsidR="00E13392">
        <w:rPr>
          <w:rFonts w:eastAsiaTheme="minorHAnsi" w:cs="Tahoma"/>
          <w:sz w:val="22"/>
          <w:szCs w:val="22"/>
          <w:lang w:eastAsia="en-US"/>
        </w:rPr>
        <w:fldChar w:fldCharType="begin"/>
      </w:r>
      <w:r w:rsidR="00303C0E">
        <w:rPr>
          <w:rFonts w:eastAsiaTheme="minorHAnsi" w:cs="Tahoma"/>
          <w:sz w:val="22"/>
          <w:szCs w:val="22"/>
          <w:lang w:eastAsia="en-US"/>
        </w:rPr>
        <w:instrText xml:space="preserve"> ADDIN EN.CITE &lt;EndNote&gt;&lt;Cite&gt;&lt;Author&gt;Ebi&lt;/Author&gt;&lt;Year&gt;2013&lt;/Year&gt;&lt;RecNum&gt;1542&lt;/RecNum&gt;&lt;DisplayText&gt;&lt;style face="superscript"&gt;46&lt;/style&gt;&lt;/DisplayText&gt;&lt;record&gt;&lt;rec-number&gt;1542&lt;/rec-number&gt;&lt;foreign-keys&gt;&lt;key app="EN" db-id="wtftd20rmszxx0ettxy5exwdf90wv22s2dsf" timestamp="1427349091"&gt;1542&lt;/key&gt;&lt;/foreign-keys&gt;&lt;ref-type name="Journal Article"&gt;17&lt;/ref-type&gt;&lt;contributors&gt;&lt;authors&gt;&lt;author&gt;K Ebi&lt;/author&gt;&lt;author&gt;D Mills&lt;/author&gt;&lt;/authors&gt;&lt;/contributors&gt;&lt;titles&gt;&lt;title&gt;Winter mortality in a warming climate: a reassessment&lt;/title&gt;&lt;secondary-title&gt;Wiley Interdisciplinary Reviews: Climate Change&lt;/secondary-title&gt;&lt;/titles&gt;&lt;periodical&gt;&lt;full-title&gt;Wiley Interdisciplinary Reviews: Climate Change&lt;/full-title&gt;&lt;/periodical&gt;&lt;pages&gt;203-12&lt;/pages&gt;&lt;volume&gt;4&lt;/volume&gt;&lt;number&gt;3&lt;/number&gt;&lt;dates&gt;&lt;year&gt;2013&lt;/year&gt;&lt;/dates&gt;&lt;urls&gt;&lt;/urls&gt;&lt;/record&gt;&lt;/Cite&gt;&lt;/EndNote&gt;</w:instrText>
      </w:r>
      <w:r w:rsidR="00E13392">
        <w:rPr>
          <w:rFonts w:eastAsiaTheme="minorHAnsi" w:cs="Tahoma"/>
          <w:sz w:val="22"/>
          <w:szCs w:val="22"/>
          <w:lang w:eastAsia="en-US"/>
        </w:rPr>
        <w:fldChar w:fldCharType="separate"/>
      </w:r>
      <w:r w:rsidR="00303C0E" w:rsidRPr="00303C0E">
        <w:rPr>
          <w:rFonts w:eastAsiaTheme="minorHAnsi" w:cs="Tahoma"/>
          <w:noProof/>
          <w:sz w:val="22"/>
          <w:szCs w:val="22"/>
          <w:vertAlign w:val="superscript"/>
          <w:lang w:eastAsia="en-US"/>
        </w:rPr>
        <w:t>46</w:t>
      </w:r>
      <w:r w:rsidR="00E13392">
        <w:rPr>
          <w:rFonts w:eastAsiaTheme="minorHAnsi" w:cs="Tahoma"/>
          <w:sz w:val="22"/>
          <w:szCs w:val="22"/>
          <w:lang w:eastAsia="en-US"/>
        </w:rPr>
        <w:fldChar w:fldCharType="end"/>
      </w:r>
      <w:r>
        <w:rPr>
          <w:rFonts w:eastAsiaTheme="minorHAnsi" w:cs="Tahoma"/>
          <w:sz w:val="22"/>
          <w:szCs w:val="22"/>
          <w:lang w:eastAsia="en-US"/>
        </w:rPr>
        <w:t xml:space="preserve">. </w:t>
      </w:r>
      <w:r w:rsidRPr="004349AE">
        <w:rPr>
          <w:rFonts w:eastAsiaTheme="minorHAnsi" w:cs="Tahoma"/>
          <w:sz w:val="22"/>
          <w:szCs w:val="22"/>
          <w:lang w:eastAsia="en-US"/>
        </w:rPr>
        <w:t>Whilst climate change will have an impact</w:t>
      </w:r>
      <w:r>
        <w:rPr>
          <w:rFonts w:eastAsiaTheme="minorHAnsi" w:cs="Tahoma"/>
          <w:sz w:val="22"/>
          <w:szCs w:val="22"/>
          <w:lang w:eastAsia="en-US"/>
        </w:rPr>
        <w:t xml:space="preserve"> on cold-related deaths</w:t>
      </w:r>
      <w:r w:rsidRPr="004349AE">
        <w:rPr>
          <w:rFonts w:eastAsiaTheme="minorHAnsi" w:cs="Tahoma"/>
          <w:sz w:val="22"/>
          <w:szCs w:val="22"/>
          <w:lang w:eastAsia="en-US"/>
        </w:rPr>
        <w:t xml:space="preserve">, particularly in some countries with milder climates, </w:t>
      </w:r>
      <w:r>
        <w:rPr>
          <w:rFonts w:eastAsiaTheme="minorHAnsi" w:cs="Tahoma"/>
          <w:sz w:val="22"/>
          <w:szCs w:val="22"/>
          <w:lang w:eastAsia="en-US"/>
        </w:rPr>
        <w:t>the overall impact i</w:t>
      </w:r>
      <w:r w:rsidRPr="004349AE">
        <w:rPr>
          <w:rFonts w:eastAsiaTheme="minorHAnsi" w:cs="Tahoma"/>
          <w:sz w:val="22"/>
          <w:szCs w:val="22"/>
          <w:lang w:eastAsia="en-US"/>
        </w:rPr>
        <w:t xml:space="preserve">s uncertain </w:t>
      </w:r>
      <w:r>
        <w:rPr>
          <w:rFonts w:eastAsiaTheme="minorHAnsi" w:cs="Tahoma"/>
          <w:sz w:val="22"/>
          <w:szCs w:val="22"/>
          <w:lang w:eastAsia="en-US"/>
        </w:rPr>
        <w:t xml:space="preserve">because of the seasonal and other dimensions to winter and </w:t>
      </w:r>
      <w:r>
        <w:rPr>
          <w:rFonts w:eastAsiaTheme="minorHAnsi" w:cs="Tahoma"/>
          <w:sz w:val="22"/>
          <w:szCs w:val="22"/>
          <w:lang w:eastAsia="en-US"/>
        </w:rPr>
        <w:lastRenderedPageBreak/>
        <w:t>cold related health impacts</w:t>
      </w:r>
      <w:r w:rsidRPr="004349AE">
        <w:rPr>
          <w:rFonts w:eastAsiaTheme="minorHAnsi" w:cs="Tahoma"/>
          <w:sz w:val="22"/>
          <w:szCs w:val="22"/>
          <w:lang w:eastAsia="en-US"/>
        </w:rPr>
        <w:t xml:space="preserve">. Research into </w:t>
      </w:r>
      <w:r>
        <w:rPr>
          <w:rFonts w:eastAsiaTheme="minorHAnsi" w:cs="Tahoma"/>
          <w:sz w:val="22"/>
          <w:szCs w:val="22"/>
          <w:lang w:eastAsia="en-US"/>
        </w:rPr>
        <w:t>whether benefits from decreased cold temperatures or extreme cold events is continuing, seeking to distinguish the</w:t>
      </w:r>
      <w:r w:rsidRPr="004349AE">
        <w:rPr>
          <w:rFonts w:eastAsiaTheme="minorHAnsi" w:cs="Tahoma"/>
          <w:sz w:val="22"/>
          <w:szCs w:val="22"/>
          <w:lang w:eastAsia="en-US"/>
        </w:rPr>
        <w:t xml:space="preserve"> overlapping nature of the pathways that lead to cold related mortality.</w:t>
      </w:r>
      <w:r w:rsidR="00E13392">
        <w:rPr>
          <w:rFonts w:eastAsiaTheme="minorHAnsi" w:cs="Tahoma"/>
          <w:sz w:val="22"/>
          <w:szCs w:val="22"/>
          <w:lang w:eastAsia="en-US"/>
        </w:rPr>
        <w:fldChar w:fldCharType="begin"/>
      </w:r>
      <w:r w:rsidR="00303C0E">
        <w:rPr>
          <w:rFonts w:eastAsiaTheme="minorHAnsi" w:cs="Tahoma"/>
          <w:sz w:val="22"/>
          <w:szCs w:val="22"/>
          <w:lang w:eastAsia="en-US"/>
        </w:rPr>
        <w:instrText xml:space="preserve"> ADDIN EN.CITE &lt;EndNote&gt;&lt;Cite&gt;&lt;Author&gt;Woodward&lt;/Author&gt;&lt;Year&gt;2014&lt;/Year&gt;&lt;RecNum&gt;1544&lt;/RecNum&gt;&lt;DisplayText&gt;&lt;style face="superscript"&gt;48,49&lt;/style&gt;&lt;/DisplayText&gt;&lt;record&gt;&lt;rec-number&gt;1544&lt;/rec-number&gt;&lt;foreign-keys&gt;&lt;key app="EN" db-id="wtftd20rmszxx0ettxy5exwdf90wv22s2dsf" timestamp="1427349547"&gt;1544&lt;/key&gt;&lt;/foreign-keys&gt;&lt;ref-type name="Journal Article"&gt;17&lt;/ref-type&gt;&lt;contributors&gt;&lt;authors&gt;&lt;author&gt;A Woodward&lt;/author&gt;&lt;/authors&gt;&lt;/contributors&gt;&lt;titles&gt;&lt;title&gt;Heat, cold and climate change&lt;/title&gt;&lt;secondary-title&gt;Journal of Epidemiology and Community Health&lt;/secondary-title&gt;&lt;/titles&gt;&lt;periodical&gt;&lt;full-title&gt;Journal of Epidemiology and Community Health&lt;/full-title&gt;&lt;/periodical&gt;&lt;pages&gt;595-6&lt;/pages&gt;&lt;volume&gt;68&lt;/volume&gt;&lt;number&gt;7&lt;/number&gt;&lt;dates&gt;&lt;year&gt;2014&lt;/year&gt;&lt;/dates&gt;&lt;urls&gt;&lt;/urls&gt;&lt;/record&gt;&lt;/Cite&gt;&lt;Cite&gt;&lt;Author&gt;Staddon&lt;/Author&gt;&lt;Year&gt;2014&lt;/Year&gt;&lt;RecNum&gt;1545&lt;/RecNum&gt;&lt;record&gt;&lt;rec-number&gt;1545&lt;/rec-number&gt;&lt;foreign-keys&gt;&lt;key app="EN" db-id="wtftd20rmszxx0ettxy5exwdf90wv22s2dsf" timestamp="1427349585"&gt;1545&lt;/key&gt;&lt;/foreign-keys&gt;&lt;ref-type name="Journal Article"&gt;17&lt;/ref-type&gt;&lt;contributors&gt;&lt;authors&gt;&lt;author&gt;PL Staddon&lt;/author&gt;&lt;author&gt;HE Montgomery&lt;/author&gt;&lt;author&gt;MH Depledge&lt;/author&gt;&lt;/authors&gt;&lt;/contributors&gt;&lt;titles&gt;&lt;title&gt;Climate warming will not decrease winter mortality&lt;/title&gt;&lt;secondary-title&gt;Nature Clim. Change&lt;/secondary-title&gt;&lt;/titles&gt;&lt;periodical&gt;&lt;full-title&gt;Nature Clim. Change&lt;/full-title&gt;&lt;/periodical&gt;&lt;pages&gt;190-4&lt;/pages&gt;&lt;volume&gt;4&lt;/volume&gt;&lt;number&gt;3&lt;/number&gt;&lt;dates&gt;&lt;year&gt;2014&lt;/year&gt;&lt;/dates&gt;&lt;urls&gt;&lt;/urls&gt;&lt;/record&gt;&lt;/Cite&gt;&lt;/EndNote&gt;</w:instrText>
      </w:r>
      <w:r w:rsidR="00E13392">
        <w:rPr>
          <w:rFonts w:eastAsiaTheme="minorHAnsi" w:cs="Tahoma"/>
          <w:sz w:val="22"/>
          <w:szCs w:val="22"/>
          <w:lang w:eastAsia="en-US"/>
        </w:rPr>
        <w:fldChar w:fldCharType="separate"/>
      </w:r>
      <w:r w:rsidR="00303C0E" w:rsidRPr="00303C0E">
        <w:rPr>
          <w:rFonts w:eastAsiaTheme="minorHAnsi" w:cs="Tahoma"/>
          <w:noProof/>
          <w:sz w:val="22"/>
          <w:szCs w:val="22"/>
          <w:vertAlign w:val="superscript"/>
          <w:lang w:eastAsia="en-US"/>
        </w:rPr>
        <w:t>48,49</w:t>
      </w:r>
      <w:r w:rsidR="00E13392">
        <w:rPr>
          <w:rFonts w:eastAsiaTheme="minorHAnsi" w:cs="Tahoma"/>
          <w:sz w:val="22"/>
          <w:szCs w:val="22"/>
          <w:lang w:eastAsia="en-US"/>
        </w:rPr>
        <w:fldChar w:fldCharType="end"/>
      </w:r>
    </w:p>
    <w:p w:rsidR="00533226" w:rsidRDefault="00533226" w:rsidP="00533226">
      <w:pPr>
        <w:jc w:val="both"/>
        <w:rPr>
          <w:rFonts w:ascii="Calibri" w:hAnsi="Calibri" w:cs="Times New Roman"/>
          <w:sz w:val="22"/>
          <w:szCs w:val="22"/>
        </w:rPr>
      </w:pPr>
    </w:p>
    <w:p w:rsidR="00533226" w:rsidRPr="00E051BA" w:rsidRDefault="00B07A6E" w:rsidP="00E051BA">
      <w:pPr>
        <w:rPr>
          <w:rFonts w:ascii="Times New Roman" w:eastAsiaTheme="minorHAnsi" w:hAnsi="Times New Roman" w:cs="Times New Roman"/>
          <w:lang w:val="en-AU" w:eastAsia="en-AU"/>
        </w:rPr>
      </w:pPr>
      <w:r>
        <w:rPr>
          <w:rFonts w:ascii="Calibri" w:hAnsi="Calibri" w:cs="Times New Roman"/>
          <w:sz w:val="22"/>
          <w:szCs w:val="22"/>
        </w:rPr>
        <w:t xml:space="preserve">Population growth, urbanisation trends and migration patterns mean that the numbers exposed to hot temperature extremes, in particular, will increase, with major implications for public health planning. Urban areas will expand: </w:t>
      </w:r>
      <w:r w:rsidR="00DB0FF9">
        <w:rPr>
          <w:rFonts w:ascii="Calibri" w:hAnsi="Calibri" w:cs="Times New Roman"/>
          <w:sz w:val="22"/>
          <w:szCs w:val="22"/>
        </w:rPr>
        <w:t>u</w:t>
      </w:r>
      <w:r>
        <w:rPr>
          <w:rFonts w:ascii="Calibri" w:hAnsi="Calibri" w:cs="Times New Roman"/>
          <w:sz w:val="22"/>
          <w:szCs w:val="22"/>
        </w:rPr>
        <w:t>rban land cover is projected to triple by 2030 from year 2000 levels.</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&lt;EndNote&gt;&lt;Cite&gt;&lt;Author&gt;Seto&lt;/Author&gt;&lt;Year&gt;2012&lt;/Year&gt;&lt;RecNum&gt;1037&lt;/RecNum&gt;&lt;DisplayText&gt;&lt;style face="superscript"&gt;50&lt;/style&gt;&lt;/DisplayText&gt;&lt;record&gt;&lt;rec-number&gt;1037&lt;/rec-number&gt;&lt;foreign-keys&gt;&lt;key app="EN" db-id="wtftd20rmszxx0ettxy5exwdf90wv22s2dsf" timestamp="1419212983"&gt;1037&lt;/key&gt;&lt;/foreign-keys&gt;&lt;ref-type name="Journal Article"&gt;17&lt;/ref-type&gt;&lt;contributors&gt;&lt;authors&gt;&lt;author&gt;Seto, Karen C.&lt;/author&gt;&lt;author&gt;Güneralp, Burak&lt;/author&gt;&lt;author&gt;Hutyra, Lucy R.&lt;/author&gt;&lt;/authors&gt;&lt;/contributors&gt;&lt;titles&gt;&lt;title&gt;Global forecasts of urban expansion to 2030 and direct impacts on biodiversity and carbon pools&lt;/title&gt;&lt;secondary-title&gt;Proceedings of the National Academy of Sciences of the United States of America&lt;/secondary-title&gt;&lt;/titles&gt;&lt;periodical&gt;&lt;full-title&gt;Proceedings of the National Academy of Sciences of the United States of America&lt;/full-title&gt;&lt;/periodical&gt;&lt;pages&gt;16083-16088&lt;/pages&gt;&lt;volume&gt;109&lt;/volume&gt;&lt;number&gt;40&lt;/number&gt;&lt;dates&gt;&lt;year&gt;2012&lt;/year&gt;&lt;pub-dates&gt;&lt;date&gt;09/17&lt;/date&gt;&lt;/pub-dates&gt;&lt;/dates&gt;&lt;publisher&gt;National Academy of Sciences&lt;/publisher&gt;&lt;isbn&gt;0027-8424&amp;#xD;1091-6490&lt;/isbn&gt;&lt;accession-num&gt;PMC3479537&lt;/accession-num&gt;&lt;urls&gt;&lt;related-urls&gt;&lt;url&gt;http://www.ncbi.nlm.nih.gov/pmc/articles/PMC3479537/&lt;/url&gt;&lt;/related-urls&gt;&lt;/urls&gt;&lt;electronic-resource-num&gt;10.1073/pnas.1211658109&lt;/electronic-resource-num&gt;&lt;remote-database-name&gt;PMC&lt;/remote-database-name&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50</w:t>
      </w:r>
      <w:r w:rsidR="00E13392">
        <w:rPr>
          <w:rFonts w:ascii="Calibri" w:hAnsi="Calibri" w:cs="Times New Roman"/>
          <w:sz w:val="22"/>
          <w:szCs w:val="22"/>
        </w:rPr>
        <w:fldChar w:fldCharType="end"/>
      </w:r>
      <w:r>
        <w:rPr>
          <w:rFonts w:ascii="Calibri" w:hAnsi="Calibri" w:cs="Times New Roman"/>
          <w:sz w:val="22"/>
          <w:szCs w:val="22"/>
        </w:rPr>
        <w:t xml:space="preserve"> Many assessments of climate risks, including those for heat, do not take on board the detail of demographic shifts, in effect, overlooking the location of vulnerable populations as a part of the calculus. </w:t>
      </w:r>
      <w:r>
        <w:rPr>
          <w:rFonts w:ascii="Calibri" w:hAnsi="Calibri" w:cs="Times New Roman"/>
          <w:sz w:val="22"/>
        </w:rPr>
        <w:t xml:space="preserve"> We have produced models that consider both climate and population projections. We use Shared Socioeconomic Pathway (SSP) population projections to calculate future demographic trends alongside CMIP5 climate models (as used in the IPCC 5th Assessment report) and projected emission pathways (so-called Representative Concentration Pathways, RCPs).</w:t>
      </w:r>
      <w:r w:rsidR="00E13392">
        <w:rPr>
          <w:rFonts w:ascii="Calibri" w:hAnsi="Calibri" w:cs="Times New Roman"/>
          <w:sz w:val="22"/>
        </w:rPr>
        <w:fldChar w:fldCharType="begin">
          <w:fldData xml:space="preserve">PEVuZE5vdGU+PENpdGU+PEF1dGhvcj5P4oCZTmVpbGw8L0F1dGhvcj48WWVhcj4yMDE1PC9ZZWFy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</w:fldData>
        </w:fldChar>
      </w:r>
      <w:r w:rsidR="00303C0E">
        <w:rPr>
          <w:rFonts w:ascii="Calibri" w:hAnsi="Calibri" w:cs="Times New Roman"/>
          <w:sz w:val="22"/>
        </w:rPr>
        <w:instrText xml:space="preserve"> ADDIN EN.CITE </w:instrText>
      </w:r>
      <w:r w:rsidR="00E13392">
        <w:rPr>
          <w:rFonts w:ascii="Calibri" w:hAnsi="Calibri" w:cs="Times New Roman"/>
          <w:sz w:val="22"/>
        </w:rPr>
        <w:fldChar w:fldCharType="begin">
          <w:fldData xml:space="preserve">PEVuZE5vdGU+PENpdGU+PEF1dGhvcj5P4oCZTmVpbGw8L0F1dGhvcj48WWVhcj4yMDE1PC9ZZWFy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</w:fldData>
        </w:fldChar>
      </w:r>
      <w:r w:rsidR="00303C0E">
        <w:rPr>
          <w:rFonts w:ascii="Calibri" w:hAnsi="Calibri" w:cs="Times New Roman"/>
          <w:sz w:val="22"/>
        </w:rPr>
        <w:instrText xml:space="preserve"> ADDIN EN.CITE.DATA </w:instrText>
      </w:r>
      <w:r w:rsidR="00E13392">
        <w:rPr>
          <w:rFonts w:ascii="Calibri" w:hAnsi="Calibri" w:cs="Times New Roman"/>
          <w:sz w:val="22"/>
        </w:rPr>
      </w:r>
      <w:r w:rsidR="00E13392">
        <w:rPr>
          <w:rFonts w:ascii="Calibri" w:hAnsi="Calibri" w:cs="Times New Roman"/>
          <w:sz w:val="22"/>
        </w:rPr>
        <w:fldChar w:fldCharType="end"/>
      </w:r>
      <w:r w:rsidR="00E13392">
        <w:rPr>
          <w:rFonts w:ascii="Calibri" w:hAnsi="Calibri" w:cs="Times New Roman"/>
          <w:sz w:val="22"/>
        </w:rPr>
      </w:r>
      <w:r w:rsidR="00E13392">
        <w:rPr>
          <w:rFonts w:ascii="Calibri" w:hAnsi="Calibri" w:cs="Times New Roman"/>
          <w:sz w:val="22"/>
        </w:rPr>
        <w:fldChar w:fldCharType="separate"/>
      </w:r>
      <w:r w:rsidR="00303C0E" w:rsidRPr="00303C0E">
        <w:rPr>
          <w:rFonts w:ascii="Calibri" w:hAnsi="Calibri" w:cs="Times New Roman"/>
          <w:noProof/>
          <w:sz w:val="22"/>
          <w:vertAlign w:val="superscript"/>
        </w:rPr>
        <w:t>51-54</w:t>
      </w:r>
      <w:r w:rsidR="00E13392">
        <w:rPr>
          <w:rFonts w:ascii="Calibri" w:hAnsi="Calibri" w:cs="Times New Roman"/>
          <w:sz w:val="22"/>
        </w:rPr>
        <w:fldChar w:fldCharType="end"/>
      </w:r>
      <w:r>
        <w:rPr>
          <w:rFonts w:ascii="Calibri" w:hAnsi="Calibri" w:cs="Times New Roman"/>
          <w:sz w:val="22"/>
        </w:rPr>
        <w:t xml:space="preserve"> Appendix 1 outlines the assumptions, the data and the climate and population scenarios used to estimate the scale of a variety of health risks for the 21st century, shown in Figures 2.2 to 2.5.</w:t>
      </w:r>
      <w:r w:rsidR="00E051BA">
        <w:rPr>
          <w:rFonts w:ascii="Times New Roman" w:eastAsiaTheme="minorHAnsi" w:hAnsi="Times New Roman" w:cs="Times New Roman"/>
          <w:lang w:val="en-AU" w:eastAsia="en-AU"/>
        </w:rPr>
        <w:t xml:space="preserve"> </w:t>
      </w:r>
      <w:r w:rsidR="00533226" w:rsidRPr="005763E1">
        <w:rPr>
          <w:rFonts w:ascii="Calibri" w:hAnsi="Calibri" w:cs="Times New Roman"/>
          <w:sz w:val="22"/>
        </w:rPr>
        <w:t xml:space="preserve">  </w:t>
      </w:r>
    </w:p>
    <w:p w:rsidR="00533226" w:rsidRDefault="00533226" w:rsidP="00533226">
      <w:pPr>
        <w:tabs>
          <w:tab w:val="left" w:pos="5460"/>
        </w:tabs>
        <w:jc w:val="both"/>
        <w:rPr>
          <w:rFonts w:ascii="Calibri" w:hAnsi="Calibri" w:cs="Times New Roman"/>
          <w:sz w:val="22"/>
        </w:rPr>
      </w:pPr>
      <w:r>
        <w:rPr>
          <w:rFonts w:ascii="Calibri" w:hAnsi="Calibri" w:cs="Times New Roman"/>
          <w:sz w:val="22"/>
        </w:rPr>
        <w:tab/>
      </w:r>
    </w:p>
    <w:p w:rsidR="00E051BA" w:rsidRDefault="00E051BA" w:rsidP="00E051BA">
      <w:pPr>
        <w:jc w:val="both"/>
        <w:rPr>
          <w:rFonts w:ascii="Calibri" w:hAnsi="Calibri" w:cs="Times New Roman"/>
          <w:sz w:val="22"/>
        </w:rPr>
      </w:pPr>
      <w:r>
        <w:rPr>
          <w:rFonts w:ascii="Calibri" w:hAnsi="Calibri" w:cs="Times New Roman"/>
          <w:sz w:val="22"/>
        </w:rPr>
        <w:t>The projected global distribution of changes in heat in the coming decades is illustrated in Figure 2.2a using the high emission projections of RCP 8.5 as explained in Appendix 1. This focuses on summer temperatures, hence the graph represents the summer months for both the northern (June-August) and southern (December-February) hemispheres. Climatic impact will not be experienced uniformly across the globe and is demonstrated by the regional variation seen across continents. At such levels of warming, the return period of extreme heat events, such as those experienced in 2003 in Western Europe, is significantly shortened.</w:t>
      </w:r>
    </w:p>
    <w:p w:rsidR="00E051BA" w:rsidRDefault="00E051BA" w:rsidP="00E051BA">
      <w:pPr>
        <w:jc w:val="both"/>
        <w:rPr>
          <w:rFonts w:ascii="Calibri" w:hAnsi="Calibri"/>
        </w:rPr>
      </w:pPr>
    </w:p>
    <w:p w:rsidR="00533226" w:rsidRPr="005763E1" w:rsidRDefault="00E051BA" w:rsidP="00E051BA">
      <w:pPr>
        <w:jc w:val="both"/>
        <w:rPr>
          <w:rFonts w:ascii="Calibri" w:hAnsi="Calibri"/>
        </w:rPr>
      </w:pPr>
      <w:r>
        <w:rPr>
          <w:rFonts w:ascii="Calibri" w:hAnsi="Calibri" w:cs="Times New Roman"/>
          <w:sz w:val="22"/>
        </w:rPr>
        <w:t>Figure 2.2b makes clear that future</w:t>
      </w:r>
      <w:r w:rsidR="00DB0FF9">
        <w:rPr>
          <w:rFonts w:ascii="Calibri" w:hAnsi="Calibri" w:cs="Times New Roman"/>
          <w:sz w:val="22"/>
        </w:rPr>
        <w:t xml:space="preserve"> health risks arising from</w:t>
      </w:r>
      <w:r>
        <w:rPr>
          <w:rFonts w:ascii="Calibri" w:hAnsi="Calibri" w:cs="Times New Roman"/>
          <w:sz w:val="22"/>
        </w:rPr>
        <w:t xml:space="preserve"> exposure to warming (measured as the mean temperature increase experienced by a person) may also be extensively driven by demographics</w:t>
      </w:r>
      <w:r w:rsidR="00C0266B">
        <w:rPr>
          <w:rFonts w:ascii="Calibri" w:hAnsi="Calibri" w:cs="Times New Roman"/>
          <w:sz w:val="22"/>
        </w:rPr>
        <w:t>,</w:t>
      </w:r>
      <w:r>
        <w:rPr>
          <w:rFonts w:ascii="Calibri" w:hAnsi="Calibri" w:cs="Times New Roman"/>
          <w:sz w:val="22"/>
        </w:rPr>
        <w:t xml:space="preserve"> shown as the divergence between red and blue lines driven by different warming and population scenarios across the incoming decades</w:t>
      </w:r>
      <w:r w:rsidR="00C0266B">
        <w:rPr>
          <w:rFonts w:ascii="Calibri" w:hAnsi="Calibri" w:cs="Times New Roman"/>
          <w:sz w:val="22"/>
        </w:rPr>
        <w:t>.</w:t>
      </w:r>
      <w:r>
        <w:rPr>
          <w:rFonts w:ascii="Calibri" w:hAnsi="Calibri" w:cs="Times New Roman"/>
          <w:sz w:val="22"/>
        </w:rPr>
        <w:t xml:space="preserve"> In other words, population change in areas of the world where population growth is significant, fundamentally affects the increase in numbers of people exposed to the impacts of climate change.</w:t>
      </w:r>
    </w:p>
    <w:p w:rsidR="00533226" w:rsidRDefault="00533226" w:rsidP="001A7027">
      <w:pPr>
        <w:jc w:val="both"/>
        <w:rPr>
          <w:rFonts w:ascii="Calibri" w:hAnsi="Calibri" w:cs="Times New Roman"/>
          <w:i/>
          <w:sz w:val="22"/>
        </w:rPr>
      </w:pPr>
    </w:p>
    <w:p w:rsidR="00303C0E" w:rsidRPr="00303C0E" w:rsidRDefault="00303C0E" w:rsidP="00303C0E">
      <w:pPr>
        <w:spacing w:after="240" w:line="259" w:lineRule="auto"/>
        <w:jc w:val="both"/>
        <w:rPr>
          <w:rFonts w:ascii="Calibri" w:eastAsiaTheme="minorHAnsi" w:hAnsi="Calibri"/>
          <w:sz w:val="22"/>
          <w:szCs w:val="22"/>
          <w:lang w:val="en-AU" w:eastAsia="en-US"/>
        </w:rPr>
      </w:pPr>
      <w:r w:rsidRPr="00303C0E">
        <w:rPr>
          <w:rFonts w:eastAsiaTheme="minorHAnsi"/>
          <w:noProof/>
          <w:sz w:val="22"/>
          <w:szCs w:val="22"/>
          <w:lang w:val="en-GB" w:eastAsia="en-GB"/>
        </w:rPr>
        <w:drawing>
          <wp:inline distT="0" distB="0" distL="0" distR="0">
            <wp:extent cx="5731510" cy="23977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31510" cy="2397760"/>
                    </a:xfrm>
                    <a:prstGeom prst="rect">
                      <a:avLst/>
                    </a:prstGeom>
                  </pic:spPr>
                </pic:pic>
              </a:graphicData>
            </a:graphic>
          </wp:inline>
        </w:drawing>
      </w:r>
    </w:p>
    <w:p w:rsidR="00303C0E" w:rsidRPr="00303C0E" w:rsidRDefault="00303C0E" w:rsidP="00303C0E">
      <w:pPr>
        <w:spacing w:after="240" w:line="259" w:lineRule="auto"/>
        <w:jc w:val="both"/>
        <w:rPr>
          <w:rFonts w:ascii="Calibri" w:eastAsiaTheme="minorHAnsi" w:hAnsi="Calibri" w:cs="Times New Roman"/>
          <w:sz w:val="20"/>
          <w:szCs w:val="22"/>
          <w:lang w:val="en-AU" w:eastAsia="en-US"/>
        </w:rPr>
      </w:pPr>
      <w:r w:rsidRPr="00303C0E">
        <w:rPr>
          <w:rFonts w:ascii="Calibri" w:eastAsiaTheme="minorHAnsi" w:hAnsi="Calibri" w:cs="Times New Roman"/>
          <w:i/>
          <w:sz w:val="20"/>
          <w:szCs w:val="22"/>
          <w:lang w:val="en-AU" w:eastAsia="en-US"/>
        </w:rPr>
        <w:t>Figure 2.2:</w:t>
      </w:r>
      <w:r w:rsidRPr="00303C0E">
        <w:rPr>
          <w:rFonts w:ascii="Calibri" w:eastAsiaTheme="minorHAnsi" w:hAnsi="Calibri" w:cs="Times New Roman"/>
          <w:sz w:val="20"/>
          <w:szCs w:val="22"/>
          <w:lang w:val="en-AU" w:eastAsia="en-US"/>
        </w:rPr>
        <w:t xml:space="preserve"> Exposure to warming resulting from projections of 21st century climate and population change. (a) Map of changes in summertime temperatures (June-July-August for the Northern Hemisphere, and December-January-February for the Southern Hemisphere) for the RCP8.5 scenario, using the mean of the projections produced by the CMIP5 climate models; (b) change in the mean warming experienced by a person under RCP8.5 (red lines) and RCP2.6 (blue lines), calculated based on the usual global area-mean (dashed lines), and weighted by the population density to produce the mean exposure to warming that will be experienced by </w:t>
      </w:r>
      <w:r w:rsidRPr="00303C0E">
        <w:rPr>
          <w:rFonts w:ascii="Calibri" w:eastAsiaTheme="minorHAnsi" w:hAnsi="Calibri" w:cs="Times New Roman"/>
          <w:sz w:val="20"/>
          <w:szCs w:val="22"/>
          <w:lang w:val="en-AU" w:eastAsia="en-US"/>
        </w:rPr>
        <w:lastRenderedPageBreak/>
        <w:t>people (continuous lines). In order to span the range of possible exposures, we have paired the high-growth SSP3 population scenario with RCP8.5 and the low-growth SSP1 population scenario with RCP2.6.</w:t>
      </w:r>
    </w:p>
    <w:p w:rsidR="001B3BB9" w:rsidRPr="001A7027" w:rsidRDefault="001B3BB9" w:rsidP="001A7027">
      <w:pPr>
        <w:jc w:val="both"/>
        <w:rPr>
          <w:rFonts w:ascii="Calibri" w:hAnsi="Calibri"/>
          <w:b/>
        </w:rPr>
      </w:pPr>
    </w:p>
    <w:p w:rsidR="001B3BB9" w:rsidRDefault="001B3BB9" w:rsidP="001B3BB9">
      <w:pPr>
        <w:jc w:val="both"/>
        <w:rPr>
          <w:rFonts w:ascii="Calibri" w:hAnsi="Calibri" w:cs="Times New Roman"/>
          <w:sz w:val="22"/>
          <w:szCs w:val="22"/>
        </w:rPr>
      </w:pPr>
      <w:r>
        <w:rPr>
          <w:rFonts w:ascii="Calibri" w:hAnsi="Calibri" w:cs="Times New Roman"/>
          <w:sz w:val="22"/>
          <w:szCs w:val="22"/>
        </w:rPr>
        <w:t>Whilst hotter summers increase vulnerability to heat-related morbidity, heatwaves in particular have a negative impact on health. Figure 2.3 re-analyses projections from the latest climate models (the CMIP5 models as used in the IPCC 5th Assessment Report) in terms of the number of exposure events per year for heatwaves. Heatwaves here are defined here as five consecutive days of daily minimum night time temperatures &gt; 5</w:t>
      </w:r>
      <w:r>
        <w:rPr>
          <w:rFonts w:ascii="Calibri" w:hAnsi="Calibri" w:cs="Times New Roman"/>
          <w:sz w:val="22"/>
          <w:szCs w:val="22"/>
          <w:vertAlign w:val="superscript"/>
        </w:rPr>
        <w:t>o</w:t>
      </w:r>
      <w:r>
        <w:rPr>
          <w:rFonts w:ascii="Calibri" w:hAnsi="Calibri" w:cs="Times New Roman"/>
          <w:sz w:val="22"/>
          <w:szCs w:val="22"/>
        </w:rPr>
        <w:t xml:space="preserve">C above the presently observed patterns of daily minimums. Although heatwaves have different characteristics, this definition focuses on health impacts based on deviation from normal temperature, duration and extent. </w:t>
      </w:r>
    </w:p>
    <w:p w:rsidR="001B3BB9" w:rsidRDefault="001B3BB9" w:rsidP="001B3BB9">
      <w:pPr>
        <w:jc w:val="both"/>
        <w:rPr>
          <w:rFonts w:ascii="Calibri" w:hAnsi="Calibri" w:cs="Times New Roman"/>
          <w:sz w:val="22"/>
          <w:szCs w:val="22"/>
        </w:rPr>
      </w:pPr>
    </w:p>
    <w:p w:rsidR="001B3BB9" w:rsidRDefault="001B3BB9" w:rsidP="001B3BB9">
      <w:pPr>
        <w:rPr>
          <w:rFonts w:ascii="Times New Roman" w:eastAsiaTheme="minorHAnsi" w:hAnsi="Times New Roman" w:cs="Times New Roman"/>
          <w:lang w:val="en-AU" w:eastAsia="en-AU"/>
        </w:rPr>
      </w:pPr>
      <w:r>
        <w:rPr>
          <w:rFonts w:ascii="Calibri" w:hAnsi="Calibri" w:cs="Times New Roman"/>
          <w:sz w:val="22"/>
          <w:szCs w:val="22"/>
        </w:rPr>
        <w:t>Elderly populations are particularly vulnerable to heatwaves</w:t>
      </w:r>
      <w:r w:rsidR="00A31078" w:rsidRPr="00A31078">
        <w:rPr>
          <w:rFonts w:ascii="Calibri" w:hAnsi="Calibri" w:cs="Times New Roman"/>
          <w:sz w:val="22"/>
          <w:szCs w:val="22"/>
        </w:rPr>
        <w:t xml:space="preserve"> </w:t>
      </w:r>
      <w:r w:rsidR="00A31078">
        <w:rPr>
          <w:rFonts w:ascii="Calibri" w:hAnsi="Calibri" w:cs="Times New Roman"/>
          <w:sz w:val="22"/>
          <w:szCs w:val="22"/>
        </w:rPr>
        <w:t>and demographic and climatic changes will combine to shape population heatwave vulnerability in coming decades (Figure 2.3c).</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&lt;EndNote&gt;&lt;Cite&gt;&lt;Author&gt;Kovats&lt;/Author&gt;&lt;Year&gt;2008&lt;/Year&gt;&lt;RecNum&gt;1016&lt;/RecNum&gt;&lt;DisplayText&gt;&lt;style face="superscript"&gt;55&lt;/style&gt;&lt;/DisplayText&gt;&lt;record&gt;&lt;rec-number&gt;1016&lt;/rec-number&gt;&lt;foreign-keys&gt;&lt;key app="EN" db-id="wtftd20rmszxx0ettxy5exwdf90wv22s2dsf" timestamp="1419212983"&gt;1016&lt;/key&gt;&lt;/foreign-keys&gt;&lt;ref-type name="Journal Article"&gt;17&lt;/ref-type&gt;&lt;contributors&gt;&lt;authors&gt;&lt;author&gt;Kovats, R. S.&lt;/author&gt;&lt;author&gt;Hajat, S.&lt;/author&gt;&lt;/authors&gt;&lt;/contributors&gt;&lt;auth-address&gt;Public and Environmental Health Research Unit (PEHRU), London School of Hygiene and Tropical Medicine, London, UK. Sari.Kovats@lshtm.ac.uk&lt;/auth-address&gt;&lt;titles&gt;&lt;title&gt;Heat stress and public health: a critical review&lt;/title&gt;&lt;secondary-title&gt;Annu Rev Public Health&lt;/secondary-title&gt;&lt;alt-title&gt;Annual review of public health&lt;/alt-title&gt;&lt;/titles&gt;&lt;periodical&gt;&lt;full-title&gt;Annu Rev Public Health&lt;/full-title&gt;&lt;/periodical&gt;&lt;pages&gt;41-55&lt;/pages&gt;&lt;volume&gt;29&lt;/volume&gt;&lt;edition&gt;2007/11/23&lt;/edition&gt;&lt;keywords&gt;&lt;keyword&gt;Age Factors&lt;/keyword&gt;&lt;keyword&gt;Air Conditioning&lt;/keyword&gt;&lt;keyword&gt;*Greenhouse Effect&lt;/keyword&gt;&lt;keyword&gt;*Heat Stress Disorders/epidemiology/etiology/prevention &amp;amp; control&lt;/keyword&gt;&lt;keyword&gt;Hot Temperature/*adverse effects&lt;/keyword&gt;&lt;keyword&gt;Housing/standards&lt;/keyword&gt;&lt;keyword&gt;Humans&lt;/keyword&gt;&lt;keyword&gt;Information Dissemination&lt;/keyword&gt;&lt;keyword&gt;*Public Health&lt;/keyword&gt;&lt;keyword&gt;Residential Facilities/standards&lt;/keyword&gt;&lt;keyword&gt;Vulnerable Populations&lt;/keyword&gt;&lt;/keywords&gt;&lt;dates&gt;&lt;year&gt;2008&lt;/year&gt;&lt;/dates&gt;&lt;isbn&gt;0163-7525 (Print)&amp;#xD;0163-7525&lt;/isbn&gt;&lt;accession-num&gt;18031221&lt;/accession-num&gt;&lt;urls&gt;&lt;/urls&gt;&lt;electronic-resource-num&gt;10.1146/annurev.publhealth.29.020907.090843&lt;/electronic-resource-num&gt;&lt;remote-database-provider&gt;NLM&lt;/remote-database-provider&gt;&lt;language&gt;eng&lt;/language&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55</w:t>
      </w:r>
      <w:r w:rsidR="00E13392">
        <w:rPr>
          <w:rFonts w:ascii="Calibri" w:hAnsi="Calibri" w:cs="Times New Roman"/>
          <w:sz w:val="22"/>
          <w:szCs w:val="22"/>
        </w:rPr>
        <w:fldChar w:fldCharType="end"/>
      </w:r>
      <w:r>
        <w:rPr>
          <w:rFonts w:ascii="Calibri" w:hAnsi="Calibri" w:cs="Times New Roman"/>
          <w:sz w:val="22"/>
          <w:szCs w:val="22"/>
        </w:rPr>
        <w:t xml:space="preserve"> We use populations projected over 65 years of age rather than a frailty index, recognizing the underlying health of elderly populations and the cultural context of ageing are both likely to change over time.</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&lt;EndNote&gt;&lt;Cite&gt;&lt;Author&gt;Quinn&lt;/Author&gt;&lt;Year&gt;2011&lt;/Year&gt;&lt;RecNum&gt;1547&lt;/RecNum&gt;&lt;DisplayText&gt;&lt;style face="superscript"&gt;56&lt;/style&gt;&lt;/DisplayText&gt;&lt;record&gt;&lt;rec-number&gt;1547&lt;/rec-number&gt;&lt;foreign-keys&gt;&lt;key app="EN" db-id="wtftd20rmszxx0ettxy5exwdf90wv22s2dsf" timestamp="1427353338"&gt;1547&lt;/key&gt;&lt;/foreign-keys&gt;&lt;ref-type name="Journal Article"&gt;17&lt;/ref-type&gt;&lt;contributors&gt;&lt;authors&gt;&lt;author&gt;T Quinn&lt;/author&gt;&lt;author&gt;Adger, Neil&lt;/author&gt;&lt;/authors&gt;&lt;/contributors&gt;&lt;titles&gt;&lt;title&gt;Climate change when you are getting on in life&lt;/title&gt;&lt;secondary-title&gt;Environment and Planning A&lt;/secondary-title&gt;&lt;/titles&gt;&lt;periodical&gt;&lt;full-title&gt;Environment and Planning A&lt;/full-title&gt;&lt;/periodical&gt;&lt;pages&gt;2257-60&lt;/pages&gt;&lt;volume&gt;43&lt;/volume&gt;&lt;number&gt;10&lt;/number&gt;&lt;dates&gt;&lt;year&gt;2011&lt;/year&gt;&lt;/dates&gt;&lt;urls&gt;&lt;/urls&gt;&lt;/record&gt;&lt;/Cite&gt;&lt;/EndNote&gt;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56</w:t>
      </w:r>
      <w:r w:rsidR="00E13392">
        <w:rPr>
          <w:rFonts w:ascii="Calibri" w:hAnsi="Calibri" w:cs="Times New Roman"/>
          <w:sz w:val="22"/>
          <w:szCs w:val="22"/>
        </w:rPr>
        <w:fldChar w:fldCharType="end"/>
      </w:r>
      <w:r>
        <w:rPr>
          <w:rFonts w:ascii="Calibri" w:hAnsi="Calibri" w:cs="Times New Roman"/>
          <w:sz w:val="22"/>
          <w:szCs w:val="22"/>
        </w:rPr>
        <w:t xml:space="preserve"> Educational levels and other demographic factors are also important in the ability of societies to cope with extreme events.</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&lt;EndNote&gt;&lt;Cite&gt;&lt;Author&gt;Lutz&lt;/Author&gt;&lt;Year&gt;2014&lt;/Year&gt;&lt;RecNum&gt;1548&lt;/RecNum&gt;&lt;DisplayText&gt;&lt;style face="superscript"&gt;57&lt;/style&gt;&lt;/DisplayText&gt;&lt;record&gt;&lt;rec-number&gt;1548&lt;/rec-number&gt;&lt;foreign-keys&gt;&lt;key app="EN" db-id="wtftd20rmszxx0ettxy5exwdf90wv22s2dsf" timestamp="1427353510"&gt;1548&lt;/key&gt;&lt;/foreign-keys&gt;&lt;ref-type name="Journal Article"&gt;17&lt;/ref-type&gt;&lt;contributors&gt;&lt;authors&gt;&lt;author&gt;W Lutz&lt;/author&gt;&lt;author&gt;R Muttarak&lt;/author&gt;&lt;author&gt;E Striessnig&lt;/author&gt;&lt;/authors&gt;&lt;/contributors&gt;&lt;titles&gt;&lt;title&gt;Universal education is key to enhanced climate adaptation&lt;/title&gt;&lt;secondary-title&gt;Science&lt;/secondary-title&gt;&lt;/titles&gt;&lt;periodical&gt;&lt;full-title&gt;Science&lt;/full-title&gt;&lt;/periodical&gt;&lt;pages&gt;1061-2&lt;/pages&gt;&lt;volume&gt;346&lt;/volume&gt;&lt;number&gt;6213&lt;/number&gt;&lt;dates&gt;&lt;year&gt;2014&lt;/year&gt;&lt;/dates&gt;&lt;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57</w:t>
      </w:r>
      <w:r w:rsidR="00E13392">
        <w:rPr>
          <w:rFonts w:ascii="Calibri" w:hAnsi="Calibri" w:cs="Times New Roman"/>
          <w:sz w:val="22"/>
          <w:szCs w:val="22"/>
        </w:rPr>
        <w:fldChar w:fldCharType="end"/>
      </w:r>
      <w:r>
        <w:rPr>
          <w:rFonts w:ascii="Calibri" w:hAnsi="Calibri" w:cs="Times New Roman"/>
          <w:sz w:val="22"/>
          <w:szCs w:val="22"/>
        </w:rPr>
        <w:t xml:space="preserve"> Despite these caveats Figure 2.3d demonstrates growing exposure in global projections of the number of people over 65 years of age exposed to heatwave risks. The numbers of events of elderly people experiencing high temperatures reaches over three billion towards the end of the century. A key message is that demographic change added to climate changes will expose</w:t>
      </w:r>
      <w:r w:rsidR="00723833">
        <w:rPr>
          <w:rFonts w:ascii="Calibri" w:hAnsi="Calibri" w:cs="Times New Roman"/>
          <w:sz w:val="22"/>
          <w:szCs w:val="22"/>
        </w:rPr>
        <w:t xml:space="preserve"> increasing numbers of</w:t>
      </w:r>
      <w:r>
        <w:rPr>
          <w:rFonts w:ascii="Calibri" w:hAnsi="Calibri" w:cs="Times New Roman"/>
          <w:sz w:val="22"/>
          <w:szCs w:val="22"/>
        </w:rPr>
        <w:t xml:space="preserve"> elderly people to increasing numbers of heat waves, especially in the developed and transition economies.</w:t>
      </w:r>
      <w:r>
        <w:rPr>
          <w:rFonts w:ascii="Times New Roman" w:eastAsiaTheme="minorHAnsi" w:hAnsi="Times New Roman" w:cs="Times New Roman"/>
          <w:lang w:val="en-AU" w:eastAsia="en-AU"/>
        </w:rPr>
        <w:t xml:space="preserve"> </w:t>
      </w:r>
    </w:p>
    <w:p w:rsidR="00533226" w:rsidRDefault="00533226" w:rsidP="00533226">
      <w:pPr>
        <w:jc w:val="both"/>
        <w:rPr>
          <w:rFonts w:ascii="Calibri" w:hAnsi="Calibri"/>
          <w:sz w:val="22"/>
          <w:szCs w:val="22"/>
        </w:rPr>
      </w:pPr>
    </w:p>
    <w:p w:rsidR="003604C8" w:rsidRPr="003604C8" w:rsidRDefault="003604C8" w:rsidP="003604C8">
      <w:pPr>
        <w:spacing w:after="240" w:line="259" w:lineRule="auto"/>
        <w:jc w:val="both"/>
        <w:rPr>
          <w:rFonts w:ascii="Calibri" w:eastAsiaTheme="minorHAnsi" w:hAnsi="Calibri" w:cs="Times New Roman"/>
          <w:i/>
          <w:sz w:val="22"/>
          <w:szCs w:val="22"/>
          <w:lang w:val="en-AU" w:eastAsia="en-US"/>
        </w:rPr>
      </w:pPr>
      <w:r w:rsidRPr="003604C8">
        <w:rPr>
          <w:rFonts w:eastAsiaTheme="minorHAnsi"/>
          <w:noProof/>
          <w:sz w:val="22"/>
          <w:szCs w:val="22"/>
          <w:lang w:val="en-GB" w:eastAsia="en-GB"/>
        </w:rPr>
        <w:drawing>
          <wp:inline distT="0" distB="0" distL="0" distR="0">
            <wp:extent cx="5731510" cy="42125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31510" cy="4212590"/>
                    </a:xfrm>
                    <a:prstGeom prst="rect">
                      <a:avLst/>
                    </a:prstGeom>
                  </pic:spPr>
                </pic:pic>
              </a:graphicData>
            </a:graphic>
          </wp:inline>
        </w:drawing>
      </w:r>
    </w:p>
    <w:p w:rsidR="003604C8" w:rsidRPr="003604C8" w:rsidRDefault="003604C8" w:rsidP="003604C8">
      <w:pPr>
        <w:spacing w:after="240" w:line="259" w:lineRule="auto"/>
        <w:jc w:val="both"/>
        <w:rPr>
          <w:rFonts w:ascii="Calibri" w:eastAsiaTheme="minorHAnsi" w:hAnsi="Calibri" w:cs="Times New Roman"/>
          <w:sz w:val="20"/>
          <w:szCs w:val="22"/>
          <w:lang w:val="en-AU" w:eastAsia="en-US"/>
        </w:rPr>
      </w:pPr>
      <w:r w:rsidRPr="003604C8">
        <w:rPr>
          <w:rFonts w:ascii="Calibri" w:eastAsiaTheme="minorHAnsi" w:hAnsi="Calibri" w:cs="Times New Roman"/>
          <w:i/>
          <w:sz w:val="20"/>
          <w:szCs w:val="22"/>
          <w:lang w:val="en-AU" w:eastAsia="en-US"/>
        </w:rPr>
        <w:t>Figure 2.3:</w:t>
      </w:r>
      <w:r w:rsidRPr="003604C8">
        <w:rPr>
          <w:rFonts w:ascii="Calibri" w:eastAsiaTheme="minorHAnsi" w:hAnsi="Calibri" w:cs="Times New Roman"/>
          <w:sz w:val="20"/>
          <w:szCs w:val="22"/>
          <w:lang w:val="en-AU" w:eastAsia="en-US"/>
        </w:rPr>
        <w:t xml:space="preserve"> Changing exposure to “heat-wave” resulting from projections of 21st century climate and population/demographic change. (a) Change in “heat-wave” frequency for the RCP8.5 scenario, where a heat-</w:t>
      </w:r>
      <w:r w:rsidRPr="003604C8">
        <w:rPr>
          <w:rFonts w:ascii="Calibri" w:eastAsiaTheme="minorHAnsi" w:hAnsi="Calibri" w:cs="Times New Roman"/>
          <w:sz w:val="20"/>
          <w:szCs w:val="22"/>
          <w:lang w:val="en-AU" w:eastAsia="en-US"/>
        </w:rPr>
        <w:lastRenderedPageBreak/>
        <w:t>wave is defined as more than five consecutive days where the daily minimum temperature exceeds the summer mean daily minimum temperature in the historical period (1986-2005) by more than 5</w:t>
      </w:r>
      <w:r w:rsidRPr="003604C8">
        <w:rPr>
          <w:rFonts w:ascii="Calibri" w:eastAsiaTheme="minorHAnsi" w:hAnsi="Calibri" w:cs="Times New Roman"/>
          <w:sz w:val="20"/>
          <w:szCs w:val="22"/>
          <w:vertAlign w:val="superscript"/>
          <w:lang w:val="en-AU" w:eastAsia="en-US"/>
        </w:rPr>
        <w:t>o</w:t>
      </w:r>
      <w:r w:rsidRPr="003604C8">
        <w:rPr>
          <w:rFonts w:ascii="Calibri" w:eastAsiaTheme="minorHAnsi" w:hAnsi="Calibri" w:cs="Times New Roman"/>
          <w:sz w:val="20"/>
          <w:szCs w:val="22"/>
          <w:lang w:val="en-AU" w:eastAsia="en-US"/>
        </w:rPr>
        <w:t>C;  (b) change in the mean number of “heat-wave” exposure events for people over 65 annually per km</w:t>
      </w:r>
      <w:r w:rsidRPr="003604C8">
        <w:rPr>
          <w:rFonts w:ascii="Calibri" w:eastAsiaTheme="minorHAnsi" w:hAnsi="Calibri" w:cs="Times New Roman"/>
          <w:sz w:val="20"/>
          <w:szCs w:val="22"/>
          <w:vertAlign w:val="superscript"/>
          <w:lang w:val="en-AU" w:eastAsia="en-US"/>
        </w:rPr>
        <w:t>2</w:t>
      </w:r>
      <w:r w:rsidRPr="003604C8">
        <w:rPr>
          <w:rFonts w:ascii="Calibri" w:eastAsiaTheme="minorHAnsi" w:hAnsi="Calibri" w:cs="Times New Roman"/>
          <w:sz w:val="20"/>
          <w:szCs w:val="22"/>
          <w:lang w:val="en-AU" w:eastAsia="en-US"/>
        </w:rPr>
        <w:t xml:space="preserve"> as a result of the climate change in (a) and assuming the 2010 population and demography; (c) as for (b) but for the 2090 population and demography under the SSP2 population scenario; (d) time-series of the change in the number of annual “heat-wave” exposure events for people over 65 with population and demographic change (red-line) and without population and demographic change (black-line). </w:t>
      </w:r>
    </w:p>
    <w:p w:rsidR="00533226" w:rsidRPr="001A7027" w:rsidRDefault="00533226" w:rsidP="00533226">
      <w:pPr>
        <w:jc w:val="both"/>
        <w:rPr>
          <w:rFonts w:ascii="Calibri" w:hAnsi="Calibri"/>
          <w:sz w:val="22"/>
          <w:szCs w:val="22"/>
        </w:rPr>
      </w:pPr>
    </w:p>
    <w:p w:rsidR="005C29E1" w:rsidRPr="004A6E9D" w:rsidRDefault="005C29E1" w:rsidP="005C29E1">
      <w:pPr>
        <w:jc w:val="both"/>
        <w:rPr>
          <w:rFonts w:ascii="Calibri" w:hAnsi="Calibri" w:cs="Times New Roman"/>
          <w:sz w:val="22"/>
          <w:szCs w:val="22"/>
        </w:rPr>
      </w:pPr>
      <w:r>
        <w:rPr>
          <w:rFonts w:ascii="Calibri" w:hAnsi="Calibri" w:cs="Times New Roman"/>
          <w:sz w:val="22"/>
          <w:szCs w:val="22"/>
        </w:rPr>
        <w:t>Heat also poses significant risks to occupational health and labour productivity in areas where people work outdoors for long hours in hot regions.</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&lt;EndNote&gt;&lt;Cite&gt;&lt;Author&gt;Kjellstrom&lt;/Author&gt;&lt;Year&gt;2009&lt;/Year&gt;&lt;RecNum&gt;1014&lt;/RecNum&gt;&lt;DisplayText&gt;&lt;style face="superscript"&gt;58&lt;/style&gt;&lt;/DisplayText&gt;&lt;record&gt;&lt;rec-number&gt;1014&lt;/rec-number&gt;&lt;foreign-keys&gt;&lt;key app="EN" db-id="wtftd20rmszxx0ettxy5exwdf90wv22s2dsf" timestamp="1419212983"&gt;1014&lt;/key&gt;&lt;/foreign-keys&gt;&lt;ref-type name="Journal Article"&gt;17&lt;/ref-type&gt;&lt;contributors&gt;&lt;authors&gt;&lt;author&gt;Kjellstrom, Tord&lt;/author&gt;&lt;author&gt;Holmer, Ingvar&lt;/author&gt;&lt;author&gt;Lemke, Bruno&lt;/author&gt;&lt;/authors&gt;&lt;/contributors&gt;&lt;titles&gt;&lt;title&gt;Workplace heat stress, health and productivity – an increasing challenge for low and middle-income countries during climate change&lt;/title&gt;&lt;secondary-title&gt;Global Health Action&lt;/secondary-title&gt;&lt;/titles&gt;&lt;periodical&gt;&lt;full-title&gt;Global Health Action&lt;/full-title&gt;&lt;/periodical&gt;&lt;volume&gt;2&lt;/volume&gt;&lt;dates&gt;&lt;year&gt;2009&lt;/year&gt;&lt;pub-dates&gt;&lt;date&gt;11/11&amp;#xD;07/14/received&amp;#xD;09/13/revised&amp;#xD;09/13/accepted&lt;/date&gt;&lt;/pub-dates&gt;&lt;/dates&gt;&lt;publisher&gt;CoAction Publishing&lt;/publisher&gt;&lt;isbn&gt;1654-9716&amp;#xD;1654-9880&lt;/isbn&gt;&lt;accession-num&gt;PMC2799237&lt;/accession-num&gt;&lt;urls&gt;&lt;related-urls&gt;&lt;url&gt;http://www.ncbi.nlm.nih.gov/pmc/articles/PMC2799237/&lt;/url&gt;&lt;/related-urls&gt;&lt;/urls&gt;&lt;electronic-resource-num&gt;10.3402/gha.v2i0.2047&lt;/electronic-resource-num&gt;&lt;remote-database-name&gt;PMC&lt;/remote-database-name&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58</w:t>
      </w:r>
      <w:r w:rsidR="00E13392">
        <w:rPr>
          <w:rFonts w:ascii="Calibri" w:hAnsi="Calibri" w:cs="Times New Roman"/>
          <w:sz w:val="22"/>
          <w:szCs w:val="22"/>
        </w:rPr>
        <w:fldChar w:fldCharType="end"/>
      </w:r>
      <w:r>
        <w:rPr>
          <w:rFonts w:ascii="Calibri" w:hAnsi="Calibri" w:cs="Times New Roman"/>
          <w:sz w:val="22"/>
          <w:szCs w:val="22"/>
        </w:rPr>
        <w:t xml:space="preserve"> </w:t>
      </w:r>
      <w:r w:rsidRPr="004349AE">
        <w:rPr>
          <w:rFonts w:ascii="Calibri" w:hAnsi="Calibri" w:cs="Times New Roman"/>
          <w:sz w:val="22"/>
          <w:szCs w:val="22"/>
        </w:rPr>
        <w:t>Heavy labour in hot humid environments is a particular health and economic risk to millions of working people and their families in hot tropical and sub-tropical parts of the world.</w:t>
      </w:r>
      <w:r w:rsidR="00E13392" w:rsidRPr="0042356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&lt;EndNote&gt;&lt;Cite&gt;&lt;Author&gt;Parsons&lt;/Author&gt;&lt;Year&gt;2014&lt;/Year&gt;&lt;RecNum&gt;1408&lt;/RecNum&gt;&lt;DisplayText&gt;&lt;style face="superscript"&gt;59&lt;/style&gt;&lt;/DisplayText&gt;&lt;record&gt;&lt;rec-number&gt;1408&lt;/rec-number&gt;&lt;foreign-keys&gt;&lt;key app="EN" db-id="wtftd20rmszxx0ettxy5exwdf90wv22s2dsf" timestamp="1419272139"&gt;1408&lt;/key&gt;&lt;/foreign-keys&gt;&lt;ref-type name="Book"&gt;6&lt;/ref-type&gt;&lt;contributors&gt;&lt;authors&gt;&lt;author&gt;K Parsons&lt;/author&gt;&lt;/authors&gt;&lt;/contributors&gt;&lt;titles&gt;&lt;title&gt;Human thermal environment: the effects of hot, moderate and cold temperatures on human health, comfort and performance&lt;/title&gt;&lt;/titles&gt;&lt;edition&gt;3rd&lt;/edition&gt;&lt;dates&gt;&lt;year&gt;2014&lt;/year&gt;&lt;/dates&gt;&lt;pub-location&gt;New York&lt;/pub-location&gt;&lt;publisher&gt;CRC Press&lt;/publisher&gt;&lt;urls&gt;&lt;/urls&gt;&lt;/record&gt;&lt;/Cite&gt;&lt;/EndNote&gt;</w:instrText>
      </w:r>
      <w:r w:rsidR="00E13392" w:rsidRPr="0042356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59</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These have been documented in young and middle age</w:t>
      </w:r>
      <w:r w:rsidR="00C0266B">
        <w:rPr>
          <w:rFonts w:ascii="Calibri" w:hAnsi="Calibri" w:cs="Times New Roman"/>
          <w:sz w:val="22"/>
          <w:szCs w:val="22"/>
        </w:rPr>
        <w:t>d</w:t>
      </w:r>
      <w:r w:rsidRPr="004349AE">
        <w:rPr>
          <w:rFonts w:ascii="Calibri" w:hAnsi="Calibri" w:cs="Times New Roman"/>
          <w:sz w:val="22"/>
          <w:szCs w:val="22"/>
        </w:rPr>
        <w:t xml:space="preserve"> men in France 2003,</w:t>
      </w:r>
      <w:r w:rsidR="00E13392" w:rsidRPr="0042356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&lt;EndNote&gt;&lt;Cite&gt;&lt;Author&gt;Hémon&lt;/Author&gt;&lt;Year&gt;2003&lt;/Year&gt;&lt;RecNum&gt;1407&lt;/RecNum&gt;&lt;DisplayText&gt;&lt;style face="superscript"&gt;60&lt;/style&gt;&lt;/DisplayText&gt;&lt;record&gt;&lt;rec-number&gt;1407&lt;/rec-number&gt;&lt;foreign-keys&gt;&lt;key app="EN" db-id="wtftd20rmszxx0ettxy5exwdf90wv22s2dsf" timestamp="1419272024"&gt;1407&lt;/key&gt;&lt;/foreign-keys&gt;&lt;ref-type name="Report"&gt;27&lt;/ref-type&gt;&lt;contributors&gt;&lt;authors&gt;&lt;author&gt;D Hémon&lt;/author&gt;&lt;author&gt;E Jougla&lt;/author&gt;&lt;/authors&gt;&lt;/contributors&gt;&lt;titles&gt;&lt;title&gt;Surmortalité liée à la Canicule d’Août 2003: Rapport d’Étape. Estimation de la Surmortalite et Principales Caracteristiques Epidemiologiques. Rapport remis au Ministre de la Santé, de la Famille et des Personnes Handicapées&lt;/title&gt;&lt;/titles&gt;&lt;dates&gt;&lt;year&gt;2003&lt;/year&gt;&lt;/dates&gt;&lt;pub-location&gt;Paris&lt;/pub-location&gt;&lt;publisher&gt;Institut National de la Santé et de la Recherche Médicale (INSERM)&lt;/publisher&gt;&lt;urls&gt;&lt;/urls&gt;&lt;/record&gt;&lt;/Cite&gt;&lt;/EndNote&gt;</w:instrText>
      </w:r>
      <w:r w:rsidR="00E13392" w:rsidRPr="0042356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60</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agricultural workers in the USA,</w:t>
      </w:r>
      <w:r w:rsidR="00E13392" w:rsidRPr="0042356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&lt;EndNote&gt;&lt;Cite&gt;&lt;Author&gt;Center for Disease Control and Prevention (CDC)&lt;/Author&gt;&lt;Year&gt;2008&lt;/Year&gt;&lt;RecNum&gt;1309&lt;/RecNum&gt;&lt;DisplayText&gt;&lt;style face="superscript"&gt;61&lt;/style&gt;&lt;/DisplayText&gt;&lt;record&gt;&lt;rec-number&gt;1309&lt;/rec-number&gt;&lt;foreign-keys&gt;&lt;key app="EN" db-id="wtftd20rmszxx0ettxy5exwdf90wv22s2dsf" timestamp="1419212983"&gt;1309&lt;/key&gt;&lt;/foreign-keys&gt;&lt;ref-type name="Journal Article"&gt;17&lt;/ref-type&gt;&lt;contributors&gt;&lt;authors&gt;&lt;author&gt;Center for Disease Control and Prevention (CDC),&lt;/author&gt;&lt;/authors&gt;&lt;/contributors&gt;&lt;titles&gt;&lt;title&gt;Heat-related deaths among crop workers - United States, 1992-2006&lt;/title&gt;&lt;secondary-title&gt;MMWR Weekly&lt;/secondary-title&gt;&lt;/titles&gt;&lt;periodical&gt;&lt;full-title&gt;MMWR Weekly&lt;/full-title&gt;&lt;/periodical&gt;&lt;pages&gt;649-653&lt;/pages&gt;&lt;volume&gt;57&lt;/volume&gt;&lt;number&gt;24&lt;/number&gt;&lt;dates&gt;&lt;year&gt;2008&lt;/year&gt;&lt;/dates&gt;&lt;urls&gt;&lt;/urls&gt;&lt;/record&gt;&lt;/Cite&gt;&lt;/EndNote&gt;</w:instrText>
      </w:r>
      <w:r w:rsidR="00E13392" w:rsidRPr="0042356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61</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w:t>
      </w:r>
      <w:r w:rsidR="00D37638">
        <w:rPr>
          <w:rFonts w:ascii="Calibri" w:hAnsi="Calibri" w:cs="Times New Roman"/>
          <w:sz w:val="22"/>
          <w:szCs w:val="22"/>
        </w:rPr>
        <w:t xml:space="preserve">and </w:t>
      </w:r>
      <w:r w:rsidRPr="004349AE">
        <w:rPr>
          <w:rFonts w:ascii="Calibri" w:hAnsi="Calibri" w:cs="Times New Roman"/>
          <w:sz w:val="22"/>
          <w:szCs w:val="22"/>
        </w:rPr>
        <w:t>sugar cane harvesters in Central America</w:t>
      </w:r>
      <w:r w:rsidR="00D37638">
        <w:rPr>
          <w:rFonts w:ascii="Calibri" w:hAnsi="Calibri" w:cs="Times New Roman"/>
          <w:sz w:val="22"/>
          <w:szCs w:val="22"/>
        </w:rPr>
        <w:t>.</w:t>
      </w:r>
      <w:r w:rsidR="00E13392" w:rsidRPr="0042356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&lt;EndNote&gt;&lt;Cite&gt;&lt;Author&gt;Wesseling&lt;/Author&gt;&lt;Year&gt;2013&lt;/Year&gt;&lt;RecNum&gt;1409&lt;/RecNum&gt;&lt;DisplayText&gt;&lt;style face="superscript"&gt;62&lt;/style&gt;&lt;/DisplayText&gt;&lt;record&gt;&lt;rec-number&gt;1409&lt;/rec-number&gt;&lt;foreign-keys&gt;&lt;key app="EN" db-id="wtftd20rmszxx0ettxy5exwdf90wv22s2dsf" timestamp="1419272415"&gt;1409&lt;/key&gt;&lt;/foreign-keys&gt;&lt;ref-type name="Journal Article"&gt;17&lt;/ref-type&gt;&lt;contributors&gt;&lt;authors&gt;&lt;author&gt;C Wesseling&lt;/author&gt;&lt;author&gt;J Crowe&lt;/author&gt;&lt;author&gt;C Hogstedt&lt;/author&gt;&lt;author&gt;K Jacobsson&lt;/author&gt;&lt;author&gt;R Lucas&lt;/author&gt;&lt;author&gt;DH Wegman&lt;/author&gt;&lt;/authors&gt;&lt;/contributors&gt;&lt;titles&gt;&lt;title&gt;Resolving the Enigma of the Mesoamerican Nephropathy: A Research Workshop Summary&lt;/title&gt;&lt;secondary-title&gt;American Journal of Kidney Diseases&lt;/secondary-title&gt;&lt;/titles&gt;&lt;periodical&gt;&lt;full-title&gt;American Journal of Kidney Diseases&lt;/full-title&gt;&lt;/periodical&gt;&lt;pages&gt;396-404&lt;/pages&gt;&lt;volume&gt;63&lt;/volume&gt;&lt;number&gt;3&lt;/number&gt;&lt;dates&gt;&lt;year&gt;2013&lt;/year&gt;&lt;/dates&gt;&lt;urls&gt;&lt;/urls&gt;&lt;/record&gt;&lt;/Cite&gt;&lt;/EndNote&gt;</w:instrText>
      </w:r>
      <w:r w:rsidR="00E13392" w:rsidRPr="0042356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62</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The Climate Vulnerability Monitor 2012 estimated the annual costs in China and India at 450 billion USD in 2030.</w:t>
      </w:r>
      <w:r w:rsidR="00E13392" w:rsidRPr="0042356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&lt;EndNote&gt;&lt;Cite&gt;&lt;Author&gt;DARA&lt;/Author&gt;&lt;Year&gt;2012&lt;/Year&gt;&lt;RecNum&gt;1302&lt;/RecNum&gt;&lt;DisplayText&gt;&lt;style face="superscript"&gt;63&lt;/style&gt;&lt;/DisplayText&gt;&lt;record&gt;&lt;rec-number&gt;1302&lt;/rec-number&gt;&lt;foreign-keys&gt;&lt;key app="EN" db-id="wtftd20rmszxx0ettxy5exwdf90wv22s2dsf" timestamp="1419212983"&gt;1302&lt;/key&gt;&lt;/foreign-keys&gt;&lt;ref-type name="Report"&gt;27&lt;/ref-type&gt;&lt;contributors&gt;&lt;authors&gt;&lt;author&gt;DARA and the Climate Vulnerability Forum,&lt;/author&gt;&lt;/authors&gt;&lt;/contributors&gt;&lt;titles&gt;&lt;title&gt;Climate vulnerability monitor 2012: A guide to the cold calculus of a hot planets&lt;/title&gt;&lt;/titles&gt;&lt;pages&gt;250&lt;/pages&gt;&lt;edition&gt;2&lt;/edition&gt;&lt;dates&gt;&lt;year&gt;2012&lt;/year&gt;&lt;/dates&gt;&lt;pub-location&gt;Barcelona&lt;/pub-location&gt;&lt;publisher&gt;Fundacion DARA Internacional&lt;/publisher&gt;&lt;urls&gt;&lt;/urls&gt;&lt;/record&gt;&lt;/Cite&gt;&lt;/EndNote&gt;</w:instrText>
      </w:r>
      <w:r w:rsidR="00E13392" w:rsidRPr="0042356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63</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The percentage of GDP losses due to increasing workplace heat is greater than the current spending on health systems in many low and middle income countries.</w:t>
      </w:r>
      <w:r w:rsidR="00E13392" w:rsidRPr="0042356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&lt;EndNote&gt;&lt;Cite&gt;&lt;Author&gt;Programme&lt;/Author&gt;&lt;Year&gt;2011&lt;/Year&gt;&lt;RecNum&gt;1412&lt;/RecNum&gt;&lt;DisplayText&gt;&lt;style face="superscript"&gt;64&lt;/style&gt;&lt;/DisplayText&gt;&lt;record&gt;&lt;rec-number&gt;1412&lt;/rec-number&gt;&lt;foreign-keys&gt;&lt;key app="EN" db-id="wtftd20rmszxx0ettxy5exwdf90wv22s2dsf" timestamp="1419273473"&gt;1412&lt;/key&gt;&lt;/foreign-keys&gt;&lt;ref-type name="Report"&gt;27&lt;/ref-type&gt;&lt;contributors&gt;&lt;authors&gt;&lt;author&gt;United Nations Development Programme,&lt;/author&gt;&lt;/authors&gt;&lt;/contributors&gt;&lt;titles&gt;&lt;title&gt;Human Development Report 2011. Sustainability and Equity: A Better Future for All&lt;/title&gt;&lt;/titles&gt;&lt;dates&gt;&lt;year&gt;2011&lt;/year&gt;&lt;/dates&gt;&lt;pub-location&gt;London&lt;/pub-location&gt;&lt;urls&gt;&lt;/urls&gt;&lt;/record&gt;&lt;/Cite&gt;&lt;/EndNote&gt;</w:instrText>
      </w:r>
      <w:r w:rsidR="00E13392" w:rsidRPr="0042356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64</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w:t>
      </w:r>
    </w:p>
    <w:p w:rsidR="005C29E1" w:rsidRDefault="005C29E1" w:rsidP="005C29E1">
      <w:pPr>
        <w:jc w:val="both"/>
        <w:rPr>
          <w:rFonts w:ascii="Calibri" w:hAnsi="Calibri" w:cs="Times New Roman"/>
          <w:sz w:val="22"/>
          <w:szCs w:val="22"/>
        </w:rPr>
      </w:pPr>
    </w:p>
    <w:p w:rsidR="005C29E1" w:rsidRDefault="005C29E1" w:rsidP="005C29E1">
      <w:pPr>
        <w:jc w:val="both"/>
        <w:rPr>
          <w:rFonts w:ascii="Calibri" w:hAnsi="Calibri" w:cs="Times New Roman"/>
          <w:sz w:val="22"/>
          <w:szCs w:val="22"/>
        </w:rPr>
      </w:pPr>
      <w:r>
        <w:rPr>
          <w:rFonts w:ascii="Calibri" w:hAnsi="Calibri" w:cs="Times New Roman"/>
          <w:sz w:val="22"/>
          <w:szCs w:val="22"/>
        </w:rPr>
        <w:t>Impacts of heat on labour productivity will be compounded in cities by increased urbanisation and the corresponding heat island effect, but will also be offset by reductions in populations working outdoors in sectors (e.g. construction and agriculture).</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&lt;EndNote&gt;&lt;Cite&gt;&lt;Author&gt;Patz&lt;/Author&gt;&lt;Year&gt;2005&lt;/Year&gt;&lt;RecNum&gt;1033&lt;/RecNum&gt;&lt;DisplayText&gt;&lt;style face="superscript"&gt;38&lt;/style&gt;&lt;/DisplayText&gt;&lt;record&gt;&lt;rec-number&gt;1033&lt;/rec-number&gt;&lt;foreign-keys&gt;&lt;key app="EN" db-id="wtftd20rmszxx0ettxy5exwdf90wv22s2dsf" timestamp="1419212983"&gt;1033&lt;/key&gt;&lt;/foreign-keys&gt;&lt;ref-type name="Journal Article"&gt;17&lt;/ref-type&gt;&lt;contributors&gt;&lt;authors&gt;&lt;author&gt;Patz, Jonathan A.&lt;/author&gt;&lt;author&gt;Campbell-Lendrum, Diarmid&lt;/author&gt;&lt;author&gt;Holloway, Tracey&lt;/author&gt;&lt;author&gt;Foley, Jonathan A.&lt;/author&gt;&lt;/authors&gt;&lt;/contributors&gt;&lt;titles&gt;&lt;title&gt;Impact of regional climate change on human health&lt;/title&gt;&lt;secondary-title&gt;Nature&lt;/secondary-title&gt;&lt;/titles&gt;&lt;periodical&gt;&lt;full-title&gt;Nature&lt;/full-title&gt;&lt;/periodical&gt;&lt;pages&gt;310-317&lt;/pages&gt;&lt;volume&gt;438&lt;/volume&gt;&lt;number&gt;7066&lt;/number&gt;&lt;dates&gt;&lt;year&gt;2005&lt;/year&gt;&lt;pub-dates&gt;&lt;date&gt;11/17/print&lt;/date&gt;&lt;/pub-dates&gt;&lt;/dates&gt;&lt;publisher&gt;Nature Publishing Group&lt;/publisher&gt;&lt;isbn&gt;0028-0836&lt;/isbn&gt;&lt;work-type&gt;10.1038/nature04188&lt;/work-type&gt;&lt;urls&gt;&lt;related-urls&gt;&lt;url&gt;http://dx.doi.org/10.1038/nature04188&lt;/url&gt;&lt;/related-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38</w:t>
      </w:r>
      <w:r w:rsidR="00E13392">
        <w:rPr>
          <w:rFonts w:ascii="Calibri" w:hAnsi="Calibri" w:cs="Times New Roman"/>
          <w:sz w:val="22"/>
          <w:szCs w:val="22"/>
        </w:rPr>
        <w:fldChar w:fldCharType="end"/>
      </w:r>
      <w:r>
        <w:rPr>
          <w:rFonts w:ascii="Calibri" w:hAnsi="Calibri" w:cs="Times New Roman"/>
          <w:sz w:val="22"/>
          <w:szCs w:val="22"/>
        </w:rPr>
        <w:t xml:space="preserve"> Tolerance to any given temperature will be influenced by humidity, which alters the capacity for thermoregulation through the evaporation of sweat. These measures are combined in an index known as Wet Bulb Globe Temperature (WBGT), used to determine how long an individual can work before a break, with work capacity </w:t>
      </w:r>
      <w:r w:rsidR="00C0266B">
        <w:rPr>
          <w:rFonts w:ascii="Calibri" w:hAnsi="Calibri" w:cs="Times New Roman"/>
          <w:sz w:val="22"/>
          <w:szCs w:val="22"/>
        </w:rPr>
        <w:t xml:space="preserve">falling </w:t>
      </w:r>
      <w:r>
        <w:rPr>
          <w:rFonts w:ascii="Calibri" w:hAnsi="Calibri" w:cs="Times New Roman"/>
          <w:sz w:val="22"/>
          <w:szCs w:val="22"/>
        </w:rPr>
        <w:t>dramatically after WBGT 26-30°C.</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&lt;EndNote&gt;&lt;Cite&gt;&lt;Author&gt;Kjellstrom&lt;/Author&gt;&lt;Year&gt;2009&lt;/Year&gt;&lt;RecNum&gt;1014&lt;/RecNum&gt;&lt;DisplayText&gt;&lt;style face="superscript"&gt;58&lt;/style&gt;&lt;/DisplayText&gt;&lt;record&gt;&lt;rec-number&gt;1014&lt;/rec-number&gt;&lt;foreign-keys&gt;&lt;key app="EN" db-id="wtftd20rmszxx0ettxy5exwdf90wv22s2dsf" timestamp="1419212983"&gt;1014&lt;/key&gt;&lt;/foreign-keys&gt;&lt;ref-type name="Journal Article"&gt;17&lt;/ref-type&gt;&lt;contributors&gt;&lt;authors&gt;&lt;author&gt;Kjellstrom, Tord&lt;/author&gt;&lt;author&gt;Holmer, Ingvar&lt;/author&gt;&lt;author&gt;Lemke, Bruno&lt;/author&gt;&lt;/authors&gt;&lt;/contributors&gt;&lt;titles&gt;&lt;title&gt;Workplace heat stress, health and productivity – an increasing challenge for low and middle-income countries during climate change&lt;/title&gt;&lt;secondary-title&gt;Global Health Action&lt;/secondary-title&gt;&lt;/titles&gt;&lt;periodical&gt;&lt;full-title&gt;Global Health Action&lt;/full-title&gt;&lt;/periodical&gt;&lt;volume&gt;2&lt;/volume&gt;&lt;dates&gt;&lt;year&gt;2009&lt;/year&gt;&lt;pub-dates&gt;&lt;date&gt;11/11&amp;#xD;07/14/received&amp;#xD;09/13/revised&amp;#xD;09/13/accepted&lt;/date&gt;&lt;/pub-dates&gt;&lt;/dates&gt;&lt;publisher&gt;CoAction Publishing&lt;/publisher&gt;&lt;isbn&gt;1654-9716&amp;#xD;1654-9880&lt;/isbn&gt;&lt;accession-num&gt;PMC2799237&lt;/accession-num&gt;&lt;urls&gt;&lt;related-urls&gt;&lt;url&gt;http://www.ncbi.nlm.nih.gov/pmc/articles/PMC2799237/&lt;/url&gt;&lt;/related-urls&gt;&lt;/urls&gt;&lt;electronic-resource-num&gt;10.3402/gha.v2i0.2047&lt;/electronic-resource-num&gt;&lt;remote-database-name&gt;PMC&lt;/remote-database-name&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58</w:t>
      </w:r>
      <w:r w:rsidR="00E13392">
        <w:rPr>
          <w:rFonts w:ascii="Calibri" w:hAnsi="Calibri" w:cs="Times New Roman"/>
          <w:sz w:val="22"/>
          <w:szCs w:val="22"/>
        </w:rPr>
        <w:fldChar w:fldCharType="end"/>
      </w:r>
    </w:p>
    <w:p w:rsidR="005C29E1" w:rsidRDefault="005C29E1" w:rsidP="005C29E1">
      <w:pPr>
        <w:jc w:val="both"/>
        <w:rPr>
          <w:rFonts w:ascii="Calibri" w:hAnsi="Calibri" w:cs="Times New Roman"/>
          <w:sz w:val="22"/>
          <w:szCs w:val="22"/>
        </w:rPr>
      </w:pPr>
    </w:p>
    <w:p w:rsidR="005C29E1" w:rsidRDefault="005C29E1" w:rsidP="005C29E1">
      <w:pPr>
        <w:jc w:val="both"/>
        <w:rPr>
          <w:rFonts w:ascii="Calibri" w:hAnsi="Calibri" w:cs="Times New Roman"/>
          <w:sz w:val="22"/>
          <w:szCs w:val="22"/>
        </w:rPr>
      </w:pPr>
      <w:r>
        <w:rPr>
          <w:rFonts w:ascii="Calibri" w:hAnsi="Calibri" w:cs="Times New Roman"/>
          <w:sz w:val="22"/>
          <w:szCs w:val="22"/>
        </w:rPr>
        <w:t>Using projections from RCP8.5 and SSP2, Figure 2.4 estimates the extent of lost labour productivity (based on the response function between temperature and productivity used by Dunne et al. (2012)</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&lt;EndNote&gt;&lt;Cite&gt;&lt;Author&gt;Dunne&lt;/Author&gt;&lt;Year&gt;2013&lt;/Year&gt;&lt;RecNum&gt;1009&lt;/RecNum&gt;&lt;DisplayText&gt;&lt;style face="superscript"&gt;65&lt;/style&gt;&lt;/DisplayText&gt;&lt;record&gt;&lt;rec-number&gt;1009&lt;/rec-number&gt;&lt;foreign-keys&gt;&lt;key app="EN" db-id="wtftd20rmszxx0ettxy5exwdf90wv22s2dsf" timestamp="1419212983"&gt;1009&lt;/key&gt;&lt;/foreign-keys&gt;&lt;ref-type name="Journal Article"&gt;17&lt;/ref-type&gt;&lt;contributors&gt;&lt;authors&gt;&lt;author&gt;Dunne, John P.&lt;/author&gt;&lt;author&gt;Stouffer, Ronald J.&lt;/author&gt;&lt;author&gt;John, Jasmin G.&lt;/author&gt;&lt;/authors&gt;&lt;/contributors&gt;&lt;titles&gt;&lt;title&gt;Reductions in labour capacity from heat stress under climate warming&lt;/title&gt;&lt;secondary-title&gt;Nature Clim. Change&lt;/secondary-title&gt;&lt;/titles&gt;&lt;periodical&gt;&lt;full-title&gt;Nature Clim. Change&lt;/full-title&gt;&lt;/periodical&gt;&lt;pages&gt;563-566&lt;/pages&gt;&lt;volume&gt;3&lt;/volume&gt;&lt;number&gt;6&lt;/number&gt;&lt;dates&gt;&lt;year&gt;2013&lt;/year&gt;&lt;pub-dates&gt;&lt;date&gt;06//print&lt;/date&gt;&lt;/pub-dates&gt;&lt;/dates&gt;&lt;publisher&gt;Nature Publishing Group&lt;/publisher&gt;&lt;isbn&gt;1758-678X&lt;/isbn&gt;&lt;work-type&gt;Letter&lt;/work-type&gt;&lt;urls&gt;&lt;related-urls&gt;&lt;url&gt;http://dx.doi.org/10.1038/nclimate1827&lt;/url&gt;&lt;/related-urls&gt;&lt;/urls&gt;&lt;electronic-resource-num&gt;10.1038/nclimate1827&amp;#xD;http://www.nature.com/nclimate/journal/v3/n6/abs/nclimate1827.html#supplementary-information&lt;/electronic-resource-num&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65</w:t>
      </w:r>
      <w:r w:rsidR="00E13392">
        <w:rPr>
          <w:rFonts w:ascii="Calibri" w:hAnsi="Calibri" w:cs="Times New Roman"/>
          <w:sz w:val="22"/>
          <w:szCs w:val="22"/>
        </w:rPr>
        <w:fldChar w:fldCharType="end"/>
      </w:r>
      <w:r>
        <w:rPr>
          <w:rFonts w:ascii="Calibri" w:hAnsi="Calibri" w:cs="Times New Roman"/>
          <w:sz w:val="22"/>
          <w:szCs w:val="22"/>
        </w:rPr>
        <w:t xml:space="preserve">) across the coming decades, focusing on proportion of the labour force in rural and urban areas. Again the impact of climate change is greater in regions such as sub-Saharan Africa and India. But some trends offset the potential impact, including the trend towards employment in service and other sectors where exposure is reduced (assumed in the SSP2 used here) (see Figure 2.4c and 2.4d). As demographic trends towards urban settlement and secondary and tertiary sector employment progress, increasing urbanisation may reduce the negative impacts of warming on total outdoor labour productivity, depending on the population scenario (SSP2 in Figure 2.4d). </w:t>
      </w:r>
    </w:p>
    <w:p w:rsidR="005C29E1" w:rsidRDefault="005C29E1" w:rsidP="005C29E1">
      <w:pPr>
        <w:jc w:val="both"/>
        <w:rPr>
          <w:rFonts w:ascii="Calibri" w:hAnsi="Calibri" w:cs="Times New Roman"/>
          <w:b/>
          <w:sz w:val="20"/>
        </w:rPr>
      </w:pPr>
    </w:p>
    <w:p w:rsidR="00533226" w:rsidRPr="001C203A" w:rsidRDefault="005C29E1" w:rsidP="005C29E1">
      <w:pPr>
        <w:jc w:val="both"/>
        <w:rPr>
          <w:rFonts w:ascii="Calibri" w:hAnsi="Calibri" w:cs="Times New Roman"/>
          <w:sz w:val="22"/>
        </w:rPr>
      </w:pPr>
      <w:r>
        <w:rPr>
          <w:rFonts w:ascii="Calibri" w:hAnsi="Calibri" w:cs="Times New Roman"/>
          <w:sz w:val="22"/>
        </w:rPr>
        <w:t>Loss of agricultural productivity through impaired labour will be amplified by direct climate change impacts on crop and livestock production.</w:t>
      </w:r>
      <w:r w:rsidR="00E13392">
        <w:rPr>
          <w:rFonts w:ascii="Calibri" w:hAnsi="Calibri" w:cs="Times New Roman"/>
          <w:sz w:val="22"/>
        </w:rPr>
        <w:fldChar w:fldCharType="begin"/>
      </w:r>
      <w:r w:rsidR="00303C0E">
        <w:rPr>
          <w:rFonts w:ascii="Calibri" w:hAnsi="Calibri" w:cs="Times New Roman"/>
          <w:sz w:val="22"/>
        </w:rPr>
        <w:instrText xml:space="preserve"> ADDIN EN.CITE &lt;EndNote&gt;&lt;Cite&gt;&lt;Author&gt;Porter&lt;/Author&gt;&lt;Year&gt;2014&lt;/Year&gt;&lt;RecNum&gt;1286&lt;/RecNum&gt;&lt;DisplayText&gt;&lt;style face="superscript"&gt;66&lt;/style&gt;&lt;/DisplayText&gt;&lt;record&gt;&lt;rec-number&gt;1286&lt;/rec-number&gt;&lt;foreign-keys&gt;&lt;key app="EN" db-id="wtftd20rmszxx0ettxy5exwdf90wv22s2dsf" timestamp="1419212983"&gt;1286&lt;/key&gt;&lt;/foreign-keys&gt;&lt;ref-type name="Book Section"&gt;5&lt;/ref-type&gt;&lt;contributors&gt;&lt;authors&gt;&lt;author&gt;Porter, J.R., &lt;/author&gt;&lt;author&gt;L. Xie, &lt;/author&gt;&lt;author&gt;A.J. Challinor, &lt;/author&gt;&lt;author&gt;K. Cochrane, &lt;/author&gt;&lt;author&gt;S.M. Howden, &lt;/author&gt;&lt;author&gt;M.M. Iqbal, &lt;/author&gt;&lt;author&gt;D.B. Lobell, &lt;/author&gt;&lt;author&gt;M.I. Travasso,&lt;/author&gt;&lt;/authors&gt;&lt;secondary-authors&gt;&lt;author&gt;Field, C.B., V.R. Barros, D.J. Dokken, K.J. Mach, M.D. Mastrandrea, T.E. Bilir, M. Chatterjee, K.L. Ebi, Y.O. Estrada, R.C. Genova, B. Girma, E.S. Kissel, A.N. Levy, S. MacCracken, P.R. Mastrandrea, and L.L. White&lt;/author&gt;&lt;/secondary-authors&gt;&lt;/contributors&gt;&lt;titles&gt;&lt;title&gt;Food security and food production systems&lt;/title&gt;&lt;secondary-title&gt;Climate Change 2014: Impacts, Adaptation, and Vulnerability. Part A: Global and Sectoral Aspects. Contribution of Working Group II to the Fifth Assessment Report of the Intergovernmental Panel on Climate Change&lt;/secondary-title&gt;&lt;/titles&gt;&lt;pages&gt;485-533&lt;/pages&gt;&lt;dates&gt;&lt;year&gt;2014&lt;/year&gt;&lt;/dates&gt;&lt;pub-location&gt; Cambridge, United Kingdom and New York, NY, USA&lt;/pub-location&gt;&lt;publisher&gt;Cambridge University Press&lt;/publisher&gt;&lt;urls&gt;&lt;/urls&gt;&lt;/record&gt;&lt;/Cite&gt;&lt;/EndNote&gt;</w:instrText>
      </w:r>
      <w:r w:rsidR="00E13392">
        <w:rPr>
          <w:rFonts w:ascii="Calibri" w:hAnsi="Calibri" w:cs="Times New Roman"/>
          <w:sz w:val="22"/>
        </w:rPr>
        <w:fldChar w:fldCharType="separate"/>
      </w:r>
      <w:r w:rsidR="00303C0E" w:rsidRPr="00303C0E">
        <w:rPr>
          <w:rFonts w:ascii="Calibri" w:hAnsi="Calibri" w:cs="Times New Roman"/>
          <w:noProof/>
          <w:sz w:val="22"/>
          <w:vertAlign w:val="superscript"/>
        </w:rPr>
        <w:t>66</w:t>
      </w:r>
      <w:r w:rsidR="00E13392">
        <w:rPr>
          <w:rFonts w:ascii="Calibri" w:hAnsi="Calibri" w:cs="Times New Roman"/>
          <w:sz w:val="22"/>
        </w:rPr>
        <w:fldChar w:fldCharType="end"/>
      </w:r>
      <w:r>
        <w:rPr>
          <w:rFonts w:ascii="Calibri" w:hAnsi="Calibri" w:cs="Times New Roman"/>
          <w:sz w:val="22"/>
        </w:rPr>
        <w:t xml:space="preserve"> The impact of increasing temperatures on labour productivity can be mitigated, for example, by the use of air conditioning or by altering working hours. However, these actions are predicated on affordability, infrastructure, the suitability of a job to night-labour, and energy availability.</w:t>
      </w:r>
      <w:r w:rsidR="00E13392">
        <w:rPr>
          <w:rFonts w:ascii="Calibri" w:hAnsi="Calibri" w:cs="Times New Roman"/>
          <w:sz w:val="22"/>
        </w:rPr>
        <w:fldChar w:fldCharType="begin"/>
      </w:r>
      <w:r w:rsidR="00303C0E">
        <w:rPr>
          <w:rFonts w:ascii="Calibri" w:hAnsi="Calibri" w:cs="Times New Roman"/>
          <w:sz w:val="22"/>
        </w:rPr>
        <w:instrText xml:space="preserve"> ADDIN EN.CITE &lt;EndNote&gt;&lt;Cite&gt;&lt;Author&gt;Sherwood&lt;/Author&gt;&lt;Year&gt;2010&lt;/Year&gt;&lt;RecNum&gt;1038&lt;/RecNum&gt;&lt;DisplayText&gt;&lt;style face="superscript"&gt;67&lt;/style&gt;&lt;/DisplayText&gt;&lt;record&gt;&lt;rec-number&gt;1038&lt;/rec-number&gt;&lt;foreign-keys&gt;&lt;key app="EN" db-id="wtftd20rmszxx0ettxy5exwdf90wv22s2dsf" timestamp="1419212983"&gt;1038&lt;/key&gt;&lt;/foreign-keys&gt;&lt;ref-type name="Journal Article"&gt;17&lt;/ref-type&gt;&lt;contributors&gt;&lt;authors&gt;&lt;author&gt;Sherwood, Steven C.&lt;/author&gt;&lt;author&gt;Huber, Matthew&lt;/author&gt;&lt;/authors&gt;&lt;/contributors&gt;&lt;titles&gt;&lt;title&gt;An adaptability limit to climate change due to heat stress&lt;/title&gt;&lt;secondary-title&gt;Proceedings of the National Academy of Sciences&lt;/secondary-title&gt;&lt;/titles&gt;&lt;periodical&gt;&lt;full-title&gt;Proceedings of the National Academy of Sciences&lt;/full-title&gt;&lt;/periodical&gt;&lt;pages&gt;9552-9555&lt;/pages&gt;&lt;volume&gt;107&lt;/volume&gt;&lt;number&gt;21&lt;/number&gt;&lt;dates&gt;&lt;year&gt;2010&lt;/year&gt;&lt;pub-dates&gt;&lt;date&gt;May 25, 2010&lt;/date&gt;&lt;/pub-dates&gt;&lt;/dates&gt;&lt;urls&gt;&lt;related-urls&gt;&lt;url&gt;http://www.pnas.org/content/107/21/9552.abstract&lt;/url&gt;&lt;/related-urls&gt;&lt;/urls&gt;&lt;electronic-resource-num&gt;10.1073/pnas.0913352107&lt;/electronic-resource-num&gt;&lt;/record&gt;&lt;/Cite&gt;&lt;/EndNote&gt;</w:instrText>
      </w:r>
      <w:r w:rsidR="00E13392">
        <w:rPr>
          <w:rFonts w:ascii="Calibri" w:hAnsi="Calibri" w:cs="Times New Roman"/>
          <w:sz w:val="22"/>
        </w:rPr>
        <w:fldChar w:fldCharType="separate"/>
      </w:r>
      <w:r w:rsidR="00303C0E" w:rsidRPr="00303C0E">
        <w:rPr>
          <w:rFonts w:ascii="Calibri" w:hAnsi="Calibri" w:cs="Times New Roman"/>
          <w:noProof/>
          <w:sz w:val="22"/>
          <w:vertAlign w:val="superscript"/>
        </w:rPr>
        <w:t>67</w:t>
      </w:r>
      <w:r w:rsidR="00E13392">
        <w:rPr>
          <w:rFonts w:ascii="Calibri" w:hAnsi="Calibri" w:cs="Times New Roman"/>
          <w:sz w:val="22"/>
        </w:rPr>
        <w:fldChar w:fldCharType="end"/>
      </w:r>
      <w:r>
        <w:rPr>
          <w:rFonts w:ascii="Calibri" w:hAnsi="Calibri" w:cs="Times New Roman"/>
          <w:sz w:val="22"/>
        </w:rPr>
        <w:t xml:space="preserve"> </w:t>
      </w:r>
    </w:p>
    <w:p w:rsidR="00533226" w:rsidRDefault="00533226" w:rsidP="001A7027">
      <w:pPr>
        <w:jc w:val="both"/>
        <w:rPr>
          <w:rFonts w:ascii="Calibri" w:hAnsi="Calibri"/>
        </w:rPr>
      </w:pPr>
    </w:p>
    <w:p w:rsidR="002F32D9" w:rsidRPr="002F32D9" w:rsidRDefault="002F32D9" w:rsidP="002F32D9">
      <w:pPr>
        <w:spacing w:after="240" w:line="259" w:lineRule="auto"/>
        <w:jc w:val="both"/>
        <w:rPr>
          <w:rFonts w:ascii="Calibri" w:eastAsiaTheme="minorHAnsi" w:hAnsi="Calibri"/>
          <w:sz w:val="22"/>
          <w:szCs w:val="22"/>
          <w:lang w:val="en-AU" w:eastAsia="en-US"/>
        </w:rPr>
      </w:pPr>
      <w:r w:rsidRPr="002F32D9">
        <w:rPr>
          <w:rFonts w:eastAsiaTheme="minorHAnsi"/>
          <w:noProof/>
          <w:sz w:val="22"/>
          <w:szCs w:val="22"/>
          <w:lang w:val="en-GB" w:eastAsia="en-GB"/>
        </w:rPr>
        <w:lastRenderedPageBreak/>
        <w:drawing>
          <wp:inline distT="0" distB="0" distL="0" distR="0">
            <wp:extent cx="5731510" cy="42170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31510" cy="4217035"/>
                    </a:xfrm>
                    <a:prstGeom prst="rect">
                      <a:avLst/>
                    </a:prstGeom>
                  </pic:spPr>
                </pic:pic>
              </a:graphicData>
            </a:graphic>
          </wp:inline>
        </w:drawing>
      </w:r>
    </w:p>
    <w:p w:rsidR="002F32D9" w:rsidRPr="002F32D9" w:rsidRDefault="002F32D9" w:rsidP="002F32D9">
      <w:pPr>
        <w:spacing w:after="240" w:line="259" w:lineRule="auto"/>
        <w:jc w:val="both"/>
        <w:rPr>
          <w:rFonts w:ascii="Calibri" w:eastAsiaTheme="minorHAnsi" w:hAnsi="Calibri"/>
          <w:sz w:val="22"/>
          <w:szCs w:val="22"/>
          <w:lang w:val="en-AU" w:eastAsia="en-US"/>
        </w:rPr>
      </w:pPr>
      <w:r w:rsidRPr="002F32D9">
        <w:rPr>
          <w:rFonts w:ascii="Calibri" w:eastAsiaTheme="minorHAnsi" w:hAnsi="Calibri" w:cs="Times New Roman"/>
          <w:i/>
          <w:sz w:val="20"/>
          <w:szCs w:val="22"/>
          <w:lang w:val="en-AU" w:eastAsia="en-US"/>
        </w:rPr>
        <w:t>Figure 2.4:</w:t>
      </w:r>
      <w:r w:rsidRPr="002F32D9">
        <w:rPr>
          <w:rFonts w:ascii="Calibri" w:eastAsiaTheme="minorHAnsi" w:hAnsi="Calibri" w:cs="Times New Roman"/>
          <w:sz w:val="20"/>
          <w:szCs w:val="22"/>
          <w:lang w:val="en-AU" w:eastAsia="en-US"/>
        </w:rPr>
        <w:t xml:space="preserve"> Change in Outdoor Labour Productivity resulting from projections of 21st century climate and rural population change. (a) Change in summer mean (Northern Hemisphere, June-August, Southern Hemisphere, December-February) “Wet-Bulb Globe Temperature” for the RCP 8.5 scenario. (See Dunne et al., 2012, for the definition of the “Wet-Bulb Globe Temperature”);</w:t>
      </w:r>
      <w:r w:rsidR="00E13392" w:rsidRPr="002F32D9">
        <w:rPr>
          <w:rFonts w:ascii="Calibri" w:eastAsiaTheme="minorHAnsi" w:hAnsi="Calibri" w:cs="Times New Roman"/>
          <w:sz w:val="20"/>
          <w:szCs w:val="22"/>
          <w:lang w:val="en-AU" w:eastAsia="en-US"/>
        </w:rPr>
        <w:fldChar w:fldCharType="begin"/>
      </w:r>
      <w:r>
        <w:rPr>
          <w:rFonts w:ascii="Calibri" w:eastAsiaTheme="minorHAnsi" w:hAnsi="Calibri" w:cs="Times New Roman"/>
          <w:sz w:val="20"/>
          <w:szCs w:val="22"/>
          <w:lang w:val="en-AU" w:eastAsia="en-US"/>
        </w:rPr>
        <w:instrText xml:space="preserve"> ADDIN EN.CITE &lt;EndNote&gt;&lt;Cite&gt;&lt;Author&gt;Dunne&lt;/Author&gt;&lt;Year&gt;2013&lt;/Year&gt;&lt;RecNum&gt;1009&lt;/RecNum&gt;&lt;DisplayText&gt;&lt;style face="superscript"&gt;65&lt;/style&gt;&lt;/DisplayText&gt;&lt;record&gt;&lt;rec-number&gt;1009&lt;/rec-number&gt;&lt;foreign-keys&gt;&lt;key app="EN" db-id="wtftd20rmszxx0ettxy5exwdf90wv22s2dsf" timestamp="1419212983"&gt;1009&lt;/key&gt;&lt;/foreign-keys&gt;&lt;ref-type name="Journal Article"&gt;17&lt;/ref-type&gt;&lt;contributors&gt;&lt;authors&gt;&lt;author&gt;Dunne, John P.&lt;/author&gt;&lt;author&gt;Stouffer, Ronald J.&lt;/author&gt;&lt;author&gt;John, Jasmin G.&lt;/author&gt;&lt;/authors&gt;&lt;/contributors&gt;&lt;titles&gt;&lt;title&gt;Reductions in labour capacity from heat stress under climate warming&lt;/title&gt;&lt;secondary-title&gt;Nature Clim. Change&lt;/secondary-title&gt;&lt;/titles&gt;&lt;periodical&gt;&lt;full-title&gt;Nature Clim. Change&lt;/full-title&gt;&lt;/periodical&gt;&lt;pages&gt;563-566&lt;/pages&gt;&lt;volume&gt;3&lt;/volume&gt;&lt;number&gt;6&lt;/number&gt;&lt;dates&gt;&lt;year&gt;2013&lt;/year&gt;&lt;pub-dates&gt;&lt;date&gt;06//print&lt;/date&gt;&lt;/pub-dates&gt;&lt;/dates&gt;&lt;publisher&gt;Nature Publishing Group&lt;/publisher&gt;&lt;isbn&gt;1758-678X&lt;/isbn&gt;&lt;work-type&gt;Letter&lt;/work-type&gt;&lt;urls&gt;&lt;related-urls&gt;&lt;url&gt;http://dx.doi.org/10.1038/nclimate1827&lt;/url&gt;&lt;/related-urls&gt;&lt;/urls&gt;&lt;electronic-resource-num&gt;10.1038/nclimate1827&amp;#xD;http://www.nature.com/nclimate/journal/v3/n6/abs/nclimate1827.html#supplementary-information&lt;/electronic-resource-num&gt;&lt;/record&gt;&lt;/Cite&gt;&lt;/EndNote&gt;</w:instrText>
      </w:r>
      <w:r w:rsidR="00E13392" w:rsidRPr="002F32D9">
        <w:rPr>
          <w:rFonts w:ascii="Calibri" w:eastAsiaTheme="minorHAnsi" w:hAnsi="Calibri" w:cs="Times New Roman"/>
          <w:sz w:val="20"/>
          <w:szCs w:val="22"/>
          <w:lang w:val="en-AU" w:eastAsia="en-US"/>
        </w:rPr>
        <w:fldChar w:fldCharType="separate"/>
      </w:r>
      <w:r w:rsidRPr="002F32D9">
        <w:rPr>
          <w:rFonts w:ascii="Calibri" w:eastAsiaTheme="minorHAnsi" w:hAnsi="Calibri" w:cs="Times New Roman"/>
          <w:noProof/>
          <w:sz w:val="20"/>
          <w:szCs w:val="22"/>
          <w:vertAlign w:val="superscript"/>
          <w:lang w:val="en-AU" w:eastAsia="en-US"/>
        </w:rPr>
        <w:t>65</w:t>
      </w:r>
      <w:r w:rsidR="00E13392" w:rsidRPr="002F32D9">
        <w:rPr>
          <w:rFonts w:ascii="Calibri" w:eastAsiaTheme="minorHAnsi" w:hAnsi="Calibri" w:cs="Times New Roman"/>
          <w:sz w:val="20"/>
          <w:szCs w:val="22"/>
          <w:lang w:val="en-AU" w:eastAsia="en-US"/>
        </w:rPr>
        <w:fldChar w:fldCharType="end"/>
      </w:r>
      <w:r w:rsidRPr="002F32D9">
        <w:rPr>
          <w:rFonts w:ascii="Calibri" w:eastAsiaTheme="minorHAnsi" w:hAnsi="Calibri" w:cs="Times New Roman"/>
          <w:sz w:val="20"/>
          <w:szCs w:val="22"/>
          <w:lang w:val="en-AU" w:eastAsia="en-US"/>
        </w:rPr>
        <w:t xml:space="preserve">  (b) annual loss of Outdoor Labour Productivity in person-years per km2 as a result of the climate change in (a) and assuming the 2010 rural population; (c) as for (b) but for the 2090 rural population under the SSP2 population scenario; (d) time-series of the annual Loss of Outdoor Labour (in millions of person-years) with rural population change (red-line) and without rural population change (black-line). </w:t>
      </w:r>
    </w:p>
    <w:p w:rsidR="001A7027" w:rsidRPr="005D0179" w:rsidRDefault="001A7027" w:rsidP="001A7027">
      <w:pPr>
        <w:jc w:val="both"/>
        <w:rPr>
          <w:rFonts w:ascii="Calibri" w:hAnsi="Calibri"/>
        </w:rPr>
      </w:pPr>
    </w:p>
    <w:p w:rsidR="005C29E1" w:rsidRPr="001A7027" w:rsidRDefault="00533226" w:rsidP="001A7027">
      <w:pPr>
        <w:pStyle w:val="Heading2"/>
      </w:pPr>
      <w:bookmarkStart w:id="30" w:name="_Toc278634746"/>
      <w:bookmarkStart w:id="31" w:name="_Toc415931373"/>
      <w:bookmarkStart w:id="32" w:name="_Toc417502038"/>
      <w:r w:rsidRPr="005D0179">
        <w:t xml:space="preserve">Indirect </w:t>
      </w:r>
      <w:r>
        <w:t xml:space="preserve">and </w:t>
      </w:r>
      <w:r w:rsidR="004A38FA">
        <w:t>C</w:t>
      </w:r>
      <w:r>
        <w:t xml:space="preserve">omplex </w:t>
      </w:r>
      <w:r w:rsidR="004A38FA">
        <w:t>M</w:t>
      </w:r>
      <w:r w:rsidR="004A38FA" w:rsidRPr="005D0179">
        <w:t xml:space="preserve">echanisms </w:t>
      </w:r>
      <w:r w:rsidR="004A38FA">
        <w:t>L</w:t>
      </w:r>
      <w:r w:rsidR="004A38FA" w:rsidRPr="005D0179">
        <w:t xml:space="preserve">inking </w:t>
      </w:r>
      <w:r w:rsidR="004A38FA">
        <w:t>C</w:t>
      </w:r>
      <w:r w:rsidR="004A38FA" w:rsidRPr="005D0179">
        <w:t xml:space="preserve">limate </w:t>
      </w:r>
      <w:r w:rsidR="004A38FA">
        <w:t>C</w:t>
      </w:r>
      <w:r w:rsidR="004A38FA" w:rsidRPr="005D0179">
        <w:t xml:space="preserve">hange </w:t>
      </w:r>
      <w:r w:rsidRPr="005D0179">
        <w:t xml:space="preserve">and </w:t>
      </w:r>
      <w:bookmarkEnd w:id="30"/>
      <w:r w:rsidR="004A38FA">
        <w:t>H</w:t>
      </w:r>
      <w:r w:rsidR="004A38FA" w:rsidRPr="005D0179">
        <w:t>ealth</w:t>
      </w:r>
      <w:bookmarkEnd w:id="31"/>
      <w:bookmarkEnd w:id="32"/>
    </w:p>
    <w:p w:rsidR="007601E4" w:rsidRDefault="007601E4" w:rsidP="007601E4">
      <w:pPr>
        <w:jc w:val="both"/>
        <w:rPr>
          <w:rFonts w:ascii="Calibri" w:hAnsi="Calibri" w:cs="Times New Roman"/>
          <w:sz w:val="22"/>
        </w:rPr>
      </w:pPr>
      <w:r>
        <w:rPr>
          <w:rFonts w:ascii="Calibri" w:hAnsi="Calibri" w:cs="Times New Roman"/>
          <w:sz w:val="22"/>
        </w:rPr>
        <w:t>Most climate-related health impacts are mediated through complex ecological and social processes. For risks associated with transmission vectors and water, for example, rising temperatures and changes in precipitation pattern alter the viable distribution of disease vectors such as mosquito</w:t>
      </w:r>
      <w:r w:rsidR="00863C0A">
        <w:rPr>
          <w:rFonts w:ascii="Calibri" w:hAnsi="Calibri" w:cs="Times New Roman"/>
          <w:sz w:val="22"/>
        </w:rPr>
        <w:t>e</w:t>
      </w:r>
      <w:r>
        <w:rPr>
          <w:rFonts w:ascii="Calibri" w:hAnsi="Calibri" w:cs="Times New Roman"/>
          <w:sz w:val="22"/>
        </w:rPr>
        <w:t>s carrying dengue or malaria.</w:t>
      </w:r>
      <w:r>
        <w:rPr>
          <w:rFonts w:ascii="Calibri" w:hAnsi="Calibri"/>
        </w:rPr>
        <w:t xml:space="preserve"> </w:t>
      </w:r>
      <w:r>
        <w:rPr>
          <w:rFonts w:ascii="Calibri" w:hAnsi="Calibri" w:cs="Times New Roman"/>
          <w:sz w:val="22"/>
        </w:rPr>
        <w:t>Climate conditions affect the range and reproductive rates of malarial mosquitos and also affect the life-cycle of the parasitic protozoa responsible for malaria. The links between climate change, vector populations and hence malarial range and incidence may become significant in areas where the temperature is currently the limiting factor, possibly increasing the incidence of a disease that causes 660,000 deaths per year.</w:t>
      </w:r>
      <w:r w:rsidR="00E13392">
        <w:rPr>
          <w:rFonts w:ascii="Calibri" w:hAnsi="Calibri" w:cs="Times New Roman"/>
          <w:sz w:val="22"/>
        </w:rPr>
        <w:fldChar w:fldCharType="begin"/>
      </w:r>
      <w:r w:rsidR="00303C0E">
        <w:rPr>
          <w:rFonts w:ascii="Calibri" w:hAnsi="Calibri" w:cs="Times New Roman"/>
          <w:sz w:val="22"/>
        </w:rPr>
        <w:instrText xml:space="preserve"> ADDIN EN.CITE &lt;EndNote&gt;&lt;Cite&gt;&lt;Author&gt;World Health Organization&lt;/Author&gt;&lt;Year&gt;2012&lt;/Year&gt;&lt;RecNum&gt;1067&lt;/RecNum&gt;&lt;DisplayText&gt;&lt;style face="superscript"&gt;68&lt;/style&gt;&lt;/DisplayText&gt;&lt;record&gt;&lt;rec-number&gt;1067&lt;/rec-number&gt;&lt;foreign-keys&gt;&lt;key app="EN" db-id="wtftd20rmszxx0ettxy5exwdf90wv22s2dsf" timestamp="1419212983"&gt;1067&lt;/key&gt;&lt;/foreign-keys&gt;&lt;ref-type name="Report"&gt;27&lt;/ref-type&gt;&lt;contributors&gt;&lt;authors&gt;&lt;author&gt;World Health Organization,&lt;/author&gt;&lt;/authors&gt;&lt;/contributors&gt;&lt;titles&gt;&lt;title&gt;World Malaria Report&lt;/title&gt;&lt;/titles&gt;&lt;dates&gt;&lt;year&gt;2012&lt;/year&gt;&lt;/dates&gt;&lt;pub-location&gt;Geneva&lt;/pub-location&gt;&lt;urls&gt;&lt;/urls&gt;&lt;/record&gt;&lt;/Cite&gt;&lt;/EndNote&gt;</w:instrText>
      </w:r>
      <w:r w:rsidR="00E13392">
        <w:rPr>
          <w:rFonts w:ascii="Calibri" w:hAnsi="Calibri" w:cs="Times New Roman"/>
          <w:sz w:val="22"/>
        </w:rPr>
        <w:fldChar w:fldCharType="separate"/>
      </w:r>
      <w:r w:rsidR="00303C0E" w:rsidRPr="00303C0E">
        <w:rPr>
          <w:rFonts w:ascii="Calibri" w:hAnsi="Calibri" w:cs="Times New Roman"/>
          <w:noProof/>
          <w:sz w:val="22"/>
          <w:vertAlign w:val="superscript"/>
        </w:rPr>
        <w:t>68</w:t>
      </w:r>
      <w:r w:rsidR="00E13392">
        <w:rPr>
          <w:rFonts w:ascii="Calibri" w:hAnsi="Calibri" w:cs="Times New Roman"/>
          <w:sz w:val="22"/>
        </w:rPr>
        <w:fldChar w:fldCharType="end"/>
      </w:r>
      <w:r>
        <w:rPr>
          <w:rFonts w:ascii="Calibri" w:hAnsi="Calibri" w:cs="Times New Roman"/>
          <w:sz w:val="22"/>
        </w:rPr>
        <w:t xml:space="preserve"> In some highland regions, malaria incidence has already been linked to warmer air temperatures although successful control measures in Africa have cut the incidence of malaria in recent decades, and there are long established successes of managing malaria risk in temperate countries including in southern US and </w:t>
      </w:r>
      <w:r w:rsidR="00863C0A">
        <w:rPr>
          <w:rFonts w:ascii="Calibri" w:hAnsi="Calibri" w:cs="Times New Roman"/>
          <w:sz w:val="22"/>
        </w:rPr>
        <w:t xml:space="preserve">in </w:t>
      </w:r>
      <w:r>
        <w:rPr>
          <w:rFonts w:ascii="Calibri" w:hAnsi="Calibri" w:cs="Times New Roman"/>
          <w:sz w:val="22"/>
        </w:rPr>
        <w:t>Europe.</w:t>
      </w:r>
      <w:r w:rsidR="00E13392">
        <w:rPr>
          <w:rFonts w:ascii="Calibri" w:hAnsi="Calibri" w:cs="Times New Roman"/>
          <w:sz w:val="22"/>
        </w:rPr>
        <w:fldChar w:fldCharType="begin">
          <w:fldData xml:space="preserve">PEVuZE5vdGU+PENpdGU+PEF1dGhvcj5OZHlvbXVneWVueWk8L0F1dGhvcj48WWVhcj4yMDA0PC9Z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=
</w:fldData>
        </w:fldChar>
      </w:r>
      <w:r w:rsidR="00723833">
        <w:rPr>
          <w:rFonts w:ascii="Calibri" w:hAnsi="Calibri" w:cs="Times New Roman"/>
          <w:sz w:val="22"/>
        </w:rPr>
        <w:instrText xml:space="preserve"> ADDIN EN.CITE </w:instrText>
      </w:r>
      <w:r w:rsidR="00E13392">
        <w:rPr>
          <w:rFonts w:ascii="Calibri" w:hAnsi="Calibri" w:cs="Times New Roman"/>
          <w:sz w:val="22"/>
        </w:rPr>
        <w:fldChar w:fldCharType="begin">
          <w:fldData xml:space="preserve">PEVuZE5vdGU+PENpdGU+PEF1dGhvcj5OZHlvbXVneWVueWk8L0F1dGhvcj48WWVhcj4yMDA0PC9Z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=
</w:fldData>
        </w:fldChar>
      </w:r>
      <w:r w:rsidR="00723833">
        <w:rPr>
          <w:rFonts w:ascii="Calibri" w:hAnsi="Calibri" w:cs="Times New Roman"/>
          <w:sz w:val="22"/>
        </w:rPr>
        <w:instrText xml:space="preserve"> ADDIN EN.CITE.DATA </w:instrText>
      </w:r>
      <w:r w:rsidR="00E13392">
        <w:rPr>
          <w:rFonts w:ascii="Calibri" w:hAnsi="Calibri" w:cs="Times New Roman"/>
          <w:sz w:val="22"/>
        </w:rPr>
      </w:r>
      <w:r w:rsidR="00E13392">
        <w:rPr>
          <w:rFonts w:ascii="Calibri" w:hAnsi="Calibri" w:cs="Times New Roman"/>
          <w:sz w:val="22"/>
        </w:rPr>
        <w:fldChar w:fldCharType="end"/>
      </w:r>
      <w:r w:rsidR="00E13392">
        <w:rPr>
          <w:rFonts w:ascii="Calibri" w:hAnsi="Calibri" w:cs="Times New Roman"/>
          <w:sz w:val="22"/>
        </w:rPr>
      </w:r>
      <w:r w:rsidR="00E13392">
        <w:rPr>
          <w:rFonts w:ascii="Calibri" w:hAnsi="Calibri" w:cs="Times New Roman"/>
          <w:sz w:val="22"/>
        </w:rPr>
        <w:fldChar w:fldCharType="separate"/>
      </w:r>
      <w:r w:rsidR="00723833" w:rsidRPr="00723833">
        <w:rPr>
          <w:rFonts w:ascii="Calibri" w:hAnsi="Calibri" w:cs="Times New Roman"/>
          <w:noProof/>
          <w:sz w:val="22"/>
          <w:vertAlign w:val="superscript"/>
        </w:rPr>
        <w:t>69,70</w:t>
      </w:r>
      <w:r w:rsidR="00E13392">
        <w:rPr>
          <w:rFonts w:ascii="Calibri" w:hAnsi="Calibri" w:cs="Times New Roman"/>
          <w:sz w:val="22"/>
        </w:rPr>
        <w:fldChar w:fldCharType="end"/>
      </w:r>
      <w:r>
        <w:rPr>
          <w:rFonts w:ascii="Calibri" w:hAnsi="Calibri" w:cs="Times New Roman"/>
          <w:sz w:val="22"/>
        </w:rPr>
        <w:t xml:space="preserve"> There are equally complex relationship</w:t>
      </w:r>
      <w:r w:rsidR="00863C0A">
        <w:rPr>
          <w:rFonts w:ascii="Calibri" w:hAnsi="Calibri" w:cs="Times New Roman"/>
          <w:sz w:val="22"/>
        </w:rPr>
        <w:t xml:space="preserve">s and </w:t>
      </w:r>
      <w:r>
        <w:rPr>
          <w:rFonts w:ascii="Calibri" w:hAnsi="Calibri" w:cs="Times New Roman"/>
          <w:sz w:val="22"/>
        </w:rPr>
        <w:t>important climate-related risks associated with dengue fever, cholera and food safety.</w:t>
      </w:r>
      <w:r w:rsidR="00E13392">
        <w:rPr>
          <w:rFonts w:ascii="Calibri" w:hAnsi="Calibri" w:cs="Times New Roman"/>
          <w:sz w:val="22"/>
        </w:rPr>
        <w:fldChar w:fldCharType="begin">
          <w:fldData xml:space="preserve">PEVuZE5vdGU+PENpdGU+PEF1dGhvcj5CaGF0dDwvQXV0aG9yPjxZZWFyPjIwMTM8L1llYXI+PFJl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</w:fldData>
        </w:fldChar>
      </w:r>
      <w:r w:rsidR="00723833">
        <w:rPr>
          <w:rFonts w:ascii="Calibri" w:hAnsi="Calibri" w:cs="Times New Roman"/>
          <w:sz w:val="22"/>
        </w:rPr>
        <w:instrText xml:space="preserve"> ADDIN EN.CITE </w:instrText>
      </w:r>
      <w:r w:rsidR="00E13392">
        <w:rPr>
          <w:rFonts w:ascii="Calibri" w:hAnsi="Calibri" w:cs="Times New Roman"/>
          <w:sz w:val="22"/>
        </w:rPr>
        <w:fldChar w:fldCharType="begin">
          <w:fldData xml:space="preserve">PEVuZE5vdGU+PENpdGU+PEF1dGhvcj5CaGF0dDwvQXV0aG9yPjxZZWFyPjIwMTM8L1llYXI+PFJl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</w:fldData>
        </w:fldChar>
      </w:r>
      <w:r w:rsidR="00723833">
        <w:rPr>
          <w:rFonts w:ascii="Calibri" w:hAnsi="Calibri" w:cs="Times New Roman"/>
          <w:sz w:val="22"/>
        </w:rPr>
        <w:instrText xml:space="preserve"> ADDIN EN.CITE.DATA </w:instrText>
      </w:r>
      <w:r w:rsidR="00E13392">
        <w:rPr>
          <w:rFonts w:ascii="Calibri" w:hAnsi="Calibri" w:cs="Times New Roman"/>
          <w:sz w:val="22"/>
        </w:rPr>
      </w:r>
      <w:r w:rsidR="00E13392">
        <w:rPr>
          <w:rFonts w:ascii="Calibri" w:hAnsi="Calibri" w:cs="Times New Roman"/>
          <w:sz w:val="22"/>
        </w:rPr>
        <w:fldChar w:fldCharType="end"/>
      </w:r>
      <w:r w:rsidR="00E13392">
        <w:rPr>
          <w:rFonts w:ascii="Calibri" w:hAnsi="Calibri" w:cs="Times New Roman"/>
          <w:sz w:val="22"/>
        </w:rPr>
      </w:r>
      <w:r w:rsidR="00E13392">
        <w:rPr>
          <w:rFonts w:ascii="Calibri" w:hAnsi="Calibri" w:cs="Times New Roman"/>
          <w:sz w:val="22"/>
        </w:rPr>
        <w:fldChar w:fldCharType="separate"/>
      </w:r>
      <w:r w:rsidR="00723833" w:rsidRPr="00723833">
        <w:rPr>
          <w:rFonts w:ascii="Calibri" w:hAnsi="Calibri" w:cs="Times New Roman"/>
          <w:noProof/>
          <w:sz w:val="22"/>
          <w:vertAlign w:val="superscript"/>
        </w:rPr>
        <w:t>54,71,72</w:t>
      </w:r>
      <w:r w:rsidR="00E13392">
        <w:rPr>
          <w:rFonts w:ascii="Calibri" w:hAnsi="Calibri" w:cs="Times New Roman"/>
          <w:sz w:val="22"/>
        </w:rPr>
        <w:fldChar w:fldCharType="end"/>
      </w:r>
      <w:r>
        <w:rPr>
          <w:rFonts w:ascii="Calibri" w:hAnsi="Calibri" w:cs="Times New Roman"/>
          <w:sz w:val="22"/>
        </w:rPr>
        <w:t xml:space="preserve"> </w:t>
      </w:r>
      <w:r w:rsidR="004A6E9D">
        <w:rPr>
          <w:rFonts w:ascii="Calibri" w:hAnsi="Calibri" w:cs="Times New Roman"/>
          <w:sz w:val="22"/>
        </w:rPr>
        <w:t>D</w:t>
      </w:r>
      <w:r>
        <w:rPr>
          <w:rFonts w:ascii="Calibri" w:hAnsi="Calibri" w:cs="Times New Roman"/>
          <w:sz w:val="22"/>
        </w:rPr>
        <w:t>engue fever for example has 390 million recorded infections each year, and the number is rising.</w:t>
      </w:r>
      <w:r w:rsidR="00E13392">
        <w:rPr>
          <w:rFonts w:ascii="Calibri" w:hAnsi="Calibri" w:cs="Times New Roman"/>
          <w:sz w:val="22"/>
        </w:rPr>
        <w:fldChar w:fldCharType="begin">
          <w:fldData xml:space="preserve">PEVuZE5vdGU+PENpdGU+PEF1dGhvcj5Ib3BwPC9BdXRob3I+PFllYXI+MjAwMzwvWWVhcj48UmVj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</w:fldData>
        </w:fldChar>
      </w:r>
      <w:r w:rsidR="00723833">
        <w:rPr>
          <w:rFonts w:ascii="Calibri" w:hAnsi="Calibri" w:cs="Times New Roman"/>
          <w:sz w:val="22"/>
        </w:rPr>
        <w:instrText xml:space="preserve"> ADDIN EN.CITE </w:instrText>
      </w:r>
      <w:r w:rsidR="00E13392">
        <w:rPr>
          <w:rFonts w:ascii="Calibri" w:hAnsi="Calibri" w:cs="Times New Roman"/>
          <w:sz w:val="22"/>
        </w:rPr>
        <w:fldChar w:fldCharType="begin">
          <w:fldData xml:space="preserve">PEVuZE5vdGU+PENpdGU+PEF1dGhvcj5Ib3BwPC9BdXRob3I+PFllYXI+MjAwMzwvWWVhcj48UmVj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</w:fldData>
        </w:fldChar>
      </w:r>
      <w:r w:rsidR="00723833">
        <w:rPr>
          <w:rFonts w:ascii="Calibri" w:hAnsi="Calibri" w:cs="Times New Roman"/>
          <w:sz w:val="22"/>
        </w:rPr>
        <w:instrText xml:space="preserve"> ADDIN EN.CITE.DATA </w:instrText>
      </w:r>
      <w:r w:rsidR="00E13392">
        <w:rPr>
          <w:rFonts w:ascii="Calibri" w:hAnsi="Calibri" w:cs="Times New Roman"/>
          <w:sz w:val="22"/>
        </w:rPr>
      </w:r>
      <w:r w:rsidR="00E13392">
        <w:rPr>
          <w:rFonts w:ascii="Calibri" w:hAnsi="Calibri" w:cs="Times New Roman"/>
          <w:sz w:val="22"/>
        </w:rPr>
        <w:fldChar w:fldCharType="end"/>
      </w:r>
      <w:r w:rsidR="00E13392">
        <w:rPr>
          <w:rFonts w:ascii="Calibri" w:hAnsi="Calibri" w:cs="Times New Roman"/>
          <w:sz w:val="22"/>
        </w:rPr>
      </w:r>
      <w:r w:rsidR="00E13392">
        <w:rPr>
          <w:rFonts w:ascii="Calibri" w:hAnsi="Calibri" w:cs="Times New Roman"/>
          <w:sz w:val="22"/>
        </w:rPr>
        <w:fldChar w:fldCharType="separate"/>
      </w:r>
      <w:r w:rsidR="00723833" w:rsidRPr="00723833">
        <w:rPr>
          <w:rFonts w:ascii="Calibri" w:hAnsi="Calibri" w:cs="Times New Roman"/>
          <w:noProof/>
          <w:sz w:val="22"/>
          <w:vertAlign w:val="superscript"/>
        </w:rPr>
        <w:t>54,73</w:t>
      </w:r>
      <w:r w:rsidR="00E13392">
        <w:rPr>
          <w:rFonts w:ascii="Calibri" w:hAnsi="Calibri" w:cs="Times New Roman"/>
          <w:sz w:val="22"/>
        </w:rPr>
        <w:fldChar w:fldCharType="end"/>
      </w:r>
      <w:r>
        <w:rPr>
          <w:rFonts w:ascii="Calibri" w:hAnsi="Calibri" w:cs="Times New Roman"/>
          <w:sz w:val="22"/>
        </w:rPr>
        <w:t xml:space="preserve"> </w:t>
      </w:r>
    </w:p>
    <w:p w:rsidR="007601E4" w:rsidRDefault="007601E4" w:rsidP="007601E4">
      <w:pPr>
        <w:jc w:val="both"/>
        <w:rPr>
          <w:rFonts w:ascii="Calibri" w:hAnsi="Calibri"/>
        </w:rPr>
      </w:pPr>
    </w:p>
    <w:p w:rsidR="007601E4" w:rsidRDefault="007601E4" w:rsidP="007601E4">
      <w:pPr>
        <w:jc w:val="both"/>
        <w:rPr>
          <w:rFonts w:ascii="Calibri" w:hAnsi="Calibri"/>
        </w:rPr>
      </w:pPr>
      <w:r>
        <w:rPr>
          <w:rFonts w:ascii="Calibri" w:hAnsi="Calibri" w:cs="Times New Roman"/>
          <w:sz w:val="22"/>
        </w:rPr>
        <w:lastRenderedPageBreak/>
        <w:t>Changing weather patterns are also likely to affect the incidence of diseases transmitted through infected water sources, either through contamination of drinking water or by providing the conditions needed for bacterial growth.</w:t>
      </w:r>
      <w:r w:rsidR="00E13392">
        <w:rPr>
          <w:rFonts w:ascii="Calibri" w:hAnsi="Calibri" w:cs="Times New Roman"/>
          <w:sz w:val="22"/>
        </w:rPr>
        <w:fldChar w:fldCharType="begin"/>
      </w:r>
      <w:r w:rsidR="00723833">
        <w:rPr>
          <w:rFonts w:ascii="Calibri" w:hAnsi="Calibri" w:cs="Times New Roman"/>
          <w:sz w:val="22"/>
        </w:rPr>
        <w:instrText xml:space="preserve"> ADDIN EN.CITE &lt;EndNote&gt;&lt;Cite&gt;&lt;Author&gt;Lipp&lt;/Author&gt;&lt;Year&gt;2002&lt;/Year&gt;&lt;RecNum&gt;1019&lt;/RecNum&gt;&lt;DisplayText&gt;&lt;style face="superscript"&gt;74&lt;/style&gt;&lt;/DisplayText&gt;&lt;record&gt;&lt;rec-number&gt;1019&lt;/rec-number&gt;&lt;foreign-keys&gt;&lt;key app="EN" db-id="wtftd20rmszxx0ettxy5exwdf90wv22s2dsf" timestamp="1419212983"&gt;1019&lt;/key&gt;&lt;/foreign-keys&gt;&lt;ref-type name="Journal Article"&gt;17&lt;/ref-type&gt;&lt;contributors&gt;&lt;authors&gt;&lt;author&gt;Lipp, E. K.&lt;/author&gt;&lt;author&gt;Huq, A.&lt;/author&gt;&lt;author&gt;Colwell, R. R.&lt;/author&gt;&lt;/authors&gt;&lt;/contributors&gt;&lt;auth-address&gt;Center of Marine Biotechnology, University of Maryland Biotechnology Institute, Baltimore, Maryland 21202, USA.&lt;/auth-address&gt;&lt;titles&gt;&lt;title&gt;Effects of global climate on infectious disease: the cholera model&lt;/title&gt;&lt;secondary-title&gt;Clin Microbiol Rev&lt;/secondary-title&gt;&lt;alt-title&gt;Clinical microbiology reviews&lt;/alt-title&gt;&lt;/titles&gt;&lt;periodical&gt;&lt;full-title&gt;Clin Microbiol Rev&lt;/full-title&gt;&lt;abbr-1&gt;Clinical microbiology reviews&lt;/abbr-1&gt;&lt;/periodical&gt;&lt;alt-periodical&gt;&lt;full-title&gt;Clinical Microbiology Reviews&lt;/full-title&gt;&lt;/alt-periodical&gt;&lt;pages&gt;757-70&lt;/pages&gt;&lt;volume&gt;15&lt;/volume&gt;&lt;number&gt;4&lt;/number&gt;&lt;edition&gt;2002/10/05&lt;/edition&gt;&lt;keywords&gt;&lt;keyword&gt;Air Microbiology&lt;/keyword&gt;&lt;keyword&gt;Animals&lt;/keyword&gt;&lt;keyword&gt;Cholera/*transmission&lt;/keyword&gt;&lt;keyword&gt;*Climate&lt;/keyword&gt;&lt;keyword&gt;Disease Vectors&lt;/keyword&gt;&lt;keyword&gt;Ecology&lt;/keyword&gt;&lt;keyword&gt;Humans&lt;/keyword&gt;&lt;keyword&gt;Phytoplankton/microbiology&lt;/keyword&gt;&lt;keyword&gt;Seasons&lt;/keyword&gt;&lt;keyword&gt;Water Microbiology&lt;/keyword&gt;&lt;keyword&gt;Zooplankton/microbiology&lt;/keyword&gt;&lt;/keywords&gt;&lt;dates&gt;&lt;year&gt;2002&lt;/year&gt;&lt;pub-dates&gt;&lt;date&gt;Oct&lt;/date&gt;&lt;/pub-dates&gt;&lt;/dates&gt;&lt;isbn&gt;0893-8512 (Print)&amp;#xD;0893-8512&lt;/isbn&gt;&lt;accession-num&gt;12364378&lt;/accession-num&gt;&lt;urls&gt;&lt;/urls&gt;&lt;custom2&gt;Pmc126864&lt;/custom2&gt;&lt;remote-database-provider&gt;NLM&lt;/remote-database-provider&gt;&lt;language&gt;eng&lt;/language&gt;&lt;/record&gt;&lt;/Cite&gt;&lt;/EndNote&gt;</w:instrText>
      </w:r>
      <w:r w:rsidR="00E13392">
        <w:rPr>
          <w:rFonts w:ascii="Calibri" w:hAnsi="Calibri" w:cs="Times New Roman"/>
          <w:sz w:val="22"/>
        </w:rPr>
        <w:fldChar w:fldCharType="separate"/>
      </w:r>
      <w:r w:rsidR="00723833" w:rsidRPr="00723833">
        <w:rPr>
          <w:rFonts w:ascii="Calibri" w:hAnsi="Calibri" w:cs="Times New Roman"/>
          <w:noProof/>
          <w:sz w:val="22"/>
          <w:vertAlign w:val="superscript"/>
        </w:rPr>
        <w:t>74</w:t>
      </w:r>
      <w:r w:rsidR="00E13392">
        <w:rPr>
          <w:rFonts w:ascii="Calibri" w:hAnsi="Calibri" w:cs="Times New Roman"/>
          <w:sz w:val="22"/>
        </w:rPr>
        <w:fldChar w:fldCharType="end"/>
      </w:r>
      <w:r>
        <w:rPr>
          <w:rFonts w:ascii="Calibri" w:hAnsi="Calibri" w:cs="Times New Roman"/>
          <w:sz w:val="22"/>
        </w:rPr>
        <w:t xml:space="preserve"> Cholera is transmitted through infected water sources and often occurs in</w:t>
      </w:r>
      <w:r w:rsidR="00723833">
        <w:rPr>
          <w:rFonts w:ascii="Calibri" w:hAnsi="Calibri" w:cs="Times New Roman"/>
          <w:sz w:val="22"/>
        </w:rPr>
        <w:t xml:space="preserve"> association with</w:t>
      </w:r>
      <w:r>
        <w:rPr>
          <w:rFonts w:ascii="Calibri" w:hAnsi="Calibri" w:cs="Times New Roman"/>
          <w:sz w:val="22"/>
        </w:rPr>
        <w:t xml:space="preserve"> seasonal</w:t>
      </w:r>
      <w:r w:rsidR="00723833">
        <w:rPr>
          <w:rFonts w:ascii="Calibri" w:hAnsi="Calibri" w:cs="Times New Roman"/>
          <w:sz w:val="22"/>
        </w:rPr>
        <w:t xml:space="preserve"> algal</w:t>
      </w:r>
      <w:r>
        <w:rPr>
          <w:rFonts w:ascii="Calibri" w:hAnsi="Calibri" w:cs="Times New Roman"/>
          <w:sz w:val="22"/>
        </w:rPr>
        <w:t xml:space="preserve"> blooms with outbreaks sometimes experienced following extreme weather events such as hurricanes that result in the mixing of wastewater and drinking water</w:t>
      </w:r>
      <w:r w:rsidR="00723833">
        <w:rPr>
          <w:rFonts w:ascii="Calibri" w:hAnsi="Calibri" w:cs="Times New Roman"/>
          <w:sz w:val="22"/>
        </w:rPr>
        <w:t>, and in association with El Nino events</w:t>
      </w:r>
      <w:r>
        <w:rPr>
          <w:rFonts w:ascii="Calibri" w:hAnsi="Calibri" w:cs="Times New Roman"/>
          <w:sz w:val="22"/>
        </w:rPr>
        <w:t>.</w:t>
      </w:r>
      <w:r w:rsidR="00E13392">
        <w:rPr>
          <w:rFonts w:ascii="Calibri" w:hAnsi="Calibri" w:cs="Times New Roman"/>
          <w:sz w:val="22"/>
        </w:rPr>
        <w:fldChar w:fldCharType="begin"/>
      </w:r>
      <w:r w:rsidR="00723833">
        <w:rPr>
          <w:rFonts w:ascii="Calibri" w:hAnsi="Calibri" w:cs="Times New Roman"/>
          <w:sz w:val="22"/>
        </w:rPr>
        <w:instrText xml:space="preserve"> ADDIN EN.CITE &lt;EndNote&gt;&lt;Cite&gt;&lt;Author&gt;World Health Organization&lt;/Author&gt;&lt;Year&gt;2012&lt;/Year&gt;&lt;RecNum&gt;1068&lt;/RecNum&gt;&lt;DisplayText&gt;&lt;style face="superscript"&gt;72&lt;/style&gt;&lt;/DisplayText&gt;&lt;record&gt;&lt;rec-number&gt;1068&lt;/rec-number&gt;&lt;foreign-keys&gt;&lt;key app="EN" db-id="wtftd20rmszxx0ettxy5exwdf90wv22s2dsf" timestamp="1419212983"&gt;1068&lt;/key&gt;&lt;/foreign-keys&gt;&lt;ref-type name="Report"&gt;27&lt;/ref-type&gt;&lt;contributors&gt;&lt;authors&gt;&lt;author&gt;World Health Organization,&lt;/author&gt;&lt;author&gt;World Meteorological Organisation,&lt;/author&gt;&lt;/authors&gt;&lt;/contributors&gt;&lt;titles&gt;&lt;title&gt;Atlas of health and climate&lt;/title&gt;&lt;/titles&gt;&lt;dates&gt;&lt;year&gt;2012&lt;/year&gt;&lt;/dates&gt;&lt;pub-location&gt;Geneva&lt;/pub-location&gt;&lt;urls&gt;&lt;/urls&gt;&lt;/record&gt;&lt;/Cite&gt;&lt;/EndNote&gt;</w:instrText>
      </w:r>
      <w:r w:rsidR="00E13392">
        <w:rPr>
          <w:rFonts w:ascii="Calibri" w:hAnsi="Calibri" w:cs="Times New Roman"/>
          <w:sz w:val="22"/>
        </w:rPr>
        <w:fldChar w:fldCharType="separate"/>
      </w:r>
      <w:r w:rsidR="00723833" w:rsidRPr="00723833">
        <w:rPr>
          <w:rFonts w:ascii="Calibri" w:hAnsi="Calibri" w:cs="Times New Roman"/>
          <w:noProof/>
          <w:sz w:val="22"/>
          <w:vertAlign w:val="superscript"/>
        </w:rPr>
        <w:t>72</w:t>
      </w:r>
      <w:r w:rsidR="00E13392">
        <w:rPr>
          <w:rFonts w:ascii="Calibri" w:hAnsi="Calibri" w:cs="Times New Roman"/>
          <w:sz w:val="22"/>
        </w:rPr>
        <w:fldChar w:fldCharType="end"/>
      </w:r>
      <w:r>
        <w:rPr>
          <w:rFonts w:ascii="Calibri" w:hAnsi="Calibri" w:cs="Times New Roman"/>
          <w:sz w:val="22"/>
        </w:rPr>
        <w:t xml:space="preserve"> Such extreme weather events are likely to increase in frequency in the coming decades and waterborne epidemics need to be planned for and monitored carefully.</w:t>
      </w:r>
    </w:p>
    <w:p w:rsidR="007601E4" w:rsidRDefault="007601E4" w:rsidP="007601E4">
      <w:pPr>
        <w:jc w:val="both"/>
        <w:rPr>
          <w:rFonts w:ascii="Calibri" w:hAnsi="Calibri"/>
        </w:rPr>
      </w:pPr>
    </w:p>
    <w:p w:rsidR="007601E4" w:rsidRDefault="007601E4" w:rsidP="007601E4">
      <w:pPr>
        <w:jc w:val="both"/>
        <w:rPr>
          <w:rFonts w:ascii="Calibri" w:hAnsi="Calibri" w:cs="Times New Roman"/>
          <w:sz w:val="22"/>
        </w:rPr>
      </w:pPr>
      <w:r>
        <w:rPr>
          <w:rFonts w:ascii="Calibri" w:hAnsi="Calibri" w:cs="Times New Roman"/>
          <w:sz w:val="22"/>
        </w:rPr>
        <w:t>In effect, all health outcomes linked to climate variables are shaped by economic, technological, demographic, and governance structures. Institutions and social norms of behaviour and expectation will play a significant role in how new weather patterns impact health.</w:t>
      </w:r>
      <w:r w:rsidR="00E13392">
        <w:rPr>
          <w:rFonts w:ascii="Calibri" w:hAnsi="Calibri" w:cs="Times New Roman"/>
          <w:sz w:val="22"/>
        </w:rPr>
        <w:fldChar w:fldCharType="begin">
          <w:fldData xml:space="preserve">PEVuZE5vdGU+PENpdGU+PEF1dGhvcj5QYXR6PC9BdXRob3I+PFllYXI+MjAwNTwvWWVhcj48UmVj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</w:fldData>
        </w:fldChar>
      </w:r>
      <w:r w:rsidR="00723833">
        <w:rPr>
          <w:rFonts w:ascii="Calibri" w:hAnsi="Calibri" w:cs="Times New Roman"/>
          <w:sz w:val="22"/>
        </w:rPr>
        <w:instrText xml:space="preserve"> ADDIN EN.CITE </w:instrText>
      </w:r>
      <w:r w:rsidR="00E13392">
        <w:rPr>
          <w:rFonts w:ascii="Calibri" w:hAnsi="Calibri" w:cs="Times New Roman"/>
          <w:sz w:val="22"/>
        </w:rPr>
        <w:fldChar w:fldCharType="begin">
          <w:fldData xml:space="preserve">PEVuZE5vdGU+PENpdGU+PEF1dGhvcj5QYXR6PC9BdXRob3I+PFllYXI+MjAwNTwvWWVhcj48UmVj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</w:fldData>
        </w:fldChar>
      </w:r>
      <w:r w:rsidR="00723833">
        <w:rPr>
          <w:rFonts w:ascii="Calibri" w:hAnsi="Calibri" w:cs="Times New Roman"/>
          <w:sz w:val="22"/>
        </w:rPr>
        <w:instrText xml:space="preserve"> ADDIN EN.CITE.DATA </w:instrText>
      </w:r>
      <w:r w:rsidR="00E13392">
        <w:rPr>
          <w:rFonts w:ascii="Calibri" w:hAnsi="Calibri" w:cs="Times New Roman"/>
          <w:sz w:val="22"/>
        </w:rPr>
      </w:r>
      <w:r w:rsidR="00E13392">
        <w:rPr>
          <w:rFonts w:ascii="Calibri" w:hAnsi="Calibri" w:cs="Times New Roman"/>
          <w:sz w:val="22"/>
        </w:rPr>
        <w:fldChar w:fldCharType="end"/>
      </w:r>
      <w:r w:rsidR="00E13392">
        <w:rPr>
          <w:rFonts w:ascii="Calibri" w:hAnsi="Calibri" w:cs="Times New Roman"/>
          <w:sz w:val="22"/>
        </w:rPr>
      </w:r>
      <w:r w:rsidR="00E13392">
        <w:rPr>
          <w:rFonts w:ascii="Calibri" w:hAnsi="Calibri" w:cs="Times New Roman"/>
          <w:sz w:val="22"/>
        </w:rPr>
        <w:fldChar w:fldCharType="separate"/>
      </w:r>
      <w:r w:rsidR="00723833" w:rsidRPr="00723833">
        <w:rPr>
          <w:rFonts w:ascii="Calibri" w:hAnsi="Calibri" w:cs="Times New Roman"/>
          <w:noProof/>
          <w:sz w:val="22"/>
          <w:vertAlign w:val="superscript"/>
        </w:rPr>
        <w:t>38,71</w:t>
      </w:r>
      <w:r w:rsidR="00E13392">
        <w:rPr>
          <w:rFonts w:ascii="Calibri" w:hAnsi="Calibri" w:cs="Times New Roman"/>
          <w:sz w:val="22"/>
        </w:rPr>
        <w:fldChar w:fldCharType="end"/>
      </w:r>
      <w:r>
        <w:rPr>
          <w:rFonts w:ascii="Calibri" w:hAnsi="Calibri" w:cs="Times New Roman"/>
          <w:sz w:val="22"/>
        </w:rPr>
        <w:t xml:space="preserve"> </w:t>
      </w:r>
    </w:p>
    <w:p w:rsidR="004A6E9D" w:rsidRPr="00423562" w:rsidRDefault="004A6E9D" w:rsidP="004A6E9D">
      <w:pPr>
        <w:jc w:val="both"/>
        <w:rPr>
          <w:rFonts w:ascii="Calibri" w:hAnsi="Calibri" w:cs="Times New Roman"/>
          <w:sz w:val="22"/>
          <w:szCs w:val="22"/>
        </w:rPr>
      </w:pPr>
      <w:r w:rsidRPr="004349AE">
        <w:rPr>
          <w:rFonts w:ascii="Calibri" w:hAnsi="Calibri" w:cs="Times New Roman"/>
          <w:sz w:val="22"/>
          <w:szCs w:val="22"/>
        </w:rPr>
        <w:t xml:space="preserve">Changes in temperature, precipitation frequency, and air stagnation also affect air pollution levels with significant risks to health. Climate affects pollution levels through pollutant formation, transport, dispersion, and deposition. </w:t>
      </w:r>
      <w:r w:rsidR="00423562">
        <w:rPr>
          <w:rFonts w:ascii="Calibri" w:hAnsi="Calibri" w:cs="Times New Roman"/>
          <w:sz w:val="22"/>
          <w:szCs w:val="22"/>
        </w:rPr>
        <w:t xml:space="preserve">In total, </w:t>
      </w:r>
      <w:r w:rsidR="00723833">
        <w:rPr>
          <w:rFonts w:ascii="Calibri" w:hAnsi="Calibri" w:cs="Times New Roman"/>
          <w:sz w:val="22"/>
          <w:szCs w:val="22"/>
        </w:rPr>
        <w:t xml:space="preserve">fine particulate </w:t>
      </w:r>
      <w:r w:rsidR="00423562">
        <w:rPr>
          <w:rFonts w:ascii="Calibri" w:hAnsi="Calibri" w:cs="Times New Roman"/>
          <w:sz w:val="22"/>
          <w:szCs w:val="22"/>
        </w:rPr>
        <w:t>a</w:t>
      </w:r>
      <w:r w:rsidRPr="004349AE">
        <w:rPr>
          <w:rFonts w:ascii="Calibri" w:hAnsi="Calibri" w:cs="Times New Roman"/>
          <w:sz w:val="22"/>
          <w:szCs w:val="22"/>
        </w:rPr>
        <w:t>ir pollution is estimated to be responsible for seven million additional deaths globally in 2012, primarily due to respiratory and cardiovascular disease</w:t>
      </w:r>
      <w:r w:rsidR="00423562">
        <w:rPr>
          <w:rFonts w:ascii="Calibri" w:hAnsi="Calibri" w:cs="Times New Roman"/>
          <w:sz w:val="22"/>
          <w:szCs w:val="22"/>
        </w:rPr>
        <w:t>.</w:t>
      </w:r>
      <w:r w:rsidR="00E13392">
        <w:rPr>
          <w:rFonts w:ascii="Calibri" w:hAnsi="Calibri" w:cs="Times New Roman"/>
          <w:sz w:val="22"/>
          <w:szCs w:val="22"/>
        </w:rPr>
        <w:fldChar w:fldCharType="begin"/>
      </w:r>
      <w:r w:rsidR="00723833">
        <w:rPr>
          <w:rFonts w:ascii="Calibri" w:hAnsi="Calibri" w:cs="Times New Roman"/>
          <w:sz w:val="22"/>
          <w:szCs w:val="22"/>
        </w:rPr>
        <w:instrText xml:space="preserve"> ADDIN EN.CITE &lt;EndNote&gt;&lt;Cite&gt;&lt;Author&gt;World Health Organization&lt;/Author&gt;&lt;Year&gt;2014&lt;/Year&gt;&lt;RecNum&gt;993&lt;/RecNum&gt;&lt;DisplayText&gt;&lt;style face="superscript"&gt;75&lt;/style&gt;&lt;/DisplayText&gt;&lt;record&gt;&lt;rec-number&gt;993&lt;/rec-number&gt;&lt;foreign-keys&gt;&lt;key app="EN" db-id="wtftd20rmszxx0ettxy5exwdf90wv22s2dsf" timestamp="1419212983"&gt;993&lt;/key&gt;&lt;/foreign-keys&gt;&lt;ref-type name="Electronic Article"&gt;43&lt;/ref-type&gt;&lt;contributors&gt;&lt;authors&gt;&lt;author&gt;World Health Organization,&lt;/author&gt;&lt;/authors&gt;&lt;/contributors&gt;&lt;titles&gt;&lt;title&gt;Burden on Disease from Air Pollution in 2012; &lt;/title&gt;&lt;/titles&gt;&lt;dates&gt;&lt;year&gt;2014&lt;/year&gt;&lt;pub-dates&gt;&lt;date&gt;7 Oct 2014&lt;/date&gt;&lt;/pub-dates&gt;&lt;/dates&gt;&lt;pub-location&gt;Geneva&lt;/pub-location&gt;&lt;urls&gt;&lt;related-urls&gt;&lt;url&gt;http://www.who.int/phe/health_topics/outdoorair/databases/FINAL_HAP_AAP_BoD_24March2014.pdf&lt;/url&gt;&lt;/related-urls&gt;&lt;/urls&gt;&lt;/record&gt;&lt;/Cite&gt;&lt;/EndNote&gt;</w:instrText>
      </w:r>
      <w:r w:rsidR="00E1339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75</w:t>
      </w:r>
      <w:r w:rsidR="00E13392">
        <w:rPr>
          <w:rFonts w:ascii="Calibri" w:hAnsi="Calibri" w:cs="Times New Roman"/>
          <w:sz w:val="22"/>
          <w:szCs w:val="22"/>
        </w:rPr>
        <w:fldChar w:fldCharType="end"/>
      </w:r>
      <w:r w:rsidRPr="004349AE">
        <w:rPr>
          <w:rFonts w:ascii="Calibri" w:hAnsi="Calibri" w:cs="Times New Roman"/>
          <w:sz w:val="22"/>
          <w:szCs w:val="22"/>
        </w:rPr>
        <w:t xml:space="preserve"> </w:t>
      </w:r>
      <w:r w:rsidR="00423562">
        <w:rPr>
          <w:rFonts w:ascii="Calibri" w:hAnsi="Calibri" w:cs="Times New Roman"/>
          <w:sz w:val="22"/>
          <w:szCs w:val="22"/>
        </w:rPr>
        <w:t>Its effect is amplified by changes in ambient temperature, precipitation frequency, and air stagnation – all crucial for air pollutant formation, transport, dispersion and deposition.</w:t>
      </w:r>
    </w:p>
    <w:p w:rsidR="004A6E9D" w:rsidRDefault="004A6E9D" w:rsidP="004A6E9D">
      <w:pPr>
        <w:jc w:val="both"/>
        <w:rPr>
          <w:rFonts w:ascii="Calibri" w:hAnsi="Calibri" w:cs="Times New Roman"/>
          <w:sz w:val="22"/>
          <w:szCs w:val="22"/>
        </w:rPr>
      </w:pPr>
    </w:p>
    <w:p w:rsidR="004A6E9D" w:rsidRPr="00423562" w:rsidRDefault="004A6E9D" w:rsidP="004A6E9D">
      <w:pPr>
        <w:jc w:val="both"/>
        <w:rPr>
          <w:rFonts w:ascii="Calibri" w:hAnsi="Calibri" w:cs="Times New Roman"/>
          <w:sz w:val="22"/>
          <w:szCs w:val="22"/>
        </w:rPr>
      </w:pPr>
      <w:r w:rsidRPr="004349AE">
        <w:rPr>
          <w:rFonts w:ascii="Calibri" w:hAnsi="Calibri" w:cs="Times New Roman"/>
          <w:sz w:val="22"/>
          <w:szCs w:val="22"/>
        </w:rPr>
        <w:t>Ground level ozone</w:t>
      </w:r>
      <w:r w:rsidR="00423562">
        <w:rPr>
          <w:rFonts w:ascii="Calibri" w:hAnsi="Calibri" w:cs="Times New Roman"/>
          <w:sz w:val="22"/>
          <w:szCs w:val="22"/>
        </w:rPr>
        <w:t xml:space="preserve"> (GLO)</w:t>
      </w:r>
      <w:r w:rsidRPr="004349AE">
        <w:rPr>
          <w:rFonts w:ascii="Calibri" w:hAnsi="Calibri" w:cs="Times New Roman"/>
          <w:sz w:val="22"/>
          <w:szCs w:val="22"/>
        </w:rPr>
        <w:t xml:space="preserve"> and particulate air pollutants are elements which will be most affected by climate change</w:t>
      </w:r>
      <w:r w:rsidR="00723833">
        <w:rPr>
          <w:rFonts w:ascii="Calibri" w:hAnsi="Calibri" w:cs="Times New Roman"/>
          <w:sz w:val="22"/>
          <w:szCs w:val="22"/>
        </w:rPr>
        <w:t>. Whilst the net global effect is unclear, regional variation will see significant differences in local exposure</w:t>
      </w:r>
      <w:r w:rsidRPr="004349AE">
        <w:rPr>
          <w:rFonts w:ascii="Calibri" w:hAnsi="Calibri" w:cs="Times New Roman"/>
          <w:sz w:val="22"/>
          <w:szCs w:val="22"/>
        </w:rPr>
        <w:t>.</w:t>
      </w:r>
      <w:r w:rsidR="00E13392" w:rsidRPr="00423562">
        <w:rPr>
          <w:rFonts w:ascii="Calibri" w:hAnsi="Calibri" w:cs="Times New Roman"/>
          <w:sz w:val="22"/>
          <w:szCs w:val="22"/>
        </w:rPr>
        <w:fldChar w:fldCharType="begin">
          <w:fldData xml:space="preserve">PEVuZE5vdGU+PENpdGU+PEF1dGhvcj5KYWNvYjwvQXV0aG9yPjxZZWFyPjIwMDk8L1llYXI+PFJl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==
</w:fldData>
        </w:fldChar>
      </w:r>
      <w:r w:rsidR="00723833">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PEVuZE5vdGU+PENpdGU+PEF1dGhvcj5KYWNvYjwvQXV0aG9yPjxZZWFyPjIwMDk8L1llYXI+PFJl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==
</w:fldData>
        </w:fldChar>
      </w:r>
      <w:r w:rsidR="00723833">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sidRPr="00423562">
        <w:rPr>
          <w:rFonts w:ascii="Calibri" w:hAnsi="Calibri" w:cs="Times New Roman"/>
          <w:sz w:val="22"/>
          <w:szCs w:val="22"/>
        </w:rPr>
      </w:r>
      <w:r w:rsidR="00E13392" w:rsidRPr="0042356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31,76</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G</w:t>
      </w:r>
      <w:r w:rsidR="00423562">
        <w:rPr>
          <w:rFonts w:ascii="Calibri" w:hAnsi="Calibri" w:cs="Times New Roman"/>
          <w:sz w:val="22"/>
          <w:szCs w:val="22"/>
        </w:rPr>
        <w:t>LO</w:t>
      </w:r>
      <w:r w:rsidRPr="004349AE">
        <w:rPr>
          <w:rFonts w:ascii="Calibri" w:hAnsi="Calibri" w:cs="Times New Roman"/>
          <w:sz w:val="22"/>
          <w:szCs w:val="22"/>
        </w:rPr>
        <w:t xml:space="preserve"> is more readily created and sustained in an environment with reduced cloudiness and decreased precipitation frequency, but especially by rising temperatures.</w:t>
      </w:r>
      <w:r w:rsidR="00E13392" w:rsidRPr="00423562">
        <w:rPr>
          <w:rFonts w:ascii="Calibri" w:hAnsi="Calibri" w:cs="Times New Roman"/>
          <w:sz w:val="22"/>
          <w:szCs w:val="22"/>
        </w:rPr>
        <w:fldChar w:fldCharType="begin"/>
      </w:r>
      <w:r w:rsidR="00723833">
        <w:rPr>
          <w:rFonts w:ascii="Calibri" w:hAnsi="Calibri" w:cs="Times New Roman"/>
          <w:sz w:val="22"/>
          <w:szCs w:val="22"/>
        </w:rPr>
        <w:instrText xml:space="preserve"> ADDIN EN.CITE &lt;EndNote&gt;&lt;Cite&gt;&lt;Author&gt;Giorgi&lt;/Author&gt;&lt;Year&gt;2007&lt;/Year&gt;&lt;RecNum&gt;1045&lt;/RecNum&gt;&lt;DisplayText&gt;&lt;style face="superscript"&gt;77&lt;/style&gt;&lt;/DisplayText&gt;&lt;record&gt;&lt;rec-number&gt;1045&lt;/rec-number&gt;&lt;foreign-keys&gt;&lt;key app="EN" db-id="wtftd20rmszxx0ettxy5exwdf90wv22s2dsf" timestamp="1419212983"&gt;1045&lt;/key&gt;&lt;/foreign-keys&gt;&lt;ref-type name="Journal Article"&gt;17&lt;/ref-type&gt;&lt;contributors&gt;&lt;authors&gt;&lt;author&gt;Giorgi, Filippo&lt;/author&gt;&lt;author&gt;Meleux, Frédérick&lt;/author&gt;&lt;/authors&gt;&lt;/contributors&gt;&lt;titles&gt;&lt;title&gt;Modelling the regional effects of climate change on air quality&lt;/title&gt;&lt;secondary-title&gt;Comptes Rendus Geoscience&lt;/secondary-title&gt;&lt;/titles&gt;&lt;periodical&gt;&lt;full-title&gt;Comptes Rendus Geoscience&lt;/full-title&gt;&lt;/periodical&gt;&lt;pages&gt;721-733&lt;/pages&gt;&lt;volume&gt;339&lt;/volume&gt;&lt;number&gt;11–12&lt;/number&gt;&lt;keywords&gt;&lt;keyword&gt;Climate change&lt;/keyword&gt;&lt;keyword&gt;Air quality&lt;/keyword&gt;&lt;keyword&gt;Regional effects&lt;/keyword&gt;&lt;keyword&gt;Ozone&lt;/keyword&gt;&lt;keyword&gt;Modelling&lt;/keyword&gt;&lt;keyword&gt;Scenario simulation&lt;/keyword&gt;&lt;keyword&gt;Changement climatique&lt;/keyword&gt;&lt;keyword&gt;Qualité de l’air&lt;/keyword&gt;&lt;keyword&gt;Effets régionaux&lt;/keyword&gt;&lt;keyword&gt;Modélisation&lt;/keyword&gt;&lt;keyword&gt;Simulation de scénario&lt;/keyword&gt;&lt;/keywords&gt;&lt;dates&gt;&lt;year&gt;2007&lt;/year&gt;&lt;pub-dates&gt;&lt;date&gt;10//&lt;/date&gt;&lt;/pub-dates&gt;&lt;/dates&gt;&lt;isbn&gt;1631-0713&lt;/isbn&gt;&lt;urls&gt;&lt;related-urls&gt;&lt;url&gt;http://www.sciencedirect.com/science/article/pii/S1631071307002246&lt;/url&gt;&lt;/related-urls&gt;&lt;/urls&gt;&lt;electronic-resource-num&gt;http://dx.doi.org/10.1016/j.crte.2007.08.006&lt;/electronic-resource-num&gt;&lt;/record&gt;&lt;/Cite&gt;&lt;/EndNote&gt;</w:instrText>
      </w:r>
      <w:r w:rsidR="00E13392" w:rsidRPr="0042356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77</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w:t>
      </w:r>
      <w:r w:rsidR="00423562" w:rsidRPr="004349AE">
        <w:rPr>
          <w:rFonts w:ascii="Calibri" w:hAnsi="Calibri" w:cs="Times New Roman"/>
          <w:sz w:val="22"/>
          <w:szCs w:val="22"/>
        </w:rPr>
        <w:t>Thus, ozone levels were substantially elevated during the European heatwave of summer 2003.</w:t>
      </w:r>
      <w:r w:rsidR="00E13392" w:rsidRPr="005877EA">
        <w:rPr>
          <w:rFonts w:ascii="Calibri" w:hAnsi="Calibri" w:cs="Times New Roman"/>
          <w:sz w:val="20"/>
          <w:szCs w:val="20"/>
        </w:rPr>
        <w:fldChar w:fldCharType="begin">
          <w:fldData xml:space="preserve">PEVuZE5vdGU+PENpdGU+PEF1dGhvcj5KYWNvYjwvQXV0aG9yPjxZZWFyPjIwMDk8L1llYXI+PFJl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=
</w:fldData>
        </w:fldChar>
      </w:r>
      <w:r w:rsidR="00723833">
        <w:rPr>
          <w:rFonts w:ascii="Calibri" w:hAnsi="Calibri" w:cs="Times New Roman"/>
          <w:sz w:val="20"/>
          <w:szCs w:val="20"/>
        </w:rPr>
        <w:instrText xml:space="preserve"> ADDIN EN.CITE </w:instrText>
      </w:r>
      <w:r w:rsidR="00E13392">
        <w:rPr>
          <w:rFonts w:ascii="Calibri" w:hAnsi="Calibri" w:cs="Times New Roman"/>
          <w:sz w:val="20"/>
          <w:szCs w:val="20"/>
        </w:rPr>
        <w:fldChar w:fldCharType="begin">
          <w:fldData xml:space="preserve">PEVuZE5vdGU+PENpdGU+PEF1dGhvcj5KYWNvYjwvQXV0aG9yPjxZZWFyPjIwMDk8L1llYXI+PFJl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=
</w:fldData>
        </w:fldChar>
      </w:r>
      <w:r w:rsidR="00723833">
        <w:rPr>
          <w:rFonts w:ascii="Calibri" w:hAnsi="Calibri" w:cs="Times New Roman"/>
          <w:sz w:val="20"/>
          <w:szCs w:val="20"/>
        </w:rPr>
        <w:instrText xml:space="preserve"> ADDIN EN.CITE.DATA </w:instrText>
      </w:r>
      <w:r w:rsidR="00E13392">
        <w:rPr>
          <w:rFonts w:ascii="Calibri" w:hAnsi="Calibri" w:cs="Times New Roman"/>
          <w:sz w:val="20"/>
          <w:szCs w:val="20"/>
        </w:rPr>
      </w:r>
      <w:r w:rsidR="00E13392">
        <w:rPr>
          <w:rFonts w:ascii="Calibri" w:hAnsi="Calibri" w:cs="Times New Roman"/>
          <w:sz w:val="20"/>
          <w:szCs w:val="20"/>
        </w:rPr>
        <w:fldChar w:fldCharType="end"/>
      </w:r>
      <w:r w:rsidR="00E13392" w:rsidRPr="005877EA">
        <w:rPr>
          <w:rFonts w:ascii="Calibri" w:hAnsi="Calibri" w:cs="Times New Roman"/>
          <w:sz w:val="20"/>
          <w:szCs w:val="20"/>
        </w:rPr>
      </w:r>
      <w:r w:rsidR="00E13392" w:rsidRPr="005877EA">
        <w:rPr>
          <w:rFonts w:ascii="Calibri" w:hAnsi="Calibri" w:cs="Times New Roman"/>
          <w:sz w:val="20"/>
          <w:szCs w:val="20"/>
        </w:rPr>
        <w:fldChar w:fldCharType="separate"/>
      </w:r>
      <w:r w:rsidR="00723833" w:rsidRPr="00723833">
        <w:rPr>
          <w:rFonts w:ascii="Calibri" w:hAnsi="Calibri" w:cs="Times New Roman"/>
          <w:noProof/>
          <w:sz w:val="20"/>
          <w:szCs w:val="20"/>
          <w:vertAlign w:val="superscript"/>
        </w:rPr>
        <w:t>76,78</w:t>
      </w:r>
      <w:r w:rsidR="00E13392" w:rsidRPr="005877EA">
        <w:rPr>
          <w:rFonts w:ascii="Calibri" w:hAnsi="Calibri" w:cs="Times New Roman"/>
          <w:sz w:val="20"/>
          <w:szCs w:val="20"/>
        </w:rPr>
        <w:fldChar w:fldCharType="end"/>
      </w:r>
      <w:r w:rsidR="00423562" w:rsidRPr="005877EA">
        <w:rPr>
          <w:rFonts w:ascii="Calibri" w:hAnsi="Calibri" w:cs="Times New Roman" w:hint="eastAsia"/>
          <w:sz w:val="20"/>
          <w:szCs w:val="20"/>
          <w:lang w:eastAsia="zh-CN"/>
        </w:rPr>
        <w:t xml:space="preserve"> </w:t>
      </w:r>
      <w:r w:rsidR="00423562" w:rsidRPr="004349AE">
        <w:rPr>
          <w:rFonts w:ascii="Calibri" w:hAnsi="Calibri" w:cs="Times New Roman"/>
          <w:sz w:val="22"/>
          <w:szCs w:val="22"/>
        </w:rPr>
        <w:t>Climate change is predicted to elevate GLO levels over large areas in the United States and Europe, especially in the summer, though the background of GLO in the remote areas shows a decreased trend.</w:t>
      </w:r>
      <w:r w:rsidR="00E13392" w:rsidRPr="005877EA">
        <w:rPr>
          <w:rFonts w:ascii="Calibri" w:hAnsi="Calibri" w:cs="Times New Roman"/>
          <w:sz w:val="20"/>
          <w:szCs w:val="20"/>
        </w:rPr>
        <w:fldChar w:fldCharType="begin">
          <w:fldData xml:space="preserve">PEVuZE5vdGU+PENpdGU+PEF1dGhvcj5XdTwvQXV0aG9yPjxZZWFyPjIwMDg8L1llYXI+PFJlY051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</w:fldData>
        </w:fldChar>
      </w:r>
      <w:r w:rsidR="00723833">
        <w:rPr>
          <w:rFonts w:ascii="Calibri" w:hAnsi="Calibri" w:cs="Times New Roman"/>
          <w:sz w:val="20"/>
          <w:szCs w:val="20"/>
        </w:rPr>
        <w:instrText xml:space="preserve"> ADDIN EN.CITE </w:instrText>
      </w:r>
      <w:r w:rsidR="00E13392">
        <w:rPr>
          <w:rFonts w:ascii="Calibri" w:hAnsi="Calibri" w:cs="Times New Roman"/>
          <w:sz w:val="20"/>
          <w:szCs w:val="20"/>
        </w:rPr>
        <w:fldChar w:fldCharType="begin">
          <w:fldData xml:space="preserve">PEVuZE5vdGU+PENpdGU+PEF1dGhvcj5XdTwvQXV0aG9yPjxZZWFyPjIwMDg8L1llYXI+PFJlY051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</w:fldData>
        </w:fldChar>
      </w:r>
      <w:r w:rsidR="00723833">
        <w:rPr>
          <w:rFonts w:ascii="Calibri" w:hAnsi="Calibri" w:cs="Times New Roman"/>
          <w:sz w:val="20"/>
          <w:szCs w:val="20"/>
        </w:rPr>
        <w:instrText xml:space="preserve"> ADDIN EN.CITE.DATA </w:instrText>
      </w:r>
      <w:r w:rsidR="00E13392">
        <w:rPr>
          <w:rFonts w:ascii="Calibri" w:hAnsi="Calibri" w:cs="Times New Roman"/>
          <w:sz w:val="20"/>
          <w:szCs w:val="20"/>
        </w:rPr>
      </w:r>
      <w:r w:rsidR="00E13392">
        <w:rPr>
          <w:rFonts w:ascii="Calibri" w:hAnsi="Calibri" w:cs="Times New Roman"/>
          <w:sz w:val="20"/>
          <w:szCs w:val="20"/>
        </w:rPr>
        <w:fldChar w:fldCharType="end"/>
      </w:r>
      <w:r w:rsidR="00E13392" w:rsidRPr="005877EA">
        <w:rPr>
          <w:rFonts w:ascii="Calibri" w:hAnsi="Calibri" w:cs="Times New Roman"/>
          <w:sz w:val="20"/>
          <w:szCs w:val="20"/>
        </w:rPr>
      </w:r>
      <w:r w:rsidR="00E13392" w:rsidRPr="005877EA">
        <w:rPr>
          <w:rFonts w:ascii="Calibri" w:hAnsi="Calibri" w:cs="Times New Roman"/>
          <w:sz w:val="20"/>
          <w:szCs w:val="20"/>
        </w:rPr>
        <w:fldChar w:fldCharType="separate"/>
      </w:r>
      <w:r w:rsidR="00723833" w:rsidRPr="00723833">
        <w:rPr>
          <w:rFonts w:ascii="Calibri" w:hAnsi="Calibri" w:cs="Times New Roman"/>
          <w:noProof/>
          <w:sz w:val="20"/>
          <w:szCs w:val="20"/>
          <w:vertAlign w:val="superscript"/>
        </w:rPr>
        <w:t>77,79-82</w:t>
      </w:r>
      <w:r w:rsidR="00E13392" w:rsidRPr="005877EA">
        <w:rPr>
          <w:rFonts w:ascii="Calibri" w:hAnsi="Calibri" w:cs="Times New Roman"/>
          <w:sz w:val="20"/>
          <w:szCs w:val="20"/>
        </w:rPr>
        <w:fldChar w:fldCharType="end"/>
      </w:r>
      <w:r w:rsidR="00423562" w:rsidRPr="005877EA">
        <w:rPr>
          <w:rFonts w:ascii="Calibri" w:hAnsi="Calibri" w:cs="Times New Roman" w:hint="eastAsia"/>
          <w:sz w:val="20"/>
          <w:szCs w:val="20"/>
          <w:lang w:eastAsia="zh-CN"/>
        </w:rPr>
        <w:t xml:space="preserve"> </w:t>
      </w:r>
      <w:r w:rsidR="00423562" w:rsidRPr="004349AE">
        <w:rPr>
          <w:rFonts w:ascii="Calibri" w:hAnsi="Calibri" w:cs="Times New Roman"/>
          <w:sz w:val="22"/>
          <w:szCs w:val="22"/>
        </w:rPr>
        <w:t>In the U.S., the main impact of future climate change on GLO is centered over the Northeast and Midwest where the future GLO are expected to increase by 2-5 ppbv (~3%-~7%) in the next 50-90 years under the IPCC A1 scenario</w:t>
      </w:r>
      <w:r w:rsidR="00423562">
        <w:rPr>
          <w:rFonts w:ascii="Calibri" w:hAnsi="Calibri" w:cs="Times New Roman"/>
          <w:sz w:val="22"/>
          <w:szCs w:val="22"/>
        </w:rPr>
        <w:t>.</w:t>
      </w:r>
      <w:r w:rsidR="00E13392">
        <w:rPr>
          <w:rFonts w:ascii="Calibri" w:hAnsi="Calibri" w:cs="Times New Roman"/>
          <w:sz w:val="22"/>
          <w:szCs w:val="22"/>
        </w:rPr>
        <w:fldChar w:fldCharType="begin">
          <w:fldData xml:space="preserve">PEVuZE5vdGU+PENpdGU+PEF1dGhvcj5NdXJhemFraTwvQXV0aG9yPjxZZWFyPjIwMDY8L1llYXI+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</w:fldData>
        </w:fldChar>
      </w:r>
      <w:r w:rsidR="00723833">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PEVuZE5vdGU+PENpdGU+PEF1dGhvcj5NdXJhemFraTwvQXV0aG9yPjxZZWFyPjIwMDY8L1llYXI+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</w:fldData>
        </w:fldChar>
      </w:r>
      <w:r w:rsidR="00723833">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Pr>
          <w:rFonts w:ascii="Calibri" w:hAnsi="Calibri" w:cs="Times New Roman"/>
          <w:sz w:val="22"/>
          <w:szCs w:val="22"/>
        </w:rPr>
      </w:r>
      <w:r w:rsidR="00E1339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79,81</w:t>
      </w:r>
      <w:r w:rsidR="00E13392">
        <w:rPr>
          <w:rFonts w:ascii="Calibri" w:hAnsi="Calibri" w:cs="Times New Roman"/>
          <w:sz w:val="22"/>
          <w:szCs w:val="22"/>
        </w:rPr>
        <w:fldChar w:fldCharType="end"/>
      </w:r>
      <w:r w:rsidRPr="004349AE">
        <w:rPr>
          <w:rFonts w:ascii="Calibri" w:hAnsi="Calibri" w:cs="Times New Roman"/>
          <w:sz w:val="22"/>
          <w:szCs w:val="22"/>
        </w:rPr>
        <w:t xml:space="preserve"> Knowlton et al. (2004) estimating that ozone-related acute morality in the US would rise by 4.5% from 1990 to 2050 through climate change alone.</w:t>
      </w:r>
      <w:r w:rsidR="00E13392" w:rsidRPr="00423562">
        <w:rPr>
          <w:rFonts w:ascii="Calibri" w:hAnsi="Calibri" w:cs="Times New Roman"/>
          <w:sz w:val="22"/>
          <w:szCs w:val="22"/>
        </w:rPr>
        <w:fldChar w:fldCharType="begin"/>
      </w:r>
      <w:r w:rsidR="00723833">
        <w:rPr>
          <w:rFonts w:ascii="Calibri" w:hAnsi="Calibri" w:cs="Times New Roman"/>
          <w:sz w:val="22"/>
          <w:szCs w:val="22"/>
        </w:rPr>
        <w:instrText xml:space="preserve"> ADDIN EN.CITE &lt;EndNote&gt;&lt;Cite&gt;&lt;Author&gt;Knowlton&lt;/Author&gt;&lt;Year&gt;2004&lt;/Year&gt;&lt;RecNum&gt;1048&lt;/RecNum&gt;&lt;DisplayText&gt;&lt;style face="superscript"&gt;83&lt;/style&gt;&lt;/DisplayText&gt;&lt;record&gt;&lt;rec-number&gt;1048&lt;/rec-number&gt;&lt;foreign-keys&gt;&lt;key app="EN" db-id="wtftd20rmszxx0ettxy5exwdf90wv22s2dsf" timestamp="1419212983"&gt;1048&lt;/key&gt;&lt;/foreign-keys&gt;&lt;ref-type name="Journal Article"&gt;17&lt;/ref-type&gt;&lt;contributors&gt;&lt;authors&gt;&lt;author&gt;Knowlton, Kim&lt;/author&gt;&lt;author&gt;Rosenthal, Joyce E.&lt;/author&gt;&lt;author&gt;Hogrefe, Christian&lt;/author&gt;&lt;author&gt;Lynn, Barry&lt;/author&gt;&lt;author&gt;Gaffin, Stuart&lt;/author&gt;&lt;author&gt;Goldberg, Richard&lt;/author&gt;&lt;author&gt;Rosenzweig, Cynthia&lt;/author&gt;&lt;author&gt;Civerolo, Kevin&lt;/author&gt;&lt;author&gt;Ku, Jia-Yeong&lt;/author&gt;&lt;author&gt;Kinney, Patrick L.&lt;/author&gt;&lt;/authors&gt;&lt;/contributors&gt;&lt;titles&gt;&lt;title&gt;Assessing Ozone-Related Health Impacts under a Changing Climate&lt;/title&gt;&lt;secondary-title&gt;Environmental Health Perspectives&lt;/secondary-title&gt;&lt;/titles&gt;&lt;periodical&gt;&lt;full-title&gt;Environmental Health Perspectives&lt;/full-title&gt;&lt;/periodical&gt;&lt;pages&gt;1557-1563&lt;/pages&gt;&lt;volume&gt;112&lt;/volume&gt;&lt;number&gt;15&lt;/number&gt;&lt;dates&gt;&lt;year&gt;2004&lt;/year&gt;&lt;pub-dates&gt;&lt;date&gt;08/16&amp;#xD;04/06/received&amp;#xD;08/16/accepted&lt;/date&gt;&lt;/pub-dates&gt;&lt;/dates&gt;&lt;publisher&gt;National Institue of Environmental Health Sciences&lt;/publisher&gt;&lt;isbn&gt;0091-6765&amp;#xD;1552-9924&lt;/isbn&gt;&lt;accession-num&gt;PMC1247621&lt;/accession-num&gt;&lt;urls&gt;&lt;related-urls&gt;&lt;url&gt;http://www.ncbi.nlm.nih.gov/pmc/articles/PMC1247621/&lt;/url&gt;&lt;/related-urls&gt;&lt;/urls&gt;&lt;electronic-resource-num&gt;10.1289/ehp.7163&lt;/electronic-resource-num&gt;&lt;remote-database-name&gt;PMC&lt;/remote-database-name&gt;&lt;/record&gt;&lt;/Cite&gt;&lt;/EndNote&gt;</w:instrText>
      </w:r>
      <w:r w:rsidR="00E13392" w:rsidRPr="0042356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83</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Likewise, climate change is predicted to increase concentrations of fine particulate matter (2.5 micron particles - PM</w:t>
      </w:r>
      <w:r w:rsidRPr="004349AE">
        <w:rPr>
          <w:rFonts w:ascii="Calibri" w:hAnsi="Calibri" w:cs="Times New Roman"/>
          <w:sz w:val="22"/>
          <w:szCs w:val="22"/>
          <w:vertAlign w:val="subscript"/>
        </w:rPr>
        <w:t>2.5</w:t>
      </w:r>
      <w:r w:rsidRPr="004349AE">
        <w:rPr>
          <w:rFonts w:ascii="Calibri" w:hAnsi="Calibri" w:cs="Times New Roman"/>
          <w:sz w:val="22"/>
          <w:szCs w:val="22"/>
        </w:rPr>
        <w:t>) in some areas.</w:t>
      </w:r>
      <w:r w:rsidR="00E13392" w:rsidRPr="00423562">
        <w:rPr>
          <w:rFonts w:ascii="Calibri" w:hAnsi="Calibri" w:cs="Times New Roman"/>
          <w:sz w:val="22"/>
          <w:szCs w:val="22"/>
        </w:rPr>
        <w:fldChar w:fldCharType="begin">
          <w:fldData xml:space="preserve">PEVuZE5vdGU+PENpdGU+PEF1dGhvcj5UYWdhcmlzPC9BdXRob3I+PFllYXI+MjAwNzwvWWVhcj48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</w:fldData>
        </w:fldChar>
      </w:r>
      <w:r w:rsidR="00723833">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PEVuZE5vdGU+PENpdGU+PEF1dGhvcj5UYWdhcmlzPC9BdXRob3I+PFllYXI+MjAwNzwvWWVhcj48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</w:fldData>
        </w:fldChar>
      </w:r>
      <w:r w:rsidR="00723833">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sidRPr="00423562">
        <w:rPr>
          <w:rFonts w:ascii="Calibri" w:hAnsi="Calibri" w:cs="Times New Roman"/>
          <w:sz w:val="22"/>
          <w:szCs w:val="22"/>
        </w:rPr>
      </w:r>
      <w:r w:rsidR="00E13392" w:rsidRPr="0042356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80,84</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w:t>
      </w:r>
    </w:p>
    <w:p w:rsidR="004A6E9D" w:rsidRPr="00423562" w:rsidRDefault="004A6E9D" w:rsidP="004A6E9D">
      <w:pPr>
        <w:jc w:val="both"/>
        <w:rPr>
          <w:rFonts w:ascii="Calibri" w:hAnsi="Calibri"/>
          <w:sz w:val="22"/>
          <w:szCs w:val="22"/>
        </w:rPr>
      </w:pPr>
    </w:p>
    <w:p w:rsidR="004A6E9D" w:rsidRPr="00423562" w:rsidRDefault="004A6E9D" w:rsidP="004A6E9D">
      <w:pPr>
        <w:jc w:val="both"/>
        <w:rPr>
          <w:rFonts w:ascii="Calibri" w:hAnsi="Calibri" w:cs="Times New Roman"/>
          <w:sz w:val="22"/>
          <w:szCs w:val="22"/>
        </w:rPr>
      </w:pPr>
      <w:r w:rsidRPr="004349AE">
        <w:rPr>
          <w:rFonts w:ascii="Calibri" w:hAnsi="Calibri" w:cs="Times New Roman"/>
          <w:sz w:val="22"/>
          <w:szCs w:val="22"/>
        </w:rPr>
        <w:t>The interactions between air pollution and climate are highly differentiated by region. In China, for example, the interactions between climate and a range of pollutants is particularly acute. While action on carbon emissions dominate energy policy in China, climatic changes will have significant impact on air pollutants in all regions of the country.</w:t>
      </w:r>
      <w:r w:rsidR="00E13392" w:rsidRPr="00423562">
        <w:rPr>
          <w:rFonts w:ascii="Calibri" w:hAnsi="Calibri" w:cs="Times New Roman"/>
          <w:sz w:val="22"/>
          <w:szCs w:val="22"/>
        </w:rPr>
        <w:fldChar w:fldCharType="begin">
          <w:fldData xml:space="preserve">PEVuZE5vdGU+PENpdGU+PEF1dGhvcj5KaWFuZzwvQXV0aG9yPjxZZWFyPjIwMTM8L1llYXI+PFJl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</w:fldData>
        </w:fldChar>
      </w:r>
      <w:r w:rsidR="00723833">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PEVuZE5vdGU+PENpdGU+PEF1dGhvcj5KaWFuZzwvQXV0aG9yPjxZZWFyPjIwMTM8L1llYXI+PFJl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</w:fldData>
        </w:fldChar>
      </w:r>
      <w:r w:rsidR="00723833">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sidRPr="00423562">
        <w:rPr>
          <w:rFonts w:ascii="Calibri" w:hAnsi="Calibri" w:cs="Times New Roman"/>
          <w:sz w:val="22"/>
          <w:szCs w:val="22"/>
        </w:rPr>
      </w:r>
      <w:r w:rsidR="00E13392" w:rsidRPr="0042356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84,85</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Chinese ozone concentrations in 2050 have been projected to likely increase over present levels under many climate scenarios through the combined effects of emissions and climate change. The greatest rise will be in eastern and northern China.</w:t>
      </w:r>
      <w:r w:rsidR="00E13392" w:rsidRPr="00423562">
        <w:rPr>
          <w:rFonts w:ascii="Calibri" w:hAnsi="Calibri" w:cs="Times New Roman"/>
          <w:sz w:val="22"/>
          <w:szCs w:val="22"/>
        </w:rPr>
        <w:fldChar w:fldCharType="begin"/>
      </w:r>
      <w:r w:rsidR="00723833">
        <w:rPr>
          <w:rFonts w:ascii="Calibri" w:hAnsi="Calibri" w:cs="Times New Roman"/>
          <w:sz w:val="22"/>
          <w:szCs w:val="22"/>
        </w:rPr>
        <w:instrText xml:space="preserve"> ADDIN EN.CITE &lt;EndNote&gt;&lt;Cite&gt;&lt;Author&gt;Wang&lt;/Author&gt;&lt;Year&gt;2013&lt;/Year&gt;&lt;RecNum&gt;1057&lt;/RecNum&gt;&lt;DisplayText&gt;&lt;style face="superscript"&gt;85&lt;/style&gt;&lt;/DisplayText&gt;&lt;record&gt;&lt;rec-number&gt;1057&lt;/rec-number&gt;&lt;foreign-keys&gt;&lt;key app="EN" db-id="wtftd20rmszxx0ettxy5exwdf90wv22s2dsf" timestamp="1419212983"&gt;1057&lt;/key&gt;&lt;/foreign-keys&gt;&lt;ref-type name="Journal Article"&gt;17&lt;/ref-type&gt;&lt;contributors&gt;&lt;authors&gt;&lt;author&gt;Wang, Yuxuan&lt;/author&gt;&lt;author&gt;Shen, Lulu&lt;/author&gt;&lt;author&gt;Wu, Shiliang&lt;/author&gt;&lt;author&gt;Mickley, Loretta&lt;/author&gt;&lt;author&gt;He, Jingwei&lt;/author&gt;&lt;author&gt;Hao, Jiming&lt;/author&gt;&lt;/authors&gt;&lt;/contributors&gt;&lt;titles&gt;&lt;title&gt;Sensitivity of surface ozone over China to 2000–2050 global changes of climate and emissions&lt;/title&gt;&lt;secondary-title&gt;Atmospheric Environment&lt;/secondary-title&gt;&lt;/titles&gt;&lt;periodical&gt;&lt;full-title&gt;Atmospheric Environment&lt;/full-title&gt;&lt;/periodical&gt;&lt;pages&gt;374-382&lt;/pages&gt;&lt;volume&gt;75&lt;/volume&gt;&lt;number&gt;0&lt;/number&gt;&lt;keywords&gt;&lt;keyword&gt;Climate change&lt;/keyword&gt;&lt;keyword&gt;Ozone&lt;/keyword&gt;&lt;keyword&gt;China&lt;/keyword&gt;&lt;keyword&gt;Emissions&lt;/keyword&gt;&lt;/keywords&gt;&lt;dates&gt;&lt;year&gt;2013&lt;/year&gt;&lt;pub-dates&gt;&lt;date&gt;8//&lt;/date&gt;&lt;/pub-dates&gt;&lt;/dates&gt;&lt;isbn&gt;1352-2310&lt;/isbn&gt;&lt;urls&gt;&lt;related-urls&gt;&lt;url&gt;http://www.sciencedirect.com/science/article/pii/S1352231013002999&lt;/url&gt;&lt;/related-urls&gt;&lt;/urls&gt;&lt;electronic-resource-num&gt;http://dx.doi.org/10.1016/j.atmosenv.2013.04.045&lt;/electronic-resource-num&gt;&lt;/record&gt;&lt;/Cite&gt;&lt;/EndNote&gt;</w:instrText>
      </w:r>
      <w:r w:rsidR="00E13392" w:rsidRPr="0042356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85</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Compared with ozone, PM</w:t>
      </w:r>
      <w:r w:rsidRPr="004349AE">
        <w:rPr>
          <w:rFonts w:ascii="Calibri" w:hAnsi="Calibri" w:cs="Times New Roman"/>
          <w:sz w:val="22"/>
          <w:szCs w:val="22"/>
          <w:vertAlign w:val="subscript"/>
        </w:rPr>
        <w:t>2.5</w:t>
      </w:r>
      <w:r w:rsidRPr="004349AE">
        <w:rPr>
          <w:rFonts w:ascii="Calibri" w:hAnsi="Calibri" w:cs="Times New Roman"/>
          <w:sz w:val="22"/>
          <w:szCs w:val="22"/>
        </w:rPr>
        <w:t xml:space="preserve"> levels rely more on changes in emissions than temperature. The concentrations of SO</w:t>
      </w:r>
      <w:r w:rsidRPr="004349AE">
        <w:rPr>
          <w:rFonts w:ascii="Calibri" w:hAnsi="Calibri" w:cs="Times New Roman"/>
          <w:sz w:val="22"/>
          <w:szCs w:val="22"/>
          <w:vertAlign w:val="subscript"/>
        </w:rPr>
        <w:t>4</w:t>
      </w:r>
      <w:r w:rsidRPr="004349AE">
        <w:rPr>
          <w:rFonts w:ascii="Calibri" w:hAnsi="Calibri" w:cs="Times New Roman"/>
          <w:sz w:val="22"/>
          <w:szCs w:val="22"/>
          <w:vertAlign w:val="superscript"/>
        </w:rPr>
        <w:t>2-</w:t>
      </w:r>
      <w:r w:rsidRPr="004349AE">
        <w:rPr>
          <w:rFonts w:ascii="Calibri" w:hAnsi="Calibri" w:cs="Times New Roman"/>
          <w:sz w:val="22"/>
          <w:szCs w:val="22"/>
        </w:rPr>
        <w:t>, Black Carbon and Organic Carbon are projected to fall, but those of NO</w:t>
      </w:r>
      <w:r w:rsidRPr="004349AE">
        <w:rPr>
          <w:rFonts w:ascii="Calibri" w:hAnsi="Calibri" w:cs="Times New Roman"/>
          <w:sz w:val="22"/>
          <w:szCs w:val="22"/>
          <w:vertAlign w:val="subscript"/>
        </w:rPr>
        <w:t>3</w:t>
      </w:r>
      <w:r w:rsidRPr="004349AE">
        <w:rPr>
          <w:rFonts w:ascii="Calibri" w:hAnsi="Calibri" w:cs="Times New Roman"/>
          <w:sz w:val="22"/>
          <w:szCs w:val="22"/>
          <w:vertAlign w:val="superscript"/>
        </w:rPr>
        <w:t xml:space="preserve">- </w:t>
      </w:r>
      <w:r w:rsidRPr="004349AE">
        <w:rPr>
          <w:rFonts w:ascii="Calibri" w:hAnsi="Calibri" w:cs="Times New Roman"/>
          <w:sz w:val="22"/>
          <w:szCs w:val="22"/>
        </w:rPr>
        <w:t>to rise across China under many possible climate futures.</w:t>
      </w:r>
      <w:r w:rsidR="00E13392" w:rsidRPr="00423562">
        <w:rPr>
          <w:rFonts w:ascii="Calibri" w:hAnsi="Calibri" w:cs="Times New Roman"/>
          <w:sz w:val="22"/>
          <w:szCs w:val="22"/>
        </w:rPr>
        <w:fldChar w:fldCharType="begin"/>
      </w:r>
      <w:r w:rsidR="00723833">
        <w:rPr>
          <w:rFonts w:ascii="Calibri" w:hAnsi="Calibri" w:cs="Times New Roman"/>
          <w:sz w:val="22"/>
          <w:szCs w:val="22"/>
        </w:rPr>
        <w:instrText xml:space="preserve"> ADDIN EN.CITE &lt;EndNote&gt;&lt;Cite&gt;&lt;Author&gt;Jiang&lt;/Author&gt;&lt;Year&gt;2013&lt;/Year&gt;&lt;RecNum&gt;1047&lt;/RecNum&gt;&lt;DisplayText&gt;&lt;style face="superscript"&gt;84&lt;/style&gt;&lt;/DisplayText&gt;&lt;record&gt;&lt;rec-number&gt;1047&lt;/rec-number&gt;&lt;foreign-keys&gt;&lt;key app="EN" db-id="wtftd20rmszxx0ettxy5exwdf90wv22s2dsf" timestamp="1419212983"&gt;1047&lt;/key&gt;&lt;/foreign-keys&gt;&lt;ref-type name="Journal Article"&gt;17&lt;/ref-type&gt;&lt;contributors&gt;&lt;authors&gt;&lt;author&gt;Jiang, H.&lt;/author&gt;&lt;author&gt;Liao, H.&lt;/author&gt;&lt;author&gt;Pye, H. O. T.&lt;/author&gt;&lt;author&gt;Wu, S.&lt;/author&gt;&lt;author&gt;Mickley, L. J.&lt;/author&gt;&lt;author&gt;Seinfeld, J. H.&lt;/author&gt;&lt;author&gt;Zhang, X. Y.&lt;/author&gt;&lt;/authors&gt;&lt;/contributors&gt;&lt;titles&gt;&lt;title&gt;Projected effect of 2000–2050 changes in climate and emissions on aerosol levels in China and associated transboundary transport&lt;/title&gt;&lt;secondary-title&gt;Atmos. Chem. Phys.&lt;/secondary-title&gt;&lt;/titles&gt;&lt;periodical&gt;&lt;full-title&gt;Atmos. Chem. Phys.&lt;/full-title&gt;&lt;/periodical&gt;&lt;pages&gt;7937-7960&lt;/pages&gt;&lt;volume&gt;13&lt;/volume&gt;&lt;number&gt;16&lt;/number&gt;&lt;dates&gt;&lt;year&gt;2013&lt;/year&gt;&lt;/dates&gt;&lt;publisher&gt;Copernicus Publications&lt;/publisher&gt;&lt;isbn&gt;1680-7324&lt;/isbn&gt;&lt;urls&gt;&lt;related-urls&gt;&lt;url&gt;http://www.atmos-chem-phys.net/13/7937/2013/&lt;/url&gt;&lt;/related-urls&gt;&lt;/urls&gt;&lt;electronic-resource-num&gt;10.5194/acp-13-7937-2013&lt;/electronic-resource-num&gt;&lt;/record&gt;&lt;/Cite&gt;&lt;/EndNote&gt;</w:instrText>
      </w:r>
      <w:r w:rsidR="00E13392" w:rsidRPr="0042356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84</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Levels of aerosols (especially NO</w:t>
      </w:r>
      <w:r w:rsidRPr="004349AE">
        <w:rPr>
          <w:rFonts w:ascii="Calibri" w:hAnsi="Calibri" w:cs="Times New Roman"/>
          <w:sz w:val="22"/>
          <w:szCs w:val="22"/>
          <w:vertAlign w:val="subscript"/>
        </w:rPr>
        <w:t>3</w:t>
      </w:r>
      <w:r w:rsidRPr="004349AE">
        <w:rPr>
          <w:rFonts w:ascii="Calibri" w:hAnsi="Calibri" w:cs="Times New Roman"/>
          <w:sz w:val="22"/>
          <w:szCs w:val="22"/>
          <w:vertAlign w:val="superscript"/>
        </w:rPr>
        <w:t>-</w:t>
      </w:r>
      <w:r w:rsidRPr="004349AE">
        <w:rPr>
          <w:rFonts w:ascii="Calibri" w:hAnsi="Calibri" w:cs="Times New Roman"/>
          <w:sz w:val="22"/>
          <w:szCs w:val="22"/>
        </w:rPr>
        <w:t>) in the eastern Chinese spring will be especially affected by 2030. Falling emissions would reduce overall PM</w:t>
      </w:r>
      <w:r w:rsidRPr="004349AE">
        <w:rPr>
          <w:rFonts w:ascii="Calibri" w:hAnsi="Calibri" w:cs="Times New Roman"/>
          <w:sz w:val="22"/>
          <w:szCs w:val="22"/>
          <w:vertAlign w:val="subscript"/>
        </w:rPr>
        <w:t>2.5</w:t>
      </w:r>
      <w:r w:rsidRPr="004349AE">
        <w:rPr>
          <w:rFonts w:ascii="Calibri" w:hAnsi="Calibri" w:cs="Times New Roman"/>
          <w:sz w:val="22"/>
          <w:szCs w:val="22"/>
        </w:rPr>
        <w:t xml:space="preserve"> concentrations by 1-8 ug-m</w:t>
      </w:r>
      <w:r w:rsidRPr="004349AE">
        <w:rPr>
          <w:rFonts w:ascii="Calibri" w:hAnsi="Calibri" w:cs="Times New Roman"/>
          <w:sz w:val="22"/>
          <w:szCs w:val="22"/>
          <w:vertAlign w:val="superscript"/>
        </w:rPr>
        <w:t xml:space="preserve">-3 </w:t>
      </w:r>
      <w:r w:rsidRPr="004349AE">
        <w:rPr>
          <w:rFonts w:ascii="Calibri" w:hAnsi="Calibri" w:cs="Times New Roman"/>
          <w:sz w:val="22"/>
          <w:szCs w:val="22"/>
        </w:rPr>
        <w:t>in 2050 when compared to those in 2000 despite a small increase (10%-20%) driven by climate change alone.</w:t>
      </w:r>
      <w:r w:rsidR="00E13392" w:rsidRPr="00423562">
        <w:rPr>
          <w:rFonts w:ascii="Calibri" w:hAnsi="Calibri" w:cs="Times New Roman"/>
          <w:sz w:val="22"/>
          <w:szCs w:val="22"/>
        </w:rPr>
        <w:fldChar w:fldCharType="begin"/>
      </w:r>
      <w:r w:rsidR="00723833">
        <w:rPr>
          <w:rFonts w:ascii="Calibri" w:hAnsi="Calibri" w:cs="Times New Roman"/>
          <w:sz w:val="22"/>
          <w:szCs w:val="22"/>
        </w:rPr>
        <w:instrText xml:space="preserve"> ADDIN EN.CITE &lt;EndNote&gt;&lt;Cite&gt;&lt;Author&gt;Jiang&lt;/Author&gt;&lt;Year&gt;2013&lt;/Year&gt;&lt;RecNum&gt;1047&lt;/RecNum&gt;&lt;DisplayText&gt;&lt;style face="superscript"&gt;84&lt;/style&gt;&lt;/DisplayText&gt;&lt;record&gt;&lt;rec-number&gt;1047&lt;/rec-number&gt;&lt;foreign-keys&gt;&lt;key app="EN" db-id="wtftd20rmszxx0ettxy5exwdf90wv22s2dsf" timestamp="1419212983"&gt;1047&lt;/key&gt;&lt;/foreign-keys&gt;&lt;ref-type name="Journal Article"&gt;17&lt;/ref-type&gt;&lt;contributors&gt;&lt;authors&gt;&lt;author&gt;Jiang, H.&lt;/author&gt;&lt;author&gt;Liao, H.&lt;/author&gt;&lt;author&gt;Pye, H. O. T.&lt;/author&gt;&lt;author&gt;Wu, S.&lt;/author&gt;&lt;author&gt;Mickley, L. J.&lt;/author&gt;&lt;author&gt;Seinfeld, J. H.&lt;/author&gt;&lt;author&gt;Zhang, X. Y.&lt;/author&gt;&lt;/authors&gt;&lt;/contributors&gt;&lt;titles&gt;&lt;title&gt;Projected effect of 2000–2050 changes in climate and emissions on aerosol levels in China and associated transboundary transport&lt;/title&gt;&lt;secondary-title&gt;Atmos. Chem. Phys.&lt;/secondary-title&gt;&lt;/titles&gt;&lt;periodical&gt;&lt;full-title&gt;Atmos. Chem. Phys.&lt;/full-title&gt;&lt;/periodical&gt;&lt;pages&gt;7937-7960&lt;/pages&gt;&lt;volume&gt;13&lt;/volume&gt;&lt;number&gt;16&lt;/number&gt;&lt;dates&gt;&lt;year&gt;2013&lt;/year&gt;&lt;/dates&gt;&lt;publisher&gt;Copernicus Publications&lt;/publisher&gt;&lt;isbn&gt;1680-7324&lt;/isbn&gt;&lt;urls&gt;&lt;related-urls&gt;&lt;url&gt;http://www.atmos-chem-phys.net/13/7937/2013/&lt;/url&gt;&lt;/related-urls&gt;&lt;/urls&gt;&lt;electronic-resource-num&gt;10.5194/acp-13-7937-2013&lt;/electronic-resource-num&gt;&lt;/record&gt;&lt;/Cite&gt;&lt;/EndNote&gt;</w:instrText>
      </w:r>
      <w:r w:rsidR="00E13392" w:rsidRPr="0042356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84</w:t>
      </w:r>
      <w:r w:rsidR="00E13392" w:rsidRPr="00423562">
        <w:rPr>
          <w:rFonts w:ascii="Calibri" w:hAnsi="Calibri" w:cs="Times New Roman"/>
          <w:sz w:val="22"/>
          <w:szCs w:val="22"/>
        </w:rPr>
        <w:fldChar w:fldCharType="end"/>
      </w:r>
      <w:r w:rsidRPr="004349AE">
        <w:rPr>
          <w:rFonts w:ascii="Calibri" w:hAnsi="Calibri" w:cs="Times New Roman"/>
          <w:sz w:val="22"/>
          <w:szCs w:val="22"/>
        </w:rPr>
        <w:t xml:space="preserve"> Although emission changes play a key role in projection, climate-driven change should not be ignored if warming exceeds 2</w:t>
      </w:r>
      <w:r w:rsidRPr="004349AE">
        <w:rPr>
          <w:rFonts w:ascii="Calibri" w:hAnsi="Calibri" w:cs="Times New Roman"/>
          <w:sz w:val="22"/>
          <w:szCs w:val="22"/>
          <w:vertAlign w:val="superscript"/>
        </w:rPr>
        <w:t>o</w:t>
      </w:r>
      <w:r w:rsidRPr="004349AE">
        <w:rPr>
          <w:rFonts w:ascii="Calibri" w:hAnsi="Calibri" w:cs="Times New Roman"/>
          <w:sz w:val="22"/>
          <w:szCs w:val="22"/>
        </w:rPr>
        <w:t>C. PM</w:t>
      </w:r>
      <w:r w:rsidRPr="004349AE">
        <w:rPr>
          <w:rFonts w:ascii="Calibri" w:hAnsi="Calibri" w:cs="Times New Roman"/>
          <w:sz w:val="22"/>
          <w:szCs w:val="22"/>
          <w:vertAlign w:val="subscript"/>
        </w:rPr>
        <w:t>2.5</w:t>
      </w:r>
      <w:r w:rsidRPr="004349AE">
        <w:rPr>
          <w:rFonts w:ascii="Calibri" w:hAnsi="Calibri" w:cs="Times New Roman"/>
          <w:sz w:val="22"/>
          <w:szCs w:val="22"/>
        </w:rPr>
        <w:t xml:space="preserve"> is sensitive to precipitation and monsoon changes and global warming will alter Chinese precipitation seasonally and regionally, thereby changing the regional concentration of PM</w:t>
      </w:r>
      <w:r w:rsidRPr="004349AE">
        <w:rPr>
          <w:rFonts w:ascii="Calibri" w:hAnsi="Calibri" w:cs="Times New Roman"/>
          <w:sz w:val="22"/>
          <w:szCs w:val="22"/>
          <w:vertAlign w:val="subscript"/>
        </w:rPr>
        <w:t>2.5</w:t>
      </w:r>
      <w:r w:rsidRPr="004349AE">
        <w:rPr>
          <w:rFonts w:ascii="Calibri" w:hAnsi="Calibri" w:cs="Times New Roman"/>
          <w:sz w:val="22"/>
          <w:szCs w:val="22"/>
        </w:rPr>
        <w:t>.</w:t>
      </w:r>
      <w:r w:rsidR="00E13392" w:rsidRPr="00423562">
        <w:rPr>
          <w:rFonts w:ascii="Calibri" w:hAnsi="Calibri" w:cs="Times New Roman"/>
          <w:sz w:val="22"/>
          <w:szCs w:val="22"/>
        </w:rPr>
        <w:fldChar w:fldCharType="begin"/>
      </w:r>
      <w:r w:rsidR="00723833">
        <w:rPr>
          <w:rFonts w:ascii="Calibri" w:hAnsi="Calibri" w:cs="Times New Roman"/>
          <w:sz w:val="22"/>
          <w:szCs w:val="22"/>
        </w:rPr>
        <w:instrText xml:space="preserve"> ADDIN EN.CITE &lt;EndNote&gt;&lt;Cite&gt;&lt;Author&gt;Jacob&lt;/Author&gt;&lt;Year&gt;2009&lt;/Year&gt;&lt;RecNum&gt;1046&lt;/RecNum&gt;&lt;DisplayText&gt;&lt;style face="superscript"&gt;76,86&lt;/style&gt;&lt;/DisplayText&gt;&lt;record&gt;&lt;rec-number&gt;1046&lt;/rec-number&gt;&lt;foreign-keys&gt;&lt;key app="EN" db-id="wtftd20rmszxx0ettxy5exwdf90wv22s2dsf" timestamp="1419212983"&gt;1046&lt;/key&gt;&lt;/foreign-keys&gt;&lt;ref-type name="Journal Article"&gt;17&lt;/ref-type&gt;&lt;contributors&gt;&lt;authors&gt;&lt;author&gt;Jacob, Daniel J.&lt;/author&gt;&lt;author&gt;Winner, Darrell A.&lt;/author&gt;&lt;/authors&gt;&lt;/contributors&gt;&lt;titles&gt;&lt;title&gt;Effect of climate change on air quality&lt;/title&gt;&lt;secondary-title&gt;Atmospheric Environment&lt;/secondary-title&gt;&lt;/titles&gt;&lt;periodical&gt;&lt;full-title&gt;Atmospheric Environment&lt;/full-title&gt;&lt;/periodical&gt;&lt;pages&gt;51-63&lt;/pages&gt;&lt;volume&gt;43&lt;/volume&gt;&lt;number&gt;1&lt;/number&gt;&lt;keywords&gt;&lt;keyword&gt;Climate change&lt;/keyword&gt;&lt;keyword&gt;Air quality&lt;/keyword&gt;&lt;keyword&gt;Air pollution meteorology&lt;/keyword&gt;&lt;keyword&gt;Ozone&lt;/keyword&gt;&lt;keyword&gt;Particulate matter&lt;/keyword&gt;&lt;keyword&gt;Mercury&lt;/keyword&gt;&lt;/keywords&gt;&lt;dates&gt;&lt;year&gt;2009&lt;/year&gt;&lt;pub-dates&gt;&lt;date&gt;1//&lt;/date&gt;&lt;/pub-dates&gt;&lt;/dates&gt;&lt;isbn&gt;1352-2310&lt;/isbn&gt;&lt;urls&gt;&lt;related-urls&gt;&lt;url&gt;http://www.sciencedirect.com/science/article/pii/S1352231008008571&lt;/url&gt;&lt;/related-urls&gt;&lt;/urls&gt;&lt;electronic-resource-num&gt;http://dx.doi.org/10.1016/j.atmosenv.2008.09.051&lt;/electronic-resource-num&gt;&lt;/record&gt;&lt;/Cite&gt;&lt;Cite&gt;&lt;Author&gt;Jiang&lt;/Author&gt;&lt;Year&gt;2008&lt;/Year&gt;&lt;RecNum&gt;1069&lt;/RecNum&gt;&lt;record&gt;&lt;rec-number&gt;1069&lt;/rec-number&gt;&lt;foreign-keys&gt;&lt;key app="EN" db-id="wtftd20rmszxx0ettxy5exwdf90wv22s2dsf" timestamp="1419212983"&gt;1069&lt;/key&gt;&lt;/foreign-keys&gt;&lt;ref-type name="Journal Article"&gt;17&lt;/ref-type&gt;&lt;contributors&gt;&lt;authors&gt;&lt;author&gt;Jiang, Z. &lt;/author&gt;&lt;author&gt;Zhang, X.&lt;/author&gt;&lt;author&gt;Wang, J.&lt;/author&gt;&lt;/authors&gt;&lt;/contributors&gt;&lt;titles&gt;&lt;title&gt;Projection of climate change in China in the 21st century by IPCC-AR4 Models &lt;/title&gt;&lt;secondary-title&gt;Geographical Research&lt;/secondary-title&gt;&lt;/titles&gt;&lt;periodical&gt;&lt;full-title&gt;Geographical Research&lt;/full-title&gt;&lt;/periodical&gt;&lt;pages&gt;787-799&lt;/pages&gt;&lt;volume&gt;27&lt;/volume&gt;&lt;dates&gt;&lt;year&gt;2008&lt;/year&gt;&lt;/dates&gt;&lt;urls&gt;&lt;/urls&gt;&lt;/record&gt;&lt;/Cite&gt;&lt;/EndNote&gt;</w:instrText>
      </w:r>
      <w:r w:rsidR="00E13392" w:rsidRPr="0042356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76,86</w:t>
      </w:r>
      <w:r w:rsidR="00E13392" w:rsidRPr="00423562">
        <w:rPr>
          <w:rFonts w:ascii="Calibri" w:hAnsi="Calibri" w:cs="Times New Roman"/>
          <w:sz w:val="22"/>
          <w:szCs w:val="22"/>
        </w:rPr>
        <w:fldChar w:fldCharType="end"/>
      </w:r>
      <w:r w:rsidR="00423562">
        <w:rPr>
          <w:rFonts w:ascii="Calibri" w:hAnsi="Calibri" w:cs="Times New Roman"/>
          <w:sz w:val="22"/>
          <w:szCs w:val="22"/>
        </w:rPr>
        <w:t xml:space="preserve"> </w:t>
      </w:r>
      <w:r w:rsidR="00D02DB4">
        <w:rPr>
          <w:rFonts w:ascii="Calibri" w:hAnsi="Calibri" w:cs="Times New Roman"/>
          <w:sz w:val="22"/>
          <w:szCs w:val="22"/>
        </w:rPr>
        <w:t xml:space="preserve">Independent of climate </w:t>
      </w:r>
      <w:r w:rsidR="00423562" w:rsidRPr="004349AE">
        <w:rPr>
          <w:rFonts w:ascii="Calibri" w:hAnsi="Calibri" w:cs="Times New Roman"/>
          <w:sz w:val="22"/>
          <w:szCs w:val="22"/>
        </w:rPr>
        <w:t xml:space="preserve">change, China’s air pollution has already come at great cost, with an annual </w:t>
      </w:r>
      <w:r w:rsidR="00863C0A">
        <w:rPr>
          <w:rFonts w:ascii="Calibri" w:hAnsi="Calibri" w:cs="Times New Roman"/>
          <w:sz w:val="22"/>
          <w:szCs w:val="22"/>
        </w:rPr>
        <w:t xml:space="preserve">pollution-related </w:t>
      </w:r>
      <w:r w:rsidR="00423562" w:rsidRPr="004349AE">
        <w:rPr>
          <w:rFonts w:ascii="Calibri" w:hAnsi="Calibri" w:cs="Times New Roman"/>
          <w:sz w:val="22"/>
          <w:szCs w:val="22"/>
        </w:rPr>
        <w:t>mor</w:t>
      </w:r>
      <w:r w:rsidR="00863C0A">
        <w:rPr>
          <w:rFonts w:ascii="Calibri" w:hAnsi="Calibri" w:cs="Times New Roman"/>
          <w:sz w:val="22"/>
          <w:szCs w:val="22"/>
        </w:rPr>
        <w:t>t</w:t>
      </w:r>
      <w:r w:rsidR="00423562" w:rsidRPr="004349AE">
        <w:rPr>
          <w:rFonts w:ascii="Calibri" w:hAnsi="Calibri" w:cs="Times New Roman"/>
          <w:sz w:val="22"/>
          <w:szCs w:val="22"/>
        </w:rPr>
        <w:t>ality of 1</w:t>
      </w:r>
      <w:r w:rsidR="000C0A4C">
        <w:rPr>
          <w:rFonts w:ascii="Calibri" w:hAnsi="Calibri" w:cs="Times New Roman"/>
          <w:sz w:val="22"/>
          <w:szCs w:val="22"/>
        </w:rPr>
        <w:t>.</w:t>
      </w:r>
      <w:r w:rsidR="00423562" w:rsidRPr="004349AE">
        <w:rPr>
          <w:rFonts w:ascii="Calibri" w:hAnsi="Calibri" w:cs="Times New Roman"/>
          <w:sz w:val="22"/>
          <w:szCs w:val="22"/>
        </w:rPr>
        <w:t>21 million in 2010.</w:t>
      </w:r>
      <w:r w:rsidR="00E13392">
        <w:rPr>
          <w:rFonts w:ascii="Calibri" w:hAnsi="Calibri" w:cs="Times New Roman"/>
          <w:sz w:val="22"/>
          <w:szCs w:val="22"/>
        </w:rPr>
        <w:fldChar w:fldCharType="begin">
          <w:fldData xml:space="preserve">PEVuZE5vdGU+PENpdGU+PEF1dGhvcj5MaW08L0F1dGhvcj48WWVhcj4yMDEyPC9ZZWFyPjxSZWNO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</w:fldData>
        </w:fldChar>
      </w:r>
      <w:r w:rsidR="00723833">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PEVuZE5vdGU+PENpdGU+PEF1dGhvcj5MaW08L0F1dGhvcj48WWVhcj4yMDEyPC9ZZWFyPjxSZWNO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</w:fldData>
        </w:fldChar>
      </w:r>
      <w:r w:rsidR="00723833">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Pr>
          <w:rFonts w:ascii="Calibri" w:hAnsi="Calibri" w:cs="Times New Roman"/>
          <w:sz w:val="22"/>
          <w:szCs w:val="22"/>
        </w:rPr>
      </w:r>
      <w:r w:rsidR="00E1339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87</w:t>
      </w:r>
      <w:r w:rsidR="00E13392">
        <w:rPr>
          <w:rFonts w:ascii="Calibri" w:hAnsi="Calibri" w:cs="Times New Roman"/>
          <w:sz w:val="22"/>
          <w:szCs w:val="22"/>
        </w:rPr>
        <w:fldChar w:fldCharType="end"/>
      </w:r>
    </w:p>
    <w:p w:rsidR="00533226" w:rsidRDefault="00533226" w:rsidP="00533226">
      <w:pPr>
        <w:jc w:val="both"/>
        <w:rPr>
          <w:rFonts w:ascii="Calibri" w:hAnsi="Calibri" w:cs="Times New Roman"/>
          <w:sz w:val="22"/>
        </w:rPr>
      </w:pPr>
    </w:p>
    <w:p w:rsidR="004A6E9D" w:rsidRDefault="004A6E9D" w:rsidP="004A6E9D">
      <w:pPr>
        <w:jc w:val="both"/>
        <w:rPr>
          <w:rFonts w:ascii="Calibri" w:hAnsi="Calibri"/>
        </w:rPr>
      </w:pPr>
      <w:r>
        <w:rPr>
          <w:rFonts w:ascii="Calibri" w:hAnsi="Calibri" w:cs="Times New Roman"/>
          <w:sz w:val="22"/>
        </w:rPr>
        <w:t xml:space="preserve">Climate change has significant implications for livelihoods, food security and poverty levels, and on the capacity of governments and health systems to manage emerging health risks. </w:t>
      </w:r>
      <w:r w:rsidR="00863C0A">
        <w:rPr>
          <w:rFonts w:ascii="Calibri" w:hAnsi="Calibri" w:cs="Times New Roman"/>
          <w:sz w:val="22"/>
        </w:rPr>
        <w:t>C</w:t>
      </w:r>
      <w:r>
        <w:rPr>
          <w:rFonts w:ascii="Calibri" w:hAnsi="Calibri" w:cs="Times New Roman"/>
          <w:sz w:val="22"/>
          <w:szCs w:val="22"/>
        </w:rPr>
        <w:t>rops and livestock have physiological limits to their health, productivity and survival, which include those related to temperature. For every degree above 30°C, the productivity of maize production in Africa may be reduced by 1% in optimal conditions and 1.7% in drought, with the production of South African maize and wheat having a 95% chance of being harmed by climate change in the absence of adaptation.</w:t>
      </w:r>
      <w:r w:rsidR="00E13392">
        <w:rPr>
          <w:rFonts w:ascii="Calibri" w:hAnsi="Calibri" w:cs="Times New Roman"/>
          <w:sz w:val="22"/>
          <w:szCs w:val="22"/>
        </w:rPr>
        <w:fldChar w:fldCharType="begin">
          <w:fldData xml:space="preserve">PEVuZE5vdGU+PENpdGU+PEF1dGhvcj5Mb2JlbGw8L0F1dGhvcj48WWVhcj4yMDExPC9ZZWFyPjxS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</w:fldData>
        </w:fldChar>
      </w:r>
      <w:r w:rsidR="00723833">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PEVuZE5vdGU+PENpdGU+PEF1dGhvcj5Mb2JlbGw8L0F1dGhvcj48WWVhcj4yMDExPC9ZZWFyPjxS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</w:fldData>
        </w:fldChar>
      </w:r>
      <w:r w:rsidR="00723833">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Pr>
          <w:rFonts w:ascii="Calibri" w:hAnsi="Calibri" w:cs="Times New Roman"/>
          <w:sz w:val="22"/>
          <w:szCs w:val="22"/>
        </w:rPr>
      </w:r>
      <w:r w:rsidR="00E1339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88,89</w:t>
      </w:r>
      <w:r w:rsidR="00E13392">
        <w:rPr>
          <w:rFonts w:ascii="Calibri" w:hAnsi="Calibri" w:cs="Times New Roman"/>
          <w:sz w:val="22"/>
          <w:szCs w:val="22"/>
        </w:rPr>
        <w:fldChar w:fldCharType="end"/>
      </w:r>
      <w:r>
        <w:rPr>
          <w:rFonts w:ascii="Calibri" w:hAnsi="Calibri" w:cs="Times New Roman"/>
          <w:sz w:val="22"/>
          <w:szCs w:val="22"/>
        </w:rPr>
        <w:t xml:space="preserve"> </w:t>
      </w:r>
    </w:p>
    <w:p w:rsidR="004A6E9D" w:rsidRDefault="004A6E9D" w:rsidP="004A6E9D">
      <w:pPr>
        <w:jc w:val="both"/>
        <w:rPr>
          <w:rFonts w:ascii="Calibri" w:hAnsi="Calibri" w:cs="Times New Roman"/>
          <w:sz w:val="22"/>
          <w:szCs w:val="22"/>
        </w:rPr>
      </w:pPr>
    </w:p>
    <w:p w:rsidR="004A6E9D" w:rsidRDefault="004A6E9D" w:rsidP="004A6E9D">
      <w:pPr>
        <w:jc w:val="both"/>
        <w:rPr>
          <w:rFonts w:ascii="Calibri" w:hAnsi="Calibri" w:cs="Times New Roman"/>
          <w:sz w:val="22"/>
          <w:szCs w:val="22"/>
        </w:rPr>
      </w:pPr>
      <w:r>
        <w:rPr>
          <w:rFonts w:ascii="Calibri" w:hAnsi="Calibri" w:cs="Times New Roman"/>
          <w:sz w:val="22"/>
          <w:szCs w:val="22"/>
        </w:rPr>
        <w:t xml:space="preserve">Sensitivity of crops and livestock to weather variation has a significant impact on food security in regions that are already food insecure, pushing up food prices and ultimately affecting food availability and affordability to poor populations and contributing to </w:t>
      </w:r>
      <w:r w:rsidR="00863C0A">
        <w:rPr>
          <w:rFonts w:ascii="Calibri" w:hAnsi="Calibri" w:cs="Times New Roman"/>
          <w:sz w:val="22"/>
          <w:szCs w:val="22"/>
        </w:rPr>
        <w:t>malnutrition</w:t>
      </w:r>
      <w:r>
        <w:rPr>
          <w:rFonts w:ascii="Calibri" w:hAnsi="Calibri" w:cs="Times New Roman"/>
          <w:sz w:val="22"/>
          <w:szCs w:val="22"/>
        </w:rPr>
        <w:t>.</w:t>
      </w:r>
      <w:r w:rsidR="00E13392">
        <w:rPr>
          <w:rFonts w:ascii="Calibri" w:hAnsi="Calibri" w:cs="Times New Roman"/>
          <w:sz w:val="22"/>
          <w:szCs w:val="22"/>
        </w:rPr>
        <w:fldChar w:fldCharType="begin"/>
      </w:r>
      <w:r w:rsidR="00723833">
        <w:rPr>
          <w:rFonts w:ascii="Calibri" w:hAnsi="Calibri" w:cs="Times New Roman"/>
          <w:sz w:val="22"/>
          <w:szCs w:val="22"/>
        </w:rPr>
        <w:instrText xml:space="preserve"> ADDIN EN.CITE &lt;EndNote&gt;&lt;Cite&gt;&lt;Author&gt;Grace&lt;/Author&gt;&lt;Year&gt;2012&lt;/Year&gt;&lt;RecNum&gt;1011&lt;/RecNum&gt;&lt;DisplayText&gt;&lt;style face="superscript"&gt;90&lt;/style&gt;&lt;/DisplayText&gt;&lt;record&gt;&lt;rec-number&gt;1011&lt;/rec-number&gt;&lt;foreign-keys&gt;&lt;key app="EN" db-id="wtftd20rmszxx0ettxy5exwdf90wv22s2dsf" timestamp="1419212983"&gt;1011&lt;/key&gt;&lt;/foreign-keys&gt;&lt;ref-type name="Journal Article"&gt;17&lt;/ref-type&gt;&lt;contributors&gt;&lt;authors&gt;&lt;author&gt;Grace, Kathryn&lt;/author&gt;&lt;author&gt;Davenport, Frank&lt;/author&gt;&lt;author&gt;Funk, Chris&lt;/author&gt;&lt;author&gt;Lerner, Amy M.&lt;/author&gt;&lt;/authors&gt;&lt;/contributors&gt;&lt;titles&gt;&lt;title&gt;Child malnutrition and climate in Sub-Saharan Africa: An analysis of recent trends in Kenya&lt;/title&gt;&lt;secondary-title&gt;Applied Geography&lt;/secondary-title&gt;&lt;/titles&gt;&lt;periodical&gt;&lt;full-title&gt;Applied Geography&lt;/full-title&gt;&lt;/periodical&gt;&lt;pages&gt;405-413&lt;/pages&gt;&lt;volume&gt;35&lt;/volume&gt;&lt;number&gt;1–2&lt;/number&gt;&lt;keywords&gt;&lt;keyword&gt;Climate&lt;/keyword&gt;&lt;keyword&gt;Kenya&lt;/keyword&gt;&lt;keyword&gt;Malnutrition&lt;/keyword&gt;&lt;keyword&gt;Stunting&lt;/keyword&gt;&lt;keyword&gt;Food security&lt;/keyword&gt;&lt;/keywords&gt;&lt;dates&gt;&lt;year&gt;2012&lt;/year&gt;&lt;pub-dates&gt;&lt;date&gt;11//&lt;/date&gt;&lt;/pub-dates&gt;&lt;/dates&gt;&lt;isbn&gt;0143-6228&lt;/isbn&gt;&lt;urls&gt;&lt;related-urls&gt;&lt;url&gt;http://www.sciencedirect.com/science/article/pii/S0143622812000768&lt;/url&gt;&lt;/related-urls&gt;&lt;/urls&gt;&lt;electronic-resource-num&gt;http://dx.doi.org/10.1016/j.apgeog.2012.06.017&lt;/electronic-resource-num&gt;&lt;/record&gt;&lt;/Cite&gt;&lt;/EndNote&gt;</w:instrText>
      </w:r>
      <w:r w:rsidR="00E1339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90</w:t>
      </w:r>
      <w:r w:rsidR="00E13392">
        <w:rPr>
          <w:rFonts w:ascii="Calibri" w:hAnsi="Calibri" w:cs="Times New Roman"/>
          <w:sz w:val="22"/>
          <w:szCs w:val="22"/>
        </w:rPr>
        <w:fldChar w:fldCharType="end"/>
      </w:r>
      <w:r>
        <w:rPr>
          <w:rFonts w:ascii="Calibri" w:hAnsi="Calibri" w:cs="Times New Roman"/>
          <w:sz w:val="22"/>
          <w:szCs w:val="22"/>
        </w:rPr>
        <w:t xml:space="preserve"> </w:t>
      </w:r>
      <w:r w:rsidR="00863C0A">
        <w:rPr>
          <w:rFonts w:ascii="Calibri" w:hAnsi="Calibri" w:cs="Times New Roman"/>
          <w:sz w:val="22"/>
          <w:szCs w:val="22"/>
        </w:rPr>
        <w:t>This effect is</w:t>
      </w:r>
      <w:r>
        <w:rPr>
          <w:rFonts w:ascii="Calibri" w:hAnsi="Calibri" w:cs="Times New Roman"/>
          <w:sz w:val="22"/>
          <w:szCs w:val="22"/>
        </w:rPr>
        <w:t xml:space="preserve"> amplified by polices on food stocks, reactions to food prices by producer countries, and by the global demand for land to hedge against climate shifts. The increased volatility of the global food system under climate change has impacts on labour, on farmer livelihoods and on consumers of food, with attendant health outcomes for all these groups.</w:t>
      </w:r>
      <w:r w:rsidR="00E13392">
        <w:rPr>
          <w:rFonts w:ascii="Calibri" w:hAnsi="Calibri" w:cs="Times New Roman"/>
          <w:sz w:val="22"/>
          <w:szCs w:val="22"/>
        </w:rPr>
        <w:fldChar w:fldCharType="begin"/>
      </w:r>
      <w:r w:rsidR="00303C0E">
        <w:rPr>
          <w:rFonts w:ascii="Calibri" w:hAnsi="Calibri" w:cs="Times New Roman"/>
          <w:sz w:val="22"/>
          <w:szCs w:val="22"/>
        </w:rPr>
        <w:instrText xml:space="preserve"> ADDIN EN.CITE &lt;EndNote&gt;&lt;Cite&gt;&lt;Author&gt;Porter&lt;/Author&gt;&lt;Year&gt;2014&lt;/Year&gt;&lt;RecNum&gt;1286&lt;/RecNum&gt;&lt;DisplayText&gt;&lt;style face="superscript"&gt;66&lt;/style&gt;&lt;/DisplayText&gt;&lt;record&gt;&lt;rec-number&gt;1286&lt;/rec-number&gt;&lt;foreign-keys&gt;&lt;key app="EN" db-id="wtftd20rmszxx0ettxy5exwdf90wv22s2dsf" timestamp="1419212983"&gt;1286&lt;/key&gt;&lt;/foreign-keys&gt;&lt;ref-type name="Book Section"&gt;5&lt;/ref-type&gt;&lt;contributors&gt;&lt;authors&gt;&lt;author&gt;Porter, J.R., &lt;/author&gt;&lt;author&gt;L. Xie, &lt;/author&gt;&lt;author&gt;A.J. Challinor, &lt;/author&gt;&lt;author&gt;K. Cochrane, &lt;/author&gt;&lt;author&gt;S.M. Howden, &lt;/author&gt;&lt;author&gt;M.M. Iqbal, &lt;/author&gt;&lt;author&gt;D.B. Lobell, &lt;/author&gt;&lt;author&gt;M.I. Travasso,&lt;/author&gt;&lt;/authors&gt;&lt;secondary-authors&gt;&lt;author&gt;Field, C.B., V.R. Barros, D.J. Dokken, K.J. Mach, M.D. Mastrandrea, T.E. Bilir, M. Chatterjee, K.L. Ebi, Y.O. Estrada, R.C. Genova, B. Girma, E.S. Kissel, A.N. Levy, S. MacCracken, P.R. Mastrandrea, and L.L. White&lt;/author&gt;&lt;/secondary-authors&gt;&lt;/contributors&gt;&lt;titles&gt;&lt;title&gt;Food security and food production systems&lt;/title&gt;&lt;secondary-title&gt;Climate Change 2014: Impacts, Adaptation, and Vulnerability. Part A: Global and Sectoral Aspects. Contribution of Working Group II to the Fifth Assessment Report of the Intergovernmental Panel on Climate Change&lt;/secondary-title&gt;&lt;/titles&gt;&lt;pages&gt;485-533&lt;/pages&gt;&lt;dates&gt;&lt;year&gt;2014&lt;/year&gt;&lt;/dates&gt;&lt;pub-location&gt; Cambridge, United Kingdom and New York, NY, USA&lt;/pub-location&gt;&lt;publisher&gt;Cambridge University Press&lt;/publisher&gt;&lt;urls&gt;&lt;/urls&gt;&lt;/record&gt;&lt;/Cite&gt;&lt;/EndNote&gt;</w:instrText>
      </w:r>
      <w:r w:rsidR="00E13392">
        <w:rPr>
          <w:rFonts w:ascii="Calibri" w:hAnsi="Calibri" w:cs="Times New Roman"/>
          <w:sz w:val="22"/>
          <w:szCs w:val="22"/>
        </w:rPr>
        <w:fldChar w:fldCharType="separate"/>
      </w:r>
      <w:r w:rsidR="00303C0E" w:rsidRPr="00303C0E">
        <w:rPr>
          <w:rFonts w:ascii="Calibri" w:hAnsi="Calibri" w:cs="Times New Roman"/>
          <w:noProof/>
          <w:sz w:val="22"/>
          <w:szCs w:val="22"/>
          <w:vertAlign w:val="superscript"/>
        </w:rPr>
        <w:t>66</w:t>
      </w:r>
      <w:r w:rsidR="00E13392">
        <w:rPr>
          <w:rFonts w:ascii="Calibri" w:hAnsi="Calibri" w:cs="Times New Roman"/>
          <w:sz w:val="22"/>
          <w:szCs w:val="22"/>
        </w:rPr>
        <w:fldChar w:fldCharType="end"/>
      </w:r>
    </w:p>
    <w:p w:rsidR="004A6E9D" w:rsidRDefault="004A6E9D" w:rsidP="004A6E9D">
      <w:pPr>
        <w:jc w:val="both"/>
        <w:rPr>
          <w:rFonts w:ascii="Calibri" w:hAnsi="Calibri" w:cs="Times New Roman"/>
          <w:sz w:val="22"/>
        </w:rPr>
      </w:pPr>
    </w:p>
    <w:p w:rsidR="004A6E9D" w:rsidRDefault="004A6E9D" w:rsidP="004A6E9D">
      <w:pPr>
        <w:rPr>
          <w:rFonts w:ascii="Times New Roman" w:eastAsiaTheme="minorHAnsi" w:hAnsi="Times New Roman" w:cs="Times New Roman"/>
          <w:lang w:val="en-AU" w:eastAsia="en-AU"/>
        </w:rPr>
      </w:pPr>
      <w:r>
        <w:rPr>
          <w:rFonts w:ascii="Calibri" w:hAnsi="Calibri" w:cs="Times New Roman"/>
          <w:sz w:val="22"/>
          <w:szCs w:val="22"/>
        </w:rPr>
        <w:t>Within this complex relationship between climate and food security, the availability of water for agricultural production is a key parameter. Figure 2.5 demonstrates very significant changes in exposure to drought-like meteorological conditions over the coming decades. The analysis demonstrates that the population changes (from SSP2) alongside climate change may lead to 1.4 billion additional person drought exposure events per year by the end of the century. Importantly, the geographic distribution of this exposure is highly localised and variable (across Asia and Europe for example), acutely degrading water supply and potentially quality. But all such estimates focus on surface water availability, where both long term water availability, and supply for specific regions is also affected by groundwater resources which have been shown to be in a critical state in many regions.</w:t>
      </w:r>
      <w:r w:rsidR="00E13392">
        <w:rPr>
          <w:rFonts w:ascii="Calibri" w:hAnsi="Calibri" w:cs="Times New Roman"/>
          <w:sz w:val="22"/>
          <w:szCs w:val="22"/>
        </w:rPr>
        <w:fldChar w:fldCharType="begin">
          <w:fldData xml:space="preserve">PEVuZE5vdGU+PENpdGU+PEF1dGhvcj5UYXlsb3I8L0F1dGhvcj48WWVhcj4yMDEzPC9ZZWFyPjxS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=
</w:fldData>
        </w:fldChar>
      </w:r>
      <w:r w:rsidR="00723833">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PEVuZE5vdGU+PENpdGU+PEF1dGhvcj5UYXlsb3I8L0F1dGhvcj48WWVhcj4yMDEzPC9ZZWFyPjxS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=
</w:fldData>
        </w:fldChar>
      </w:r>
      <w:r w:rsidR="00723833">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Pr>
          <w:rFonts w:ascii="Calibri" w:hAnsi="Calibri" w:cs="Times New Roman"/>
          <w:sz w:val="22"/>
          <w:szCs w:val="22"/>
        </w:rPr>
      </w:r>
      <w:r w:rsidR="00E1339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91,92</w:t>
      </w:r>
      <w:r w:rsidR="00E13392">
        <w:rPr>
          <w:rFonts w:ascii="Calibri" w:hAnsi="Calibri" w:cs="Times New Roman"/>
          <w:sz w:val="22"/>
          <w:szCs w:val="22"/>
        </w:rPr>
        <w:fldChar w:fldCharType="end"/>
      </w:r>
      <w:r>
        <w:rPr>
          <w:rFonts w:ascii="Times New Roman" w:eastAsiaTheme="minorHAnsi" w:hAnsi="Times New Roman" w:cs="Times New Roman"/>
          <w:lang w:val="en-AU" w:eastAsia="en-AU"/>
        </w:rPr>
        <w:t xml:space="preserve"> </w:t>
      </w:r>
    </w:p>
    <w:p w:rsidR="00533226" w:rsidRPr="000E6E36" w:rsidRDefault="00533226" w:rsidP="00533226">
      <w:pPr>
        <w:jc w:val="both"/>
        <w:rPr>
          <w:rFonts w:ascii="Calibri" w:hAnsi="Calibri"/>
          <w:sz w:val="22"/>
          <w:szCs w:val="22"/>
        </w:rPr>
      </w:pPr>
    </w:p>
    <w:p w:rsidR="002F32D9" w:rsidRPr="002F32D9" w:rsidRDefault="002F32D9" w:rsidP="002F32D9">
      <w:pPr>
        <w:spacing w:after="240" w:line="259" w:lineRule="auto"/>
        <w:jc w:val="both"/>
        <w:rPr>
          <w:rFonts w:ascii="Calibri" w:eastAsiaTheme="minorHAnsi" w:hAnsi="Calibri"/>
          <w:sz w:val="22"/>
          <w:szCs w:val="22"/>
          <w:lang w:val="en-AU" w:eastAsia="en-US"/>
        </w:rPr>
      </w:pPr>
      <w:r w:rsidRPr="002F32D9">
        <w:rPr>
          <w:rFonts w:eastAsiaTheme="minorHAnsi"/>
          <w:noProof/>
          <w:sz w:val="22"/>
          <w:szCs w:val="22"/>
          <w:lang w:val="en-GB" w:eastAsia="en-GB"/>
        </w:rPr>
        <w:lastRenderedPageBreak/>
        <w:drawing>
          <wp:inline distT="0" distB="0" distL="0" distR="0">
            <wp:extent cx="5731510" cy="43770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31510" cy="4377055"/>
                    </a:xfrm>
                    <a:prstGeom prst="rect">
                      <a:avLst/>
                    </a:prstGeom>
                  </pic:spPr>
                </pic:pic>
              </a:graphicData>
            </a:graphic>
          </wp:inline>
        </w:drawing>
      </w:r>
    </w:p>
    <w:p w:rsidR="002F32D9" w:rsidRPr="002F32D9" w:rsidRDefault="002F32D9" w:rsidP="002F32D9">
      <w:pPr>
        <w:spacing w:after="160" w:line="259" w:lineRule="auto"/>
        <w:jc w:val="both"/>
        <w:rPr>
          <w:rFonts w:ascii="Calibri" w:eastAsiaTheme="minorHAnsi" w:hAnsi="Calibri"/>
          <w:sz w:val="22"/>
          <w:szCs w:val="22"/>
          <w:lang w:val="en-AU" w:eastAsia="en-US"/>
        </w:rPr>
      </w:pPr>
      <w:r w:rsidRPr="002F32D9">
        <w:rPr>
          <w:rFonts w:ascii="Calibri" w:eastAsiaTheme="minorHAnsi" w:hAnsi="Calibri" w:cs="Times New Roman"/>
          <w:i/>
          <w:sz w:val="20"/>
          <w:szCs w:val="22"/>
          <w:lang w:val="en-AU" w:eastAsia="en-US"/>
        </w:rPr>
        <w:t>Figure 2.5:</w:t>
      </w:r>
      <w:r w:rsidRPr="002F32D9">
        <w:rPr>
          <w:rFonts w:ascii="Calibri" w:eastAsiaTheme="minorHAnsi" w:hAnsi="Calibri" w:cs="Times New Roman"/>
          <w:sz w:val="20"/>
          <w:szCs w:val="22"/>
          <w:lang w:val="en-AU" w:eastAsia="en-US"/>
        </w:rPr>
        <w:t xml:space="preserve"> Changing exposure to “Drought” resulting from projections of 21st century climate and population change. (a) Change in “Drought” intensity for the RCP8.5 scenario, defined as the ratio of the mean annual maximum number of consecutive dry days (2080-2099)/(1986-2005), where a dry day is any day with &lt; 1mm of precipitation; (b) change in the mean number of “Drought” exposure events annually per km2 as a result of the climate change in (a) and assuming the 2010 population; (c) as for (b) but for the 2090 population under the SSP2 population scenario; (d) time-series of the change in the number of annual “Drought” exposure events with population change (red-line) and without population change (black-line).</w:t>
      </w:r>
    </w:p>
    <w:p w:rsidR="00533226" w:rsidRPr="001A7027" w:rsidRDefault="00533226" w:rsidP="00533226">
      <w:pPr>
        <w:jc w:val="both"/>
        <w:rPr>
          <w:rFonts w:ascii="Calibri" w:hAnsi="Calibri"/>
          <w:sz w:val="22"/>
          <w:szCs w:val="22"/>
        </w:rPr>
      </w:pPr>
    </w:p>
    <w:p w:rsidR="00FD7EC5" w:rsidRDefault="00FD7EC5" w:rsidP="00FD7EC5">
      <w:pPr>
        <w:jc w:val="both"/>
        <w:rPr>
          <w:rFonts w:ascii="Calibri" w:hAnsi="Calibri"/>
        </w:rPr>
      </w:pPr>
      <w:r>
        <w:rPr>
          <w:rFonts w:ascii="Calibri" w:hAnsi="Calibri" w:cs="Times New Roman"/>
          <w:sz w:val="22"/>
        </w:rPr>
        <w:t xml:space="preserve">Increased frequency of floods, storm surges and hurricanes will have a significant effect on health. Extreme events have immediate risks, exemplified by more than 6,000 fatalities as a result of Typhoon Haiyan </w:t>
      </w:r>
      <w:r w:rsidR="00026379">
        <w:rPr>
          <w:rFonts w:ascii="Calibri" w:hAnsi="Calibri" w:cs="Times New Roman"/>
          <w:sz w:val="22"/>
        </w:rPr>
        <w:t>in the Philippines in late 2013</w:t>
      </w:r>
      <w:r>
        <w:rPr>
          <w:rFonts w:ascii="Calibri" w:hAnsi="Calibri" w:cs="Times New Roman"/>
          <w:sz w:val="22"/>
        </w:rPr>
        <w:t>. Floods also have long-term and short-term effects on wellbeing through disease outbreaks, mental health burdens and dislocation.</w:t>
      </w:r>
      <w:r w:rsidR="00E13392">
        <w:rPr>
          <w:rFonts w:ascii="Calibri" w:hAnsi="Calibri" w:cs="Times New Roman"/>
          <w:sz w:val="22"/>
        </w:rPr>
        <w:fldChar w:fldCharType="begin"/>
      </w:r>
      <w:r w:rsidR="00723833">
        <w:rPr>
          <w:rFonts w:ascii="Calibri" w:hAnsi="Calibri" w:cs="Times New Roman"/>
          <w:sz w:val="22"/>
        </w:rPr>
        <w:instrText xml:space="preserve"> ADDIN EN.CITE &lt;EndNote&gt;&lt;Cite&gt;&lt;Author&gt;Ahern&lt;/Author&gt;&lt;Year&gt;2005&lt;/Year&gt;&lt;RecNum&gt;1000&lt;/RecNum&gt;&lt;DisplayText&gt;&lt;style face="superscript"&gt;93&lt;/style&gt;&lt;/DisplayText&gt;&lt;record&gt;&lt;rec-number&gt;1000&lt;/rec-number&gt;&lt;foreign-keys&gt;&lt;key app="EN" db-id="wtftd20rmszxx0ettxy5exwdf90wv22s2dsf" timestamp="1419212983"&gt;1000&lt;/key&gt;&lt;/foreign-keys&gt;&lt;ref-type name="Journal Article"&gt;17&lt;/ref-type&gt;&lt;contributors&gt;&lt;authors&gt;&lt;author&gt;Ahern, Mike&lt;/author&gt;&lt;author&gt;Kovats, R. Sari&lt;/author&gt;&lt;author&gt;Wilkinson, Paul&lt;/author&gt;&lt;author&gt;Few, Roger&lt;/author&gt;&lt;author&gt;Matthies, Franziska&lt;/author&gt;&lt;/authors&gt;&lt;/contributors&gt;&lt;titles&gt;&lt;title&gt;Global Health Impacts of Floods: Epidemiologic Evidence&lt;/title&gt;&lt;secondary-title&gt;Epidemiologic Reviews&lt;/secondary-title&gt;&lt;/titles&gt;&lt;periodical&gt;&lt;full-title&gt;Epidemiologic Reviews&lt;/full-title&gt;&lt;/periodical&gt;&lt;pages&gt;36-46&lt;/pages&gt;&lt;volume&gt;27&lt;/volume&gt;&lt;number&gt;1&lt;/number&gt;&lt;dates&gt;&lt;year&gt;2005&lt;/year&gt;&lt;pub-dates&gt;&lt;date&gt;July 1, 2005&lt;/date&gt;&lt;/pub-dates&gt;&lt;/dates&gt;&lt;urls&gt;&lt;related-urls&gt;&lt;url&gt;http://epirev.oxfordjournals.org/content/27/1/36.short&lt;/url&gt;&lt;/related-urls&gt;&lt;/urls&gt;&lt;electronic-resource-num&gt;10.1093/epirev/mxi004&lt;/electronic-resource-num&gt;&lt;/record&gt;&lt;/Cite&gt;&lt;/EndNote&gt;</w:instrText>
      </w:r>
      <w:r w:rsidR="00E13392">
        <w:rPr>
          <w:rFonts w:ascii="Calibri" w:hAnsi="Calibri" w:cs="Times New Roman"/>
          <w:sz w:val="22"/>
        </w:rPr>
        <w:fldChar w:fldCharType="separate"/>
      </w:r>
      <w:r w:rsidR="00723833" w:rsidRPr="00723833">
        <w:rPr>
          <w:rFonts w:ascii="Calibri" w:hAnsi="Calibri" w:cs="Times New Roman"/>
          <w:noProof/>
          <w:sz w:val="22"/>
          <w:vertAlign w:val="superscript"/>
        </w:rPr>
        <w:t>93</w:t>
      </w:r>
      <w:r w:rsidR="00E13392">
        <w:rPr>
          <w:rFonts w:ascii="Calibri" w:hAnsi="Calibri" w:cs="Times New Roman"/>
          <w:sz w:val="22"/>
        </w:rPr>
        <w:fldChar w:fldCharType="end"/>
      </w:r>
      <w:r>
        <w:rPr>
          <w:rFonts w:ascii="Calibri" w:hAnsi="Calibri" w:cs="Times New Roman"/>
          <w:sz w:val="22"/>
        </w:rPr>
        <w:t xml:space="preserve"> </w:t>
      </w:r>
    </w:p>
    <w:p w:rsidR="00FD7EC5" w:rsidRDefault="00FD7EC5" w:rsidP="00FD7EC5">
      <w:pPr>
        <w:jc w:val="both"/>
        <w:rPr>
          <w:rFonts w:ascii="Calibri" w:hAnsi="Calibri"/>
        </w:rPr>
      </w:pPr>
    </w:p>
    <w:p w:rsidR="00FD7EC5" w:rsidRDefault="00FD7EC5" w:rsidP="00FD7EC5">
      <w:pPr>
        <w:jc w:val="both"/>
        <w:rPr>
          <w:rFonts w:ascii="Calibri" w:hAnsi="Calibri" w:cs="Times New Roman"/>
          <w:sz w:val="22"/>
        </w:rPr>
      </w:pPr>
      <w:r>
        <w:rPr>
          <w:rFonts w:ascii="Calibri" w:hAnsi="Calibri" w:cs="Times New Roman"/>
          <w:sz w:val="22"/>
        </w:rPr>
        <w:t>Risks related to water shortages, flood and other mechanisms involve large populations. Projections suggest, for example, that an additional 50 million people and 30,000 km</w:t>
      </w:r>
      <w:r>
        <w:rPr>
          <w:rFonts w:ascii="Calibri" w:hAnsi="Calibri" w:cs="Times New Roman"/>
          <w:sz w:val="22"/>
          <w:vertAlign w:val="superscript"/>
        </w:rPr>
        <w:t>2</w:t>
      </w:r>
      <w:r>
        <w:rPr>
          <w:rFonts w:ascii="Calibri" w:hAnsi="Calibri" w:cs="Times New Roman"/>
          <w:sz w:val="22"/>
        </w:rPr>
        <w:t xml:space="preserve"> of land could be affected by coastal storm surges in 2100 with attendant risks of direct deaths and of infectious diseases.</w:t>
      </w:r>
      <w:r w:rsidR="00E13392">
        <w:fldChar w:fldCharType="begin">
          <w:fldData xml:space="preserve">PEVuZE5vdGU+PENpdGU+PEF1dGhvcj5EYXNndXB0YTwvQXV0aG9yPjxZZWFyPjIwMDk8L1llYXI+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</w:fldData>
        </w:fldChar>
      </w:r>
      <w:r w:rsidR="00723833">
        <w:instrText xml:space="preserve"> ADDIN EN.CITE </w:instrText>
      </w:r>
      <w:r w:rsidR="00E13392">
        <w:fldChar w:fldCharType="begin">
          <w:fldData xml:space="preserve">PEVuZE5vdGU+PENpdGU+PEF1dGhvcj5EYXNndXB0YTwvQXV0aG9yPjxZZWFyPjIwMDk8L1llYXI+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</w:fldData>
        </w:fldChar>
      </w:r>
      <w:r w:rsidR="00723833">
        <w:instrText xml:space="preserve"> ADDIN EN.CITE.DATA </w:instrText>
      </w:r>
      <w:r w:rsidR="00E13392">
        <w:fldChar w:fldCharType="end"/>
      </w:r>
      <w:r w:rsidR="00E13392">
        <w:fldChar w:fldCharType="separate"/>
      </w:r>
      <w:r w:rsidR="00723833" w:rsidRPr="00723833">
        <w:rPr>
          <w:noProof/>
          <w:vertAlign w:val="superscript"/>
        </w:rPr>
        <w:t>94,95</w:t>
      </w:r>
      <w:r w:rsidR="00E13392">
        <w:fldChar w:fldCharType="end"/>
      </w:r>
      <w:r w:rsidR="00590BC1">
        <w:rPr>
          <w:rFonts w:ascii="Calibri" w:hAnsi="Calibri" w:cs="Times New Roman"/>
          <w:sz w:val="22"/>
        </w:rPr>
        <w:t xml:space="preserve"> </w:t>
      </w:r>
      <w:r>
        <w:rPr>
          <w:rFonts w:ascii="Calibri" w:hAnsi="Calibri" w:cs="Times New Roman"/>
          <w:sz w:val="22"/>
        </w:rPr>
        <w:t>Involuntary displacement of populations, as a result of extreme events has major public health and policy consequences.  In the longer term, flooding affects perceptions of security and safety, and can cause depression, anxiety and post-traumatic stress disorder.</w:t>
      </w:r>
      <w:r w:rsidR="00E13392">
        <w:rPr>
          <w:rFonts w:ascii="Calibri" w:hAnsi="Calibri" w:cs="Times New Roman"/>
          <w:sz w:val="22"/>
        </w:rPr>
        <w:fldChar w:fldCharType="begin">
          <w:fldData xml:space="preserve">PEVuZE5vdGU+PENpdGU+PEF1dGhvcj5BaGVybjwvQXV0aG9yPjxZZWFyPjIwMDU8L1llYXI+PFJl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</w:fldData>
        </w:fldChar>
      </w:r>
      <w:r w:rsidR="00723833">
        <w:rPr>
          <w:rFonts w:ascii="Calibri" w:hAnsi="Calibri" w:cs="Times New Roman"/>
          <w:sz w:val="22"/>
        </w:rPr>
        <w:instrText xml:space="preserve"> ADDIN EN.CITE </w:instrText>
      </w:r>
      <w:r w:rsidR="00E13392">
        <w:rPr>
          <w:rFonts w:ascii="Calibri" w:hAnsi="Calibri" w:cs="Times New Roman"/>
          <w:sz w:val="22"/>
        </w:rPr>
        <w:fldChar w:fldCharType="begin">
          <w:fldData xml:space="preserve">PEVuZE5vdGU+PENpdGU+PEF1dGhvcj5BaGVybjwvQXV0aG9yPjxZZWFyPjIwMDU8L1llYXI+PFJl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</w:fldData>
        </w:fldChar>
      </w:r>
      <w:r w:rsidR="00723833">
        <w:rPr>
          <w:rFonts w:ascii="Calibri" w:hAnsi="Calibri" w:cs="Times New Roman"/>
          <w:sz w:val="22"/>
        </w:rPr>
        <w:instrText xml:space="preserve"> ADDIN EN.CITE.DATA </w:instrText>
      </w:r>
      <w:r w:rsidR="00E13392">
        <w:rPr>
          <w:rFonts w:ascii="Calibri" w:hAnsi="Calibri" w:cs="Times New Roman"/>
          <w:sz w:val="22"/>
        </w:rPr>
      </w:r>
      <w:r w:rsidR="00E13392">
        <w:rPr>
          <w:rFonts w:ascii="Calibri" w:hAnsi="Calibri" w:cs="Times New Roman"/>
          <w:sz w:val="22"/>
        </w:rPr>
        <w:fldChar w:fldCharType="end"/>
      </w:r>
      <w:r w:rsidR="00E13392">
        <w:rPr>
          <w:rFonts w:ascii="Calibri" w:hAnsi="Calibri" w:cs="Times New Roman"/>
          <w:sz w:val="22"/>
        </w:rPr>
      </w:r>
      <w:r w:rsidR="00E13392">
        <w:rPr>
          <w:rFonts w:ascii="Calibri" w:hAnsi="Calibri" w:cs="Times New Roman"/>
          <w:sz w:val="22"/>
        </w:rPr>
        <w:fldChar w:fldCharType="separate"/>
      </w:r>
      <w:r w:rsidR="00723833" w:rsidRPr="00723833">
        <w:rPr>
          <w:rFonts w:ascii="Calibri" w:hAnsi="Calibri" w:cs="Times New Roman"/>
          <w:noProof/>
          <w:sz w:val="22"/>
          <w:vertAlign w:val="superscript"/>
        </w:rPr>
        <w:t>93,96</w:t>
      </w:r>
      <w:r w:rsidR="00E13392">
        <w:rPr>
          <w:rFonts w:ascii="Calibri" w:hAnsi="Calibri" w:cs="Times New Roman"/>
          <w:sz w:val="22"/>
        </w:rPr>
        <w:fldChar w:fldCharType="end"/>
      </w:r>
    </w:p>
    <w:p w:rsidR="00FD7EC5" w:rsidRDefault="00FD7EC5" w:rsidP="00FD7EC5">
      <w:pPr>
        <w:jc w:val="both"/>
        <w:rPr>
          <w:rFonts w:ascii="Calibri" w:hAnsi="Calibri" w:cs="Times New Roman"/>
          <w:sz w:val="22"/>
        </w:rPr>
      </w:pPr>
    </w:p>
    <w:p w:rsidR="00FD7EC5" w:rsidRDefault="00FD7EC5" w:rsidP="00FD7EC5">
      <w:pPr>
        <w:rPr>
          <w:rFonts w:ascii="Times New Roman" w:eastAsiaTheme="minorHAnsi" w:hAnsi="Times New Roman" w:cs="Times New Roman"/>
          <w:lang w:val="en-AU" w:eastAsia="en-AU"/>
        </w:rPr>
      </w:pPr>
      <w:r>
        <w:rPr>
          <w:rFonts w:ascii="Calibri" w:hAnsi="Calibri" w:cs="Times New Roman"/>
          <w:sz w:val="22"/>
        </w:rPr>
        <w:t>Figure 2.</w:t>
      </w:r>
      <w:r w:rsidR="008662EF">
        <w:rPr>
          <w:rFonts w:ascii="Calibri" w:hAnsi="Calibri" w:cs="Times New Roman"/>
          <w:sz w:val="22"/>
        </w:rPr>
        <w:t>6</w:t>
      </w:r>
      <w:r>
        <w:rPr>
          <w:rFonts w:ascii="Calibri" w:hAnsi="Calibri" w:cs="Times New Roman"/>
          <w:sz w:val="22"/>
        </w:rPr>
        <w:t xml:space="preserve"> shows estimates of extreme precipitation events (events exceeding ten year return period) under the RCP8.5 (high emission) scenario. We estimate that there would be around two billion additional extreme rainfall exposure events annually (i.e. individuals exposed once or multiple times during any year), partly due to population growth in exposed areas and partly due to the </w:t>
      </w:r>
      <w:r>
        <w:rPr>
          <w:rFonts w:ascii="Calibri" w:hAnsi="Calibri" w:cs="Times New Roman"/>
          <w:sz w:val="22"/>
        </w:rPr>
        <w:lastRenderedPageBreak/>
        <w:t>changing incidence of extreme events associated with climate change. Whilst not all extreme rainfall events translate into floods, such extreme precipitation will inevitably increase flood risk. Regions of large population growth dominate changes in the number exposed to flood risk (especially in sub-Saharan Africa and South Asia).</w:t>
      </w:r>
      <w:r w:rsidR="00E13392">
        <w:rPr>
          <w:rFonts w:ascii="Calibri" w:hAnsi="Calibri" w:cs="Times New Roman"/>
          <w:sz w:val="22"/>
        </w:rPr>
        <w:fldChar w:fldCharType="begin"/>
      </w:r>
      <w:r w:rsidR="00723833">
        <w:rPr>
          <w:rFonts w:ascii="Calibri" w:hAnsi="Calibri" w:cs="Times New Roman"/>
          <w:sz w:val="22"/>
        </w:rPr>
        <w:instrText xml:space="preserve"> ADDIN EN.CITE &lt;EndNote&gt;&lt;Cite&gt;&lt;Author&gt;Jongman&lt;/Author&gt;&lt;Year&gt;2012&lt;/Year&gt;&lt;RecNum&gt;1013&lt;/RecNum&gt;&lt;DisplayText&gt;&lt;style face="superscript"&gt;97&lt;/style&gt;&lt;/DisplayText&gt;&lt;record&gt;&lt;rec-number&gt;1013&lt;/rec-number&gt;&lt;foreign-keys&gt;&lt;key app="EN" db-id="wtftd20rmszxx0ettxy5exwdf90wv22s2dsf" timestamp="1419212983"&gt;1013&lt;/key&gt;&lt;/foreign-keys&gt;&lt;ref-type name="Journal Article"&gt;17&lt;/ref-type&gt;&lt;contributors&gt;&lt;authors&gt;&lt;author&gt;Jongman, Brenden&lt;/author&gt;&lt;author&gt;Ward, Philip J.&lt;/author&gt;&lt;author&gt;Aerts, Jeroen C. J. H.&lt;/author&gt;&lt;/authors&gt;&lt;/contributors&gt;&lt;titles&gt;&lt;title&gt;Global exposure to river and coastal flooding: Long term trends and changes&lt;/title&gt;&lt;secondary-title&gt;Global Environmental Change&lt;/secondary-title&gt;&lt;/titles&gt;&lt;periodical&gt;&lt;full-title&gt;Global Environmental Change&lt;/full-title&gt;&lt;/periodical&gt;&lt;pages&gt;823-835&lt;/pages&gt;&lt;volume&gt;22&lt;/volume&gt;&lt;number&gt;4&lt;/number&gt;&lt;keywords&gt;&lt;keyword&gt;Flood risk&lt;/keyword&gt;&lt;keyword&gt;Damage estimation&lt;/keyword&gt;&lt;keyword&gt;Land-use change&lt;/keyword&gt;&lt;keyword&gt;Population growth&lt;/keyword&gt;&lt;keyword&gt;Global change&lt;/keyword&gt;&lt;/keywords&gt;&lt;dates&gt;&lt;year&gt;2012&lt;/year&gt;&lt;pub-dates&gt;&lt;date&gt;10//&lt;/date&gt;&lt;/pub-dates&gt;&lt;/dates&gt;&lt;isbn&gt;0959-3780&lt;/isbn&gt;&lt;urls&gt;&lt;related-urls&gt;&lt;url&gt;http://www.sciencedirect.com/science/article/pii/S0959378012000830&lt;/url&gt;&lt;/related-urls&gt;&lt;/urls&gt;&lt;electronic-resource-num&gt;http://dx.doi.org/10.1016/j.gloenvcha.2012.07.004&lt;/electronic-resource-num&gt;&lt;/record&gt;&lt;/Cite&gt;&lt;/EndNote&gt;</w:instrText>
      </w:r>
      <w:r w:rsidR="00E13392">
        <w:rPr>
          <w:rFonts w:ascii="Calibri" w:hAnsi="Calibri" w:cs="Times New Roman"/>
          <w:sz w:val="22"/>
        </w:rPr>
        <w:fldChar w:fldCharType="separate"/>
      </w:r>
      <w:r w:rsidR="00723833" w:rsidRPr="00723833">
        <w:rPr>
          <w:rFonts w:ascii="Calibri" w:hAnsi="Calibri" w:cs="Times New Roman"/>
          <w:noProof/>
          <w:sz w:val="22"/>
          <w:vertAlign w:val="superscript"/>
        </w:rPr>
        <w:t>97</w:t>
      </w:r>
      <w:r w:rsidR="00E13392">
        <w:rPr>
          <w:rFonts w:ascii="Calibri" w:hAnsi="Calibri" w:cs="Times New Roman"/>
          <w:sz w:val="22"/>
        </w:rPr>
        <w:fldChar w:fldCharType="end"/>
      </w:r>
      <w:r>
        <w:rPr>
          <w:rFonts w:ascii="Times New Roman" w:eastAsiaTheme="minorHAnsi" w:hAnsi="Times New Roman" w:cs="Times New Roman"/>
          <w:lang w:val="en-AU" w:eastAsia="en-AU"/>
        </w:rPr>
        <w:t xml:space="preserve"> </w:t>
      </w:r>
    </w:p>
    <w:p w:rsidR="00533226" w:rsidRDefault="00533226" w:rsidP="001A7027">
      <w:pPr>
        <w:jc w:val="both"/>
        <w:rPr>
          <w:rFonts w:ascii="Calibri" w:hAnsi="Calibri"/>
        </w:rPr>
      </w:pPr>
    </w:p>
    <w:p w:rsidR="002F32D9" w:rsidRPr="002F32D9" w:rsidRDefault="002F32D9" w:rsidP="002F32D9">
      <w:pPr>
        <w:spacing w:after="160" w:line="259" w:lineRule="auto"/>
        <w:jc w:val="both"/>
        <w:rPr>
          <w:rFonts w:ascii="Calibri" w:eastAsiaTheme="minorHAnsi" w:hAnsi="Calibri"/>
          <w:sz w:val="22"/>
          <w:szCs w:val="22"/>
          <w:lang w:val="en-AU" w:eastAsia="en-US"/>
        </w:rPr>
      </w:pPr>
      <w:r w:rsidRPr="002F32D9">
        <w:rPr>
          <w:rFonts w:eastAsiaTheme="minorHAnsi"/>
          <w:noProof/>
          <w:sz w:val="22"/>
          <w:szCs w:val="22"/>
          <w:lang w:val="en-GB" w:eastAsia="en-GB"/>
        </w:rPr>
        <w:drawing>
          <wp:inline distT="0" distB="0" distL="0" distR="0">
            <wp:extent cx="5731510" cy="42354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31510" cy="4235450"/>
                    </a:xfrm>
                    <a:prstGeom prst="rect">
                      <a:avLst/>
                    </a:prstGeom>
                  </pic:spPr>
                </pic:pic>
              </a:graphicData>
            </a:graphic>
          </wp:inline>
        </w:drawing>
      </w:r>
    </w:p>
    <w:p w:rsidR="002F32D9" w:rsidRPr="002F32D9" w:rsidRDefault="002F32D9" w:rsidP="002F32D9">
      <w:pPr>
        <w:spacing w:after="160" w:line="259" w:lineRule="auto"/>
        <w:jc w:val="both"/>
        <w:rPr>
          <w:rFonts w:ascii="Calibri" w:eastAsiaTheme="minorHAnsi" w:hAnsi="Calibri" w:cs="Times New Roman"/>
          <w:sz w:val="20"/>
          <w:szCs w:val="22"/>
          <w:lang w:val="en-AU" w:eastAsia="en-US"/>
        </w:rPr>
      </w:pPr>
    </w:p>
    <w:p w:rsidR="002F32D9" w:rsidRPr="002F32D9" w:rsidRDefault="002F32D9" w:rsidP="002F32D9">
      <w:pPr>
        <w:spacing w:after="160" w:line="259" w:lineRule="auto"/>
        <w:jc w:val="both"/>
        <w:rPr>
          <w:rFonts w:ascii="Calibri" w:eastAsiaTheme="minorHAnsi" w:hAnsi="Calibri"/>
          <w:sz w:val="22"/>
          <w:szCs w:val="22"/>
          <w:lang w:val="en-AU" w:eastAsia="en-US"/>
        </w:rPr>
      </w:pPr>
      <w:r w:rsidRPr="002F32D9">
        <w:rPr>
          <w:rFonts w:ascii="Calibri" w:eastAsiaTheme="minorHAnsi" w:hAnsi="Calibri" w:cs="Times New Roman"/>
          <w:sz w:val="20"/>
          <w:szCs w:val="22"/>
          <w:lang w:val="en-AU" w:eastAsia="en-US"/>
        </w:rPr>
        <w:t>Figure 2.6: Changing exposure to “Flood” resulting from projections of 21st century climate and population change. (a) Change in “Flood” frequency for the RCP8.5 scenario, where a flood event is defined as a 5-day precipitation total exceeding the 10 year return level in the historical period (1986-2005); (b) change in the mean number of “Flood” exposure events annually per km</w:t>
      </w:r>
      <w:r w:rsidRPr="002F32D9">
        <w:rPr>
          <w:rFonts w:ascii="Calibri" w:eastAsiaTheme="minorHAnsi" w:hAnsi="Calibri" w:cs="Times New Roman"/>
          <w:sz w:val="20"/>
          <w:szCs w:val="22"/>
          <w:vertAlign w:val="superscript"/>
          <w:lang w:val="en-AU" w:eastAsia="en-US"/>
        </w:rPr>
        <w:t>2</w:t>
      </w:r>
      <w:r w:rsidRPr="002F32D9">
        <w:rPr>
          <w:rFonts w:ascii="Calibri" w:eastAsiaTheme="minorHAnsi" w:hAnsi="Calibri" w:cs="Times New Roman"/>
          <w:sz w:val="20"/>
          <w:szCs w:val="22"/>
          <w:lang w:val="en-AU" w:eastAsia="en-US"/>
        </w:rPr>
        <w:t xml:space="preserve"> as a result of the climate change in (a) and assuming the 2010 population; (c) as for (b) but for the 2090 population under the SSP2 population scenario; (d) time-series of the change in the number of “Flood” exposure events with population change (red-line) and without population change (black-line).</w:t>
      </w:r>
    </w:p>
    <w:p w:rsidR="00533226" w:rsidRDefault="00533226" w:rsidP="001A7027">
      <w:pPr>
        <w:jc w:val="both"/>
        <w:rPr>
          <w:rFonts w:ascii="Calibri" w:hAnsi="Calibri" w:cs="Times New Roman"/>
          <w:sz w:val="22"/>
        </w:rPr>
      </w:pPr>
    </w:p>
    <w:p w:rsidR="00590BC1" w:rsidRDefault="00590BC1" w:rsidP="001A7027">
      <w:pPr>
        <w:jc w:val="both"/>
        <w:rPr>
          <w:rFonts w:ascii="Calibri" w:hAnsi="Calibri" w:cs="Times New Roman"/>
          <w:sz w:val="22"/>
          <w:szCs w:val="22"/>
        </w:rPr>
      </w:pPr>
      <w:r>
        <w:rPr>
          <w:rFonts w:ascii="Calibri" w:hAnsi="Calibri" w:cs="Times New Roman"/>
          <w:sz w:val="22"/>
          <w:szCs w:val="22"/>
        </w:rPr>
        <w:t>All these climate-related impacts are detrimental to the security and wellbeing of populations around the world. Whilst there is, as yet, not definitive evidence that climate change has increased the risk of violent civil conflict or war between states, there are reasons for concern. The IPCC concludes that climate change will directly affect poverty, resource uncertainty and volatility, and the ability of governments to fulfil their obligations to protect settlements and people from weather extremes.</w:t>
      </w:r>
      <w:r w:rsidR="00E13392">
        <w:rPr>
          <w:rFonts w:ascii="Calibri" w:hAnsi="Calibri" w:cs="Times New Roman"/>
          <w:sz w:val="22"/>
          <w:szCs w:val="22"/>
        </w:rPr>
        <w:fldChar w:fldCharType="begin">
          <w:fldData xml:space="preserve">PEVuZE5vdGU+PENpdGU+PEF1dGhvcj5PbHNzb248L0F1dGhvcj48WWVhcj4yMDE0PC9ZZWFyPjxS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</w:fldData>
        </w:fldChar>
      </w:r>
      <w:r w:rsidR="00723833">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PEVuZE5vdGU+PENpdGU+PEF1dGhvcj5PbHNzb248L0F1dGhvcj48WWVhcj4yMDE0PC9ZZWFyPjxS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</w:fldData>
        </w:fldChar>
      </w:r>
      <w:r w:rsidR="00723833">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Pr>
          <w:rFonts w:ascii="Calibri" w:hAnsi="Calibri" w:cs="Times New Roman"/>
          <w:sz w:val="22"/>
          <w:szCs w:val="22"/>
        </w:rPr>
      </w:r>
      <w:r w:rsidR="00E1339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33,98</w:t>
      </w:r>
      <w:r w:rsidR="00E13392">
        <w:rPr>
          <w:rFonts w:ascii="Calibri" w:hAnsi="Calibri" w:cs="Times New Roman"/>
          <w:sz w:val="22"/>
          <w:szCs w:val="22"/>
        </w:rPr>
        <w:fldChar w:fldCharType="end"/>
      </w:r>
      <w:r>
        <w:rPr>
          <w:rFonts w:ascii="Calibri" w:hAnsi="Calibri" w:cs="Times New Roman"/>
          <w:sz w:val="22"/>
          <w:szCs w:val="22"/>
        </w:rPr>
        <w:t xml:space="preserve"> </w:t>
      </w:r>
      <w:r w:rsidR="00863C0A">
        <w:rPr>
          <w:rFonts w:ascii="Calibri" w:hAnsi="Calibri" w:cs="Times New Roman"/>
          <w:sz w:val="22"/>
          <w:szCs w:val="22"/>
        </w:rPr>
        <w:t>T</w:t>
      </w:r>
      <w:r>
        <w:rPr>
          <w:rFonts w:ascii="Calibri" w:hAnsi="Calibri" w:cs="Times New Roman"/>
          <w:sz w:val="22"/>
          <w:szCs w:val="22"/>
        </w:rPr>
        <w:t>hese factors are important correlates of violent conflict within states, suggesting that climate change is detrimental to peaceful and secure development, even if they do not directly enhance conflict risks.</w:t>
      </w:r>
      <w:r w:rsidR="00E13392">
        <w:rPr>
          <w:rFonts w:ascii="Calibri" w:hAnsi="Calibri" w:cs="Times New Roman"/>
          <w:sz w:val="22"/>
          <w:szCs w:val="22"/>
        </w:rPr>
        <w:fldChar w:fldCharType="begin"/>
      </w:r>
      <w:r w:rsidR="00723833">
        <w:rPr>
          <w:rFonts w:ascii="Calibri" w:hAnsi="Calibri" w:cs="Times New Roman"/>
          <w:sz w:val="22"/>
          <w:szCs w:val="22"/>
        </w:rPr>
        <w:instrText xml:space="preserve"> ADDIN EN.CITE &lt;EndNote&gt;&lt;Cite&gt;&lt;Author&gt;Gleditsch&lt;/Author&gt;&lt;Year&gt;2012&lt;/Year&gt;&lt;RecNum&gt;1295&lt;/RecNum&gt;&lt;DisplayText&gt;&lt;style face="superscript"&gt;99&lt;/style&gt;&lt;/DisplayText&gt;&lt;record&gt;&lt;rec-number&gt;1295&lt;/rec-number&gt;&lt;foreign-keys&gt;&lt;key app="EN" db-id="wtftd20rmszxx0ettxy5exwdf90wv22s2dsf" timestamp="1419212983"&gt;1295&lt;/key&gt;&lt;/foreign-keys&gt;&lt;ref-type name="Journal Article"&gt;17&lt;/ref-type&gt;&lt;contributors&gt;&lt;authors&gt;&lt;author&gt;Gleditsch, Nils Petter&lt;/author&gt;&lt;/authors&gt;&lt;/contributors&gt;&lt;titles&gt;&lt;title&gt;Whither the weather? Climate change and conflict&lt;/title&gt;&lt;secondary-title&gt;Journal of Peace Research&lt;/secondary-title&gt;&lt;/titles&gt;&lt;periodical&gt;&lt;full-title&gt;Journal of Peace Research&lt;/full-title&gt;&lt;/periodical&gt;&lt;pages&gt;3-9&lt;/pages&gt;&lt;volume&gt;49&lt;/volume&gt;&lt;number&gt;1&lt;/number&gt;&lt;dates&gt;&lt;year&gt;2012&lt;/year&gt;&lt;pub-dates&gt;&lt;date&gt;January 1, 2012&lt;/date&gt;&lt;/pub-dates&gt;&lt;/dates&gt;&lt;urls&gt;&lt;related-urls&gt;&lt;url&gt;http://jpr.sagepub.com/content/49/1/3.abstract&lt;/url&gt;&lt;/related-urls&gt;&lt;/urls&gt;&lt;electronic-resource-num&gt;10.1177/0022343311431288&lt;/electronic-resource-num&gt;&lt;/record&gt;&lt;/Cite&gt;&lt;/EndNote&gt;</w:instrText>
      </w:r>
      <w:r w:rsidR="00E1339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99</w:t>
      </w:r>
      <w:r w:rsidR="00E13392">
        <w:rPr>
          <w:rFonts w:ascii="Calibri" w:hAnsi="Calibri" w:cs="Times New Roman"/>
          <w:sz w:val="22"/>
          <w:szCs w:val="22"/>
        </w:rPr>
        <w:fldChar w:fldCharType="end"/>
      </w:r>
      <w:r>
        <w:rPr>
          <w:rFonts w:ascii="Calibri" w:hAnsi="Calibri" w:cs="Times New Roman"/>
          <w:sz w:val="22"/>
          <w:szCs w:val="22"/>
        </w:rPr>
        <w:t xml:space="preserve"> Similarly, migration has significant complex consequences for human security. The continued movement of migrant populations into cities, the potential for climate hazards in high-density coastal mega-cities, and impaired air quality, create significant public health challenges, not least for migrants themselves.</w:t>
      </w:r>
      <w:r w:rsidR="00E13392">
        <w:rPr>
          <w:rFonts w:ascii="Calibri" w:hAnsi="Calibri" w:cs="Times New Roman"/>
          <w:sz w:val="22"/>
          <w:szCs w:val="22"/>
        </w:rPr>
        <w:fldChar w:fldCharType="begin">
          <w:fldData xml:space="preserve">PEVuZE5vdGU+PENpdGU+PEF1dGhvcj5NY01pY2hhZWw8L0F1dGhvcj48WWVhcj4yMDEyPC9ZZWFy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</w:fldData>
        </w:fldChar>
      </w:r>
      <w:r w:rsidR="00723833">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PEVuZE5vdGU+PENpdGU+PEF1dGhvcj5NY01pY2hhZWw8L0F1dGhvcj48WWVhcj4yMDEyPC9ZZWFy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</w:fldData>
        </w:fldChar>
      </w:r>
      <w:r w:rsidR="00723833">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Pr>
          <w:rFonts w:ascii="Calibri" w:hAnsi="Calibri" w:cs="Times New Roman"/>
          <w:sz w:val="22"/>
          <w:szCs w:val="22"/>
        </w:rPr>
      </w:r>
      <w:r w:rsidR="00E13392">
        <w:rPr>
          <w:rFonts w:ascii="Calibri" w:hAnsi="Calibri" w:cs="Times New Roman"/>
          <w:sz w:val="22"/>
          <w:szCs w:val="22"/>
        </w:rPr>
        <w:fldChar w:fldCharType="separate"/>
      </w:r>
      <w:r w:rsidR="00723833" w:rsidRPr="00723833">
        <w:rPr>
          <w:rFonts w:ascii="Calibri" w:hAnsi="Calibri" w:cs="Times New Roman"/>
          <w:noProof/>
          <w:sz w:val="22"/>
          <w:szCs w:val="22"/>
          <w:vertAlign w:val="superscript"/>
        </w:rPr>
        <w:t>100,101</w:t>
      </w:r>
      <w:r w:rsidR="00E13392">
        <w:rPr>
          <w:rFonts w:ascii="Calibri" w:hAnsi="Calibri" w:cs="Times New Roman"/>
          <w:sz w:val="22"/>
          <w:szCs w:val="22"/>
        </w:rPr>
        <w:fldChar w:fldCharType="end"/>
      </w:r>
    </w:p>
    <w:p w:rsidR="00590BC1" w:rsidRDefault="00590BC1" w:rsidP="00590BC1">
      <w:pPr>
        <w:jc w:val="both"/>
        <w:rPr>
          <w:rFonts w:ascii="Calibri" w:hAnsi="Calibri" w:cs="Times New Roman"/>
          <w:sz w:val="22"/>
          <w:szCs w:val="22"/>
        </w:rPr>
      </w:pPr>
    </w:p>
    <w:p w:rsidR="00590BC1" w:rsidRPr="00064451" w:rsidRDefault="00590BC1" w:rsidP="00064451">
      <w:pPr>
        <w:jc w:val="both"/>
        <w:rPr>
          <w:rFonts w:ascii="Calibri" w:hAnsi="Calibri" w:cs="Times New Roman"/>
          <w:sz w:val="22"/>
          <w:szCs w:val="22"/>
        </w:rPr>
      </w:pPr>
      <w:r>
        <w:rPr>
          <w:rFonts w:ascii="Calibri" w:hAnsi="Calibri" w:cs="Times New Roman"/>
          <w:sz w:val="22"/>
          <w:szCs w:val="22"/>
        </w:rPr>
        <w:t xml:space="preserve">The direct and indirect effects of climate change outlined here represent significant risks for human health. The precautionary case for </w:t>
      </w:r>
      <w:r w:rsidR="00863C0A">
        <w:rPr>
          <w:rFonts w:ascii="Calibri" w:hAnsi="Calibri" w:cs="Times New Roman"/>
          <w:sz w:val="22"/>
          <w:szCs w:val="22"/>
        </w:rPr>
        <w:t xml:space="preserve">action </w:t>
      </w:r>
      <w:r>
        <w:rPr>
          <w:rFonts w:ascii="Calibri" w:hAnsi="Calibri" w:cs="Times New Roman"/>
          <w:sz w:val="22"/>
          <w:szCs w:val="22"/>
        </w:rPr>
        <w:t xml:space="preserve">is amplified with three additional dimensions: (i) </w:t>
      </w:r>
      <w:r w:rsidR="00863C0A">
        <w:rPr>
          <w:rFonts w:ascii="Calibri" w:hAnsi="Calibri" w:cs="Times New Roman"/>
          <w:sz w:val="22"/>
          <w:szCs w:val="22"/>
        </w:rPr>
        <w:t>i</w:t>
      </w:r>
      <w:r>
        <w:rPr>
          <w:rFonts w:ascii="Calibri" w:hAnsi="Calibri" w:cs="Times New Roman"/>
          <w:sz w:val="22"/>
          <w:szCs w:val="22"/>
        </w:rPr>
        <w:t xml:space="preserve">nterventions to adapt to evolving climate risks </w:t>
      </w:r>
      <w:r w:rsidR="00863C0A">
        <w:rPr>
          <w:rFonts w:ascii="Calibri" w:hAnsi="Calibri" w:cs="Times New Roman"/>
          <w:sz w:val="22"/>
          <w:szCs w:val="22"/>
        </w:rPr>
        <w:t xml:space="preserve">as </w:t>
      </w:r>
      <w:r>
        <w:rPr>
          <w:rFonts w:ascii="Calibri" w:hAnsi="Calibri" w:cs="Times New Roman"/>
          <w:sz w:val="22"/>
          <w:szCs w:val="22"/>
        </w:rPr>
        <w:t xml:space="preserve">discussed in Section 2 may not be </w:t>
      </w:r>
      <w:r w:rsidR="00863C0A">
        <w:rPr>
          <w:rFonts w:ascii="Calibri" w:hAnsi="Calibri" w:cs="Times New Roman"/>
          <w:sz w:val="22"/>
          <w:szCs w:val="22"/>
        </w:rPr>
        <w:t xml:space="preserve">as </w:t>
      </w:r>
      <w:r>
        <w:rPr>
          <w:rFonts w:ascii="Calibri" w:hAnsi="Calibri" w:cs="Times New Roman"/>
          <w:sz w:val="22"/>
          <w:szCs w:val="22"/>
        </w:rPr>
        <w:t>effective</w:t>
      </w:r>
      <w:r w:rsidR="00863C0A">
        <w:rPr>
          <w:rFonts w:ascii="Calibri" w:hAnsi="Calibri" w:cs="Times New Roman"/>
          <w:sz w:val="22"/>
          <w:szCs w:val="22"/>
        </w:rPr>
        <w:t xml:space="preserve"> as required</w:t>
      </w:r>
      <w:r>
        <w:rPr>
          <w:rFonts w:ascii="Calibri" w:hAnsi="Calibri" w:cs="Times New Roman"/>
          <w:sz w:val="22"/>
          <w:szCs w:val="22"/>
        </w:rPr>
        <w:t xml:space="preserve"> (ii) unforeseen interactions and amplifications of climate risks are possible (e.g. emerging zoonotic and other diseases being affected through complex ecological changes, covered in more detail in the Lancet Commission on Planetary Health)</w:t>
      </w:r>
      <w:r w:rsidR="00863C0A">
        <w:rPr>
          <w:rFonts w:ascii="Calibri" w:hAnsi="Calibri" w:cs="Times New Roman"/>
          <w:sz w:val="22"/>
          <w:szCs w:val="22"/>
        </w:rPr>
        <w:t xml:space="preserve"> and</w:t>
      </w:r>
      <w:r>
        <w:rPr>
          <w:rFonts w:ascii="Calibri" w:hAnsi="Calibri" w:cs="Times New Roman"/>
          <w:sz w:val="22"/>
          <w:szCs w:val="22"/>
        </w:rPr>
        <w:t xml:space="preserve"> (iii) the risk that tipping elements in the climate system could rapidly accelerate climate change at regional or global scale. Lags in warming and climate impacts mean that regardless of the mitigation pathway taken, many impacts and risks will increase in the coming decades. </w:t>
      </w:r>
      <w:r>
        <w:rPr>
          <w:rFonts w:ascii="Times New Roman" w:eastAsiaTheme="minorHAnsi" w:hAnsi="Times New Roman" w:cs="Times New Roman"/>
          <w:lang w:val="en-AU" w:eastAsia="en-AU"/>
        </w:rPr>
        <w:t xml:space="preserve"> </w:t>
      </w:r>
    </w:p>
    <w:p w:rsidR="00B25E9E" w:rsidRDefault="00B25E9E">
      <w:pPr>
        <w:spacing w:after="160" w:line="259" w:lineRule="auto"/>
      </w:pPr>
      <w:r>
        <w:br w:type="page"/>
      </w:r>
    </w:p>
    <w:p w:rsidR="00B25E9E" w:rsidRPr="001D75D9" w:rsidRDefault="00024E43" w:rsidP="00B25E9E">
      <w:pPr>
        <w:pStyle w:val="Heading1"/>
        <w:rPr>
          <w:lang w:val="en-GB"/>
        </w:rPr>
      </w:pPr>
      <w:bookmarkStart w:id="33" w:name="_Toc415931374"/>
      <w:bookmarkStart w:id="34" w:name="_Toc417502039"/>
      <w:r>
        <w:rPr>
          <w:lang w:val="en-GB"/>
        </w:rPr>
        <w:lastRenderedPageBreak/>
        <w:t xml:space="preserve">Section </w:t>
      </w:r>
      <w:r w:rsidR="00B25E9E">
        <w:rPr>
          <w:lang w:val="en-GB"/>
        </w:rPr>
        <w:t>2</w:t>
      </w:r>
      <w:r w:rsidR="00CF6727">
        <w:rPr>
          <w:lang w:val="en-GB"/>
        </w:rPr>
        <w:t xml:space="preserve">: </w:t>
      </w:r>
      <w:r w:rsidR="00B25E9E">
        <w:rPr>
          <w:lang w:val="en-GB"/>
        </w:rPr>
        <w:t>Action for Resilience and Adaptation</w:t>
      </w:r>
      <w:bookmarkEnd w:id="33"/>
      <w:bookmarkEnd w:id="34"/>
    </w:p>
    <w:p w:rsidR="00B25E9E" w:rsidRPr="001D75D9" w:rsidRDefault="00B25E9E" w:rsidP="00B25E9E">
      <w:pPr>
        <w:rPr>
          <w:rFonts w:ascii="Calibri" w:hAnsi="Calibri"/>
          <w:lang w:val="en-GB"/>
        </w:rPr>
      </w:pPr>
    </w:p>
    <w:p w:rsidR="00B25E9E" w:rsidRPr="001D75D9" w:rsidRDefault="00B25E9E" w:rsidP="00B25E9E">
      <w:pPr>
        <w:pStyle w:val="Heading2"/>
        <w:rPr>
          <w:lang w:val="en-GB"/>
        </w:rPr>
      </w:pPr>
      <w:bookmarkStart w:id="35" w:name="_Toc402956356"/>
      <w:bookmarkStart w:id="36" w:name="_Toc278446347"/>
      <w:bookmarkStart w:id="37" w:name="_Toc415931375"/>
      <w:bookmarkStart w:id="38" w:name="_Toc417502040"/>
      <w:r w:rsidRPr="001D75D9">
        <w:rPr>
          <w:lang w:val="en-GB"/>
        </w:rPr>
        <w:t>Introduction</w:t>
      </w:r>
      <w:bookmarkEnd w:id="35"/>
      <w:bookmarkEnd w:id="36"/>
      <w:bookmarkEnd w:id="37"/>
      <w:bookmarkEnd w:id="38"/>
    </w:p>
    <w:p w:rsidR="00B81CD1" w:rsidRPr="00435551" w:rsidRDefault="006657F3" w:rsidP="00B81CD1">
      <w:pPr>
        <w:jc w:val="both"/>
        <w:rPr>
          <w:rFonts w:ascii="Calibri" w:hAnsi="Calibri" w:cs="Times New Roman"/>
          <w:sz w:val="22"/>
          <w:szCs w:val="22"/>
          <w:lang w:val="en-GB"/>
        </w:rPr>
      </w:pPr>
      <w:r>
        <w:rPr>
          <w:rFonts w:ascii="Calibri" w:hAnsi="Calibri" w:cs="Times New Roman"/>
          <w:sz w:val="22"/>
          <w:szCs w:val="22"/>
          <w:lang w:val="en-GB"/>
        </w:rPr>
        <w:t>Adaptation measures are already required, to adapt to the effects of climate change being experienced today.</w:t>
      </w:r>
      <w:r w:rsidR="00B81CD1" w:rsidRPr="00435551">
        <w:rPr>
          <w:rFonts w:ascii="Calibri" w:hAnsi="Calibri" w:cs="Times New Roman"/>
          <w:sz w:val="22"/>
          <w:szCs w:val="22"/>
          <w:lang w:val="en-GB"/>
        </w:rPr>
        <w:t xml:space="preserve"> As Section 1 has demonstrated,</w:t>
      </w:r>
      <w:r w:rsidR="00B81CD1" w:rsidRPr="00922279">
        <w:rPr>
          <w:rFonts w:ascii="Calibri" w:hAnsi="Calibri" w:cs="Times New Roman"/>
          <w:sz w:val="22"/>
          <w:szCs w:val="22"/>
          <w:lang w:val="en-GB"/>
        </w:rPr>
        <w:t xml:space="preserve"> these</w:t>
      </w:r>
      <w:r w:rsidR="00B81CD1" w:rsidRPr="00435551">
        <w:rPr>
          <w:rFonts w:ascii="Calibri" w:hAnsi="Calibri" w:cs="Times New Roman"/>
          <w:sz w:val="22"/>
          <w:szCs w:val="22"/>
          <w:lang w:val="en-GB"/>
        </w:rPr>
        <w:t xml:space="preserve"> risks will increase</w:t>
      </w:r>
      <w:r w:rsidR="00863C0A">
        <w:rPr>
          <w:rFonts w:ascii="Calibri" w:hAnsi="Calibri" w:cs="Times New Roman"/>
          <w:sz w:val="22"/>
          <w:szCs w:val="22"/>
          <w:lang w:val="en-GB"/>
        </w:rPr>
        <w:t xml:space="preserve"> </w:t>
      </w:r>
      <w:r w:rsidR="00B81CD1" w:rsidRPr="00435551">
        <w:rPr>
          <w:rFonts w:ascii="Calibri" w:hAnsi="Calibri" w:cs="Times New Roman"/>
          <w:sz w:val="22"/>
          <w:szCs w:val="22"/>
          <w:lang w:val="en-GB"/>
        </w:rPr>
        <w:t xml:space="preserve">as worsening climate change affects more people, especially in highly exposed geographical regions and </w:t>
      </w:r>
      <w:r w:rsidR="00863C0A">
        <w:rPr>
          <w:rFonts w:ascii="Calibri" w:hAnsi="Calibri" w:cs="Times New Roman"/>
          <w:sz w:val="22"/>
          <w:szCs w:val="22"/>
          <w:lang w:val="en-GB"/>
        </w:rPr>
        <w:t>for</w:t>
      </w:r>
      <w:r w:rsidR="00B81CD1" w:rsidRPr="00435551">
        <w:rPr>
          <w:rFonts w:ascii="Calibri" w:hAnsi="Calibri" w:cs="Times New Roman"/>
          <w:sz w:val="22"/>
          <w:szCs w:val="22"/>
          <w:lang w:val="en-GB"/>
        </w:rPr>
        <w:t xml:space="preserve"> the most vulnerable members of society. </w:t>
      </w:r>
    </w:p>
    <w:p w:rsidR="00B81CD1" w:rsidRPr="00435551" w:rsidRDefault="00B81CD1" w:rsidP="00B81CD1">
      <w:pPr>
        <w:jc w:val="both"/>
        <w:rPr>
          <w:rFonts w:ascii="Calibri" w:hAnsi="Calibri" w:cs="Times New Roman"/>
          <w:sz w:val="22"/>
          <w:szCs w:val="22"/>
          <w:lang w:val="en-GB"/>
        </w:rPr>
      </w:pPr>
    </w:p>
    <w:p w:rsidR="00285DBA" w:rsidRPr="001D75D9" w:rsidRDefault="00B81CD1" w:rsidP="00B25E9E">
      <w:pPr>
        <w:rPr>
          <w:rFonts w:ascii="Calibri" w:hAnsi="Calibri"/>
          <w:sz w:val="22"/>
          <w:szCs w:val="22"/>
          <w:lang w:val="en-GB"/>
        </w:rPr>
      </w:pPr>
      <w:r w:rsidRPr="00435551">
        <w:rPr>
          <w:rFonts w:ascii="Calibri" w:hAnsi="Calibri" w:cs="Times New Roman"/>
          <w:sz w:val="22"/>
          <w:szCs w:val="22"/>
          <w:lang w:val="en-GB"/>
        </w:rPr>
        <w:t xml:space="preserve">This Section outlines possible and necessary actions to limit the negative impacts and burden on human health, including </w:t>
      </w:r>
      <w:r w:rsidRPr="00435551">
        <w:rPr>
          <w:rFonts w:ascii="Calibri" w:hAnsi="Calibri" w:cs="Times New Roman"/>
          <w:sz w:val="22"/>
          <w:lang w:val="en-GB"/>
        </w:rPr>
        <w:t xml:space="preserve">direct and indirect impacts both within and beyond the formal health system. </w:t>
      </w:r>
      <w:r w:rsidRPr="00435551">
        <w:rPr>
          <w:rFonts w:ascii="Calibri" w:hAnsi="Calibri" w:cs="Times New Roman"/>
          <w:sz w:val="22"/>
          <w:szCs w:val="22"/>
          <w:lang w:val="en-GB"/>
        </w:rPr>
        <w:t xml:space="preserve">Responses </w:t>
      </w:r>
      <w:r w:rsidR="00863C0A">
        <w:rPr>
          <w:rFonts w:ascii="Calibri" w:hAnsi="Calibri" w:cs="Times New Roman"/>
          <w:sz w:val="22"/>
          <w:szCs w:val="22"/>
          <w:lang w:val="en-GB"/>
        </w:rPr>
        <w:t xml:space="preserve">aim to </w:t>
      </w:r>
      <w:r w:rsidRPr="00435551">
        <w:rPr>
          <w:rFonts w:ascii="Calibri" w:hAnsi="Calibri" w:cs="Times New Roman"/>
          <w:sz w:val="22"/>
          <w:szCs w:val="22"/>
          <w:lang w:val="en-GB"/>
        </w:rPr>
        <w:t>reduce the underlying vulnerability of populations; empower actors to cope or adapt to the impacts; and whenever possible support longer-term development and transformations.</w:t>
      </w:r>
      <w:r w:rsidR="006657F3">
        <w:rPr>
          <w:rFonts w:ascii="Calibri" w:hAnsi="Calibri" w:cs="Times New Roman"/>
          <w:sz w:val="22"/>
          <w:szCs w:val="22"/>
          <w:lang w:val="en-GB"/>
        </w:rPr>
        <w:t xml:space="preserve"> </w:t>
      </w:r>
      <w:r w:rsidR="006657F3" w:rsidRPr="00435551">
        <w:rPr>
          <w:rFonts w:ascii="Calibri" w:hAnsi="Calibri" w:cs="Times New Roman"/>
          <w:sz w:val="22"/>
          <w:szCs w:val="22"/>
          <w:lang w:val="en-GB"/>
        </w:rPr>
        <w:t>The health sector has a central role to play in leading climate change adaptation and resilience efforts.</w:t>
      </w:r>
      <w:r w:rsidR="00E13392" w:rsidRPr="00435551">
        <w:rPr>
          <w:rFonts w:ascii="Calibri" w:hAnsi="Calibri" w:cs="Times New Roman"/>
          <w:sz w:val="22"/>
          <w:szCs w:val="22"/>
          <w:lang w:val="en-GB"/>
        </w:rPr>
        <w:fldChar w:fldCharType="begin">
          <w:fldData xml:space="preserve">PEVuZE5vdGU+PENpdGU+PEF1dGhvcj5GcnVta2luPC9BdXRob3I+PFllYXI+MjAwODwvWWVhcj48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</w:fldData>
        </w:fldChar>
      </w:r>
      <w:r w:rsidR="006657F3">
        <w:rPr>
          <w:rFonts w:ascii="Calibri" w:hAnsi="Calibri" w:cs="Times New Roman"/>
          <w:sz w:val="22"/>
          <w:szCs w:val="22"/>
          <w:lang w:val="en-GB"/>
        </w:rPr>
        <w:instrText xml:space="preserve"> ADDIN EN.CITE </w:instrText>
      </w:r>
      <w:r w:rsidR="00E13392">
        <w:rPr>
          <w:rFonts w:ascii="Calibri" w:hAnsi="Calibri" w:cs="Times New Roman"/>
          <w:sz w:val="22"/>
          <w:szCs w:val="22"/>
          <w:lang w:val="en-GB"/>
        </w:rPr>
        <w:fldChar w:fldCharType="begin">
          <w:fldData xml:space="preserve">PEVuZE5vdGU+PENpdGU+PEF1dGhvcj5GcnVta2luPC9BdXRob3I+PFllYXI+MjAwODwvWWVhcj48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</w:fldData>
        </w:fldChar>
      </w:r>
      <w:r w:rsidR="006657F3">
        <w:rPr>
          <w:rFonts w:ascii="Calibri" w:hAnsi="Calibri" w:cs="Times New Roman"/>
          <w:sz w:val="22"/>
          <w:szCs w:val="22"/>
          <w:lang w:val="en-GB"/>
        </w:rPr>
        <w:instrText xml:space="preserve"> ADDIN EN.CITE.DATA </w:instrText>
      </w:r>
      <w:r w:rsidR="00E13392">
        <w:rPr>
          <w:rFonts w:ascii="Calibri" w:hAnsi="Calibri" w:cs="Times New Roman"/>
          <w:sz w:val="22"/>
          <w:szCs w:val="22"/>
          <w:lang w:val="en-GB"/>
        </w:rPr>
      </w:r>
      <w:r w:rsidR="00E13392">
        <w:rPr>
          <w:rFonts w:ascii="Calibri" w:hAnsi="Calibri" w:cs="Times New Roman"/>
          <w:sz w:val="22"/>
          <w:szCs w:val="22"/>
          <w:lang w:val="en-GB"/>
        </w:rPr>
        <w:fldChar w:fldCharType="end"/>
      </w:r>
      <w:r w:rsidR="00E13392" w:rsidRPr="00435551">
        <w:rPr>
          <w:rFonts w:ascii="Calibri" w:hAnsi="Calibri" w:cs="Times New Roman"/>
          <w:sz w:val="22"/>
          <w:szCs w:val="22"/>
          <w:lang w:val="en-GB"/>
        </w:rPr>
      </w:r>
      <w:r w:rsidR="00E13392" w:rsidRPr="00435551">
        <w:rPr>
          <w:rFonts w:ascii="Calibri" w:hAnsi="Calibri" w:cs="Times New Roman"/>
          <w:sz w:val="22"/>
          <w:szCs w:val="22"/>
          <w:lang w:val="en-GB"/>
        </w:rPr>
        <w:fldChar w:fldCharType="separate"/>
      </w:r>
      <w:r w:rsidR="006657F3" w:rsidRPr="00723833">
        <w:rPr>
          <w:rFonts w:ascii="Calibri" w:hAnsi="Calibri" w:cs="Times New Roman"/>
          <w:noProof/>
          <w:sz w:val="22"/>
          <w:szCs w:val="22"/>
          <w:vertAlign w:val="superscript"/>
          <w:lang w:val="en-GB"/>
        </w:rPr>
        <w:t>102,103</w:t>
      </w:r>
      <w:r w:rsidR="00E13392" w:rsidRPr="00435551">
        <w:rPr>
          <w:rFonts w:ascii="Calibri" w:hAnsi="Calibri" w:cs="Times New Roman"/>
          <w:sz w:val="22"/>
          <w:szCs w:val="22"/>
          <w:lang w:val="en-GB"/>
        </w:rPr>
        <w:fldChar w:fldCharType="end"/>
      </w:r>
      <w:r w:rsidRPr="00435551">
        <w:rPr>
          <w:rFonts w:ascii="Calibri" w:hAnsi="Calibri" w:cs="Times New Roman"/>
          <w:sz w:val="22"/>
          <w:szCs w:val="22"/>
          <w:lang w:val="en-GB"/>
        </w:rPr>
        <w:t xml:space="preserve"> </w:t>
      </w:r>
      <w:r w:rsidR="006657F3">
        <w:rPr>
          <w:rFonts w:ascii="Calibri" w:hAnsi="Calibri" w:cs="Times New Roman"/>
          <w:sz w:val="22"/>
          <w:lang w:val="en-GB"/>
        </w:rPr>
        <w:t>However, effective</w:t>
      </w:r>
      <w:r w:rsidR="006657F3" w:rsidRPr="00435551">
        <w:rPr>
          <w:rFonts w:ascii="Calibri" w:hAnsi="Calibri" w:cs="Times New Roman"/>
          <w:sz w:val="22"/>
          <w:lang w:val="en-GB"/>
        </w:rPr>
        <w:t xml:space="preserve"> </w:t>
      </w:r>
      <w:r w:rsidRPr="00435551">
        <w:rPr>
          <w:rFonts w:ascii="Calibri" w:hAnsi="Calibri" w:cs="Times New Roman"/>
          <w:sz w:val="22"/>
          <w:lang w:val="en-GB"/>
        </w:rPr>
        <w:t xml:space="preserve">adaptation measures must cross multiple societal sectors, identify ways to overcome barriers to achieve co-benefits, and </w:t>
      </w:r>
      <w:r w:rsidR="00863C0A">
        <w:rPr>
          <w:rFonts w:ascii="Calibri" w:hAnsi="Calibri" w:cs="Times New Roman"/>
          <w:sz w:val="22"/>
          <w:lang w:val="en-GB"/>
        </w:rPr>
        <w:t>target</w:t>
      </w:r>
      <w:r w:rsidRPr="00435551">
        <w:rPr>
          <w:rFonts w:ascii="Calibri" w:hAnsi="Calibri" w:cs="Times New Roman"/>
          <w:sz w:val="22"/>
          <w:lang w:val="en-GB"/>
        </w:rPr>
        <w:t xml:space="preserve"> vulnerable groups and regions.</w:t>
      </w:r>
    </w:p>
    <w:p w:rsidR="00B25E9E" w:rsidRPr="001D75D9" w:rsidRDefault="00B25E9E" w:rsidP="00B25E9E">
      <w:pPr>
        <w:rPr>
          <w:rFonts w:ascii="Calibri" w:hAnsi="Calibri"/>
          <w:lang w:val="en-GB"/>
        </w:rPr>
      </w:pPr>
    </w:p>
    <w:p w:rsidR="00B25E9E" w:rsidRDefault="003410DB" w:rsidP="00024E43">
      <w:pPr>
        <w:jc w:val="both"/>
        <w:rPr>
          <w:rFonts w:ascii="Calibri" w:hAnsi="Calibri" w:cs="Times New Roman"/>
          <w:sz w:val="22"/>
          <w:lang w:val="en-GB"/>
        </w:rPr>
      </w:pPr>
      <w:r>
        <w:rPr>
          <w:rFonts w:ascii="Calibri" w:hAnsi="Calibri" w:cs="Times New Roman"/>
          <w:sz w:val="22"/>
          <w:lang w:val="en-GB"/>
        </w:rPr>
        <w:t>E</w:t>
      </w:r>
      <w:r w:rsidR="00B25E9E" w:rsidRPr="001D75D9">
        <w:rPr>
          <w:rFonts w:ascii="Calibri" w:hAnsi="Calibri" w:cs="Times New Roman"/>
          <w:sz w:val="22"/>
          <w:lang w:val="en-GB"/>
        </w:rPr>
        <w:t>arly action to address vulnerability allow</w:t>
      </w:r>
      <w:r w:rsidR="00B25E9E">
        <w:rPr>
          <w:rFonts w:ascii="Calibri" w:hAnsi="Calibri" w:cs="Times New Roman"/>
          <w:sz w:val="22"/>
          <w:lang w:val="en-GB"/>
        </w:rPr>
        <w:t>s</w:t>
      </w:r>
      <w:r w:rsidR="00B25E9E" w:rsidRPr="001D75D9">
        <w:rPr>
          <w:rFonts w:ascii="Calibri" w:hAnsi="Calibri" w:cs="Times New Roman"/>
          <w:sz w:val="22"/>
          <w:lang w:val="en-GB"/>
        </w:rPr>
        <w:t xml:space="preserve"> for more options and flexibility before we face indispensable and involuntary adaptation.</w:t>
      </w:r>
      <w:r w:rsidR="00E13392">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&lt;EndNote&gt;&lt;Cite&gt;&lt;Author&gt;O&amp;apos;Brien&lt;/Author&gt;&lt;Year&gt;2011&lt;/Year&gt;&lt;RecNum&gt;1163&lt;/RecNum&gt;&lt;DisplayText&gt;&lt;style face="superscript"&gt;104,105&lt;/style&gt;&lt;/DisplayText&gt;&lt;record&gt;&lt;rec-number&gt;1163&lt;/rec-number&gt;&lt;foreign-keys&gt;&lt;key app="EN" db-id="wtftd20rmszxx0ettxy5exwdf90wv22s2dsf" timestamp="1419212983"&gt;1163&lt;/key&gt;&lt;/foreign-keys&gt;&lt;ref-type name="Journal Article"&gt;17&lt;/ref-type&gt;&lt;contributors&gt;&lt;authors&gt;&lt;author&gt;O&amp;apos;Brien, Karen&lt;/author&gt;&lt;/authors&gt;&lt;/contributors&gt;&lt;titles&gt;&lt;title&gt;Global environmental change II: From adaptation to deliberate transformation&lt;/title&gt;&lt;secondary-title&gt;Progress in Human Geography&lt;/secondary-title&gt;&lt;/titles&gt;&lt;periodical&gt;&lt;full-title&gt;Progress in Human Geography&lt;/full-title&gt;&lt;/periodical&gt;&lt;dates&gt;&lt;year&gt;2011&lt;/year&gt;&lt;pub-dates&gt;&lt;date&gt;November 10, 2011&lt;/date&gt;&lt;/pub-dates&gt;&lt;/dates&gt;&lt;urls&gt;&lt;related-urls&gt;&lt;url&gt;http://phg.sagepub.com/content/early/2011/11/10/0309132511425767.abstract&lt;/url&gt;&lt;/related-urls&gt;&lt;/urls&gt;&lt;electronic-resource-num&gt;10.1177/0309132511425767&lt;/electronic-resource-num&gt;&lt;/record&gt;&lt;/Cite&gt;&lt;Cite&gt;&lt;Author&gt;Pelling&lt;/Author&gt;&lt;Year&gt;2011&lt;/Year&gt;&lt;RecNum&gt;1195&lt;/RecNum&gt;&lt;record&gt;&lt;rec-number&gt;1195&lt;/rec-number&gt;&lt;foreign-keys&gt;&lt;key app="EN" db-id="wtftd20rmszxx0ettxy5exwdf90wv22s2dsf" timestamp="1419212983"&gt;1195&lt;/key&gt;&lt;/foreign-keys&gt;&lt;ref-type name="Book"&gt;6&lt;/ref-type&gt;&lt;contributors&gt;&lt;authors&gt;&lt;author&gt;Pelling, M.&lt;/author&gt;&lt;/authors&gt;&lt;/contributors&gt;&lt;titles&gt;&lt;title&gt;Adaptation to climate change: from resilience to transformation&lt;/title&gt;&lt;/titles&gt;&lt;dates&gt;&lt;year&gt;2011&lt;/year&gt;&lt;/dates&gt;&lt;pub-location&gt;London, UK&lt;/pub-location&gt;&lt;publisher&gt;Routledge&lt;/publisher&gt;&lt;urls&gt;&lt;/urls&gt;&lt;/record&gt;&lt;/Cite&gt;&lt;/EndNote&gt;</w:instrText>
      </w:r>
      <w:r w:rsidR="00E13392">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104,105</w:t>
      </w:r>
      <w:r w:rsidR="00E13392">
        <w:rPr>
          <w:rFonts w:ascii="Calibri" w:hAnsi="Calibri" w:cs="Times New Roman"/>
          <w:sz w:val="22"/>
          <w:lang w:val="en-GB"/>
        </w:rPr>
        <w:fldChar w:fldCharType="end"/>
      </w:r>
    </w:p>
    <w:p w:rsidR="00921834" w:rsidRPr="001E1993" w:rsidRDefault="00921834" w:rsidP="00024E43">
      <w:pPr>
        <w:jc w:val="both"/>
        <w:rPr>
          <w:rFonts w:ascii="Calibri" w:hAnsi="Calibri" w:cs="Times New Roman"/>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04"/>
      </w:tblGrid>
      <w:tr w:rsidR="005C12E5" w:rsidRPr="004B2349" w:rsidTr="00FE56B7">
        <w:tc>
          <w:tcPr>
            <w:tcW w:w="9204" w:type="dxa"/>
            <w:shd w:val="clear" w:color="auto" w:fill="F2F2F2" w:themeFill="background1" w:themeFillShade="F2"/>
          </w:tcPr>
          <w:p w:rsidR="005C12E5" w:rsidRPr="00435551" w:rsidRDefault="005C12E5" w:rsidP="00FE56B7">
            <w:pPr>
              <w:jc w:val="center"/>
              <w:rPr>
                <w:rFonts w:ascii="Calibri" w:hAnsi="Calibri"/>
                <w:b/>
                <w:sz w:val="20"/>
                <w:szCs w:val="20"/>
                <w:lang w:val="en-GB"/>
              </w:rPr>
            </w:pPr>
          </w:p>
          <w:p w:rsidR="005C12E5" w:rsidRPr="004008E1" w:rsidRDefault="005C12E5" w:rsidP="00FE56B7">
            <w:pPr>
              <w:jc w:val="center"/>
              <w:rPr>
                <w:rFonts w:ascii="Calibri" w:hAnsi="Calibri" w:cs="Times New Roman"/>
                <w:b/>
                <w:sz w:val="20"/>
                <w:szCs w:val="20"/>
                <w:lang w:val="en-GB"/>
              </w:rPr>
            </w:pPr>
            <w:r w:rsidRPr="00A37EA9">
              <w:rPr>
                <w:rFonts w:ascii="Calibri" w:hAnsi="Calibri"/>
                <w:b/>
                <w:sz w:val="20"/>
                <w:szCs w:val="20"/>
                <w:lang w:val="en-GB"/>
              </w:rPr>
              <w:t xml:space="preserve">Box. </w:t>
            </w:r>
            <w:r>
              <w:rPr>
                <w:rFonts w:ascii="Calibri" w:hAnsi="Calibri"/>
                <w:b/>
                <w:sz w:val="20"/>
                <w:szCs w:val="20"/>
                <w:lang w:val="en-GB"/>
              </w:rPr>
              <w:t>3</w:t>
            </w:r>
            <w:r w:rsidRPr="00A37EA9">
              <w:rPr>
                <w:rFonts w:ascii="Calibri" w:hAnsi="Calibri"/>
                <w:b/>
                <w:sz w:val="20"/>
                <w:szCs w:val="20"/>
                <w:lang w:val="en-GB"/>
              </w:rPr>
              <w:t>.1: Vulnerability, Adaptation and Resilience - D</w:t>
            </w:r>
            <w:r w:rsidRPr="00142ED0">
              <w:rPr>
                <w:rFonts w:ascii="Calibri" w:hAnsi="Calibri"/>
                <w:b/>
                <w:sz w:val="20"/>
                <w:szCs w:val="20"/>
                <w:lang w:val="en-GB"/>
              </w:rPr>
              <w:t>efinitions</w:t>
            </w:r>
          </w:p>
          <w:p w:rsidR="005C12E5" w:rsidRPr="004008E1" w:rsidRDefault="005C12E5" w:rsidP="00FE56B7">
            <w:pPr>
              <w:jc w:val="both"/>
              <w:rPr>
                <w:rFonts w:ascii="Calibri" w:hAnsi="Calibri" w:cs="Times New Roman"/>
                <w:sz w:val="20"/>
                <w:szCs w:val="20"/>
                <w:lang w:val="en-GB"/>
              </w:rPr>
            </w:pPr>
          </w:p>
          <w:p w:rsidR="005C12E5" w:rsidRPr="004008E1" w:rsidRDefault="005C12E5" w:rsidP="00FE56B7">
            <w:pPr>
              <w:jc w:val="both"/>
              <w:rPr>
                <w:rFonts w:ascii="Calibri" w:hAnsi="Calibri" w:cs="Times New Roman"/>
                <w:sz w:val="20"/>
                <w:szCs w:val="20"/>
                <w:lang w:val="en-GB"/>
              </w:rPr>
            </w:pPr>
            <w:r w:rsidRPr="00B50254">
              <w:rPr>
                <w:rFonts w:ascii="Calibri" w:hAnsi="Calibri" w:cs="Times New Roman"/>
                <w:i/>
                <w:sz w:val="20"/>
                <w:szCs w:val="20"/>
                <w:lang w:val="en-GB"/>
              </w:rPr>
              <w:t>Vulnerability</w:t>
            </w:r>
            <w:r w:rsidRPr="00B50254">
              <w:rPr>
                <w:rFonts w:ascii="Calibri" w:hAnsi="Calibri" w:cs="Times New Roman"/>
                <w:sz w:val="20"/>
                <w:szCs w:val="20"/>
                <w:lang w:val="en-GB"/>
              </w:rPr>
              <w:t xml:space="preserve"> is defined as the degree to which a system is susceptible to, or unable to cope with, the adverse effects of climate change.</w:t>
            </w:r>
            <w:r w:rsidR="00E13392" w:rsidRPr="00142ED0">
              <w:rPr>
                <w:rFonts w:ascii="Calibri" w:hAnsi="Calibri" w:cs="Times New Roman"/>
                <w:sz w:val="20"/>
                <w:szCs w:val="20"/>
                <w:lang w:val="en-GB"/>
              </w:rPr>
              <w:fldChar w:fldCharType="begin"/>
            </w:r>
            <w:r w:rsidR="00723833">
              <w:rPr>
                <w:rFonts w:ascii="Calibri" w:hAnsi="Calibri" w:cs="Times New Roman"/>
                <w:sz w:val="20"/>
                <w:szCs w:val="20"/>
                <w:lang w:val="en-GB"/>
              </w:rPr>
              <w:instrText xml:space="preserve"> ADDIN EN.CITE &lt;EndNote&gt;&lt;Cite&gt;&lt;Author&gt;Adger&lt;/Author&gt;&lt;Year&gt;2006&lt;/Year&gt;&lt;RecNum&gt;1073&lt;/RecNum&gt;&lt;DisplayText&gt;&lt;style face="superscript"&gt;106&lt;/style&gt;&lt;/DisplayText&gt;&lt;record&gt;&lt;rec-number&gt;1073&lt;/rec-number&gt;&lt;foreign-keys&gt;&lt;key app="EN" db-id="wtftd20rmszxx0ettxy5exwdf90wv22s2dsf" timestamp="1419212983"&gt;1073&lt;/key&gt;&lt;/foreign-keys&gt;&lt;ref-type name="Journal Article"&gt;17&lt;/ref-type&gt;&lt;contributors&gt;&lt;authors&gt;&lt;author&gt;Adger, W. Neil&lt;/author&gt;&lt;/authors&gt;&lt;/contributors&gt;&lt;titles&gt;&lt;title&gt;Vulnerability&lt;/title&gt;&lt;secondary-title&gt;Global Environmental Change&lt;/secondary-title&gt;&lt;/titles&gt;&lt;periodical&gt;&lt;full-title&gt;Global Environmental Change&lt;/full-title&gt;&lt;/periodical&gt;&lt;pages&gt;268-281&lt;/pages&gt;&lt;volume&gt;16&lt;/volume&gt;&lt;number&gt;3&lt;/number&gt;&lt;keywords&gt;&lt;keyword&gt;Vulnerability&lt;/keyword&gt;&lt;keyword&gt;Disasters&lt;/keyword&gt;&lt;keyword&gt;Food insecurity&lt;/keyword&gt;&lt;keyword&gt;Hazards&lt;/keyword&gt;&lt;keyword&gt;Social-ecological systems&lt;/keyword&gt;&lt;keyword&gt;Surprise&lt;/keyword&gt;&lt;keyword&gt;Governance&lt;/keyword&gt;&lt;keyword&gt;Adaptation&lt;/keyword&gt;&lt;keyword&gt;Resilience&lt;/keyword&gt;&lt;/keywords&gt;&lt;dates&gt;&lt;year&gt;2006&lt;/year&gt;&lt;pub-dates&gt;&lt;date&gt;8//&lt;/date&gt;&lt;/pub-dates&gt;&lt;/dates&gt;&lt;isbn&gt;0959-3780&lt;/isbn&gt;&lt;urls&gt;&lt;related-urls&gt;&lt;url&gt;http://www.sciencedirect.com/science/article/pii/S0959378006000422&lt;/url&gt;&lt;/related-urls&gt;&lt;/urls&gt;&lt;electronic-resource-num&gt;http://dx.doi.org/10.1016/j.gloenvcha.2006.02.006&lt;/electronic-resource-num&gt;&lt;/record&gt;&lt;/Cite&gt;&lt;/EndNote&gt;</w:instrText>
            </w:r>
            <w:r w:rsidR="00E13392" w:rsidRPr="00142ED0">
              <w:rPr>
                <w:rFonts w:ascii="Calibri" w:hAnsi="Calibri" w:cs="Times New Roman"/>
                <w:sz w:val="20"/>
                <w:szCs w:val="20"/>
                <w:lang w:val="en-GB"/>
              </w:rPr>
              <w:fldChar w:fldCharType="separate"/>
            </w:r>
            <w:r w:rsidR="00723833" w:rsidRPr="00723833">
              <w:rPr>
                <w:rFonts w:ascii="Calibri" w:hAnsi="Calibri" w:cs="Times New Roman"/>
                <w:noProof/>
                <w:sz w:val="20"/>
                <w:szCs w:val="20"/>
                <w:vertAlign w:val="superscript"/>
                <w:lang w:val="en-GB"/>
              </w:rPr>
              <w:t>106</w:t>
            </w:r>
            <w:r w:rsidR="00E13392" w:rsidRPr="00142ED0">
              <w:rPr>
                <w:rFonts w:ascii="Calibri" w:hAnsi="Calibri" w:cs="Times New Roman"/>
                <w:sz w:val="20"/>
                <w:szCs w:val="20"/>
                <w:lang w:val="en-GB"/>
              </w:rPr>
              <w:fldChar w:fldCharType="end"/>
            </w:r>
            <w:r w:rsidRPr="00A37EA9">
              <w:rPr>
                <w:rFonts w:ascii="Calibri" w:hAnsi="Calibri" w:cs="Times New Roman"/>
                <w:sz w:val="20"/>
                <w:szCs w:val="20"/>
                <w:lang w:val="en-GB"/>
              </w:rPr>
              <w:t xml:space="preserve"> This considers demographics, geographical circumstances, effec</w:t>
            </w:r>
            <w:r w:rsidRPr="00142ED0">
              <w:rPr>
                <w:rFonts w:ascii="Calibri" w:hAnsi="Calibri" w:cs="Times New Roman"/>
                <w:sz w:val="20"/>
                <w:szCs w:val="20"/>
                <w:lang w:val="en-GB"/>
              </w:rPr>
              <w:t>tiveness and coverage of the health care system, pre-existing conditions, and socioeconomic factors such as inequity.</w:t>
            </w:r>
            <w:r w:rsidR="00E13392" w:rsidRPr="00142ED0">
              <w:rPr>
                <w:rFonts w:ascii="Calibri" w:hAnsi="Calibri" w:cs="Times New Roman"/>
                <w:sz w:val="20"/>
                <w:szCs w:val="20"/>
                <w:lang w:val="en-GB"/>
              </w:rPr>
              <w:fldChar w:fldCharType="begin"/>
            </w:r>
            <w:r w:rsidR="00723833">
              <w:rPr>
                <w:rFonts w:ascii="Calibri" w:hAnsi="Calibri" w:cs="Times New Roman"/>
                <w:sz w:val="20"/>
                <w:szCs w:val="20"/>
                <w:lang w:val="en-GB"/>
              </w:rPr>
              <w:instrText xml:space="preserve"> ADDIN EN.CITE &lt;EndNote&gt;&lt;Cite&gt;&lt;Author&gt;Patz&lt;/Author&gt;&lt;Year&gt;2007&lt;/Year&gt;&lt;RecNum&gt;1261&lt;/RecNum&gt;&lt;DisplayText&gt;&lt;style face="superscript"&gt;107&lt;/style&gt;&lt;/DisplayText&gt;&lt;record&gt;&lt;rec-number&gt;1261&lt;/rec-number&gt;&lt;foreign-keys&gt;&lt;key app="EN" db-id="wtftd20rmszxx0ettxy5exwdf90wv22s2dsf" timestamp="1419212983"&gt;1261&lt;/key&gt;&lt;/foreign-keys&gt;&lt;ref-type name="Journal Article"&gt;17&lt;/ref-type&gt;&lt;contributors&gt;&lt;authors&gt;&lt;author&gt;Patz, JonathanA&lt;/author&gt;&lt;author&gt;Gibbs, HollyK&lt;/author&gt;&lt;author&gt;Foley, JonathanA&lt;/author&gt;&lt;author&gt;Rogers, JamesineV&lt;/author&gt;&lt;author&gt;Smith, KirkR&lt;/author&gt;&lt;/authors&gt;&lt;/contributors&gt;&lt;titles&gt;&lt;title&gt;Climate Change and Global Health: Quantifying a Growing Ethical Crisis&lt;/title&gt;&lt;secondary-title&gt;EcoHealth&lt;/secondary-title&gt;&lt;alt-title&gt;EcoHealth&lt;/alt-title&gt;&lt;/titles&gt;&lt;periodical&gt;&lt;full-title&gt;EcoHealth&lt;/full-title&gt;&lt;abbr-1&gt;EcoHealth&lt;/abbr-1&gt;&lt;/periodical&gt;&lt;alt-periodical&gt;&lt;full-title&gt;EcoHealth&lt;/full-title&gt;&lt;abbr-1&gt;EcoHealth&lt;/abbr-1&gt;&lt;/alt-periodical&gt;&lt;pages&gt;397-405&lt;/pages&gt;&lt;volume&gt;4&lt;/volume&gt;&lt;number&gt;4&lt;/number&gt;&lt;keywords&gt;&lt;keyword&gt;biofuels&lt;/keyword&gt;&lt;keyword&gt;built environment&lt;/keyword&gt;&lt;keyword&gt;cobenefits&lt;/keyword&gt;&lt;keyword&gt;CO2 emissions&lt;/keyword&gt;&lt;keyword&gt;food security&lt;/keyword&gt;&lt;keyword&gt;global warming&lt;/keyword&gt;&lt;keyword&gt;equity&lt;/keyword&gt;&lt;keyword&gt;natural debt&lt;/keyword&gt;&lt;keyword&gt;malaria&lt;/keyword&gt;&lt;keyword&gt;malnutrition&lt;/keyword&gt;&lt;/keywords&gt;&lt;dates&gt;&lt;year&gt;2007&lt;/year&gt;&lt;pub-dates&gt;&lt;date&gt;2007/12/01&lt;/date&gt;&lt;/pub-dates&gt;&lt;/dates&gt;&lt;publisher&gt;Springer-Verlag&lt;/publisher&gt;&lt;isbn&gt;1612-9202&lt;/isbn&gt;&lt;urls&gt;&lt;related-urls&gt;&lt;url&gt;http://dx.doi.org/10.1007/s10393-007-0141-1&lt;/url&gt;&lt;/related-urls&gt;&lt;/urls&gt;&lt;electronic-resource-num&gt;10.1007/s10393-007-0141-1&lt;/electronic-resource-num&gt;&lt;language&gt;English&lt;/language&gt;&lt;/record&gt;&lt;/Cite&gt;&lt;/EndNote&gt;</w:instrText>
            </w:r>
            <w:r w:rsidR="00E13392" w:rsidRPr="00142ED0">
              <w:rPr>
                <w:rFonts w:ascii="Calibri" w:hAnsi="Calibri" w:cs="Times New Roman"/>
                <w:sz w:val="20"/>
                <w:szCs w:val="20"/>
                <w:lang w:val="en-GB"/>
              </w:rPr>
              <w:fldChar w:fldCharType="separate"/>
            </w:r>
            <w:r w:rsidR="00723833" w:rsidRPr="00723833">
              <w:rPr>
                <w:rFonts w:ascii="Calibri" w:hAnsi="Calibri" w:cs="Times New Roman"/>
                <w:noProof/>
                <w:sz w:val="20"/>
                <w:szCs w:val="20"/>
                <w:vertAlign w:val="superscript"/>
                <w:lang w:val="en-GB"/>
              </w:rPr>
              <w:t>107</w:t>
            </w:r>
            <w:r w:rsidR="00E13392" w:rsidRPr="00142ED0">
              <w:rPr>
                <w:rFonts w:ascii="Calibri" w:hAnsi="Calibri" w:cs="Times New Roman"/>
                <w:sz w:val="20"/>
                <w:szCs w:val="20"/>
                <w:lang w:val="en-GB"/>
              </w:rPr>
              <w:fldChar w:fldCharType="end"/>
            </w:r>
          </w:p>
          <w:p w:rsidR="005C12E5" w:rsidRPr="004008E1" w:rsidRDefault="005C12E5" w:rsidP="00FE56B7">
            <w:pPr>
              <w:jc w:val="both"/>
              <w:rPr>
                <w:rFonts w:ascii="Calibri" w:hAnsi="Calibri"/>
                <w:sz w:val="20"/>
                <w:szCs w:val="20"/>
                <w:lang w:val="en-GB"/>
              </w:rPr>
            </w:pPr>
          </w:p>
          <w:p w:rsidR="005C12E5" w:rsidRPr="00142ED0" w:rsidRDefault="005C12E5" w:rsidP="00FE56B7">
            <w:pPr>
              <w:jc w:val="both"/>
              <w:rPr>
                <w:rFonts w:ascii="Calibri" w:hAnsi="Calibri"/>
                <w:sz w:val="20"/>
                <w:szCs w:val="20"/>
                <w:lang w:val="en-GB"/>
              </w:rPr>
            </w:pPr>
            <w:r w:rsidRPr="00B50254">
              <w:rPr>
                <w:rFonts w:ascii="Calibri" w:hAnsi="Calibri" w:cs="Times New Roman"/>
                <w:i/>
                <w:sz w:val="20"/>
                <w:szCs w:val="20"/>
                <w:lang w:val="en-GB"/>
              </w:rPr>
              <w:t>Adaptation</w:t>
            </w:r>
            <w:r w:rsidRPr="00B50254">
              <w:rPr>
                <w:rFonts w:ascii="Calibri" w:hAnsi="Calibri" w:cs="Times New Roman"/>
                <w:sz w:val="20"/>
                <w:szCs w:val="20"/>
                <w:lang w:val="en-GB"/>
              </w:rPr>
              <w:t xml:space="preserve"> to climate change is here defined as “the process of adjustment to actual or expected climate and its effects, in human systems in order to moderate harm or exploit beneficial opportunities, and in natural systems human intervention may facili</w:t>
            </w:r>
            <w:r w:rsidRPr="004B2349">
              <w:rPr>
                <w:rFonts w:ascii="Calibri" w:hAnsi="Calibri" w:cs="Times New Roman"/>
                <w:sz w:val="20"/>
                <w:szCs w:val="20"/>
                <w:lang w:val="en-GB"/>
              </w:rPr>
              <w:t>tate adjustment to expected climate”.</w:t>
            </w:r>
            <w:r w:rsidR="00E13392" w:rsidRPr="00142ED0">
              <w:rPr>
                <w:rFonts w:ascii="Calibri" w:hAnsi="Calibri" w:cs="Times New Roman"/>
                <w:sz w:val="20"/>
                <w:szCs w:val="20"/>
                <w:lang w:val="en-GB"/>
              </w:rPr>
              <w:fldChar w:fldCharType="begin"/>
            </w:r>
            <w:r w:rsidR="00723833">
              <w:rPr>
                <w:rFonts w:ascii="Calibri" w:hAnsi="Calibri" w:cs="Times New Roman"/>
                <w:sz w:val="20"/>
                <w:szCs w:val="20"/>
                <w:lang w:val="en-GB"/>
              </w:rPr>
              <w:instrText xml:space="preserve"> ADDIN EN.CITE &lt;EndNote&gt;&lt;Cite&gt;&lt;Author&gt;IPCC&lt;/Author&gt;&lt;Year&gt;2012&lt;/Year&gt;&lt;RecNum&gt;1141&lt;/RecNum&gt;&lt;DisplayText&gt;&lt;style face="superscript"&gt;108&lt;/style&gt;&lt;/DisplayText&gt;&lt;record&gt;&lt;rec-number&gt;1141&lt;/rec-number&gt;&lt;foreign-keys&gt;&lt;key app="EN" db-id="wtftd20rmszxx0ettxy5exwdf90wv22s2dsf" timestamp="1419212983"&gt;1141&lt;/key&gt;&lt;/foreign-keys&gt;&lt;ref-type name="Book Section"&gt;5&lt;/ref-type&gt;&lt;contributors&gt;&lt;authors&gt;&lt;author&gt;IPCC,&lt;/author&gt;&lt;/authors&gt;&lt;secondary-authors&gt;&lt;author&gt;Field CB, Barros V, Stocker TF, Qin D, Dokken DJ, Ebi KL, Mastrandrea MD, Mach KJ, Plattner GK, Allen SK, Tignor M, Midgley PM&lt;/author&gt;&lt;/secondary-authors&gt;&lt;/contributors&gt;&lt;titles&gt;&lt;title&gt;Glossary of terms&lt;/title&gt;&lt;secondary-title&gt;Managing the Risks of Extreme Events and Disasters to Advance Climate Change Adaptation. A Special Report of Working Groups I and II of the Intergovernmental Panel on Climate Change&lt;/secondary-title&gt;&lt;/titles&gt;&lt;pages&gt;555-564&lt;/pages&gt;&lt;dates&gt;&lt;year&gt;2012&lt;/year&gt;&lt;/dates&gt;&lt;pub-location&gt;UK, USA&lt;/pub-location&gt;&lt;publisher&gt;Cambridge University Press&lt;/publisher&gt;&lt;urls&gt;&lt;/urls&gt;&lt;/record&gt;&lt;/Cite&gt;&lt;/EndNote&gt;</w:instrText>
            </w:r>
            <w:r w:rsidR="00E13392" w:rsidRPr="00142ED0">
              <w:rPr>
                <w:rFonts w:ascii="Calibri" w:hAnsi="Calibri" w:cs="Times New Roman"/>
                <w:sz w:val="20"/>
                <w:szCs w:val="20"/>
                <w:lang w:val="en-GB"/>
              </w:rPr>
              <w:fldChar w:fldCharType="separate"/>
            </w:r>
            <w:r w:rsidR="00723833" w:rsidRPr="00723833">
              <w:rPr>
                <w:rFonts w:ascii="Calibri" w:hAnsi="Calibri" w:cs="Times New Roman"/>
                <w:noProof/>
                <w:sz w:val="20"/>
                <w:szCs w:val="20"/>
                <w:vertAlign w:val="superscript"/>
                <w:lang w:val="en-GB"/>
              </w:rPr>
              <w:t>108</w:t>
            </w:r>
            <w:r w:rsidR="00E13392" w:rsidRPr="00142ED0">
              <w:rPr>
                <w:rFonts w:ascii="Calibri" w:hAnsi="Calibri" w:cs="Times New Roman"/>
                <w:sz w:val="20"/>
                <w:szCs w:val="20"/>
                <w:lang w:val="en-GB"/>
              </w:rPr>
              <w:fldChar w:fldCharType="end"/>
            </w:r>
            <w:r w:rsidRPr="00A37EA9">
              <w:rPr>
                <w:rFonts w:ascii="Calibri" w:hAnsi="Calibri" w:cs="Times New Roman"/>
                <w:sz w:val="20"/>
                <w:szCs w:val="20"/>
                <w:lang w:val="en-GB"/>
              </w:rPr>
              <w:t xml:space="preserve"> </w:t>
            </w:r>
          </w:p>
          <w:p w:rsidR="005C12E5" w:rsidRPr="004008E1" w:rsidRDefault="005C12E5" w:rsidP="00FE56B7">
            <w:pPr>
              <w:jc w:val="both"/>
              <w:rPr>
                <w:rFonts w:ascii="Calibri" w:hAnsi="Calibri"/>
                <w:sz w:val="20"/>
                <w:szCs w:val="20"/>
                <w:lang w:val="en-GB"/>
              </w:rPr>
            </w:pPr>
          </w:p>
          <w:p w:rsidR="005C12E5" w:rsidRPr="00A37EA9" w:rsidRDefault="005C12E5" w:rsidP="00FE56B7">
            <w:pPr>
              <w:jc w:val="both"/>
              <w:rPr>
                <w:rFonts w:ascii="Calibri" w:hAnsi="Calibri" w:cs="Times New Roman"/>
                <w:sz w:val="20"/>
                <w:szCs w:val="20"/>
                <w:lang w:val="en-GB"/>
              </w:rPr>
            </w:pPr>
            <w:r w:rsidRPr="004008E1">
              <w:rPr>
                <w:rFonts w:ascii="Calibri" w:hAnsi="Calibri" w:cs="Times New Roman"/>
                <w:i/>
                <w:sz w:val="20"/>
                <w:szCs w:val="20"/>
                <w:lang w:val="en-GB"/>
              </w:rPr>
              <w:t>Resilience</w:t>
            </w:r>
            <w:r w:rsidRPr="00B50254">
              <w:rPr>
                <w:rFonts w:ascii="Calibri" w:hAnsi="Calibri" w:cs="Times New Roman"/>
                <w:sz w:val="20"/>
                <w:szCs w:val="20"/>
                <w:lang w:val="en-GB"/>
              </w:rPr>
              <w:t xml:space="preserve"> is here defined as the capacity of a system to absorb disturbance and re-organise while undergoing change, so as to still retain essentially the same function, structure, identity and feedbacks.</w:t>
            </w:r>
            <w:r w:rsidR="00E13392" w:rsidRPr="00142ED0">
              <w:rPr>
                <w:rFonts w:ascii="Calibri" w:hAnsi="Calibri" w:cs="Times New Roman"/>
                <w:sz w:val="20"/>
                <w:szCs w:val="20"/>
                <w:lang w:val="en-GB"/>
              </w:rPr>
              <w:fldChar w:fldCharType="begin"/>
            </w:r>
            <w:r>
              <w:rPr>
                <w:rFonts w:ascii="Calibri" w:hAnsi="Calibri" w:cs="Times New Roman"/>
                <w:sz w:val="20"/>
                <w:szCs w:val="20"/>
                <w:lang w:val="en-GB"/>
              </w:rPr>
              <w:instrText xml:space="preserve"> ADDIN EN.CITE &lt;EndNote&gt;&lt;Cite&gt;&lt;Author&gt;Walker BH&lt;/Author&gt;&lt;Year&gt;2006&lt;/Year&gt;&lt;RecNum&gt;1208&lt;/RecNum&gt;&lt;DisplayText&gt;&lt;style face="superscript"&gt;30&lt;/style&gt;&lt;/DisplayText&gt;&lt;record&gt;&lt;rec-number&gt;1208&lt;/rec-number&gt;&lt;foreign-keys&gt;&lt;key app="EN" db-id="wtftd20rmszxx0ettxy5exwdf90wv22s2dsf" timestamp="1419212983"&gt;1208&lt;/key&gt;&lt;/foreign-keys&gt;&lt;ref-type name="Journal Article"&gt;17&lt;/ref-type&gt;&lt;contributors&gt;&lt;authors&gt;&lt;author&gt;Walker BH, &lt;/author&gt;&lt;author&gt;Gunderson LH, &lt;/author&gt;&lt;author&gt;Kinzig AP, &lt;/author&gt;&lt;author&gt;Folke C, &lt;/author&gt;&lt;author&gt;Carpenter SR, &lt;/author&gt;&lt;author&gt;Schultz L,&lt;/author&gt;&lt;/authors&gt;&lt;/contributors&gt;&lt;titles&gt;&lt;title&gt;A handful of heuristics and some propositions for understanding resilience in social-ecological systems&lt;/title&gt;&lt;secondary-title&gt;Ecology and Society&lt;/secondary-title&gt;&lt;/titles&gt;&lt;periodical&gt;&lt;full-title&gt;Ecology and Society&lt;/full-title&gt;&lt;/periodical&gt;&lt;pages&gt;13&lt;/pages&gt;&lt;volume&gt;11&lt;/volume&gt;&lt;number&gt;1&lt;/number&gt;&lt;dates&gt;&lt;year&gt;2006&lt;/year&gt;&lt;/dates&gt;&lt;urls&gt;&lt;/urls&gt;&lt;/record&gt;&lt;/Cite&gt;&lt;/EndNote&gt;</w:instrText>
            </w:r>
            <w:r w:rsidR="00E13392" w:rsidRPr="00142ED0">
              <w:rPr>
                <w:rFonts w:ascii="Calibri" w:hAnsi="Calibri" w:cs="Times New Roman"/>
                <w:sz w:val="20"/>
                <w:szCs w:val="20"/>
                <w:lang w:val="en-GB"/>
              </w:rPr>
              <w:fldChar w:fldCharType="separate"/>
            </w:r>
            <w:r w:rsidRPr="005C12E5">
              <w:rPr>
                <w:rFonts w:ascii="Calibri" w:hAnsi="Calibri" w:cs="Times New Roman"/>
                <w:noProof/>
                <w:sz w:val="20"/>
                <w:szCs w:val="20"/>
                <w:vertAlign w:val="superscript"/>
                <w:lang w:val="en-GB"/>
              </w:rPr>
              <w:t>30</w:t>
            </w:r>
            <w:r w:rsidR="00E13392" w:rsidRPr="00142ED0">
              <w:rPr>
                <w:rFonts w:ascii="Calibri" w:hAnsi="Calibri" w:cs="Times New Roman"/>
                <w:sz w:val="20"/>
                <w:szCs w:val="20"/>
                <w:lang w:val="en-GB"/>
              </w:rPr>
              <w:fldChar w:fldCharType="end"/>
            </w:r>
            <w:r w:rsidRPr="00A37EA9">
              <w:rPr>
                <w:rFonts w:ascii="Calibri" w:hAnsi="Calibri" w:cs="Times New Roman"/>
                <w:sz w:val="20"/>
                <w:szCs w:val="20"/>
                <w:lang w:val="en-GB"/>
              </w:rPr>
              <w:t xml:space="preserve"> It has also been referred to the abi</w:t>
            </w:r>
            <w:r w:rsidRPr="00142ED0">
              <w:rPr>
                <w:rFonts w:ascii="Calibri" w:hAnsi="Calibri" w:cs="Times New Roman"/>
                <w:sz w:val="20"/>
                <w:szCs w:val="20"/>
                <w:lang w:val="en-GB"/>
              </w:rPr>
              <w:t>lity of human communities to withstand external shocks to their social infrastructure.</w:t>
            </w:r>
            <w:r w:rsidR="00E13392" w:rsidRPr="00142ED0">
              <w:rPr>
                <w:rFonts w:ascii="Calibri" w:hAnsi="Calibri" w:cs="Times New Roman"/>
                <w:sz w:val="20"/>
                <w:szCs w:val="20"/>
                <w:lang w:val="en-GB"/>
              </w:rPr>
              <w:fldChar w:fldCharType="begin"/>
            </w:r>
            <w:r w:rsidR="00723833">
              <w:rPr>
                <w:rFonts w:ascii="Calibri" w:hAnsi="Calibri" w:cs="Times New Roman"/>
                <w:sz w:val="20"/>
                <w:szCs w:val="20"/>
                <w:lang w:val="en-GB"/>
              </w:rPr>
              <w:instrText xml:space="preserve"> ADDIN EN.CITE &lt;EndNote&gt;&lt;Cite&gt;&lt;Author&gt;Adger&lt;/Author&gt;&lt;Year&gt;2000&lt;/Year&gt;&lt;RecNum&gt;1074&lt;/RecNum&gt;&lt;DisplayText&gt;&lt;style face="superscript"&gt;109&lt;/style&gt;&lt;/DisplayText&gt;&lt;record&gt;&lt;rec-number&gt;1074&lt;/rec-number&gt;&lt;foreign-keys&gt;&lt;key app="EN" db-id="wtftd20rmszxx0ettxy5exwdf90wv22s2dsf" timestamp="1419212983"&gt;1074&lt;/key&gt;&lt;/foreign-keys&gt;&lt;ref-type name="Journal Article"&gt;17&lt;/ref-type&gt;&lt;contributors&gt;&lt;authors&gt;&lt;author&gt;Adger, W. Neil&lt;/author&gt;&lt;/authors&gt;&lt;/contributors&gt;&lt;titles&gt;&lt;title&gt;Social and ecological resilience: are they related?&lt;/title&gt;&lt;secondary-title&gt;Progress in Human Geography&lt;/secondary-title&gt;&lt;/titles&gt;&lt;periodical&gt;&lt;full-title&gt;Progress in Human Geography&lt;/full-title&gt;&lt;/periodical&gt;&lt;pages&gt;347-364&lt;/pages&gt;&lt;volume&gt;24&lt;/volume&gt;&lt;number&gt;3&lt;/number&gt;&lt;dates&gt;&lt;year&gt;2000&lt;/year&gt;&lt;pub-dates&gt;&lt;date&gt;September 1, 2000&lt;/date&gt;&lt;/pub-dates&gt;&lt;/dates&gt;&lt;urls&gt;&lt;related-urls&gt;&lt;url&gt;http://phg.sagepub.com/content/24/3/347.abstract&lt;/url&gt;&lt;/related-urls&gt;&lt;/urls&gt;&lt;electronic-resource-num&gt;10.1191/030913200701540465&lt;/electronic-resource-num&gt;&lt;/record&gt;&lt;/Cite&gt;&lt;/EndNote&gt;</w:instrText>
            </w:r>
            <w:r w:rsidR="00E13392" w:rsidRPr="00142ED0">
              <w:rPr>
                <w:rFonts w:ascii="Calibri" w:hAnsi="Calibri" w:cs="Times New Roman"/>
                <w:sz w:val="20"/>
                <w:szCs w:val="20"/>
                <w:lang w:val="en-GB"/>
              </w:rPr>
              <w:fldChar w:fldCharType="separate"/>
            </w:r>
            <w:r w:rsidR="00723833" w:rsidRPr="00723833">
              <w:rPr>
                <w:rFonts w:ascii="Calibri" w:hAnsi="Calibri" w:cs="Times New Roman"/>
                <w:noProof/>
                <w:sz w:val="20"/>
                <w:szCs w:val="20"/>
                <w:vertAlign w:val="superscript"/>
                <w:lang w:val="en-GB"/>
              </w:rPr>
              <w:t>109</w:t>
            </w:r>
            <w:r w:rsidR="00E13392" w:rsidRPr="00142ED0">
              <w:rPr>
                <w:rFonts w:ascii="Calibri" w:hAnsi="Calibri" w:cs="Times New Roman"/>
                <w:sz w:val="20"/>
                <w:szCs w:val="20"/>
                <w:lang w:val="en-GB"/>
              </w:rPr>
              <w:fldChar w:fldCharType="end"/>
            </w:r>
            <w:r w:rsidRPr="00A37EA9">
              <w:rPr>
                <w:rFonts w:ascii="Calibri" w:hAnsi="Calibri" w:cs="Times New Roman"/>
                <w:sz w:val="20"/>
                <w:szCs w:val="20"/>
                <w:lang w:val="en-GB"/>
              </w:rPr>
              <w:t xml:space="preserve"> Resilience includes both the capacity of a system to absorb a disturbance, and to innovate and transform.</w:t>
            </w:r>
            <w:r w:rsidR="00E13392" w:rsidRPr="00142ED0">
              <w:rPr>
                <w:rFonts w:ascii="Calibri" w:hAnsi="Calibri" w:cs="Times New Roman"/>
                <w:sz w:val="20"/>
                <w:szCs w:val="20"/>
                <w:lang w:val="en-GB"/>
              </w:rPr>
              <w:fldChar w:fldCharType="begin"/>
            </w:r>
            <w:r w:rsidR="00723833">
              <w:rPr>
                <w:rFonts w:ascii="Calibri" w:hAnsi="Calibri" w:cs="Times New Roman"/>
                <w:sz w:val="20"/>
                <w:szCs w:val="20"/>
                <w:lang w:val="en-GB"/>
              </w:rPr>
              <w:instrText xml:space="preserve"> ADDIN EN.CITE &lt;EndNote&gt;&lt;Cite&gt;&lt;Author&gt;Hackmann&lt;/Author&gt;&lt;Year&gt;2012&lt;/Year&gt;&lt;RecNum&gt;1129&lt;/RecNum&gt;&lt;DisplayText&gt;&lt;style face="superscript"&gt;110&lt;/style&gt;&lt;/DisplayText&gt;&lt;record&gt;&lt;rec-number&gt;1129&lt;/rec-number&gt;&lt;foreign-keys&gt;&lt;key app="EN" db-id="wtftd20rmszxx0ettxy5exwdf90wv22s2dsf" timestamp="1419212983"&gt;1129&lt;/key&gt;&lt;/foreign-keys&gt;&lt;ref-type name="Report"&gt;27&lt;/ref-type&gt;&lt;contributors&gt;&lt;authors&gt;&lt;author&gt;Hackmann, H &lt;/author&gt;&lt;author&gt;St. Clair, AL&lt;/author&gt;&lt;/authors&gt;&lt;/contributors&gt;&lt;titles&gt;&lt;title&gt;Transformative Cornerstones of Social Science Research for Global Change&lt;/title&gt;&lt;/titles&gt;&lt;dates&gt;&lt;year&gt;2012&lt;/year&gt;&lt;/dates&gt;&lt;pub-location&gt;Paris&lt;/pub-location&gt;&lt;publisher&gt;Report of the International Social Science Council&lt;/publisher&gt;&lt;urls&gt;&lt;/urls&gt;&lt;/record&gt;&lt;/Cite&gt;&lt;/EndNote&gt;</w:instrText>
            </w:r>
            <w:r w:rsidR="00E13392" w:rsidRPr="00142ED0">
              <w:rPr>
                <w:rFonts w:ascii="Calibri" w:hAnsi="Calibri" w:cs="Times New Roman"/>
                <w:sz w:val="20"/>
                <w:szCs w:val="20"/>
                <w:lang w:val="en-GB"/>
              </w:rPr>
              <w:fldChar w:fldCharType="separate"/>
            </w:r>
            <w:r w:rsidR="00723833" w:rsidRPr="00723833">
              <w:rPr>
                <w:rFonts w:ascii="Calibri" w:hAnsi="Calibri" w:cs="Times New Roman"/>
                <w:noProof/>
                <w:sz w:val="20"/>
                <w:szCs w:val="20"/>
                <w:vertAlign w:val="superscript"/>
                <w:lang w:val="en-GB"/>
              </w:rPr>
              <w:t>110</w:t>
            </w:r>
            <w:r w:rsidR="00E13392" w:rsidRPr="00142ED0">
              <w:rPr>
                <w:rFonts w:ascii="Calibri" w:hAnsi="Calibri" w:cs="Times New Roman"/>
                <w:sz w:val="20"/>
                <w:szCs w:val="20"/>
                <w:lang w:val="en-GB"/>
              </w:rPr>
              <w:fldChar w:fldCharType="end"/>
            </w:r>
            <w:r w:rsidRPr="00A37EA9">
              <w:rPr>
                <w:rFonts w:ascii="Calibri" w:hAnsi="Calibri" w:cs="Times New Roman"/>
                <w:sz w:val="20"/>
                <w:szCs w:val="20"/>
                <w:lang w:val="en-GB"/>
              </w:rPr>
              <w:t xml:space="preserve"> </w:t>
            </w:r>
          </w:p>
          <w:p w:rsidR="005C12E5" w:rsidRPr="00142ED0" w:rsidRDefault="005C12E5" w:rsidP="00FE56B7">
            <w:pPr>
              <w:jc w:val="both"/>
              <w:rPr>
                <w:rFonts w:ascii="Calibri" w:hAnsi="Calibri" w:cs="Times New Roman"/>
                <w:sz w:val="22"/>
                <w:lang w:val="en-GB"/>
              </w:rPr>
            </w:pPr>
          </w:p>
        </w:tc>
      </w:tr>
    </w:tbl>
    <w:p w:rsidR="00B25E9E" w:rsidRPr="004B2349" w:rsidRDefault="00B25E9E" w:rsidP="00B25E9E">
      <w:pPr>
        <w:rPr>
          <w:rFonts w:ascii="Calibri" w:hAnsi="Calibri" w:cs="Times New Roman"/>
          <w:sz w:val="22"/>
          <w:szCs w:val="22"/>
          <w:lang w:val="en-GB"/>
        </w:rPr>
      </w:pPr>
    </w:p>
    <w:p w:rsidR="00B25E9E" w:rsidRPr="004B2349" w:rsidRDefault="00B25E9E" w:rsidP="00B25E9E">
      <w:pPr>
        <w:pStyle w:val="Heading2"/>
        <w:rPr>
          <w:lang w:val="en-GB"/>
        </w:rPr>
      </w:pPr>
      <w:bookmarkStart w:id="39" w:name="_Toc415931376"/>
      <w:bookmarkStart w:id="40" w:name="_Toc417502041"/>
      <w:r w:rsidRPr="004B2349">
        <w:rPr>
          <w:lang w:val="en-GB"/>
        </w:rPr>
        <w:t xml:space="preserve">Adaptation to </w:t>
      </w:r>
      <w:r w:rsidR="00285DBA" w:rsidRPr="004B2349">
        <w:rPr>
          <w:lang w:val="en-GB"/>
        </w:rPr>
        <w:t xml:space="preserve">the </w:t>
      </w:r>
      <w:r w:rsidR="006003C8" w:rsidRPr="004B2349">
        <w:rPr>
          <w:lang w:val="en-GB"/>
        </w:rPr>
        <w:t>Direct Health Impacts of Climate Change</w:t>
      </w:r>
      <w:bookmarkEnd w:id="39"/>
      <w:bookmarkEnd w:id="40"/>
      <w:r w:rsidR="006003C8" w:rsidRPr="004B2349">
        <w:rPr>
          <w:lang w:val="en-GB"/>
        </w:rPr>
        <w:t xml:space="preserve"> </w:t>
      </w:r>
    </w:p>
    <w:p w:rsidR="00863C0A" w:rsidRPr="004B2349" w:rsidRDefault="00863C0A" w:rsidP="00863C0A">
      <w:pPr>
        <w:jc w:val="both"/>
        <w:rPr>
          <w:rFonts w:ascii="Calibri" w:hAnsi="Calibri"/>
          <w:lang w:val="en-GB"/>
        </w:rPr>
      </w:pPr>
      <w:r w:rsidRPr="004B2349">
        <w:rPr>
          <w:rFonts w:ascii="Calibri" w:hAnsi="Calibri" w:cs="Times New Roman"/>
          <w:sz w:val="22"/>
          <w:lang w:val="en-GB"/>
        </w:rPr>
        <w:t xml:space="preserve">The direct health impacts result from extreme weather events such as storms, floods, droughts and heat waves. Many responses centre on the importance of health system strengthening; however, actions </w:t>
      </w:r>
      <w:r w:rsidR="00723833">
        <w:rPr>
          <w:rFonts w:ascii="Calibri" w:hAnsi="Calibri" w:cs="Times New Roman"/>
          <w:sz w:val="22"/>
          <w:lang w:val="en-GB"/>
        </w:rPr>
        <w:t xml:space="preserve">in other sectors </w:t>
      </w:r>
      <w:r w:rsidRPr="004B2349">
        <w:rPr>
          <w:rFonts w:ascii="Calibri" w:hAnsi="Calibri" w:cs="Times New Roman"/>
          <w:sz w:val="22"/>
          <w:lang w:val="en-GB"/>
        </w:rPr>
        <w:t xml:space="preserve">are also needed. </w:t>
      </w:r>
    </w:p>
    <w:p w:rsidR="00B25E9E" w:rsidRPr="004B2349" w:rsidRDefault="00B25E9E" w:rsidP="00B25E9E">
      <w:pPr>
        <w:rPr>
          <w:rFonts w:ascii="Calibri" w:hAnsi="Calibri"/>
          <w:lang w:val="en-GB"/>
        </w:rPr>
      </w:pPr>
      <w:r w:rsidRPr="004B2349">
        <w:rPr>
          <w:rFonts w:ascii="Calibri" w:hAnsi="Calibri" w:cs="Times New Roman"/>
          <w:lang w:val="en-GB"/>
        </w:rPr>
        <w:t xml:space="preserve"> </w:t>
      </w:r>
    </w:p>
    <w:p w:rsidR="00B25E9E" w:rsidRPr="004B2349" w:rsidRDefault="00B25E9E" w:rsidP="00B25E9E">
      <w:pPr>
        <w:pStyle w:val="Heading3"/>
        <w:rPr>
          <w:lang w:val="en-GB"/>
        </w:rPr>
      </w:pPr>
      <w:bookmarkStart w:id="41" w:name="_Toc415931377"/>
      <w:bookmarkStart w:id="42" w:name="_Toc417502042"/>
      <w:r w:rsidRPr="004B2349">
        <w:rPr>
          <w:lang w:val="en-GB"/>
        </w:rPr>
        <w:t xml:space="preserve">Early </w:t>
      </w:r>
      <w:r w:rsidR="006003C8" w:rsidRPr="004B2349">
        <w:rPr>
          <w:lang w:val="en-GB"/>
        </w:rPr>
        <w:t xml:space="preserve">Warning Systems </w:t>
      </w:r>
      <w:r w:rsidRPr="004B2349">
        <w:rPr>
          <w:lang w:val="en-GB"/>
        </w:rPr>
        <w:t xml:space="preserve">for </w:t>
      </w:r>
      <w:r w:rsidR="006003C8" w:rsidRPr="004B2349">
        <w:rPr>
          <w:lang w:val="en-GB"/>
        </w:rPr>
        <w:t>Extreme Events</w:t>
      </w:r>
      <w:bookmarkEnd w:id="41"/>
      <w:bookmarkEnd w:id="42"/>
      <w:r w:rsidR="006003C8" w:rsidRPr="004B2349">
        <w:rPr>
          <w:lang w:val="en-GB"/>
        </w:rPr>
        <w:t xml:space="preserve"> </w:t>
      </w:r>
    </w:p>
    <w:p w:rsidR="00B25E9E" w:rsidRPr="004B2349" w:rsidRDefault="00921834" w:rsidP="00024E43">
      <w:pPr>
        <w:jc w:val="both"/>
        <w:rPr>
          <w:rFonts w:ascii="Calibri" w:hAnsi="Calibri"/>
          <w:lang w:val="en-GB"/>
        </w:rPr>
      </w:pPr>
      <w:r w:rsidRPr="004B2349">
        <w:rPr>
          <w:rFonts w:ascii="Calibri" w:hAnsi="Calibri" w:cs="Times New Roman"/>
          <w:sz w:val="22"/>
          <w:szCs w:val="22"/>
          <w:lang w:val="en-GB"/>
        </w:rPr>
        <w:t>Approaches to the health management of extreme weather events involve improved early warning systems (EWS), effective contingency planning, and identification of the most vulnerable and exposed communities.</w:t>
      </w:r>
      <w:r w:rsidR="00E13392" w:rsidRPr="004349AE">
        <w:rPr>
          <w:rFonts w:asciiTheme="majorHAnsi" w:hAnsiTheme="majorHAnsi"/>
          <w:sz w:val="22"/>
          <w:lang w:val="en-GB"/>
        </w:rPr>
        <w:fldChar w:fldCharType="begin"/>
      </w:r>
      <w:r w:rsidR="00723833">
        <w:rPr>
          <w:rFonts w:asciiTheme="majorHAnsi" w:hAnsiTheme="majorHAnsi"/>
          <w:sz w:val="22"/>
          <w:lang w:val="en-GB"/>
        </w:rPr>
        <w:instrText xml:space="preserve"> ADDIN EN.CITE &lt;EndNote&gt;&lt;Cite&gt;&lt;Author&gt;Pascal&lt;/Author&gt;&lt;Year&gt;2006&lt;/Year&gt;&lt;RecNum&gt;1165&lt;/RecNum&gt;&lt;DisplayText&gt;&lt;style face="superscript"&gt;111&lt;/style&gt;&lt;/DisplayText&gt;&lt;record&gt;&lt;rec-number&gt;1165&lt;/rec-number&gt;&lt;foreign-keys&gt;&lt;key app="EN" db-id="wtftd20rmszxx0ettxy5exwdf90wv22s2dsf" timestamp="1419212983"&gt;1165&lt;/key&gt;&lt;/foreign-keys&gt;&lt;ref-type name="Journal Article"&gt;17&lt;/ref-type&gt;&lt;contributors&gt;&lt;authors&gt;&lt;author&gt;Pascal, M.&lt;/author&gt;&lt;author&gt;Laaidi, K.&lt;/author&gt;&lt;author&gt;Ledrans, M.&lt;/author&gt;&lt;author&gt;Baffert, E.&lt;/author&gt;&lt;author&gt;Caserio-Schonemann, C.&lt;/author&gt;&lt;author&gt;Le Tertre, A.&lt;/author&gt;&lt;author&gt;Manach, J.&lt;/author&gt;&lt;author&gt;Medina, S.&lt;/author&gt;&lt;author&gt;Rudant, J.&lt;/author&gt;&lt;author&gt;Empereur-Bissonnet, P.&lt;/author&gt;&lt;/authors&gt;&lt;/contributors&gt;&lt;auth-address&gt;Department of Environmental Health, Institut de Veille Sanitaire, Saint Maurice, France.&lt;/auth-address&gt;&lt;titles&gt;&lt;title&gt;France&amp;apos;s heat health watch warning system&lt;/title&gt;&lt;secondary-title&gt;Int J Biometeorol&lt;/secondary-title&gt;&lt;alt-title&gt;International journal of biometeorology&lt;/alt-title&gt;&lt;/titles&gt;&lt;periodical&gt;&lt;full-title&gt;Int J Biometeorol&lt;/full-title&gt;&lt;abbr-1&gt;International journal of biometeorology&lt;/abbr-1&gt;&lt;/periodical&gt;&lt;alt-periodical&gt;&lt;full-title&gt;Int J Biometeorol&lt;/full-title&gt;&lt;abbr-1&gt;International journal of biometeorology&lt;/abbr-1&gt;&lt;/alt-periodical&gt;&lt;pages&gt;144-53&lt;/pages&gt;&lt;volume&gt;50&lt;/volume&gt;&lt;number&gt;3&lt;/number&gt;&lt;edition&gt;2005/12/06&lt;/edition&gt;&lt;keywords&gt;&lt;keyword&gt;Emergencies&lt;/keyword&gt;&lt;keyword&gt;Forecasting&lt;/keyword&gt;&lt;keyword&gt;France/epidemiology&lt;/keyword&gt;&lt;keyword&gt;Hot Temperature/*adverse effects&lt;/keyword&gt;&lt;keyword&gt;Humans&lt;/keyword&gt;&lt;keyword&gt;*Mortality&lt;/keyword&gt;&lt;/keywords&gt;&lt;dates&gt;&lt;year&gt;2006&lt;/year&gt;&lt;pub-dates&gt;&lt;date&gt;Jan&lt;/date&gt;&lt;/pub-dates&gt;&lt;/dates&gt;&lt;isbn&gt;0020-7128 (Print)&amp;#xD;0020-7128&lt;/isbn&gt;&lt;accession-num&gt;16328399&lt;/accession-num&gt;&lt;urls&gt;&lt;/urls&gt;&lt;electronic-resource-num&gt;10.1007/s00484-005-0003-x&lt;/electronic-resource-num&gt;&lt;remote-database-provider&gt;NLM&lt;/remote-database-provider&gt;&lt;language&gt;eng&lt;/language&gt;&lt;/record&gt;&lt;/Cite&gt;&lt;/EndNote&gt;</w:instrText>
      </w:r>
      <w:r w:rsidR="00E13392" w:rsidRPr="004349AE">
        <w:rPr>
          <w:rFonts w:asciiTheme="majorHAnsi" w:hAnsiTheme="majorHAnsi"/>
          <w:sz w:val="22"/>
          <w:lang w:val="en-GB"/>
        </w:rPr>
        <w:fldChar w:fldCharType="separate"/>
      </w:r>
      <w:r w:rsidR="00723833" w:rsidRPr="00723833">
        <w:rPr>
          <w:rFonts w:asciiTheme="majorHAnsi" w:hAnsiTheme="majorHAnsi"/>
          <w:noProof/>
          <w:sz w:val="22"/>
          <w:vertAlign w:val="superscript"/>
          <w:lang w:val="en-GB"/>
        </w:rPr>
        <w:t>111</w:t>
      </w:r>
      <w:r w:rsidR="00E13392" w:rsidRPr="004349AE">
        <w:rPr>
          <w:rFonts w:asciiTheme="majorHAnsi" w:hAnsiTheme="majorHAnsi"/>
          <w:sz w:val="22"/>
          <w:lang w:val="en-GB"/>
        </w:rPr>
        <w:fldChar w:fldCharType="end"/>
      </w:r>
      <w:r w:rsidRPr="004349AE">
        <w:rPr>
          <w:rFonts w:asciiTheme="majorHAnsi" w:hAnsiTheme="majorHAnsi"/>
          <w:sz w:val="22"/>
          <w:lang w:val="en-GB"/>
        </w:rPr>
        <w:t xml:space="preserve"> </w:t>
      </w:r>
      <w:r w:rsidRPr="00A37EA9">
        <w:rPr>
          <w:rFonts w:ascii="Calibri" w:hAnsi="Calibri" w:cs="Times New Roman"/>
          <w:sz w:val="22"/>
          <w:szCs w:val="22"/>
          <w:lang w:val="en-GB"/>
        </w:rPr>
        <w:t>They include forecasting</w:t>
      </w:r>
      <w:r w:rsidRPr="004349AE">
        <w:rPr>
          <w:rFonts w:ascii="Calibri" w:hAnsi="Calibri" w:cs="Times New Roman"/>
          <w:sz w:val="22"/>
          <w:szCs w:val="22"/>
          <w:lang w:val="en-GB"/>
        </w:rPr>
        <w:t xml:space="preserve">, predicting possible health outcomes, triggering effective and timely response plans, targeting vulnerable populations, and </w:t>
      </w:r>
      <w:r w:rsidRPr="00142ED0">
        <w:rPr>
          <w:rFonts w:ascii="Calibri" w:hAnsi="Calibri" w:cs="Times New Roman"/>
          <w:sz w:val="22"/>
          <w:szCs w:val="22"/>
          <w:lang w:val="en-GB"/>
        </w:rPr>
        <w:t>communicating</w:t>
      </w:r>
      <w:r w:rsidRPr="004349AE">
        <w:rPr>
          <w:rFonts w:ascii="Calibri" w:hAnsi="Calibri" w:cs="Times New Roman"/>
          <w:sz w:val="22"/>
          <w:szCs w:val="22"/>
          <w:lang w:val="en-GB"/>
        </w:rPr>
        <w:t xml:space="preserve"> prevention responses. </w:t>
      </w:r>
      <w:r w:rsidRPr="004008E1">
        <w:rPr>
          <w:rFonts w:ascii="Calibri" w:hAnsi="Calibri" w:cs="Times New Roman"/>
          <w:sz w:val="22"/>
          <w:szCs w:val="22"/>
          <w:lang w:val="en-GB"/>
        </w:rPr>
        <w:t xml:space="preserve">Public health authorities need to upgrade existing emergency </w:t>
      </w:r>
      <w:r w:rsidRPr="00B50254">
        <w:rPr>
          <w:rFonts w:ascii="Calibri" w:hAnsi="Calibri" w:cs="Times New Roman"/>
          <w:sz w:val="22"/>
          <w:szCs w:val="22"/>
          <w:lang w:val="en-GB"/>
        </w:rPr>
        <w:t xml:space="preserve">programmes and conduct exercises to enhance preparedness for anticipated health risks due to </w:t>
      </w:r>
      <w:r w:rsidR="00863C0A" w:rsidRPr="004B2349">
        <w:rPr>
          <w:rFonts w:ascii="Calibri" w:hAnsi="Calibri" w:cs="Times New Roman"/>
          <w:sz w:val="22"/>
          <w:szCs w:val="22"/>
          <w:lang w:val="en-GB"/>
        </w:rPr>
        <w:t>new</w:t>
      </w:r>
      <w:r w:rsidRPr="004B2349">
        <w:rPr>
          <w:rFonts w:ascii="Calibri" w:hAnsi="Calibri" w:cs="Times New Roman"/>
          <w:sz w:val="22"/>
          <w:szCs w:val="22"/>
          <w:lang w:val="en-GB"/>
        </w:rPr>
        <w:t xml:space="preserve"> extreme events such as sea level rise, saline water intrusion into drinking water courses, and severe flooding </w:t>
      </w:r>
      <w:r w:rsidRPr="004B2349">
        <w:rPr>
          <w:rFonts w:ascii="Calibri" w:hAnsi="Calibri" w:cs="Times New Roman"/>
          <w:sz w:val="22"/>
          <w:szCs w:val="22"/>
          <w:lang w:val="en-GB"/>
        </w:rPr>
        <w:lastRenderedPageBreak/>
        <w:t>from storm surges.</w:t>
      </w:r>
      <w:r w:rsidR="00723833">
        <w:rPr>
          <w:rFonts w:ascii="Calibri" w:hAnsi="Calibri" w:cs="Times New Roman"/>
          <w:sz w:val="22"/>
          <w:szCs w:val="22"/>
          <w:lang w:val="en-GB"/>
        </w:rPr>
        <w:t xml:space="preserve"> These efforts to improve disaster preparedness must also run in parallel with efforts to strengthen local community resilience.</w:t>
      </w:r>
    </w:p>
    <w:p w:rsidR="00B25E9E" w:rsidRPr="004B2349" w:rsidRDefault="00B25E9E" w:rsidP="00B25E9E">
      <w:pPr>
        <w:rPr>
          <w:rFonts w:ascii="Calibri" w:hAnsi="Calibri"/>
          <w:lang w:val="en-GB"/>
        </w:rPr>
      </w:pPr>
    </w:p>
    <w:p w:rsidR="00B25E9E" w:rsidRPr="004B2349" w:rsidRDefault="00B25E9E" w:rsidP="00B25E9E">
      <w:pPr>
        <w:pStyle w:val="Heading3"/>
        <w:rPr>
          <w:lang w:val="en-GB"/>
        </w:rPr>
      </w:pPr>
      <w:bookmarkStart w:id="43" w:name="_Toc278446353"/>
      <w:bookmarkStart w:id="44" w:name="_Toc415931378"/>
      <w:bookmarkStart w:id="45" w:name="_Toc417502043"/>
      <w:r w:rsidRPr="004B2349">
        <w:rPr>
          <w:lang w:val="en-GB"/>
        </w:rPr>
        <w:t xml:space="preserve">Actions to </w:t>
      </w:r>
      <w:r w:rsidR="00863E98" w:rsidRPr="004B2349">
        <w:rPr>
          <w:lang w:val="en-GB"/>
        </w:rPr>
        <w:t xml:space="preserve">Reduce Burdens </w:t>
      </w:r>
      <w:r w:rsidRPr="004B2349">
        <w:rPr>
          <w:lang w:val="en-GB"/>
        </w:rPr>
        <w:t xml:space="preserve">of </w:t>
      </w:r>
      <w:r w:rsidR="00863E98" w:rsidRPr="004B2349">
        <w:rPr>
          <w:lang w:val="en-GB"/>
        </w:rPr>
        <w:t>Heat</w:t>
      </w:r>
      <w:r w:rsidRPr="004B2349">
        <w:rPr>
          <w:lang w:val="en-GB"/>
        </w:rPr>
        <w:t>waves</w:t>
      </w:r>
      <w:bookmarkEnd w:id="43"/>
      <w:bookmarkEnd w:id="44"/>
      <w:bookmarkEnd w:id="45"/>
    </w:p>
    <w:p w:rsidR="00BE05D8" w:rsidRPr="00A37EA9" w:rsidRDefault="00BE05D8" w:rsidP="00BE05D8">
      <w:pPr>
        <w:jc w:val="both"/>
        <w:rPr>
          <w:rFonts w:ascii="Calibri" w:hAnsi="Calibri" w:cs="Times New Roman"/>
          <w:sz w:val="22"/>
          <w:szCs w:val="22"/>
          <w:lang w:val="en-GB"/>
        </w:rPr>
      </w:pPr>
      <w:r w:rsidRPr="004B2349">
        <w:rPr>
          <w:rFonts w:ascii="Calibri" w:hAnsi="Calibri" w:cs="Times New Roman"/>
          <w:sz w:val="22"/>
          <w:szCs w:val="22"/>
          <w:lang w:val="en-GB"/>
        </w:rPr>
        <w:t>The frequency, intensity, and duration of extreme heat days and heatwaves will increase with climate change, leading to heat stress and increased death rates (see Section 1). The effects are worsened by the ‘urban heat island’ effect, which results from greater heat retention of buildings and paved surfaces, compared with reflective, transpiring, shading, and air-flow-promoting vegetation-covered surfaces. Evidence suggests that effective adaptation measures would reduce the death rates associated with these heat waves. The 2003 European heat wave, which killed up to 70,000</w:t>
      </w:r>
      <w:r w:rsidR="00863C0A" w:rsidRPr="004B2349">
        <w:rPr>
          <w:rFonts w:ascii="Calibri" w:hAnsi="Calibri" w:cs="Times New Roman"/>
          <w:sz w:val="22"/>
          <w:szCs w:val="22"/>
          <w:lang w:val="en-GB"/>
        </w:rPr>
        <w:t xml:space="preserve"> people</w:t>
      </w:r>
      <w:r w:rsidRPr="004B2349">
        <w:rPr>
          <w:rFonts w:ascii="Calibri" w:hAnsi="Calibri" w:cs="Times New Roman"/>
          <w:sz w:val="22"/>
          <w:szCs w:val="22"/>
          <w:lang w:val="en-GB"/>
        </w:rPr>
        <w:t xml:space="preserve"> led France to introduce a heatwave warning system, and a national action plan.</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&lt;EndNote&gt;&lt;Cite&gt;&lt;Author&gt;Pascal&lt;/Author&gt;&lt;Year&gt;2006&lt;/Year&gt;&lt;RecNum&gt;1165&lt;/RecNum&gt;&lt;DisplayText&gt;&lt;style face="superscript"&gt;111&lt;/style&gt;&lt;/DisplayText&gt;&lt;record&gt;&lt;rec-number&gt;1165&lt;/rec-number&gt;&lt;foreign-keys&gt;&lt;key app="EN" db-id="wtftd20rmszxx0ettxy5exwdf90wv22s2dsf" timestamp="1419212983"&gt;1165&lt;/key&gt;&lt;/foreign-keys&gt;&lt;ref-type name="Journal Article"&gt;17&lt;/ref-type&gt;&lt;contributors&gt;&lt;authors&gt;&lt;author&gt;Pascal, M.&lt;/author&gt;&lt;author&gt;Laaidi, K.&lt;/author&gt;&lt;author&gt;Ledrans, M.&lt;/author&gt;&lt;author&gt;Baffert, E.&lt;/author&gt;&lt;author&gt;Caserio-Schonemann, C.&lt;/author&gt;&lt;author&gt;Le Tertre, A.&lt;/author&gt;&lt;author&gt;Manach, J.&lt;/author&gt;&lt;author&gt;Medina, S.&lt;/author&gt;&lt;author&gt;Rudant, J.&lt;/author&gt;&lt;author&gt;Empereur-Bissonnet, P.&lt;/author&gt;&lt;/authors&gt;&lt;/contributors&gt;&lt;auth-address&gt;Department of Environmental Health, Institut de Veille Sanitaire, Saint Maurice, France.&lt;/auth-address&gt;&lt;titles&gt;&lt;title&gt;France&amp;apos;s heat health watch warning system&lt;/title&gt;&lt;secondary-title&gt;Int J Biometeorol&lt;/secondary-title&gt;&lt;alt-title&gt;International journal of biometeorology&lt;/alt-title&gt;&lt;/titles&gt;&lt;periodical&gt;&lt;full-title&gt;Int J Biometeorol&lt;/full-title&gt;&lt;abbr-1&gt;International journal of biometeorology&lt;/abbr-1&gt;&lt;/periodical&gt;&lt;alt-periodical&gt;&lt;full-title&gt;Int J Biometeorol&lt;/full-title&gt;&lt;abbr-1&gt;International journal of biometeorology&lt;/abbr-1&gt;&lt;/alt-periodical&gt;&lt;pages&gt;144-53&lt;/pages&gt;&lt;volume&gt;50&lt;/volume&gt;&lt;number&gt;3&lt;/number&gt;&lt;edition&gt;2005/12/06&lt;/edition&gt;&lt;keywords&gt;&lt;keyword&gt;Emergencies&lt;/keyword&gt;&lt;keyword&gt;Forecasting&lt;/keyword&gt;&lt;keyword&gt;France/epidemiology&lt;/keyword&gt;&lt;keyword&gt;Hot Temperature/*adverse effects&lt;/keyword&gt;&lt;keyword&gt;Humans&lt;/keyword&gt;&lt;keyword&gt;*Mortality&lt;/keyword&gt;&lt;/keywords&gt;&lt;dates&gt;&lt;year&gt;2006&lt;/year&gt;&lt;pub-dates&gt;&lt;date&gt;Jan&lt;/date&gt;&lt;/pub-dates&gt;&lt;/dates&gt;&lt;isbn&gt;0020-7128 (Print)&amp;#xD;0020-7128&lt;/isbn&gt;&lt;accession-num&gt;16328399&lt;/accession-num&gt;&lt;urls&gt;&lt;/urls&gt;&lt;electronic-resource-num&gt;10.1007/s00484-005-0003-x&lt;/electronic-resource-num&gt;&lt;remote-database-provider&gt;NLM&lt;/remote-database-provider&gt;&lt;language&gt;eng&lt;/language&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111</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Health work</w:t>
      </w:r>
      <w:r w:rsidRPr="00142ED0">
        <w:rPr>
          <w:rFonts w:ascii="Calibri" w:hAnsi="Calibri" w:cs="Times New Roman"/>
          <w:sz w:val="22"/>
          <w:szCs w:val="22"/>
          <w:lang w:val="en-GB"/>
        </w:rPr>
        <w:t xml:space="preserve">er training was modified, urban planning altered, and new public health infrastructure developed. The 2006 heat wave suggested that these measures had been effective, with 4,400 fewer </w:t>
      </w:r>
      <w:r w:rsidRPr="004008E1">
        <w:rPr>
          <w:rFonts w:ascii="Calibri" w:hAnsi="Calibri" w:cs="Times New Roman"/>
          <w:sz w:val="22"/>
          <w:szCs w:val="22"/>
          <w:lang w:val="en-GB"/>
        </w:rPr>
        <w:t>anticipated</w:t>
      </w:r>
      <w:r w:rsidRPr="00B50254">
        <w:rPr>
          <w:rFonts w:ascii="Calibri" w:hAnsi="Calibri" w:cs="Times New Roman"/>
          <w:sz w:val="22"/>
          <w:szCs w:val="22"/>
          <w:lang w:val="en-GB"/>
        </w:rPr>
        <w:t xml:space="preserve"> deaths.</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&lt;EndNote&gt;&lt;Cite&gt;&lt;Author&gt;Fouillet&lt;/Author&gt;&lt;Year&gt;2008&lt;/Year&gt;&lt;RecNum&gt;895&lt;/RecNum&gt;&lt;DisplayText&gt;&lt;style face="superscript"&gt;112&lt;/style&gt;&lt;/DisplayText&gt;&lt;record&gt;&lt;rec-number&gt;895&lt;/rec-number&gt;&lt;foreign-keys&gt;&lt;key app="EN" db-id="wtftd20rmszxx0ettxy5exwdf90wv22s2dsf" timestamp="1419212983"&gt;895&lt;/key&gt;&lt;/foreign-keys&gt;&lt;ref-type name="Journal Article"&gt;17&lt;/ref-type&gt;&lt;contributors&gt;&lt;authors&gt;&lt;author&gt;Fouillet, Anne&lt;/author&gt;&lt;author&gt;Rey, Grégoire&lt;/author&gt;&lt;author&gt;Wagner, Vérène&lt;/author&gt;&lt;author&gt;Laaidi, Karine&lt;/author&gt;&lt;author&gt;Empereur-Bissonnet, Pascal&lt;/author&gt;&lt;author&gt;Le Tertre, Alain&lt;/author&gt;&lt;author&gt;Frayssinet, Philippe&lt;/author&gt;&lt;author&gt;Bessemoulin, Pierre&lt;/author&gt;&lt;author&gt;Laurent, Françoise&lt;/author&gt;&lt;author&gt;De Crouy-Chanel, Perrine&lt;/author&gt;&lt;author&gt;Jougla, Eric&lt;/author&gt;&lt;author&gt;Hémon, Denis&lt;/author&gt;&lt;/authors&gt;&lt;/contributors&gt;&lt;titles&gt;&lt;title&gt;Has the impact of heat waves on mortality changed in France since the European heat wave of summer 2003? A study of the 2006 heat wave&lt;/title&gt;&lt;secondary-title&gt;International Journal of Epidemiology&lt;/secondary-title&gt;&lt;/titles&gt;&lt;periodical&gt;&lt;full-title&gt;International Journal of Epidemiology&lt;/full-title&gt;&lt;/periodical&gt;&lt;pages&gt;309-317&lt;/pages&gt;&lt;volume&gt;37&lt;/volume&gt;&lt;number&gt;2&lt;/number&gt;&lt;dates&gt;&lt;year&gt;2008&lt;/year&gt;&lt;pub-dates&gt;&lt;date&gt;01/13&lt;/date&gt;&lt;/pub-dates&gt;&lt;/dates&gt;&lt;publisher&gt;Oxford University Press&lt;/publisher&gt;&lt;isbn&gt;0300-5771&amp;#xD;1464-3685&lt;/isbn&gt;&lt;accession-num&gt;PMC2652641&lt;/accession-num&gt;&lt;urls&gt;&lt;related-urls&gt;&lt;url&gt;http://www.ncbi.nlm.nih.gov/pmc/articles/PMC2652641/&lt;/url&gt;&lt;/related-urls&gt;&lt;/urls&gt;&lt;electronic-resource-num&gt;10.1093/ije/dym253&lt;/electronic-resource-num&gt;&lt;remote-database-name&gt;PMC&lt;/remote-database-name&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112</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w:t>
      </w:r>
    </w:p>
    <w:p w:rsidR="00BE05D8" w:rsidRPr="00142ED0" w:rsidRDefault="00BE05D8" w:rsidP="00BE05D8">
      <w:pPr>
        <w:jc w:val="both"/>
        <w:rPr>
          <w:sz w:val="22"/>
          <w:szCs w:val="22"/>
          <w:lang w:val="en-GB"/>
        </w:rPr>
      </w:pPr>
    </w:p>
    <w:p w:rsidR="00BE05D8" w:rsidRPr="004349AE" w:rsidRDefault="00BE05D8" w:rsidP="00BE05D8">
      <w:pPr>
        <w:jc w:val="both"/>
        <w:rPr>
          <w:rFonts w:ascii="Calibri" w:hAnsi="Calibri"/>
          <w:sz w:val="22"/>
          <w:lang w:val="en-GB"/>
        </w:rPr>
      </w:pPr>
      <w:r w:rsidRPr="004349AE">
        <w:rPr>
          <w:rFonts w:ascii="Calibri" w:hAnsi="Calibri"/>
          <w:sz w:val="22"/>
          <w:lang w:val="en-GB"/>
        </w:rPr>
        <w:t>Adaptation options within healthcare include training of health care workers</w:t>
      </w:r>
      <w:r w:rsidRPr="00A37EA9">
        <w:rPr>
          <w:rFonts w:ascii="Calibri" w:hAnsi="Calibri"/>
          <w:sz w:val="22"/>
          <w:lang w:val="en-GB"/>
        </w:rPr>
        <w:t xml:space="preserve"> </w:t>
      </w:r>
      <w:r w:rsidRPr="004349AE">
        <w:rPr>
          <w:rFonts w:ascii="Calibri" w:hAnsi="Calibri"/>
          <w:sz w:val="22"/>
          <w:lang w:val="en-GB"/>
        </w:rPr>
        <w:t xml:space="preserve">and </w:t>
      </w:r>
      <w:r w:rsidRPr="004008E1">
        <w:rPr>
          <w:rFonts w:ascii="Calibri" w:hAnsi="Calibri"/>
          <w:sz w:val="22"/>
          <w:szCs w:val="22"/>
          <w:lang w:val="en-GB"/>
        </w:rPr>
        <w:t>integrated heatwave</w:t>
      </w:r>
      <w:r w:rsidRPr="004349AE">
        <w:rPr>
          <w:rFonts w:ascii="Calibri" w:hAnsi="Calibri"/>
          <w:sz w:val="22"/>
          <w:lang w:val="en-GB"/>
        </w:rPr>
        <w:t xml:space="preserve"> early warning systems (HEWS) </w:t>
      </w:r>
      <w:r w:rsidRPr="004008E1">
        <w:rPr>
          <w:rFonts w:ascii="Calibri" w:hAnsi="Calibri"/>
          <w:sz w:val="22"/>
          <w:szCs w:val="22"/>
          <w:lang w:val="en-GB"/>
        </w:rPr>
        <w:t xml:space="preserve">, especially </w:t>
      </w:r>
      <w:r w:rsidR="00863C0A" w:rsidRPr="004008E1">
        <w:rPr>
          <w:rFonts w:ascii="Calibri" w:hAnsi="Calibri"/>
          <w:sz w:val="22"/>
          <w:szCs w:val="22"/>
          <w:lang w:val="en-GB"/>
        </w:rPr>
        <w:t xml:space="preserve">for </w:t>
      </w:r>
      <w:r w:rsidRPr="004349AE">
        <w:rPr>
          <w:rFonts w:ascii="Calibri" w:hAnsi="Calibri"/>
          <w:sz w:val="22"/>
          <w:lang w:val="en-GB"/>
        </w:rPr>
        <w:t>the most vulnerable populations.</w:t>
      </w:r>
      <w:r w:rsidR="00E13392" w:rsidRPr="00142ED0">
        <w:rPr>
          <w:rFonts w:ascii="Calibri" w:hAnsi="Calibri"/>
          <w:sz w:val="22"/>
          <w:szCs w:val="22"/>
          <w:lang w:val="en-GB"/>
        </w:rPr>
        <w:fldChar w:fldCharType="begin">
          <w:fldData xml:space="preserve">PEVuZE5vdGU+PENpdGU+PEF1dGhvcj5QYXNjYWw8L0F1dGhvcj48WWVhcj4yMDA2PC9ZZWFyPjxS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</w:fldData>
        </w:fldChar>
      </w:r>
      <w:r w:rsidR="00723833">
        <w:rPr>
          <w:rFonts w:ascii="Calibri" w:hAnsi="Calibri"/>
          <w:sz w:val="22"/>
          <w:szCs w:val="22"/>
          <w:lang w:val="en-GB"/>
        </w:rPr>
        <w:instrText xml:space="preserve"> ADDIN EN.CITE </w:instrText>
      </w:r>
      <w:r w:rsidR="00E13392">
        <w:rPr>
          <w:rFonts w:ascii="Calibri" w:hAnsi="Calibri"/>
          <w:sz w:val="22"/>
          <w:szCs w:val="22"/>
          <w:lang w:val="en-GB"/>
        </w:rPr>
        <w:fldChar w:fldCharType="begin">
          <w:fldData xml:space="preserve">PEVuZE5vdGU+PENpdGU+PEF1dGhvcj5QYXNjYWw8L0F1dGhvcj48WWVhcj4yMDA2PC9ZZWFyPjxS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</w:fldData>
        </w:fldChar>
      </w:r>
      <w:r w:rsidR="00723833">
        <w:rPr>
          <w:rFonts w:ascii="Calibri" w:hAnsi="Calibri"/>
          <w:sz w:val="22"/>
          <w:szCs w:val="22"/>
          <w:lang w:val="en-GB"/>
        </w:rPr>
        <w:instrText xml:space="preserve"> ADDIN EN.CITE.DATA </w:instrText>
      </w:r>
      <w:r w:rsidR="00E13392">
        <w:rPr>
          <w:rFonts w:ascii="Calibri" w:hAnsi="Calibri"/>
          <w:sz w:val="22"/>
          <w:szCs w:val="22"/>
          <w:lang w:val="en-GB"/>
        </w:rPr>
      </w:r>
      <w:r w:rsidR="00E13392">
        <w:rPr>
          <w:rFonts w:ascii="Calibri" w:hAnsi="Calibri"/>
          <w:sz w:val="22"/>
          <w:szCs w:val="22"/>
          <w:lang w:val="en-GB"/>
        </w:rPr>
        <w:fldChar w:fldCharType="end"/>
      </w:r>
      <w:r w:rsidR="00E13392" w:rsidRPr="00142ED0">
        <w:rPr>
          <w:rFonts w:ascii="Calibri" w:hAnsi="Calibri"/>
          <w:sz w:val="22"/>
          <w:szCs w:val="22"/>
          <w:lang w:val="en-GB"/>
        </w:rPr>
      </w:r>
      <w:r w:rsidR="00E13392" w:rsidRPr="00142ED0">
        <w:rPr>
          <w:rFonts w:ascii="Calibri" w:hAnsi="Calibri"/>
          <w:sz w:val="22"/>
          <w:szCs w:val="22"/>
          <w:lang w:val="en-GB"/>
        </w:rPr>
        <w:fldChar w:fldCharType="separate"/>
      </w:r>
      <w:r w:rsidR="00723833" w:rsidRPr="00723833">
        <w:rPr>
          <w:rFonts w:ascii="Calibri" w:hAnsi="Calibri"/>
          <w:noProof/>
          <w:sz w:val="22"/>
          <w:szCs w:val="22"/>
          <w:vertAlign w:val="superscript"/>
          <w:lang w:val="en-GB"/>
        </w:rPr>
        <w:t>111,113</w:t>
      </w:r>
      <w:r w:rsidR="00E13392" w:rsidRPr="00142ED0">
        <w:rPr>
          <w:rFonts w:ascii="Calibri" w:hAnsi="Calibri"/>
          <w:sz w:val="22"/>
          <w:szCs w:val="22"/>
          <w:lang w:val="en-GB"/>
        </w:rPr>
        <w:fldChar w:fldCharType="end"/>
      </w:r>
      <w:r w:rsidRPr="004349AE">
        <w:rPr>
          <w:rFonts w:ascii="Calibri" w:hAnsi="Calibri"/>
          <w:sz w:val="22"/>
          <w:lang w:val="en-GB"/>
        </w:rPr>
        <w:t xml:space="preserve"> </w:t>
      </w:r>
      <w:r w:rsidRPr="004008E1">
        <w:rPr>
          <w:rFonts w:ascii="Calibri" w:hAnsi="Calibri"/>
          <w:sz w:val="22"/>
          <w:szCs w:val="22"/>
          <w:lang w:val="en-GB"/>
        </w:rPr>
        <w:t>Adaptation measures also</w:t>
      </w:r>
      <w:r w:rsidRPr="004349AE">
        <w:rPr>
          <w:rFonts w:ascii="Calibri" w:hAnsi="Calibri"/>
          <w:sz w:val="22"/>
          <w:lang w:val="en-GB"/>
        </w:rPr>
        <w:t xml:space="preserve"> include increasing green infrastructures and urban green spaces, improving the design of social care facilities, schools, other public spaces</w:t>
      </w:r>
      <w:r w:rsidRPr="00A37EA9">
        <w:rPr>
          <w:rFonts w:ascii="Calibri" w:hAnsi="Calibri"/>
          <w:sz w:val="22"/>
          <w:szCs w:val="22"/>
          <w:lang w:val="en-GB"/>
        </w:rPr>
        <w:t>,</w:t>
      </w:r>
      <w:r w:rsidRPr="004349AE">
        <w:rPr>
          <w:rFonts w:ascii="Calibri" w:hAnsi="Calibri"/>
          <w:sz w:val="22"/>
          <w:lang w:val="en-GB"/>
        </w:rPr>
        <w:t xml:space="preserve"> and public transport to be more climate-responsive.</w:t>
      </w:r>
      <w:r w:rsidR="00E13392" w:rsidRPr="004349AE">
        <w:rPr>
          <w:rFonts w:ascii="Calibri" w:hAnsi="Calibri"/>
          <w:sz w:val="22"/>
          <w:lang w:val="en-GB"/>
        </w:rPr>
        <w:fldChar w:fldCharType="begin"/>
      </w:r>
      <w:r w:rsidR="00723833">
        <w:rPr>
          <w:rFonts w:ascii="Calibri" w:hAnsi="Calibri"/>
          <w:sz w:val="22"/>
          <w:lang w:val="en-GB"/>
        </w:rPr>
        <w:instrText xml:space="preserve"> ADDIN EN.CITE &lt;EndNote&gt;&lt;Cite&gt;&lt;Author&gt;Ebi&lt;/Author&gt;&lt;Year&gt;2008&lt;/Year&gt;&lt;RecNum&gt;1107&lt;/RecNum&gt;&lt;DisplayText&gt;&lt;style face="superscript"&gt;113,114&lt;/style&gt;&lt;/DisplayText&gt;&lt;record&gt;&lt;rec-number&gt;1107&lt;/rec-number&gt;&lt;foreign-keys&gt;&lt;key app="EN" db-id="wtftd20rmszxx0ettxy5exwdf90wv22s2dsf" timestamp="1419212983"&gt;1107&lt;/key&gt;&lt;/foreign-keys&gt;&lt;ref-type name="Journal Article"&gt;17&lt;/ref-type&gt;&lt;contributors&gt;&lt;authors&gt;&lt;author&gt;Ebi, Kristie L.&lt;/author&gt;&lt;author&gt;Burton, Ian&lt;/author&gt;&lt;/authors&gt;&lt;/contributors&gt;&lt;titles&gt;&lt;title&gt;Identifying practical adaptation options: an approach to address climate change-related health risks&lt;/title&gt;&lt;secondary-title&gt;Environmental Science &amp;amp; Policy&lt;/secondary-title&gt;&lt;/titles&gt;&lt;periodical&gt;&lt;full-title&gt;Environmental Science &amp;amp; Policy&lt;/full-title&gt;&lt;/periodical&gt;&lt;pages&gt;359-369&lt;/pages&gt;&lt;volume&gt;11&lt;/volume&gt;&lt;number&gt;4&lt;/number&gt;&lt;keywords&gt;&lt;keyword&gt;Adaptation&lt;/keyword&gt;&lt;keyword&gt;Climate change&lt;/keyword&gt;&lt;keyword&gt;Health policy&lt;/keyword&gt;&lt;/keywords&gt;&lt;dates&gt;&lt;year&gt;2008&lt;/year&gt;&lt;pub-dates&gt;&lt;date&gt;6//&lt;/date&gt;&lt;/pub-dates&gt;&lt;/dates&gt;&lt;isbn&gt;1462-9011&lt;/isbn&gt;&lt;urls&gt;&lt;related-urls&gt;&lt;url&gt;http://www.sciencedirect.com/science/article/pii/S146290110800021X&lt;/url&gt;&lt;/related-urls&gt;&lt;/urls&gt;&lt;electronic-resource-num&gt;http://dx.doi.org/10.1016/j.envsci.2008.02.001&lt;/electronic-resource-num&gt;&lt;/record&gt;&lt;/Cite&gt;&lt;Cite&gt;&lt;Author&gt;Matthies&lt;/Author&gt;&lt;Year&gt;2008&lt;/Year&gt;&lt;RecNum&gt;1185&lt;/RecNum&gt;&lt;record&gt;&lt;rec-number&gt;1185&lt;/rec-number&gt;&lt;foreign-keys&gt;&lt;key app="EN" db-id="wtftd20rmszxx0ettxy5exwdf90wv22s2dsf" timestamp="1419212983"&gt;1185&lt;/key&gt;&lt;/foreign-keys&gt;&lt;ref-type name="Government Document"&gt;46&lt;/ref-type&gt;&lt;contributors&gt;&lt;authors&gt;&lt;author&gt;Matthies, F.&lt;/author&gt;&lt;author&gt;Bickler, G.&lt;/author&gt;&lt;author&gt;Marin, N.C.&lt;/author&gt;&lt;author&gt;Hales, S.&lt;/author&gt;&lt;/authors&gt;&lt;/contributors&gt;&lt;titles&gt;&lt;title&gt;Heat-Health Action Plans: Guidance&lt;/title&gt;&lt;/titles&gt;&lt;dates&gt;&lt;year&gt;2008&lt;/year&gt;&lt;/dates&gt;&lt;pub-location&gt;Copenhagen&lt;/pub-location&gt;&lt;publisher&gt;World Health Organisation Regional Office for Europe&lt;/publisher&gt;&lt;urls&gt;&lt;/urls&gt;&lt;/record&gt;&lt;/Cite&gt;&lt;/EndNote&gt;</w:instrText>
      </w:r>
      <w:r w:rsidR="00E13392" w:rsidRPr="004349AE">
        <w:rPr>
          <w:rFonts w:ascii="Calibri" w:hAnsi="Calibri"/>
          <w:sz w:val="22"/>
          <w:lang w:val="en-GB"/>
        </w:rPr>
        <w:fldChar w:fldCharType="separate"/>
      </w:r>
      <w:r w:rsidR="00723833" w:rsidRPr="00723833">
        <w:rPr>
          <w:rFonts w:ascii="Calibri" w:hAnsi="Calibri"/>
          <w:noProof/>
          <w:sz w:val="22"/>
          <w:vertAlign w:val="superscript"/>
          <w:lang w:val="en-GB"/>
        </w:rPr>
        <w:t>113,114</w:t>
      </w:r>
      <w:r w:rsidR="00E13392" w:rsidRPr="004349AE">
        <w:rPr>
          <w:rFonts w:ascii="Calibri" w:hAnsi="Calibri"/>
          <w:sz w:val="22"/>
          <w:lang w:val="en-GB"/>
        </w:rPr>
        <w:fldChar w:fldCharType="end"/>
      </w:r>
      <w:r w:rsidRPr="004349AE">
        <w:rPr>
          <w:rFonts w:ascii="Calibri" w:hAnsi="Calibri"/>
          <w:sz w:val="22"/>
          <w:lang w:val="en-GB"/>
        </w:rPr>
        <w:t xml:space="preserve"> This also entails mitigating effort to reduce air pollutants, which in turn reduces air quality related morbidity and mortality.</w:t>
      </w:r>
      <w:r w:rsidR="00E13392" w:rsidRPr="004349AE">
        <w:rPr>
          <w:rFonts w:ascii="Calibri" w:hAnsi="Calibri"/>
          <w:sz w:val="22"/>
          <w:lang w:val="en-GB"/>
        </w:rPr>
        <w:fldChar w:fldCharType="begin"/>
      </w:r>
      <w:r w:rsidR="00723833">
        <w:rPr>
          <w:rFonts w:ascii="Calibri" w:hAnsi="Calibri"/>
          <w:sz w:val="22"/>
          <w:lang w:val="en-GB"/>
        </w:rPr>
        <w:instrText xml:space="preserve"> ADDIN EN.CITE &lt;EndNote&gt;&lt;Cite&gt;&lt;Author&gt;Pugh&lt;/Author&gt;&lt;Year&gt;2012&lt;/Year&gt;&lt;RecNum&gt;1170&lt;/RecNum&gt;&lt;DisplayText&gt;&lt;style face="superscript"&gt;115&lt;/style&gt;&lt;/DisplayText&gt;&lt;record&gt;&lt;rec-number&gt;1170&lt;/rec-number&gt;&lt;foreign-keys&gt;&lt;key app="EN" db-id="wtftd20rmszxx0ettxy5exwdf90wv22s2dsf" timestamp="1419212983"&gt;1170&lt;/key&gt;&lt;/foreign-keys&gt;&lt;ref-type name="Journal Article"&gt;17&lt;/ref-type&gt;&lt;contributors&gt;&lt;authors&gt;&lt;author&gt;Pugh, Thomas A. M.&lt;/author&gt;&lt;author&gt;MacKenzie, A. Robert&lt;/author&gt;&lt;author&gt;Whyatt, J. Duncan&lt;/author&gt;&lt;author&gt;Hewitt, C. Nicholas&lt;/author&gt;&lt;/authors&gt;&lt;/contributors&gt;&lt;titles&gt;&lt;title&gt;Effectiveness of Green Infrastructure for Improvement of Air Quality in Urban Street Canyons&lt;/title&gt;&lt;secondary-title&gt;Environmental Science &amp;amp; Technology&lt;/secondary-title&gt;&lt;/titles&gt;&lt;periodical&gt;&lt;full-title&gt;Environmental Science &amp;amp; Technology&lt;/full-title&gt;&lt;/periodical&gt;&lt;pages&gt;7692-7699&lt;/pages&gt;&lt;volume&gt;46&lt;/volume&gt;&lt;number&gt;14&lt;/number&gt;&lt;dates&gt;&lt;year&gt;2012&lt;/year&gt;&lt;pub-dates&gt;&lt;date&gt;2012/07/17&lt;/date&gt;&lt;/pub-dates&gt;&lt;/dates&gt;&lt;publisher&gt;American Chemical Society&lt;/publisher&gt;&lt;isbn&gt;0013-936X&lt;/isbn&gt;&lt;urls&gt;&lt;related-urls&gt;&lt;url&gt;http://dx.doi.org/10.1021/es300826w&lt;/url&gt;&lt;/related-urls&gt;&lt;/urls&gt;&lt;electronic-resource-num&gt;10.1021/es300826w&lt;/electronic-resource-num&gt;&lt;access-date&gt;2014/12/08&lt;/access-date&gt;&lt;/record&gt;&lt;/Cite&gt;&lt;/EndNote&gt;</w:instrText>
      </w:r>
      <w:r w:rsidR="00E13392" w:rsidRPr="004349AE">
        <w:rPr>
          <w:rFonts w:ascii="Calibri" w:hAnsi="Calibri"/>
          <w:sz w:val="22"/>
          <w:lang w:val="en-GB"/>
        </w:rPr>
        <w:fldChar w:fldCharType="separate"/>
      </w:r>
      <w:r w:rsidR="00723833" w:rsidRPr="00723833">
        <w:rPr>
          <w:rFonts w:ascii="Calibri" w:hAnsi="Calibri"/>
          <w:noProof/>
          <w:sz w:val="22"/>
          <w:vertAlign w:val="superscript"/>
          <w:lang w:val="en-GB"/>
        </w:rPr>
        <w:t>115</w:t>
      </w:r>
      <w:r w:rsidR="00E13392" w:rsidRPr="004349AE">
        <w:rPr>
          <w:rFonts w:ascii="Calibri" w:hAnsi="Calibri"/>
          <w:sz w:val="22"/>
          <w:lang w:val="en-GB"/>
        </w:rPr>
        <w:fldChar w:fldCharType="end"/>
      </w:r>
      <w:r w:rsidRPr="004349AE">
        <w:rPr>
          <w:rFonts w:ascii="Calibri" w:hAnsi="Calibri"/>
          <w:sz w:val="22"/>
          <w:lang w:val="en-GB"/>
        </w:rPr>
        <w:t xml:space="preserve"> </w:t>
      </w:r>
    </w:p>
    <w:p w:rsidR="00BE05D8" w:rsidRPr="00A37EA9" w:rsidRDefault="00BE05D8" w:rsidP="00BE05D8">
      <w:pPr>
        <w:tabs>
          <w:tab w:val="left" w:pos="3787"/>
        </w:tabs>
        <w:rPr>
          <w:rFonts w:ascii="Calibri" w:hAnsi="Calibri" w:cs="Times New Roman"/>
          <w:i/>
          <w:sz w:val="22"/>
          <w:lang w:val="en-GB"/>
        </w:rPr>
      </w:pPr>
    </w:p>
    <w:p w:rsidR="00BE05D8" w:rsidRPr="004008E1" w:rsidRDefault="00BE05D8" w:rsidP="00BE05D8">
      <w:pPr>
        <w:pStyle w:val="Heading3"/>
        <w:rPr>
          <w:lang w:val="en-GB"/>
        </w:rPr>
      </w:pPr>
      <w:bookmarkStart w:id="46" w:name="_Toc278446354"/>
      <w:bookmarkStart w:id="47" w:name="_Toc415931379"/>
      <w:bookmarkStart w:id="48" w:name="_Toc417502044"/>
      <w:r w:rsidRPr="004008E1">
        <w:rPr>
          <w:lang w:val="en-GB"/>
        </w:rPr>
        <w:t>Floods and Storms</w:t>
      </w:r>
      <w:bookmarkEnd w:id="46"/>
      <w:bookmarkEnd w:id="47"/>
      <w:bookmarkEnd w:id="48"/>
    </w:p>
    <w:p w:rsidR="00BE05D8" w:rsidRPr="00A37EA9" w:rsidRDefault="00BE05D8" w:rsidP="00BE05D8">
      <w:pPr>
        <w:jc w:val="both"/>
        <w:rPr>
          <w:rFonts w:ascii="Calibri" w:hAnsi="Calibri"/>
          <w:sz w:val="22"/>
          <w:szCs w:val="22"/>
          <w:lang w:val="en-GB"/>
        </w:rPr>
      </w:pPr>
      <w:r w:rsidRPr="004349AE">
        <w:rPr>
          <w:rFonts w:ascii="Calibri" w:hAnsi="Calibri"/>
          <w:sz w:val="22"/>
          <w:lang w:val="en-GB"/>
        </w:rPr>
        <w:t xml:space="preserve">In general, adaptive measures to floods can be classified as structural or non-structural. Infrastructure </w:t>
      </w:r>
      <w:r w:rsidR="00863C0A" w:rsidRPr="00A37EA9">
        <w:rPr>
          <w:rFonts w:ascii="Calibri" w:hAnsi="Calibri"/>
          <w:sz w:val="22"/>
          <w:lang w:val="en-GB"/>
        </w:rPr>
        <w:t xml:space="preserve">such as </w:t>
      </w:r>
      <w:r w:rsidR="006657F3" w:rsidRPr="00A37EA9">
        <w:rPr>
          <w:rFonts w:ascii="Calibri" w:hAnsi="Calibri"/>
          <w:sz w:val="22"/>
          <w:lang w:val="en-GB"/>
        </w:rPr>
        <w:t>rese</w:t>
      </w:r>
      <w:r w:rsidR="006657F3" w:rsidRPr="00142ED0">
        <w:rPr>
          <w:rFonts w:ascii="Calibri" w:hAnsi="Calibri"/>
          <w:sz w:val="22"/>
          <w:lang w:val="en-GB"/>
        </w:rPr>
        <w:t>rvoirs</w:t>
      </w:r>
      <w:r w:rsidR="00863C0A" w:rsidRPr="00142ED0">
        <w:rPr>
          <w:rFonts w:ascii="Calibri" w:hAnsi="Calibri"/>
          <w:sz w:val="22"/>
          <w:lang w:val="en-GB"/>
        </w:rPr>
        <w:t xml:space="preserve">, dams, dikes and floodways </w:t>
      </w:r>
      <w:r w:rsidRPr="004349AE">
        <w:rPr>
          <w:rFonts w:ascii="Calibri" w:hAnsi="Calibri"/>
          <w:sz w:val="22"/>
          <w:lang w:val="en-GB"/>
        </w:rPr>
        <w:t xml:space="preserve">can be used to keep flooding away from people and property. In some areas there is also the possibility to incorporate floodable low-lying areas into the urban design that </w:t>
      </w:r>
      <w:r w:rsidR="00723833">
        <w:rPr>
          <w:rFonts w:ascii="Calibri" w:hAnsi="Calibri"/>
          <w:sz w:val="22"/>
          <w:lang w:val="en-GB"/>
        </w:rPr>
        <w:t xml:space="preserve">can be </w:t>
      </w:r>
      <w:r w:rsidRPr="004008E1">
        <w:rPr>
          <w:rFonts w:ascii="Calibri" w:hAnsi="Calibri"/>
          <w:sz w:val="22"/>
          <w:szCs w:val="22"/>
          <w:lang w:val="en-GB"/>
        </w:rPr>
        <w:t>temporar</w:t>
      </w:r>
      <w:r w:rsidR="00863C0A" w:rsidRPr="004008E1">
        <w:rPr>
          <w:rFonts w:ascii="Calibri" w:hAnsi="Calibri"/>
          <w:sz w:val="22"/>
          <w:szCs w:val="22"/>
          <w:lang w:val="en-GB"/>
        </w:rPr>
        <w:t>ily</w:t>
      </w:r>
      <w:r w:rsidRPr="00B50254">
        <w:rPr>
          <w:rFonts w:ascii="Calibri" w:hAnsi="Calibri"/>
          <w:sz w:val="22"/>
          <w:szCs w:val="22"/>
          <w:lang w:val="en-GB"/>
        </w:rPr>
        <w:t xml:space="preserve"> under water during an</w:t>
      </w:r>
      <w:r w:rsidR="00863C0A" w:rsidRPr="004B2349">
        <w:rPr>
          <w:rFonts w:ascii="Calibri" w:hAnsi="Calibri"/>
          <w:sz w:val="22"/>
          <w:szCs w:val="22"/>
          <w:lang w:val="en-GB"/>
        </w:rPr>
        <w:t xml:space="preserve"> extreme</w:t>
      </w:r>
      <w:r w:rsidRPr="004B2349">
        <w:rPr>
          <w:rFonts w:ascii="Calibri" w:hAnsi="Calibri"/>
          <w:sz w:val="22"/>
          <w:szCs w:val="22"/>
          <w:lang w:val="en-GB"/>
        </w:rPr>
        <w:t xml:space="preserve"> event. Structural programs are considered by many flood managers as a priority and are also the principal source of funds for efforts to control floods. However, the construction of flood control works may have a maladaptive effect, encouraging more rapid economic development of the flood plains, and hence</w:t>
      </w:r>
      <w:r w:rsidR="00863C0A" w:rsidRPr="004B2349">
        <w:rPr>
          <w:rFonts w:ascii="Calibri" w:hAnsi="Calibri"/>
          <w:sz w:val="22"/>
          <w:szCs w:val="22"/>
          <w:lang w:val="en-GB"/>
        </w:rPr>
        <w:t xml:space="preserve"> ultimately</w:t>
      </w:r>
      <w:r w:rsidRPr="004B2349">
        <w:rPr>
          <w:rFonts w:ascii="Calibri" w:hAnsi="Calibri"/>
          <w:sz w:val="22"/>
          <w:szCs w:val="22"/>
          <w:lang w:val="en-GB"/>
        </w:rPr>
        <w:t xml:space="preserve"> increasing flood losses.</w:t>
      </w:r>
      <w:r w:rsidR="00E13392" w:rsidRPr="00142ED0">
        <w:rPr>
          <w:rFonts w:ascii="Calibri" w:hAnsi="Calibri"/>
          <w:sz w:val="22"/>
          <w:szCs w:val="22"/>
          <w:lang w:val="en-GB"/>
        </w:rPr>
        <w:fldChar w:fldCharType="begin"/>
      </w:r>
      <w:r w:rsidR="00723833">
        <w:rPr>
          <w:rFonts w:ascii="Calibri" w:hAnsi="Calibri"/>
          <w:sz w:val="22"/>
          <w:szCs w:val="22"/>
          <w:lang w:val="en-GB"/>
        </w:rPr>
        <w:instrText xml:space="preserve"> ADDIN EN.CITE &lt;EndNote&gt;&lt;Cite&gt;&lt;Author&gt;UN Economic and Social Commission for Asia and the Pacific&lt;/Author&gt;&lt;Year&gt;2012&lt;/Year&gt;&lt;RecNum&gt;1109&lt;/RecNum&gt;&lt;DisplayText&gt;&lt;style face="superscript"&gt;116&lt;/style&gt;&lt;/DisplayText&gt;&lt;record&gt;&lt;rec-number&gt;1109&lt;/rec-number&gt;&lt;foreign-keys&gt;&lt;key app="EN" db-id="wtftd20rmszxx0ettxy5exwdf90wv22s2dsf" timestamp="1419212983"&gt;1109&lt;/key&gt;&lt;/foreign-keys&gt;&lt;ref-type name="Report"&gt;27&lt;/ref-type&gt;&lt;contributors&gt;&lt;authors&gt;&lt;author&gt;UN Economic and Social Commission for Asia and the Pacific,&lt;/author&gt;&lt;author&gt;UN Office for Disaster Risk Reduction,&lt;/author&gt;&lt;/authors&gt;&lt;/contributors&gt;&lt;titles&gt;&lt;title&gt;Reducing Vulnerability and Exposure to Disasters. The Asia-Pacific Disaster Report &lt;/title&gt;&lt;/titles&gt;&lt;dates&gt;&lt;year&gt;2012&lt;/year&gt;&lt;/dates&gt;&lt;pub-location&gt;Bangkok&lt;/pub-location&gt;&lt;urls&gt;&lt;/urls&gt;&lt;/record&gt;&lt;/Cite&gt;&lt;/EndNote&gt;</w:instrText>
      </w:r>
      <w:r w:rsidR="00E13392" w:rsidRPr="00142ED0">
        <w:rPr>
          <w:rFonts w:ascii="Calibri" w:hAnsi="Calibri"/>
          <w:sz w:val="22"/>
          <w:szCs w:val="22"/>
          <w:lang w:val="en-GB"/>
        </w:rPr>
        <w:fldChar w:fldCharType="separate"/>
      </w:r>
      <w:r w:rsidR="00723833" w:rsidRPr="00723833">
        <w:rPr>
          <w:rFonts w:ascii="Calibri" w:hAnsi="Calibri"/>
          <w:noProof/>
          <w:sz w:val="22"/>
          <w:szCs w:val="22"/>
          <w:vertAlign w:val="superscript"/>
          <w:lang w:val="en-GB"/>
        </w:rPr>
        <w:t>116</w:t>
      </w:r>
      <w:r w:rsidR="00E13392" w:rsidRPr="00142ED0">
        <w:rPr>
          <w:rFonts w:ascii="Calibri" w:hAnsi="Calibri"/>
          <w:sz w:val="22"/>
          <w:szCs w:val="22"/>
          <w:lang w:val="en-GB"/>
        </w:rPr>
        <w:fldChar w:fldCharType="end"/>
      </w:r>
      <w:r w:rsidRPr="00A37EA9">
        <w:rPr>
          <w:rFonts w:ascii="Calibri" w:hAnsi="Calibri"/>
          <w:sz w:val="22"/>
          <w:szCs w:val="22"/>
          <w:lang w:val="en-GB"/>
        </w:rPr>
        <w:t xml:space="preserve"> </w:t>
      </w:r>
    </w:p>
    <w:p w:rsidR="00BE05D8" w:rsidRPr="00142ED0" w:rsidRDefault="00BE05D8" w:rsidP="00BE05D8">
      <w:pPr>
        <w:jc w:val="both"/>
        <w:rPr>
          <w:rFonts w:ascii="Calibri" w:hAnsi="Calibri"/>
          <w:sz w:val="22"/>
          <w:szCs w:val="22"/>
          <w:lang w:val="en-GB"/>
        </w:rPr>
      </w:pPr>
    </w:p>
    <w:p w:rsidR="00B25E9E" w:rsidRPr="004B2349" w:rsidRDefault="00BE05D8" w:rsidP="00BE05D8">
      <w:pPr>
        <w:jc w:val="both"/>
        <w:rPr>
          <w:rFonts w:ascii="Calibri" w:hAnsi="Calibri"/>
          <w:sz w:val="22"/>
          <w:szCs w:val="22"/>
        </w:rPr>
      </w:pPr>
      <w:r w:rsidRPr="004008E1">
        <w:rPr>
          <w:rFonts w:ascii="Calibri" w:hAnsi="Calibri"/>
          <w:sz w:val="22"/>
          <w:szCs w:val="22"/>
          <w:lang w:val="en-GB" w:eastAsia="zh-CN"/>
        </w:rPr>
        <w:t>Adaptation to f</w:t>
      </w:r>
      <w:r w:rsidRPr="004008E1">
        <w:rPr>
          <w:rFonts w:ascii="Calibri" w:hAnsi="Calibri"/>
          <w:sz w:val="22"/>
          <w:szCs w:val="22"/>
          <w:lang w:val="en-GB"/>
        </w:rPr>
        <w:t xml:space="preserve">lood </w:t>
      </w:r>
      <w:r w:rsidRPr="00B50254">
        <w:rPr>
          <w:rFonts w:ascii="Calibri" w:hAnsi="Calibri"/>
          <w:sz w:val="22"/>
          <w:szCs w:val="22"/>
          <w:lang w:val="en-GB" w:eastAsia="zh-CN"/>
        </w:rPr>
        <w:t>risk</w:t>
      </w:r>
      <w:r w:rsidRPr="00B50254">
        <w:rPr>
          <w:rFonts w:ascii="Calibri" w:hAnsi="Calibri"/>
          <w:sz w:val="22"/>
          <w:szCs w:val="22"/>
          <w:lang w:val="en-GB"/>
        </w:rPr>
        <w:t xml:space="preserve"> </w:t>
      </w:r>
      <w:r w:rsidRPr="004B2349">
        <w:rPr>
          <w:rFonts w:ascii="Calibri" w:hAnsi="Calibri"/>
          <w:sz w:val="22"/>
          <w:szCs w:val="22"/>
          <w:lang w:val="en-GB"/>
        </w:rPr>
        <w:t xml:space="preserve">requires comprehensive approaches (Box </w:t>
      </w:r>
      <w:r w:rsidR="00D036C9">
        <w:rPr>
          <w:rFonts w:ascii="Calibri" w:hAnsi="Calibri"/>
          <w:sz w:val="22"/>
          <w:szCs w:val="22"/>
          <w:lang w:val="en-GB"/>
        </w:rPr>
        <w:t>3</w:t>
      </w:r>
      <w:r w:rsidRPr="004B2349">
        <w:rPr>
          <w:rFonts w:ascii="Calibri" w:hAnsi="Calibri"/>
          <w:sz w:val="22"/>
          <w:szCs w:val="22"/>
          <w:lang w:val="en-GB"/>
        </w:rPr>
        <w:t>.2). Non-structural measures include flood insurance, development policies, zoning laws,</w:t>
      </w:r>
      <w:r w:rsidRPr="004349AE">
        <w:rPr>
          <w:rFonts w:ascii="Calibri" w:hAnsi="Calibri"/>
          <w:sz w:val="22"/>
          <w:lang w:val="en-GB"/>
        </w:rPr>
        <w:t xml:space="preserve"> floodplain regulations, building codes, flood proofing, tax incentives, emergency preparedness, flood forecasting</w:t>
      </w:r>
      <w:r w:rsidRPr="00A37EA9">
        <w:rPr>
          <w:rFonts w:ascii="Calibri" w:hAnsi="Calibri"/>
          <w:sz w:val="22"/>
          <w:szCs w:val="22"/>
          <w:lang w:val="en-GB"/>
        </w:rPr>
        <w:t>,</w:t>
      </w:r>
      <w:r w:rsidRPr="004349AE">
        <w:rPr>
          <w:rFonts w:ascii="Calibri" w:hAnsi="Calibri"/>
          <w:sz w:val="22"/>
          <w:lang w:val="en-GB"/>
        </w:rPr>
        <w:t xml:space="preserve"> and post-flood recovery.</w:t>
      </w:r>
      <w:r w:rsidR="00E13392" w:rsidRPr="004349AE">
        <w:rPr>
          <w:rFonts w:ascii="Calibri" w:hAnsi="Calibri"/>
          <w:sz w:val="22"/>
          <w:lang w:val="en-GB"/>
        </w:rPr>
        <w:fldChar w:fldCharType="begin"/>
      </w:r>
      <w:r w:rsidR="00723833">
        <w:rPr>
          <w:rFonts w:ascii="Calibri" w:hAnsi="Calibri"/>
          <w:sz w:val="22"/>
          <w:lang w:val="en-GB"/>
        </w:rPr>
        <w:instrText xml:space="preserve"> ADDIN EN.CITE &lt;EndNote&gt;&lt;Cite&gt;&lt;Author&gt;UN Economic and Social Commission for Asia and the Pacific&lt;/Author&gt;&lt;Year&gt;2012&lt;/Year&gt;&lt;RecNum&gt;1109&lt;/RecNum&gt;&lt;DisplayText&gt;&lt;style face="superscript"&gt;116,117&lt;/style&gt;&lt;/DisplayText&gt;&lt;record&gt;&lt;rec-number&gt;1109&lt;/rec-number&gt;&lt;foreign-keys&gt;&lt;key app="EN" db-id="wtftd20rmszxx0ettxy5exwdf90wv22s2dsf" timestamp="1419212983"&gt;1109&lt;/key&gt;&lt;/foreign-keys&gt;&lt;ref-type name="Report"&gt;27&lt;/ref-type&gt;&lt;contributors&gt;&lt;authors&gt;&lt;author&gt;UN Economic and Social Commission for Asia and the Pacific,&lt;/author&gt;&lt;author&gt;UN Office for Disaster Risk Reduction,&lt;/author&gt;&lt;/authors&gt;&lt;/contributors&gt;&lt;titles&gt;&lt;title&gt;Reducing Vulnerability and Exposure to Disasters. The Asia-Pacific Disaster Report &lt;/title&gt;&lt;/titles&gt;&lt;dates&gt;&lt;year&gt;2012&lt;/year&gt;&lt;/dates&gt;&lt;pub-location&gt;Bangkok&lt;/pub-location&gt;&lt;urls&gt;&lt;/urls&gt;&lt;/record&gt;&lt;/Cite&gt;&lt;Cite&gt;&lt;Author&gt;Michel-Kerjan&lt;/Author&gt;&lt;Year&gt;2010&lt;/Year&gt;&lt;RecNum&gt;1156&lt;/RecNum&gt;&lt;record&gt;&lt;rec-number&gt;1156&lt;/rec-number&gt;&lt;foreign-keys&gt;&lt;key app="EN" db-id="wtftd20rmszxx0ettxy5exwdf90wv22s2dsf" timestamp="1419212983"&gt;1156&lt;/key&gt;&lt;/foreign-keys&gt;&lt;ref-type name="Journal Article"&gt;17&lt;/ref-type&gt;&lt;contributors&gt;&lt;authors&gt;&lt;author&gt;Michel-Kerjan, EO&lt;/author&gt;&lt;/authors&gt;&lt;/contributors&gt;&lt;titles&gt;&lt;title&gt;Catastrophe Economics: The National Flood Insurance Program&lt;/title&gt;&lt;secondary-title&gt;Journal of Economic Perspectives&lt;/secondary-title&gt;&lt;/titles&gt;&lt;periodical&gt;&lt;full-title&gt;Journal of Economic Perspectives&lt;/full-title&gt;&lt;/periodical&gt;&lt;pages&gt;165-186&lt;/pages&gt;&lt;volume&gt;24&lt;/volume&gt;&lt;number&gt;4&lt;/number&gt;&lt;dates&gt;&lt;year&gt;2010&lt;/year&gt;&lt;/dates&gt;&lt;urls&gt;&lt;/urls&gt;&lt;/record&gt;&lt;/Cite&gt;&lt;/EndNote&gt;</w:instrText>
      </w:r>
      <w:r w:rsidR="00E13392" w:rsidRPr="004349AE">
        <w:rPr>
          <w:rFonts w:ascii="Calibri" w:hAnsi="Calibri"/>
          <w:sz w:val="22"/>
          <w:lang w:val="en-GB"/>
        </w:rPr>
        <w:fldChar w:fldCharType="separate"/>
      </w:r>
      <w:r w:rsidR="00723833" w:rsidRPr="00723833">
        <w:rPr>
          <w:rFonts w:ascii="Calibri" w:hAnsi="Calibri"/>
          <w:noProof/>
          <w:sz w:val="22"/>
          <w:vertAlign w:val="superscript"/>
          <w:lang w:val="en-GB"/>
        </w:rPr>
        <w:t>116,117</w:t>
      </w:r>
      <w:r w:rsidR="00E13392" w:rsidRPr="004349AE">
        <w:rPr>
          <w:rFonts w:ascii="Calibri" w:hAnsi="Calibri"/>
          <w:sz w:val="22"/>
          <w:lang w:val="en-GB"/>
        </w:rPr>
        <w:fldChar w:fldCharType="end"/>
      </w:r>
      <w:r w:rsidRPr="00A37EA9">
        <w:rPr>
          <w:rFonts w:ascii="Calibri" w:hAnsi="Calibri"/>
          <w:sz w:val="22"/>
          <w:szCs w:val="22"/>
          <w:lang w:val="en-GB"/>
        </w:rPr>
        <w:t xml:space="preserve"> Non-structural flood </w:t>
      </w:r>
      <w:r w:rsidRPr="00142ED0">
        <w:rPr>
          <w:rFonts w:ascii="Calibri" w:hAnsi="Calibri"/>
          <w:sz w:val="22"/>
          <w:szCs w:val="22"/>
          <w:lang w:val="en-GB" w:eastAsia="zh-CN"/>
        </w:rPr>
        <w:t>adaptation</w:t>
      </w:r>
      <w:r w:rsidRPr="004008E1">
        <w:rPr>
          <w:rFonts w:ascii="Calibri" w:hAnsi="Calibri"/>
          <w:sz w:val="22"/>
          <w:szCs w:val="22"/>
          <w:lang w:val="en-GB"/>
        </w:rPr>
        <w:t xml:space="preserve"> </w:t>
      </w:r>
      <w:r w:rsidRPr="004008E1">
        <w:rPr>
          <w:rFonts w:ascii="Calibri" w:hAnsi="Calibri"/>
          <w:sz w:val="22"/>
          <w:szCs w:val="22"/>
          <w:lang w:val="en-GB" w:eastAsia="zh-CN"/>
        </w:rPr>
        <w:t>option</w:t>
      </w:r>
      <w:r w:rsidRPr="00B50254">
        <w:rPr>
          <w:rFonts w:ascii="Calibri" w:hAnsi="Calibri"/>
          <w:sz w:val="22"/>
          <w:szCs w:val="22"/>
          <w:lang w:val="en-GB"/>
        </w:rPr>
        <w:t xml:space="preserve">s </w:t>
      </w:r>
      <w:r w:rsidRPr="004B2349">
        <w:rPr>
          <w:rFonts w:ascii="Calibri" w:hAnsi="Calibri"/>
          <w:sz w:val="22"/>
          <w:szCs w:val="22"/>
          <w:lang w:val="en-GB"/>
        </w:rPr>
        <w:t>aim</w:t>
      </w:r>
      <w:r w:rsidR="00863C0A" w:rsidRPr="004B2349">
        <w:rPr>
          <w:rFonts w:ascii="Calibri" w:hAnsi="Calibri"/>
          <w:sz w:val="22"/>
          <w:szCs w:val="22"/>
          <w:lang w:val="en-GB"/>
        </w:rPr>
        <w:t xml:space="preserve"> to reduce </w:t>
      </w:r>
      <w:r w:rsidRPr="004B2349">
        <w:rPr>
          <w:rFonts w:ascii="Calibri" w:hAnsi="Calibri"/>
          <w:sz w:val="22"/>
          <w:szCs w:val="22"/>
          <w:lang w:val="en-GB"/>
        </w:rPr>
        <w:t>flood damages and enhanc</w:t>
      </w:r>
      <w:r w:rsidR="00863C0A" w:rsidRPr="004B2349">
        <w:rPr>
          <w:rFonts w:ascii="Calibri" w:hAnsi="Calibri"/>
          <w:sz w:val="22"/>
          <w:szCs w:val="22"/>
          <w:lang w:val="en-GB"/>
        </w:rPr>
        <w:t>e</w:t>
      </w:r>
      <w:r w:rsidRPr="004B2349">
        <w:rPr>
          <w:rFonts w:ascii="Calibri" w:hAnsi="Calibri"/>
          <w:sz w:val="22"/>
          <w:szCs w:val="22"/>
          <w:lang w:val="en-GB"/>
        </w:rPr>
        <w:t xml:space="preserve"> the ecological functions of flood plains. Many opportunities to increase resilience to extreme weather events are found in improved planning, zoning, and the management of land use. These have the additional advantage of providing multiple co-benefits (see ecosystem-based adaptation below).</w:t>
      </w:r>
    </w:p>
    <w:p w:rsidR="00B25E9E" w:rsidRDefault="00B25E9E" w:rsidP="00B25E9E">
      <w:pPr>
        <w:pStyle w:val="Heading3"/>
        <w:rPr>
          <w:rFonts w:ascii="Calibri" w:hAnsi="Calibri" w:cs="Times New Roman"/>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204"/>
      </w:tblGrid>
      <w:tr w:rsidR="005C12E5" w:rsidRPr="004B2349" w:rsidTr="00FE56B7">
        <w:tc>
          <w:tcPr>
            <w:tcW w:w="9204" w:type="dxa"/>
            <w:shd w:val="clear" w:color="auto" w:fill="F2F2F2" w:themeFill="background1" w:themeFillShade="F2"/>
          </w:tcPr>
          <w:p w:rsidR="005C12E5" w:rsidRPr="004B2349" w:rsidRDefault="005C12E5" w:rsidP="00FE56B7">
            <w:pPr>
              <w:jc w:val="center"/>
              <w:rPr>
                <w:rFonts w:ascii="Calibri" w:hAnsi="Calibri" w:cs="Times New Roman"/>
                <w:b/>
                <w:sz w:val="20"/>
                <w:lang w:val="en-GB"/>
              </w:rPr>
            </w:pPr>
          </w:p>
          <w:p w:rsidR="005C12E5" w:rsidRPr="004B2349" w:rsidRDefault="005C12E5" w:rsidP="00FE56B7">
            <w:pPr>
              <w:jc w:val="center"/>
              <w:rPr>
                <w:rFonts w:ascii="Calibri" w:hAnsi="Calibri" w:cs="Times New Roman"/>
                <w:b/>
                <w:sz w:val="20"/>
                <w:lang w:val="en-GB"/>
              </w:rPr>
            </w:pPr>
            <w:r w:rsidRPr="004B2349">
              <w:rPr>
                <w:rFonts w:ascii="Calibri" w:hAnsi="Calibri" w:cs="Times New Roman"/>
                <w:b/>
                <w:sz w:val="20"/>
                <w:lang w:val="en-GB"/>
              </w:rPr>
              <w:t xml:space="preserve">Box </w:t>
            </w:r>
            <w:r>
              <w:rPr>
                <w:rFonts w:ascii="Calibri" w:hAnsi="Calibri" w:cs="Times New Roman"/>
                <w:b/>
                <w:sz w:val="20"/>
                <w:lang w:val="en-GB"/>
              </w:rPr>
              <w:t>3</w:t>
            </w:r>
            <w:r w:rsidRPr="004B2349">
              <w:rPr>
                <w:rFonts w:ascii="Calibri" w:hAnsi="Calibri" w:cs="Times New Roman"/>
                <w:b/>
                <w:sz w:val="20"/>
                <w:lang w:val="en-GB"/>
              </w:rPr>
              <w:t xml:space="preserve">.2: Adaptation to floods </w:t>
            </w:r>
            <w:r>
              <w:rPr>
                <w:rFonts w:ascii="Calibri" w:hAnsi="Calibri" w:cs="Times New Roman"/>
                <w:b/>
                <w:sz w:val="20"/>
                <w:lang w:val="en-GB"/>
              </w:rPr>
              <w:t>and</w:t>
            </w:r>
            <w:r w:rsidRPr="004B2349">
              <w:rPr>
                <w:rFonts w:ascii="Calibri" w:hAnsi="Calibri" w:cs="Times New Roman"/>
                <w:b/>
                <w:sz w:val="20"/>
                <w:lang w:val="en-GB"/>
              </w:rPr>
              <w:t xml:space="preserve"> storms in Bangladesh</w:t>
            </w:r>
          </w:p>
          <w:p w:rsidR="005C12E5" w:rsidRPr="004B2349" w:rsidRDefault="005C12E5" w:rsidP="00FE56B7">
            <w:pPr>
              <w:jc w:val="both"/>
              <w:rPr>
                <w:rFonts w:ascii="Calibri" w:hAnsi="Calibri" w:cs="Times New Roman"/>
                <w:b/>
                <w:sz w:val="20"/>
                <w:lang w:val="en-GB"/>
              </w:rPr>
            </w:pPr>
          </w:p>
          <w:p w:rsidR="005C12E5" w:rsidRPr="00A37EA9" w:rsidRDefault="005C12E5" w:rsidP="00FE56B7">
            <w:pPr>
              <w:jc w:val="both"/>
              <w:rPr>
                <w:rFonts w:ascii="Calibri" w:hAnsi="Calibri" w:cs="Times New Roman"/>
                <w:sz w:val="20"/>
                <w:szCs w:val="20"/>
                <w:lang w:val="en-GB"/>
              </w:rPr>
            </w:pPr>
            <w:r w:rsidRPr="004B2349">
              <w:rPr>
                <w:rFonts w:ascii="Calibri" w:hAnsi="Calibri" w:cs="Times New Roman"/>
                <w:sz w:val="20"/>
                <w:szCs w:val="20"/>
                <w:lang w:val="en-GB"/>
              </w:rPr>
              <w:t>In a mid-range climate-sensitivity projection, the number of people flooded per year globally is expected to increase by 10-25 million per year by the year 2050.</w:t>
            </w:r>
            <w:r w:rsidR="00E13392" w:rsidRPr="00142ED0">
              <w:rPr>
                <w:rFonts w:ascii="Calibri" w:hAnsi="Calibri" w:cs="Times New Roman"/>
                <w:sz w:val="20"/>
                <w:szCs w:val="20"/>
                <w:lang w:val="en-GB"/>
              </w:rPr>
              <w:fldChar w:fldCharType="begin"/>
            </w:r>
            <w:r w:rsidR="00723833">
              <w:rPr>
                <w:rFonts w:ascii="Calibri" w:hAnsi="Calibri" w:cs="Times New Roman"/>
                <w:sz w:val="20"/>
                <w:szCs w:val="20"/>
                <w:lang w:val="en-GB"/>
              </w:rPr>
              <w:instrText xml:space="preserve"> ADDIN EN.CITE &lt;EndNote&gt;&lt;Cite&gt;&lt;Author&gt;Nicholls&lt;/Author&gt;&lt;Year&gt;2004&lt;/Year&gt;&lt;RecNum&gt;1162&lt;/RecNum&gt;&lt;DisplayText&gt;&lt;style face="superscript"&gt;118&lt;/style&gt;&lt;/DisplayText&gt;&lt;record&gt;&lt;rec-number&gt;1162&lt;/rec-number&gt;&lt;foreign-keys&gt;&lt;key app="EN" db-id="wtftd20rmszxx0ettxy5exwdf90wv22s2dsf" timestamp="1419212983"&gt;1162&lt;/key&gt;&lt;/foreign-keys&gt;&lt;ref-type name="Journal Article"&gt;17&lt;/ref-type&gt;&lt;contributors&gt;&lt;authors&gt;&lt;author&gt;Nicholls, Robert J.&lt;/author&gt;&lt;author&gt;Lowe, Jason A.&lt;/author&gt;&lt;/authors&gt;&lt;/contributors&gt;&lt;titles&gt;&lt;title&gt;Benefits of mitigation of climate change for coastal areas&lt;/title&gt;&lt;secondary-title&gt;Global Environmental Change&lt;/secondary-title&gt;&lt;/titles&gt;&lt;periodical&gt;&lt;full-title&gt;Global Environmental Change&lt;/full-title&gt;&lt;/periodical&gt;&lt;pages&gt;229-244&lt;/pages&gt;&lt;volume&gt;14&lt;/volume&gt;&lt;number&gt;3&lt;/number&gt;&lt;keywords&gt;&lt;keyword&gt;Climate policy&lt;/keyword&gt;&lt;keyword&gt;Scenarios&lt;/keyword&gt;&lt;keyword&gt;Coastal vulnerability&lt;/keyword&gt;&lt;keyword&gt;Flood risk&lt;/keyword&gt;&lt;keyword&gt;Coastal ecosystems&lt;/keyword&gt;&lt;/keywords&gt;&lt;dates&gt;&lt;year&gt;2004&lt;/year&gt;&lt;pub-dates&gt;&lt;date&gt;10//&lt;/date&gt;&lt;/pub-dates&gt;&lt;/dates&gt;&lt;isbn&gt;0959-3780&lt;/isbn&gt;&lt;urls&gt;&lt;related-urls&gt;&lt;url&gt;http://www.sciencedirect.com/science/article/pii/S0959378004000445&lt;/url&gt;&lt;/related-urls&gt;&lt;/urls&gt;&lt;electronic-resource-num&gt;http://dx.doi.org/10.1016/j.gloenvcha.2004.04.005&lt;/electronic-resource-num&gt;&lt;/record&gt;&lt;/Cite&gt;&lt;/EndNote&gt;</w:instrText>
            </w:r>
            <w:r w:rsidR="00E13392" w:rsidRPr="00142ED0">
              <w:rPr>
                <w:rFonts w:ascii="Calibri" w:hAnsi="Calibri" w:cs="Times New Roman"/>
                <w:sz w:val="20"/>
                <w:szCs w:val="20"/>
                <w:lang w:val="en-GB"/>
              </w:rPr>
              <w:fldChar w:fldCharType="separate"/>
            </w:r>
            <w:r w:rsidR="00723833" w:rsidRPr="00723833">
              <w:rPr>
                <w:rFonts w:ascii="Calibri" w:hAnsi="Calibri" w:cs="Times New Roman"/>
                <w:noProof/>
                <w:sz w:val="20"/>
                <w:szCs w:val="20"/>
                <w:vertAlign w:val="superscript"/>
                <w:lang w:val="en-GB"/>
              </w:rPr>
              <w:t>118</w:t>
            </w:r>
            <w:r w:rsidR="00E13392" w:rsidRPr="00142ED0">
              <w:rPr>
                <w:rFonts w:ascii="Calibri" w:hAnsi="Calibri" w:cs="Times New Roman"/>
                <w:sz w:val="20"/>
                <w:szCs w:val="20"/>
                <w:lang w:val="en-GB"/>
              </w:rPr>
              <w:fldChar w:fldCharType="end"/>
            </w:r>
            <w:r w:rsidRPr="00A37EA9">
              <w:rPr>
                <w:rFonts w:ascii="Calibri" w:hAnsi="Calibri" w:cs="Times New Roman"/>
                <w:sz w:val="20"/>
                <w:szCs w:val="20"/>
                <w:lang w:val="en-GB"/>
              </w:rPr>
              <w:t xml:space="preserve"> Bangladesh is one of the most vulnerable countries to climate change in South Asia, regularly suffering from events such as flooding, cyclones or coastal</w:t>
            </w:r>
            <w:r w:rsidRPr="00142ED0">
              <w:rPr>
                <w:rFonts w:ascii="Calibri" w:hAnsi="Calibri" w:cs="Times New Roman"/>
                <w:sz w:val="20"/>
                <w:szCs w:val="20"/>
                <w:lang w:val="en-GB"/>
              </w:rPr>
              <w:t xml:space="preserve"> erosion, causing inundation of farmlands, affecting migration and displacement.</w:t>
            </w:r>
            <w:r w:rsidR="00E13392" w:rsidRPr="00142ED0">
              <w:rPr>
                <w:rFonts w:ascii="Calibri" w:hAnsi="Calibri" w:cs="Times New Roman"/>
                <w:sz w:val="20"/>
                <w:szCs w:val="20"/>
                <w:lang w:val="en-GB"/>
              </w:rPr>
              <w:fldChar w:fldCharType="begin"/>
            </w:r>
            <w:r w:rsidR="00723833">
              <w:rPr>
                <w:rFonts w:ascii="Calibri" w:hAnsi="Calibri" w:cs="Times New Roman"/>
                <w:sz w:val="20"/>
                <w:szCs w:val="20"/>
                <w:lang w:val="en-GB"/>
              </w:rPr>
              <w:instrText xml:space="preserve"> ADDIN EN.CITE &lt;EndNote&gt;&lt;Cite&gt;&lt;Author&gt;Etzold&lt;/Author&gt;&lt;Year&gt;2013&lt;/Year&gt;&lt;RecNum&gt;1110&lt;/RecNum&gt;&lt;DisplayText&gt;&lt;style face="superscript"&gt;119&lt;/style&gt;&lt;/DisplayText&gt;&lt;record&gt;&lt;rec-number&gt;1110&lt;/rec-number&gt;&lt;foreign-keys&gt;&lt;key app="EN" db-id="wtftd20rmszxx0ettxy5exwdf90wv22s2dsf" timestamp="1419212983"&gt;1110&lt;/key&gt;&lt;/foreign-keys&gt;&lt;ref-type name="Journal Article"&gt;17&lt;/ref-type&gt;&lt;contributors&gt;&lt;authors&gt;&lt;author&gt;Etzold, Benjamin&lt;/author&gt;&lt;author&gt;Ahmed, Ahsan Uddin&lt;/author&gt;&lt;author&gt;Hassan, Selim Reza&lt;/author&gt;&lt;author&gt;Neelormi, Sharmind&lt;/author&gt;&lt;/authors&gt;&lt;/contributors&gt;&lt;titles&gt;&lt;title&gt;Clouds gather in the sky, but no rain falls. Vulnerability to rainfall variability and food insecurity in Northern Bangladesh and its effects on migration&lt;/title&gt;&lt;secondary-title&gt;Climate and Development&lt;/secondary-title&gt;&lt;/titles&gt;&lt;periodical&gt;&lt;full-title&gt;Climate and Development&lt;/full-title&gt;&lt;/periodical&gt;&lt;pages&gt;18-27&lt;/pages&gt;&lt;volume&gt;6&lt;/volume&gt;&lt;number&gt;1&lt;/number&gt;&lt;dates&gt;&lt;year&gt;2013&lt;/year&gt;&lt;pub-dates&gt;&lt;date&gt;2014/01/02&lt;/date&gt;&lt;/pub-dates&gt;&lt;/dates&gt;&lt;publisher&gt;Taylor &amp;amp; Francis&lt;/publisher&gt;&lt;isbn&gt;1756-5529&lt;/isbn&gt;&lt;urls&gt;&lt;related-urls&gt;&lt;url&gt;http://dx.doi.org/10.1080/17565529.2013.833078&lt;/url&gt;&lt;/related-urls&gt;&lt;/urls&gt;&lt;electronic-resource-num&gt;10.1080/17565529.2013.833078&lt;/electronic-resource-num&gt;&lt;access-date&gt;2014/12/08&lt;/access-date&gt;&lt;/record&gt;&lt;/Cite&gt;&lt;/EndNote&gt;</w:instrText>
            </w:r>
            <w:r w:rsidR="00E13392" w:rsidRPr="00142ED0">
              <w:rPr>
                <w:rFonts w:ascii="Calibri" w:hAnsi="Calibri" w:cs="Times New Roman"/>
                <w:sz w:val="20"/>
                <w:szCs w:val="20"/>
                <w:lang w:val="en-GB"/>
              </w:rPr>
              <w:fldChar w:fldCharType="separate"/>
            </w:r>
            <w:r w:rsidR="00723833" w:rsidRPr="00723833">
              <w:rPr>
                <w:rFonts w:ascii="Calibri" w:hAnsi="Calibri" w:cs="Times New Roman"/>
                <w:noProof/>
                <w:sz w:val="20"/>
                <w:szCs w:val="20"/>
                <w:vertAlign w:val="superscript"/>
                <w:lang w:val="en-GB"/>
              </w:rPr>
              <w:t>119</w:t>
            </w:r>
            <w:r w:rsidR="00E13392" w:rsidRPr="00142ED0">
              <w:rPr>
                <w:rFonts w:ascii="Calibri" w:hAnsi="Calibri" w:cs="Times New Roman"/>
                <w:sz w:val="20"/>
                <w:szCs w:val="20"/>
                <w:lang w:val="en-GB"/>
              </w:rPr>
              <w:fldChar w:fldCharType="end"/>
            </w:r>
            <w:r w:rsidRPr="00A37EA9">
              <w:rPr>
                <w:rFonts w:ascii="Calibri" w:hAnsi="Calibri" w:cs="Times New Roman"/>
                <w:sz w:val="20"/>
                <w:szCs w:val="20"/>
                <w:lang w:val="en-GB"/>
              </w:rPr>
              <w:t xml:space="preserve"> More than 5 million Bangladeshis live in areas highly vulnerable to cyclones and storm surges, and over half of the population lives within 100 km </w:t>
            </w:r>
            <w:r w:rsidRPr="00142ED0">
              <w:rPr>
                <w:rFonts w:ascii="Calibri" w:hAnsi="Calibri" w:cs="Times New Roman"/>
                <w:sz w:val="20"/>
                <w:szCs w:val="20"/>
                <w:lang w:val="en-GB"/>
              </w:rPr>
              <w:t>of the coast.</w:t>
            </w:r>
            <w:r w:rsidR="00E13392" w:rsidRPr="00142ED0">
              <w:rPr>
                <w:rFonts w:ascii="Calibri" w:hAnsi="Calibri" w:cs="Times New Roman"/>
                <w:sz w:val="20"/>
                <w:szCs w:val="20"/>
                <w:lang w:val="en-GB"/>
              </w:rPr>
              <w:fldChar w:fldCharType="begin"/>
            </w:r>
            <w:r w:rsidR="00723833">
              <w:rPr>
                <w:rFonts w:ascii="Calibri" w:hAnsi="Calibri" w:cs="Times New Roman"/>
                <w:sz w:val="20"/>
                <w:szCs w:val="20"/>
                <w:lang w:val="en-GB"/>
              </w:rPr>
              <w:instrText xml:space="preserve"> ADDIN EN.CITE &lt;EndNote&gt;&lt;Cite&gt;&lt;Author&gt;McGranahan&lt;/Author&gt;&lt;Year&gt;2007&lt;/Year&gt;&lt;RecNum&gt;1154&lt;/RecNum&gt;&lt;DisplayText&gt;&lt;style face="superscript"&gt;120&lt;/style&gt;&lt;/DisplayText&gt;&lt;record&gt;&lt;rec-number&gt;1154&lt;/rec-number&gt;&lt;foreign-keys&gt;&lt;key app="EN" db-id="wtftd20rmszxx0ettxy5exwdf90wv22s2dsf" timestamp="1419212983"&gt;1154&lt;/key&gt;&lt;/foreign-keys&gt;&lt;ref-type name="Journal Article"&gt;17&lt;/ref-type&gt;&lt;contributors&gt;&lt;authors&gt;&lt;author&gt;McGranahan, Gordon&lt;/author&gt;&lt;author&gt;Balk, Deborah&lt;/author&gt;&lt;author&gt;Anderson, Bridget&lt;/author&gt;&lt;/authors&gt;&lt;/contributors&gt;&lt;titles&gt;&lt;title&gt;The rising tide: assessing the risks of climate change and human settlements in low elevation coastal zones&lt;/title&gt;&lt;secondary-title&gt;Environment and Urbanization&lt;/secondary-title&gt;&lt;/titles&gt;&lt;periodical&gt;&lt;full-title&gt;Environment and Urbanization&lt;/full-title&gt;&lt;/periodical&gt;&lt;pages&gt;17-37&lt;/pages&gt;&lt;volume&gt;19&lt;/volume&gt;&lt;number&gt;1&lt;/number&gt;&lt;dates&gt;&lt;year&gt;2007&lt;/year&gt;&lt;pub-dates&gt;&lt;date&gt;April 1, 2007&lt;/date&gt;&lt;/pub-dates&gt;&lt;/dates&gt;&lt;urls&gt;&lt;related-urls&gt;&lt;url&gt;http://eau.sagepub.com/content/19/1/17.abstract&lt;/url&gt;&lt;/related-urls&gt;&lt;/urls&gt;&lt;electronic-resource-num&gt;10.1177/0956247807076960&lt;/electronic-resource-num&gt;&lt;/record&gt;&lt;/Cite&gt;&lt;/EndNote&gt;</w:instrText>
            </w:r>
            <w:r w:rsidR="00E13392" w:rsidRPr="00142ED0">
              <w:rPr>
                <w:rFonts w:ascii="Calibri" w:hAnsi="Calibri" w:cs="Times New Roman"/>
                <w:sz w:val="20"/>
                <w:szCs w:val="20"/>
                <w:lang w:val="en-GB"/>
              </w:rPr>
              <w:fldChar w:fldCharType="separate"/>
            </w:r>
            <w:r w:rsidR="00723833" w:rsidRPr="00723833">
              <w:rPr>
                <w:rFonts w:ascii="Calibri" w:hAnsi="Calibri" w:cs="Times New Roman"/>
                <w:noProof/>
                <w:sz w:val="20"/>
                <w:szCs w:val="20"/>
                <w:vertAlign w:val="superscript"/>
                <w:lang w:val="en-GB"/>
              </w:rPr>
              <w:t>120</w:t>
            </w:r>
            <w:r w:rsidR="00E13392" w:rsidRPr="00142ED0">
              <w:rPr>
                <w:rFonts w:ascii="Calibri" w:hAnsi="Calibri" w:cs="Times New Roman"/>
                <w:sz w:val="20"/>
                <w:szCs w:val="20"/>
                <w:lang w:val="en-GB"/>
              </w:rPr>
              <w:fldChar w:fldCharType="end"/>
            </w:r>
            <w:r w:rsidRPr="00A37EA9">
              <w:rPr>
                <w:rFonts w:ascii="Calibri" w:hAnsi="Calibri" w:cs="Times New Roman"/>
                <w:sz w:val="20"/>
                <w:szCs w:val="20"/>
                <w:lang w:val="en-GB"/>
              </w:rPr>
              <w:t xml:space="preserve"> </w:t>
            </w:r>
          </w:p>
          <w:p w:rsidR="005C12E5" w:rsidRPr="00142ED0" w:rsidRDefault="005C12E5" w:rsidP="00FE56B7">
            <w:pPr>
              <w:jc w:val="both"/>
              <w:rPr>
                <w:rFonts w:ascii="Calibri" w:hAnsi="Calibri"/>
                <w:sz w:val="20"/>
                <w:szCs w:val="20"/>
                <w:lang w:val="en-GB"/>
              </w:rPr>
            </w:pPr>
          </w:p>
          <w:p w:rsidR="005C12E5" w:rsidRPr="00A37EA9" w:rsidRDefault="005C12E5" w:rsidP="00FE56B7">
            <w:pPr>
              <w:jc w:val="both"/>
              <w:rPr>
                <w:rFonts w:ascii="Calibri" w:hAnsi="Calibri" w:cs="Times New Roman"/>
                <w:sz w:val="20"/>
                <w:szCs w:val="20"/>
                <w:lang w:val="en-GB"/>
              </w:rPr>
            </w:pPr>
            <w:r w:rsidRPr="004008E1">
              <w:rPr>
                <w:rFonts w:ascii="Calibri" w:hAnsi="Calibri" w:cs="Times New Roman"/>
                <w:sz w:val="20"/>
                <w:szCs w:val="20"/>
                <w:lang w:val="en-GB"/>
              </w:rPr>
              <w:t xml:space="preserve">In 2007, Cyclone Sidr killed around 4,000 people in Bangladesh. In comparison, an equivalent storm in 1970 </w:t>
            </w:r>
            <w:r w:rsidRPr="004008E1">
              <w:rPr>
                <w:rFonts w:ascii="Calibri" w:hAnsi="Calibri" w:cs="Times New Roman"/>
                <w:sz w:val="20"/>
                <w:szCs w:val="20"/>
                <w:lang w:val="en-GB"/>
              </w:rPr>
              <w:lastRenderedPageBreak/>
              <w:t>killed 300,000.</w:t>
            </w:r>
            <w:r w:rsidR="00E13392" w:rsidRPr="00142ED0">
              <w:rPr>
                <w:rFonts w:ascii="Calibri" w:hAnsi="Calibri" w:cs="Times New Roman"/>
                <w:sz w:val="20"/>
                <w:szCs w:val="20"/>
                <w:lang w:val="en-GB"/>
              </w:rPr>
              <w:fldChar w:fldCharType="begin"/>
            </w:r>
            <w:r w:rsidR="00723833">
              <w:rPr>
                <w:rFonts w:ascii="Calibri" w:hAnsi="Calibri" w:cs="Times New Roman"/>
                <w:sz w:val="20"/>
                <w:szCs w:val="20"/>
                <w:lang w:val="en-GB"/>
              </w:rPr>
              <w:instrText xml:space="preserve"> ADDIN EN.CITE &lt;EndNote&gt;&lt;Cite&gt;&lt;Author&gt;Foresight&lt;/Author&gt;&lt;Year&gt;2011&lt;/Year&gt;&lt;RecNum&gt;1061&lt;/RecNum&gt;&lt;DisplayText&gt;&lt;style face="superscript"&gt;121&lt;/style&gt;&lt;/DisplayText&gt;&lt;record&gt;&lt;rec-number&gt;1061&lt;/rec-number&gt;&lt;foreign-keys&gt;&lt;key app="EN" db-id="wtftd20rmszxx0ettxy5exwdf90wv22s2dsf" timestamp="1419212983"&gt;1061&lt;/key&gt;&lt;/foreign-keys&gt;&lt;ref-type name="Report"&gt;27&lt;/ref-type&gt;&lt;contributors&gt;&lt;authors&gt;&lt;author&gt;Foresight,&lt;/author&gt;&lt;/authors&gt;&lt;/contributors&gt;&lt;titles&gt;&lt;title&gt;Migration and Global Environmental Change: Future Challenges and Opportunities&lt;/title&gt;&lt;/titles&gt;&lt;dates&gt;&lt;year&gt;2011&lt;/year&gt;&lt;/dates&gt;&lt;pub-location&gt;London&lt;/pub-location&gt;&lt;publisher&gt;UK Government Office for Science&lt;/publisher&gt;&lt;urls&gt;&lt;/urls&gt;&lt;/record&gt;&lt;/Cite&gt;&lt;/EndNote&gt;</w:instrText>
            </w:r>
            <w:r w:rsidR="00E13392" w:rsidRPr="00142ED0">
              <w:rPr>
                <w:rFonts w:ascii="Calibri" w:hAnsi="Calibri" w:cs="Times New Roman"/>
                <w:sz w:val="20"/>
                <w:szCs w:val="20"/>
                <w:lang w:val="en-GB"/>
              </w:rPr>
              <w:fldChar w:fldCharType="separate"/>
            </w:r>
            <w:r w:rsidR="00723833" w:rsidRPr="00723833">
              <w:rPr>
                <w:rFonts w:ascii="Calibri" w:hAnsi="Calibri" w:cs="Times New Roman"/>
                <w:noProof/>
                <w:sz w:val="20"/>
                <w:szCs w:val="20"/>
                <w:vertAlign w:val="superscript"/>
                <w:lang w:val="en-GB"/>
              </w:rPr>
              <w:t>121</w:t>
            </w:r>
            <w:r w:rsidR="00E13392" w:rsidRPr="00142ED0">
              <w:rPr>
                <w:rFonts w:ascii="Calibri" w:hAnsi="Calibri" w:cs="Times New Roman"/>
                <w:sz w:val="20"/>
                <w:szCs w:val="20"/>
                <w:lang w:val="en-GB"/>
              </w:rPr>
              <w:fldChar w:fldCharType="end"/>
            </w:r>
            <w:r w:rsidRPr="00A37EA9">
              <w:rPr>
                <w:rFonts w:ascii="Calibri" w:hAnsi="Calibri" w:cs="Times New Roman"/>
                <w:sz w:val="20"/>
                <w:szCs w:val="20"/>
                <w:lang w:val="en-GB"/>
              </w:rPr>
              <w:t xml:space="preserve"> Bangladesh managed this reduction in mortality through collaborations be</w:t>
            </w:r>
            <w:r w:rsidRPr="00142ED0">
              <w:rPr>
                <w:rFonts w:ascii="Calibri" w:hAnsi="Calibri" w:cs="Times New Roman"/>
                <w:sz w:val="20"/>
                <w:szCs w:val="20"/>
                <w:lang w:val="en-GB"/>
              </w:rPr>
              <w:t>tween governmental and non-governmental organisations and local communities. Together they improved general disaster reduction, deployed early warning systems and built a network of cyclone shelters.</w:t>
            </w:r>
            <w:r w:rsidR="00E13392" w:rsidRPr="00142ED0">
              <w:rPr>
                <w:rFonts w:ascii="Calibri" w:hAnsi="Calibri" w:cs="Times New Roman"/>
                <w:sz w:val="20"/>
                <w:szCs w:val="20"/>
                <w:lang w:val="en-GB"/>
              </w:rPr>
              <w:fldChar w:fldCharType="begin"/>
            </w:r>
            <w:r>
              <w:rPr>
                <w:rFonts w:ascii="Calibri" w:hAnsi="Calibri" w:cs="Times New Roman"/>
                <w:sz w:val="20"/>
                <w:szCs w:val="20"/>
                <w:lang w:val="en-GB"/>
              </w:rPr>
              <w:instrText xml:space="preserve"> ADDIN EN.CITE &lt;EndNote&gt;&lt;Cite&gt;&lt;Author&gt;Smith KR&lt;/Author&gt;&lt;Year&gt;2014&lt;/Year&gt;&lt;RecNum&gt;1199&lt;/RecNum&gt;&lt;DisplayText&gt;&lt;style face="superscript"&gt;31&lt;/style&gt;&lt;/DisplayText&gt;&lt;record&gt;&lt;rec-number&gt;1199&lt;/rec-number&gt;&lt;foreign-keys&gt;&lt;key app="EN" db-id="wtftd20rmszxx0ettxy5exwdf90wv22s2dsf" timestamp="1419212983"&gt;1199&lt;/key&gt;&lt;/foreign-keys&gt;&lt;ref-type name="Book Section"&gt;5&lt;/ref-type&gt;&lt;contributors&gt;&lt;authors&gt;&lt;author&gt;Smith KR, &lt;/author&gt;&lt;author&gt;Woodward A, &lt;/author&gt;&lt;author&gt;Campell-Lendrum D, &lt;/author&gt;&lt;author&gt;Chadee D, &lt;/author&gt;&lt;author&gt;Honda Y, &lt;/author&gt;&lt;author&gt;Liu Q, &lt;/author&gt;&lt;author&gt;Olwoch J, &lt;/author&gt;&lt;author&gt;Revich B, &lt;/author&gt;&lt;author&gt;Sauerborn R, &lt;/author&gt;&lt;author&gt;Aranda C, &lt;/author&gt;&lt;author&gt;Berry H, &lt;/author&gt;&lt;author&gt;Butler C, &lt;/author&gt;&lt;author&gt;Chafe Z, &lt;/author&gt;&lt;author&gt;Cushing L, &lt;/author&gt;&lt;author&gt;Ebi K, &lt;/author&gt;&lt;author&gt;Kjellstrom T, &lt;/author&gt;&lt;author&gt;Kovats S, &lt;/author&gt;&lt;author&gt;Lindsay G, &lt;/author&gt;&lt;author&gt;Lipp E, &lt;/author&gt;&lt;author&gt;McMichael T, &lt;/author&gt;&lt;author&gt;Murray V, &lt;/author&gt;&lt;author&gt;Sankoh O, &lt;/author&gt;&lt;author&gt;O’Neill M, &lt;/author&gt;&lt;author&gt;Shonkoff SB, &lt;/author&gt;&lt;author&gt;Sutherland J, &lt;/author&gt;&lt;author&gt;Yamamoto S,&lt;/author&gt;&lt;/authors&gt;&lt;/contributors&gt;&lt;titles&gt;&lt;title&gt;Human Health - Impacts adaptation and co-benefits&lt;/title&gt;&lt;secondary-title&gt;Climate Change 2014: Impacts, Adaptation, and Vulnerability. Working Group II Contribution to the IPCC 5th Assessment Report&lt;/secondary-title&gt;&lt;/titles&gt;&lt;dates&gt;&lt;year&gt;2014&lt;/year&gt;&lt;/dates&gt;&lt;pub-location&gt;Cambridge, UK and New York, NY, USA&lt;/pub-location&gt;&lt;publisher&gt;Cambridge University Press&lt;/publisher&gt;&lt;urls&gt;&lt;/urls&gt;&lt;/record&gt;&lt;/Cite&gt;&lt;/EndNote&gt;</w:instrText>
            </w:r>
            <w:r w:rsidR="00E13392" w:rsidRPr="00142ED0">
              <w:rPr>
                <w:rFonts w:ascii="Calibri" w:hAnsi="Calibri" w:cs="Times New Roman"/>
                <w:sz w:val="20"/>
                <w:szCs w:val="20"/>
                <w:lang w:val="en-GB"/>
              </w:rPr>
              <w:fldChar w:fldCharType="separate"/>
            </w:r>
            <w:r w:rsidRPr="005C12E5">
              <w:rPr>
                <w:rFonts w:ascii="Calibri" w:eastAsiaTheme="minorHAnsi" w:hAnsi="Calibri" w:cs="Times New Roman"/>
                <w:noProof/>
                <w:sz w:val="20"/>
                <w:szCs w:val="20"/>
                <w:vertAlign w:val="superscript"/>
                <w:lang w:val="en-GB" w:eastAsia="en-US"/>
              </w:rPr>
              <w:t>31</w:t>
            </w:r>
            <w:r w:rsidR="00E13392" w:rsidRPr="00142ED0">
              <w:rPr>
                <w:rFonts w:ascii="Calibri" w:hAnsi="Calibri" w:cs="Times New Roman"/>
                <w:sz w:val="20"/>
                <w:szCs w:val="20"/>
                <w:lang w:val="en-GB"/>
              </w:rPr>
              <w:fldChar w:fldCharType="end"/>
            </w:r>
          </w:p>
          <w:p w:rsidR="005C12E5" w:rsidRPr="00142ED0" w:rsidRDefault="005C12E5" w:rsidP="00FE56B7">
            <w:pPr>
              <w:jc w:val="both"/>
              <w:rPr>
                <w:rFonts w:ascii="Calibri" w:hAnsi="Calibri" w:cs="Times New Roman"/>
                <w:b/>
                <w:sz w:val="20"/>
                <w:lang w:val="en-GB"/>
              </w:rPr>
            </w:pPr>
          </w:p>
        </w:tc>
      </w:tr>
    </w:tbl>
    <w:p w:rsidR="00BE05D8" w:rsidRPr="004B2349" w:rsidRDefault="00BE05D8" w:rsidP="00BE05D8">
      <w:pPr>
        <w:rPr>
          <w:lang w:val="en-GB"/>
        </w:rPr>
      </w:pPr>
    </w:p>
    <w:p w:rsidR="00BE05D8" w:rsidRPr="004B2349" w:rsidRDefault="00BE05D8" w:rsidP="00BE05D8">
      <w:pPr>
        <w:pStyle w:val="Heading2"/>
        <w:rPr>
          <w:lang w:val="en-GB"/>
        </w:rPr>
      </w:pPr>
      <w:bookmarkStart w:id="49" w:name="_Toc402956370"/>
      <w:bookmarkStart w:id="50" w:name="_Toc278446356"/>
      <w:bookmarkStart w:id="51" w:name="_Toc415931380"/>
      <w:bookmarkStart w:id="52" w:name="_Toc417502045"/>
      <w:r w:rsidRPr="004B2349">
        <w:rPr>
          <w:lang w:val="en-GB"/>
        </w:rPr>
        <w:t xml:space="preserve">Action for Resilience </w:t>
      </w:r>
      <w:bookmarkEnd w:id="49"/>
      <w:bookmarkEnd w:id="50"/>
      <w:r w:rsidRPr="004B2349">
        <w:rPr>
          <w:lang w:val="en-GB"/>
        </w:rPr>
        <w:t>to Indirect Impacts</w:t>
      </w:r>
      <w:bookmarkEnd w:id="51"/>
      <w:bookmarkEnd w:id="52"/>
    </w:p>
    <w:p w:rsidR="00BE05D8" w:rsidRPr="004349AE" w:rsidRDefault="00BE05D8" w:rsidP="00BE05D8">
      <w:pPr>
        <w:jc w:val="both"/>
        <w:rPr>
          <w:rFonts w:ascii="Calibri" w:hAnsi="Calibri"/>
          <w:sz w:val="22"/>
          <w:lang w:val="en-GB"/>
        </w:rPr>
      </w:pPr>
      <w:bookmarkStart w:id="53" w:name="_Toc278446357"/>
      <w:bookmarkEnd w:id="53"/>
      <w:r w:rsidRPr="004B2349">
        <w:rPr>
          <w:rFonts w:ascii="Calibri" w:hAnsi="Calibri" w:cs="Times New Roman"/>
          <w:sz w:val="22"/>
          <w:lang w:val="en-GB"/>
        </w:rPr>
        <w:t>Adaptation to indirect effects poses difficult challenges to policy-making due to complex causal chains, and limited predictibility.</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&lt;EndNote&gt;&lt;Cite&gt;&lt;Author&gt;Lafferty&lt;/Author&gt;&lt;Year&gt;2009&lt;/Year&gt;&lt;RecNum&gt;1150&lt;/RecNum&gt;&lt;DisplayText&gt;&lt;style face="superscript"&gt;122&lt;/style&gt;&lt;/DisplayText&gt;&lt;record&gt;&lt;rec-number&gt;1150&lt;/rec-number&gt;&lt;foreign-keys&gt;&lt;key app="EN" db-id="wtftd20rmszxx0ettxy5exwdf90wv22s2dsf" timestamp="1419212983"&gt;1150&lt;/key&gt;&lt;/foreign-keys&gt;&lt;ref-type name="Journal Article"&gt;17&lt;/ref-type&gt;&lt;contributors&gt;&lt;authors&gt;&lt;author&gt;Lafferty, Kevin D.&lt;/author&gt;&lt;/authors&gt;&lt;/contributors&gt;&lt;titles&gt;&lt;title&gt;Calling for an ecological approach to studying climate change and infectious diseases&lt;/title&gt;&lt;secondary-title&gt;Ecology&lt;/secondary-title&gt;&lt;/titles&gt;&lt;periodical&gt;&lt;full-title&gt;Ecology&lt;/full-title&gt;&lt;/periodical&gt;&lt;pages&gt;932-933&lt;/pages&gt;&lt;volume&gt;90&lt;/volume&gt;&lt;number&gt;4&lt;/number&gt;&lt;dates&gt;&lt;year&gt;2009&lt;/year&gt;&lt;pub-dates&gt;&lt;date&gt;2009/04/01&lt;/date&gt;&lt;/pub-dates&gt;&lt;/dates&gt;&lt;publisher&gt;Ecological Society of America&lt;/publisher&gt;&lt;isbn&gt;0012-9658&lt;/isbn&gt;&lt;urls&gt;&lt;related-urls&gt;&lt;url&gt;http://dx.doi.org/10.1890/08-1767.1&lt;/url&gt;&lt;/related-urls&gt;&lt;/urls&gt;&lt;electronic-resource-num&gt;10.1890/08-1767.1&lt;/electronic-resource-num&gt;&lt;access-date&gt;2014/12/08&lt;/access-date&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122</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w:t>
      </w:r>
      <w:r w:rsidRPr="004008E1">
        <w:rPr>
          <w:rFonts w:ascii="Calibri" w:hAnsi="Calibri" w:cs="Times New Roman"/>
          <w:sz w:val="22"/>
          <w:lang w:val="en-GB"/>
        </w:rPr>
        <w:t xml:space="preserve">These complex interactions </w:t>
      </w:r>
      <w:r w:rsidRPr="00B50254">
        <w:rPr>
          <w:rFonts w:ascii="Calibri" w:hAnsi="Calibri" w:cs="Times New Roman"/>
          <w:sz w:val="22"/>
          <w:lang w:val="en-GB"/>
        </w:rPr>
        <w:t>can</w:t>
      </w:r>
      <w:r w:rsidRPr="004B2349">
        <w:rPr>
          <w:rFonts w:ascii="Calibri" w:hAnsi="Calibri" w:cs="Times New Roman"/>
          <w:sz w:val="22"/>
          <w:lang w:val="en-GB"/>
        </w:rPr>
        <w:t xml:space="preserve"> result in “surprises” - situations in which the behaviour in a system, or across systems, differs qualitatively from expectations or previous experiences. These indirect impacts pose serious obstacles for climate adaptation, especially where health responses require integrated and cross-sectoral interventions.</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&lt;EndNote&gt;&lt;Cite&gt;&lt;Author&gt;Zinsstag&lt;/Author&gt;&lt;Year&gt;2005&lt;/Year&gt;&lt;RecNum&gt;1215&lt;/RecNum&gt;&lt;DisplayText&gt;&lt;style face="superscript"&gt;123&lt;/style&gt;&lt;/DisplayText&gt;&lt;record&gt;&lt;rec-number&gt;1215&lt;/rec-number&gt;&lt;foreign-keys&gt;&lt;key app="EN" db-id="wtftd20rmszxx0ettxy5exwdf90wv22s2dsf" timestamp="1419212983"&gt;1215&lt;/key&gt;&lt;/foreign-keys&gt;&lt;ref-type name="Journal Article"&gt;17&lt;/ref-type&gt;&lt;contributors&gt;&lt;authors&gt;&lt;author&gt;Zinsstag, J.&lt;/author&gt;&lt;author&gt;Schelling, E.&lt;/author&gt;&lt;author&gt;Wyss, K.&lt;/author&gt;&lt;author&gt;Mahamat, M. B.&lt;/author&gt;&lt;/authors&gt;&lt;/contributors&gt;&lt;auth-address&gt;Department of Public Health and Epidemiology, Swiss Tropical Institute, Basel, Switzerland. jakob.zinsstag@unibas.ch&lt;/auth-address&gt;&lt;titles&gt;&lt;title&gt;Potential of cooperation between human and animal health to strengthen health systems&lt;/title&gt;&lt;secondary-title&gt;Lancet&lt;/secondary-title&gt;&lt;alt-title&gt;Lancet&lt;/alt-title&gt;&lt;/titles&gt;&lt;periodical&gt;&lt;full-title&gt;Lancet&lt;/full-title&gt;&lt;/periodical&gt;&lt;alt-periodical&gt;&lt;full-title&gt;Lancet&lt;/full-title&gt;&lt;/alt-periodical&gt;&lt;pages&gt;2142-5&lt;/pages&gt;&lt;volume&gt;366&lt;/volume&gt;&lt;number&gt;9503&lt;/number&gt;&lt;edition&gt;2005/12/20&lt;/edition&gt;&lt;keywords&gt;&lt;keyword&gt;Animals&lt;/keyword&gt;&lt;keyword&gt;*Ecosystem&lt;/keyword&gt;&lt;keyword&gt;Humans&lt;/keyword&gt;&lt;keyword&gt;*Public Health&lt;/keyword&gt;&lt;keyword&gt;*Veterinary Medicine&lt;/keyword&gt;&lt;keyword&gt;*Zoonoses&lt;/keyword&gt;&lt;/keywords&gt;&lt;dates&gt;&lt;year&gt;2005&lt;/year&gt;&lt;pub-dates&gt;&lt;date&gt;Dec 17&lt;/date&gt;&lt;/pub-dates&gt;&lt;/dates&gt;&lt;isbn&gt;0140-6736&lt;/isbn&gt;&lt;accession-num&gt;16360795&lt;/accession-num&gt;&lt;urls&gt;&lt;/urls&gt;&lt;electronic-resource-num&gt;10.1016/s0140-6736(05)67731-8&lt;/electronic-resource-num&gt;&lt;remote-database-provider&gt;NLM&lt;/remote-database-provider&gt;&lt;language&gt;eng&lt;/language&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123</w:t>
      </w:r>
      <w:r w:rsidR="00E13392" w:rsidRPr="00142ED0">
        <w:rPr>
          <w:rFonts w:ascii="Calibri" w:hAnsi="Calibri" w:cs="Times New Roman"/>
          <w:sz w:val="22"/>
          <w:lang w:val="en-GB"/>
        </w:rPr>
        <w:fldChar w:fldCharType="end"/>
      </w:r>
      <w:r w:rsidRPr="004008E1">
        <w:rPr>
          <w:rFonts w:ascii="Calibri" w:hAnsi="Calibri" w:cs="Times New Roman"/>
          <w:sz w:val="22"/>
          <w:lang w:val="en-GB"/>
        </w:rPr>
        <w:t xml:space="preserve"> </w:t>
      </w:r>
    </w:p>
    <w:p w:rsidR="00BE05D8" w:rsidRPr="004349AE" w:rsidRDefault="00BE05D8" w:rsidP="004349AE">
      <w:pPr>
        <w:jc w:val="both"/>
        <w:rPr>
          <w:rFonts w:ascii="Calibri" w:hAnsi="Calibri"/>
          <w:sz w:val="22"/>
          <w:lang w:val="en-GB"/>
        </w:rPr>
      </w:pPr>
    </w:p>
    <w:p w:rsidR="00BE05D8" w:rsidRPr="00A37EA9" w:rsidRDefault="00BE05D8" w:rsidP="00BE05D8">
      <w:pPr>
        <w:pStyle w:val="Heading3"/>
        <w:rPr>
          <w:lang w:val="en-GB"/>
        </w:rPr>
      </w:pPr>
      <w:bookmarkStart w:id="54" w:name="_Toc402956371"/>
      <w:bookmarkStart w:id="55" w:name="_Toc278446358"/>
      <w:bookmarkStart w:id="56" w:name="_Toc415931381"/>
      <w:bookmarkStart w:id="57" w:name="_Toc417502046"/>
      <w:r w:rsidRPr="00A37EA9">
        <w:rPr>
          <w:lang w:val="en-GB"/>
        </w:rPr>
        <w:t>Food Insecurity</w:t>
      </w:r>
      <w:bookmarkEnd w:id="54"/>
      <w:bookmarkEnd w:id="55"/>
      <w:bookmarkEnd w:id="56"/>
      <w:bookmarkEnd w:id="57"/>
    </w:p>
    <w:p w:rsidR="00B25E9E" w:rsidRPr="004B2349" w:rsidRDefault="00BE05D8" w:rsidP="00BE05D8">
      <w:pPr>
        <w:jc w:val="both"/>
        <w:rPr>
          <w:rFonts w:ascii="Calibri" w:hAnsi="Calibri" w:cs="Times New Roman"/>
          <w:sz w:val="22"/>
          <w:szCs w:val="22"/>
          <w:lang w:val="en-GB"/>
        </w:rPr>
      </w:pPr>
      <w:r w:rsidRPr="004008E1">
        <w:rPr>
          <w:rFonts w:ascii="Calibri" w:hAnsi="Calibri" w:cs="Times New Roman"/>
          <w:sz w:val="22"/>
          <w:szCs w:val="22"/>
          <w:lang w:val="en-GB"/>
        </w:rPr>
        <w:t xml:space="preserve">Food insecurity and its health impacts play out at the local level, </w:t>
      </w:r>
      <w:r w:rsidRPr="00B50254">
        <w:rPr>
          <w:rFonts w:ascii="Calibri" w:hAnsi="Calibri" w:cs="Times New Roman"/>
          <w:sz w:val="22"/>
          <w:szCs w:val="22"/>
          <w:lang w:val="en-GB"/>
        </w:rPr>
        <w:t>but have</w:t>
      </w:r>
      <w:r w:rsidRPr="004B2349">
        <w:rPr>
          <w:rFonts w:ascii="Calibri" w:hAnsi="Calibri" w:cs="Times New Roman"/>
          <w:sz w:val="22"/>
          <w:szCs w:val="22"/>
          <w:lang w:val="en-GB"/>
        </w:rPr>
        <w:t xml:space="preserve"> clear links to drivers and changes at the national and international level. The compounded impacts of climate change and ocean acidification will affect both agricultural production and fisheries, including food availability and prices.</w:t>
      </w:r>
      <w:r w:rsidR="00E13392" w:rsidRPr="00142ED0">
        <w:rPr>
          <w:rFonts w:ascii="Calibri" w:hAnsi="Calibri" w:cs="Times New Roman"/>
          <w:sz w:val="22"/>
          <w:szCs w:val="22"/>
          <w:lang w:val="en-GB"/>
        </w:rPr>
        <w:fldChar w:fldCharType="begin">
          <w:fldData xml:space="preserve">PEVuZE5vdGU+PENpdGU+PEF1dGhvcj5BbGxpc29uPC9BdXRob3I+PFllYXI+MjAwOTwvWWVhcj48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</w:fldData>
        </w:fldChar>
      </w:r>
      <w:r w:rsidR="00723833">
        <w:rPr>
          <w:rFonts w:ascii="Calibri" w:hAnsi="Calibri" w:cs="Times New Roman"/>
          <w:sz w:val="22"/>
          <w:szCs w:val="22"/>
          <w:lang w:val="en-GB"/>
        </w:rPr>
        <w:instrText xml:space="preserve"> ADDIN EN.CITE </w:instrText>
      </w:r>
      <w:r w:rsidR="00E13392">
        <w:rPr>
          <w:rFonts w:ascii="Calibri" w:hAnsi="Calibri" w:cs="Times New Roman"/>
          <w:sz w:val="22"/>
          <w:szCs w:val="22"/>
          <w:lang w:val="en-GB"/>
        </w:rPr>
        <w:fldChar w:fldCharType="begin">
          <w:fldData xml:space="preserve">PEVuZE5vdGU+PENpdGU+PEF1dGhvcj5BbGxpc29uPC9BdXRob3I+PFllYXI+MjAwOTwvWWVhcj48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</w:fldData>
        </w:fldChar>
      </w:r>
      <w:r w:rsidR="00723833">
        <w:rPr>
          <w:rFonts w:ascii="Calibri" w:hAnsi="Calibri" w:cs="Times New Roman"/>
          <w:sz w:val="22"/>
          <w:szCs w:val="22"/>
          <w:lang w:val="en-GB"/>
        </w:rPr>
        <w:instrText xml:space="preserve"> ADDIN EN.CITE.DATA </w:instrText>
      </w:r>
      <w:r w:rsidR="00E13392">
        <w:rPr>
          <w:rFonts w:ascii="Calibri" w:hAnsi="Calibri" w:cs="Times New Roman"/>
          <w:sz w:val="22"/>
          <w:szCs w:val="22"/>
          <w:lang w:val="en-GB"/>
        </w:rPr>
      </w:r>
      <w:r w:rsidR="00E13392">
        <w:rPr>
          <w:rFonts w:ascii="Calibri" w:hAnsi="Calibri" w:cs="Times New Roman"/>
          <w:sz w:val="22"/>
          <w:szCs w:val="22"/>
          <w:lang w:val="en-GB"/>
        </w:rPr>
        <w:fldChar w:fldCharType="end"/>
      </w:r>
      <w:r w:rsidR="00E13392" w:rsidRPr="00142ED0">
        <w:rPr>
          <w:rFonts w:ascii="Calibri" w:hAnsi="Calibri" w:cs="Times New Roman"/>
          <w:sz w:val="22"/>
          <w:szCs w:val="22"/>
          <w:lang w:val="en-GB"/>
        </w:rPr>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124-126</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w:t>
      </w:r>
      <w:r w:rsidRPr="004008E1">
        <w:rPr>
          <w:rFonts w:ascii="Calibri" w:hAnsi="Calibri" w:cs="Times New Roman"/>
          <w:sz w:val="22"/>
          <w:szCs w:val="22"/>
          <w:lang w:val="en-GB"/>
        </w:rPr>
        <w:t xml:space="preserve">Adaptation policies </w:t>
      </w:r>
      <w:r w:rsidRPr="00B50254">
        <w:rPr>
          <w:rFonts w:ascii="Calibri" w:hAnsi="Calibri" w:cs="Times New Roman"/>
          <w:sz w:val="22"/>
          <w:szCs w:val="22"/>
          <w:lang w:val="en-GB"/>
        </w:rPr>
        <w:t>should</w:t>
      </w:r>
      <w:r w:rsidRPr="004B2349">
        <w:rPr>
          <w:rFonts w:ascii="Calibri" w:hAnsi="Calibri" w:cs="Times New Roman"/>
          <w:sz w:val="22"/>
          <w:szCs w:val="22"/>
          <w:lang w:val="en-GB"/>
        </w:rPr>
        <w:t xml:space="preserve"> consider agro-food systems and fisheries and aquaculture alike.</w:t>
      </w:r>
    </w:p>
    <w:p w:rsidR="00FB601E" w:rsidRDefault="00FB601E" w:rsidP="00BE05D8">
      <w:pPr>
        <w:jc w:val="both"/>
        <w:rPr>
          <w:rFonts w:ascii="Calibri" w:hAnsi="Calibri" w:cs="Times New Roman"/>
          <w:sz w:val="22"/>
          <w:szCs w:val="22"/>
          <w:lang w:val="en-GB"/>
        </w:rPr>
      </w:pPr>
    </w:p>
    <w:tbl>
      <w:tblPr>
        <w:tblW w:w="0" w:type="auto"/>
        <w:shd w:val="clear" w:color="auto" w:fill="F2F2F2" w:themeFill="background1" w:themeFillShade="F2"/>
        <w:tblLook w:val="04A0" w:firstRow="1" w:lastRow="0" w:firstColumn="1" w:lastColumn="0" w:noHBand="0" w:noVBand="1"/>
      </w:tblPr>
      <w:tblGrid>
        <w:gridCol w:w="9241"/>
      </w:tblGrid>
      <w:tr w:rsidR="005C12E5" w:rsidRPr="004B2349" w:rsidTr="00FE56B7">
        <w:tc>
          <w:tcPr>
            <w:tcW w:w="9241" w:type="dxa"/>
            <w:shd w:val="clear" w:color="auto" w:fill="F2F2F2" w:themeFill="background1" w:themeFillShade="F2"/>
          </w:tcPr>
          <w:p w:rsidR="005C12E5" w:rsidRPr="004B2349" w:rsidRDefault="005C12E5" w:rsidP="00FE56B7">
            <w:pPr>
              <w:rPr>
                <w:rFonts w:ascii="Calibri" w:hAnsi="Calibri" w:cs="Times New Roman"/>
                <w:b/>
                <w:sz w:val="20"/>
                <w:lang w:val="en-GB"/>
              </w:rPr>
            </w:pPr>
          </w:p>
          <w:p w:rsidR="005C12E5" w:rsidRPr="004B2349" w:rsidRDefault="005C12E5" w:rsidP="00FE56B7">
            <w:pPr>
              <w:jc w:val="center"/>
              <w:rPr>
                <w:rFonts w:ascii="Calibri" w:hAnsi="Calibri" w:cs="Times New Roman"/>
                <w:b/>
                <w:sz w:val="20"/>
                <w:lang w:val="en-GB"/>
              </w:rPr>
            </w:pPr>
            <w:r>
              <w:rPr>
                <w:rFonts w:ascii="Calibri" w:hAnsi="Calibri" w:cs="Times New Roman"/>
                <w:b/>
                <w:sz w:val="20"/>
                <w:lang w:val="en-GB"/>
              </w:rPr>
              <w:t>Box 3</w:t>
            </w:r>
            <w:r w:rsidRPr="004B2349">
              <w:rPr>
                <w:rFonts w:ascii="Calibri" w:hAnsi="Calibri" w:cs="Times New Roman"/>
                <w:b/>
                <w:sz w:val="20"/>
                <w:lang w:val="en-GB"/>
              </w:rPr>
              <w:t>.3: Food security, climate change and human health</w:t>
            </w:r>
          </w:p>
          <w:p w:rsidR="005C12E5" w:rsidRPr="004B2349" w:rsidRDefault="005C12E5" w:rsidP="00FE56B7">
            <w:pPr>
              <w:rPr>
                <w:rFonts w:ascii="Calibri" w:hAnsi="Calibri"/>
                <w:lang w:val="en-GB"/>
              </w:rPr>
            </w:pPr>
          </w:p>
          <w:p w:rsidR="005C12E5" w:rsidRPr="00A37EA9" w:rsidRDefault="005C12E5" w:rsidP="00FE56B7">
            <w:pPr>
              <w:jc w:val="both"/>
              <w:rPr>
                <w:rFonts w:ascii="Calibri" w:hAnsi="Calibri" w:cs="Times New Roman"/>
                <w:sz w:val="20"/>
                <w:szCs w:val="20"/>
                <w:lang w:val="en-GB"/>
              </w:rPr>
            </w:pPr>
            <w:r w:rsidRPr="004B2349">
              <w:rPr>
                <w:rFonts w:ascii="Calibri" w:hAnsi="Calibri" w:cs="Times New Roman"/>
                <w:sz w:val="20"/>
                <w:szCs w:val="20"/>
                <w:lang w:val="en-GB"/>
              </w:rPr>
              <w:t>Today, agriculture uses 38% of all ice free land areas, and accounts for 70% of freshwater withdrawals and roughly a third of global greenhouse gas emissions.</w:t>
            </w:r>
            <w:r w:rsidR="00E13392" w:rsidRPr="00142ED0">
              <w:rPr>
                <w:rFonts w:ascii="Calibri" w:hAnsi="Calibri" w:cs="Times New Roman"/>
                <w:sz w:val="20"/>
                <w:szCs w:val="20"/>
                <w:lang w:val="en-GB"/>
              </w:rPr>
              <w:fldChar w:fldCharType="begin"/>
            </w:r>
            <w:r w:rsidR="00723833">
              <w:rPr>
                <w:rFonts w:ascii="Calibri" w:hAnsi="Calibri" w:cs="Times New Roman"/>
                <w:sz w:val="20"/>
                <w:szCs w:val="20"/>
                <w:lang w:val="en-GB"/>
              </w:rPr>
              <w:instrText xml:space="preserve"> ADDIN EN.CITE &lt;EndNote&gt;&lt;Cite&gt;&lt;Author&gt;Foley&lt;/Author&gt;&lt;Year&gt;2011&lt;/Year&gt;&lt;RecNum&gt;1113&lt;/RecNum&gt;&lt;DisplayText&gt;&lt;style face="superscript"&gt;127&lt;/style&gt;&lt;/DisplayText&gt;&lt;record&gt;&lt;rec-number&gt;1113&lt;/rec-number&gt;&lt;foreign-keys&gt;&lt;key app="EN" db-id="wtftd20rmszxx0ettxy5exwdf90wv22s2dsf" timestamp="1419212983"&gt;1113&lt;/key&gt;&lt;/foreign-keys&gt;&lt;ref-type name="Journal Article"&gt;17&lt;/ref-type&gt;&lt;contributors&gt;&lt;authors&gt;&lt;author&gt;Foley, Jonathan A.&lt;/author&gt;&lt;author&gt;Ramankutty, Navin&lt;/author&gt;&lt;author&gt;Brauman, Kate A.&lt;/author&gt;&lt;author&gt;Cassidy, Emily S.&lt;/author&gt;&lt;author&gt;Gerber, James S.&lt;/author&gt;&lt;author&gt;Johnston, Matt&lt;/author&gt;&lt;author&gt;Mueller, Nathaniel D.&lt;/author&gt;&lt;author&gt;O/&amp;apos;Connell, Christine&lt;/author&gt;&lt;author&gt;Ray, Deepak K.&lt;/author&gt;&lt;author&gt;West, Paul C.&lt;/author&gt;&lt;author&gt;Balzer, Christian&lt;/author&gt;&lt;author&gt;Bennett, Elena M.&lt;/author&gt;&lt;author&gt;Carpenter, Stephen R.&lt;/author&gt;&lt;author&gt;Hill, Jason&lt;/author&gt;&lt;author&gt;Monfreda, Chad&lt;/author&gt;&lt;author&gt;Polasky, Stephen&lt;/author&gt;&lt;author&gt;Rockstrom, Johan&lt;/author&gt;&lt;author&gt;Sheehan, John&lt;/author&gt;&lt;author&gt;Siebert, Stefan&lt;/author&gt;&lt;author&gt;Tilman, David&lt;/author&gt;&lt;author&gt;Zaks, David P. M.&lt;/author&gt;&lt;/authors&gt;&lt;/contributors&gt;&lt;titles&gt;&lt;title&gt;Solutions for a cultivated planet&lt;/title&gt;&lt;secondary-title&gt;Nature&lt;/secondary-title&gt;&lt;/titles&gt;&lt;periodical&gt;&lt;full-title&gt;Nature&lt;/full-title&gt;&lt;/periodical&gt;&lt;pages&gt;337-342&lt;/pages&gt;&lt;volume&gt;478&lt;/volume&gt;&lt;number&gt;7369&lt;/number&gt;&lt;dates&gt;&lt;year&gt;2011&lt;/year&gt;&lt;pub-dates&gt;&lt;date&gt;10/20/print&lt;/date&gt;&lt;/pub-dates&gt;&lt;/dates&gt;&lt;publisher&gt;Nature Publishing Group, a division of Macmillan Publishers Limited. All Rights Reserved.&lt;/publisher&gt;&lt;isbn&gt;0028-0836&lt;/isbn&gt;&lt;work-type&gt;10.1038/nature10452&lt;/work-type&gt;&lt;urls&gt;&lt;related-urls&gt;&lt;url&gt;http://dx.doi.org/10.1038/nature10452&lt;/url&gt;&lt;/related-urls&gt;&lt;/urls&gt;&lt;electronic-resource-num&gt;http://www.nature.com/nature/journal/v478/n7369/abs/nature10452.html#supplementary-information&lt;/electronic-resource-num&gt;&lt;/record&gt;&lt;/Cite&gt;&lt;/EndNote&gt;</w:instrText>
            </w:r>
            <w:r w:rsidR="00E13392" w:rsidRPr="00142ED0">
              <w:rPr>
                <w:rFonts w:ascii="Calibri" w:hAnsi="Calibri" w:cs="Times New Roman"/>
                <w:sz w:val="20"/>
                <w:szCs w:val="20"/>
                <w:lang w:val="en-GB"/>
              </w:rPr>
              <w:fldChar w:fldCharType="separate"/>
            </w:r>
            <w:r w:rsidR="00723833" w:rsidRPr="00723833">
              <w:rPr>
                <w:rFonts w:ascii="Calibri" w:hAnsi="Calibri" w:cs="Times New Roman"/>
                <w:noProof/>
                <w:sz w:val="20"/>
                <w:szCs w:val="20"/>
                <w:vertAlign w:val="superscript"/>
                <w:lang w:val="en-GB"/>
              </w:rPr>
              <w:t>127</w:t>
            </w:r>
            <w:r w:rsidR="00E13392" w:rsidRPr="00142ED0">
              <w:rPr>
                <w:rFonts w:ascii="Calibri" w:hAnsi="Calibri" w:cs="Times New Roman"/>
                <w:sz w:val="20"/>
                <w:szCs w:val="20"/>
                <w:lang w:val="en-GB"/>
              </w:rPr>
              <w:fldChar w:fldCharType="end"/>
            </w:r>
            <w:r w:rsidRPr="00A37EA9">
              <w:rPr>
                <w:rFonts w:ascii="Calibri" w:hAnsi="Calibri" w:cs="Times New Roman"/>
                <w:sz w:val="20"/>
                <w:szCs w:val="20"/>
                <w:lang w:val="en-GB"/>
              </w:rPr>
              <w:t xml:space="preserve"> </w:t>
            </w:r>
            <w:r w:rsidRPr="00B50254">
              <w:rPr>
                <w:rFonts w:ascii="Calibri" w:hAnsi="Calibri" w:cs="Times New Roman"/>
                <w:sz w:val="20"/>
                <w:szCs w:val="20"/>
                <w:lang w:val="en-GB"/>
              </w:rPr>
              <w:t>The provision for global food demand by 2050 cannot assum</w:t>
            </w:r>
            <w:r w:rsidRPr="004B2349">
              <w:rPr>
                <w:rFonts w:ascii="Calibri" w:hAnsi="Calibri" w:cs="Times New Roman"/>
                <w:sz w:val="20"/>
                <w:szCs w:val="20"/>
                <w:lang w:val="en-GB"/>
              </w:rPr>
              <w:t xml:space="preserve">e improved crop yields through sustainable agricultural intensification because of the negative effects on crop growth from an increased frequency of weather extremes. </w:t>
            </w:r>
            <w:r w:rsidRPr="00A37EA9">
              <w:rPr>
                <w:rFonts w:ascii="Calibri" w:hAnsi="Calibri" w:cs="Times New Roman"/>
                <w:sz w:val="20"/>
                <w:szCs w:val="20"/>
                <w:lang w:val="en-GB"/>
              </w:rPr>
              <w:t>Multifunctional food production systems will prove important in a warmer world. These systems are managed for benefits beyond yield, and provide multiple ecosystem services, support biodiversity, improve nutrition,</w:t>
            </w:r>
            <w:r w:rsidRPr="00142ED0">
              <w:rPr>
                <w:rFonts w:ascii="Calibri" w:hAnsi="Calibri" w:cs="Times New Roman"/>
                <w:sz w:val="20"/>
                <w:szCs w:val="20"/>
                <w:lang w:val="en-GB"/>
              </w:rPr>
              <w:t xml:space="preserve"> and can enhance resilience to shocks such as crop failure or pest outbreaks. </w:t>
            </w:r>
            <w:r w:rsidR="00E13392" w:rsidRPr="00142ED0">
              <w:rPr>
                <w:rFonts w:ascii="Calibri" w:hAnsi="Calibri" w:cs="Times New Roman"/>
                <w:sz w:val="20"/>
                <w:szCs w:val="20"/>
                <w:lang w:val="en-GB"/>
              </w:rPr>
              <w:fldChar w:fldCharType="begin"/>
            </w:r>
            <w:r w:rsidR="00723833">
              <w:rPr>
                <w:rFonts w:ascii="Calibri" w:hAnsi="Calibri" w:cs="Times New Roman"/>
                <w:sz w:val="20"/>
                <w:szCs w:val="20"/>
                <w:lang w:val="en-GB"/>
              </w:rPr>
              <w:instrText xml:space="preserve"> ADDIN EN.CITE &lt;EndNote&gt;&lt;Cite&gt;&lt;Author&gt;Bajželj&lt;/Author&gt;&lt;Year&gt;2014&lt;/Year&gt;&lt;RecNum&gt;1420&lt;/RecNum&gt;&lt;DisplayText&gt;&lt;style face="superscript"&gt;128,129&lt;/style&gt;&lt;/DisplayText&gt;&lt;record&gt;&lt;rec-number&gt;1420&lt;/rec-number&gt;&lt;foreign-keys&gt;&lt;key app="EN" db-id="wtftd20rmszxx0ettxy5exwdf90wv22s2dsf" timestamp="1419283670"&gt;1420&lt;/key&gt;&lt;/foreign-keys&gt;&lt;ref-type name="Journal Article"&gt;17&lt;/ref-type&gt;&lt;contributors&gt;&lt;authors&gt;&lt;author&gt;B Bajželj&lt;/author&gt;&lt;author&gt;K Richards&lt;/author&gt;&lt;author&gt;J Allwood&lt;/author&gt;&lt;author&gt;P Smith&lt;/author&gt;&lt;author&gt;JS Dennis&lt;/author&gt;&lt;author&gt;E Curmi&lt;/author&gt;&lt;author&gt;CA Gilligan&lt;/author&gt;&lt;/authors&gt;&lt;/contributors&gt;&lt;titles&gt;&lt;title&gt;Importance of food-demand management for climate mitigation&lt;/title&gt;&lt;secondary-title&gt;Nature Climate Change&lt;/secondary-title&gt;&lt;/titles&gt;&lt;periodical&gt;&lt;full-title&gt;Nature Climate Change&lt;/full-title&gt;&lt;/periodical&gt;&lt;pages&gt;924-9&lt;/pages&gt;&lt;volume&gt;4&lt;/volume&gt;&lt;dates&gt;&lt;year&gt;2014&lt;/year&gt;&lt;/dates&gt;&lt;urls&gt;&lt;/urls&gt;&lt;/record&gt;&lt;/Cite&gt;&lt;Cite&gt;&lt;Author&gt;United Nations Environment Programme&lt;/Author&gt;&lt;Year&gt;2012&lt;/Year&gt;&lt;RecNum&gt;1206&lt;/RecNum&gt;&lt;record&gt;&lt;rec-number&gt;1206&lt;/rec-number&gt;&lt;foreign-keys&gt;&lt;key app="EN" db-id="wtftd20rmszxx0ettxy5exwdf90wv22s2dsf" timestamp="1419212983"&gt;1206&lt;/key&gt;&lt;/foreign-keys&gt;&lt;ref-type name="Report"&gt;27&lt;/ref-type&gt;&lt;contributors&gt;&lt;authors&gt;&lt;author&gt;United Nations Environment Programme,&lt;/author&gt;&lt;/authors&gt;&lt;/contributors&gt;&lt;titles&gt;&lt;title&gt;Avoiding Future Famines: Strengthening the Ecological Foundation of Food Security through Sustainable Food Systems&lt;/title&gt;&lt;/titles&gt;&lt;dates&gt;&lt;year&gt;2012&lt;/year&gt;&lt;/dates&gt;&lt;pub-location&gt;Nairobi&lt;/pub-location&gt;&lt;urls&gt;&lt;/urls&gt;&lt;/record&gt;&lt;/Cite&gt;&lt;/EndNote&gt;</w:instrText>
            </w:r>
            <w:r w:rsidR="00E13392" w:rsidRPr="00142ED0">
              <w:rPr>
                <w:rFonts w:ascii="Calibri" w:hAnsi="Calibri" w:cs="Times New Roman"/>
                <w:sz w:val="20"/>
                <w:szCs w:val="20"/>
                <w:lang w:val="en-GB"/>
              </w:rPr>
              <w:fldChar w:fldCharType="separate"/>
            </w:r>
            <w:r w:rsidR="00723833" w:rsidRPr="00723833">
              <w:rPr>
                <w:rFonts w:ascii="Calibri" w:hAnsi="Calibri" w:cs="Times New Roman"/>
                <w:noProof/>
                <w:sz w:val="20"/>
                <w:szCs w:val="20"/>
                <w:vertAlign w:val="superscript"/>
                <w:lang w:val="en-GB"/>
              </w:rPr>
              <w:t>128,129</w:t>
            </w:r>
            <w:r w:rsidR="00E13392" w:rsidRPr="00142ED0">
              <w:rPr>
                <w:rFonts w:ascii="Calibri" w:hAnsi="Calibri" w:cs="Times New Roman"/>
                <w:sz w:val="20"/>
                <w:szCs w:val="20"/>
                <w:lang w:val="en-GB"/>
              </w:rPr>
              <w:fldChar w:fldCharType="end"/>
            </w:r>
          </w:p>
          <w:p w:rsidR="005C12E5" w:rsidRPr="00142ED0" w:rsidRDefault="005C12E5" w:rsidP="00FE56B7">
            <w:pPr>
              <w:rPr>
                <w:rFonts w:ascii="Calibri" w:hAnsi="Calibri" w:cs="Times New Roman"/>
                <w:sz w:val="20"/>
                <w:szCs w:val="20"/>
                <w:lang w:val="en-GB"/>
              </w:rPr>
            </w:pPr>
          </w:p>
        </w:tc>
      </w:tr>
    </w:tbl>
    <w:p w:rsidR="00FB601E" w:rsidRPr="004B2349" w:rsidRDefault="00FB601E" w:rsidP="004349AE">
      <w:pPr>
        <w:jc w:val="both"/>
        <w:rPr>
          <w:rFonts w:ascii="Calibri" w:hAnsi="Calibri" w:cs="Times New Roman"/>
          <w:sz w:val="22"/>
          <w:szCs w:val="22"/>
          <w:lang w:val="en-GB"/>
        </w:rPr>
      </w:pPr>
    </w:p>
    <w:p w:rsidR="00FB601E" w:rsidRPr="00142ED0" w:rsidRDefault="009F3C0D" w:rsidP="00FB601E">
      <w:pPr>
        <w:jc w:val="both"/>
        <w:rPr>
          <w:rFonts w:ascii="Calibri" w:hAnsi="Calibri" w:cs="Times New Roman"/>
          <w:b/>
          <w:sz w:val="22"/>
          <w:szCs w:val="22"/>
          <w:lang w:val="en-GB"/>
        </w:rPr>
      </w:pPr>
      <w:r w:rsidRPr="004B2349">
        <w:rPr>
          <w:rFonts w:ascii="Calibri" w:hAnsi="Calibri" w:cs="Times New Roman"/>
          <w:sz w:val="22"/>
          <w:szCs w:val="22"/>
          <w:lang w:val="en-GB"/>
        </w:rPr>
        <w:t xml:space="preserve">Resilience </w:t>
      </w:r>
      <w:r w:rsidR="00FB601E" w:rsidRPr="004B2349">
        <w:rPr>
          <w:rFonts w:ascii="Calibri" w:hAnsi="Calibri" w:cs="Times New Roman"/>
          <w:sz w:val="22"/>
          <w:szCs w:val="22"/>
          <w:lang w:val="en-GB"/>
        </w:rPr>
        <w:t>to increased food insecurity and price volatility is of great importance to human health. Food security could be enhanced while simultaneously ensuring the long-term ability of ecosystems to produce multiple benefit</w:t>
      </w:r>
      <w:r w:rsidR="00D036C9">
        <w:rPr>
          <w:rFonts w:ascii="Calibri" w:hAnsi="Calibri" w:cs="Times New Roman"/>
          <w:sz w:val="22"/>
          <w:szCs w:val="22"/>
          <w:lang w:val="en-GB"/>
        </w:rPr>
        <w:t>s for human wellbeing (see Box 3</w:t>
      </w:r>
      <w:r w:rsidR="00FB601E" w:rsidRPr="004B2349">
        <w:rPr>
          <w:rFonts w:ascii="Calibri" w:hAnsi="Calibri" w:cs="Times New Roman"/>
          <w:sz w:val="22"/>
          <w:szCs w:val="22"/>
          <w:lang w:val="en-GB"/>
        </w:rPr>
        <w:t>.3). Issues such as improved local ecosystem stewardship (see section on ecosystem-based adaptation), good governance, and international mechanisms to enhance food security in vulnerable regions, are of essence.</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&lt;EndNote&gt;&lt;Cite&gt;&lt;Author&gt;Food and Agricultural Organization&lt;/Author&gt;&lt;Year&gt;2011&lt;/Year&gt;&lt;RecNum&gt;1111&lt;/RecNum&gt;&lt;DisplayText&gt;&lt;style face="superscript"&gt;130,131&lt;/style&gt;&lt;/DisplayText&gt;&lt;record&gt;&lt;rec-number&gt;1111&lt;/rec-number&gt;&lt;foreign-keys&gt;&lt;key app="EN" db-id="wtftd20rmszxx0ettxy5exwdf90wv22s2dsf" timestamp="1419212983"&gt;1111&lt;/key&gt;&lt;/foreign-keys&gt;&lt;ref-type name="Report"&gt;27&lt;/ref-type&gt;&lt;contributors&gt;&lt;authors&gt;&lt;author&gt;Food and Agricultural Organization,&lt;/author&gt;&lt;author&gt;International Fund for Agricultural Development,&lt;/author&gt;&lt;author&gt;World Food Programme,&lt;/author&gt;&lt;/authors&gt;&lt;/contributors&gt;&lt;titles&gt;&lt;title&gt;The State of Food Insecurity in the World: How does international price volatility affect domestic economies and food security?&lt;/title&gt;&lt;/titles&gt;&lt;dates&gt;&lt;year&gt;2011&lt;/year&gt;&lt;/dates&gt;&lt;pub-location&gt;Rome&lt;/pub-location&gt;&lt;urls&gt;&lt;/urls&gt;&lt;/record&gt;&lt;/Cite&gt;&lt;Cite&gt;&lt;Author&gt;Food and Agricultural Organization&lt;/Author&gt;&lt;Year&gt;2011&lt;/Year&gt;&lt;RecNum&gt;1112&lt;/RecNum&gt;&lt;record&gt;&lt;rec-number&gt;1112&lt;/rec-number&gt;&lt;foreign-keys&gt;&lt;key app="EN" db-id="wtftd20rmszxx0ettxy5exwdf90wv22s2dsf" timestamp="1419212983"&gt;1112&lt;/key&gt;&lt;/foreign-keys&gt;&lt;ref-type name="Report"&gt;27&lt;/ref-type&gt;&lt;contributors&gt;&lt;authors&gt;&lt;author&gt;Food and Agricultural Organization,&lt;/author&gt;&lt;author&gt;Organization for Economic Cooperation and Development,&lt;/author&gt;&lt;/authors&gt;&lt;/contributors&gt;&lt;titles&gt;&lt;title&gt;Price Volatility in Food and Agricultural Markets: Policy Responses&lt;/title&gt;&lt;/titles&gt;&lt;dates&gt;&lt;year&gt;2011&lt;/year&gt;&lt;/dates&gt;&lt;pub-location&gt;Rome&lt;/pub-location&gt;&lt;urls&gt;&lt;/urls&gt;&lt;/record&gt;&lt;/Cite&gt;&lt;/EndNote&gt;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130,131</w:t>
      </w:r>
      <w:r w:rsidR="00E13392" w:rsidRPr="00142ED0">
        <w:rPr>
          <w:rFonts w:ascii="Calibri" w:hAnsi="Calibri" w:cs="Times New Roman"/>
          <w:sz w:val="22"/>
          <w:szCs w:val="22"/>
          <w:lang w:val="en-GB"/>
        </w:rPr>
        <w:fldChar w:fldCharType="end"/>
      </w:r>
      <w:r w:rsidR="00FB601E" w:rsidRPr="00A37EA9">
        <w:rPr>
          <w:rFonts w:ascii="Calibri" w:hAnsi="Calibri" w:cs="Times New Roman"/>
          <w:sz w:val="22"/>
          <w:szCs w:val="22"/>
          <w:lang w:val="en-GB"/>
        </w:rPr>
        <w:t xml:space="preserve"> Even though the drivers of increased food prices and price volatilities are contested</w:t>
      </w:r>
      <w:r w:rsidRPr="00142ED0">
        <w:rPr>
          <w:rFonts w:ascii="Calibri" w:hAnsi="Calibri" w:cs="Times New Roman"/>
          <w:sz w:val="22"/>
          <w:szCs w:val="22"/>
          <w:lang w:val="en-GB"/>
        </w:rPr>
        <w:t>,</w:t>
      </w:r>
      <w:r w:rsidR="00DF7E8B" w:rsidRPr="004008E1">
        <w:rPr>
          <w:rFonts w:ascii="Calibri" w:hAnsi="Calibri" w:cs="Times New Roman"/>
          <w:sz w:val="22"/>
          <w:szCs w:val="22"/>
          <w:lang w:val="en-GB"/>
        </w:rPr>
        <w:t xml:space="preserve"> invest</w:t>
      </w:r>
      <w:r w:rsidRPr="004008E1">
        <w:rPr>
          <w:rFonts w:ascii="Calibri" w:hAnsi="Calibri" w:cs="Times New Roman"/>
          <w:sz w:val="22"/>
          <w:szCs w:val="22"/>
          <w:lang w:val="en-GB"/>
        </w:rPr>
        <w:t>ment</w:t>
      </w:r>
      <w:r w:rsidR="00DF7E8B" w:rsidRPr="00B50254">
        <w:rPr>
          <w:rFonts w:ascii="Calibri" w:hAnsi="Calibri" w:cs="Times New Roman"/>
          <w:sz w:val="22"/>
          <w:szCs w:val="22"/>
          <w:lang w:val="en-GB"/>
        </w:rPr>
        <w:t xml:space="preserve"> in improved food security could provide multiple co-benefits and no-regret options</w:t>
      </w:r>
      <w:r w:rsidR="00DF7E8B" w:rsidRPr="004B2349">
        <w:rPr>
          <w:rFonts w:ascii="Calibri" w:hAnsi="Calibri" w:cs="Times New Roman"/>
          <w:sz w:val="22"/>
          <w:szCs w:val="22"/>
          <w:lang w:val="en-GB"/>
        </w:rPr>
        <w:t>.</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&lt;EndNote&gt;&lt;Cite&gt;&lt;Author&gt;Gilbert&lt;/Author&gt;&lt;Year&gt;2010&lt;/Year&gt;&lt;RecNum&gt;1125&lt;/RecNum&gt;&lt;DisplayText&gt;&lt;style face="superscript"&gt;132,133&lt;/style&gt;&lt;/DisplayText&gt;&lt;record&gt;&lt;rec-number&gt;1125&lt;/rec-number&gt;&lt;foreign-keys&gt;&lt;key app="EN" db-id="wtftd20rmszxx0ettxy5exwdf90wv22s2dsf" timestamp="1419212983"&gt;1125&lt;/key&gt;&lt;/foreign-keys&gt;&lt;ref-type name="Journal Article"&gt;17&lt;/ref-type&gt;&lt;contributors&gt;&lt;authors&gt;&lt;author&gt;Gilbert, C. L.&lt;/author&gt;&lt;author&gt;Morgan, C. W.&lt;/author&gt;&lt;/authors&gt;&lt;/contributors&gt;&lt;titles&gt;&lt;title&gt;Food price volatility&lt;/title&gt;&lt;secondary-title&gt;Philosophical Transactions of the Royal Society B: Biological Sciences&lt;/secondary-title&gt;&lt;/titles&gt;&lt;periodical&gt;&lt;full-title&gt;Philosophical Transactions of the Royal Society B: Biological Sciences&lt;/full-title&gt;&lt;/periodical&gt;&lt;pages&gt;3023-3034&lt;/pages&gt;&lt;volume&gt;365&lt;/volume&gt;&lt;number&gt;1554&lt;/number&gt;&lt;dates&gt;&lt;year&gt;2010&lt;/year&gt;&lt;/dates&gt;&lt;publisher&gt;The Royal Society&lt;/publisher&gt;&lt;isbn&gt;0962-8436&amp;#xD;1471-2970&lt;/isbn&gt;&lt;accession-num&gt;PMC2935118&lt;/accession-num&gt;&lt;urls&gt;&lt;related-urls&gt;&lt;url&gt;http://www.ncbi.nlm.nih.gov/pmc/articles/PMC2935118/&lt;/url&gt;&lt;/related-urls&gt;&lt;/urls&gt;&lt;electronic-resource-num&gt;10.1098/rstb.2010.0139&lt;/electronic-resource-num&gt;&lt;remote-database-name&gt;PMC&lt;/remote-database-name&gt;&lt;/record&gt;&lt;/Cite&gt;&lt;Cite&gt;&lt;Author&gt;UN Conference on Trade and Development&lt;/Author&gt;&lt;Year&gt;2013&lt;/Year&gt;&lt;RecNum&gt;982&lt;/RecNum&gt;&lt;record&gt;&lt;rec-number&gt;982&lt;/rec-number&gt;&lt;foreign-keys&gt;&lt;key app="EN" db-id="wtftd20rmszxx0ettxy5exwdf90wv22s2dsf" timestamp="1419212983"&gt;982&lt;/key&gt;&lt;/foreign-keys&gt;&lt;ref-type name="Report"&gt;27&lt;/ref-type&gt;&lt;contributors&gt;&lt;authors&gt;&lt;author&gt;UN Conference on Trade and Development,&lt;/author&gt;&lt;/authors&gt;&lt;/contributors&gt;&lt;titles&gt;&lt;title&gt;Promoting Low-Carbon Investment&lt;/title&gt;&lt;/titles&gt;&lt;dates&gt;&lt;year&gt;2013&lt;/year&gt;&lt;/dates&gt;&lt;pub-location&gt;New York and Geneva&lt;/pub-location&gt;&lt;urls&gt;&lt;/urls&gt;&lt;/record&gt;&lt;/Cite&gt;&lt;/EndNote&gt;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132,133</w:t>
      </w:r>
      <w:r w:rsidR="00E13392" w:rsidRPr="00142ED0">
        <w:rPr>
          <w:rFonts w:ascii="Calibri" w:hAnsi="Calibri" w:cs="Times New Roman"/>
          <w:sz w:val="22"/>
          <w:szCs w:val="22"/>
          <w:lang w:val="en-GB"/>
        </w:rPr>
        <w:fldChar w:fldCharType="end"/>
      </w:r>
      <w:r w:rsidR="00FB601E" w:rsidRPr="00A37EA9">
        <w:rPr>
          <w:rFonts w:ascii="Calibri" w:hAnsi="Calibri" w:cs="Times New Roman"/>
          <w:sz w:val="22"/>
          <w:szCs w:val="22"/>
          <w:lang w:val="en-GB"/>
        </w:rPr>
        <w:t xml:space="preserve"> </w:t>
      </w:r>
    </w:p>
    <w:p w:rsidR="00FB601E" w:rsidRPr="004008E1" w:rsidRDefault="00FB601E" w:rsidP="00FB601E">
      <w:pPr>
        <w:jc w:val="both"/>
        <w:rPr>
          <w:rFonts w:ascii="Calibri" w:hAnsi="Calibri" w:cs="Times New Roman"/>
          <w:b/>
          <w:sz w:val="22"/>
          <w:szCs w:val="22"/>
          <w:lang w:val="en-GB"/>
        </w:rPr>
      </w:pPr>
    </w:p>
    <w:p w:rsidR="00FB601E" w:rsidRPr="004349AE" w:rsidRDefault="00FB601E" w:rsidP="00FB601E">
      <w:pPr>
        <w:pStyle w:val="Heading4"/>
        <w:rPr>
          <w:rStyle w:val="SubtleEmphasis"/>
          <w:i/>
          <w:lang w:val="en-GB"/>
        </w:rPr>
      </w:pPr>
      <w:r w:rsidRPr="004349AE">
        <w:rPr>
          <w:rStyle w:val="SubtleEmphasis"/>
          <w:i/>
          <w:lang w:val="en-GB"/>
        </w:rPr>
        <w:t>Important adaptation options for food security action include:</w:t>
      </w:r>
    </w:p>
    <w:p w:rsidR="00FB601E" w:rsidRPr="00A37EA9" w:rsidRDefault="00FB601E" w:rsidP="00FB601E">
      <w:pPr>
        <w:spacing w:after="120"/>
        <w:jc w:val="both"/>
        <w:rPr>
          <w:rFonts w:ascii="Calibri" w:hAnsi="Calibri"/>
          <w:lang w:val="en-GB"/>
        </w:rPr>
      </w:pPr>
      <w:r w:rsidRPr="00A37EA9">
        <w:rPr>
          <w:rFonts w:ascii="Calibri" w:hAnsi="Calibri" w:cs="Times New Roman"/>
          <w:i/>
          <w:sz w:val="22"/>
          <w:szCs w:val="22"/>
          <w:lang w:val="en-GB"/>
        </w:rPr>
        <w:t xml:space="preserve">1. Enhance food security through improved ecosystem based management and ecosystem restoration. </w:t>
      </w:r>
      <w:r w:rsidRPr="00142ED0">
        <w:rPr>
          <w:rFonts w:ascii="Calibri" w:hAnsi="Calibri" w:cs="Times New Roman"/>
          <w:sz w:val="22"/>
          <w:szCs w:val="22"/>
          <w:lang w:val="en-GB"/>
        </w:rPr>
        <w:t>Case studies show the benefits of implementing strategies to improve ecosystem management as a means to increase not only food security, but</w:t>
      </w:r>
      <w:r w:rsidRPr="004008E1">
        <w:rPr>
          <w:rFonts w:ascii="Calibri" w:hAnsi="Calibri" w:cs="Times New Roman"/>
          <w:sz w:val="22"/>
          <w:szCs w:val="22"/>
          <w:lang w:val="en-GB"/>
        </w:rPr>
        <w:t xml:space="preserve"> also to achieve other social goals. Examples include</w:t>
      </w:r>
      <w:r w:rsidRPr="004B2349">
        <w:rPr>
          <w:rFonts w:ascii="Calibri" w:hAnsi="Calibri" w:cs="Times New Roman"/>
          <w:sz w:val="22"/>
          <w:szCs w:val="22"/>
          <w:lang w:val="en-GB"/>
        </w:rPr>
        <w:t xml:space="preserve"> collaborative management of mangrove forests to promote conservation, mitigate climate change and alleviate poverty among people dependent on the mangroves and adjacent marine ecosystems.</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&lt;EndNote&gt;&lt;Cite&gt;&lt;Author&gt;Dulvy&lt;/Author&gt;&lt;Year&gt;2009&lt;/Year&gt;&lt;RecNum&gt;1104&lt;/RecNum&gt;&lt;DisplayText&gt;&lt;style face="superscript"&gt;125&lt;/style&gt;&lt;/DisplayText&gt;&lt;record&gt;&lt;rec-number&gt;1104&lt;/rec-number&gt;&lt;foreign-keys&gt;&lt;key app="EN" db-id="wtftd20rmszxx0ettxy5exwdf90wv22s2dsf" timestamp="1419212983"&gt;1104&lt;/key&gt;&lt;/foreign-keys&gt;&lt;ref-type name="Journal Article"&gt;17&lt;/ref-type&gt;&lt;contributors&gt;&lt;authors&gt;&lt;author&gt;Dulvy, Nicholas&lt;/author&gt;&lt;author&gt;E Allison&lt;/author&gt;&lt;/authors&gt;&lt;/contributors&gt;&lt;titles&gt;&lt;title&gt;A place at the table?&lt;/title&gt;&lt;secondary-title&gt;Nature Reports Climate Change&lt;/secondary-title&gt;&lt;/titles&gt;&lt;periodical&gt;&lt;full-title&gt;Nature Reports Climate Change&lt;/full-title&gt;&lt;/periodical&gt;&lt;pages&gt;68-70&lt;/pages&gt;&lt;dates&gt;&lt;year&gt;2009&lt;/year&gt;&lt;pub-dates&gt;&lt;date&gt;06//print&lt;/date&gt;&lt;/pub-dates&gt;&lt;/dates&gt;&lt;work-type&gt;10.1038/climate.2009.52&lt;/work-type&gt;&lt;urls&gt;&lt;related-urls&gt;&lt;url&gt;http://dx.doi.org/10.1038/climate.2009.52&lt;/url&gt;&lt;/related-urls&gt;&lt;/urls&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125</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Such strategies </w:t>
      </w:r>
      <w:r w:rsidRPr="004008E1">
        <w:rPr>
          <w:rFonts w:ascii="Calibri" w:hAnsi="Calibri" w:cs="Times New Roman"/>
          <w:sz w:val="22"/>
          <w:szCs w:val="22"/>
          <w:lang w:val="en-GB"/>
        </w:rPr>
        <w:t xml:space="preserve">require </w:t>
      </w:r>
      <w:r w:rsidRPr="00B50254">
        <w:rPr>
          <w:rFonts w:ascii="Calibri" w:hAnsi="Calibri" w:cs="Times New Roman"/>
          <w:sz w:val="22"/>
          <w:szCs w:val="22"/>
          <w:lang w:val="en-GB"/>
        </w:rPr>
        <w:t>supporti</w:t>
      </w:r>
      <w:r w:rsidR="009F3C0D" w:rsidRPr="00B50254">
        <w:rPr>
          <w:rFonts w:ascii="Calibri" w:hAnsi="Calibri" w:cs="Times New Roman"/>
          <w:sz w:val="22"/>
          <w:szCs w:val="22"/>
          <w:lang w:val="en-GB"/>
        </w:rPr>
        <w:t>ve</w:t>
      </w:r>
      <w:r w:rsidRPr="004B2349">
        <w:rPr>
          <w:rFonts w:ascii="Calibri" w:hAnsi="Calibri" w:cs="Times New Roman"/>
          <w:sz w:val="22"/>
          <w:szCs w:val="22"/>
          <w:lang w:val="en-GB"/>
        </w:rPr>
        <w:t xml:space="preserve"> </w:t>
      </w:r>
      <w:r w:rsidR="009F3C0D" w:rsidRPr="004B2349">
        <w:rPr>
          <w:rFonts w:ascii="Calibri" w:hAnsi="Calibri" w:cs="Times New Roman"/>
          <w:sz w:val="22"/>
          <w:szCs w:val="22"/>
          <w:lang w:val="en-GB"/>
        </w:rPr>
        <w:t>institutions</w:t>
      </w:r>
      <w:r w:rsidRPr="004B2349">
        <w:rPr>
          <w:rFonts w:ascii="Calibri" w:hAnsi="Calibri" w:cs="Times New Roman"/>
          <w:sz w:val="22"/>
          <w:szCs w:val="22"/>
          <w:lang w:val="en-GB"/>
        </w:rPr>
        <w:t>, partnerships, collaboration with farmers’ innovation networks</w:t>
      </w:r>
      <w:r w:rsidR="009F3C0D" w:rsidRPr="004B2349">
        <w:rPr>
          <w:rFonts w:ascii="Calibri" w:hAnsi="Calibri" w:cs="Times New Roman"/>
          <w:sz w:val="22"/>
          <w:szCs w:val="22"/>
          <w:lang w:val="en-GB"/>
        </w:rPr>
        <w:t>, and connections from</w:t>
      </w:r>
      <w:r w:rsidRPr="004B2349">
        <w:rPr>
          <w:rFonts w:ascii="Calibri" w:hAnsi="Calibri" w:cs="Times New Roman"/>
          <w:sz w:val="22"/>
          <w:szCs w:val="22"/>
          <w:lang w:val="en-GB"/>
        </w:rPr>
        <w:t xml:space="preserve"> sustainable farms to markets.</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&lt;EndNote&gt;&lt;Cite&gt;&lt;Author&gt;Food and Agricultural Organization&lt;/Author&gt;&lt;Year&gt;2011&lt;/Year&gt;&lt;RecNum&gt;1112&lt;/RecNum&gt;&lt;DisplayText&gt;&lt;style face="superscript"&gt;129,131&lt;/style&gt;&lt;/DisplayText&gt;&lt;record&gt;&lt;rec-number&gt;1112&lt;/rec-number&gt;&lt;foreign-keys&gt;&lt;key app="EN" db-id="wtftd20rmszxx0ettxy5exwdf90wv22s2dsf" timestamp="1419212983"&gt;1112&lt;/key&gt;&lt;/foreign-keys&gt;&lt;ref-type name="Report"&gt;27&lt;/ref-type&gt;&lt;contributors&gt;&lt;authors&gt;&lt;author&gt;Food and Agricultural Organization,&lt;/author&gt;&lt;author&gt;Organization for Economic Cooperation and Development,&lt;/author&gt;&lt;/authors&gt;&lt;/contributors&gt;&lt;titles&gt;&lt;title&gt;Price Volatility in Food and Agricultural Markets: Policy Responses&lt;/title&gt;&lt;/titles&gt;&lt;dates&gt;&lt;year&gt;2011&lt;/year&gt;&lt;/dates&gt;&lt;pub-location&gt;Rome&lt;/pub-location&gt;&lt;urls&gt;&lt;/urls&gt;&lt;/record&gt;&lt;/Cite&gt;&lt;Cite&gt;&lt;Author&gt;United Nations Environment Programme&lt;/Author&gt;&lt;Year&gt;2012&lt;/Year&gt;&lt;RecNum&gt;1206&lt;/RecNum&gt;&lt;record&gt;&lt;rec-number&gt;1206&lt;/rec-number&gt;&lt;foreign-keys&gt;&lt;key app="EN" db-id="wtftd20rmszxx0ettxy5exwdf90wv22s2dsf" timestamp="1419212983"&gt;1206&lt;/key&gt;&lt;/foreign-keys&gt;&lt;ref-type name="Report"&gt;27&lt;/ref-type&gt;&lt;contributors&gt;&lt;authors&gt;&lt;author&gt;United Nations Environment Programme,&lt;/author&gt;&lt;/authors&gt;&lt;/contributors&gt;&lt;titles&gt;&lt;title&gt;Avoiding Future Famines: Strengthening the Ecological Foundation of Food Security through Sustainable Food Systems&lt;/title&gt;&lt;/titles&gt;&lt;dates&gt;&lt;year&gt;2012&lt;/year&gt;&lt;/dates&gt;&lt;pub-location&gt;Nairobi&lt;/pub-location&gt;&lt;urls&gt;&lt;/urls&gt;&lt;/record&gt;&lt;/Cite&gt;&lt;/EndNote&gt;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129,131</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Similar strategies have recently been explored for fisheries and aquaculture</w:t>
      </w:r>
      <w:r w:rsidRPr="004008E1">
        <w:rPr>
          <w:rFonts w:ascii="Calibri" w:hAnsi="Calibri" w:cs="Times New Roman"/>
          <w:sz w:val="22"/>
          <w:szCs w:val="22"/>
          <w:lang w:val="en-GB"/>
        </w:rPr>
        <w:t>.</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&lt;EndNote&gt;&lt;Cite&gt;&lt;Author&gt;Cochrane&lt;/Author&gt;&lt;Year&gt;2009&lt;/Year&gt;&lt;RecNum&gt;1096&lt;/RecNum&gt;&lt;DisplayText&gt;&lt;style face="superscript"&gt;134&lt;/style&gt;&lt;/DisplayText&gt;&lt;record&gt;&lt;rec-number&gt;1096&lt;/rec-number&gt;&lt;foreign-keys&gt;&lt;key app="EN" db-id="wtftd20rmszxx0ettxy5exwdf90wv22s2dsf" timestamp="1419212983"&gt;1096&lt;/key&gt;&lt;/foreign-keys&gt;&lt;ref-type name="Report"&gt;27&lt;/ref-type&gt;&lt;contributors&gt;&lt;authors&gt;&lt;author&gt;Cochrane, K.&lt;/author&gt;&lt;author&gt;Young, C. &lt;/author&gt;&lt;author&gt;De Soto, D. &lt;/author&gt;&lt;author&gt;Bahri, T.&lt;/author&gt;&lt;/authors&gt;&lt;/contributors&gt;&lt;titles&gt;&lt;title&gt;Climate change implications for fisheries and aquaculture - overview of current scientific knowledge&lt;/title&gt;&lt;/titles&gt;&lt;dates&gt;&lt;year&gt;2009&lt;/year&gt;&lt;/dates&gt;&lt;pub-location&gt;Rome&lt;/pub-location&gt;&lt;publisher&gt;Food and Agricultural Organization&lt;/publisher&gt;&lt;urls&gt;&lt;/urls&gt;&lt;/record&gt;&lt;/Cite&gt;&lt;/EndNote&gt;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134</w:t>
      </w:r>
      <w:r w:rsidR="00E13392" w:rsidRPr="00142ED0">
        <w:rPr>
          <w:rFonts w:ascii="Calibri" w:hAnsi="Calibri" w:cs="Times New Roman"/>
          <w:sz w:val="22"/>
          <w:szCs w:val="22"/>
          <w:lang w:val="en-GB"/>
        </w:rPr>
        <w:fldChar w:fldCharType="end"/>
      </w:r>
    </w:p>
    <w:p w:rsidR="00FB601E" w:rsidRPr="00A37EA9" w:rsidRDefault="00FB601E" w:rsidP="00FB601E">
      <w:pPr>
        <w:spacing w:after="120"/>
        <w:jc w:val="both"/>
        <w:rPr>
          <w:rFonts w:ascii="Calibri" w:hAnsi="Calibri"/>
          <w:lang w:val="en-GB"/>
        </w:rPr>
      </w:pPr>
      <w:r w:rsidRPr="00142ED0">
        <w:rPr>
          <w:rFonts w:ascii="Calibri" w:hAnsi="Calibri" w:cs="Times New Roman"/>
          <w:i/>
          <w:sz w:val="22"/>
          <w:lang w:val="en-GB"/>
        </w:rPr>
        <w:t>2. Increased investments in agricultural research</w:t>
      </w:r>
      <w:r w:rsidRPr="00B50254">
        <w:rPr>
          <w:rFonts w:ascii="Calibri" w:hAnsi="Calibri" w:cs="Times New Roman"/>
          <w:i/>
          <w:sz w:val="22"/>
          <w:lang w:val="en-GB"/>
        </w:rPr>
        <w:t xml:space="preserve"> and human capital </w:t>
      </w:r>
      <w:r w:rsidRPr="00B50254">
        <w:rPr>
          <w:rFonts w:ascii="Calibri" w:hAnsi="Calibri" w:cs="Times New Roman"/>
          <w:sz w:val="22"/>
          <w:lang w:val="en-GB"/>
        </w:rPr>
        <w:t>a</w:t>
      </w:r>
      <w:r w:rsidRPr="004B2349">
        <w:rPr>
          <w:rFonts w:ascii="Calibri" w:hAnsi="Calibri" w:cs="Times New Roman"/>
          <w:sz w:val="22"/>
          <w:lang w:val="en-GB"/>
        </w:rPr>
        <w:t>re often raised as an important strategy to improve yields and long-term food security.</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&lt;EndNote&gt;&lt;Cite&gt;&lt;Author&gt;Food and Agricultural Organization&lt;/Author&gt;&lt;Year&gt;2011&lt;/Year&gt;&lt;RecNum&gt;1112&lt;/RecNum&gt;&lt;DisplayText&gt;&lt;style face="superscript"&gt;131&lt;/style&gt;&lt;/DisplayText&gt;&lt;record&gt;&lt;rec-number&gt;1112&lt;/rec-number&gt;&lt;foreign-keys&gt;&lt;key app="EN" db-id="wtftd20rmszxx0ettxy5exwdf90wv22s2dsf" timestamp="1419212983"&gt;1112&lt;/key&gt;&lt;/foreign-keys&gt;&lt;ref-type name="Report"&gt;27&lt;/ref-type&gt;&lt;contributors&gt;&lt;authors&gt;&lt;author&gt;Food and Agricultural Organization,&lt;/author&gt;&lt;author&gt;Organization for Economic Cooperation and Development,&lt;/author&gt;&lt;/authors&gt;&lt;/contributors&gt;&lt;titles&gt;&lt;title&gt;Price Volatility in Food and Agricultural Markets: Policy Responses&lt;/title&gt;&lt;/titles&gt;&lt;dates&gt;&lt;year&gt;2011&lt;/year&gt;&lt;/dates&gt;&lt;pub-location&gt;Rome&lt;/pub-location&gt;&lt;urls&gt;&lt;/urls&gt;&lt;/record&gt;&lt;/Cite&gt;&lt;/EndNote&gt;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131</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Agricultural research and development (R&amp;D</w:t>
      </w:r>
      <w:r w:rsidRPr="004008E1">
        <w:rPr>
          <w:rFonts w:ascii="Calibri" w:hAnsi="Calibri" w:cs="Times New Roman"/>
          <w:sz w:val="22"/>
          <w:lang w:val="en-GB"/>
        </w:rPr>
        <w:t>) has proven to have high economic rates of return.</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&lt;EndNote&gt;&lt;Cite&gt;&lt;Author&gt;Alston&lt;/Author&gt;&lt;Year&gt;2000&lt;/Year&gt;&lt;RecNum&gt;1079&lt;/RecNum&gt;&lt;DisplayText&gt;&lt;style face="superscript"&gt;135&lt;/style&gt;&lt;/DisplayText&gt;&lt;record&gt;&lt;rec-number&gt;1079&lt;/rec-number&gt;&lt;foreign-keys&gt;&lt;key app="EN" db-id="wtftd20rmszxx0ettxy5exwdf90wv22s2dsf" timestamp="1419212983"&gt;1079&lt;/key&gt;&lt;/foreign-keys&gt;&lt;ref-type name="Journal Article"&gt;17&lt;/ref-type&gt;&lt;contributors&gt;&lt;authors&gt;&lt;author&gt;Alston, JM. &lt;/author&gt;&lt;author&gt;Marra,MC. &lt;/author&gt;&lt;author&gt;Pardey, PG. &lt;/author&gt;&lt;author&gt;Wyatt, TJ.&lt;/author&gt;&lt;/authors&gt;&lt;/contributors&gt;&lt;titles&gt;&lt;title&gt;Research returns redux: a meta-analysis of the returns to agricultural R&amp;amp;D&lt;/title&gt;&lt;secondary-title&gt;The Australian Journal of Agricultural and Resource Economics&lt;/secondary-title&gt;&lt;/titles&gt;&lt;periodical&gt;&lt;full-title&gt;The Australian Journal of Agricultural and Resource Economics&lt;/full-title&gt;&lt;/periodical&gt;&lt;pages&gt;185-215&lt;/pages&gt;&lt;volume&gt;44&lt;/volume&gt;&lt;number&gt;2&lt;/number&gt;&lt;dates&gt;&lt;year&gt;2000&lt;/year&gt;&lt;/dates&gt;&lt;urls&gt;&lt;/urls&gt;&lt;/record&gt;&lt;/Cite&gt;&lt;/EndNote&gt;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135</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Innovative crop insurance mechanisms, </w:t>
      </w:r>
      <w:r w:rsidRPr="00A37EA9">
        <w:rPr>
          <w:rFonts w:ascii="Calibri" w:hAnsi="Calibri" w:cs="Times New Roman"/>
          <w:sz w:val="22"/>
          <w:lang w:val="en-GB"/>
        </w:rPr>
        <w:lastRenderedPageBreak/>
        <w:t>new uses of</w:t>
      </w:r>
      <w:r w:rsidRPr="00142ED0">
        <w:rPr>
          <w:rFonts w:ascii="Calibri" w:hAnsi="Calibri" w:cs="Times New Roman"/>
          <w:sz w:val="22"/>
          <w:lang w:val="en-GB"/>
        </w:rPr>
        <w:t xml:space="preserve"> information technology, and improved weather data also hold promise for increased agricultural production.</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&lt;EndNote&gt;&lt;Cite&gt;&lt;Author&gt;von Braun&lt;/Author&gt;&lt;Year&gt;2008&lt;/Year&gt;&lt;RecNum&gt;1087&lt;/RecNum&gt;&lt;DisplayText&gt;&lt;style face="superscript"&gt;136&lt;/style&gt;&lt;/DisplayText&gt;&lt;record&gt;&lt;rec-number&gt;1087&lt;/rec-number&gt;&lt;foreign-keys&gt;&lt;key app="EN" db-id="wtftd20rmszxx0ettxy5exwdf90wv22s2dsf" timestamp="1419212983"&gt;1087&lt;/key&gt;&lt;/foreign-keys&gt;&lt;ref-type name="Report"&gt;27&lt;/ref-type&gt;&lt;contributors&gt;&lt;authors&gt;&lt;author&gt;von Braun, J. &lt;/author&gt;&lt;author&gt;Ahmed, A. &lt;/author&gt;&lt;author&gt;Asenso-Okyere, K. &lt;/author&gt;&lt;author&gt;Fan, S. &lt;/author&gt;&lt;author&gt;Gulati, A. &lt;/author&gt;&lt;author&gt;Hoddinott, J. &lt;/author&gt;&lt;author&gt;Pandya-Lorch, R.&lt;/author&gt;&lt;author&gt;Rosegrant, MW.&lt;/author&gt;&lt;author&gt;Ruel, M.&lt;/author&gt;&lt;author&gt;Torero, M.&lt;/author&gt;&lt;author&gt;van Rheenen, T.&lt;/author&gt;&lt;author&gt;von Grebmer, K.&lt;/author&gt;&lt;/authors&gt;&lt;/contributors&gt;&lt;titles&gt;&lt;title&gt;High Food Prices: The What, Who, and How of Proposed Policy Actions &lt;/title&gt;&lt;/titles&gt;&lt;pages&gt;12&lt;/pages&gt;&lt;dates&gt;&lt;year&gt;2008&lt;/year&gt;&lt;/dates&gt;&lt;pub-location&gt;Washington D.C.&lt;/pub-location&gt;&lt;publisher&gt;International Food Policy Research Institute (IFPRI)&lt;/publisher&gt;&lt;urls&gt;&lt;/urls&gt;&lt;/record&gt;&lt;/Cite&gt;&lt;/EndNote&gt;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136</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w:t>
      </w:r>
      <w:r w:rsidRPr="004008E1">
        <w:rPr>
          <w:rFonts w:ascii="Calibri" w:hAnsi="Calibri" w:cs="Times New Roman"/>
          <w:sz w:val="22"/>
          <w:lang w:val="en-GB"/>
        </w:rPr>
        <w:t>Education in agricultural areas is critical to enhance the diffusion of technologies and crop management, and as a means to increase household incomes and promote gender equality.</w:t>
      </w:r>
      <w:r w:rsidR="00E13392" w:rsidRPr="00142ED0">
        <w:rPr>
          <w:rFonts w:ascii="Calibri" w:hAnsi="Calibri" w:cs="Times New Roman"/>
          <w:sz w:val="22"/>
          <w:lang w:val="en-GB"/>
        </w:rPr>
        <w:fldChar w:fldCharType="begin">
          <w:fldData xml:space="preserve">PEVuZE5vdGU+PENpdGU+PEF1dGhvcj5Gb29kIGFuZCBBZ3JpY3VsdHVyYWwgT3JnYW5pemF0aW9u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</w:fldData>
        </w:fldChar>
      </w:r>
      <w:r w:rsidR="00723833">
        <w:rPr>
          <w:rFonts w:ascii="Calibri" w:hAnsi="Calibri" w:cs="Times New Roman"/>
          <w:sz w:val="22"/>
          <w:lang w:val="en-GB"/>
        </w:rPr>
        <w:instrText xml:space="preserve"> ADDIN EN.CITE </w:instrText>
      </w:r>
      <w:r w:rsidR="00E13392">
        <w:rPr>
          <w:rFonts w:ascii="Calibri" w:hAnsi="Calibri" w:cs="Times New Roman"/>
          <w:sz w:val="22"/>
          <w:lang w:val="en-GB"/>
        </w:rPr>
        <w:fldChar w:fldCharType="begin">
          <w:fldData xml:space="preserve">PEVuZE5vdGU+PENpdGU+PEF1dGhvcj5Gb29kIGFuZCBBZ3JpY3VsdHVyYWwgT3JnYW5pemF0aW9u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</w:fldData>
        </w:fldChar>
      </w:r>
      <w:r w:rsidR="00723833">
        <w:rPr>
          <w:rFonts w:ascii="Calibri" w:hAnsi="Calibri" w:cs="Times New Roman"/>
          <w:sz w:val="22"/>
          <w:lang w:val="en-GB"/>
        </w:rPr>
        <w:instrText xml:space="preserve"> ADDIN EN.CITE.DATA </w:instrText>
      </w:r>
      <w:r w:rsidR="00E13392">
        <w:rPr>
          <w:rFonts w:ascii="Calibri" w:hAnsi="Calibri" w:cs="Times New Roman"/>
          <w:sz w:val="22"/>
          <w:lang w:val="en-GB"/>
        </w:rPr>
      </w:r>
      <w:r w:rsidR="00E13392">
        <w:rPr>
          <w:rFonts w:ascii="Calibri" w:hAnsi="Calibri" w:cs="Times New Roman"/>
          <w:sz w:val="22"/>
          <w:lang w:val="en-GB"/>
        </w:rPr>
        <w:fldChar w:fldCharType="end"/>
      </w:r>
      <w:r w:rsidR="00E13392" w:rsidRPr="00142ED0">
        <w:rPr>
          <w:rFonts w:ascii="Calibri" w:hAnsi="Calibri" w:cs="Times New Roman"/>
          <w:sz w:val="22"/>
          <w:lang w:val="en-GB"/>
        </w:rPr>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131,137</w:t>
      </w:r>
      <w:r w:rsidR="00E13392" w:rsidRPr="00142ED0">
        <w:rPr>
          <w:rFonts w:ascii="Calibri" w:hAnsi="Calibri" w:cs="Times New Roman"/>
          <w:sz w:val="22"/>
          <w:lang w:val="en-GB"/>
        </w:rPr>
        <w:fldChar w:fldCharType="end"/>
      </w:r>
    </w:p>
    <w:p w:rsidR="00FB601E" w:rsidRPr="00142ED0" w:rsidRDefault="00FB601E" w:rsidP="00FB601E">
      <w:pPr>
        <w:spacing w:after="120"/>
        <w:jc w:val="both"/>
        <w:rPr>
          <w:rFonts w:ascii="Calibri" w:hAnsi="Calibri"/>
          <w:lang w:val="en-GB"/>
        </w:rPr>
      </w:pPr>
      <w:r w:rsidRPr="004008E1">
        <w:rPr>
          <w:rFonts w:ascii="Calibri" w:hAnsi="Calibri" w:cs="Times New Roman"/>
          <w:i/>
          <w:sz w:val="22"/>
          <w:lang w:val="en-GB"/>
        </w:rPr>
        <w:t xml:space="preserve">3. Increased investments in rural and water infrastructure. </w:t>
      </w:r>
      <w:r w:rsidRPr="00B50254">
        <w:rPr>
          <w:rFonts w:ascii="Calibri" w:hAnsi="Calibri" w:cs="Times New Roman"/>
          <w:sz w:val="22"/>
          <w:lang w:val="en-GB"/>
        </w:rPr>
        <w:t xml:space="preserve">Investment is essential for situations where underdeveloped infrastructure results in poor supply chains </w:t>
      </w:r>
      <w:r w:rsidRPr="004B2349">
        <w:rPr>
          <w:rFonts w:ascii="Calibri" w:hAnsi="Calibri" w:cs="Times New Roman"/>
          <w:sz w:val="22"/>
          <w:lang w:val="en-GB"/>
        </w:rPr>
        <w:t>and large food losses. Investments could boost agricultural production, reduce price volatilities and enhance food security in the long term. The investments required in developing countries to support this expansion in agricultural output have been estimated to be an average annual net investment of USD 83 billion (not including public goods such as roads, large scale irrigation projects, electrification).</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&lt;EndNote&gt;&lt;Cite&gt;&lt;Author&gt;Food and Agricultural Organization&lt;/Author&gt;&lt;Year&gt;2011&lt;/Year&gt;&lt;RecNum&gt;1112&lt;/RecNum&gt;&lt;DisplayText&gt;&lt;style face="superscript"&gt;131&lt;/style&gt;&lt;/DisplayText&gt;&lt;record&gt;&lt;rec-number&gt;1112&lt;/rec-number&gt;&lt;foreign-keys&gt;&lt;key app="EN" db-id="wtftd20rmszxx0ettxy5exwdf90wv22s2dsf" timestamp="1419212983"&gt;1112&lt;/key&gt;&lt;/foreign-keys&gt;&lt;ref-type name="Report"&gt;27&lt;/ref-type&gt;&lt;contributors&gt;&lt;authors&gt;&lt;author&gt;Food and Agricultural Organization,&lt;/author&gt;&lt;author&gt;Organization for Economic Cooperation and Development,&lt;/author&gt;&lt;/authors&gt;&lt;/contributors&gt;&lt;titles&gt;&lt;title&gt;Price Volatility in Food and Agricultural Markets: Policy Responses&lt;/title&gt;&lt;/titles&gt;&lt;dates&gt;&lt;year&gt;2011&lt;/year&gt;&lt;/dates&gt;&lt;pub-location&gt;Rome&lt;/pub-location&gt;&lt;urls&gt;&lt;/urls&gt;&lt;/record&gt;&lt;/Cite&gt;&lt;/EndNote&gt;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131</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w:t>
      </w:r>
    </w:p>
    <w:p w:rsidR="00FB601E" w:rsidRPr="004349AE" w:rsidRDefault="00FB601E" w:rsidP="00FB601E">
      <w:pPr>
        <w:spacing w:after="120"/>
        <w:jc w:val="both"/>
        <w:rPr>
          <w:rFonts w:ascii="Calibri" w:hAnsi="Calibri"/>
          <w:lang w:val="en-GB"/>
        </w:rPr>
      </w:pPr>
      <w:r w:rsidRPr="004008E1">
        <w:rPr>
          <w:rFonts w:ascii="Calibri" w:hAnsi="Calibri" w:cs="Times New Roman"/>
          <w:i/>
          <w:sz w:val="22"/>
          <w:lang w:val="en-GB"/>
        </w:rPr>
        <w:t xml:space="preserve">4. Enhanced international collaboration. </w:t>
      </w:r>
      <w:r w:rsidRPr="00B50254">
        <w:rPr>
          <w:rFonts w:ascii="Calibri" w:hAnsi="Calibri" w:cs="Times New Roman"/>
          <w:sz w:val="22"/>
          <w:lang w:val="en-GB"/>
        </w:rPr>
        <w:t xml:space="preserve">International collaboration is critical for food security in food insecure regions. </w:t>
      </w:r>
      <w:r w:rsidRPr="004B2349">
        <w:rPr>
          <w:rFonts w:ascii="Calibri" w:hAnsi="Calibri" w:cs="Times New Roman"/>
          <w:sz w:val="22"/>
          <w:lang w:val="en-GB"/>
        </w:rPr>
        <w:t>Early warning systems, financial support, emergency food and grain reserves, the ability to scale up safety nets such as child nutrition schemes, and capacity building play a key role for emergency responses to food crises, and can be supported by international organisations.</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&lt;EndNote&gt;&lt;Cite&gt;&lt;Author&gt;Food and Agricultural Organization&lt;/Author&gt;&lt;Year&gt;2011&lt;/Year&gt;&lt;RecNum&gt;1112&lt;/RecNum&gt;&lt;DisplayText&gt;&lt;style face="superscript"&gt;131,138&lt;/style&gt;&lt;/DisplayText&gt;&lt;record&gt;&lt;rec-number&gt;1112&lt;/rec-number&gt;&lt;foreign-keys&gt;&lt;key app="EN" db-id="wtftd20rmszxx0ettxy5exwdf90wv22s2dsf" timestamp="1419212983"&gt;1112&lt;/key&gt;&lt;/foreign-keys&gt;&lt;ref-type name="Report"&gt;27&lt;/ref-type&gt;&lt;contributors&gt;&lt;authors&gt;&lt;author&gt;Food and Agricultural Organization,&lt;/author&gt;&lt;author&gt;Organization for Economic Cooperation and Development,&lt;/author&gt;&lt;/authors&gt;&lt;/contributors&gt;&lt;titles&gt;&lt;title&gt;Price Volatility in Food and Agricultural Markets: Policy Responses&lt;/title&gt;&lt;/titles&gt;&lt;dates&gt;&lt;year&gt;2011&lt;/year&gt;&lt;/dates&gt;&lt;pub-location&gt;Rome&lt;/pub-location&gt;&lt;urls&gt;&lt;/urls&gt;&lt;/record&gt;&lt;/Cite&gt;&lt;Cite&gt;&lt;Author&gt;UN High Level Task Force on the Global Food Security Crisis&lt;/Author&gt;&lt;Year&gt;2010&lt;/Year&gt;&lt;RecNum&gt;1421&lt;/RecNum&gt;&lt;record&gt;&lt;rec-number&gt;1421&lt;/rec-number&gt;&lt;foreign-keys&gt;&lt;key app="EN" db-id="wtftd20rmszxx0ettxy5exwdf90wv22s2dsf" timestamp="1419284843"&gt;1421&lt;/key&gt;&lt;/foreign-keys&gt;&lt;ref-type name="Journal Article"&gt;17&lt;/ref-type&gt;&lt;contributors&gt;&lt;authors&gt;&lt;author&gt;UN High Level Task Force on the Global Food Security Crisis,&lt;/author&gt;&lt;/authors&gt;&lt;/contributors&gt;&lt;titles&gt;&lt;title&gt;Scaling Up Nutrition: a Framework for Action&lt;/title&gt;&lt;/titles&gt;&lt;dates&gt;&lt;year&gt;2010&lt;/year&gt;&lt;/dates&gt;&lt;urls&gt;&lt;/urls&gt;&lt;/record&gt;&lt;/Cite&gt;&lt;/EndNote&gt;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131,138</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w:t>
      </w:r>
    </w:p>
    <w:p w:rsidR="00FB601E" w:rsidRPr="004349AE" w:rsidRDefault="00FB601E" w:rsidP="004349AE">
      <w:pPr>
        <w:pStyle w:val="Heading3"/>
        <w:rPr>
          <w:lang w:val="en-GB"/>
        </w:rPr>
      </w:pPr>
      <w:bookmarkStart w:id="58" w:name="_Toc402956372"/>
      <w:bookmarkStart w:id="59" w:name="_Toc278446359"/>
    </w:p>
    <w:p w:rsidR="00FB601E" w:rsidRPr="00A37EA9" w:rsidRDefault="00FB601E" w:rsidP="00FB601E">
      <w:pPr>
        <w:pStyle w:val="Heading3"/>
        <w:rPr>
          <w:lang w:val="en-GB"/>
        </w:rPr>
      </w:pPr>
      <w:bookmarkStart w:id="60" w:name="_Toc415931382"/>
      <w:bookmarkStart w:id="61" w:name="_Toc417502047"/>
      <w:r w:rsidRPr="00A37EA9">
        <w:rPr>
          <w:lang w:val="en-GB"/>
        </w:rPr>
        <w:t xml:space="preserve">Environmental </w:t>
      </w:r>
      <w:bookmarkEnd w:id="58"/>
      <w:bookmarkEnd w:id="59"/>
      <w:r w:rsidRPr="00A37EA9">
        <w:rPr>
          <w:lang w:val="en-GB"/>
        </w:rPr>
        <w:t>Migration</w:t>
      </w:r>
      <w:bookmarkEnd w:id="60"/>
      <w:bookmarkEnd w:id="61"/>
    </w:p>
    <w:p w:rsidR="00FB601E" w:rsidRPr="00A37EA9" w:rsidRDefault="00FB601E" w:rsidP="00FB601E">
      <w:pPr>
        <w:jc w:val="both"/>
        <w:rPr>
          <w:rFonts w:ascii="Calibri" w:hAnsi="Calibri" w:cs="Times New Roman"/>
          <w:sz w:val="22"/>
          <w:lang w:val="en-GB"/>
        </w:rPr>
      </w:pPr>
      <w:r w:rsidRPr="00142ED0">
        <w:rPr>
          <w:rFonts w:ascii="Calibri" w:hAnsi="Calibri" w:cs="Times New Roman"/>
          <w:sz w:val="22"/>
          <w:szCs w:val="22"/>
          <w:lang w:val="en-GB"/>
        </w:rPr>
        <w:t>Changes in human mobility patterns have multiple drivers</w:t>
      </w:r>
      <w:r w:rsidR="00DF7E8B" w:rsidRPr="004008E1">
        <w:rPr>
          <w:rFonts w:ascii="Calibri" w:hAnsi="Calibri" w:cs="Times New Roman"/>
          <w:sz w:val="22"/>
          <w:szCs w:val="22"/>
          <w:lang w:val="en-GB"/>
        </w:rPr>
        <w:t>,</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&lt;EndNote&gt;&lt;Cite&gt;&lt;Author&gt;Hugo&lt;/Author&gt;&lt;Year&gt;2011&lt;/Year&gt;&lt;RecNum&gt;1423&lt;/RecNum&gt;&lt;DisplayText&gt;&lt;style face="superscript"&gt;139&lt;/style&gt;&lt;/DisplayText&gt;&lt;record&gt;&lt;rec-number&gt;1423&lt;/rec-number&gt;&lt;foreign-keys&gt;&lt;key app="EN" db-id="wtftd20rmszxx0ettxy5exwdf90wv22s2dsf" timestamp="1419285180"&gt;1423&lt;/key&gt;&lt;/foreign-keys&gt;&lt;ref-type name="Journal Article"&gt;17&lt;/ref-type&gt;&lt;contributors&gt;&lt;authors&gt;&lt;author&gt;G Hugo&lt;/author&gt;&lt;/authors&gt;&lt;/contributors&gt;&lt;titles&gt;&lt;title&gt;Future demographic change and its interactions with migration and climate change&lt;/title&gt;&lt;secondary-title&gt;Global Environmental Change&lt;/secondary-title&gt;&lt;/titles&gt;&lt;periodical&gt;&lt;full-title&gt;Global Environmental Change&lt;/full-title&gt;&lt;/periodical&gt;&lt;pages&gt;S21-S33&lt;/pages&gt;&lt;volume&gt;21&lt;/volume&gt;&lt;dates&gt;&lt;year&gt;2011&lt;/year&gt;&lt;/dates&gt;&lt;urls&gt;&lt;/urls&gt;&lt;/record&gt;&lt;/Cite&gt;&lt;/EndNote&gt;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139</w:t>
      </w:r>
      <w:r w:rsidR="00E13392" w:rsidRPr="00142ED0">
        <w:rPr>
          <w:rFonts w:ascii="Calibri" w:hAnsi="Calibri" w:cs="Times New Roman"/>
          <w:sz w:val="22"/>
          <w:szCs w:val="22"/>
          <w:lang w:val="en-GB"/>
        </w:rPr>
        <w:fldChar w:fldCharType="end"/>
      </w:r>
      <w:r w:rsidRPr="004008E1">
        <w:rPr>
          <w:rFonts w:ascii="Calibri" w:hAnsi="Calibri" w:cs="Times New Roman"/>
          <w:sz w:val="22"/>
          <w:szCs w:val="22"/>
          <w:lang w:val="en-GB"/>
        </w:rPr>
        <w:t xml:space="preserve"> and  range </w:t>
      </w:r>
      <w:r w:rsidRPr="004008E1">
        <w:rPr>
          <w:rFonts w:ascii="Calibri" w:hAnsi="Calibri" w:cs="Arial"/>
          <w:sz w:val="22"/>
          <w:szCs w:val="22"/>
          <w:lang w:val="en-GB"/>
        </w:rPr>
        <w:t xml:space="preserve">from </w:t>
      </w:r>
      <w:r w:rsidRPr="00B50254">
        <w:rPr>
          <w:rFonts w:ascii="Calibri" w:hAnsi="Calibri" w:cs="Times New Roman"/>
          <w:sz w:val="22"/>
          <w:lang w:val="en-GB"/>
        </w:rPr>
        <w:t>large-scale displacement (often in emergency situations), to slow onset migration (in which people seek new homes and livelihoods over a lengthy period of time as conditions in their home communities worsen).</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&lt;EndNote&gt;&lt;Cite&gt;&lt;Author&gt;Martin&lt;/Author&gt;&lt;Year&gt;2012&lt;/Year&gt;&lt;RecNum&gt;1184&lt;/RecNum&gt;&lt;DisplayText&gt;&lt;style face="superscript"&gt;140&lt;/style&gt;&lt;/DisplayText&gt;&lt;record&gt;&lt;rec-number&gt;1184&lt;/rec-number&gt;&lt;foreign-keys&gt;&lt;key app="EN" db-id="wtftd20rmszxx0ettxy5exwdf90wv22s2dsf" timestamp="1419212983"&gt;1184&lt;/key&gt;&lt;/foreign-keys&gt;&lt;ref-type name="Book Section"&gt;5&lt;/ref-type&gt;&lt;contributors&gt;&lt;authors&gt;&lt;author&gt;Martin, S.F.&lt;/author&gt;&lt;author&gt;Warner, K,&lt;/author&gt;&lt;/authors&gt;&lt;secondary-authors&gt;&lt;author&gt;Omelaniuk, I &lt;/author&gt;&lt;/secondary-authors&gt;&lt;/contributors&gt;&lt;titles&gt;&lt;title&gt;Climate Change, Migration and Development&lt;/title&gt;&lt;secondary-title&gt;Global Perspectives on Migration and Development &lt;/secondary-title&gt;&lt;/titles&gt;&lt;dates&gt;&lt;year&gt;2012&lt;/year&gt;&lt;/dates&gt;&lt;pub-location&gt;New York&lt;/pub-location&gt;&lt;publisher&gt;Springer Books&lt;/publisher&gt;&lt;urls&gt;&lt;/urls&gt;&lt;/record&gt;&lt;/Cite&gt;&lt;/EndNote&gt;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140</w:t>
      </w:r>
      <w:r w:rsidR="00E13392" w:rsidRPr="00142ED0">
        <w:rPr>
          <w:rFonts w:ascii="Calibri" w:hAnsi="Calibri" w:cs="Times New Roman"/>
          <w:sz w:val="22"/>
          <w:szCs w:val="22"/>
          <w:lang w:val="en-GB"/>
        </w:rPr>
        <w:fldChar w:fldCharType="end"/>
      </w:r>
      <w:r w:rsidRPr="004B2349">
        <w:rPr>
          <w:rFonts w:ascii="Calibri" w:hAnsi="Calibri" w:cs="Times New Roman"/>
          <w:sz w:val="22"/>
          <w:szCs w:val="22"/>
          <w:lang w:val="en-GB"/>
        </w:rPr>
        <w:t xml:space="preserve"> </w:t>
      </w:r>
      <w:r w:rsidRPr="004B2349">
        <w:rPr>
          <w:rFonts w:ascii="Calibri" w:hAnsi="Calibri" w:cs="Times New Roman"/>
          <w:sz w:val="22"/>
          <w:lang w:val="en-GB"/>
        </w:rPr>
        <w:t>The efficacy of national and international policies, institutions and humanitarian responses also influence whether people are able to cope with the after-effects of natural hazard in a manner that allows them to recover their homes and livelihoods.</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&lt;EndNote&gt;&lt;Cite&gt;&lt;Author&gt;Collinson&lt;/Author&gt;&lt;Year&gt;2010&lt;/Year&gt;&lt;RecNum&gt;1097&lt;/RecNum&gt;&lt;DisplayText&gt;&lt;style face="superscript"&gt;141&lt;/style&gt;&lt;/DisplayText&gt;&lt;record&gt;&lt;rec-number&gt;1097&lt;/rec-number&gt;&lt;foreign-keys&gt;&lt;key app="EN" db-id="wtftd20rmszxx0ettxy5exwdf90wv22s2dsf" timestamp="1419212983"&gt;1097&lt;/key&gt;&lt;/foreign-keys&gt;&lt;ref-type name="Report"&gt;27&lt;/ref-type&gt;&lt;contributors&gt;&lt;authors&gt;&lt;author&gt;Collinson, S.&lt;/author&gt;&lt;/authors&gt;&lt;/contributors&gt;&lt;titles&gt;&lt;title&gt;Developing Adequate Humanitarian Responses. Background Papers of the Study Team on Climate Change and Migration&lt;/title&gt;&lt;/titles&gt;&lt;dates&gt;&lt;year&gt;2010&lt;/year&gt;&lt;/dates&gt;&lt;publisher&gt;German Marshall Fund&lt;/publisher&gt;&lt;urls&gt;&lt;/urls&gt;&lt;/record&gt;&lt;/Cite&gt;&lt;/EndNote&gt;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141</w:t>
      </w:r>
      <w:r w:rsidR="00E13392" w:rsidRPr="00142ED0">
        <w:rPr>
          <w:rFonts w:ascii="Calibri" w:hAnsi="Calibri" w:cs="Times New Roman"/>
          <w:sz w:val="22"/>
          <w:lang w:val="en-GB"/>
        </w:rPr>
        <w:fldChar w:fldCharType="end"/>
      </w:r>
    </w:p>
    <w:p w:rsidR="00FB601E" w:rsidRPr="00142ED0" w:rsidRDefault="00FB601E" w:rsidP="00FB601E">
      <w:pPr>
        <w:jc w:val="both"/>
        <w:rPr>
          <w:rFonts w:ascii="Calibri" w:hAnsi="Calibri" w:cs="Times New Roman"/>
          <w:sz w:val="22"/>
          <w:szCs w:val="22"/>
          <w:lang w:val="en-GB"/>
        </w:rPr>
      </w:pPr>
    </w:p>
    <w:p w:rsidR="00FB601E" w:rsidRPr="00A37EA9" w:rsidRDefault="00FB601E" w:rsidP="004349AE">
      <w:pPr>
        <w:jc w:val="both"/>
        <w:rPr>
          <w:rFonts w:ascii="Calibri" w:hAnsi="Calibri"/>
          <w:lang w:val="en-GB"/>
        </w:rPr>
      </w:pPr>
      <w:r w:rsidRPr="004008E1">
        <w:rPr>
          <w:rFonts w:ascii="Calibri" w:hAnsi="Calibri" w:cs="Times New Roman"/>
          <w:sz w:val="22"/>
          <w:szCs w:val="22"/>
          <w:lang w:val="en-GB"/>
        </w:rPr>
        <w:t>Displacement occurs when choices are limited and movement is more or less forced by land loss, for example due to extreme events.</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&lt;EndNote&gt;&lt;Cite&gt;&lt;Author&gt;Oppenheimer M&lt;/Author&gt;&lt;Year&gt;2014&lt;/Year&gt;&lt;RecNum&gt;1193&lt;/RecNum&gt;&lt;DisplayText&gt;&lt;style face="superscript"&gt;142&lt;/style&gt;&lt;/DisplayText&gt;&lt;record&gt;&lt;rec-number&gt;1193&lt;/rec-number&gt;&lt;foreign-keys&gt;&lt;key app="EN" db-id="wtftd20rmszxx0ettxy5exwdf90wv22s2dsf" timestamp="1419212983"&gt;1193&lt;/key&gt;&lt;/foreign-keys&gt;&lt;ref-type name="Book Section"&gt;5&lt;/ref-type&gt;&lt;contributors&gt;&lt;authors&gt;&lt;author&gt;Oppenheimer M, &lt;/author&gt;&lt;author&gt;Campos, M, &lt;/author&gt;&lt;author&gt;Warren R, &lt;/author&gt;&lt;author&gt;Birkmann J, &lt;/author&gt;&lt;author&gt;Luber G, &lt;/author&gt;&lt;author&gt;O’Neill B, &lt;/author&gt;&lt;author&gt;Takahashi K, &lt;/author&gt;&lt;author&gt;Berkhout F, &lt;/author&gt;&lt;author&gt;Dube P, &lt;/author&gt;&lt;author&gt;Foden W, &lt;/author&gt;&lt;author&gt;Grieving S, &lt;/author&gt;&lt;author&gt;Hsiang Johnston M, &lt;/author&gt;&lt;author&gt;Keller K, &lt;/author&gt;&lt;author&gt;Kleypas J,&lt;/author&gt;&lt;author&gt;Kopp R, &lt;/author&gt;&lt;author&gt;Licker R, &lt;/author&gt;&lt;author&gt;Peres C, &lt;/author&gt;&lt;author&gt;Price J, &lt;/author&gt;&lt;author&gt;Robock A, &lt;/author&gt;&lt;author&gt;Schlenker W, &lt;/author&gt;&lt;author&gt;Stepp JR, &lt;/author&gt;&lt;author&gt;Tol R, &lt;/author&gt;&lt;author&gt;van Vuuren D,&lt;/author&gt;&lt;/authors&gt;&lt;/contributors&gt;&lt;titles&gt;&lt;title&gt;Emergent Risks and Key Vulnerabilities&lt;/title&gt;&lt;secondary-title&gt;Climate Change 2014: Impacts, Adaptation, and Vulnerability. Working Group II Contribution to the IPCC 5th Assessment Report&lt;/secondary-title&gt;&lt;/titles&gt;&lt;dates&gt;&lt;year&gt;2014&lt;/year&gt;&lt;/dates&gt;&lt;pub-location&gt;Cambridge, UK and New York, NY, USA&lt;/pub-location&gt;&lt;publisher&gt;Cambridge University Press&lt;/publisher&gt;&lt;urls&gt;&lt;/urls&gt;&lt;/record&gt;&lt;/Cite&gt;&lt;/EndNote&gt;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142</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Population displacement can further affect health through increased spread of communicable diseases and malnutrition, resulting from overcrowding and l</w:t>
      </w:r>
      <w:r w:rsidRPr="00142ED0">
        <w:rPr>
          <w:rFonts w:ascii="Calibri" w:hAnsi="Calibri" w:cs="Times New Roman"/>
          <w:sz w:val="22"/>
          <w:szCs w:val="22"/>
          <w:lang w:val="en-GB"/>
        </w:rPr>
        <w:t>ack of safe water, food and shelter.</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&lt;EndNote&gt;&lt;Cite&gt;&lt;Author&gt;Confalonieri&lt;/Author&gt;&lt;Year&gt;2007&lt;/Year&gt;&lt;RecNum&gt;1099&lt;/RecNum&gt;&lt;DisplayText&gt;&lt;style face="superscript"&gt;143&lt;/style&gt;&lt;/DisplayText&gt;&lt;record&gt;&lt;rec-number&gt;1099&lt;/rec-number&gt;&lt;foreign-keys&gt;&lt;key app="EN" db-id="wtftd20rmszxx0ettxy5exwdf90wv22s2dsf" timestamp="1419212983"&gt;1099&lt;/key&gt;&lt;/foreign-keys&gt;&lt;ref-type name="Book Section"&gt;5&lt;/ref-type&gt;&lt;contributors&gt;&lt;authors&gt;&lt;author&gt;Confalonieri, U. &lt;/author&gt;&lt;author&gt;Menne, B.&lt;/author&gt;&lt;author&gt;Akhtar, R. &lt;/author&gt;&lt;author&gt;Ebi, KL. &lt;/author&gt;&lt;author&gt;Hauengue, M. &lt;/author&gt;&lt;author&gt;Kovats, RS. &lt;/author&gt;&lt;author&gt;Revich, B. &lt;/author&gt;&lt;author&gt;Woodward, A.&lt;/author&gt;&lt;/authors&gt;&lt;secondary-authors&gt;&lt;author&gt;Parry, ML. Canziani, OF. Palutikof, JP. van der Linden, PJ. Hanson, CE.&lt;/author&gt;&lt;/secondary-authors&gt;&lt;/contributors&gt;&lt;titles&gt;&lt;title&gt;Human health&lt;/title&gt;&lt;secondary-title&gt;Climate Change 2007: Impacts, Adaptation and VulnerabilityContribution of Working Group II to the Fourth Assessment Report of the Intergovernmental Panel on Climate Change&lt;/secondary-title&gt;&lt;/titles&gt;&lt;pages&gt;391-431&lt;/pages&gt;&lt;dates&gt;&lt;year&gt;2007&lt;/year&gt;&lt;/dates&gt;&lt;pub-location&gt;Cambridge, UK&lt;/pub-location&gt;&lt;publisher&gt;Cambridge University Press&lt;/publisher&gt;&lt;urls&gt;&lt;/urls&gt;&lt;/record&gt;&lt;/Cite&gt;&lt;/EndNote&gt;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143</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Additional impacts on economic develo</w:t>
      </w:r>
      <w:r w:rsidRPr="00142ED0">
        <w:rPr>
          <w:rFonts w:ascii="Calibri" w:hAnsi="Calibri" w:cs="Times New Roman"/>
          <w:sz w:val="22"/>
          <w:szCs w:val="22"/>
          <w:lang w:val="en-GB"/>
        </w:rPr>
        <w:t xml:space="preserve">pment and political instability could develop, generating poverty and civil unrest that will exacerbate the </w:t>
      </w:r>
      <w:r w:rsidR="009F3C0D" w:rsidRPr="004008E1">
        <w:rPr>
          <w:rFonts w:ascii="Calibri" w:hAnsi="Calibri" w:cs="Times New Roman"/>
          <w:sz w:val="22"/>
          <w:szCs w:val="22"/>
          <w:lang w:val="en-GB"/>
        </w:rPr>
        <w:t xml:space="preserve">population </w:t>
      </w:r>
      <w:r w:rsidRPr="00B50254">
        <w:rPr>
          <w:rFonts w:ascii="Calibri" w:hAnsi="Calibri" w:cs="Times New Roman"/>
          <w:sz w:val="22"/>
          <w:szCs w:val="22"/>
          <w:lang w:val="en-GB"/>
        </w:rPr>
        <w:t>burden of disease.</w:t>
      </w:r>
      <w:r w:rsidR="00E13392" w:rsidRPr="00142ED0">
        <w:rPr>
          <w:rFonts w:ascii="Calibri" w:hAnsi="Calibri" w:cs="Times New Roman"/>
          <w:sz w:val="22"/>
          <w:szCs w:val="22"/>
          <w:lang w:val="en-GB"/>
        </w:rPr>
        <w:fldChar w:fldCharType="begin">
          <w:fldData xml:space="preserve">PEVuZE5vdGU+PENpdGU+PEF1dGhvcj5Db25mYWxvbmllcmk8L0F1dGhvcj48WWVhcj4yMDA3PC9Z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</w:fldData>
        </w:fldChar>
      </w:r>
      <w:r w:rsidR="00723833">
        <w:rPr>
          <w:rFonts w:ascii="Calibri" w:hAnsi="Calibri" w:cs="Times New Roman"/>
          <w:sz w:val="22"/>
          <w:szCs w:val="22"/>
          <w:lang w:val="en-GB"/>
        </w:rPr>
        <w:instrText xml:space="preserve"> ADDIN EN.CITE </w:instrText>
      </w:r>
      <w:r w:rsidR="00E13392">
        <w:rPr>
          <w:rFonts w:ascii="Calibri" w:hAnsi="Calibri" w:cs="Times New Roman"/>
          <w:sz w:val="22"/>
          <w:szCs w:val="22"/>
          <w:lang w:val="en-GB"/>
        </w:rPr>
        <w:fldChar w:fldCharType="begin">
          <w:fldData xml:space="preserve">PEVuZE5vdGU+PENpdGU+PEF1dGhvcj5Db25mYWxvbmllcmk8L0F1dGhvcj48WWVhcj4yMDA3PC9Z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</w:fldData>
        </w:fldChar>
      </w:r>
      <w:r w:rsidR="00723833">
        <w:rPr>
          <w:rFonts w:ascii="Calibri" w:hAnsi="Calibri" w:cs="Times New Roman"/>
          <w:sz w:val="22"/>
          <w:szCs w:val="22"/>
          <w:lang w:val="en-GB"/>
        </w:rPr>
        <w:instrText xml:space="preserve"> ADDIN EN.CITE.DATA </w:instrText>
      </w:r>
      <w:r w:rsidR="00E13392">
        <w:rPr>
          <w:rFonts w:ascii="Calibri" w:hAnsi="Calibri" w:cs="Times New Roman"/>
          <w:sz w:val="22"/>
          <w:szCs w:val="22"/>
          <w:lang w:val="en-GB"/>
        </w:rPr>
      </w:r>
      <w:r w:rsidR="00E13392">
        <w:rPr>
          <w:rFonts w:ascii="Calibri" w:hAnsi="Calibri" w:cs="Times New Roman"/>
          <w:sz w:val="22"/>
          <w:szCs w:val="22"/>
          <w:lang w:val="en-GB"/>
        </w:rPr>
        <w:fldChar w:fldCharType="end"/>
      </w:r>
      <w:r w:rsidR="00E13392" w:rsidRPr="00142ED0">
        <w:rPr>
          <w:rFonts w:ascii="Calibri" w:hAnsi="Calibri" w:cs="Times New Roman"/>
          <w:sz w:val="22"/>
          <w:szCs w:val="22"/>
          <w:lang w:val="en-GB"/>
        </w:rPr>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1,143</w:t>
      </w:r>
      <w:r w:rsidR="00E13392" w:rsidRPr="00142ED0">
        <w:rPr>
          <w:rFonts w:ascii="Calibri" w:hAnsi="Calibri" w:cs="Times New Roman"/>
          <w:sz w:val="22"/>
          <w:szCs w:val="22"/>
          <w:lang w:val="en-GB"/>
        </w:rPr>
        <w:fldChar w:fldCharType="end"/>
      </w:r>
    </w:p>
    <w:p w:rsidR="00FB601E" w:rsidRPr="004349AE" w:rsidRDefault="00FB601E" w:rsidP="004349AE">
      <w:pPr>
        <w:jc w:val="both"/>
        <w:rPr>
          <w:rFonts w:ascii="Calibri" w:hAnsi="Calibri"/>
          <w:sz w:val="22"/>
          <w:lang w:val="en-GB"/>
        </w:rPr>
      </w:pPr>
    </w:p>
    <w:p w:rsidR="00FB601E" w:rsidRPr="00142ED0" w:rsidRDefault="00FB601E" w:rsidP="004349AE">
      <w:pPr>
        <w:jc w:val="both"/>
        <w:rPr>
          <w:rFonts w:ascii="Calibri" w:hAnsi="Calibri" w:cs="Times New Roman"/>
          <w:sz w:val="22"/>
          <w:lang w:val="en-GB"/>
        </w:rPr>
      </w:pPr>
      <w:r w:rsidRPr="00A37EA9">
        <w:rPr>
          <w:rFonts w:ascii="Calibri" w:hAnsi="Calibri" w:cs="Times New Roman"/>
          <w:sz w:val="22"/>
          <w:lang w:val="en-GB"/>
        </w:rPr>
        <w:t>Existing vulnerabilities will determine the degree to which peop</w:t>
      </w:r>
      <w:r w:rsidRPr="00142ED0">
        <w:rPr>
          <w:rFonts w:ascii="Calibri" w:hAnsi="Calibri" w:cs="Times New Roman"/>
          <w:sz w:val="22"/>
          <w:lang w:val="en-GB"/>
        </w:rPr>
        <w:t>le are forced to migrate.</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&lt;EndNote&gt;&lt;Cite&gt;&lt;Author&gt;Warner K&lt;/Author&gt;&lt;Year&gt;2013&lt;/Year&gt;&lt;RecNum&gt;1210&lt;/RecNum&gt;&lt;DisplayText&gt;&lt;style face="superscript"&gt;144&lt;/style&gt;&lt;/DisplayText&gt;&lt;record&gt;&lt;rec-number&gt;1210&lt;/rec-number&gt;&lt;foreign-keys&gt;&lt;key app="EN" db-id="wtftd20rmszxx0ettxy5exwdf90wv22s2dsf" timestamp="1419212983"&gt;1210&lt;/key&gt;&lt;/foreign-keys&gt;&lt;ref-type name="Report"&gt;27&lt;/ref-type&gt;&lt;contributors&gt;&lt;authors&gt;&lt;author&gt;Warner K, &lt;/author&gt;&lt;author&gt;Afifi T, &lt;/author&gt;&lt;author&gt;Kälin W, &lt;/author&gt;&lt;author&gt;Leckie S, &lt;/author&gt;&lt;author&gt;Ferris B, &lt;/author&gt;&lt;author&gt;Martin SF, &lt;/author&gt;&lt;author&gt;Wrathall D,&lt;/author&gt;&lt;/authors&gt;&lt;/contributors&gt;&lt;titles&gt;&lt;title&gt;Changing climate, moving people: framing migration, displacement and planned relocation. Policy brief no 8&lt;/title&gt;&lt;/titles&gt;&lt;dates&gt;&lt;year&gt;2013&lt;/year&gt;&lt;/dates&gt;&lt;pub-location&gt;Bonn&lt;/pub-location&gt;&lt;publisher&gt;United Nations University Institute for Environment and Human Security&lt;/publisher&gt;&lt;urls&gt;&lt;/urls&gt;&lt;/record&gt;&lt;/Cite&gt;&lt;/EndNote&gt;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144</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The availability of alternative livelihoods or other coping capacities in the affected area generally determines the scale and form of migration </w:t>
      </w:r>
      <w:r w:rsidRPr="00142ED0">
        <w:rPr>
          <w:rFonts w:ascii="Calibri" w:hAnsi="Calibri" w:cs="Times New Roman"/>
          <w:sz w:val="22"/>
          <w:lang w:val="en-GB"/>
        </w:rPr>
        <w:t>that may take place. Conflict undermines</w:t>
      </w:r>
      <w:r w:rsidRPr="004008E1">
        <w:rPr>
          <w:rFonts w:ascii="Calibri" w:hAnsi="Calibri" w:cs="Times New Roman"/>
          <w:sz w:val="22"/>
          <w:lang w:val="en-GB"/>
        </w:rPr>
        <w:t xml:space="preserve"> the capacity of populations to cope with climate change, leading to greater displacement than might have been the case in a more stable environment. </w:t>
      </w:r>
      <w:r w:rsidRPr="00B50254">
        <w:rPr>
          <w:rFonts w:ascii="Calibri" w:hAnsi="Calibri" w:cs="Times New Roman"/>
          <w:sz w:val="22"/>
          <w:lang w:val="en-GB"/>
        </w:rPr>
        <w:t>Conflicts</w:t>
      </w:r>
      <w:r w:rsidRPr="004B2349">
        <w:rPr>
          <w:rFonts w:ascii="Calibri" w:hAnsi="Calibri" w:cs="Times New Roman"/>
          <w:sz w:val="22"/>
          <w:lang w:val="en-GB"/>
        </w:rPr>
        <w:t xml:space="preserve"> have also been shown to reduce mobility and trap populations in vulnerable areas, exposing politically marginalized populations to greater environmental risks.</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&lt;EndNote&gt;&lt;Cite&gt;&lt;Author&gt;Raleigh&lt;/Author&gt;&lt;Year&gt;2011&lt;/Year&gt;&lt;RecNum&gt;1425&lt;/RecNum&gt;&lt;DisplayText&gt;&lt;style face="superscript"&gt;145&lt;/style&gt;&lt;/DisplayText&gt;&lt;record&gt;&lt;rec-number&gt;1425&lt;/rec-number&gt;&lt;foreign-keys&gt;&lt;key app="EN" db-id="wtftd20rmszxx0ettxy5exwdf90wv22s2dsf" timestamp="1419285799"&gt;1425&lt;/key&gt;&lt;/foreign-keys&gt;&lt;ref-type name="Journal Article"&gt;17&lt;/ref-type&gt;&lt;contributors&gt;&lt;authors&gt;&lt;author&gt;C Raleigh&lt;/author&gt;&lt;/authors&gt;&lt;/contributors&gt;&lt;titles&gt;&lt;title&gt;The search for safety: The effects of conflict, poverty and ecological influences on migration in the developing world&lt;/title&gt;&lt;secondary-title&gt;Global Environmental Change&lt;/secondary-title&gt;&lt;/titles&gt;&lt;periodical&gt;&lt;full-title&gt;Global Environmental Change&lt;/full-title&gt;&lt;/periodical&gt;&lt;pages&gt;S82-S93&lt;/pages&gt;&lt;volume&gt;21 (sup),&lt;/volume&gt;&lt;dates&gt;&lt;year&gt;2011&lt;/year&gt;&lt;/dates&gt;&lt;urls&gt;&lt;/urls&gt;&lt;/record&gt;&lt;/Cite&gt;&lt;/EndNote&gt;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145</w:t>
      </w:r>
      <w:r w:rsidR="00E13392" w:rsidRPr="00142ED0">
        <w:rPr>
          <w:rFonts w:ascii="Calibri" w:hAnsi="Calibri" w:cs="Times New Roman"/>
          <w:sz w:val="22"/>
          <w:lang w:val="en-GB"/>
        </w:rPr>
        <w:fldChar w:fldCharType="end"/>
      </w:r>
      <w:r w:rsidRPr="00A37EA9">
        <w:rPr>
          <w:rStyle w:val="FootnoteReference"/>
          <w:rFonts w:ascii="Calibri" w:hAnsi="Calibri" w:cs="Times New Roman"/>
          <w:sz w:val="22"/>
          <w:lang w:val="en-GB"/>
        </w:rPr>
        <w:t xml:space="preserve"> </w:t>
      </w:r>
    </w:p>
    <w:p w:rsidR="00FB601E" w:rsidRPr="004349AE" w:rsidRDefault="00FB601E" w:rsidP="004349AE">
      <w:pPr>
        <w:jc w:val="both"/>
        <w:rPr>
          <w:rFonts w:ascii="Calibri" w:hAnsi="Calibri"/>
          <w:sz w:val="22"/>
          <w:lang w:val="en-GB"/>
        </w:rPr>
      </w:pPr>
    </w:p>
    <w:p w:rsidR="00FB601E" w:rsidRPr="00B50254" w:rsidRDefault="00FB601E" w:rsidP="004349AE">
      <w:pPr>
        <w:jc w:val="both"/>
        <w:rPr>
          <w:rFonts w:ascii="Calibri" w:hAnsi="Calibri" w:cs="Times New Roman"/>
          <w:sz w:val="22"/>
          <w:lang w:val="en-GB"/>
        </w:rPr>
      </w:pPr>
      <w:r w:rsidRPr="00A37EA9">
        <w:rPr>
          <w:rFonts w:ascii="Calibri" w:hAnsi="Calibri" w:cs="Times New Roman"/>
          <w:sz w:val="22"/>
          <w:lang w:val="en-GB"/>
        </w:rPr>
        <w:t>M</w:t>
      </w:r>
      <w:r w:rsidR="009F3C0D" w:rsidRPr="004008E1">
        <w:rPr>
          <w:rFonts w:ascii="Calibri" w:hAnsi="Calibri" w:cs="Times New Roman"/>
          <w:sz w:val="22"/>
          <w:lang w:val="en-GB"/>
        </w:rPr>
        <w:t xml:space="preserve">igration </w:t>
      </w:r>
      <w:r w:rsidRPr="004008E1">
        <w:rPr>
          <w:rFonts w:ascii="Calibri" w:hAnsi="Calibri" w:cs="Times New Roman"/>
          <w:sz w:val="22"/>
          <w:lang w:val="en-GB"/>
        </w:rPr>
        <w:t xml:space="preserve">from both slow and rapid-onset </w:t>
      </w:r>
      <w:r w:rsidR="009F3C0D" w:rsidRPr="00B50254">
        <w:rPr>
          <w:rFonts w:ascii="Calibri" w:hAnsi="Calibri" w:cs="Times New Roman"/>
          <w:sz w:val="22"/>
          <w:lang w:val="en-GB"/>
        </w:rPr>
        <w:t xml:space="preserve">crises </w:t>
      </w:r>
      <w:r w:rsidRPr="004B2349">
        <w:rPr>
          <w:rFonts w:ascii="Calibri" w:hAnsi="Calibri" w:cs="Times New Roman"/>
          <w:sz w:val="22"/>
          <w:lang w:val="en-GB"/>
        </w:rPr>
        <w:t xml:space="preserve">are likely to be immediately across borders, from one poor country into another. </w:t>
      </w:r>
      <w:r w:rsidR="009F3C0D" w:rsidRPr="004B2349">
        <w:rPr>
          <w:rFonts w:ascii="Calibri" w:hAnsi="Calibri" w:cs="Times New Roman"/>
          <w:sz w:val="22"/>
          <w:lang w:val="en-GB"/>
        </w:rPr>
        <w:t>R</w:t>
      </w:r>
      <w:r w:rsidRPr="004B2349">
        <w:rPr>
          <w:rFonts w:ascii="Calibri" w:hAnsi="Calibri" w:cs="Times New Roman"/>
          <w:sz w:val="22"/>
          <w:lang w:val="en-GB"/>
        </w:rPr>
        <w:t xml:space="preserve">eceiving countries could have few resources, </w:t>
      </w:r>
      <w:r w:rsidR="009F3C0D" w:rsidRPr="004B2349">
        <w:rPr>
          <w:rFonts w:ascii="Calibri" w:hAnsi="Calibri" w:cs="Times New Roman"/>
          <w:sz w:val="22"/>
          <w:lang w:val="en-GB"/>
        </w:rPr>
        <w:t xml:space="preserve">and poor </w:t>
      </w:r>
      <w:r w:rsidRPr="004B2349">
        <w:rPr>
          <w:rFonts w:ascii="Calibri" w:hAnsi="Calibri" w:cs="Times New Roman"/>
          <w:sz w:val="22"/>
          <w:lang w:val="en-GB"/>
        </w:rPr>
        <w:t>legal structures</w:t>
      </w:r>
      <w:r w:rsidR="009F3C0D" w:rsidRPr="004B2349">
        <w:rPr>
          <w:rFonts w:ascii="Calibri" w:hAnsi="Calibri" w:cs="Times New Roman"/>
          <w:sz w:val="22"/>
          <w:lang w:val="en-GB"/>
        </w:rPr>
        <w:t xml:space="preserve"> or,</w:t>
      </w:r>
      <w:r w:rsidRPr="004B2349">
        <w:rPr>
          <w:rFonts w:ascii="Calibri" w:hAnsi="Calibri" w:cs="Times New Roman"/>
          <w:sz w:val="22"/>
          <w:lang w:val="en-GB"/>
        </w:rPr>
        <w:t xml:space="preserve"> institutional capacity to respond to the needs of the migrants. </w:t>
      </w:r>
      <w:r w:rsidR="009F3C0D" w:rsidRPr="004B2349">
        <w:rPr>
          <w:rFonts w:ascii="Calibri" w:hAnsi="Calibri" w:cs="Times New Roman"/>
          <w:sz w:val="22"/>
          <w:lang w:val="en-GB"/>
        </w:rPr>
        <w:t>D</w:t>
      </w:r>
      <w:r w:rsidRPr="004B2349">
        <w:rPr>
          <w:rFonts w:ascii="Calibri" w:hAnsi="Calibri" w:cs="Times New Roman"/>
          <w:sz w:val="22"/>
          <w:lang w:val="en-GB"/>
        </w:rPr>
        <w:t>estination areas</w:t>
      </w:r>
      <w:r w:rsidR="009F3C0D" w:rsidRPr="004B2349">
        <w:rPr>
          <w:rFonts w:ascii="Calibri" w:hAnsi="Calibri" w:cs="Times New Roman"/>
          <w:sz w:val="22"/>
          <w:lang w:val="en-GB"/>
        </w:rPr>
        <w:t xml:space="preserve"> may face similar environmental challenges</w:t>
      </w:r>
      <w:r w:rsidRPr="004B2349">
        <w:rPr>
          <w:rFonts w:ascii="Calibri" w:hAnsi="Calibri" w:cs="Times New Roman"/>
          <w:sz w:val="22"/>
          <w:lang w:val="en-GB"/>
        </w:rPr>
        <w:t xml:space="preserve"> (e.g. drought, desertification) and may offer little respite. In rural areas, drought particularly affects rural to urban migration.</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&lt;EndNote&gt;&lt;Cite&gt;&lt;Author&gt;Confalonieri&lt;/Author&gt;&lt;Year&gt;2007&lt;/Year&gt;&lt;RecNum&gt;1099&lt;/RecNum&gt;&lt;DisplayText&gt;&lt;style face="superscript"&gt;143&lt;/style&gt;&lt;/DisplayText&gt;&lt;record&gt;&lt;rec-number&gt;1099&lt;/rec-number&gt;&lt;foreign-keys&gt;&lt;key app="EN" db-id="wtftd20rmszxx0ettxy5exwdf90wv22s2dsf" timestamp="1419212983"&gt;1099&lt;/key&gt;&lt;/foreign-keys&gt;&lt;ref-type name="Book Section"&gt;5&lt;/ref-type&gt;&lt;contributors&gt;&lt;authors&gt;&lt;author&gt;Confalonieri, U. &lt;/author&gt;&lt;author&gt;Menne, B.&lt;/author&gt;&lt;author&gt;Akhtar, R. &lt;/author&gt;&lt;author&gt;Ebi, KL. &lt;/author&gt;&lt;author&gt;Hauengue, M. &lt;/author&gt;&lt;author&gt;Kovats, RS. &lt;/author&gt;&lt;author&gt;Revich, B. &lt;/author&gt;&lt;author&gt;Woodward, A.&lt;/author&gt;&lt;/authors&gt;&lt;secondary-authors&gt;&lt;author&gt;Parry, ML. Canziani, OF. Palutikof, JP. van der Linden, PJ. Hanson, CE.&lt;/author&gt;&lt;/secondary-authors&gt;&lt;/contributors&gt;&lt;titles&gt;&lt;title&gt;Human health&lt;/title&gt;&lt;secondary-title&gt;Climate Change 2007: Impacts, Adaptation and VulnerabilityContribution of Working Group II to the Fourth Assessment Report of the Intergovernmental Panel on Climate Change&lt;/secondary-title&gt;&lt;/titles&gt;&lt;pages&gt;391-431&lt;/pages&gt;&lt;dates&gt;&lt;year&gt;2007&lt;/year&gt;&lt;/dates&gt;&lt;pub-location&gt;Cambridge, UK&lt;/pub-location&gt;&lt;publisher&gt;Cambridge University Press&lt;/publisher&gt;&lt;urls&gt;&lt;/urls&gt;&lt;/record&gt;&lt;/Cite&gt;&lt;/EndNote&gt;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143</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Urbanisation can be beneficial for health and livelihood, but also entails many risks.</w:t>
      </w:r>
      <w:r w:rsidR="00E13392" w:rsidRPr="00142ED0">
        <w:rPr>
          <w:rFonts w:ascii="Calibri" w:hAnsi="Calibri" w:cs="Times New Roman"/>
          <w:sz w:val="22"/>
          <w:lang w:val="en-GB"/>
        </w:rPr>
        <w:fldChar w:fldCharType="begin">
          <w:fldData xml:space="preserve">PEVuZE5vdGU+PENpdGU+PEF1dGhvcj5Gb3Jlc2lnaHQ8L0F1dGhvcj48WWVhcj4yMDExPC9ZZWFy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</w:fldData>
        </w:fldChar>
      </w:r>
      <w:r w:rsidR="00723833">
        <w:rPr>
          <w:rFonts w:ascii="Calibri" w:hAnsi="Calibri" w:cs="Times New Roman"/>
          <w:sz w:val="22"/>
          <w:lang w:val="en-GB"/>
        </w:rPr>
        <w:instrText xml:space="preserve"> ADDIN EN.CITE </w:instrText>
      </w:r>
      <w:r w:rsidR="00E13392">
        <w:rPr>
          <w:rFonts w:ascii="Calibri" w:hAnsi="Calibri" w:cs="Times New Roman"/>
          <w:sz w:val="22"/>
          <w:lang w:val="en-GB"/>
        </w:rPr>
        <w:fldChar w:fldCharType="begin">
          <w:fldData xml:space="preserve">PEVuZE5vdGU+PENpdGU+PEF1dGhvcj5Gb3Jlc2lnaHQ8L0F1dGhvcj48WWVhcj4yMDExPC9ZZWFy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</w:fldData>
        </w:fldChar>
      </w:r>
      <w:r w:rsidR="00723833">
        <w:rPr>
          <w:rFonts w:ascii="Calibri" w:hAnsi="Calibri" w:cs="Times New Roman"/>
          <w:sz w:val="22"/>
          <w:lang w:val="en-GB"/>
        </w:rPr>
        <w:instrText xml:space="preserve"> ADDIN EN.CITE.DATA </w:instrText>
      </w:r>
      <w:r w:rsidR="00E13392">
        <w:rPr>
          <w:rFonts w:ascii="Calibri" w:hAnsi="Calibri" w:cs="Times New Roman"/>
          <w:sz w:val="22"/>
          <w:lang w:val="en-GB"/>
        </w:rPr>
      </w:r>
      <w:r w:rsidR="00E13392">
        <w:rPr>
          <w:rFonts w:ascii="Calibri" w:hAnsi="Calibri" w:cs="Times New Roman"/>
          <w:sz w:val="22"/>
          <w:lang w:val="en-GB"/>
        </w:rPr>
        <w:fldChar w:fldCharType="end"/>
      </w:r>
      <w:r w:rsidR="00E13392" w:rsidRPr="00142ED0">
        <w:rPr>
          <w:rFonts w:ascii="Calibri" w:hAnsi="Calibri" w:cs="Times New Roman"/>
          <w:sz w:val="22"/>
          <w:lang w:val="en-GB"/>
        </w:rPr>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121,142</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The social disruption provoked by migration can lead to a breakdown in traditional institutions and associated coping mechanisms.</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&lt;EndNote&gt;&lt;Cite&gt;&lt;Author&gt;O’Brien K&lt;/Author&gt;&lt;Year&gt;2012&lt;/Year&gt;&lt;RecNum&gt;1191&lt;/RecNum&gt;&lt;DisplayText&gt;&lt;style face="superscript"&gt;146&lt;/style&gt;&lt;/DisplayText&gt;&lt;record&gt;&lt;rec-number&gt;1191&lt;/rec-number&gt;&lt;foreign-keys&gt;&lt;key app="EN" db-id="wtftd20rmszxx0ettxy5exwdf90wv22s2dsf" timestamp="1419212983"&gt;1191&lt;/key&gt;&lt;/foreign-keys&gt;&lt;ref-type name="Book Section"&gt;5&lt;/ref-type&gt;&lt;contributors&gt;&lt;authors&gt;&lt;author&gt;O’Brien K, &lt;/author&gt;&lt;author&gt;Pelling M, &lt;/author&gt;&lt;author&gt;Patwardhan A, &lt;/author&gt;&lt;author&gt;Hallegatte S, &lt;/author&gt;&lt;author&gt;Maskrey A, &lt;/author&gt;&lt;author&gt;Oki T, &lt;/author&gt;&lt;author&gt;Oswald-Spring U, &lt;/author&gt;&lt;author&gt;Wilbanks T, &lt;/author&gt;&lt;author&gt;Yanda PZ, &lt;/author&gt;&lt;/authors&gt;&lt;secondary-authors&gt;&lt;author&gt;Field CB, Barros V, Stocker TF, Qin D, Dokken DJ, Ebi KL, Mastrandrea MD, Mach KJ, Plattner GK, Allen SK, Tignor M, Midgley PM&lt;/author&gt;&lt;/secondary-authors&gt;&lt;/contributors&gt;&lt;titles&gt;&lt;title&gt;Toward a sustainable and resilient future&lt;/title&gt;&lt;secondary-title&gt;Managing the Risks of Extreme Events and Disasters to Advance Climate Change Adaptation. A Special Report of Working Groups I and II of the Intergovernmental Panel on Climate Change&lt;/secondary-title&gt;&lt;/titles&gt;&lt;pages&gt;437-486&lt;/pages&gt;&lt;dates&gt;&lt;year&gt;2012&lt;/year&gt;&lt;/dates&gt;&lt;pub-location&gt;Cambridge, UK and New York, NY, USA&lt;/pub-location&gt;&lt;publisher&gt;Cambridge University Press,&lt;/publisher&gt;&lt;urls&gt;&lt;/urls&gt;&lt;/record&gt;&lt;/Cite&gt;&lt;/EndNote&gt;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146</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Furthermore, the lack of mobility and risks entailed by those migrating into areas of direct climate-related risk, like low-lying coastal deltas, presents a further hazard.</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&lt;EndNote&gt;&lt;Cite&gt;&lt;Author&gt;Foresight&lt;/Author&gt;&lt;Year&gt;2011&lt;/Year&gt;&lt;RecNum&gt;1061&lt;/RecNum&gt;&lt;DisplayText&gt;&lt;style face="superscript"&gt;121&lt;/style&gt;&lt;/DisplayText&gt;&lt;record&gt;&lt;rec-number&gt;1061&lt;/rec-number&gt;&lt;foreign-keys&gt;&lt;key app="EN" db-id="wtftd20rmszxx0ettxy5exwdf90wv22s2dsf" timestamp="1419212983"&gt;1061&lt;/key&gt;&lt;/foreign-keys&gt;&lt;ref-type name="Report"&gt;27&lt;/ref-type&gt;&lt;contributors&gt;&lt;authors&gt;&lt;author&gt;Foresight,&lt;/author&gt;&lt;/authors&gt;&lt;/contributors&gt;&lt;titles&gt;&lt;title&gt;Migration and Global Environmental Change: Future Challenges and Opportunities&lt;/title&gt;&lt;/titles&gt;&lt;dates&gt;&lt;year&gt;2011&lt;/year&gt;&lt;/dates&gt;&lt;pub-location&gt;London&lt;/pub-location&gt;&lt;publisher&gt;UK Government Office for Science&lt;/publisher&gt;&lt;urls&gt;&lt;/urls&gt;&lt;/record&gt;&lt;/Cite&gt;&lt;/EndNote&gt;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121</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The mental health implications of involuntary migration are often down-stream effects, seen as a result of multiple interacting social fa</w:t>
      </w:r>
      <w:r w:rsidRPr="00142ED0">
        <w:rPr>
          <w:rFonts w:ascii="Calibri" w:hAnsi="Calibri" w:cs="Times New Roman"/>
          <w:sz w:val="22"/>
          <w:lang w:val="en-GB"/>
        </w:rPr>
        <w:t xml:space="preserve">ctors. (Box </w:t>
      </w:r>
      <w:r w:rsidR="00D036C9">
        <w:rPr>
          <w:rFonts w:ascii="Calibri" w:hAnsi="Calibri" w:cs="Times New Roman"/>
          <w:sz w:val="22"/>
          <w:lang w:val="en-GB"/>
        </w:rPr>
        <w:t>3</w:t>
      </w:r>
      <w:r w:rsidRPr="004008E1">
        <w:rPr>
          <w:rFonts w:ascii="Calibri" w:hAnsi="Calibri" w:cs="Times New Roman"/>
          <w:sz w:val="22"/>
          <w:lang w:val="en-GB"/>
        </w:rPr>
        <w:t>.4</w:t>
      </w:r>
      <w:r w:rsidRPr="00B50254">
        <w:rPr>
          <w:rFonts w:ascii="Calibri" w:hAnsi="Calibri" w:cs="Times New Roman"/>
          <w:sz w:val="22"/>
          <w:lang w:val="en-GB"/>
        </w:rPr>
        <w:t>)</w:t>
      </w:r>
    </w:p>
    <w:p w:rsidR="00FB601E" w:rsidRPr="00B50254" w:rsidRDefault="00FB601E" w:rsidP="00FB601E">
      <w:pPr>
        <w:rPr>
          <w:rFonts w:ascii="Calibri" w:hAnsi="Calibri" w:cs="Times New Roman"/>
          <w:sz w:val="22"/>
          <w:lang w:val="en-GB"/>
        </w:rPr>
      </w:pPr>
    </w:p>
    <w:tbl>
      <w:tblPr>
        <w:tblW w:w="0" w:type="auto"/>
        <w:shd w:val="clear" w:color="auto" w:fill="F2F2F2" w:themeFill="background1" w:themeFillShade="F2"/>
        <w:tblLook w:val="04A0" w:firstRow="1" w:lastRow="0" w:firstColumn="1" w:lastColumn="0" w:noHBand="0" w:noVBand="1"/>
      </w:tblPr>
      <w:tblGrid>
        <w:gridCol w:w="9241"/>
      </w:tblGrid>
      <w:tr w:rsidR="005C12E5" w:rsidRPr="004B2349" w:rsidTr="00FE56B7">
        <w:tc>
          <w:tcPr>
            <w:tcW w:w="9241" w:type="dxa"/>
            <w:shd w:val="clear" w:color="auto" w:fill="F2F2F2" w:themeFill="background1" w:themeFillShade="F2"/>
          </w:tcPr>
          <w:p w:rsidR="005C12E5" w:rsidRPr="004B2349" w:rsidRDefault="005C12E5" w:rsidP="00FE56B7">
            <w:pPr>
              <w:rPr>
                <w:rFonts w:ascii="Calibri" w:hAnsi="Calibri" w:cs="Times New Roman"/>
                <w:b/>
                <w:sz w:val="20"/>
                <w:lang w:val="en-GB"/>
              </w:rPr>
            </w:pPr>
          </w:p>
          <w:p w:rsidR="005C12E5" w:rsidRPr="004B2349" w:rsidRDefault="005C12E5" w:rsidP="00FE56B7">
            <w:pPr>
              <w:jc w:val="center"/>
              <w:rPr>
                <w:rFonts w:ascii="Calibri" w:hAnsi="Calibri" w:cs="Times New Roman"/>
                <w:b/>
                <w:sz w:val="20"/>
                <w:lang w:val="en-GB"/>
              </w:rPr>
            </w:pPr>
            <w:r w:rsidRPr="004B2349">
              <w:rPr>
                <w:rFonts w:ascii="Calibri" w:hAnsi="Calibri" w:cs="Times New Roman"/>
                <w:b/>
                <w:sz w:val="20"/>
                <w:lang w:val="en-GB"/>
              </w:rPr>
              <w:t xml:space="preserve">Box </w:t>
            </w:r>
            <w:r>
              <w:rPr>
                <w:rFonts w:ascii="Calibri" w:hAnsi="Calibri" w:cs="Times New Roman"/>
                <w:b/>
                <w:sz w:val="20"/>
                <w:lang w:val="en-GB"/>
              </w:rPr>
              <w:t>3</w:t>
            </w:r>
            <w:r w:rsidRPr="004B2349">
              <w:rPr>
                <w:rFonts w:ascii="Calibri" w:hAnsi="Calibri" w:cs="Times New Roman"/>
                <w:b/>
                <w:sz w:val="20"/>
                <w:lang w:val="en-GB"/>
              </w:rPr>
              <w:t>.4: Mental health impacts and interventions</w:t>
            </w:r>
          </w:p>
          <w:p w:rsidR="005C12E5" w:rsidRPr="004B2349" w:rsidRDefault="005C12E5" w:rsidP="00FE56B7">
            <w:pPr>
              <w:rPr>
                <w:rFonts w:ascii="Calibri" w:hAnsi="Calibri" w:cs="Times New Roman"/>
                <w:b/>
                <w:sz w:val="20"/>
                <w:lang w:val="en-GB"/>
              </w:rPr>
            </w:pPr>
          </w:p>
          <w:p w:rsidR="005C12E5" w:rsidRPr="00A37EA9" w:rsidRDefault="005C12E5" w:rsidP="00FE56B7">
            <w:pPr>
              <w:jc w:val="both"/>
              <w:rPr>
                <w:rFonts w:ascii="Calibri" w:hAnsi="Calibri" w:cs="Times New Roman"/>
                <w:sz w:val="20"/>
                <w:lang w:val="en-GB"/>
              </w:rPr>
            </w:pPr>
            <w:r w:rsidRPr="004B2349">
              <w:rPr>
                <w:rFonts w:ascii="Calibri" w:hAnsi="Calibri" w:cs="Times New Roman"/>
                <w:sz w:val="20"/>
                <w:lang w:val="en-GB"/>
              </w:rPr>
              <w:t>Climate change affects mental health through multiple pathways by inflicting natural disasters on human settlements, causing anxiety-related responses and later chronic and severe mental health disorders, as well as implications for mental health systems.</w:t>
            </w:r>
            <w:r w:rsidR="00E13392" w:rsidRPr="00142ED0">
              <w:rPr>
                <w:rFonts w:ascii="Calibri" w:hAnsi="Calibri" w:cs="Times New Roman"/>
                <w:sz w:val="20"/>
                <w:lang w:val="en-GB"/>
              </w:rPr>
              <w:fldChar w:fldCharType="begin">
                <w:fldData xml:space="preserve">PEVuZE5vdGU+PENpdGU+PEF1dGhvcj5CZXJyeTwvQXV0aG9yPjxZZWFyPjIwMTA8L1llYXI+PFJl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</w:fldData>
              </w:fldChar>
            </w:r>
            <w:r w:rsidR="00723833">
              <w:rPr>
                <w:rFonts w:ascii="Calibri" w:hAnsi="Calibri" w:cs="Times New Roman"/>
                <w:sz w:val="20"/>
                <w:lang w:val="en-GB"/>
              </w:rPr>
              <w:instrText xml:space="preserve"> ADDIN EN.CITE </w:instrText>
            </w:r>
            <w:r w:rsidR="00E13392">
              <w:rPr>
                <w:rFonts w:ascii="Calibri" w:hAnsi="Calibri" w:cs="Times New Roman"/>
                <w:sz w:val="20"/>
                <w:lang w:val="en-GB"/>
              </w:rPr>
              <w:fldChar w:fldCharType="begin">
                <w:fldData xml:space="preserve">PEVuZE5vdGU+PENpdGU+PEF1dGhvcj5CZXJyeTwvQXV0aG9yPjxZZWFyPjIwMTA8L1llYXI+PFJl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</w:fldData>
              </w:fldChar>
            </w:r>
            <w:r w:rsidR="00723833">
              <w:rPr>
                <w:rFonts w:ascii="Calibri" w:hAnsi="Calibri" w:cs="Times New Roman"/>
                <w:sz w:val="20"/>
                <w:lang w:val="en-GB"/>
              </w:rPr>
              <w:instrText xml:space="preserve"> ADDIN EN.CITE.DATA </w:instrText>
            </w:r>
            <w:r w:rsidR="00E13392">
              <w:rPr>
                <w:rFonts w:ascii="Calibri" w:hAnsi="Calibri" w:cs="Times New Roman"/>
                <w:sz w:val="20"/>
                <w:lang w:val="en-GB"/>
              </w:rPr>
            </w:r>
            <w:r w:rsidR="00E13392">
              <w:rPr>
                <w:rFonts w:ascii="Calibri" w:hAnsi="Calibri" w:cs="Times New Roman"/>
                <w:sz w:val="20"/>
                <w:lang w:val="en-GB"/>
              </w:rPr>
              <w:fldChar w:fldCharType="end"/>
            </w:r>
            <w:r w:rsidR="00E13392" w:rsidRPr="00142ED0">
              <w:rPr>
                <w:rFonts w:ascii="Calibri" w:hAnsi="Calibri" w:cs="Times New Roman"/>
                <w:sz w:val="20"/>
                <w:lang w:val="en-GB"/>
              </w:rPr>
            </w:r>
            <w:r w:rsidR="00E13392" w:rsidRPr="00142ED0">
              <w:rPr>
                <w:rFonts w:ascii="Calibri" w:hAnsi="Calibri" w:cs="Times New Roman"/>
                <w:sz w:val="20"/>
                <w:lang w:val="en-GB"/>
              </w:rPr>
              <w:fldChar w:fldCharType="separate"/>
            </w:r>
            <w:r w:rsidR="00723833" w:rsidRPr="00723833">
              <w:rPr>
                <w:rFonts w:ascii="Calibri" w:hAnsi="Calibri" w:cs="Times New Roman"/>
                <w:noProof/>
                <w:sz w:val="20"/>
                <w:vertAlign w:val="superscript"/>
                <w:lang w:val="en-GB"/>
              </w:rPr>
              <w:t>147,148</w:t>
            </w:r>
            <w:r w:rsidR="00E13392" w:rsidRPr="00142ED0">
              <w:rPr>
                <w:rFonts w:ascii="Calibri" w:hAnsi="Calibri" w:cs="Times New Roman"/>
                <w:sz w:val="20"/>
                <w:lang w:val="en-GB"/>
              </w:rPr>
              <w:fldChar w:fldCharType="end"/>
            </w:r>
            <w:r w:rsidRPr="00A37EA9">
              <w:rPr>
                <w:rFonts w:ascii="Calibri" w:hAnsi="Calibri" w:cs="Times New Roman"/>
                <w:sz w:val="20"/>
                <w:lang w:val="en-GB"/>
              </w:rPr>
              <w:t xml:space="preserve"> These effects will fall disproportionately on those who are already vulnerable, e</w:t>
            </w:r>
            <w:r w:rsidRPr="00142ED0">
              <w:rPr>
                <w:rFonts w:ascii="Calibri" w:hAnsi="Calibri" w:cs="Times New Roman"/>
                <w:sz w:val="20"/>
                <w:lang w:val="en-GB"/>
              </w:rPr>
              <w:t>specially for indigenous peoples and those living in low resource settings.</w:t>
            </w:r>
            <w:r w:rsidR="00E13392" w:rsidRPr="00142ED0">
              <w:rPr>
                <w:rFonts w:ascii="Calibri" w:hAnsi="Calibri" w:cs="Times New Roman"/>
                <w:sz w:val="20"/>
                <w:lang w:val="en-GB"/>
              </w:rPr>
              <w:fldChar w:fldCharType="begin"/>
            </w:r>
            <w:r w:rsidR="00723833">
              <w:rPr>
                <w:rFonts w:ascii="Calibri" w:hAnsi="Calibri" w:cs="Times New Roman"/>
                <w:sz w:val="20"/>
                <w:lang w:val="en-GB"/>
              </w:rPr>
              <w:instrText xml:space="preserve"> ADDIN EN.CITE &lt;EndNote&gt;&lt;Cite&gt;&lt;Author&gt;Berry&lt;/Author&gt;&lt;Year&gt;2010&lt;/Year&gt;&lt;RecNum&gt;1003&lt;/RecNum&gt;&lt;DisplayText&gt;&lt;style face="superscript"&gt;147&lt;/style&gt;&lt;/DisplayText&gt;&lt;record&gt;&lt;rec-number&gt;1003&lt;/rec-number&gt;&lt;foreign-keys&gt;&lt;key app="EN" db-id="wtftd20rmszxx0ettxy5exwdf90wv22s2dsf" timestamp="1419212983"&gt;1003&lt;/key&gt;&lt;/foreign-keys&gt;&lt;ref-type name="Journal Article"&gt;17&lt;/ref-type&gt;&lt;contributors&gt;&lt;authors&gt;&lt;author&gt;Berry, H. L.&lt;/author&gt;&lt;author&gt;Bowen, K.&lt;/author&gt;&lt;author&gt;Kjellstrom, T.&lt;/author&gt;&lt;/authors&gt;&lt;/contributors&gt;&lt;auth-address&gt;National Centre for Epidemiology and Population Health, College of Medicine, Biology and Environment, The Australian National University, Canberra, Australia. Helen.Berry@anu.edu.au&lt;/auth-address&gt;&lt;titles&gt;&lt;title&gt;Climate change and mental health: a causal pathways framework&lt;/title&gt;&lt;secondary-title&gt;Int J Public Health&lt;/secondary-title&gt;&lt;alt-title&gt;International journal of public health&lt;/alt-title&gt;&lt;/titles&gt;&lt;periodical&gt;&lt;full-title&gt;Int J Public Health&lt;/full-title&gt;&lt;abbr-1&gt;International journal of public health&lt;/abbr-1&gt;&lt;/periodical&gt;&lt;alt-periodical&gt;&lt;full-title&gt;Int J Public Health&lt;/full-title&gt;&lt;abbr-1&gt;International journal of public health&lt;/abbr-1&gt;&lt;/alt-periodical&gt;&lt;pages&gt;123-32&lt;/pages&gt;&lt;volume&gt;55&lt;/volume&gt;&lt;number&gt;2&lt;/number&gt;&lt;edition&gt;2009/12/25&lt;/edition&gt;&lt;keywords&gt;&lt;keyword&gt;Adaptation, Psychological&lt;/keyword&gt;&lt;keyword&gt;*Climate Change&lt;/keyword&gt;&lt;keyword&gt;Humans&lt;/keyword&gt;&lt;keyword&gt;Mental Disorders/etiology&lt;/keyword&gt;&lt;keyword&gt;*Mental Health&lt;/keyword&gt;&lt;keyword&gt;Public Health&lt;/keyword&gt;&lt;/keywords&gt;&lt;dates&gt;&lt;year&gt;2010&lt;/year&gt;&lt;pub-dates&gt;&lt;date&gt;Apr&lt;/date&gt;&lt;/pub-dates&gt;&lt;/dates&gt;&lt;isbn&gt;1661-8556&lt;/isbn&gt;&lt;accession-num&gt;20033251&lt;/accession-num&gt;&lt;urls&gt;&lt;/urls&gt;&lt;electronic-resource-num&gt;10.1007/s00038-009-0112-0&lt;/electronic-resource-num&gt;&lt;remote-database-provider&gt;NLM&lt;/remote-database-provider&gt;&lt;language&gt;eng&lt;/language&gt;&lt;/record&gt;&lt;/Cite&gt;&lt;/EndNote&gt;</w:instrText>
            </w:r>
            <w:r w:rsidR="00E13392" w:rsidRPr="00142ED0">
              <w:rPr>
                <w:rFonts w:ascii="Calibri" w:hAnsi="Calibri" w:cs="Times New Roman"/>
                <w:sz w:val="20"/>
                <w:lang w:val="en-GB"/>
              </w:rPr>
              <w:fldChar w:fldCharType="separate"/>
            </w:r>
            <w:r w:rsidR="00723833" w:rsidRPr="00723833">
              <w:rPr>
                <w:rFonts w:ascii="Calibri" w:hAnsi="Calibri" w:cs="Times New Roman"/>
                <w:noProof/>
                <w:sz w:val="20"/>
                <w:vertAlign w:val="superscript"/>
                <w:lang w:val="en-GB"/>
              </w:rPr>
              <w:t>147</w:t>
            </w:r>
            <w:r w:rsidR="00E13392" w:rsidRPr="00142ED0">
              <w:rPr>
                <w:rFonts w:ascii="Calibri" w:hAnsi="Calibri" w:cs="Times New Roman"/>
                <w:sz w:val="20"/>
                <w:lang w:val="en-GB"/>
              </w:rPr>
              <w:fldChar w:fldCharType="end"/>
            </w:r>
            <w:r w:rsidRPr="00A37EA9">
              <w:rPr>
                <w:rFonts w:ascii="Calibri" w:hAnsi="Calibri" w:cs="Times New Roman"/>
                <w:sz w:val="20"/>
                <w:lang w:val="en-GB"/>
              </w:rPr>
              <w:t xml:space="preserve"> In addition, there may be a distressing sense of loss, known as solastalgia, that people experience when their land is damaged and they lose amenity and </w:t>
            </w:r>
            <w:r w:rsidRPr="00142ED0">
              <w:rPr>
                <w:rFonts w:ascii="Calibri" w:hAnsi="Calibri" w:cs="Times New Roman"/>
                <w:sz w:val="20"/>
                <w:lang w:val="en-GB"/>
              </w:rPr>
              <w:t>opportunity.</w:t>
            </w:r>
            <w:r w:rsidR="00E13392" w:rsidRPr="00142ED0">
              <w:rPr>
                <w:rFonts w:ascii="Calibri" w:hAnsi="Calibri" w:cs="Times New Roman"/>
                <w:sz w:val="20"/>
                <w:lang w:val="en-GB"/>
              </w:rPr>
              <w:fldChar w:fldCharType="begin"/>
            </w:r>
            <w:r w:rsidR="00723833">
              <w:rPr>
                <w:rFonts w:ascii="Calibri" w:hAnsi="Calibri" w:cs="Times New Roman"/>
                <w:sz w:val="20"/>
                <w:lang w:val="en-GB"/>
              </w:rPr>
              <w:instrText xml:space="preserve"> ADDIN EN.CITE &lt;EndNote&gt;&lt;Cite&gt;&lt;Author&gt;Albrecht&lt;/Author&gt;&lt;Year&gt;2007&lt;/Year&gt;&lt;RecNum&gt;1076&lt;/RecNum&gt;&lt;DisplayText&gt;&lt;style face="superscript"&gt;149&lt;/style&gt;&lt;/DisplayText&gt;&lt;record&gt;&lt;rec-number&gt;1076&lt;/rec-number&gt;&lt;foreign-keys&gt;&lt;key app="EN" db-id="wtftd20rmszxx0ettxy5exwdf90wv22s2dsf" timestamp="1419212983"&gt;1076&lt;/key&gt;&lt;/foreign-keys&gt;&lt;ref-type name="Journal Article"&gt;17&lt;/ref-type&gt;&lt;contributors&gt;&lt;authors&gt;&lt;author&gt;Albrecht, G.&lt;/author&gt;&lt;author&gt;Sartore, G. M.&lt;/author&gt;&lt;author&gt;Connor, L.&lt;/author&gt;&lt;author&gt;Higginbotham, N.&lt;/author&gt;&lt;author&gt;Freeman, S.&lt;/author&gt;&lt;author&gt;Kelly, B.&lt;/author&gt;&lt;author&gt;Stain, H.&lt;/author&gt;&lt;author&gt;Tonna, A.&lt;/author&gt;&lt;author&gt;Pollard, G.&lt;/author&gt;&lt;/authors&gt;&lt;/contributors&gt;&lt;auth-address&gt;School of Environmental and Life Sciences, The University of Newcastle, Callaghan, NSW, Australia. Glenn.Albrecht@newcastle.edu.au&lt;/auth-address&gt;&lt;titles&gt;&lt;title&gt;Solastalgia: the distress caused by environmental change&lt;/title&gt;&lt;secondary-title&gt;Australasian Psychiatry: bulletin of Royal Australian and New Zealand College of Psychiatrists&lt;/secondary-title&gt;&lt;/titles&gt;&lt;periodical&gt;&lt;full-title&gt;Australasian Psychiatry: bulletin of Royal Australian and New Zealand College of Psychiatrists&lt;/full-title&gt;&lt;/periodical&gt;&lt;pages&gt;S95 - S98&lt;/pages&gt;&lt;volume&gt;15&lt;/volume&gt;&lt;number&gt;1&lt;/number&gt;&lt;keywords&gt;&lt;keyword&gt;Disasters&lt;/keyword&gt;&lt;keyword&gt;*Environment&lt;/keyword&gt;&lt;keyword&gt;Environmental Pollution&lt;/keyword&gt;&lt;keyword&gt;Focus Groups&lt;/keyword&gt;&lt;keyword&gt;Health Surveys&lt;/keyword&gt;&lt;keyword&gt;Humans&lt;/keyword&gt;&lt;keyword&gt;Internal-External Control&lt;/keyword&gt;&lt;keyword&gt;*Mental Disorders&lt;/keyword&gt;&lt;keyword&gt;Mining&lt;/keyword&gt;&lt;keyword&gt;New South Wales&lt;/keyword&gt;&lt;keyword&gt;Rural Population&lt;/keyword&gt;&lt;keyword&gt;*Stress, Psychological&lt;/keyword&gt;&lt;keyword&gt;Syndrome&lt;/keyword&gt;&lt;/keywords&gt;&lt;dates&gt;&lt;year&gt;2007&lt;/year&gt;&lt;/dates&gt;&lt;accession-num&gt;18027145&lt;/accession-num&gt;&lt;urls&gt;&lt;/urls&gt;&lt;electronic-resource-num&gt;10.1080/10398560701701288&lt;/electronic-resource-num&gt;&lt;remote-database-provider&gt;NLM&lt;/remote-database-provider&gt;&lt;language&gt;eng&lt;/language&gt;&lt;/record&gt;&lt;/Cite&gt;&lt;/EndNote&gt;</w:instrText>
            </w:r>
            <w:r w:rsidR="00E13392" w:rsidRPr="00142ED0">
              <w:rPr>
                <w:rFonts w:ascii="Calibri" w:hAnsi="Calibri" w:cs="Times New Roman"/>
                <w:sz w:val="20"/>
                <w:lang w:val="en-GB"/>
              </w:rPr>
              <w:fldChar w:fldCharType="separate"/>
            </w:r>
            <w:r w:rsidR="00723833" w:rsidRPr="00723833">
              <w:rPr>
                <w:rFonts w:ascii="Calibri" w:hAnsi="Calibri" w:cs="Times New Roman"/>
                <w:noProof/>
                <w:sz w:val="20"/>
                <w:vertAlign w:val="superscript"/>
                <w:lang w:val="en-GB"/>
              </w:rPr>
              <w:t>149</w:t>
            </w:r>
            <w:r w:rsidR="00E13392" w:rsidRPr="00142ED0">
              <w:rPr>
                <w:rFonts w:ascii="Calibri" w:hAnsi="Calibri" w:cs="Times New Roman"/>
                <w:sz w:val="20"/>
                <w:lang w:val="en-GB"/>
              </w:rPr>
              <w:fldChar w:fldCharType="end"/>
            </w:r>
          </w:p>
          <w:p w:rsidR="005C12E5" w:rsidRPr="00142ED0" w:rsidRDefault="005C12E5" w:rsidP="00FE56B7">
            <w:pPr>
              <w:jc w:val="both"/>
              <w:rPr>
                <w:rFonts w:ascii="Calibri" w:hAnsi="Calibri"/>
                <w:lang w:val="en-GB"/>
              </w:rPr>
            </w:pPr>
          </w:p>
          <w:p w:rsidR="005C12E5" w:rsidRPr="00A37EA9" w:rsidRDefault="005C12E5" w:rsidP="00FE56B7">
            <w:pPr>
              <w:jc w:val="both"/>
              <w:rPr>
                <w:rFonts w:ascii="Calibri" w:hAnsi="Calibri"/>
                <w:lang w:val="en-GB"/>
              </w:rPr>
            </w:pPr>
            <w:r w:rsidRPr="004008E1">
              <w:rPr>
                <w:rFonts w:ascii="Calibri" w:hAnsi="Calibri" w:cs="Times New Roman"/>
                <w:sz w:val="20"/>
                <w:lang w:val="en-GB"/>
              </w:rPr>
              <w:t>Elevated levels of anxiety, depression and post-traumatic stress disorders have been found in populations who have experienced flooding and for slow-developing events such as prolonged droughts,</w:t>
            </w:r>
            <w:r w:rsidR="00E13392" w:rsidRPr="00142ED0">
              <w:rPr>
                <w:rFonts w:ascii="Calibri" w:hAnsi="Calibri" w:cs="Times New Roman"/>
                <w:sz w:val="20"/>
                <w:lang w:val="en-GB"/>
              </w:rPr>
              <w:fldChar w:fldCharType="begin">
                <w:fldData xml:space="preserve">PEVuZE5vdGU+PENpdGU+PEF1dGhvcj5BaGVybjwvQXV0aG9yPjxZZWFyPjIwMDU8L1llYXI+PFJl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</w:fldData>
              </w:fldChar>
            </w:r>
            <w:r w:rsidR="00723833">
              <w:rPr>
                <w:rFonts w:ascii="Calibri" w:hAnsi="Calibri" w:cs="Times New Roman"/>
                <w:sz w:val="20"/>
                <w:lang w:val="en-GB"/>
              </w:rPr>
              <w:instrText xml:space="preserve"> ADDIN EN.CITE </w:instrText>
            </w:r>
            <w:r w:rsidR="00E13392">
              <w:rPr>
                <w:rFonts w:ascii="Calibri" w:hAnsi="Calibri" w:cs="Times New Roman"/>
                <w:sz w:val="20"/>
                <w:lang w:val="en-GB"/>
              </w:rPr>
              <w:fldChar w:fldCharType="begin">
                <w:fldData xml:space="preserve">PEVuZE5vdGU+PENpdGU+PEF1dGhvcj5BaGVybjwvQXV0aG9yPjxZZWFyPjIwMDU8L1llYXI+PFJl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</w:fldData>
              </w:fldChar>
            </w:r>
            <w:r w:rsidR="00723833">
              <w:rPr>
                <w:rFonts w:ascii="Calibri" w:hAnsi="Calibri" w:cs="Times New Roman"/>
                <w:sz w:val="20"/>
                <w:lang w:val="en-GB"/>
              </w:rPr>
              <w:instrText xml:space="preserve"> ADDIN EN.CITE.DATA </w:instrText>
            </w:r>
            <w:r w:rsidR="00E13392">
              <w:rPr>
                <w:rFonts w:ascii="Calibri" w:hAnsi="Calibri" w:cs="Times New Roman"/>
                <w:sz w:val="20"/>
                <w:lang w:val="en-GB"/>
              </w:rPr>
            </w:r>
            <w:r w:rsidR="00E13392">
              <w:rPr>
                <w:rFonts w:ascii="Calibri" w:hAnsi="Calibri" w:cs="Times New Roman"/>
                <w:sz w:val="20"/>
                <w:lang w:val="en-GB"/>
              </w:rPr>
              <w:fldChar w:fldCharType="end"/>
            </w:r>
            <w:r w:rsidR="00E13392" w:rsidRPr="00142ED0">
              <w:rPr>
                <w:rFonts w:ascii="Calibri" w:hAnsi="Calibri" w:cs="Times New Roman"/>
                <w:sz w:val="20"/>
                <w:lang w:val="en-GB"/>
              </w:rPr>
            </w:r>
            <w:r w:rsidR="00E13392" w:rsidRPr="00142ED0">
              <w:rPr>
                <w:rFonts w:ascii="Calibri" w:hAnsi="Calibri" w:cs="Times New Roman"/>
                <w:sz w:val="20"/>
                <w:lang w:val="en-GB"/>
              </w:rPr>
              <w:fldChar w:fldCharType="separate"/>
            </w:r>
            <w:r w:rsidR="00723833" w:rsidRPr="00723833">
              <w:rPr>
                <w:rFonts w:ascii="Calibri" w:hAnsi="Calibri" w:cs="Times New Roman"/>
                <w:noProof/>
                <w:sz w:val="20"/>
                <w:vertAlign w:val="superscript"/>
                <w:lang w:val="en-GB"/>
              </w:rPr>
              <w:t>93,96</w:t>
            </w:r>
            <w:r w:rsidR="00E13392" w:rsidRPr="00142ED0">
              <w:rPr>
                <w:rFonts w:ascii="Calibri" w:hAnsi="Calibri" w:cs="Times New Roman"/>
                <w:sz w:val="20"/>
                <w:lang w:val="en-GB"/>
              </w:rPr>
              <w:fldChar w:fldCharType="end"/>
            </w:r>
            <w:r w:rsidRPr="00A37EA9">
              <w:rPr>
                <w:rFonts w:ascii="Calibri" w:hAnsi="Calibri" w:cs="Times New Roman"/>
                <w:sz w:val="20"/>
                <w:lang w:val="en-GB"/>
              </w:rPr>
              <w:t xml:space="preserve"> impacts include chronic distress and increased incidence of suicide.</w:t>
            </w:r>
            <w:r w:rsidR="00E13392" w:rsidRPr="00142ED0">
              <w:rPr>
                <w:rFonts w:ascii="Calibri" w:hAnsi="Calibri" w:cs="Times New Roman"/>
                <w:sz w:val="20"/>
                <w:lang w:val="en-GB"/>
              </w:rPr>
              <w:fldChar w:fldCharType="begin">
                <w:fldData xml:space="preserve">PEVuZE5vdGU+PENpdGU+PEF1dGhvcj5IYW5pZ2FuPC9BdXRob3I+PFllYXI+MjAxMjwvWWVhcj48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L3BlcmlvZGljYWw+PGFsdC1wZXJpb2RpY2FsPjxmdWxsLXRpdGxlPlByb2NlZWRpbmdzIG9mIHRo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</w:fldData>
              </w:fldChar>
            </w:r>
            <w:r w:rsidR="00723833">
              <w:rPr>
                <w:rFonts w:ascii="Calibri" w:hAnsi="Calibri" w:cs="Times New Roman"/>
                <w:sz w:val="20"/>
                <w:lang w:val="en-GB"/>
              </w:rPr>
              <w:instrText xml:space="preserve"> ADDIN EN.CITE </w:instrText>
            </w:r>
            <w:r w:rsidR="00E13392">
              <w:rPr>
                <w:rFonts w:ascii="Calibri" w:hAnsi="Calibri" w:cs="Times New Roman"/>
                <w:sz w:val="20"/>
                <w:lang w:val="en-GB"/>
              </w:rPr>
              <w:fldChar w:fldCharType="begin">
                <w:fldData xml:space="preserve">PEVuZE5vdGU+PENpdGU+PEF1dGhvcj5IYW5pZ2FuPC9BdXRob3I+PFllYXI+MjAxMjwvWWVhcj48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</w:fldData>
              </w:fldChar>
            </w:r>
            <w:r w:rsidR="00723833">
              <w:rPr>
                <w:rFonts w:ascii="Calibri" w:hAnsi="Calibri" w:cs="Times New Roman"/>
                <w:sz w:val="20"/>
                <w:lang w:val="en-GB"/>
              </w:rPr>
              <w:instrText xml:space="preserve"> ADDIN EN.CITE.DATA </w:instrText>
            </w:r>
            <w:r w:rsidR="00E13392">
              <w:rPr>
                <w:rFonts w:ascii="Calibri" w:hAnsi="Calibri" w:cs="Times New Roman"/>
                <w:sz w:val="20"/>
                <w:lang w:val="en-GB"/>
              </w:rPr>
            </w:r>
            <w:r w:rsidR="00E13392">
              <w:rPr>
                <w:rFonts w:ascii="Calibri" w:hAnsi="Calibri" w:cs="Times New Roman"/>
                <w:sz w:val="20"/>
                <w:lang w:val="en-GB"/>
              </w:rPr>
              <w:fldChar w:fldCharType="end"/>
            </w:r>
            <w:r w:rsidR="00E13392" w:rsidRPr="00142ED0">
              <w:rPr>
                <w:rFonts w:ascii="Calibri" w:hAnsi="Calibri" w:cs="Times New Roman"/>
                <w:sz w:val="20"/>
                <w:lang w:val="en-GB"/>
              </w:rPr>
            </w:r>
            <w:r w:rsidR="00E13392" w:rsidRPr="00142ED0">
              <w:rPr>
                <w:rFonts w:ascii="Calibri" w:hAnsi="Calibri" w:cs="Times New Roman"/>
                <w:sz w:val="20"/>
                <w:lang w:val="en-GB"/>
              </w:rPr>
              <w:fldChar w:fldCharType="separate"/>
            </w:r>
            <w:r w:rsidR="00723833" w:rsidRPr="00723833">
              <w:rPr>
                <w:rFonts w:ascii="Calibri" w:hAnsi="Calibri" w:cs="Times New Roman"/>
                <w:noProof/>
                <w:sz w:val="20"/>
                <w:vertAlign w:val="superscript"/>
                <w:lang w:val="en-GB"/>
              </w:rPr>
              <w:t>150,151</w:t>
            </w:r>
            <w:r w:rsidR="00E13392" w:rsidRPr="00142ED0">
              <w:rPr>
                <w:rFonts w:ascii="Calibri" w:hAnsi="Calibri" w:cs="Times New Roman"/>
                <w:sz w:val="20"/>
                <w:lang w:val="en-GB"/>
              </w:rPr>
              <w:fldChar w:fldCharType="end"/>
            </w:r>
            <w:r w:rsidRPr="00A37EA9">
              <w:rPr>
                <w:rFonts w:ascii="Calibri" w:hAnsi="Calibri" w:cs="Times New Roman"/>
                <w:sz w:val="20"/>
                <w:lang w:val="en-GB"/>
              </w:rPr>
              <w:t xml:space="preserve"> Even in high-income regions where the humanitarian crisis might be less, the impact on the local</w:t>
            </w:r>
            <w:r w:rsidRPr="00142ED0">
              <w:rPr>
                <w:rFonts w:ascii="Calibri" w:hAnsi="Calibri" w:cs="Times New Roman"/>
                <w:sz w:val="20"/>
                <w:lang w:val="en-GB"/>
              </w:rPr>
              <w:t xml:space="preserve"> economy, damaged homes and economic losses may persist for years after.</w:t>
            </w:r>
            <w:r w:rsidR="00E13392" w:rsidRPr="00142ED0">
              <w:rPr>
                <w:rFonts w:ascii="Calibri" w:hAnsi="Calibri" w:cs="Times New Roman"/>
                <w:sz w:val="20"/>
                <w:lang w:val="en-GB"/>
              </w:rPr>
              <w:fldChar w:fldCharType="begin">
                <w:fldData xml:space="preserve">PEVuZE5vdGU+PENpdGU+PEF1dGhvcj5LZXNzbGVyPC9BdXRob3I+PFllYXI+MjAwODwvWWVhcj48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</w:fldData>
              </w:fldChar>
            </w:r>
            <w:r w:rsidR="00723833">
              <w:rPr>
                <w:rFonts w:ascii="Calibri" w:hAnsi="Calibri" w:cs="Times New Roman"/>
                <w:sz w:val="20"/>
                <w:lang w:val="en-GB"/>
              </w:rPr>
              <w:instrText xml:space="preserve"> ADDIN EN.CITE </w:instrText>
            </w:r>
            <w:r w:rsidR="00E13392">
              <w:rPr>
                <w:rFonts w:ascii="Calibri" w:hAnsi="Calibri" w:cs="Times New Roman"/>
                <w:sz w:val="20"/>
                <w:lang w:val="en-GB"/>
              </w:rPr>
              <w:fldChar w:fldCharType="begin">
                <w:fldData xml:space="preserve">PEVuZE5vdGU+PENpdGU+PEF1dGhvcj5LZXNzbGVyPC9BdXRob3I+PFllYXI+MjAwODwvWWVhcj48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</w:fldData>
              </w:fldChar>
            </w:r>
            <w:r w:rsidR="00723833">
              <w:rPr>
                <w:rFonts w:ascii="Calibri" w:hAnsi="Calibri" w:cs="Times New Roman"/>
                <w:sz w:val="20"/>
                <w:lang w:val="en-GB"/>
              </w:rPr>
              <w:instrText xml:space="preserve"> ADDIN EN.CITE.DATA </w:instrText>
            </w:r>
            <w:r w:rsidR="00E13392">
              <w:rPr>
                <w:rFonts w:ascii="Calibri" w:hAnsi="Calibri" w:cs="Times New Roman"/>
                <w:sz w:val="20"/>
                <w:lang w:val="en-GB"/>
              </w:rPr>
            </w:r>
            <w:r w:rsidR="00E13392">
              <w:rPr>
                <w:rFonts w:ascii="Calibri" w:hAnsi="Calibri" w:cs="Times New Roman"/>
                <w:sz w:val="20"/>
                <w:lang w:val="en-GB"/>
              </w:rPr>
              <w:fldChar w:fldCharType="end"/>
            </w:r>
            <w:r w:rsidR="00E13392" w:rsidRPr="00142ED0">
              <w:rPr>
                <w:rFonts w:ascii="Calibri" w:hAnsi="Calibri" w:cs="Times New Roman"/>
                <w:sz w:val="20"/>
                <w:lang w:val="en-GB"/>
              </w:rPr>
            </w:r>
            <w:r w:rsidR="00E13392" w:rsidRPr="00142ED0">
              <w:rPr>
                <w:rFonts w:ascii="Calibri" w:hAnsi="Calibri" w:cs="Times New Roman"/>
                <w:sz w:val="20"/>
                <w:lang w:val="en-GB"/>
              </w:rPr>
              <w:fldChar w:fldCharType="separate"/>
            </w:r>
            <w:r w:rsidR="00723833" w:rsidRPr="00723833">
              <w:rPr>
                <w:rFonts w:ascii="Calibri" w:hAnsi="Calibri" w:cs="Times New Roman"/>
                <w:noProof/>
                <w:sz w:val="20"/>
                <w:vertAlign w:val="superscript"/>
                <w:lang w:val="en-GB"/>
              </w:rPr>
              <w:t>152</w:t>
            </w:r>
            <w:r w:rsidR="00E13392" w:rsidRPr="00142ED0">
              <w:rPr>
                <w:rFonts w:ascii="Calibri" w:hAnsi="Calibri" w:cs="Times New Roman"/>
                <w:sz w:val="20"/>
                <w:lang w:val="en-GB"/>
              </w:rPr>
              <w:fldChar w:fldCharType="end"/>
            </w:r>
          </w:p>
          <w:p w:rsidR="005C12E5" w:rsidRPr="00142ED0" w:rsidRDefault="005C12E5" w:rsidP="00FE56B7">
            <w:pPr>
              <w:jc w:val="both"/>
              <w:rPr>
                <w:rFonts w:ascii="Calibri" w:hAnsi="Calibri" w:cs="Times New Roman"/>
                <w:sz w:val="20"/>
                <w:lang w:val="en-GB"/>
              </w:rPr>
            </w:pPr>
          </w:p>
          <w:p w:rsidR="005C12E5" w:rsidRPr="00A37EA9" w:rsidRDefault="005C12E5" w:rsidP="00FE56B7">
            <w:pPr>
              <w:jc w:val="both"/>
              <w:rPr>
                <w:rFonts w:ascii="Calibri" w:hAnsi="Calibri" w:cs="Times New Roman"/>
                <w:sz w:val="20"/>
                <w:lang w:val="en-GB"/>
              </w:rPr>
            </w:pPr>
            <w:r w:rsidRPr="004008E1">
              <w:rPr>
                <w:rFonts w:ascii="Calibri" w:hAnsi="Calibri" w:cs="Times New Roman"/>
                <w:sz w:val="20"/>
                <w:lang w:val="en-GB"/>
              </w:rPr>
              <w:t>Government and agencies now emphasise psych</w:t>
            </w:r>
            <w:r w:rsidRPr="00B50254">
              <w:rPr>
                <w:rFonts w:ascii="Calibri" w:hAnsi="Calibri" w:cs="Times New Roman"/>
                <w:sz w:val="20"/>
                <w:lang w:val="en-GB"/>
              </w:rPr>
              <w:t>ological and psychosocial interventions within disaster response and emergency management. Social adaptation processes can mediate public risk perceptions and understanding, psychological and social impacts, coping responses, and behavioural adaptation.</w:t>
            </w:r>
            <w:r w:rsidR="00E13392" w:rsidRPr="00142ED0">
              <w:rPr>
                <w:rFonts w:ascii="Calibri" w:hAnsi="Calibri" w:cs="Times New Roman"/>
                <w:sz w:val="20"/>
                <w:lang w:val="en-GB"/>
              </w:rPr>
              <w:fldChar w:fldCharType="begin"/>
            </w:r>
            <w:r w:rsidR="00723833">
              <w:rPr>
                <w:rFonts w:ascii="Calibri" w:hAnsi="Calibri" w:cs="Times New Roman"/>
                <w:sz w:val="20"/>
                <w:lang w:val="en-GB"/>
              </w:rPr>
              <w:instrText xml:space="preserve"> ADDIN EN.CITE &lt;EndNote&gt;&lt;Cite&gt;&lt;Author&gt;Reser&lt;/Author&gt;&lt;Year&gt;2011&lt;/Year&gt;&lt;RecNum&gt;1172&lt;/RecNum&gt;&lt;DisplayText&gt;&lt;style face="superscript"&gt;153&lt;/style&gt;&lt;/DisplayText&gt;&lt;record&gt;&lt;rec-number&gt;1172&lt;/rec-number&gt;&lt;foreign-keys&gt;&lt;key app="EN" db-id="wtftd20rmszxx0ettxy5exwdf90wv22s2dsf" timestamp="1419212983"&gt;1172&lt;/key&gt;&lt;/foreign-keys&gt;&lt;ref-type name="Journal Article"&gt;17&lt;/ref-type&gt;&lt;contributors&gt;&lt;authors&gt;&lt;author&gt;Reser, J. P.&lt;/author&gt;&lt;author&gt;Swim, J. K.&lt;/author&gt;&lt;/authors&gt;&lt;/contributors&gt;&lt;auth-address&gt;School of Psychology, Griffith University, Gold Coast Campus, Queensland, Australia. j.reser@griffith.edu.au&lt;/auth-address&gt;&lt;titles&gt;&lt;title&gt;Adapting to and coping with the threat and impacts of climate change&lt;/title&gt;&lt;secondary-title&gt;Am Psychol&lt;/secondary-title&gt;&lt;alt-title&gt;The American psychologist&lt;/alt-title&gt;&lt;/titles&gt;&lt;periodical&gt;&lt;full-title&gt;Am Psychol&lt;/full-title&gt;&lt;abbr-1&gt;The American psychologist&lt;/abbr-1&gt;&lt;/periodical&gt;&lt;alt-periodical&gt;&lt;full-title&gt;Am Psychol&lt;/full-title&gt;&lt;abbr-1&gt;The American psychologist&lt;/abbr-1&gt;&lt;/alt-periodical&gt;&lt;pages&gt;277-89&lt;/pages&gt;&lt;volume&gt;66&lt;/volume&gt;&lt;number&gt;4&lt;/number&gt;&lt;edition&gt;2011/05/11&lt;/edition&gt;&lt;keywords&gt;&lt;keyword&gt;*Adaptation, Psychological&lt;/keyword&gt;&lt;keyword&gt;Behavior&lt;/keyword&gt;&lt;keyword&gt;*Climate Change&lt;/keyword&gt;&lt;keyword&gt;*Environment&lt;/keyword&gt;&lt;keyword&gt;Humans&lt;/keyword&gt;&lt;keyword&gt;Models, Psychological&lt;/keyword&gt;&lt;keyword&gt;Resilience, Psychological&lt;/keyword&gt;&lt;keyword&gt;Stress, Psychological&lt;/keyword&gt;&lt;/keywords&gt;&lt;dates&gt;&lt;year&gt;2011&lt;/year&gt;&lt;pub-dates&gt;&lt;date&gt;May-Jun&lt;/date&gt;&lt;/pub-dates&gt;&lt;/dates&gt;&lt;isbn&gt;0003-066x&lt;/isbn&gt;&lt;accession-num&gt;21553953&lt;/accession-num&gt;&lt;urls&gt;&lt;/urls&gt;&lt;electronic-resource-num&gt;10.1037/a0023412&lt;/electronic-resource-num&gt;&lt;remote-database-provider&gt;NLM&lt;/remote-database-provider&gt;&lt;language&gt;eng&lt;/language&gt;&lt;/record&gt;&lt;/Cite&gt;&lt;/EndNote&gt;</w:instrText>
            </w:r>
            <w:r w:rsidR="00E13392" w:rsidRPr="00142ED0">
              <w:rPr>
                <w:rFonts w:ascii="Calibri" w:hAnsi="Calibri" w:cs="Times New Roman"/>
                <w:sz w:val="20"/>
                <w:lang w:val="en-GB"/>
              </w:rPr>
              <w:fldChar w:fldCharType="separate"/>
            </w:r>
            <w:r w:rsidR="00723833" w:rsidRPr="00723833">
              <w:rPr>
                <w:rFonts w:ascii="Calibri" w:hAnsi="Calibri" w:cs="Times New Roman"/>
                <w:noProof/>
                <w:sz w:val="20"/>
                <w:vertAlign w:val="superscript"/>
                <w:lang w:val="en-GB"/>
              </w:rPr>
              <w:t>153</w:t>
            </w:r>
            <w:r w:rsidR="00E13392" w:rsidRPr="00142ED0">
              <w:rPr>
                <w:rFonts w:ascii="Calibri" w:hAnsi="Calibri" w:cs="Times New Roman"/>
                <w:sz w:val="20"/>
                <w:lang w:val="en-GB"/>
              </w:rPr>
              <w:fldChar w:fldCharType="end"/>
            </w:r>
            <w:r w:rsidRPr="00A37EA9">
              <w:rPr>
                <w:rFonts w:ascii="Calibri" w:hAnsi="Calibri" w:cs="Times New Roman"/>
                <w:sz w:val="20"/>
                <w:lang w:val="en-GB"/>
              </w:rPr>
              <w:t xml:space="preserve"> </w:t>
            </w:r>
          </w:p>
          <w:p w:rsidR="005C12E5" w:rsidRPr="00142ED0" w:rsidRDefault="005C12E5" w:rsidP="00FE56B7">
            <w:pPr>
              <w:rPr>
                <w:rFonts w:ascii="Calibri" w:hAnsi="Calibri"/>
                <w:lang w:val="en-GB"/>
              </w:rPr>
            </w:pPr>
          </w:p>
        </w:tc>
      </w:tr>
    </w:tbl>
    <w:p w:rsidR="0013438A" w:rsidRPr="004B2349" w:rsidRDefault="0013438A" w:rsidP="00B25E9E">
      <w:pPr>
        <w:rPr>
          <w:rFonts w:ascii="Calibri" w:hAnsi="Calibri"/>
          <w:i/>
          <w:lang w:val="en-GB"/>
        </w:rPr>
      </w:pPr>
    </w:p>
    <w:p w:rsidR="00FB601E" w:rsidRPr="004349AE" w:rsidRDefault="00FB601E" w:rsidP="00FB601E">
      <w:pPr>
        <w:rPr>
          <w:rStyle w:val="SubtleEmphasis"/>
          <w:lang w:val="en-GB"/>
        </w:rPr>
      </w:pPr>
      <w:r w:rsidRPr="004349AE">
        <w:rPr>
          <w:rStyle w:val="SubtleEmphasis"/>
          <w:lang w:val="en-GB"/>
        </w:rPr>
        <w:t xml:space="preserve">No or low regret policies to reduce environmental migration </w:t>
      </w:r>
    </w:p>
    <w:p w:rsidR="00FB601E" w:rsidRPr="00B50254" w:rsidRDefault="00FB601E" w:rsidP="004349AE">
      <w:pPr>
        <w:jc w:val="both"/>
        <w:rPr>
          <w:rFonts w:ascii="Calibri" w:hAnsi="Calibri" w:cs="Times New Roman"/>
          <w:sz w:val="22"/>
          <w:szCs w:val="22"/>
          <w:lang w:val="en-GB"/>
        </w:rPr>
      </w:pPr>
      <w:r w:rsidRPr="004008E1">
        <w:rPr>
          <w:rFonts w:ascii="Calibri" w:hAnsi="Calibri" w:cs="Times New Roman"/>
          <w:sz w:val="22"/>
          <w:szCs w:val="22"/>
          <w:lang w:val="en-GB"/>
        </w:rPr>
        <w:t xml:space="preserve">Effective public health and adaptation strategies to reduce environmental migration </w:t>
      </w:r>
      <w:r w:rsidRPr="00B50254">
        <w:rPr>
          <w:rFonts w:ascii="Calibri" w:hAnsi="Calibri" w:cs="Times New Roman"/>
          <w:sz w:val="22"/>
          <w:szCs w:val="22"/>
          <w:lang w:val="en-GB"/>
        </w:rPr>
        <w:t>or to reduce negative impact of environmental migration should entail the</w:t>
      </w:r>
      <w:r w:rsidRPr="004B2349">
        <w:rPr>
          <w:rFonts w:ascii="Calibri" w:hAnsi="Calibri" w:cs="Times New Roman"/>
          <w:sz w:val="22"/>
          <w:szCs w:val="22"/>
          <w:lang w:val="en-GB"/>
        </w:rPr>
        <w:t xml:space="preserve"> coordinated efforts of local institutions, national and international governments and agencies.</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&lt;EndNote&gt;&lt;Cite&gt;&lt;Author&gt;McMichael&lt;/Author&gt;&lt;Year&gt;2012&lt;/Year&gt;&lt;RecNum&gt;1027&lt;/RecNum&gt;&lt;DisplayText&gt;&lt;style face="superscript"&gt;100&lt;/style&gt;&lt;/DisplayText&gt;&lt;record&gt;&lt;rec-number&gt;1027&lt;/rec-number&gt;&lt;foreign-keys&gt;&lt;key app="EN" db-id="wtftd20rmszxx0ettxy5exwdf90wv22s2dsf" timestamp="1419212983"&gt;1027&lt;/key&gt;&lt;/foreign-keys&gt;&lt;ref-type name="Journal Article"&gt;17&lt;/ref-type&gt;&lt;contributors&gt;&lt;authors&gt;&lt;author&gt;McMichael, Celia&lt;/author&gt;&lt;author&gt;Barnett, Jon&lt;/author&gt;&lt;author&gt;McMichael, Anthony J.&lt;/author&gt;&lt;/authors&gt;&lt;/contributors&gt;&lt;titles&gt;&lt;title&gt;An Ill Wind? Climate Change, Migration, and Health&lt;/title&gt;&lt;secondary-title&gt;Environmental Health Perspectives&lt;/secondary-title&gt;&lt;/titles&gt;&lt;periodical&gt;&lt;full-title&gt;Environmental Health Perspectives&lt;/full-title&gt;&lt;/periodical&gt;&lt;pages&gt;646-654&lt;/pages&gt;&lt;volume&gt;120&lt;/volume&gt;&lt;number&gt;5&lt;/number&gt;&lt;dates&gt;&lt;year&gt;2012&lt;/year&gt;&lt;pub-dates&gt;&lt;date&gt;01/20&amp;#xD;08/22/received&amp;#xD;01/20/accepted&lt;/date&gt;&lt;/pub-dates&gt;&lt;/dates&gt;&lt;publisher&gt;National Institute of Environmental Health Sciences&lt;/publisher&gt;&lt;isbn&gt;0091-6765&amp;#xD;1552-9924&lt;/isbn&gt;&lt;accession-num&gt;PMC3346786&lt;/accession-num&gt;&lt;urls&gt;&lt;related-urls&gt;&lt;url&gt;http://www.ncbi.nlm.nih.gov/pmc/articles/PMC3346786/&lt;/url&gt;&lt;/related-urls&gt;&lt;/urls&gt;&lt;electronic-resource-num&gt;10.1289/ehp.1104375&lt;/electronic-resource-num&gt;&lt;remote-database-name&gt;PMC&lt;/remote-database-name&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100</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There are several no or low regret practices that generate both short-term and long-term benefits</w:t>
      </w:r>
      <w:r w:rsidRPr="004008E1">
        <w:rPr>
          <w:rFonts w:ascii="Calibri" w:hAnsi="Calibri" w:cs="Times New Roman"/>
          <w:sz w:val="22"/>
          <w:szCs w:val="22"/>
          <w:lang w:val="en-GB"/>
        </w:rPr>
        <w:t xml:space="preserve"> if integrated with existing national development, public health an</w:t>
      </w:r>
      <w:r w:rsidRPr="00B50254">
        <w:rPr>
          <w:rFonts w:ascii="Calibri" w:hAnsi="Calibri" w:cs="Times New Roman"/>
          <w:sz w:val="22"/>
          <w:szCs w:val="22"/>
          <w:lang w:val="en-GB"/>
        </w:rPr>
        <w:t>d poverty reduction strategies.</w:t>
      </w:r>
    </w:p>
    <w:p w:rsidR="00FB601E" w:rsidRPr="00B50254" w:rsidRDefault="00FB601E" w:rsidP="004349AE">
      <w:pPr>
        <w:jc w:val="both"/>
        <w:rPr>
          <w:rFonts w:ascii="Calibri" w:hAnsi="Calibri" w:cs="Times New Roman"/>
          <w:sz w:val="22"/>
          <w:szCs w:val="22"/>
          <w:lang w:val="en-GB"/>
        </w:rPr>
      </w:pPr>
    </w:p>
    <w:p w:rsidR="00FB601E" w:rsidRPr="00A37EA9" w:rsidRDefault="00FB601E" w:rsidP="004349AE">
      <w:pPr>
        <w:spacing w:after="120"/>
        <w:jc w:val="both"/>
        <w:rPr>
          <w:rFonts w:ascii="Calibri" w:hAnsi="Calibri" w:cs="Times New Roman"/>
          <w:sz w:val="22"/>
          <w:szCs w:val="22"/>
          <w:lang w:val="en-GB"/>
        </w:rPr>
      </w:pPr>
      <w:r w:rsidRPr="004B2349">
        <w:rPr>
          <w:rFonts w:ascii="Calibri" w:hAnsi="Calibri" w:cs="Times New Roman"/>
          <w:i/>
          <w:sz w:val="22"/>
          <w:szCs w:val="22"/>
          <w:lang w:val="en-GB"/>
        </w:rPr>
        <w:t>1. Slowing down the rate of environmental change</w:t>
      </w:r>
      <w:r w:rsidRPr="004B2349">
        <w:rPr>
          <w:rFonts w:ascii="Calibri" w:hAnsi="Calibri" w:cs="Times New Roman"/>
          <w:sz w:val="22"/>
          <w:szCs w:val="22"/>
          <w:lang w:val="en-GB"/>
        </w:rPr>
        <w:t>, including mitigation policies and reducing land degradation.</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&lt;EndNote&gt;&lt;Cite&gt;&lt;Author&gt;Foresight&lt;/Author&gt;&lt;Year&gt;2011&lt;/Year&gt;&lt;RecNum&gt;1061&lt;/RecNum&gt;&lt;DisplayText&gt;&lt;style face="superscript"&gt;121,154&lt;/style&gt;&lt;/DisplayText&gt;&lt;record&gt;&lt;rec-number&gt;1061&lt;/rec-number&gt;&lt;foreign-keys&gt;&lt;key app="EN" db-id="wtftd20rmszxx0ettxy5exwdf90wv22s2dsf" timestamp="1419212983"&gt;1061&lt;/key&gt;&lt;/foreign-keys&gt;&lt;ref-type name="Report"&gt;27&lt;/ref-type&gt;&lt;contributors&gt;&lt;authors&gt;&lt;author&gt;Foresight,&lt;/author&gt;&lt;/authors&gt;&lt;/contributors&gt;&lt;titles&gt;&lt;title&gt;Migration and Global Environmental Change: Future Challenges and Opportunities&lt;/title&gt;&lt;/titles&gt;&lt;dates&gt;&lt;year&gt;2011&lt;/year&gt;&lt;/dates&gt;&lt;pub-location&gt;London&lt;/pub-location&gt;&lt;publisher&gt;UK Government Office for Science&lt;/publisher&gt;&lt;urls&gt;&lt;/urls&gt;&lt;/record&gt;&lt;/Cite&gt;&lt;Cite&gt;&lt;Author&gt;Johnson&lt;/Author&gt;&lt;Year&gt;2012&lt;/Year&gt;&lt;RecNum&gt;1143&lt;/RecNum&gt;&lt;record&gt;&lt;rec-number&gt;1143&lt;/rec-number&gt;&lt;foreign-keys&gt;&lt;key app="EN" db-id="wtftd20rmszxx0ettxy5exwdf90wv22s2dsf" timestamp="1419212983"&gt;1143&lt;/key&gt;&lt;/foreign-keys&gt;&lt;ref-type name="Journal Article"&gt;17&lt;/ref-type&gt;&lt;contributors&gt;&lt;authors&gt;&lt;author&gt;Johnson, Craig A.&lt;/author&gt;&lt;/authors&gt;&lt;/contributors&gt;&lt;titles&gt;&lt;title&gt;Governing climate displacement: the ethics and politics of human resettlement&lt;/title&gt;&lt;secondary-title&gt;Environmental Politics&lt;/secondary-title&gt;&lt;/titles&gt;&lt;periodical&gt;&lt;full-title&gt;Environmental Politics&lt;/full-title&gt;&lt;/periodical&gt;&lt;pages&gt;308-328&lt;/pages&gt;&lt;volume&gt;21&lt;/volume&gt;&lt;number&gt;2&lt;/number&gt;&lt;dates&gt;&lt;year&gt;2012&lt;/year&gt;&lt;pub-dates&gt;&lt;date&gt;2012/03/01&lt;/date&gt;&lt;/pub-dates&gt;&lt;/dates&gt;&lt;publisher&gt;Routledge&lt;/publisher&gt;&lt;isbn&gt;0964-4016&lt;/isbn&gt;&lt;urls&gt;&lt;related-urls&gt;&lt;url&gt;http://dx.doi.org/10.1080/09644016.2012.651905&lt;/url&gt;&lt;/related-urls&gt;&lt;/urls&gt;&lt;electronic-resource-num&gt;10.1080/09644016.2012.651905&lt;/electronic-resource-num&gt;&lt;access-date&gt;2014/12/08&lt;/access-date&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121,154</w:t>
      </w:r>
      <w:r w:rsidR="00E13392" w:rsidRPr="00142ED0">
        <w:rPr>
          <w:rFonts w:ascii="Calibri" w:hAnsi="Calibri" w:cs="Times New Roman"/>
          <w:sz w:val="22"/>
          <w:szCs w:val="22"/>
          <w:lang w:val="en-GB"/>
        </w:rPr>
        <w:fldChar w:fldCharType="end"/>
      </w:r>
    </w:p>
    <w:p w:rsidR="00FB601E" w:rsidRPr="00A37EA9" w:rsidRDefault="00FB601E" w:rsidP="004349AE">
      <w:pPr>
        <w:spacing w:after="120"/>
        <w:jc w:val="both"/>
        <w:rPr>
          <w:rFonts w:ascii="Calibri" w:hAnsi="Calibri" w:cs="Times New Roman"/>
          <w:sz w:val="22"/>
          <w:szCs w:val="22"/>
          <w:lang w:val="en-GB"/>
        </w:rPr>
      </w:pPr>
      <w:r w:rsidRPr="00A37EA9">
        <w:rPr>
          <w:rFonts w:ascii="Calibri" w:hAnsi="Calibri" w:cs="Times New Roman"/>
          <w:i/>
          <w:sz w:val="22"/>
          <w:szCs w:val="22"/>
          <w:lang w:val="en-GB"/>
        </w:rPr>
        <w:t>2. Reducing the impact of environmental change</w:t>
      </w:r>
      <w:r w:rsidRPr="00142ED0">
        <w:rPr>
          <w:rFonts w:ascii="Calibri" w:hAnsi="Calibri" w:cs="Times New Roman"/>
          <w:sz w:val="22"/>
          <w:szCs w:val="22"/>
          <w:lang w:val="en-GB"/>
        </w:rPr>
        <w:t>, through early warning systems, integrated water management, rehabilitation of degraded coastal and terrestrial ecosystems, and robus</w:t>
      </w:r>
      <w:r w:rsidRPr="004008E1">
        <w:rPr>
          <w:rFonts w:ascii="Calibri" w:hAnsi="Calibri" w:cs="Times New Roman"/>
          <w:sz w:val="22"/>
          <w:szCs w:val="22"/>
          <w:lang w:val="en-GB"/>
        </w:rPr>
        <w:t>t building standards.</w:t>
      </w:r>
      <w:r w:rsidR="00E13392" w:rsidRPr="00142ED0">
        <w:rPr>
          <w:rFonts w:ascii="Calibri" w:hAnsi="Calibri" w:cs="Times New Roman"/>
          <w:sz w:val="22"/>
          <w:szCs w:val="22"/>
          <w:lang w:val="en-GB"/>
        </w:rPr>
        <w:fldChar w:fldCharType="begin">
          <w:fldData xml:space="preserve">PEVuZE5vdGU+PENpdGU+PEF1dGhvcj5Kb2huc29uPC9BdXRob3I+PFllYXI+MjAxMjwvWWVhcj48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</w:fldData>
        </w:fldChar>
      </w:r>
      <w:r w:rsidR="00723833">
        <w:rPr>
          <w:rFonts w:ascii="Calibri" w:hAnsi="Calibri" w:cs="Times New Roman"/>
          <w:sz w:val="22"/>
          <w:szCs w:val="22"/>
          <w:lang w:val="en-GB"/>
        </w:rPr>
        <w:instrText xml:space="preserve"> ADDIN EN.CITE </w:instrText>
      </w:r>
      <w:r w:rsidR="00E13392">
        <w:rPr>
          <w:rFonts w:ascii="Calibri" w:hAnsi="Calibri" w:cs="Times New Roman"/>
          <w:sz w:val="22"/>
          <w:szCs w:val="22"/>
          <w:lang w:val="en-GB"/>
        </w:rPr>
        <w:fldChar w:fldCharType="begin">
          <w:fldData xml:space="preserve">PEVuZE5vdGU+PENpdGU+PEF1dGhvcj5Kb2huc29uPC9BdXRob3I+PFllYXI+MjAxMjwvWWVhcj48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</w:fldData>
        </w:fldChar>
      </w:r>
      <w:r w:rsidR="00723833">
        <w:rPr>
          <w:rFonts w:ascii="Calibri" w:hAnsi="Calibri" w:cs="Times New Roman"/>
          <w:sz w:val="22"/>
          <w:szCs w:val="22"/>
          <w:lang w:val="en-GB"/>
        </w:rPr>
        <w:instrText xml:space="preserve"> ADDIN EN.CITE.DATA </w:instrText>
      </w:r>
      <w:r w:rsidR="00E13392">
        <w:rPr>
          <w:rFonts w:ascii="Calibri" w:hAnsi="Calibri" w:cs="Times New Roman"/>
          <w:sz w:val="22"/>
          <w:szCs w:val="22"/>
          <w:lang w:val="en-GB"/>
        </w:rPr>
      </w:r>
      <w:r w:rsidR="00E13392">
        <w:rPr>
          <w:rFonts w:ascii="Calibri" w:hAnsi="Calibri" w:cs="Times New Roman"/>
          <w:sz w:val="22"/>
          <w:szCs w:val="22"/>
          <w:lang w:val="en-GB"/>
        </w:rPr>
        <w:fldChar w:fldCharType="end"/>
      </w:r>
      <w:r w:rsidR="00E13392" w:rsidRPr="00142ED0">
        <w:rPr>
          <w:rFonts w:ascii="Calibri" w:hAnsi="Calibri" w:cs="Times New Roman"/>
          <w:sz w:val="22"/>
          <w:szCs w:val="22"/>
          <w:lang w:val="en-GB"/>
        </w:rPr>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154,155</w:t>
      </w:r>
      <w:r w:rsidR="00E13392" w:rsidRPr="00142ED0">
        <w:rPr>
          <w:rFonts w:ascii="Calibri" w:hAnsi="Calibri" w:cs="Times New Roman"/>
          <w:sz w:val="22"/>
          <w:szCs w:val="22"/>
          <w:lang w:val="en-GB"/>
        </w:rPr>
        <w:fldChar w:fldCharType="end"/>
      </w:r>
    </w:p>
    <w:p w:rsidR="00FB601E" w:rsidRPr="00142ED0" w:rsidRDefault="00FB601E" w:rsidP="004349AE">
      <w:pPr>
        <w:spacing w:after="120"/>
        <w:jc w:val="both"/>
        <w:rPr>
          <w:rFonts w:ascii="Calibri" w:hAnsi="Calibri" w:cs="Times New Roman"/>
          <w:sz w:val="22"/>
          <w:szCs w:val="22"/>
          <w:lang w:val="en-GB"/>
        </w:rPr>
      </w:pPr>
      <w:r w:rsidRPr="00142ED0">
        <w:rPr>
          <w:rFonts w:ascii="Calibri" w:hAnsi="Calibri" w:cs="Times New Roman"/>
          <w:i/>
          <w:sz w:val="22"/>
          <w:szCs w:val="22"/>
          <w:lang w:val="en-GB"/>
        </w:rPr>
        <w:t xml:space="preserve">3. Promoting long-term resilience </w:t>
      </w:r>
      <w:r w:rsidRPr="004008E1">
        <w:rPr>
          <w:rFonts w:ascii="Calibri" w:hAnsi="Calibri" w:cs="Times New Roman"/>
          <w:sz w:val="22"/>
          <w:szCs w:val="22"/>
          <w:lang w:val="en-GB"/>
        </w:rPr>
        <w:t>through enhanced livelihoods, increased social protection, and provision of services. These include ecosystem-based investments, and processes that decrease marginalisation of vulnerable groups e.g. by increased access to health services.</w:t>
      </w:r>
      <w:r w:rsidR="00A930F7" w:rsidRPr="00A37EA9">
        <w:rPr>
          <w:rFonts w:ascii="Calibri" w:hAnsi="Calibri" w:cs="Times New Roman"/>
          <w:sz w:val="22"/>
          <w:szCs w:val="22"/>
          <w:lang w:val="en-GB"/>
        </w:rPr>
        <w:t xml:space="preserve"> </w:t>
      </w:r>
    </w:p>
    <w:p w:rsidR="00FB601E" w:rsidRPr="004008E1" w:rsidRDefault="00FB601E" w:rsidP="00FB601E">
      <w:pPr>
        <w:rPr>
          <w:rFonts w:ascii="Calibri" w:hAnsi="Calibri"/>
          <w:lang w:val="en-GB"/>
        </w:rPr>
      </w:pPr>
    </w:p>
    <w:p w:rsidR="00FB601E" w:rsidRPr="004349AE" w:rsidRDefault="00FB601E" w:rsidP="00FB601E">
      <w:pPr>
        <w:rPr>
          <w:rStyle w:val="SubtleEmphasis"/>
          <w:lang w:val="en-GB"/>
        </w:rPr>
      </w:pPr>
      <w:r w:rsidRPr="004349AE">
        <w:rPr>
          <w:rStyle w:val="SubtleEmphasis"/>
          <w:lang w:val="en-GB"/>
        </w:rPr>
        <w:t>Limitations of migration as a means of adaptation</w:t>
      </w:r>
    </w:p>
    <w:p w:rsidR="00FB601E" w:rsidRPr="00A37EA9" w:rsidRDefault="00FB601E" w:rsidP="00FB601E">
      <w:pPr>
        <w:jc w:val="both"/>
        <w:rPr>
          <w:rFonts w:ascii="Calibri" w:hAnsi="Calibri" w:cs="Times New Roman"/>
          <w:sz w:val="22"/>
          <w:szCs w:val="22"/>
          <w:lang w:val="en-GB"/>
        </w:rPr>
      </w:pPr>
      <w:r w:rsidRPr="00A37EA9">
        <w:rPr>
          <w:rFonts w:ascii="Calibri" w:hAnsi="Calibri" w:cs="Times New Roman"/>
          <w:sz w:val="22"/>
          <w:szCs w:val="22"/>
          <w:lang w:val="en-GB"/>
        </w:rPr>
        <w:t>Migration has been proposed as a transformational adaptive str</w:t>
      </w:r>
      <w:r w:rsidRPr="00142ED0">
        <w:rPr>
          <w:rFonts w:ascii="Calibri" w:hAnsi="Calibri" w:cs="Times New Roman"/>
          <w:sz w:val="22"/>
          <w:szCs w:val="22"/>
          <w:lang w:val="en-GB"/>
        </w:rPr>
        <w:t>ategy or response to climate change.</w:t>
      </w:r>
      <w:r w:rsidRPr="004008E1">
        <w:rPr>
          <w:rFonts w:ascii="Calibri" w:hAnsi="Calibri" w:cs="Arial"/>
          <w:sz w:val="22"/>
          <w:szCs w:val="22"/>
          <w:lang w:val="en-GB"/>
        </w:rPr>
        <w:t xml:space="preserve"> The policy response is often referred to as </w:t>
      </w:r>
      <w:r w:rsidRPr="004008E1">
        <w:rPr>
          <w:rFonts w:ascii="Calibri" w:hAnsi="Calibri" w:cs="Arial"/>
          <w:i/>
          <w:sz w:val="22"/>
          <w:szCs w:val="22"/>
          <w:lang w:val="en-GB"/>
        </w:rPr>
        <w:t>“managed retreat”</w:t>
      </w:r>
      <w:r w:rsidRPr="00B50254">
        <w:rPr>
          <w:rFonts w:ascii="Calibri" w:hAnsi="Calibri" w:cs="Times New Roman"/>
          <w:sz w:val="22"/>
          <w:szCs w:val="22"/>
          <w:lang w:val="en-GB"/>
        </w:rPr>
        <w:t>.</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&lt;EndNote&gt;&lt;Cite&gt;&lt;Author&gt;Foresight&lt;/Author&gt;&lt;Year&gt;2011&lt;/Year&gt;&lt;RecNum&gt;1061&lt;/RecNum&gt;&lt;DisplayText&gt;&lt;style face="superscript"&gt;121,156&lt;/style&gt;&lt;/DisplayText&gt;&lt;record&gt;&lt;rec-number&gt;1061&lt;/rec-number&gt;&lt;foreign-keys&gt;&lt;key app="EN" db-id="wtftd20rmszxx0ettxy5exwdf90wv22s2dsf" timestamp="1419212983"&gt;1061&lt;/key&gt;&lt;/foreign-keys&gt;&lt;ref-type name="Report"&gt;27&lt;/ref-type&gt;&lt;contributors&gt;&lt;authors&gt;&lt;author&gt;Foresight,&lt;/author&gt;&lt;/authors&gt;&lt;/contributors&gt;&lt;titles&gt;&lt;title&gt;Migration and Global Environmental Change: Future Challenges and Opportunities&lt;/title&gt;&lt;/titles&gt;&lt;dates&gt;&lt;year&gt;2011&lt;/year&gt;&lt;/dates&gt;&lt;pub-location&gt;London&lt;/pub-location&gt;&lt;publisher&gt;UK Government Office for Science&lt;/publisher&gt;&lt;urls&gt;&lt;/urls&gt;&lt;/record&gt;&lt;/Cite&gt;&lt;Cite&gt;&lt;Author&gt;Barnett&lt;/Author&gt;&lt;Year&gt;2010&lt;/Year&gt;&lt;RecNum&gt;1083&lt;/RecNum&gt;&lt;record&gt;&lt;rec-number&gt;1083&lt;/rec-number&gt;&lt;foreign-keys&gt;&lt;key app="EN" db-id="wtftd20rmszxx0ettxy5exwdf90wv22s2dsf" timestamp="1419212983"&gt;1083&lt;/key&gt;&lt;/foreign-keys&gt;&lt;ref-type name="Book Section"&gt;5&lt;/ref-type&gt;&lt;contributors&gt;&lt;authors&gt;&lt;author&gt;Barnett, J.&lt;/author&gt;&lt;author&gt;Webber, M.&lt;/author&gt;&lt;/authors&gt;&lt;secondary-authors&gt;&lt;author&gt;McAdam, J.&lt;/author&gt;&lt;/secondary-authors&gt;&lt;/contributors&gt;&lt;titles&gt;&lt;title&gt;Migration as Adaptation: Opportunities and Limits&lt;/title&gt;&lt;secondary-title&gt;Climate Change and Displacement: Multidisciplinary Perspectives&lt;/secondary-title&gt;&lt;/titles&gt;&lt;pages&gt;55&lt;/pages&gt;&lt;dates&gt;&lt;year&gt;2010&lt;/year&gt;&lt;/dates&gt;&lt;pub-location&gt;Oxford&lt;/pub-location&gt;&lt;publisher&gt;Hart Publishing&lt;/publisher&gt;&lt;urls&gt;&lt;/urls&gt;&lt;/record&gt;&lt;/Cite&gt;&lt;/EndNote&gt;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121,156</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With </w:t>
      </w:r>
      <w:r w:rsidRPr="004008E1">
        <w:rPr>
          <w:rFonts w:ascii="Calibri" w:hAnsi="Calibri" w:cs="Times New Roman"/>
          <w:sz w:val="22"/>
          <w:szCs w:val="22"/>
          <w:lang w:val="en-GB"/>
        </w:rPr>
        <w:t>changes in climate, resource productivity, population growth and risks, various governments have now, as part of their adaptation strategies, engaged in planning to move settlement.</w:t>
      </w:r>
      <w:r w:rsidR="00E13392" w:rsidRPr="00142ED0">
        <w:rPr>
          <w:rFonts w:ascii="Calibri" w:hAnsi="Calibri" w:cs="Times New Roman"/>
          <w:sz w:val="22"/>
          <w:szCs w:val="22"/>
          <w:lang w:val="en-GB"/>
        </w:rPr>
        <w:fldChar w:fldCharType="begin"/>
      </w:r>
      <w:r w:rsidR="00303C0E">
        <w:rPr>
          <w:rFonts w:ascii="Calibri" w:hAnsi="Calibri" w:cs="Times New Roman"/>
          <w:sz w:val="22"/>
          <w:szCs w:val="22"/>
          <w:lang w:val="en-GB"/>
        </w:rPr>
        <w:instrText xml:space="preserve"> ADDIN EN.CITE &lt;EndNote&gt;&lt;Cite&gt;&lt;Author&gt;Adger&lt;/Author&gt;&lt;Year&gt;2014&lt;/Year&gt;&lt;RecNum&gt;1310&lt;/RecNum&gt;&lt;DisplayText&gt;&lt;style face="superscript"&gt;33&lt;/style&gt;&lt;/DisplayText&gt;&lt;record&gt;&lt;rec-number&gt;1310&lt;/rec-number&gt;&lt;foreign-keys&gt;&lt;key app="EN" db-id="wtftd20rmszxx0ettxy5exwdf90wv22s2dsf" timestamp="1419249727"&gt;1310&lt;/key&gt;&lt;/foreign-keys&gt;&lt;ref-type name="Book Section"&gt;5&lt;/ref-type&gt;&lt;contributors&gt;&lt;authors&gt;&lt;author&gt;Adger, W. N.&lt;/author&gt;&lt;author&gt;Pulhin, J. M.&lt;/author&gt;&lt;author&gt;Barnett, J.&lt;/author&gt;&lt;author&gt;Dabelko, G. D.&lt;/author&gt;&lt;author&gt;Hovelsrud, G. K.&lt;/author&gt;&lt;author&gt;Levy, M.&lt;/author&gt;&lt;author&gt;Ú. Oswald, Spring&lt;/author&gt;&lt;author&gt;Vogel, C. H.&lt;/author&gt;&lt;/authors&gt;&lt;secondary-authors&gt;&lt;author&gt;Field, C. B.&lt;/author&gt;&lt;author&gt;Barros, V. R.&lt;/author&gt;&lt;author&gt;Dokken, D. J.&lt;/author&gt;&lt;author&gt;Mach, K. J.&lt;/author&gt;&lt;author&gt;Mastrandrea, M. D.&lt;/author&gt;&lt;author&gt;Bilir, T. E.&lt;/author&gt;&lt;author&gt;Chatterjee, M.&lt;/author&gt;&lt;author&gt;Ebi, K. L.&lt;/author&gt;&lt;author&gt;Estrada, Y. O.&lt;/author&gt;&lt;author&gt;Genova, R. C.&lt;/author&gt;&lt;author&gt;Girma, B.&lt;/author&gt;&lt;author&gt;Kissel, E. S.&lt;/author&gt;&lt;author&gt;Levy, A. N.&lt;/author&gt;&lt;author&gt;MacCracken, S.&lt;/author&gt;&lt;author&gt;Mastrandrea, P. R.&lt;/author&gt;&lt;author&gt;White, L. L.&lt;/author&gt;&lt;/secondary-authors&gt;&lt;/contributors&gt;&lt;titles&gt;&lt;title&gt;Human security&lt;/title&gt;&lt;secondary-title&gt;Climate Change 2014: Impacts, Adaptation, and Vulnerability. Part A: Global and Sectoral Aspects. Contribution of Working Group II to the Fifth Assessment Report of the Intergovernmental Panel of Climate Change&lt;/secondary-title&gt;&lt;short-title&gt;Human security&lt;/short-title&gt;&lt;/titles&gt;&lt;pages&gt;755-791&lt;/pages&gt;&lt;section&gt;12&lt;/section&gt;&lt;dates&gt;&lt;year&gt;2014&lt;/year&gt;&lt;/dates&gt;&lt;pub-location&gt;Cambridge, United Kingdom and New York, NY, USA&lt;/pub-location&gt;&lt;publisher&gt;Cambridge University Press&lt;/publisher&gt;&lt;urls&gt;&lt;/urls&gt;&lt;/record&gt;&lt;/Cite&gt;&lt;/EndNote&gt;</w:instrText>
      </w:r>
      <w:r w:rsidR="00E13392" w:rsidRPr="00142ED0">
        <w:rPr>
          <w:rFonts w:ascii="Calibri" w:hAnsi="Calibri" w:cs="Times New Roman"/>
          <w:sz w:val="22"/>
          <w:szCs w:val="22"/>
          <w:lang w:val="en-GB"/>
        </w:rPr>
        <w:fldChar w:fldCharType="separate"/>
      </w:r>
      <w:r w:rsidR="00303C0E" w:rsidRPr="00303C0E">
        <w:rPr>
          <w:rFonts w:ascii="Calibri" w:hAnsi="Calibri" w:cs="Times New Roman"/>
          <w:noProof/>
          <w:sz w:val="22"/>
          <w:szCs w:val="22"/>
          <w:vertAlign w:val="superscript"/>
          <w:lang w:val="en-GB"/>
        </w:rPr>
        <w:t>33</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As an example, five indigenous communities in Alaska have planned for </w:t>
      </w:r>
      <w:r w:rsidRPr="00142ED0">
        <w:rPr>
          <w:rFonts w:ascii="Calibri" w:hAnsi="Calibri" w:cs="Times New Roman"/>
          <w:sz w:val="22"/>
          <w:szCs w:val="22"/>
          <w:lang w:val="en-GB"/>
        </w:rPr>
        <w:t>relocation with government funding</w:t>
      </w:r>
      <w:r w:rsidR="009F3C0D" w:rsidRPr="004008E1">
        <w:rPr>
          <w:rFonts w:ascii="Calibri" w:hAnsi="Calibri" w:cs="Times New Roman"/>
          <w:sz w:val="22"/>
          <w:szCs w:val="22"/>
          <w:lang w:val="en-GB"/>
        </w:rPr>
        <w:t xml:space="preserve"> support</w:t>
      </w:r>
      <w:r w:rsidRPr="00B50254">
        <w:rPr>
          <w:rFonts w:ascii="Calibri" w:hAnsi="Calibri" w:cs="Times New Roman"/>
          <w:sz w:val="22"/>
          <w:szCs w:val="22"/>
          <w:lang w:val="en-GB"/>
        </w:rPr>
        <w:t xml:space="preserve">. </w:t>
      </w:r>
      <w:r w:rsidRPr="00B50254">
        <w:rPr>
          <w:rFonts w:ascii="Calibri" w:hAnsi="Calibri" w:cs="Times New Roman"/>
          <w:sz w:val="22"/>
          <w:lang w:val="en-GB"/>
        </w:rPr>
        <w:t>Research on experience of migration policy concludes that a greater emphasis on mobility within adaptation policies could be effective.</w:t>
      </w:r>
      <w:r w:rsidR="00E13392" w:rsidRPr="00142ED0">
        <w:rPr>
          <w:rFonts w:ascii="Calibri" w:hAnsi="Calibri" w:cs="Times New Roman"/>
          <w:sz w:val="22"/>
          <w:lang w:val="en-GB"/>
        </w:rPr>
        <w:fldChar w:fldCharType="begin">
          <w:fldData xml:space="preserve">PEVuZE5vdGU+PENpdGU+PEF1dGhvcj5CYXJuZXR0PC9BdXRob3I+PFllYXI+MjAxMDwvWWVhcj48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</w:fldData>
        </w:fldChar>
      </w:r>
      <w:r w:rsidR="00723833">
        <w:rPr>
          <w:rFonts w:ascii="Calibri" w:hAnsi="Calibri" w:cs="Times New Roman"/>
          <w:sz w:val="22"/>
          <w:lang w:val="en-GB"/>
        </w:rPr>
        <w:instrText xml:space="preserve"> ADDIN EN.CITE </w:instrText>
      </w:r>
      <w:r w:rsidR="00E13392">
        <w:rPr>
          <w:rFonts w:ascii="Calibri" w:hAnsi="Calibri" w:cs="Times New Roman"/>
          <w:sz w:val="22"/>
          <w:lang w:val="en-GB"/>
        </w:rPr>
        <w:fldChar w:fldCharType="begin">
          <w:fldData xml:space="preserve">PEVuZE5vdGU+PENpdGU+PEF1dGhvcj5CYXJuZXR0PC9BdXRob3I+PFllYXI+MjAxMDwvWWVhcj48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</w:fldData>
        </w:fldChar>
      </w:r>
      <w:r w:rsidR="00723833">
        <w:rPr>
          <w:rFonts w:ascii="Calibri" w:hAnsi="Calibri" w:cs="Times New Roman"/>
          <w:sz w:val="22"/>
          <w:lang w:val="en-GB"/>
        </w:rPr>
        <w:instrText xml:space="preserve"> ADDIN EN.CITE.DATA </w:instrText>
      </w:r>
      <w:r w:rsidR="00E13392">
        <w:rPr>
          <w:rFonts w:ascii="Calibri" w:hAnsi="Calibri" w:cs="Times New Roman"/>
          <w:sz w:val="22"/>
          <w:lang w:val="en-GB"/>
        </w:rPr>
      </w:r>
      <w:r w:rsidR="00E13392">
        <w:rPr>
          <w:rFonts w:ascii="Calibri" w:hAnsi="Calibri" w:cs="Times New Roman"/>
          <w:sz w:val="22"/>
          <w:lang w:val="en-GB"/>
        </w:rPr>
        <w:fldChar w:fldCharType="end"/>
      </w:r>
      <w:r w:rsidR="00E13392" w:rsidRPr="00142ED0">
        <w:rPr>
          <w:rFonts w:ascii="Calibri" w:hAnsi="Calibri" w:cs="Times New Roman"/>
          <w:sz w:val="22"/>
          <w:lang w:val="en-GB"/>
        </w:rPr>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100,156</w:t>
      </w:r>
      <w:r w:rsidR="00E13392" w:rsidRPr="00142ED0">
        <w:rPr>
          <w:rFonts w:ascii="Calibri" w:hAnsi="Calibri" w:cs="Times New Roman"/>
          <w:sz w:val="22"/>
          <w:lang w:val="en-GB"/>
        </w:rPr>
        <w:fldChar w:fldCharType="end"/>
      </w:r>
    </w:p>
    <w:p w:rsidR="00FB601E" w:rsidRPr="004008E1" w:rsidRDefault="00531034" w:rsidP="00531034">
      <w:pPr>
        <w:tabs>
          <w:tab w:val="left" w:pos="6574"/>
        </w:tabs>
        <w:jc w:val="both"/>
        <w:rPr>
          <w:rFonts w:ascii="Calibri" w:hAnsi="Calibri" w:cs="Times New Roman"/>
          <w:sz w:val="22"/>
          <w:lang w:val="en-GB"/>
        </w:rPr>
      </w:pPr>
      <w:r w:rsidRPr="00142ED0">
        <w:rPr>
          <w:rFonts w:ascii="Calibri" w:hAnsi="Calibri" w:cs="Times New Roman"/>
          <w:sz w:val="22"/>
          <w:lang w:val="en-GB"/>
        </w:rPr>
        <w:tab/>
      </w:r>
    </w:p>
    <w:p w:rsidR="00B25E9E" w:rsidRPr="00142ED0" w:rsidRDefault="00FB601E" w:rsidP="00B25E9E">
      <w:pPr>
        <w:rPr>
          <w:rFonts w:ascii="Calibri" w:hAnsi="Calibri" w:cs="Times New Roman"/>
          <w:sz w:val="22"/>
          <w:lang w:val="en-GB"/>
        </w:rPr>
      </w:pPr>
      <w:r w:rsidRPr="004008E1">
        <w:rPr>
          <w:rFonts w:ascii="Calibri" w:hAnsi="Calibri" w:cs="Times New Roman"/>
          <w:sz w:val="22"/>
          <w:lang w:val="en-GB"/>
        </w:rPr>
        <w:t>Usin</w:t>
      </w:r>
      <w:r w:rsidRPr="00B50254">
        <w:rPr>
          <w:rFonts w:ascii="Calibri" w:hAnsi="Calibri" w:cs="Times New Roman"/>
          <w:sz w:val="22"/>
          <w:lang w:val="en-GB"/>
        </w:rPr>
        <w:t>g migration as a strategy to cope with environmental stress might however create conditions of increased (rather than reduced) vulnerability.</w:t>
      </w:r>
      <w:r w:rsidR="00E13392" w:rsidRPr="00142ED0">
        <w:rPr>
          <w:rFonts w:ascii="Calibri" w:hAnsi="Calibri" w:cs="Times New Roman"/>
          <w:sz w:val="22"/>
          <w:lang w:val="en-GB"/>
        </w:rPr>
        <w:fldChar w:fldCharType="begin">
          <w:fldData xml:space="preserve">PEVuZE5vdGU+PENpdGU+PEF1dGhvcj5CYXJuZXR0PC9BdXRob3I+PFllYXI+MjAxMDwvWWVhcj48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==
</w:fldData>
        </w:fldChar>
      </w:r>
      <w:r w:rsidR="00723833">
        <w:rPr>
          <w:rFonts w:ascii="Calibri" w:hAnsi="Calibri" w:cs="Times New Roman"/>
          <w:sz w:val="22"/>
          <w:lang w:val="en-GB"/>
        </w:rPr>
        <w:instrText xml:space="preserve"> ADDIN EN.CITE </w:instrText>
      </w:r>
      <w:r w:rsidR="00E13392">
        <w:rPr>
          <w:rFonts w:ascii="Calibri" w:hAnsi="Calibri" w:cs="Times New Roman"/>
          <w:sz w:val="22"/>
          <w:lang w:val="en-GB"/>
        </w:rPr>
        <w:fldChar w:fldCharType="begin">
          <w:fldData xml:space="preserve">PEVuZE5vdGU+PENpdGU+PEF1dGhvcj5CYXJuZXR0PC9BdXRob3I+PFllYXI+MjAxMDwvWWVhcj48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==
</w:fldData>
        </w:fldChar>
      </w:r>
      <w:r w:rsidR="00723833">
        <w:rPr>
          <w:rFonts w:ascii="Calibri" w:hAnsi="Calibri" w:cs="Times New Roman"/>
          <w:sz w:val="22"/>
          <w:lang w:val="en-GB"/>
        </w:rPr>
        <w:instrText xml:space="preserve"> ADDIN EN.CITE.DATA </w:instrText>
      </w:r>
      <w:r w:rsidR="00E13392">
        <w:rPr>
          <w:rFonts w:ascii="Calibri" w:hAnsi="Calibri" w:cs="Times New Roman"/>
          <w:sz w:val="22"/>
          <w:lang w:val="en-GB"/>
        </w:rPr>
      </w:r>
      <w:r w:rsidR="00E13392">
        <w:rPr>
          <w:rFonts w:ascii="Calibri" w:hAnsi="Calibri" w:cs="Times New Roman"/>
          <w:sz w:val="22"/>
          <w:lang w:val="en-GB"/>
        </w:rPr>
        <w:fldChar w:fldCharType="end"/>
      </w:r>
      <w:r w:rsidR="00E13392" w:rsidRPr="00142ED0">
        <w:rPr>
          <w:rFonts w:ascii="Calibri" w:hAnsi="Calibri" w:cs="Times New Roman"/>
          <w:sz w:val="22"/>
          <w:lang w:val="en-GB"/>
        </w:rPr>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100,144,156</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w:t>
      </w:r>
      <w:r w:rsidRPr="00142ED0">
        <w:rPr>
          <w:rFonts w:ascii="Calibri" w:hAnsi="Calibri" w:cs="Times New Roman"/>
          <w:sz w:val="22"/>
          <w:lang w:val="en-GB"/>
        </w:rPr>
        <w:t>Even though migration is used as a strategy to deal with immine</w:t>
      </w:r>
      <w:r w:rsidRPr="004008E1">
        <w:rPr>
          <w:rFonts w:ascii="Calibri" w:hAnsi="Calibri" w:cs="Times New Roman"/>
          <w:sz w:val="22"/>
          <w:lang w:val="en-GB"/>
        </w:rPr>
        <w:t>nt risks to livelihoods and food security, many vulnerable low-income groups do not have the resources to migrate in order to avoid floods, storms and droughts.</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&lt;EndNote&gt;&lt;Cite&gt;&lt;Author&gt;Warner K&lt;/Author&gt;&lt;Year&gt;2014&lt;/Year&gt;&lt;RecNum&gt;1209&lt;/RecNum&gt;&lt;DisplayText&gt;&lt;style face="superscript"&gt;157&lt;/style&gt;&lt;/DisplayText&gt;&lt;record&gt;&lt;rec-number&gt;1209&lt;/rec-number&gt;&lt;foreign-keys&gt;&lt;key app="EN" db-id="wtftd20rmszxx0ettxy5exwdf90wv22s2dsf" timestamp="1419212983"&gt;1209&lt;/key&gt;&lt;/foreign-keys&gt;&lt;ref-type name="Journal Article"&gt;17&lt;/ref-type&gt;&lt;contributors&gt;&lt;authors&gt;&lt;author&gt;Warner K, &lt;/author&gt;&lt;author&gt;Afifi T,&lt;/author&gt;&lt;/authors&gt;&lt;/contributors&gt;&lt;titles&gt;&lt;title&gt;Where the rain falls: Evidence from 8 countries on how vulnerable households use migration to manage the risk of rainfall variability and food insecurity&lt;/title&gt;&lt;secondary-title&gt;Climate and Development&lt;/secondary-title&gt;&lt;/titles&gt;&lt;periodical&gt;&lt;full-title&gt;Climate and Development&lt;/full-title&gt;&lt;/periodical&gt;&lt;pages&gt; 1-17&lt;/pages&gt;&lt;volume&gt;6&lt;/volume&gt;&lt;number&gt;1&lt;/number&gt;&lt;dates&gt;&lt;year&gt;2014&lt;/year&gt;&lt;/dates&gt;&lt;urls&gt;&lt;/urls&gt;&lt;/record&gt;&lt;/Cite&gt;&lt;/EndNote&gt;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157</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w:t>
      </w:r>
      <w:r w:rsidRPr="004008E1">
        <w:rPr>
          <w:rFonts w:ascii="Calibri" w:hAnsi="Calibri" w:cs="Times New Roman"/>
          <w:sz w:val="22"/>
          <w:lang w:val="en-GB"/>
        </w:rPr>
        <w:t xml:space="preserve">In addition, </w:t>
      </w:r>
      <w:r w:rsidRPr="004008E1">
        <w:rPr>
          <w:rFonts w:ascii="Calibri" w:hAnsi="Calibri" w:cs="Times New Roman"/>
          <w:sz w:val="22"/>
          <w:lang w:val="en-GB"/>
        </w:rPr>
        <w:lastRenderedPageBreak/>
        <w:t>studies of resettlement programmes demonstrate negative social outcomes, often analysed as breaches in individual human rights.</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&lt;EndNote&gt;&lt;Cite&gt;&lt;Author&gt;Johnson&lt;/Author&gt;&lt;Year&gt;2012&lt;/Year&gt;&lt;RecNum&gt;1143&lt;/RecNum&gt;&lt;DisplayText&gt;&lt;style face="superscript"&gt;154&lt;/style&gt;&lt;/DisplayText&gt;&lt;record&gt;&lt;rec-number&gt;1143&lt;/rec-number&gt;&lt;foreign-keys&gt;&lt;key app="EN" db-id="wtftd20rmszxx0ettxy5exwdf90wv22s2dsf" timestamp="1419212983"&gt;1143&lt;/key&gt;&lt;/foreign-keys&gt;&lt;ref-type name="Journal Article"&gt;17&lt;/ref-type&gt;&lt;contributors&gt;&lt;authors&gt;&lt;author&gt;Johnson, Craig A.&lt;/author&gt;&lt;/authors&gt;&lt;/contributors&gt;&lt;titles&gt;&lt;title&gt;Governing climate displacement: the ethics and politics of human resettlement&lt;/title&gt;&lt;secondary-title&gt;Environmental Politics&lt;/secondary-title&gt;&lt;/titles&gt;&lt;periodical&gt;&lt;full-title&gt;Environmental Politics&lt;/full-title&gt;&lt;/periodical&gt;&lt;pages&gt;308-328&lt;/pages&gt;&lt;volume&gt;21&lt;/volume&gt;&lt;number&gt;2&lt;/number&gt;&lt;dates&gt;&lt;year&gt;2012&lt;/year&gt;&lt;pub-dates&gt;&lt;date&gt;2012/03/01&lt;/date&gt;&lt;/pub-dates&gt;&lt;/dates&gt;&lt;publisher&gt;Routledge&lt;/publisher&gt;&lt;isbn&gt;0964-4016&lt;/isbn&gt;&lt;urls&gt;&lt;related-urls&gt;&lt;url&gt;http://dx.doi.org/10.1080/09644016.2012.651905&lt;/url&gt;&lt;/related-urls&gt;&lt;/urls&gt;&lt;electronic-resource-num&gt;10.1080/09644016.2012.651905&lt;/electronic-resource-num&gt;&lt;access-date&gt;2014/12/08&lt;/access-date&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154</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w:t>
      </w:r>
      <w:r w:rsidRPr="00142ED0">
        <w:rPr>
          <w:rFonts w:ascii="Calibri" w:hAnsi="Calibri" w:cs="Times New Roman"/>
          <w:sz w:val="22"/>
          <w:szCs w:val="22"/>
          <w:lang w:val="en-GB"/>
        </w:rPr>
        <w:t>There are significant perceptions of cultural loss and the legitimacy, and success depends on incorporating cultural and psychological factors in the planning processes.</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&lt;EndNote&gt;&lt;Cite&gt;&lt;Author&gt;Bronen&lt;/Author&gt;&lt;Year&gt;2013&lt;/Year&gt;&lt;RecNum&gt;1088&lt;/RecNum&gt;&lt;DisplayText&gt;&lt;style face="superscript"&gt;158&lt;/style&gt;&lt;/DisplayText&gt;&lt;record&gt;&lt;rec-number&gt;1088&lt;/rec-number&gt;&lt;foreign-keys&gt;&lt;key app="EN" db-id="wtftd20rmszxx0ettxy5exwdf90wv22s2dsf" timestamp="1419212983"&gt;1088&lt;/key&gt;&lt;/foreign-keys&gt;&lt;ref-type name="Journal Article"&gt;17&lt;/ref-type&gt;&lt;contributors&gt;&lt;authors&gt;&lt;author&gt;Bronen, Robin&lt;/author&gt;&lt;author&gt;Chapin, F. Stuart&lt;/author&gt;&lt;/authors&gt;&lt;/contributors&gt;&lt;titles&gt;&lt;title&gt;Adaptive governance and institutional strategies for climate-induced community relocations in Alaska&lt;/title&gt;&lt;secondary-title&gt;Proceedings of the National Academy of Sciences&lt;/secondary-title&gt;&lt;/titles&gt;&lt;periodical&gt;&lt;full-title&gt;Proceedings of the National Academy of Sciences&lt;/full-title&gt;&lt;/periodical&gt;&lt;pages&gt;9320-9325&lt;/pages&gt;&lt;volume&gt;110&lt;/volume&gt;&lt;number&gt;23&lt;/number&gt;&lt;dates&gt;&lt;year&gt;2013&lt;/year&gt;&lt;pub-dates&gt;&lt;date&gt;June 4, 2013&lt;/date&gt;&lt;/pub-dates&gt;&lt;/dates&gt;&lt;urls&gt;&lt;related-urls&gt;&lt;url&gt;http://www.pnas.org/content/110/23/9320.abstract&lt;/url&gt;&lt;/related-urls&gt;&lt;/urls&gt;&lt;electronic-resource-num&gt;10.1073/pnas.1210508110&lt;/electronic-resource-num&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158</w:t>
      </w:r>
      <w:r w:rsidR="00E13392" w:rsidRPr="00142ED0">
        <w:rPr>
          <w:rFonts w:ascii="Calibri" w:hAnsi="Calibri" w:cs="Times New Roman"/>
          <w:sz w:val="22"/>
          <w:szCs w:val="22"/>
          <w:lang w:val="en-GB"/>
        </w:rPr>
        <w:fldChar w:fldCharType="end"/>
      </w:r>
    </w:p>
    <w:p w:rsidR="00B25E9E" w:rsidRPr="00142ED0" w:rsidRDefault="00B25E9E" w:rsidP="00B25E9E">
      <w:pPr>
        <w:rPr>
          <w:rFonts w:ascii="Calibri" w:hAnsi="Calibri" w:cs="Times New Roman"/>
          <w:sz w:val="22"/>
          <w:lang w:val="en-GB"/>
        </w:rPr>
      </w:pPr>
    </w:p>
    <w:p w:rsidR="00FB601E" w:rsidRPr="004B2349" w:rsidRDefault="00FB601E" w:rsidP="004349AE">
      <w:pPr>
        <w:jc w:val="both"/>
        <w:rPr>
          <w:rFonts w:ascii="Calibri" w:hAnsi="Calibri"/>
          <w:lang w:val="en-GB"/>
        </w:rPr>
      </w:pPr>
    </w:p>
    <w:p w:rsidR="00FB601E" w:rsidRPr="004B2349" w:rsidRDefault="00FB601E" w:rsidP="00FB601E">
      <w:pPr>
        <w:pStyle w:val="Heading3"/>
        <w:rPr>
          <w:lang w:val="en-GB"/>
        </w:rPr>
      </w:pPr>
      <w:bookmarkStart w:id="62" w:name="_Toc402956373"/>
      <w:bookmarkStart w:id="63" w:name="_Toc278446360"/>
      <w:bookmarkStart w:id="64" w:name="_Toc415931383"/>
      <w:bookmarkStart w:id="65" w:name="_Toc417502048"/>
      <w:r w:rsidRPr="004B2349">
        <w:rPr>
          <w:lang w:val="en-GB"/>
        </w:rPr>
        <w:t>Dynamic Infectious Disease Risks</w:t>
      </w:r>
      <w:bookmarkEnd w:id="62"/>
      <w:bookmarkEnd w:id="63"/>
      <w:bookmarkEnd w:id="64"/>
      <w:bookmarkEnd w:id="65"/>
    </w:p>
    <w:p w:rsidR="00FB601E" w:rsidRPr="004349AE" w:rsidRDefault="00FB601E" w:rsidP="004349AE">
      <w:pPr>
        <w:jc w:val="both"/>
        <w:rPr>
          <w:rFonts w:ascii="Calibri" w:hAnsi="Calibri"/>
          <w:sz w:val="22"/>
          <w:lang w:val="en-GB"/>
        </w:rPr>
      </w:pPr>
      <w:r w:rsidRPr="00A37EA9">
        <w:rPr>
          <w:rFonts w:ascii="Calibri" w:hAnsi="Calibri" w:cs="Times New Roman"/>
          <w:sz w:val="22"/>
          <w:lang w:val="en-GB"/>
        </w:rPr>
        <w:t xml:space="preserve">Interactions and changes in demographics, human </w:t>
      </w:r>
      <w:r w:rsidRPr="00142ED0">
        <w:rPr>
          <w:rFonts w:ascii="Calibri" w:hAnsi="Calibri" w:cs="Times New Roman"/>
          <w:sz w:val="22"/>
          <w:lang w:val="en-GB"/>
        </w:rPr>
        <w:t>connectivity, climate, land use, and biodiversity will substantially alter disease risks at local, national and internatio</w:t>
      </w:r>
      <w:r w:rsidRPr="00C17E86">
        <w:rPr>
          <w:rFonts w:ascii="Calibri" w:hAnsi="Calibri" w:cs="Times New Roman"/>
          <w:sz w:val="22"/>
          <w:lang w:val="en-GB"/>
        </w:rPr>
        <w:t>nal scales.</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&lt;EndNote&gt;&lt;Cite&gt;&lt;Author&gt;Shuman&lt;/Author&gt;&lt;Year&gt;2010&lt;/Year&gt;&lt;RecNum&gt;1175&lt;/RecNum&gt;&lt;DisplayText&gt;&lt;style face="superscript"&gt;159&lt;/style&gt;&lt;/DisplayText&gt;&lt;record&gt;&lt;rec-number&gt;1175&lt;/rec-number&gt;&lt;foreign-keys&gt;&lt;key app="EN" db-id="wtftd20rmszxx0ettxy5exwdf90wv22s2dsf" timestamp="1419212983"&gt;1175&lt;/key&gt;&lt;/foreign-keys&gt;&lt;ref-type name="Journal Article"&gt;17&lt;/ref-type&gt;&lt;contributors&gt;&lt;authors&gt;&lt;author&gt;Shuman, Emily K.&lt;/author&gt;&lt;/authors&gt;&lt;/contributors&gt;&lt;titles&gt;&lt;title&gt;Global Climate Change and Infectious Diseases&lt;/title&gt;&lt;secondary-title&gt;New England Journal of Medicine&lt;/secondary-title&gt;&lt;/titles&gt;&lt;periodical&gt;&lt;full-title&gt;New England Journal of Medicine&lt;/full-title&gt;&lt;/periodical&gt;&lt;pages&gt;1061-1063&lt;/pages&gt;&lt;volume&gt;362&lt;/volume&gt;&lt;number&gt;12&lt;/number&gt;&lt;dates&gt;&lt;year&gt;2010&lt;/year&gt;&lt;/dates&gt;&lt;accession-num&gt;20335580&lt;/accession-num&gt;&lt;urls&gt;&lt;related-urls&gt;&lt;url&gt;http://www.nejm.org/doi/full/10.1056/NEJMp0912931&lt;/url&gt;&lt;/related-urls&gt;&lt;/urls&gt;&lt;electronic-resource-num&gt;doi:10.1056/NEJMp0912931&lt;/electronic-resource-num&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159</w:t>
      </w:r>
      <w:r w:rsidR="00E13392" w:rsidRPr="00142ED0">
        <w:rPr>
          <w:rFonts w:ascii="Calibri" w:hAnsi="Calibri" w:cs="Times New Roman"/>
          <w:sz w:val="22"/>
          <w:lang w:val="en-GB"/>
        </w:rPr>
        <w:fldChar w:fldCharType="end"/>
      </w:r>
      <w:r w:rsidRPr="00A37EA9">
        <w:rPr>
          <w:rFonts w:ascii="Calibri" w:hAnsi="Calibri" w:cs="Times New Roman"/>
          <w:sz w:val="22"/>
          <w:vertAlign w:val="superscript"/>
          <w:lang w:val="en-GB"/>
        </w:rPr>
        <w:t>,</w:t>
      </w:r>
      <w:r w:rsidRPr="00142ED0">
        <w:rPr>
          <w:rFonts w:ascii="Calibri" w:hAnsi="Calibri" w:cs="Times New Roman"/>
          <w:sz w:val="22"/>
          <w:lang w:val="en-GB"/>
        </w:rPr>
        <w:t xml:space="preserve"> For example, vector-borne infectious disease risks are affected by not only changing temperatures, but also sea level rise.</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&lt;EndNote&gt;&lt;Cite&gt;&lt;Author&gt;Ramasamy&lt;/Author&gt;&lt;Year&gt;2011&lt;/Year&gt;&lt;RecNum&gt;1171&lt;/RecNum&gt;&lt;DisplayText&gt;&lt;style face="superscript"&gt;160&lt;/style&gt;&lt;/DisplayText&gt;&lt;record&gt;&lt;rec-number&gt;1171&lt;/rec-number&gt;&lt;foreign-keys&gt;&lt;key app="EN" db-id="wtftd20rmszxx0ettxy5exwdf90wv22s2dsf" timestamp="1419212983"&gt;1171&lt;/key&gt;&lt;/foreign-keys&gt;&lt;ref-type name="Journal Article"&gt;17&lt;/ref-type&gt;&lt;contributors&gt;&lt;authors&gt;&lt;author&gt;Ramasamy, Ranjan&lt;/author&gt;&lt;author&gt;Surendran, Sinnathamby&lt;/author&gt;&lt;/authors&gt;&lt;/contributors&gt;&lt;titles&gt;&lt;title&gt;Possible impact of rising sea levels on vector-borne infectious diseases&lt;/title&gt;&lt;secondary-title&gt;BMC Infectious Diseases&lt;/secondary-title&gt;&lt;/titles&gt;&lt;periodical&gt;&lt;full-title&gt;BMC Infectious Diseases&lt;/full-title&gt;&lt;/periodical&gt;&lt;pages&gt;18&lt;/pages&gt;&lt;volume&gt;11&lt;/volume&gt;&lt;number&gt;1&lt;/number&gt;&lt;dates&gt;&lt;year&gt;2011&lt;/year&gt;&lt;/dates&gt;&lt;isbn&gt;1471-2334&lt;/isbn&gt;&lt;accession-num&gt;doi:10.1186/1471-2334-11-18&lt;/accession-num&gt;&lt;urls&gt;&lt;related-urls&gt;&lt;url&gt;http://www.biomedcentral.com/1471-2334/11/18&lt;/url&gt;&lt;/related-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160</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The geographical distributi</w:t>
      </w:r>
      <w:r w:rsidRPr="00142ED0">
        <w:rPr>
          <w:rFonts w:ascii="Calibri" w:hAnsi="Calibri" w:cs="Times New Roman"/>
          <w:sz w:val="22"/>
          <w:lang w:val="en-GB"/>
        </w:rPr>
        <w:t>on of African trypanosomiasis is predicted to shift due to temperature changes induced by climate change.</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&lt;EndNote&gt;&lt;Cite&gt;&lt;Author&gt;Moore&lt;/Author&gt;&lt;Year&gt;2012&lt;/Year&gt;&lt;RecNum&gt;1159&lt;/RecNum&gt;&lt;DisplayText&gt;&lt;style face="superscript"&gt;161&lt;/style&gt;&lt;/DisplayText&gt;&lt;record&gt;&lt;rec-number&gt;1159&lt;/rec-number&gt;&lt;foreign-keys&gt;&lt;key app="EN" db-id="wtftd20rmszxx0ettxy5exwdf90wv22s2dsf" timestamp="1419212983"&gt;1159&lt;/key&gt;&lt;/foreign-keys&gt;&lt;ref-type name="Journal Article"&gt;17&lt;/ref-type&gt;&lt;contributors&gt;&lt;authors&gt;&lt;author&gt;Moore, S.&lt;/author&gt;&lt;author&gt;Shrestha, S.&lt;/author&gt;&lt;author&gt;Tomlinson, K. W.&lt;/author&gt;&lt;author&gt;Vuong, H.&lt;/author&gt;&lt;/authors&gt;&lt;/contributors&gt;&lt;titles&gt;&lt;title&gt;Predicting the effect of climate change on African trypanosomiasis: integrating epidemiology with parasite and vector biology&lt;/title&gt;&lt;secondary-title&gt;J R Soc Interface&lt;/secondary-title&gt;&lt;/titles&gt;&lt;periodical&gt;&lt;full-title&gt;J R Soc Interface&lt;/full-title&gt;&lt;abbr-1&gt;Journal of the Royal Society, Interface / the Royal Society&lt;/abbr-1&gt;&lt;/periodical&gt;&lt;pages&gt;817-30&lt;/pages&gt;&lt;volume&gt;9&lt;/volume&gt;&lt;number&gt;70&lt;/number&gt;&lt;dates&gt;&lt;year&gt;2012&lt;/year&gt;&lt;/dates&gt;&lt;urls&gt;&lt;/urls&gt;&lt;/record&gt;&lt;/Cite&gt;&lt;/EndNote&gt;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161</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Biodiversity loss may to lead to an increase in the transmission of infectious diseases such as Lyme disea</w:t>
      </w:r>
      <w:r w:rsidRPr="00142ED0">
        <w:rPr>
          <w:rFonts w:ascii="Calibri" w:hAnsi="Calibri" w:cs="Times New Roman"/>
          <w:sz w:val="22"/>
          <w:lang w:val="en-GB"/>
        </w:rPr>
        <w:t>se, schistosomiasis, Hantavirus and West Nile virus.</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&lt;EndNote&gt;&lt;Cite&gt;&lt;Author&gt;Keesing&lt;/Author&gt;&lt;Year&gt;2010&lt;/Year&gt;&lt;RecNum&gt;1145&lt;/RecNum&gt;&lt;DisplayText&gt;&lt;style face="superscript"&gt;162&lt;/style&gt;&lt;/DisplayText&gt;&lt;record&gt;&lt;rec-number&gt;1145&lt;/rec-number&gt;&lt;foreign-keys&gt;&lt;key app="EN" db-id="wtftd20rmszxx0ettxy5exwdf90wv22s2dsf" timestamp="1419212983"&gt;1145&lt;/key&gt;&lt;/foreign-keys&gt;&lt;ref-type name="Journal Article"&gt;17&lt;/ref-type&gt;&lt;contributors&gt;&lt;authors&gt;&lt;author&gt;Keesing, Felicia&lt;/author&gt;&lt;author&gt;Belden, Lisa K.&lt;/author&gt;&lt;author&gt;Daszak, Peter&lt;/author&gt;&lt;author&gt;Dobson, Andrew&lt;/author&gt;&lt;author&gt;Harvell, C. Drew&lt;/author&gt;&lt;author&gt;Holt, Robert D.&lt;/author&gt;&lt;author&gt;Hudson, Peter&lt;/author&gt;&lt;author&gt;Jolles, Anna&lt;/author&gt;&lt;author&gt;Jones, Kate E.&lt;/author&gt;&lt;author&gt;Mitchell, Charles E.&lt;/author&gt;&lt;author&gt;Myers, Samuel S.&lt;/author&gt;&lt;author&gt;Bogich, Tiffany&lt;/author&gt;&lt;author&gt;Ostfeld, Richard S.&lt;/author&gt;&lt;/authors&gt;&lt;/contributors&gt;&lt;titles&gt;&lt;title&gt;Impacts of biodiversity on the emergence and transmission of infectious diseases&lt;/title&gt;&lt;secondary-title&gt;Nature&lt;/secondary-title&gt;&lt;/titles&gt;&lt;periodical&gt;&lt;full-title&gt;Nature&lt;/full-title&gt;&lt;/periodical&gt;&lt;pages&gt;647-652&lt;/pages&gt;&lt;volume&gt;468&lt;/volume&gt;&lt;number&gt;7324&lt;/number&gt;&lt;dates&gt;&lt;year&gt;2010&lt;/year&gt;&lt;pub-dates&gt;&lt;date&gt;12/02/print&lt;/date&gt;&lt;/pub-dates&gt;&lt;/dates&gt;&lt;publisher&gt;Nature Publishing Group, a division of Macmillan Publishers Limited. All Rights Reserved.&lt;/publisher&gt;&lt;isbn&gt;0028-0836&lt;/isbn&gt;&lt;work-type&gt;10.1038/nature09575&lt;/work-type&gt;&lt;urls&gt;&lt;related-urls&gt;&lt;url&gt;http://dx.doi.org/10.1038/nature09575&lt;/url&gt;&lt;/related-urls&gt;&lt;/urls&gt;&lt;electronic-resource-num&gt;http://www.nature.com/nature/journal/v468/n7324/abs/nature09575.html#supplementary-information&lt;/electronic-resource-num&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162</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Infectious disease risks a</w:t>
      </w:r>
      <w:r w:rsidRPr="00142ED0">
        <w:rPr>
          <w:rFonts w:ascii="Calibri" w:hAnsi="Calibri" w:cs="Times New Roman"/>
          <w:sz w:val="22"/>
          <w:lang w:val="en-GB"/>
        </w:rPr>
        <w:t>re dynamic and subject to multiple and complex drivers.</w:t>
      </w:r>
      <w:r w:rsidRPr="004008E1">
        <w:rPr>
          <w:rFonts w:ascii="Calibri" w:hAnsi="Calibri" w:cs="Times New Roman"/>
          <w:sz w:val="22"/>
          <w:lang w:val="en-GB"/>
        </w:rPr>
        <w:t xml:space="preserve"> Adaptation responses therefore must consider multiple uncertainties associated with dynamic disease risks, which include a focus on co-benefits, no regrets and resilience.</w:t>
      </w:r>
      <w:r w:rsidR="00E13392" w:rsidRPr="00142ED0">
        <w:rPr>
          <w:rFonts w:ascii="Calibri" w:hAnsi="Calibri" w:cs="Times New Roman"/>
          <w:sz w:val="22"/>
          <w:lang w:val="en-GB"/>
        </w:rPr>
        <w:fldChar w:fldCharType="begin">
          <w:fldData xml:space="preserve">PEVuZE5vdGU+PENpdGU+PEF1dGhvcj5FYmk8L0F1dGhvcj48WWVhcj4yMDEyPC9ZZWFyPjxSZWNO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</w:fldData>
        </w:fldChar>
      </w:r>
      <w:r w:rsidR="00723833">
        <w:rPr>
          <w:rFonts w:ascii="Calibri" w:hAnsi="Calibri" w:cs="Times New Roman"/>
          <w:sz w:val="22"/>
          <w:lang w:val="en-GB"/>
        </w:rPr>
        <w:instrText xml:space="preserve"> ADDIN EN.CITE </w:instrText>
      </w:r>
      <w:r w:rsidR="00E13392">
        <w:rPr>
          <w:rFonts w:ascii="Calibri" w:hAnsi="Calibri" w:cs="Times New Roman"/>
          <w:sz w:val="22"/>
          <w:lang w:val="en-GB"/>
        </w:rPr>
        <w:fldChar w:fldCharType="begin">
          <w:fldData xml:space="preserve">PEVuZE5vdGU+PENpdGU+PEF1dGhvcj5FYmk8L0F1dGhvcj48WWVhcj4yMDEyPC9ZZWFyPjxSZWNO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</w:fldData>
        </w:fldChar>
      </w:r>
      <w:r w:rsidR="00723833">
        <w:rPr>
          <w:rFonts w:ascii="Calibri" w:hAnsi="Calibri" w:cs="Times New Roman"/>
          <w:sz w:val="22"/>
          <w:lang w:val="en-GB"/>
        </w:rPr>
        <w:instrText xml:space="preserve"> ADDIN EN.CITE.DATA </w:instrText>
      </w:r>
      <w:r w:rsidR="00E13392">
        <w:rPr>
          <w:rFonts w:ascii="Calibri" w:hAnsi="Calibri" w:cs="Times New Roman"/>
          <w:sz w:val="22"/>
          <w:lang w:val="en-GB"/>
        </w:rPr>
      </w:r>
      <w:r w:rsidR="00E13392">
        <w:rPr>
          <w:rFonts w:ascii="Calibri" w:hAnsi="Calibri" w:cs="Times New Roman"/>
          <w:sz w:val="22"/>
          <w:lang w:val="en-GB"/>
        </w:rPr>
        <w:fldChar w:fldCharType="end"/>
      </w:r>
      <w:r w:rsidR="00E13392" w:rsidRPr="00142ED0">
        <w:rPr>
          <w:rFonts w:ascii="Calibri" w:hAnsi="Calibri" w:cs="Times New Roman"/>
          <w:sz w:val="22"/>
          <w:lang w:val="en-GB"/>
        </w:rPr>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113,163-165</w:t>
      </w:r>
      <w:r w:rsidR="00E13392" w:rsidRPr="00142ED0">
        <w:rPr>
          <w:rFonts w:ascii="Calibri" w:hAnsi="Calibri" w:cs="Times New Roman"/>
          <w:sz w:val="22"/>
          <w:lang w:val="en-GB"/>
        </w:rPr>
        <w:fldChar w:fldCharType="end"/>
      </w:r>
    </w:p>
    <w:p w:rsidR="00FB601E" w:rsidRPr="00A37EA9" w:rsidRDefault="00FB601E" w:rsidP="00FB601E">
      <w:pPr>
        <w:rPr>
          <w:rFonts w:ascii="Calibri" w:hAnsi="Calibri" w:cs="Times New Roman"/>
          <w:i/>
          <w:sz w:val="22"/>
          <w:lang w:val="en-GB"/>
        </w:rPr>
      </w:pPr>
    </w:p>
    <w:p w:rsidR="00FB601E" w:rsidRPr="004349AE" w:rsidRDefault="00FB601E" w:rsidP="00FB601E">
      <w:pPr>
        <w:rPr>
          <w:lang w:val="en-GB"/>
        </w:rPr>
      </w:pPr>
      <w:r w:rsidRPr="004349AE">
        <w:rPr>
          <w:rStyle w:val="SubtleEmphasis"/>
          <w:lang w:val="en-GB"/>
        </w:rPr>
        <w:t xml:space="preserve">Adaptation policy options for infectious disease risks </w:t>
      </w:r>
    </w:p>
    <w:p w:rsidR="00FB601E" w:rsidRPr="00B50254" w:rsidRDefault="00FB601E" w:rsidP="004349AE">
      <w:pPr>
        <w:jc w:val="both"/>
        <w:rPr>
          <w:rFonts w:ascii="Calibri" w:hAnsi="Calibri"/>
          <w:lang w:val="en-GB"/>
        </w:rPr>
      </w:pPr>
      <w:r w:rsidRPr="004008E1">
        <w:rPr>
          <w:rFonts w:ascii="Calibri" w:hAnsi="Calibri" w:cs="Times New Roman"/>
          <w:i/>
          <w:sz w:val="22"/>
          <w:lang w:val="en-GB"/>
        </w:rPr>
        <w:t>1.</w:t>
      </w:r>
      <w:r w:rsidRPr="00B50254">
        <w:rPr>
          <w:rFonts w:ascii="Calibri" w:hAnsi="Calibri" w:cs="Times New Roman"/>
          <w:i/>
          <w:sz w:val="22"/>
          <w:lang w:val="en-GB"/>
        </w:rPr>
        <w:t xml:space="preserve"> Investing in public health </w:t>
      </w:r>
    </w:p>
    <w:p w:rsidR="00FB601E" w:rsidRPr="00A37EA9" w:rsidRDefault="00FB601E" w:rsidP="004349AE">
      <w:pPr>
        <w:jc w:val="both"/>
        <w:rPr>
          <w:rFonts w:ascii="Calibri" w:hAnsi="Calibri" w:cs="Times New Roman"/>
          <w:sz w:val="22"/>
          <w:szCs w:val="22"/>
          <w:lang w:val="en-GB"/>
        </w:rPr>
      </w:pPr>
      <w:r w:rsidRPr="00A37EA9">
        <w:rPr>
          <w:rFonts w:ascii="Calibri" w:hAnsi="Calibri" w:cs="Times New Roman"/>
          <w:sz w:val="22"/>
          <w:szCs w:val="22"/>
          <w:lang w:val="en-GB"/>
        </w:rPr>
        <w:t>Determinants of health, such as education, health care, public health prevention efforts, and infrastructure, play a major role in vulnerability and resilience.</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&lt;EndNote&gt;&lt;Cite&gt;&lt;Author&gt;Keim&lt;/Author&gt;&lt;Year&gt;2008&lt;/Year&gt;&lt;RecNum&gt;1148&lt;/RecNum&gt;&lt;DisplayText&gt;&lt;style face="superscript"&gt;166&lt;/style&gt;&lt;/DisplayText&gt;&lt;record&gt;&lt;rec-number&gt;1148&lt;/rec-number&gt;&lt;foreign-keys&gt;&lt;key app="EN" db-id="wtftd20rmszxx0ettxy5exwdf90wv22s2dsf" timestamp="1419212983"&gt;1148&lt;/key&gt;&lt;/foreign-keys&gt;&lt;ref-type name="Journal Article"&gt;17&lt;/ref-type&gt;&lt;contributors&gt;&lt;authors&gt;&lt;author&gt;Keim, M. E.&lt;/author&gt;&lt;/authors&gt;&lt;/contributors&gt;&lt;auth-address&gt;National Center for Environmental Health, Agency for Toxic Substances and Disease Registry, CDC, Atlanta, Georgia 30341-3724, USA. mjk9@cdc.gov&lt;/auth-address&gt;&lt;titles&gt;&lt;title&gt;Building human resilience: the role of public health preparedness and response as an adaptation to climate change&lt;/title&gt;&lt;secondary-title&gt;Am J Prev Med&lt;/secondary-title&gt;&lt;alt-title&gt;American journal of preventive medicine&lt;/alt-title&gt;&lt;/titles&gt;&lt;periodical&gt;&lt;full-title&gt;Am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medicine&lt;/abbr-1&gt;&lt;/alt-periodical&gt;&lt;pages&gt;508-16&lt;/pages&gt;&lt;volume&gt;35&lt;/volume&gt;&lt;number&gt;5&lt;/number&gt;&lt;edition&gt;2008/10/22&lt;/edition&gt;&lt;keywords&gt;&lt;keyword&gt;Cyclonic Storms&lt;/keyword&gt;&lt;keyword&gt;*Disaster Planning&lt;/keyword&gt;&lt;keyword&gt;Disasters&lt;/keyword&gt;&lt;keyword&gt;Droughts&lt;/keyword&gt;&lt;keyword&gt;Fires&lt;/keyword&gt;&lt;keyword&gt;Floods&lt;/keyword&gt;&lt;keyword&gt;*Greenhouse Effect&lt;/keyword&gt;&lt;keyword&gt;Humans&lt;/keyword&gt;&lt;keyword&gt;Landslides&lt;/keyword&gt;&lt;keyword&gt;*Public Health&lt;/keyword&gt;&lt;keyword&gt;*Resilience, Psychological&lt;/keyword&gt;&lt;keyword&gt;Risk Management&lt;/keyword&gt;&lt;keyword&gt;*Weather&lt;/keyword&gt;&lt;/keywords&gt;&lt;dates&gt;&lt;year&gt;2008&lt;/year&gt;&lt;pub-dates&gt;&lt;date&gt;Nov&lt;/date&gt;&lt;/pub-dates&gt;&lt;/dates&gt;&lt;isbn&gt;0749-3797&lt;/isbn&gt;&lt;accession-num&gt;18929977&lt;/accession-num&gt;&lt;urls&gt;&lt;/urls&gt;&lt;electronic-resource-num&gt;10.1016/j.amepre.2008.08.022&lt;/electronic-resource-num&gt;&lt;remote-database-provider&gt;NLM&lt;/remote-database-provider&gt;&lt;language&gt;eng&lt;/language&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166</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w:t>
      </w:r>
      <w:r w:rsidRPr="00B50254">
        <w:rPr>
          <w:rFonts w:ascii="Calibri" w:hAnsi="Calibri" w:cs="Times New Roman"/>
          <w:sz w:val="22"/>
          <w:szCs w:val="22"/>
          <w:lang w:val="en-GB"/>
        </w:rPr>
        <w:t>Adapting to climate change will not only be beneficial in reducing climate change impacts, but also</w:t>
      </w:r>
      <w:r w:rsidRPr="004B2349">
        <w:rPr>
          <w:rFonts w:ascii="Calibri" w:hAnsi="Calibri" w:cs="Times New Roman"/>
          <w:sz w:val="22"/>
          <w:szCs w:val="22"/>
          <w:lang w:val="en-GB"/>
        </w:rPr>
        <w:t xml:space="preserve"> have positive effects on public health capacity.</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&lt;EndNote&gt;&lt;Cite&gt;&lt;Author&gt;Ebi&lt;/Author&gt;&lt;Year&gt;2012&lt;/Year&gt;&lt;RecNum&gt;1106&lt;/RecNum&gt;&lt;DisplayText&gt;&lt;style face="superscript"&gt;163&lt;/style&gt;&lt;/DisplayText&gt;&lt;record&gt;&lt;rec-number&gt;1106&lt;/rec-number&gt;&lt;foreign-keys&gt;&lt;key app="EN" db-id="wtftd20rmszxx0ettxy5exwdf90wv22s2dsf" timestamp="1419212983"&gt;1106&lt;/key&gt;&lt;/foreign-keys&gt;&lt;ref-type name="Government Document"&gt;46&lt;/ref-type&gt;&lt;contributors&gt;&lt;authors&gt;&lt;author&gt;Ebi, KL. &lt;/author&gt;&lt;author&gt;Berry, P.&lt;/author&gt;&lt;author&gt;Campbell-Lendrum, D. &lt;/author&gt;&lt;author&gt;Corvalan, C. &lt;/author&gt;&lt;author&gt;Guillemot, J. &lt;/author&gt;&lt;author&gt;Aparicio, M. &lt;/author&gt;&lt;author&gt;Bakir, H. &lt;/author&gt;&lt;author&gt;Barcellos, C. &lt;/author&gt;&lt;author&gt;Burmaajav, B. &lt;/author&gt;&lt;author&gt;Ceitlin, J. &lt;/author&gt;&lt;author&gt;Clarke, E. &lt;/author&gt;&lt;author&gt;Dogra, N. &lt;/author&gt;&lt;author&gt;Greaves, WA. &lt;/author&gt;&lt;author&gt;Grjibovski, AM. &lt;/author&gt;&lt;author&gt;Hutton, G. &lt;/author&gt;&lt;author&gt;Kabir, I. &lt;/author&gt;&lt;author&gt;Kendrovski, V. &lt;/author&gt;&lt;author&gt;Luber, G. &lt;/author&gt;&lt;author&gt;Menne, B. &lt;/author&gt;&lt;author&gt;Navarro, L. &lt;/author&gt;&lt;author&gt;Prak, PR. &lt;/author&gt;&lt;author&gt;Raj, M. &lt;/author&gt;&lt;author&gt;Sharshenova, A. &lt;/author&gt;&lt;author&gt;Ugarte, C.&lt;/author&gt;&lt;/authors&gt;&lt;/contributors&gt;&lt;titles&gt;&lt;title&gt;Protecting health from climate change: vulnerability and adaptation assessment&lt;/title&gt;&lt;/titles&gt;&lt;dates&gt;&lt;year&gt;2012&lt;/year&gt;&lt;/dates&gt;&lt;pub-location&gt;Geneva&lt;/pub-location&gt;&lt;publisher&gt;World Health Organization and Pan American Health Organization&lt;/publisher&gt;&lt;urls&gt;&lt;/urls&gt;&lt;/record&gt;&lt;/Cite&gt;&lt;/EndNote&gt;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163</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Furthermore, health improvements </w:t>
      </w:r>
      <w:r w:rsidRPr="004008E1">
        <w:rPr>
          <w:rFonts w:ascii="Calibri" w:hAnsi="Calibri" w:cs="Times New Roman"/>
          <w:sz w:val="22"/>
          <w:szCs w:val="22"/>
          <w:lang w:val="en-GB"/>
        </w:rPr>
        <w:t>account</w:t>
      </w:r>
      <w:r w:rsidRPr="00B50254">
        <w:rPr>
          <w:rFonts w:ascii="Calibri" w:hAnsi="Calibri" w:cs="Times New Roman"/>
          <w:sz w:val="22"/>
          <w:szCs w:val="22"/>
          <w:lang w:val="en-GB"/>
        </w:rPr>
        <w:t xml:space="preserve"> for</w:t>
      </w:r>
      <w:r w:rsidRPr="004B2349">
        <w:rPr>
          <w:rFonts w:ascii="Calibri" w:hAnsi="Calibri" w:cs="Times New Roman"/>
          <w:sz w:val="22"/>
          <w:szCs w:val="22"/>
          <w:lang w:val="en-GB"/>
        </w:rPr>
        <w:t xml:space="preserve"> 11% of economic growth in low-income and middle-income countries.</w:t>
      </w:r>
      <w:r w:rsidR="00E13392" w:rsidRPr="00142ED0">
        <w:rPr>
          <w:rFonts w:ascii="Calibri" w:hAnsi="Calibri" w:cs="Times New Roman"/>
          <w:sz w:val="22"/>
          <w:szCs w:val="22"/>
          <w:lang w:val="en-GB"/>
        </w:rPr>
        <w:fldChar w:fldCharType="begin">
          <w:fldData xml:space="preserve">PEVuZE5vdGU+PENpdGU+PEF1dGhvcj5KYW1pc29uPC9BdXRob3I+PFllYXI+MjAxMzwvWWVhcj48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</w:fldData>
        </w:fldChar>
      </w:r>
      <w:r w:rsidR="00723833">
        <w:rPr>
          <w:rFonts w:ascii="Calibri" w:hAnsi="Calibri" w:cs="Times New Roman"/>
          <w:sz w:val="22"/>
          <w:szCs w:val="22"/>
          <w:lang w:val="en-GB"/>
        </w:rPr>
        <w:instrText xml:space="preserve"> ADDIN EN.CITE </w:instrText>
      </w:r>
      <w:r w:rsidR="00E13392">
        <w:rPr>
          <w:rFonts w:ascii="Calibri" w:hAnsi="Calibri" w:cs="Times New Roman"/>
          <w:sz w:val="22"/>
          <w:szCs w:val="22"/>
          <w:lang w:val="en-GB"/>
        </w:rPr>
        <w:fldChar w:fldCharType="begin">
          <w:fldData xml:space="preserve">PEVuZE5vdGU+PENpdGU+PEF1dGhvcj5KYW1pc29uPC9BdXRob3I+PFllYXI+MjAxMzwvWWVhcj48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</w:fldData>
        </w:fldChar>
      </w:r>
      <w:r w:rsidR="00723833">
        <w:rPr>
          <w:rFonts w:ascii="Calibri" w:hAnsi="Calibri" w:cs="Times New Roman"/>
          <w:sz w:val="22"/>
          <w:szCs w:val="22"/>
          <w:lang w:val="en-GB"/>
        </w:rPr>
        <w:instrText xml:space="preserve"> ADDIN EN.CITE.DATA </w:instrText>
      </w:r>
      <w:r w:rsidR="00E13392">
        <w:rPr>
          <w:rFonts w:ascii="Calibri" w:hAnsi="Calibri" w:cs="Times New Roman"/>
          <w:sz w:val="22"/>
          <w:szCs w:val="22"/>
          <w:lang w:val="en-GB"/>
        </w:rPr>
      </w:r>
      <w:r w:rsidR="00E13392">
        <w:rPr>
          <w:rFonts w:ascii="Calibri" w:hAnsi="Calibri" w:cs="Times New Roman"/>
          <w:sz w:val="22"/>
          <w:szCs w:val="22"/>
          <w:lang w:val="en-GB"/>
        </w:rPr>
        <w:fldChar w:fldCharType="end"/>
      </w:r>
      <w:r w:rsidR="00E13392" w:rsidRPr="00142ED0">
        <w:rPr>
          <w:rFonts w:ascii="Calibri" w:hAnsi="Calibri" w:cs="Times New Roman"/>
          <w:sz w:val="22"/>
          <w:szCs w:val="22"/>
          <w:lang w:val="en-GB"/>
        </w:rPr>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167</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The UNFCCC estimates the costs of health sector adaptation in developing countries</w:t>
      </w:r>
      <w:r w:rsidRPr="00142ED0" w:rsidDel="008E3001">
        <w:rPr>
          <w:rFonts w:ascii="Calibri" w:hAnsi="Calibri" w:cs="Times New Roman"/>
          <w:sz w:val="22"/>
          <w:szCs w:val="22"/>
          <w:lang w:val="en-GB"/>
        </w:rPr>
        <w:t xml:space="preserve"> </w:t>
      </w:r>
      <w:r w:rsidRPr="004008E1">
        <w:rPr>
          <w:rFonts w:ascii="Calibri" w:hAnsi="Calibri" w:cs="Times New Roman"/>
          <w:sz w:val="22"/>
          <w:szCs w:val="22"/>
          <w:lang w:val="en-GB"/>
        </w:rPr>
        <w:t>to be $4-12 billion</w:t>
      </w:r>
      <w:r w:rsidRPr="004008E1">
        <w:rPr>
          <w:rFonts w:ascii="Calibri" w:hAnsi="Calibri" w:cs="Cambria"/>
          <w:sz w:val="22"/>
          <w:szCs w:val="22"/>
          <w:lang w:val="en-GB"/>
        </w:rPr>
        <w:t xml:space="preserve"> US dollars</w:t>
      </w:r>
      <w:r w:rsidR="00723833">
        <w:rPr>
          <w:rFonts w:ascii="Calibri" w:hAnsi="Calibri" w:cs="Cambria"/>
          <w:sz w:val="22"/>
          <w:szCs w:val="22"/>
          <w:lang w:val="en-GB"/>
        </w:rPr>
        <w:t xml:space="preserve"> in the year 2030</w:t>
      </w:r>
      <w:r w:rsidRPr="00B50254">
        <w:rPr>
          <w:rFonts w:ascii="Calibri" w:hAnsi="Calibri" w:cs="Times New Roman"/>
          <w:sz w:val="22"/>
          <w:szCs w:val="22"/>
          <w:lang w:val="en-GB"/>
        </w:rPr>
        <w:t>. However, the health consequences of not investing would be more expensive</w:t>
      </w:r>
      <w:r w:rsidR="00723833">
        <w:rPr>
          <w:rFonts w:ascii="Calibri" w:hAnsi="Calibri" w:cs="Times New Roman"/>
          <w:sz w:val="22"/>
          <w:szCs w:val="22"/>
          <w:lang w:val="en-GB"/>
        </w:rPr>
        <w:t>, and it is clear that there are a number of health impacts that we will not be able to adapt to</w:t>
      </w:r>
      <w:r w:rsidRPr="00B50254">
        <w:rPr>
          <w:rFonts w:ascii="Calibri" w:hAnsi="Calibri" w:cs="Times New Roman"/>
          <w:sz w:val="22"/>
          <w:szCs w:val="22"/>
          <w:lang w:val="en-GB"/>
        </w:rPr>
        <w:t>.</w:t>
      </w:r>
      <w:r w:rsidRPr="004B2349" w:rsidDel="00F9171E">
        <w:rPr>
          <w:rFonts w:ascii="Calibri" w:hAnsi="Calibri" w:cs="Times New Roman"/>
          <w:sz w:val="22"/>
          <w:szCs w:val="22"/>
          <w:lang w:val="en-GB"/>
        </w:rPr>
        <w:t xml:space="preserve"> </w:t>
      </w:r>
      <w:r w:rsidR="00E13392" w:rsidRPr="00142ED0">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&lt;EndNote&gt;&lt;Cite&gt;&lt;Author&gt;Parry&lt;/Author&gt;&lt;Year&gt;2009&lt;/Year&gt;&lt;RecNum&gt;971&lt;/RecNum&gt;&lt;DisplayText&gt;&lt;style face="superscript"&gt;168&lt;/style&gt;&lt;/DisplayText&gt;&lt;record&gt;&lt;rec-number&gt;971&lt;/rec-number&gt;&lt;foreign-keys&gt;&lt;key app="EN" db-id="wtftd20rmszxx0ettxy5exwdf90wv22s2dsf" timestamp="1419212983"&gt;971&lt;/key&gt;&lt;/foreign-keys&gt;&lt;ref-type name="Report"&gt;27&lt;/ref-type&gt;&lt;contributors&gt;&lt;authors&gt;&lt;author&gt;Parry, M.&lt;/author&gt;&lt;author&gt;Arnell,N.&lt;/author&gt;&lt;author&gt;Berry, P.&lt;/author&gt;&lt;author&gt;Dodman, D.&lt;/author&gt;&lt;author&gt;Fankhauser, S.&lt;/author&gt;&lt;author&gt;Hope, C.&lt;/author&gt;&lt;author&gt;Kovats, S.&lt;/author&gt;&lt;author&gt;Nicholls, R.&lt;/author&gt;&lt;author&gt;Satterthwaite, D.&lt;/author&gt;&lt;author&gt;Tiffin, R.&lt;/author&gt;&lt;author&gt;Wheeler, T.&lt;/author&gt;&lt;/authors&gt;&lt;/contributors&gt;&lt;titles&gt;&lt;title&gt;Assessing the Costs of Adaptation to Climate Change: A Review of the UNFCCC and Other Recent Estimates&lt;/title&gt;&lt;/titles&gt;&lt;dates&gt;&lt;year&gt;2009&lt;/year&gt;&lt;/dates&gt;&lt;pub-location&gt;London&lt;/pub-location&gt;&lt;publisher&gt;Imperial College London and International Institute for Environment and Development&lt;/publisher&gt;&lt;urls&gt;&lt;/urls&gt;&lt;/record&gt;&lt;/Cite&gt;&lt;/EndNote&gt;</w:instrText>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168</w:t>
      </w:r>
      <w:r w:rsidR="00E13392" w:rsidRPr="00142ED0">
        <w:rPr>
          <w:rFonts w:ascii="Calibri" w:hAnsi="Calibri" w:cs="Times New Roman"/>
          <w:sz w:val="22"/>
          <w:szCs w:val="22"/>
          <w:lang w:val="en-GB"/>
        </w:rPr>
        <w:fldChar w:fldCharType="end"/>
      </w:r>
    </w:p>
    <w:p w:rsidR="00FB601E" w:rsidRPr="00142ED0" w:rsidRDefault="00FB601E" w:rsidP="004349AE">
      <w:pPr>
        <w:jc w:val="both"/>
        <w:rPr>
          <w:rFonts w:ascii="Calibri" w:hAnsi="Calibri"/>
          <w:lang w:val="en-GB"/>
        </w:rPr>
      </w:pPr>
    </w:p>
    <w:p w:rsidR="00FB601E" w:rsidRPr="004008E1" w:rsidRDefault="00FB601E" w:rsidP="004349AE">
      <w:pPr>
        <w:jc w:val="both"/>
        <w:rPr>
          <w:rFonts w:ascii="Calibri" w:hAnsi="Calibri"/>
          <w:lang w:val="en-GB"/>
        </w:rPr>
      </w:pPr>
      <w:r w:rsidRPr="004008E1">
        <w:rPr>
          <w:rFonts w:ascii="Calibri" w:hAnsi="Calibri" w:cs="Times New Roman"/>
          <w:i/>
          <w:sz w:val="22"/>
          <w:lang w:val="en-GB"/>
        </w:rPr>
        <w:t xml:space="preserve">2. “One Health” approaches </w:t>
      </w:r>
    </w:p>
    <w:p w:rsidR="00FB601E" w:rsidRPr="004349AE" w:rsidRDefault="00FB601E" w:rsidP="004349AE">
      <w:pPr>
        <w:jc w:val="both"/>
        <w:rPr>
          <w:sz w:val="22"/>
          <w:lang w:val="en-GB"/>
        </w:rPr>
      </w:pPr>
      <w:r w:rsidRPr="004008E1">
        <w:rPr>
          <w:rFonts w:cs="Times New Roman"/>
          <w:sz w:val="22"/>
          <w:lang w:val="en-GB"/>
        </w:rPr>
        <w:t xml:space="preserve">These approaches </w:t>
      </w:r>
      <w:r w:rsidRPr="004008E1">
        <w:rPr>
          <w:rFonts w:cs="Times New Roman"/>
          <w:sz w:val="22"/>
          <w:szCs w:val="22"/>
          <w:lang w:val="en-GB"/>
        </w:rPr>
        <w:t>involve</w:t>
      </w:r>
      <w:r w:rsidRPr="004349AE">
        <w:rPr>
          <w:sz w:val="22"/>
          <w:lang w:val="en-GB"/>
        </w:rPr>
        <w:t xml:space="preserve"> collaboration across multiple disciplines and geographical territories to </w:t>
      </w:r>
      <w:r w:rsidRPr="00142ED0">
        <w:rPr>
          <w:sz w:val="22"/>
          <w:szCs w:val="22"/>
          <w:lang w:val="en-GB"/>
        </w:rPr>
        <w:t>protect</w:t>
      </w:r>
      <w:r w:rsidRPr="004349AE">
        <w:rPr>
          <w:sz w:val="22"/>
          <w:lang w:val="en-GB"/>
        </w:rPr>
        <w:t xml:space="preserve"> the health for people, animals and the environment.  Seventy percent of emerging infectious diseases are zoonotic,</w:t>
      </w:r>
      <w:r w:rsidR="00E13392" w:rsidRPr="004349AE">
        <w:rPr>
          <w:sz w:val="22"/>
          <w:lang w:val="en-GB"/>
        </w:rPr>
        <w:fldChar w:fldCharType="begin"/>
      </w:r>
      <w:r w:rsidR="00723833">
        <w:rPr>
          <w:sz w:val="22"/>
          <w:lang w:val="en-GB"/>
        </w:rPr>
        <w:instrText xml:space="preserve"> ADDIN EN.CITE &lt;EndNote&gt;&lt;Cite&gt;&lt;Author&gt;Jones&lt;/Author&gt;&lt;Year&gt;2008&lt;/Year&gt;&lt;RecNum&gt;1144&lt;/RecNum&gt;&lt;DisplayText&gt;&lt;style face="superscript"&gt;169&lt;/style&gt;&lt;/DisplayText&gt;&lt;record&gt;&lt;rec-number&gt;1144&lt;/rec-number&gt;&lt;foreign-keys&gt;&lt;key app="EN" db-id="wtftd20rmszxx0ettxy5exwdf90wv22s2dsf" timestamp="1419212983"&gt;1144&lt;/key&gt;&lt;/foreign-keys&gt;&lt;ref-type name="Journal Article"&gt;17&lt;/ref-type&gt;&lt;contributors&gt;&lt;authors&gt;&lt;author&gt;Jones, Kate E.&lt;/author&gt;&lt;author&gt;Patel, Nikkita G.&lt;/author&gt;&lt;author&gt;Levy, Marc A.&lt;/author&gt;&lt;author&gt;Storeygard, Adam&lt;/author&gt;&lt;author&gt;Balk, Deborah&lt;/author&gt;&lt;author&gt;Gittleman, John L.&lt;/author&gt;&lt;author&gt;Daszak, Peter&lt;/author&gt;&lt;/authors&gt;&lt;/contributors&gt;&lt;titles&gt;&lt;title&gt;Global trends in emerging infectious diseases&lt;/title&gt;&lt;secondary-title&gt;Nature&lt;/secondary-title&gt;&lt;/titles&gt;&lt;periodical&gt;&lt;full-title&gt;Nature&lt;/full-title&gt;&lt;/periodical&gt;&lt;pages&gt;990-993&lt;/pages&gt;&lt;volume&gt;451&lt;/volume&gt;&lt;number&gt;7181&lt;/number&gt;&lt;dates&gt;&lt;year&gt;2008&lt;/year&gt;&lt;pub-dates&gt;&lt;date&gt;02/21/print&lt;/date&gt;&lt;/pub-dates&gt;&lt;/dates&gt;&lt;publisher&gt;Nature Publishing Group&lt;/publisher&gt;&lt;isbn&gt;0028-0836&lt;/isbn&gt;&lt;work-type&gt;10.1038/nature06536&lt;/work-type&gt;&lt;urls&gt;&lt;related-urls&gt;&lt;url&gt;http://dx.doi.org/10.1038/nature06536&lt;/url&gt;&lt;/related-urls&gt;&lt;/urls&gt;&lt;electronic-resource-num&gt;http://www.nature.com/nature/journal/v451/n7181/suppinfo/nature06536_S1.html&lt;/electronic-resource-num&gt;&lt;/record&gt;&lt;/Cite&gt;&lt;/EndNote&gt;</w:instrText>
      </w:r>
      <w:r w:rsidR="00E13392" w:rsidRPr="004349AE">
        <w:rPr>
          <w:sz w:val="22"/>
          <w:lang w:val="en-GB"/>
        </w:rPr>
        <w:fldChar w:fldCharType="separate"/>
      </w:r>
      <w:r w:rsidR="00723833" w:rsidRPr="00723833">
        <w:rPr>
          <w:noProof/>
          <w:sz w:val="22"/>
          <w:vertAlign w:val="superscript"/>
          <w:lang w:val="en-GB"/>
        </w:rPr>
        <w:t>169</w:t>
      </w:r>
      <w:r w:rsidR="00E13392" w:rsidRPr="004349AE">
        <w:rPr>
          <w:sz w:val="22"/>
          <w:lang w:val="en-GB"/>
        </w:rPr>
        <w:fldChar w:fldCharType="end"/>
      </w:r>
      <w:r w:rsidRPr="004349AE">
        <w:rPr>
          <w:sz w:val="22"/>
          <w:lang w:val="en-GB"/>
        </w:rPr>
        <w:t xml:space="preserve"> and have multiple well-established links to poverty.</w:t>
      </w:r>
      <w:r w:rsidR="00E13392" w:rsidRPr="004349AE">
        <w:rPr>
          <w:sz w:val="22"/>
          <w:lang w:val="en-GB"/>
        </w:rPr>
        <w:fldChar w:fldCharType="begin"/>
      </w:r>
      <w:r w:rsidR="00723833">
        <w:rPr>
          <w:sz w:val="22"/>
          <w:lang w:val="en-GB"/>
        </w:rPr>
        <w:instrText xml:space="preserve"> ADDIN EN.CITE &lt;EndNote&gt;&lt;Cite&gt;&lt;Author&gt;Grace&lt;/Author&gt;&lt;Year&gt;2012&lt;/Year&gt;&lt;RecNum&gt;1128&lt;/RecNum&gt;&lt;DisplayText&gt;&lt;style face="superscript"&gt;170&lt;/style&gt;&lt;/DisplayText&gt;&lt;record&gt;&lt;rec-number&gt;1128&lt;/rec-number&gt;&lt;foreign-keys&gt;&lt;key app="EN" db-id="wtftd20rmszxx0ettxy5exwdf90wv22s2dsf" timestamp="1419212983"&gt;1128&lt;/key&gt;&lt;/foreign-keys&gt;&lt;ref-type name="Report"&gt;27&lt;/ref-type&gt;&lt;contributors&gt;&lt;authors&gt;&lt;author&gt;Grace, D&lt;/author&gt;&lt;author&gt;Mutua, F &lt;/author&gt;&lt;author&gt;Ochungo, P&lt;/author&gt;&lt;author&gt;Kruska, R&lt;/author&gt;&lt;/authors&gt;&lt;/contributors&gt;&lt;titles&gt;&lt;title&gt;Mapping of poverty and likely zoonoses hotspots&lt;/title&gt;&lt;/titles&gt;&lt;pages&gt;1-119&lt;/pages&gt;&lt;dates&gt;&lt;year&gt;2012&lt;/year&gt;&lt;/dates&gt;&lt;pub-location&gt; London&lt;/pub-location&gt;&lt;publisher&gt;International Livestock Research Institute&lt;/publisher&gt;&lt;urls&gt;&lt;/urls&gt;&lt;/record&gt;&lt;/Cite&gt;&lt;/EndNote&gt;</w:instrText>
      </w:r>
      <w:r w:rsidR="00E13392" w:rsidRPr="004349AE">
        <w:rPr>
          <w:sz w:val="22"/>
          <w:lang w:val="en-GB"/>
        </w:rPr>
        <w:fldChar w:fldCharType="separate"/>
      </w:r>
      <w:r w:rsidR="00723833" w:rsidRPr="00723833">
        <w:rPr>
          <w:noProof/>
          <w:sz w:val="22"/>
          <w:vertAlign w:val="superscript"/>
          <w:lang w:val="en-GB"/>
        </w:rPr>
        <w:t>170</w:t>
      </w:r>
      <w:r w:rsidR="00E13392" w:rsidRPr="004349AE">
        <w:rPr>
          <w:sz w:val="22"/>
          <w:lang w:val="en-GB"/>
        </w:rPr>
        <w:fldChar w:fldCharType="end"/>
      </w:r>
      <w:r w:rsidRPr="004349AE">
        <w:rPr>
          <w:sz w:val="22"/>
          <w:lang w:val="en-GB"/>
        </w:rPr>
        <w:t xml:space="preserve"> They </w:t>
      </w:r>
      <w:r w:rsidRPr="00A37EA9">
        <w:rPr>
          <w:rFonts w:cs="Times New Roman"/>
          <w:sz w:val="22"/>
          <w:lang w:val="en-GB"/>
        </w:rPr>
        <w:t xml:space="preserve">also </w:t>
      </w:r>
      <w:r w:rsidRPr="004349AE">
        <w:rPr>
          <w:sz w:val="22"/>
          <w:lang w:val="en-GB"/>
        </w:rPr>
        <w:t xml:space="preserve">pose considerable global risks (e.g. avian influenza, Ebola). Effective responses to emerging infectious diseases require well-functioning national animal and public health systems, reliable diagnostic capacities, and robust long-term funding. Critical gaps are present in existing health systems, including poor reporting, severe institutional fragmentation, </w:t>
      </w:r>
      <w:r w:rsidRPr="00A37EA9">
        <w:rPr>
          <w:rFonts w:cs="Times New Roman"/>
          <w:sz w:val="22"/>
          <w:lang w:val="en-GB"/>
        </w:rPr>
        <w:t xml:space="preserve">and </w:t>
      </w:r>
      <w:r w:rsidRPr="004349AE">
        <w:rPr>
          <w:sz w:val="22"/>
          <w:lang w:val="en-GB"/>
        </w:rPr>
        <w:t>deficient early response capacities.</w:t>
      </w:r>
      <w:r w:rsidR="00E13392" w:rsidRPr="004349AE">
        <w:rPr>
          <w:sz w:val="22"/>
          <w:lang w:val="en-GB"/>
        </w:rPr>
        <w:fldChar w:fldCharType="begin"/>
      </w:r>
      <w:r w:rsidR="00723833">
        <w:rPr>
          <w:sz w:val="22"/>
          <w:lang w:val="en-GB"/>
        </w:rPr>
        <w:instrText xml:space="preserve"> ADDIN EN.CITE &lt;EndNote&gt;&lt;Cite&gt;&lt;Author&gt;World Bank&lt;/Author&gt;&lt;Year&gt;2010&lt;/Year&gt;&lt;RecNum&gt;995&lt;/RecNum&gt;&lt;DisplayText&gt;&lt;style face="superscript"&gt;171,172&lt;/style&gt;&lt;/DisplayText&gt;&lt;record&gt;&lt;rec-number&gt;995&lt;/rec-number&gt;&lt;foreign-keys&gt;&lt;key app="EN" db-id="wtftd20rmszxx0ettxy5exwdf90wv22s2dsf" timestamp="1419212983"&gt;995&lt;/key&gt;&lt;/foreign-keys&gt;&lt;ref-type name="Report"&gt;27&lt;/ref-type&gt;&lt;contributors&gt;&lt;authors&gt;&lt;author&gt;World Bank,&lt;/author&gt;&lt;/authors&gt;&lt;/contributors&gt;&lt;titles&gt;&lt;title&gt;The Costs to Developing Countries of Adapting to Climate Change: New Methods and Estimates&lt;/title&gt;&lt;/titles&gt;&lt;dates&gt;&lt;year&gt;2010&lt;/year&gt;&lt;/dates&gt;&lt;pub-location&gt;Washington D.C.&lt;/pub-location&gt;&lt;urls&gt;&lt;/urls&gt;&lt;/record&gt;&lt;/Cite&gt;&lt;Cite&gt;&lt;Author&gt;Dye&lt;/Author&gt;&lt;Year&gt;2014&lt;/Year&gt;&lt;RecNum&gt;1105&lt;/RecNum&gt;&lt;record&gt;&lt;rec-number&gt;1105&lt;/rec-number&gt;&lt;foreign-keys&gt;&lt;key app="EN" db-id="wtftd20rmszxx0ettxy5exwdf90wv22s2dsf" timestamp="1419212983"&gt;1105&lt;/key&gt;&lt;/foreign-keys&gt;&lt;ref-type name="Journal Article"&gt;17&lt;/ref-type&gt;&lt;contributors&gt;&lt;authors&gt;&lt;author&gt;Dye, C.&lt;/author&gt;&lt;/authors&gt;&lt;/contributors&gt;&lt;titles&gt;&lt;title&gt;After 2015: infectious diseases in a new era of health and development&lt;/title&gt;&lt;secondary-title&gt;Philosophical Transactions of the Royal Society B: Biological Sciences&lt;/secondary-title&gt;&lt;/titles&gt;&lt;periodical&gt;&lt;full-title&gt;Philosophical Transactions of the Royal Society B: Biological Sciences&lt;/full-title&gt;&lt;/periodical&gt;&lt;volume&gt;369&lt;/volume&gt;&lt;number&gt;1645&lt;/number&gt;&lt;dates&gt;&lt;year&gt;2014&lt;/year&gt;&lt;/dates&gt;&lt;urls&gt;&lt;/urls&gt;&lt;electronic-resource-num&gt;10.1098/rstb.2013.0426&lt;/electronic-resource-num&gt;&lt;/record&gt;&lt;/Cite&gt;&lt;/EndNote&gt;</w:instrText>
      </w:r>
      <w:r w:rsidR="00E13392" w:rsidRPr="004349AE">
        <w:rPr>
          <w:sz w:val="22"/>
          <w:lang w:val="en-GB"/>
        </w:rPr>
        <w:fldChar w:fldCharType="separate"/>
      </w:r>
      <w:r w:rsidR="00723833" w:rsidRPr="00723833">
        <w:rPr>
          <w:noProof/>
          <w:sz w:val="22"/>
          <w:vertAlign w:val="superscript"/>
          <w:lang w:val="en-GB"/>
        </w:rPr>
        <w:t>171,172</w:t>
      </w:r>
      <w:r w:rsidR="00E13392" w:rsidRPr="004349AE">
        <w:rPr>
          <w:sz w:val="22"/>
          <w:lang w:val="en-GB"/>
        </w:rPr>
        <w:fldChar w:fldCharType="end"/>
      </w:r>
    </w:p>
    <w:p w:rsidR="00FB601E" w:rsidRPr="00A37EA9" w:rsidRDefault="00FB601E" w:rsidP="004349AE">
      <w:pPr>
        <w:jc w:val="both"/>
        <w:rPr>
          <w:rFonts w:ascii="Calibri" w:hAnsi="Calibri" w:cs="Times New Roman"/>
          <w:sz w:val="22"/>
          <w:lang w:val="en-GB"/>
        </w:rPr>
      </w:pPr>
    </w:p>
    <w:p w:rsidR="00FB601E" w:rsidRPr="00A37EA9" w:rsidRDefault="00FB601E" w:rsidP="004349AE">
      <w:pPr>
        <w:jc w:val="both"/>
        <w:rPr>
          <w:rFonts w:ascii="Calibri" w:hAnsi="Calibri" w:cs="Times New Roman"/>
          <w:sz w:val="22"/>
          <w:lang w:val="en-GB"/>
        </w:rPr>
      </w:pPr>
      <w:r w:rsidRPr="00A37EA9">
        <w:rPr>
          <w:rFonts w:ascii="Calibri" w:hAnsi="Calibri" w:cs="Times New Roman"/>
          <w:sz w:val="22"/>
          <w:lang w:val="en-GB"/>
        </w:rPr>
        <w:t>Zoonosis outbreaks are costly: the economic losses from six major outbreaks of highly fatal zoonoses between 1997 and 2009 cost at least US$80 billion.</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&lt;EndNote&gt;&lt;Cite&gt;&lt;Author&gt;World Bank&lt;/Author&gt;&lt;Year&gt;2012&lt;/Year&gt;&lt;RecNum&gt;1216&lt;/RecNum&gt;&lt;DisplayText&gt;&lt;style face="superscript"&gt;173&lt;/style&gt;&lt;/DisplayText&gt;&lt;record&gt;&lt;rec-number&gt;1216&lt;/rec-number&gt;&lt;foreign-keys&gt;&lt;key app="EN" db-id="wtftd20rmszxx0ettxy5exwdf90wv22s2dsf" timestamp="1419212983"&gt;1216&lt;/key&gt;&lt;/foreign-keys&gt;&lt;ref-type name="Report"&gt;27&lt;/ref-type&gt;&lt;contributors&gt;&lt;authors&gt;&lt;author&gt;World Bank,&lt;/author&gt;&lt;/authors&gt;&lt;/contributors&gt;&lt;titles&gt;&lt;title&gt;People, Pathogens and Our Planet: The Economics of One Health&lt;/title&gt;&lt;/titles&gt;&lt;dates&gt;&lt;year&gt;2012&lt;/year&gt;&lt;/dates&gt;&lt;pub-location&gt;Washington, D.C.&lt;/pub-location&gt;&lt;urls&gt;&lt;/urls&gt;&lt;/record&gt;&lt;/Cite&gt;&lt;/EndNote&gt;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173</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Implementing a “One Health” approach is, by contrast, economically sensible:  the World Bank </w:t>
      </w:r>
      <w:r w:rsidRPr="00142ED0">
        <w:rPr>
          <w:rFonts w:ascii="Calibri" w:hAnsi="Calibri" w:cs="Times New Roman"/>
          <w:sz w:val="22"/>
          <w:lang w:val="en-GB"/>
        </w:rPr>
        <w:t>value its global benefits at $6.7 billion per year.</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&lt;EndNote&gt;&lt;Cite&gt;&lt;Author&gt;World Bank&lt;/Author&gt;&lt;Year&gt;2012&lt;/Year&gt;&lt;RecNum&gt;1216&lt;/RecNum&gt;&lt;DisplayText&gt;&lt;style face="superscript"&gt;173&lt;/style&gt;&lt;/DisplayText&gt;&lt;record&gt;&lt;rec-number&gt;1216&lt;/rec-number&gt;&lt;foreign-keys&gt;&lt;key app="EN" db-id="wtftd20rmszxx0ettxy5exwdf90wv22s2dsf" timestamp="1419212983"&gt;1216&lt;/key&gt;&lt;/foreign-keys&gt;&lt;ref-type name="Report"&gt;27&lt;/ref-type&gt;&lt;contributors&gt;&lt;authors&gt;&lt;author&gt;World Bank,&lt;/author&gt;&lt;/authors&gt;&lt;/contributors&gt;&lt;titles&gt;&lt;title&gt;People, Pathogens and Our Planet: The Economics of One Health&lt;/title&gt;&lt;/titles&gt;&lt;dates&gt;&lt;year&gt;2012&lt;/year&gt;&lt;/dates&gt;&lt;pub-location&gt;Washington, D.C.&lt;/pub-location&gt;&lt;urls&gt;&lt;/urls&gt;&lt;/record&gt;&lt;/Cite&gt;&lt;/EndNote&gt;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173</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It provides no-regret options because in</w:t>
      </w:r>
      <w:r w:rsidRPr="00142ED0">
        <w:rPr>
          <w:rFonts w:ascii="Calibri" w:hAnsi="Calibri" w:cs="Times New Roman"/>
          <w:sz w:val="22"/>
          <w:lang w:val="en-GB"/>
        </w:rPr>
        <w:t>vestments will contribute to reduced vulnerability applicable across climate futures, and it enhances resilience by linking government and civil society partners, facilitating early warning and building capacities to respond to multiple disease risks.</w:t>
      </w:r>
    </w:p>
    <w:p w:rsidR="00FB601E" w:rsidRPr="00142ED0" w:rsidRDefault="00FB601E" w:rsidP="004349AE">
      <w:pPr>
        <w:jc w:val="both"/>
        <w:rPr>
          <w:rFonts w:ascii="Calibri" w:hAnsi="Calibri"/>
          <w:lang w:val="en-GB"/>
        </w:rPr>
      </w:pPr>
    </w:p>
    <w:p w:rsidR="00FB601E" w:rsidRPr="004349AE" w:rsidRDefault="00FB601E" w:rsidP="004349AE">
      <w:pPr>
        <w:jc w:val="both"/>
        <w:rPr>
          <w:rFonts w:ascii="Calibri" w:hAnsi="Calibri" w:cs="Times New Roman"/>
          <w:i/>
          <w:sz w:val="22"/>
          <w:lang w:val="en-GB"/>
        </w:rPr>
      </w:pPr>
      <w:r w:rsidRPr="004008E1">
        <w:rPr>
          <w:rFonts w:ascii="Calibri" w:hAnsi="Calibri" w:cs="Times New Roman"/>
          <w:i/>
          <w:sz w:val="22"/>
          <w:lang w:val="en-GB"/>
        </w:rPr>
        <w:t xml:space="preserve">3. Surveillance and monitoring </w:t>
      </w:r>
    </w:p>
    <w:p w:rsidR="00FB601E" w:rsidRPr="004349AE" w:rsidRDefault="00FB601E" w:rsidP="004349AE">
      <w:pPr>
        <w:autoSpaceDE w:val="0"/>
        <w:autoSpaceDN w:val="0"/>
        <w:adjustRightInd w:val="0"/>
        <w:jc w:val="both"/>
        <w:rPr>
          <w:sz w:val="22"/>
          <w:lang w:val="en-GB"/>
        </w:rPr>
      </w:pPr>
      <w:r w:rsidRPr="00A37EA9">
        <w:rPr>
          <w:sz w:val="22"/>
          <w:lang w:val="en-GB"/>
        </w:rPr>
        <w:t>Strengthening the capacity of countries to monitor and respond to disease outbreaks is vital, as shown by the unfolding Ebola epidemic in West Africa.</w:t>
      </w:r>
      <w:r w:rsidRPr="004008E1">
        <w:rPr>
          <w:rFonts w:cs="Times New Roman"/>
          <w:sz w:val="22"/>
          <w:szCs w:val="22"/>
          <w:lang w:val="en-GB"/>
        </w:rPr>
        <w:t xml:space="preserve"> </w:t>
      </w:r>
      <w:r w:rsidRPr="00B50254">
        <w:rPr>
          <w:sz w:val="22"/>
          <w:szCs w:val="22"/>
          <w:lang w:val="en-GB"/>
        </w:rPr>
        <w:t>C</w:t>
      </w:r>
      <w:r w:rsidRPr="00B50254">
        <w:rPr>
          <w:rFonts w:cs="Times New Roman"/>
          <w:sz w:val="22"/>
          <w:szCs w:val="22"/>
          <w:lang w:val="en-GB"/>
        </w:rPr>
        <w:t>limate</w:t>
      </w:r>
      <w:r w:rsidRPr="004349AE">
        <w:rPr>
          <w:sz w:val="22"/>
          <w:lang w:val="en-GB"/>
        </w:rPr>
        <w:t xml:space="preserve"> change adaptation</w:t>
      </w:r>
      <w:r w:rsidRPr="00142ED0">
        <w:rPr>
          <w:sz w:val="22"/>
          <w:szCs w:val="22"/>
          <w:lang w:val="en-GB"/>
        </w:rPr>
        <w:t xml:space="preserve"> for human health requires</w:t>
      </w:r>
      <w:r w:rsidRPr="004349AE">
        <w:rPr>
          <w:sz w:val="22"/>
          <w:lang w:val="en-GB"/>
        </w:rPr>
        <w:t xml:space="preserve"> a range of data</w:t>
      </w:r>
      <w:r w:rsidRPr="00142ED0">
        <w:rPr>
          <w:sz w:val="22"/>
          <w:szCs w:val="22"/>
          <w:lang w:val="en-GB"/>
        </w:rPr>
        <w:t>,</w:t>
      </w:r>
      <w:r w:rsidRPr="004349AE">
        <w:rPr>
          <w:sz w:val="22"/>
          <w:lang w:val="en-GB"/>
        </w:rPr>
        <w:t xml:space="preserve"> including on health climate risks or vulnerabilities, and specific diseases related to climate change impacts. Information and data collected from public health surveillance or monitoring systems can be used to determine disease burdens and trends, identify vulnerable </w:t>
      </w:r>
      <w:r w:rsidRPr="004349AE">
        <w:rPr>
          <w:sz w:val="22"/>
          <w:lang w:val="en-GB"/>
        </w:rPr>
        <w:lastRenderedPageBreak/>
        <w:t>people and communities, understand disease patterns, and prepare response plans and public health interventions.</w:t>
      </w:r>
      <w:r w:rsidR="00E13392" w:rsidRPr="004349AE">
        <w:rPr>
          <w:sz w:val="22"/>
          <w:lang w:val="en-GB"/>
        </w:rPr>
        <w:fldChar w:fldCharType="begin">
          <w:fldData xml:space="preserve">PEVuZE5vdGU+PENpdGU+PEF1dGhvcj5TZW1lbnphPC9BdXRob3I+PFllYXI+MjAxMjwvWWVhcj48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</w:fldData>
        </w:fldChar>
      </w:r>
      <w:r w:rsidR="00723833">
        <w:rPr>
          <w:sz w:val="22"/>
          <w:lang w:val="en-GB"/>
        </w:rPr>
        <w:instrText xml:space="preserve"> ADDIN EN.CITE </w:instrText>
      </w:r>
      <w:r w:rsidR="00E13392">
        <w:rPr>
          <w:sz w:val="22"/>
          <w:lang w:val="en-GB"/>
        </w:rPr>
        <w:fldChar w:fldCharType="begin">
          <w:fldData xml:space="preserve">PEVuZE5vdGU+PENpdGU+PEF1dGhvcj5TZW1lbnphPC9BdXRob3I+PFllYXI+MjAxMjwvWWVhcj48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</w:fldData>
        </w:fldChar>
      </w:r>
      <w:r w:rsidR="00723833">
        <w:rPr>
          <w:sz w:val="22"/>
          <w:lang w:val="en-GB"/>
        </w:rPr>
        <w:instrText xml:space="preserve"> ADDIN EN.CITE.DATA </w:instrText>
      </w:r>
      <w:r w:rsidR="00E13392">
        <w:rPr>
          <w:sz w:val="22"/>
          <w:lang w:val="en-GB"/>
        </w:rPr>
      </w:r>
      <w:r w:rsidR="00E13392">
        <w:rPr>
          <w:sz w:val="22"/>
          <w:lang w:val="en-GB"/>
        </w:rPr>
        <w:fldChar w:fldCharType="end"/>
      </w:r>
      <w:r w:rsidR="00E13392" w:rsidRPr="004349AE">
        <w:rPr>
          <w:sz w:val="22"/>
          <w:lang w:val="en-GB"/>
        </w:rPr>
      </w:r>
      <w:r w:rsidR="00E13392" w:rsidRPr="004349AE">
        <w:rPr>
          <w:sz w:val="22"/>
          <w:lang w:val="en-GB"/>
        </w:rPr>
        <w:fldChar w:fldCharType="separate"/>
      </w:r>
      <w:r w:rsidR="00723833" w:rsidRPr="00723833">
        <w:rPr>
          <w:noProof/>
          <w:sz w:val="22"/>
          <w:vertAlign w:val="superscript"/>
          <w:lang w:val="en-GB"/>
        </w:rPr>
        <w:t>174,175</w:t>
      </w:r>
      <w:r w:rsidR="00E13392" w:rsidRPr="004349AE">
        <w:rPr>
          <w:sz w:val="22"/>
          <w:lang w:val="en-GB"/>
        </w:rPr>
        <w:fldChar w:fldCharType="end"/>
      </w:r>
      <w:r w:rsidRPr="004349AE">
        <w:rPr>
          <w:sz w:val="22"/>
          <w:lang w:val="en-GB"/>
        </w:rPr>
        <w:t xml:space="preserve"> </w:t>
      </w:r>
    </w:p>
    <w:p w:rsidR="00E51530" w:rsidRPr="00A37EA9" w:rsidRDefault="00E51530" w:rsidP="00FB601E">
      <w:pPr>
        <w:rPr>
          <w:rFonts w:ascii="Calibri" w:hAnsi="Calibri" w:cs="Times New Roman"/>
          <w:b/>
          <w:sz w:val="20"/>
          <w:lang w:val="en-GB"/>
        </w:rPr>
      </w:pPr>
    </w:p>
    <w:p w:rsidR="00E51530" w:rsidRPr="00142ED0" w:rsidRDefault="00E51530" w:rsidP="00B25E9E">
      <w:pPr>
        <w:rPr>
          <w:rFonts w:ascii="Calibri" w:hAnsi="Calibri" w:cs="Times New Roman"/>
          <w:b/>
          <w:sz w:val="20"/>
          <w:lang w:val="en-GB"/>
        </w:rPr>
      </w:pPr>
    </w:p>
    <w:p w:rsidR="00FB601E" w:rsidRPr="004349AE" w:rsidRDefault="00FB601E" w:rsidP="00FB601E">
      <w:pPr>
        <w:rPr>
          <w:rFonts w:ascii="Calibri" w:hAnsi="Calibri"/>
          <w:sz w:val="22"/>
          <w:lang w:val="en-GB"/>
        </w:rPr>
      </w:pPr>
    </w:p>
    <w:p w:rsidR="00FB601E" w:rsidRPr="004349AE" w:rsidRDefault="00FB601E" w:rsidP="00FB601E">
      <w:pPr>
        <w:pStyle w:val="Heading2"/>
        <w:rPr>
          <w:rFonts w:ascii="Calibri" w:hAnsi="Calibri"/>
          <w:lang w:val="en-GB"/>
        </w:rPr>
      </w:pPr>
      <w:bookmarkStart w:id="66" w:name="_Toc402956367"/>
      <w:bookmarkStart w:id="67" w:name="_Toc278446361"/>
      <w:bookmarkStart w:id="68" w:name="_Toc415931384"/>
      <w:bookmarkStart w:id="69" w:name="_Toc417502049"/>
      <w:r w:rsidRPr="00A37EA9">
        <w:rPr>
          <w:lang w:val="en-GB"/>
        </w:rPr>
        <w:t xml:space="preserve">Health Co-Benefits from Climate </w:t>
      </w:r>
      <w:bookmarkEnd w:id="66"/>
      <w:bookmarkEnd w:id="67"/>
      <w:r w:rsidRPr="00A37EA9">
        <w:rPr>
          <w:lang w:val="en-GB"/>
        </w:rPr>
        <w:t>Adaptation</w:t>
      </w:r>
      <w:bookmarkEnd w:id="68"/>
      <w:bookmarkEnd w:id="69"/>
    </w:p>
    <w:p w:rsidR="00FB601E" w:rsidRPr="004B2349" w:rsidRDefault="00FB601E" w:rsidP="00FB601E">
      <w:pPr>
        <w:rPr>
          <w:rFonts w:ascii="Calibri" w:hAnsi="Calibri"/>
          <w:sz w:val="20"/>
          <w:szCs w:val="20"/>
          <w:lang w:val="en-GB"/>
        </w:rPr>
      </w:pPr>
      <w:r w:rsidRPr="00142ED0">
        <w:rPr>
          <w:rFonts w:ascii="Calibri" w:hAnsi="Calibri" w:cs="Times New Roman"/>
          <w:sz w:val="22"/>
          <w:lang w:val="en-GB"/>
        </w:rPr>
        <w:t>Even</w:t>
      </w:r>
      <w:r w:rsidRPr="004008E1">
        <w:rPr>
          <w:rFonts w:ascii="Calibri" w:hAnsi="Calibri" w:cs="Times New Roman"/>
          <w:sz w:val="22"/>
          <w:lang w:val="en-GB"/>
        </w:rPr>
        <w:t xml:space="preserve"> though many climate-related health effects are beset by</w:t>
      </w:r>
      <w:r w:rsidRPr="00B50254">
        <w:rPr>
          <w:rFonts w:ascii="Calibri" w:hAnsi="Calibri" w:cs="Times New Roman"/>
          <w:sz w:val="22"/>
          <w:lang w:val="en-GB"/>
        </w:rPr>
        <w:t xml:space="preserve"> uncertainties, policy makers and communities can prepare if they focus on measures that: 1) create multiple societal and environmental benefits; 2) are robust to multiple alternative developments, and 3) enable social actors to respond, adapt and innovate as a response to change.</w:t>
      </w:r>
      <w:r w:rsidRPr="004B2349">
        <w:rPr>
          <w:rFonts w:ascii="Calibri" w:hAnsi="Calibri" w:cs="Times New Roman"/>
          <w:sz w:val="22"/>
          <w:szCs w:val="22"/>
          <w:lang w:val="en-GB"/>
        </w:rPr>
        <w:t xml:space="preserve"> </w:t>
      </w:r>
      <w:r w:rsidR="00E13392" w:rsidRPr="00142ED0">
        <w:rPr>
          <w:rFonts w:ascii="Calibri" w:hAnsi="Calibri" w:cs="Times New Roman"/>
          <w:sz w:val="22"/>
          <w:szCs w:val="22"/>
          <w:lang w:val="en-GB"/>
        </w:rPr>
        <w:fldChar w:fldCharType="begin">
          <w:fldData xml:space="preserve">PEVuZE5vdGU+PENpdGU+PEF1dGhvcj5DaGVuZzwvQXV0aG9yPjxZZWFyPjIwMTM8L1llYXI+PFJl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</w:fldData>
        </w:fldChar>
      </w:r>
      <w:r w:rsidR="00723833">
        <w:rPr>
          <w:rFonts w:ascii="Calibri" w:hAnsi="Calibri" w:cs="Times New Roman"/>
          <w:sz w:val="22"/>
          <w:szCs w:val="22"/>
          <w:lang w:val="en-GB"/>
        </w:rPr>
        <w:instrText xml:space="preserve"> ADDIN EN.CITE </w:instrText>
      </w:r>
      <w:r w:rsidR="00E13392">
        <w:rPr>
          <w:rFonts w:ascii="Calibri" w:hAnsi="Calibri" w:cs="Times New Roman"/>
          <w:sz w:val="22"/>
          <w:szCs w:val="22"/>
          <w:lang w:val="en-GB"/>
        </w:rPr>
        <w:fldChar w:fldCharType="begin">
          <w:fldData xml:space="preserve">PEVuZE5vdGU+PENpdGU+PEF1dGhvcj5DaGVuZzwvQXV0aG9yPjxZZWFyPjIwMTM8L1llYXI+PFJl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</w:fldData>
        </w:fldChar>
      </w:r>
      <w:r w:rsidR="00723833">
        <w:rPr>
          <w:rFonts w:ascii="Calibri" w:hAnsi="Calibri" w:cs="Times New Roman"/>
          <w:sz w:val="22"/>
          <w:szCs w:val="22"/>
          <w:lang w:val="en-GB"/>
        </w:rPr>
        <w:instrText xml:space="preserve"> ADDIN EN.CITE.DATA </w:instrText>
      </w:r>
      <w:r w:rsidR="00E13392">
        <w:rPr>
          <w:rFonts w:ascii="Calibri" w:hAnsi="Calibri" w:cs="Times New Roman"/>
          <w:sz w:val="22"/>
          <w:szCs w:val="22"/>
          <w:lang w:val="en-GB"/>
        </w:rPr>
      </w:r>
      <w:r w:rsidR="00E13392">
        <w:rPr>
          <w:rFonts w:ascii="Calibri" w:hAnsi="Calibri" w:cs="Times New Roman"/>
          <w:sz w:val="22"/>
          <w:szCs w:val="22"/>
          <w:lang w:val="en-GB"/>
        </w:rPr>
        <w:fldChar w:fldCharType="end"/>
      </w:r>
      <w:r w:rsidR="00E13392" w:rsidRPr="00142ED0">
        <w:rPr>
          <w:rFonts w:ascii="Calibri" w:hAnsi="Calibri" w:cs="Times New Roman"/>
          <w:sz w:val="22"/>
          <w:szCs w:val="22"/>
          <w:lang w:val="en-GB"/>
        </w:rPr>
      </w:r>
      <w:r w:rsidR="00E13392" w:rsidRPr="00142ED0">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164,165</w:t>
      </w:r>
      <w:r w:rsidR="00E13392" w:rsidRPr="00142ED0">
        <w:rPr>
          <w:rFonts w:ascii="Calibri" w:hAnsi="Calibri" w:cs="Times New Roman"/>
          <w:sz w:val="22"/>
          <w:szCs w:val="22"/>
          <w:lang w:val="en-GB"/>
        </w:rPr>
        <w:fldChar w:fldCharType="end"/>
      </w:r>
      <w:r w:rsidRPr="00A37EA9">
        <w:rPr>
          <w:rFonts w:ascii="Calibri" w:hAnsi="Calibri" w:cs="Times New Roman"/>
          <w:sz w:val="22"/>
          <w:szCs w:val="22"/>
          <w:lang w:val="en-GB"/>
        </w:rPr>
        <w:t xml:space="preserve"> </w:t>
      </w:r>
    </w:p>
    <w:p w:rsidR="00FB601E" w:rsidRPr="004B2349" w:rsidRDefault="00FB601E" w:rsidP="00FB601E">
      <w:pPr>
        <w:rPr>
          <w:rFonts w:ascii="Calibri" w:hAnsi="Calibri"/>
          <w:sz w:val="20"/>
          <w:szCs w:val="20"/>
          <w:lang w:val="en-GB"/>
        </w:rPr>
      </w:pPr>
    </w:p>
    <w:p w:rsidR="00FB601E" w:rsidRPr="004B2349" w:rsidRDefault="00FB601E" w:rsidP="00FB601E">
      <w:pPr>
        <w:pStyle w:val="Heading3"/>
        <w:rPr>
          <w:lang w:val="en-GB"/>
        </w:rPr>
      </w:pPr>
      <w:bookmarkStart w:id="70" w:name="_Toc278446362"/>
      <w:bookmarkStart w:id="71" w:name="_Toc415931385"/>
      <w:bookmarkStart w:id="72" w:name="_Toc417502050"/>
      <w:bookmarkEnd w:id="70"/>
      <w:r w:rsidRPr="004B2349">
        <w:rPr>
          <w:lang w:val="en-GB"/>
        </w:rPr>
        <w:t>Ecosystem-Based Adaptation (EbA) – Co-Benefits for Indirect Effects</w:t>
      </w:r>
      <w:bookmarkEnd w:id="71"/>
      <w:bookmarkEnd w:id="72"/>
    </w:p>
    <w:p w:rsidR="00FB601E" w:rsidRPr="00A37EA9" w:rsidRDefault="00FB601E" w:rsidP="00FB601E">
      <w:pPr>
        <w:jc w:val="both"/>
        <w:rPr>
          <w:rFonts w:ascii="Calibri" w:hAnsi="Calibri" w:cs="Times New Roman"/>
          <w:sz w:val="22"/>
          <w:lang w:val="en-GB"/>
        </w:rPr>
      </w:pPr>
      <w:r w:rsidRPr="00A37EA9">
        <w:rPr>
          <w:rFonts w:ascii="Calibri" w:hAnsi="Calibri" w:cs="Times New Roman"/>
          <w:sz w:val="22"/>
          <w:lang w:val="en-GB"/>
        </w:rPr>
        <w:t xml:space="preserve">Ecosystem services contribute to human health in multiple ways and can act as buffers, increasing the resilience of natural and human systems to climate change impacts and </w:t>
      </w:r>
      <w:r w:rsidRPr="00142ED0">
        <w:rPr>
          <w:rFonts w:ascii="Calibri" w:hAnsi="Calibri" w:cs="Times New Roman"/>
          <w:sz w:val="22"/>
          <w:lang w:val="en-GB"/>
        </w:rPr>
        <w:t>disasters.</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&lt;EndNote&gt;&lt;Cite&gt;&lt;Author&gt;Lal PN&lt;/Author&gt;&lt;Year&gt;2012&lt;/Year&gt;&lt;RecNum&gt;1151&lt;/RecNum&gt;&lt;DisplayText&gt;&lt;style face="superscript"&gt;155&lt;/style&gt;&lt;/DisplayText&gt;&lt;record&gt;&lt;rec-number&gt;1151&lt;/rec-number&gt;&lt;foreign-keys&gt;&lt;key app="EN" db-id="wtftd20rmszxx0ettxy5exwdf90wv22s2dsf" timestamp="1419212983"&gt;1151&lt;/key&gt;&lt;/foreign-keys&gt;&lt;ref-type name="Book Section"&gt;5&lt;/ref-type&gt;&lt;contributors&gt;&lt;authors&gt;&lt;author&gt;Lal PN, &lt;/author&gt;&lt;author&gt;Mitchell T, &lt;/author&gt;&lt;author&gt;Aldunce P, &lt;/author&gt;&lt;author&gt;Auld H, &lt;/author&gt;&lt;author&gt;Mechler R, &lt;/author&gt;&lt;author&gt;Miyan A, &lt;/author&gt;&lt;author&gt;Romano LE, &lt;/author&gt;&lt;author&gt;Zakaria S,&lt;/author&gt;&lt;/authors&gt;&lt;secondary-authors&gt;&lt;author&gt;Field CB, Barros V, Stocker TF, Qin D, Dokken DJ, Ebi KL, Mastrandrea MD, Mach KJ, Plattner GK, Allen SK, Tignor M, Midgley PM&lt;/author&gt;&lt;/secondary-authors&gt;&lt;/contributors&gt;&lt;titles&gt;&lt;title&gt;National systems for managing the risks from climate extremes and disasters&lt;/title&gt;&lt;secondary-title&gt;Managing the Risks of Extreme Events and Disasters to Advance Climate Change Adaptation. A Special Report of Working Groups I and II of the Intergovernmental Panel on Climate Change &lt;/secondary-title&gt;&lt;/titles&gt;&lt;pages&gt;339-392&lt;/pages&gt;&lt;dates&gt;&lt;year&gt;2012&lt;/year&gt;&lt;/dates&gt;&lt;pub-location&gt;UK, USA&lt;/pub-location&gt;&lt;publisher&gt;Cambridge University Press&lt;/publisher&gt;&lt;urls&gt;&lt;/urls&gt;&lt;/record&gt;&lt;/Cite&gt;&lt;/EndNote&gt;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155</w:t>
      </w:r>
      <w:r w:rsidR="00E13392" w:rsidRPr="00142ED0">
        <w:rPr>
          <w:rFonts w:ascii="Calibri" w:hAnsi="Calibri" w:cs="Times New Roman"/>
          <w:sz w:val="22"/>
          <w:lang w:val="en-GB"/>
        </w:rPr>
        <w:fldChar w:fldCharType="end"/>
      </w:r>
    </w:p>
    <w:p w:rsidR="00FB601E" w:rsidRPr="00142ED0" w:rsidRDefault="00FB601E" w:rsidP="00FB601E">
      <w:pPr>
        <w:jc w:val="both"/>
        <w:rPr>
          <w:rFonts w:ascii="Calibri" w:hAnsi="Calibri" w:cs="Times New Roman"/>
          <w:sz w:val="22"/>
          <w:lang w:val="en-GB"/>
        </w:rPr>
      </w:pPr>
    </w:p>
    <w:p w:rsidR="00FB601E" w:rsidRPr="00A37EA9" w:rsidRDefault="00FB601E" w:rsidP="00FB601E">
      <w:pPr>
        <w:jc w:val="both"/>
        <w:rPr>
          <w:rFonts w:ascii="Calibri" w:hAnsi="Calibri" w:cs="Times New Roman"/>
          <w:sz w:val="22"/>
          <w:lang w:val="en-GB"/>
        </w:rPr>
      </w:pPr>
      <w:r w:rsidRPr="00A37EA9">
        <w:rPr>
          <w:rFonts w:ascii="Calibri" w:hAnsi="Calibri" w:cs="Times New Roman"/>
          <w:sz w:val="22"/>
          <w:lang w:val="en-GB"/>
        </w:rPr>
        <w:t xml:space="preserve">Ecosystem-based Adaptation (EbA) </w:t>
      </w:r>
      <w:r w:rsidRPr="004008E1">
        <w:rPr>
          <w:rFonts w:ascii="Calibri" w:hAnsi="Calibri" w:cs="Times New Roman"/>
          <w:sz w:val="22"/>
          <w:lang w:val="en-GB"/>
        </w:rPr>
        <w:t>utilises ecosystem services, biodiversity and sustainable resource management as an adaptation strategy to enhance natural resilience and reduce vulnerability</w:t>
      </w:r>
      <w:r w:rsidR="00723833">
        <w:rPr>
          <w:rFonts w:ascii="Calibri" w:hAnsi="Calibri" w:cs="Times New Roman"/>
          <w:sz w:val="22"/>
          <w:lang w:val="en-GB"/>
        </w:rPr>
        <w:t xml:space="preserve"> (covered in more detail in a forthcoming Commission on Planetary Health)</w:t>
      </w:r>
      <w:r w:rsidRPr="00B50254">
        <w:rPr>
          <w:rFonts w:ascii="Calibri" w:hAnsi="Calibri" w:cs="Times New Roman"/>
          <w:sz w:val="22"/>
          <w:lang w:val="en-GB"/>
        </w:rPr>
        <w:t>.</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&lt;EndNote&gt;&lt;Cite&gt;&lt;Author&gt;Colls&lt;/Author&gt;&lt;Year&gt;2009&lt;/Year&gt;&lt;RecNum&gt;1098&lt;/RecNum&gt;&lt;DisplayText&gt;&lt;style face="superscript"&gt;176,177&lt;/style&gt;&lt;/DisplayText&gt;&lt;record&gt;&lt;rec-number&gt;1098&lt;/rec-number&gt;&lt;foreign-keys&gt;&lt;key app="EN" db-id="wtftd20rmszxx0ettxy5exwdf90wv22s2dsf" timestamp="1419212983"&gt;1098&lt;/key&gt;&lt;/foreign-keys&gt;&lt;ref-type name="Report"&gt;27&lt;/ref-type&gt;&lt;contributors&gt;&lt;authors&gt;&lt;author&gt;Colls, A. &lt;/author&gt;&lt;author&gt;Ash, N.&lt;/author&gt;&lt;author&gt;Ikkala, N.&lt;/author&gt;&lt;/authors&gt;&lt;/contributors&gt;&lt;titles&gt;&lt;title&gt;Ecosystem-based Adaptation: A Natural Response to Climate Change&lt;/title&gt;&lt;/titles&gt;&lt;dates&gt;&lt;year&gt;2009&lt;/year&gt;&lt;/dates&gt;&lt;pub-location&gt;Switzerland&lt;/pub-location&gt;&lt;publisher&gt;International Union for Conservation of Nature&lt;/publisher&gt;&lt;urls&gt;&lt;/urls&gt;&lt;/record&gt;&lt;/Cite&gt;&lt;Cite&gt;&lt;Author&gt;Pramova&lt;/Author&gt;&lt;Year&gt;2012&lt;/Year&gt;&lt;RecNum&gt;1168&lt;/RecNum&gt;&lt;record&gt;&lt;rec-number&gt;1168&lt;/rec-number&gt;&lt;foreign-keys&gt;&lt;key app="EN" db-id="wtftd20rmszxx0ettxy5exwdf90wv22s2dsf" timestamp="1419212983"&gt;1168&lt;/key&gt;&lt;/foreign-keys&gt;&lt;ref-type name="Journal Article"&gt;17&lt;/ref-type&gt;&lt;contributors&gt;&lt;authors&gt;&lt;author&gt;Pramova, E.&lt;/author&gt;&lt;author&gt;Locatelli, B.&lt;/author&gt;&lt;author&gt;Brockhaus, M.&lt;/author&gt;&lt;author&gt;Fohlmeister, S.&lt;/author&gt;&lt;/authors&gt;&lt;/contributors&gt;&lt;titles&gt;&lt;title&gt;Ecosystem services in the national adaptation programmes of action&lt;/title&gt;&lt;secondary-title&gt;Climate Policy&lt;/secondary-title&gt;&lt;/titles&gt;&lt;periodical&gt;&lt;full-title&gt;Climate Policy&lt;/full-title&gt;&lt;/periodical&gt;&lt;pages&gt;393-409&lt;/pages&gt;&lt;volume&gt;12&lt;/volume&gt;&lt;number&gt;4&lt;/number&gt;&lt;dates&gt;&lt;year&gt;2012&lt;/year&gt;&lt;/dates&gt;&lt;label&gt;CIFORHQ 3712&lt;/label&gt;&lt;urls&gt;&lt;/urls&gt;&lt;language&gt;English&lt;/language&gt;&lt;/record&gt;&lt;/Cite&gt;&lt;/EndNote&gt;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176,177</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w:t>
      </w:r>
      <w:r w:rsidR="009F3C0D" w:rsidRPr="004008E1">
        <w:rPr>
          <w:rFonts w:ascii="Calibri" w:hAnsi="Calibri" w:cs="Times New Roman"/>
          <w:sz w:val="22"/>
          <w:lang w:val="en-GB"/>
        </w:rPr>
        <w:t>N</w:t>
      </w:r>
      <w:r w:rsidRPr="004008E1">
        <w:rPr>
          <w:rFonts w:ascii="Calibri" w:hAnsi="Calibri" w:cs="Times New Roman"/>
          <w:sz w:val="22"/>
          <w:lang w:val="en-GB"/>
        </w:rPr>
        <w:t>atural barriers</w:t>
      </w:r>
      <w:r w:rsidR="009F3C0D" w:rsidRPr="00B50254">
        <w:rPr>
          <w:rFonts w:ascii="Calibri" w:hAnsi="Calibri" w:cs="Times New Roman"/>
          <w:sz w:val="22"/>
          <w:lang w:val="en-GB"/>
        </w:rPr>
        <w:t xml:space="preserve"> can act</w:t>
      </w:r>
      <w:r w:rsidRPr="00B50254">
        <w:rPr>
          <w:rFonts w:ascii="Calibri" w:hAnsi="Calibri" w:cs="Times New Roman"/>
          <w:sz w:val="22"/>
          <w:lang w:val="en-GB"/>
        </w:rPr>
        <w:t xml:space="preserve"> as a defence against climatic and no</w:t>
      </w:r>
      <w:r w:rsidRPr="004B2349">
        <w:rPr>
          <w:rFonts w:ascii="Calibri" w:hAnsi="Calibri" w:cs="Times New Roman"/>
          <w:sz w:val="22"/>
          <w:lang w:val="en-GB"/>
        </w:rPr>
        <w:t>n-climatic events, e.g. restoration of mangroves for protecting coastal settlements and conservation of forests to regulate water flow for vulnerable communities.</w:t>
      </w:r>
      <w:r w:rsidR="00E13392" w:rsidRPr="00142ED0">
        <w:rPr>
          <w:rFonts w:ascii="Calibri" w:hAnsi="Calibri" w:cs="Times New Roman"/>
          <w:sz w:val="22"/>
          <w:lang w:val="en-GB"/>
        </w:rPr>
        <w:fldChar w:fldCharType="begin">
          <w:fldData xml:space="preserve">PEVuZE5vdGU+PENpdGU+PEF1dGhvcj5QcmFtb3ZhPC9BdXRob3I+PFllYXI+MjAxMjwvWWVhcj48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</w:fldData>
        </w:fldChar>
      </w:r>
      <w:r w:rsidR="00723833">
        <w:rPr>
          <w:rFonts w:ascii="Calibri" w:hAnsi="Calibri" w:cs="Times New Roman"/>
          <w:sz w:val="22"/>
          <w:lang w:val="en-GB"/>
        </w:rPr>
        <w:instrText xml:space="preserve"> ADDIN EN.CITE </w:instrText>
      </w:r>
      <w:r w:rsidR="00E13392">
        <w:rPr>
          <w:rFonts w:ascii="Calibri" w:hAnsi="Calibri" w:cs="Times New Roman"/>
          <w:sz w:val="22"/>
          <w:lang w:val="en-GB"/>
        </w:rPr>
        <w:fldChar w:fldCharType="begin">
          <w:fldData xml:space="preserve">PEVuZE5vdGU+PENpdGU+PEF1dGhvcj5QcmFtb3ZhPC9BdXRob3I+PFllYXI+MjAxMjwvWWVhcj48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</w:fldData>
        </w:fldChar>
      </w:r>
      <w:r w:rsidR="00723833">
        <w:rPr>
          <w:rFonts w:ascii="Calibri" w:hAnsi="Calibri" w:cs="Times New Roman"/>
          <w:sz w:val="22"/>
          <w:lang w:val="en-GB"/>
        </w:rPr>
        <w:instrText xml:space="preserve"> ADDIN EN.CITE.DATA </w:instrText>
      </w:r>
      <w:r w:rsidR="00E13392">
        <w:rPr>
          <w:rFonts w:ascii="Calibri" w:hAnsi="Calibri" w:cs="Times New Roman"/>
          <w:sz w:val="22"/>
          <w:lang w:val="en-GB"/>
        </w:rPr>
      </w:r>
      <w:r w:rsidR="00E13392">
        <w:rPr>
          <w:rFonts w:ascii="Calibri" w:hAnsi="Calibri" w:cs="Times New Roman"/>
          <w:sz w:val="22"/>
          <w:lang w:val="en-GB"/>
        </w:rPr>
        <w:fldChar w:fldCharType="end"/>
      </w:r>
      <w:r w:rsidR="00E13392" w:rsidRPr="00142ED0">
        <w:rPr>
          <w:rFonts w:ascii="Calibri" w:hAnsi="Calibri" w:cs="Times New Roman"/>
          <w:sz w:val="22"/>
          <w:lang w:val="en-GB"/>
        </w:rPr>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178,179</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EbA is considered to be mor</w:t>
      </w:r>
      <w:r w:rsidRPr="00142ED0">
        <w:rPr>
          <w:rFonts w:ascii="Calibri" w:hAnsi="Calibri" w:cs="Times New Roman"/>
          <w:sz w:val="22"/>
          <w:lang w:val="en-GB"/>
        </w:rPr>
        <w:t>e cost-efficient than many hard-engineered solutions, and thought to minimise the scope for maladaptation.</w:t>
      </w:r>
      <w:r w:rsidR="00E13392" w:rsidRPr="00142ED0">
        <w:rPr>
          <w:rFonts w:ascii="Calibri" w:hAnsi="Calibri" w:cs="Times New Roman"/>
          <w:sz w:val="22"/>
          <w:lang w:val="en-GB"/>
        </w:rPr>
        <w:fldChar w:fldCharType="begin">
          <w:fldData xml:space="preserve">PEVuZE5vdGU+PENpdGU+PEF1dGhvcj5MYWwgUE48L0F1dGhvcj48WWVhcj4yMDEyPC9ZZWFyPjxS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</w:fldData>
        </w:fldChar>
      </w:r>
      <w:r w:rsidR="00723833">
        <w:rPr>
          <w:rFonts w:ascii="Calibri" w:hAnsi="Calibri" w:cs="Times New Roman"/>
          <w:sz w:val="22"/>
          <w:lang w:val="en-GB"/>
        </w:rPr>
        <w:instrText xml:space="preserve"> ADDIN EN.CITE </w:instrText>
      </w:r>
      <w:r w:rsidR="00E13392">
        <w:rPr>
          <w:rFonts w:ascii="Calibri" w:hAnsi="Calibri" w:cs="Times New Roman"/>
          <w:sz w:val="22"/>
          <w:lang w:val="en-GB"/>
        </w:rPr>
        <w:fldChar w:fldCharType="begin">
          <w:fldData xml:space="preserve">PEVuZE5vdGU+PENpdGU+PEF1dGhvcj5MYWwgUE48L0F1dGhvcj48WWVhcj4yMDEyPC9ZZWFyPjxS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</w:fldData>
        </w:fldChar>
      </w:r>
      <w:r w:rsidR="00723833">
        <w:rPr>
          <w:rFonts w:ascii="Calibri" w:hAnsi="Calibri" w:cs="Times New Roman"/>
          <w:sz w:val="22"/>
          <w:lang w:val="en-GB"/>
        </w:rPr>
        <w:instrText xml:space="preserve"> ADDIN EN.CITE.DATA </w:instrText>
      </w:r>
      <w:r w:rsidR="00E13392">
        <w:rPr>
          <w:rFonts w:ascii="Calibri" w:hAnsi="Calibri" w:cs="Times New Roman"/>
          <w:sz w:val="22"/>
          <w:lang w:val="en-GB"/>
        </w:rPr>
      </w:r>
      <w:r w:rsidR="00E13392">
        <w:rPr>
          <w:rFonts w:ascii="Calibri" w:hAnsi="Calibri" w:cs="Times New Roman"/>
          <w:sz w:val="22"/>
          <w:lang w:val="en-GB"/>
        </w:rPr>
        <w:fldChar w:fldCharType="end"/>
      </w:r>
      <w:r w:rsidR="00E13392" w:rsidRPr="00142ED0">
        <w:rPr>
          <w:rFonts w:ascii="Calibri" w:hAnsi="Calibri" w:cs="Times New Roman"/>
          <w:sz w:val="22"/>
          <w:lang w:val="en-GB"/>
        </w:rPr>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155,180</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It can </w:t>
      </w:r>
      <w:r w:rsidRPr="004008E1">
        <w:rPr>
          <w:rFonts w:ascii="Calibri" w:hAnsi="Calibri" w:cs="Times New Roman"/>
          <w:sz w:val="22"/>
          <w:lang w:val="en-GB"/>
        </w:rPr>
        <w:t>be combined with</w:t>
      </w:r>
      <w:r w:rsidRPr="00B50254">
        <w:rPr>
          <w:rFonts w:ascii="Calibri" w:hAnsi="Calibri" w:cs="Times New Roman"/>
          <w:sz w:val="22"/>
          <w:lang w:val="en-GB"/>
        </w:rPr>
        <w:t xml:space="preserve"> engineered infrastructure or other technological approaches. EbA interventions can be effective in reducing certain climate change vulnerability as it provides both disaster risk reduction functions, and enables improvements in livelihoods and food security, particularly in poor and vulnerable settings.</w:t>
      </w:r>
      <w:r w:rsidR="00E13392">
        <w:rPr>
          <w:rFonts w:ascii="Calibri" w:hAnsi="Calibri" w:cs="Times New Roman"/>
          <w:sz w:val="22"/>
          <w:lang w:val="en-GB"/>
        </w:rPr>
        <w:fldChar w:fldCharType="begin"/>
      </w:r>
      <w:r w:rsidR="000942AB">
        <w:rPr>
          <w:rFonts w:ascii="Calibri" w:hAnsi="Calibri" w:cs="Times New Roman"/>
          <w:sz w:val="22"/>
          <w:lang w:val="en-GB"/>
        </w:rPr>
        <w:instrText xml:space="preserve"> ADDIN EN.CITE &lt;EndNote&gt;&lt;Cite&gt;&lt;Author&gt;The Royal Society&lt;/Author&gt;&lt;Year&gt;2014&lt;/Year&gt;&lt;RecNum&gt;1550&lt;/RecNum&gt;&lt;DisplayText&gt;&lt;style face="superscript"&gt;181&lt;/style&gt;&lt;/DisplayText&gt;&lt;record&gt;&lt;rec-number&gt;1550&lt;/rec-number&gt;&lt;foreign-keys&gt;&lt;key app="EN" db-id="wtftd20rmszxx0ettxy5exwdf90wv22s2dsf" timestamp="1427443395"&gt;1550&lt;/key&gt;&lt;/foreign-keys&gt;&lt;ref-type name="Report"&gt;27&lt;/ref-type&gt;&lt;contributors&gt;&lt;authors&gt;&lt;author&gt;The Royal Society,&lt;/author&gt;&lt;/authors&gt;&lt;/contributors&gt;&lt;titles&gt;&lt;title&gt;Resilience to extreme weather&lt;/title&gt;&lt;/titles&gt;&lt;dates&gt;&lt;year&gt;2014&lt;/year&gt;&lt;/dates&gt;&lt;pub-location&gt;London&lt;/pub-location&gt;&lt;publisher&gt;The Royal Society Science Policy Centre&lt;/publisher&gt;&lt;urls&gt;&lt;/urls&gt;&lt;/record&gt;&lt;/Cite&gt;&lt;/EndNote&gt;</w:instrText>
      </w:r>
      <w:r w:rsidR="00E13392">
        <w:rPr>
          <w:rFonts w:ascii="Calibri" w:hAnsi="Calibri" w:cs="Times New Roman"/>
          <w:sz w:val="22"/>
          <w:lang w:val="en-GB"/>
        </w:rPr>
        <w:fldChar w:fldCharType="separate"/>
      </w:r>
      <w:r w:rsidR="000942AB" w:rsidRPr="000942AB">
        <w:rPr>
          <w:rFonts w:ascii="Calibri" w:hAnsi="Calibri" w:cs="Times New Roman"/>
          <w:noProof/>
          <w:sz w:val="22"/>
          <w:vertAlign w:val="superscript"/>
          <w:lang w:val="en-GB"/>
        </w:rPr>
        <w:t>181</w:t>
      </w:r>
      <w:r w:rsidR="00E13392">
        <w:rPr>
          <w:rFonts w:ascii="Calibri" w:hAnsi="Calibri" w:cs="Times New Roman"/>
          <w:sz w:val="22"/>
          <w:lang w:val="en-GB"/>
        </w:rPr>
        <w:fldChar w:fldCharType="end"/>
      </w:r>
    </w:p>
    <w:p w:rsidR="00FB601E" w:rsidRPr="00142ED0" w:rsidRDefault="00FB601E" w:rsidP="00FB601E">
      <w:pPr>
        <w:jc w:val="both"/>
        <w:rPr>
          <w:rFonts w:ascii="Calibri" w:hAnsi="Calibri" w:cs="Times New Roman"/>
          <w:sz w:val="22"/>
          <w:lang w:val="en-GB"/>
        </w:rPr>
      </w:pPr>
    </w:p>
    <w:p w:rsidR="00FB601E" w:rsidRPr="00142ED0" w:rsidRDefault="00FB601E" w:rsidP="004349AE">
      <w:pPr>
        <w:jc w:val="both"/>
        <w:rPr>
          <w:rFonts w:ascii="Calibri" w:hAnsi="Calibri" w:cs="Times New Roman"/>
          <w:sz w:val="22"/>
          <w:lang w:val="en-GB"/>
        </w:rPr>
      </w:pPr>
      <w:r w:rsidRPr="00A37EA9">
        <w:rPr>
          <w:rFonts w:cs="Times New Roman"/>
          <w:sz w:val="22"/>
          <w:lang w:val="en-GB"/>
        </w:rPr>
        <w:t xml:space="preserve">However, </w:t>
      </w:r>
      <w:r w:rsidRPr="00142ED0">
        <w:rPr>
          <w:sz w:val="22"/>
          <w:szCs w:val="22"/>
          <w:lang w:val="en-GB"/>
        </w:rPr>
        <w:t>the scientific evidence</w:t>
      </w:r>
      <w:r w:rsidRPr="004008E1">
        <w:rPr>
          <w:sz w:val="22"/>
          <w:szCs w:val="22"/>
          <w:lang w:val="en-GB"/>
        </w:rPr>
        <w:t xml:space="preserve"> about their role in reducing vulnerabilities to </w:t>
      </w:r>
      <w:r w:rsidRPr="00B50254">
        <w:rPr>
          <w:sz w:val="22"/>
          <w:szCs w:val="22"/>
          <w:lang w:val="en-GB"/>
        </w:rPr>
        <w:t xml:space="preserve">disasters is </w:t>
      </w:r>
      <w:r w:rsidRPr="004B2349">
        <w:rPr>
          <w:sz w:val="22"/>
          <w:szCs w:val="22"/>
          <w:lang w:val="en-GB"/>
        </w:rPr>
        <w:t>developing,</w:t>
      </w:r>
      <w:r w:rsidRPr="004B2349">
        <w:rPr>
          <w:sz w:val="22"/>
          <w:lang w:val="en-GB"/>
        </w:rPr>
        <w:t xml:space="preserve"> and</w:t>
      </w:r>
      <w:r w:rsidR="009F3C0D" w:rsidRPr="004B2349">
        <w:rPr>
          <w:sz w:val="22"/>
          <w:lang w:val="en-GB"/>
        </w:rPr>
        <w:t xml:space="preserve"> the</w:t>
      </w:r>
      <w:r w:rsidRPr="004B2349">
        <w:rPr>
          <w:sz w:val="22"/>
          <w:lang w:val="en-GB"/>
        </w:rPr>
        <w:t xml:space="preserve"> </w:t>
      </w:r>
      <w:r w:rsidRPr="004B2349">
        <w:rPr>
          <w:rFonts w:cs="Times New Roman"/>
          <w:sz w:val="22"/>
          <w:lang w:val="en-GB"/>
        </w:rPr>
        <w:t>limits and timescales of EbA interventions need further evaluation.</w:t>
      </w:r>
      <w:r w:rsidR="00924B02" w:rsidRPr="004B2349">
        <w:rPr>
          <w:rFonts w:cs="Times New Roman"/>
          <w:sz w:val="22"/>
          <w:lang w:val="en-GB"/>
        </w:rPr>
        <w:t xml:space="preserve"> </w:t>
      </w:r>
      <w:r w:rsidR="009F3C0D" w:rsidRPr="004B2349">
        <w:rPr>
          <w:sz w:val="22"/>
          <w:szCs w:val="22"/>
          <w:lang w:val="en-GB"/>
        </w:rPr>
        <w:t>D</w:t>
      </w:r>
      <w:r w:rsidRPr="004B2349">
        <w:rPr>
          <w:sz w:val="22"/>
          <w:szCs w:val="22"/>
          <w:lang w:val="en-GB"/>
        </w:rPr>
        <w:t>rawbacks</w:t>
      </w:r>
      <w:r w:rsidR="009F3C0D" w:rsidRPr="004B2349">
        <w:rPr>
          <w:sz w:val="22"/>
          <w:szCs w:val="22"/>
          <w:lang w:val="en-GB"/>
        </w:rPr>
        <w:t xml:space="preserve"> </w:t>
      </w:r>
      <w:r w:rsidR="000942AB">
        <w:rPr>
          <w:sz w:val="22"/>
          <w:szCs w:val="22"/>
          <w:lang w:val="en-GB"/>
        </w:rPr>
        <w:t xml:space="preserve">can </w:t>
      </w:r>
      <w:r w:rsidR="009F3C0D" w:rsidRPr="004B2349">
        <w:rPr>
          <w:sz w:val="22"/>
          <w:szCs w:val="22"/>
          <w:lang w:val="en-GB"/>
        </w:rPr>
        <w:t>include</w:t>
      </w:r>
      <w:r w:rsidRPr="004B2349">
        <w:rPr>
          <w:sz w:val="22"/>
          <w:szCs w:val="22"/>
          <w:lang w:val="en-GB"/>
        </w:rPr>
        <w:t xml:space="preserve"> the amount of land they require, uncertainty regarding costs, the long time needed before they become effective</w:t>
      </w:r>
      <w:r w:rsidR="009F3C0D" w:rsidRPr="004B2349">
        <w:rPr>
          <w:sz w:val="22"/>
          <w:szCs w:val="22"/>
          <w:lang w:val="en-GB"/>
        </w:rPr>
        <w:t>, and the</w:t>
      </w:r>
      <w:r w:rsidRPr="004B2349">
        <w:rPr>
          <w:rFonts w:cs="Times New Roman"/>
          <w:sz w:val="22"/>
          <w:lang w:val="en-GB"/>
        </w:rPr>
        <w:t xml:space="preserve"> cooperation </w:t>
      </w:r>
      <w:r w:rsidR="009F3C0D" w:rsidRPr="004B2349">
        <w:rPr>
          <w:rFonts w:cs="Times New Roman"/>
          <w:sz w:val="22"/>
          <w:lang w:val="en-GB"/>
        </w:rPr>
        <w:t xml:space="preserve">required </w:t>
      </w:r>
      <w:r w:rsidRPr="004B2349">
        <w:rPr>
          <w:rFonts w:cs="Times New Roman"/>
          <w:sz w:val="22"/>
          <w:lang w:val="en-GB"/>
        </w:rPr>
        <w:t>across institutions and sectors</w:t>
      </w:r>
      <w:r w:rsidRPr="00A37EA9">
        <w:rPr>
          <w:rFonts w:ascii="Calibri" w:hAnsi="Calibri" w:cs="Times New Roman"/>
          <w:sz w:val="22"/>
          <w:lang w:val="en-GB"/>
        </w:rPr>
        <w:t>.</w:t>
      </w:r>
      <w:r w:rsidR="00E13392" w:rsidRPr="00142ED0">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&lt;EndNote&gt;&lt;Cite&gt;&lt;Author&gt;Mimura&lt;/Author&gt;&lt;Year&gt;2014&lt;/Year&gt;&lt;RecNum&gt;1186&lt;/RecNum&gt;&lt;DisplayText&gt;&lt;style face="superscript"&gt;180&lt;/style&gt;&lt;/DisplayText&gt;&lt;record&gt;&lt;rec-number&gt;1186&lt;/rec-number&gt;&lt;foreign-keys&gt;&lt;key app="EN" db-id="wtftd20rmszxx0ettxy5exwdf90wv22s2dsf" timestamp="1419212983"&gt;1186&lt;/key&gt;&lt;/foreign-keys&gt;&lt;ref-type name="Book Section"&gt;5&lt;/ref-type&gt;&lt;contributors&gt;&lt;authors&gt;&lt;author&gt;Mimura, N &lt;/author&gt;&lt;author&gt;Pulwarty, R&lt;/author&gt;&lt;author&gt;Duc, DM&lt;/author&gt;&lt;author&gt;Elshinnaway, I &lt;/author&gt;&lt;author&gt;Redsteer, MH&lt;/author&gt;&lt;author&gt;Huang, HQ&lt;/author&gt;&lt;author&gt;Nkem, JN&lt;/author&gt;&lt;author&gt;Sanches, RA &lt;/author&gt;&lt;author&gt;van Aalst, M&lt;/author&gt;&lt;author&gt;Donohue, J&lt;/author&gt;&lt;author&gt;Gitay, H&lt;/author&gt;&lt;author&gt;Miralles-Willhlm, F&lt;/author&gt;&lt;author&gt;Storbjörk, S&lt;/author&gt;&lt;author&gt;Surminski, S . In .&lt;/author&gt;&lt;/authors&gt;&lt;/contributors&gt;&lt;titles&gt;&lt;title&gt;Adaptation Planning and Implementation&lt;/title&gt;&lt;secondary-title&gt;Climate Change 2014: Impacts, Adaptation, and Vulnerability. Working Group II Contribution to the IPCC 5th Assessment Report&lt;/secondary-title&gt;&lt;/titles&gt;&lt;dates&gt;&lt;year&gt;2014&lt;/year&gt;&lt;/dates&gt;&lt;pub-location&gt;Cambridge, UK and New York, NY, USA&lt;/pub-location&gt;&lt;publisher&gt;Cambridge University Press&lt;/publisher&gt;&lt;urls&gt;&lt;/urls&gt;&lt;/record&gt;&lt;/Cite&gt;&lt;/EndNote&gt;</w:instrText>
      </w:r>
      <w:r w:rsidR="00E13392" w:rsidRPr="00142ED0">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180</w:t>
      </w:r>
      <w:r w:rsidR="00E13392" w:rsidRPr="00142ED0">
        <w:rPr>
          <w:rFonts w:ascii="Calibri" w:hAnsi="Calibri" w:cs="Times New Roman"/>
          <w:sz w:val="22"/>
          <w:lang w:val="en-GB"/>
        </w:rPr>
        <w:fldChar w:fldCharType="end"/>
      </w:r>
    </w:p>
    <w:p w:rsidR="00FB601E" w:rsidRPr="004B2349" w:rsidRDefault="00FB601E" w:rsidP="00FB601E">
      <w:pPr>
        <w:rPr>
          <w:rFonts w:ascii="Calibri" w:hAnsi="Calibri"/>
          <w:lang w:val="en-GB"/>
        </w:rPr>
      </w:pPr>
    </w:p>
    <w:p w:rsidR="00FB601E" w:rsidRPr="004349AE" w:rsidRDefault="00FB601E" w:rsidP="00FB601E">
      <w:pPr>
        <w:rPr>
          <w:rStyle w:val="SubtleEmphasis"/>
          <w:lang w:val="en-GB"/>
        </w:rPr>
      </w:pPr>
      <w:r w:rsidRPr="004349AE">
        <w:rPr>
          <w:rStyle w:val="SubtleEmphasis"/>
          <w:lang w:val="en-GB"/>
        </w:rPr>
        <w:t xml:space="preserve">Ecosystem-based adaptation in urban areas </w:t>
      </w:r>
    </w:p>
    <w:p w:rsidR="00FB601E" w:rsidRPr="00A37EA9" w:rsidRDefault="00FB601E" w:rsidP="00FB601E">
      <w:pPr>
        <w:rPr>
          <w:rFonts w:ascii="Calibri" w:hAnsi="Calibri" w:cs="Times New Roman"/>
          <w:sz w:val="22"/>
          <w:szCs w:val="22"/>
          <w:lang w:val="en-GB"/>
        </w:rPr>
      </w:pPr>
      <w:r w:rsidRPr="00A37EA9">
        <w:rPr>
          <w:rFonts w:ascii="Calibri" w:hAnsi="Calibri" w:cs="Times New Roman"/>
          <w:sz w:val="22"/>
          <w:szCs w:val="22"/>
          <w:lang w:val="en-GB"/>
        </w:rPr>
        <w:t xml:space="preserve">EbA </w:t>
      </w:r>
      <w:r w:rsidRPr="00142ED0">
        <w:rPr>
          <w:rFonts w:ascii="Calibri" w:hAnsi="Calibri" w:cs="Times New Roman"/>
          <w:sz w:val="22"/>
          <w:szCs w:val="22"/>
          <w:lang w:val="en-GB"/>
        </w:rPr>
        <w:t>also has the potential to yield benefits for highly urban areas, through the development of green infrastructure.</w:t>
      </w:r>
      <w:r w:rsidR="00E13392" w:rsidRPr="00A37EA9">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&lt;EndNote&gt;&lt;Cite&gt;&lt;Author&gt;Mimura&lt;/Author&gt;&lt;Year&gt;2014&lt;/Year&gt;&lt;RecNum&gt;1186&lt;/RecNum&gt;&lt;DisplayText&gt;&lt;style face="superscript"&gt;180&lt;/style&gt;&lt;/DisplayText&gt;&lt;record&gt;&lt;rec-number&gt;1186&lt;/rec-number&gt;&lt;foreign-keys&gt;&lt;key app="EN" db-id="wtftd20rmszxx0ettxy5exwdf90wv22s2dsf" timestamp="1419212983"&gt;1186&lt;/key&gt;&lt;/foreign-keys&gt;&lt;ref-type name="Book Section"&gt;5&lt;/ref-type&gt;&lt;contributors&gt;&lt;authors&gt;&lt;author&gt;Mimura, N &lt;/author&gt;&lt;author&gt;Pulwarty, R&lt;/author&gt;&lt;author&gt;Duc, DM&lt;/author&gt;&lt;author&gt;Elshinnaway, I &lt;/author&gt;&lt;author&gt;Redsteer, MH&lt;/author&gt;&lt;author&gt;Huang, HQ&lt;/author&gt;&lt;author&gt;Nkem, JN&lt;/author&gt;&lt;author&gt;Sanches, RA &lt;/author&gt;&lt;author&gt;van Aalst, M&lt;/author&gt;&lt;author&gt;Donohue, J&lt;/author&gt;&lt;author&gt;Gitay, H&lt;/author&gt;&lt;author&gt;Miralles-Willhlm, F&lt;/author&gt;&lt;author&gt;Storbjörk, S&lt;/author&gt;&lt;author&gt;Surminski, S . In .&lt;/author&gt;&lt;/authors&gt;&lt;/contributors&gt;&lt;titles&gt;&lt;title&gt;Adaptation Planning and Implementation&lt;/title&gt;&lt;secondary-title&gt;Climate Change 2014: Impacts, Adaptation, and Vulnerability. Working Group II Contribution to the IPCC 5th Assessment Report&lt;/secondary-title&gt;&lt;/titles&gt;&lt;dates&gt;&lt;year&gt;2014&lt;/year&gt;&lt;/dates&gt;&lt;pub-location&gt;Cambridge, UK and New York, NY, USA&lt;/pub-location&gt;&lt;publisher&gt;Cambridge University Press&lt;/publisher&gt;&lt;urls&gt;&lt;/urls&gt;&lt;/record&gt;&lt;/Cite&gt;&lt;/EndNote&gt;</w:instrText>
      </w:r>
      <w:r w:rsidR="00E13392" w:rsidRPr="00A37EA9">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180</w:t>
      </w:r>
      <w:r w:rsidR="00E13392" w:rsidRPr="00A37EA9">
        <w:rPr>
          <w:rFonts w:ascii="Calibri" w:hAnsi="Calibri" w:cs="Times New Roman"/>
          <w:sz w:val="22"/>
          <w:szCs w:val="22"/>
          <w:lang w:val="en-GB"/>
        </w:rPr>
        <w:fldChar w:fldCharType="end"/>
      </w:r>
      <w:r w:rsidRPr="00A37EA9">
        <w:rPr>
          <w:rFonts w:ascii="Calibri" w:hAnsi="Calibri" w:cs="Times New Roman"/>
          <w:sz w:val="22"/>
          <w:szCs w:val="22"/>
          <w:lang w:val="en-GB"/>
        </w:rPr>
        <w:t xml:space="preserve"> The evidence </w:t>
      </w:r>
      <w:r w:rsidR="009F3C0D" w:rsidRPr="00142ED0">
        <w:rPr>
          <w:rFonts w:ascii="Calibri" w:hAnsi="Calibri" w:cs="Times New Roman"/>
          <w:sz w:val="22"/>
          <w:szCs w:val="22"/>
          <w:lang w:val="en-GB"/>
        </w:rPr>
        <w:t>comes</w:t>
      </w:r>
      <w:r w:rsidRPr="004008E1">
        <w:rPr>
          <w:rFonts w:ascii="Calibri" w:hAnsi="Calibri" w:cs="Times New Roman"/>
          <w:sz w:val="22"/>
          <w:szCs w:val="22"/>
          <w:lang w:val="en-GB"/>
        </w:rPr>
        <w:t xml:space="preserve"> mainly</w:t>
      </w:r>
      <w:r w:rsidR="009F3C0D" w:rsidRPr="004008E1">
        <w:rPr>
          <w:rFonts w:ascii="Calibri" w:hAnsi="Calibri" w:cs="Times New Roman"/>
          <w:sz w:val="22"/>
          <w:szCs w:val="22"/>
          <w:lang w:val="en-GB"/>
        </w:rPr>
        <w:t xml:space="preserve"> from</w:t>
      </w:r>
      <w:r w:rsidRPr="00B50254">
        <w:rPr>
          <w:rFonts w:ascii="Calibri" w:hAnsi="Calibri" w:cs="Times New Roman"/>
          <w:sz w:val="22"/>
          <w:szCs w:val="22"/>
          <w:lang w:val="en-GB"/>
        </w:rPr>
        <w:t xml:space="preserve"> the northern hemisphere, in high-income settings with a dense city core. </w:t>
      </w:r>
      <w:r w:rsidRPr="004B2349">
        <w:rPr>
          <w:rFonts w:ascii="Calibri" w:hAnsi="Calibri" w:cs="Times New Roman"/>
          <w:sz w:val="22"/>
          <w:szCs w:val="22"/>
          <w:lang w:val="en-GB"/>
        </w:rPr>
        <w:t>In many cases enhancing urban ecosystems provides multiple co-benefits for health such as clean air and temperature regulation.</w:t>
      </w:r>
      <w:r w:rsidR="00E13392">
        <w:rPr>
          <w:rFonts w:ascii="Calibri" w:hAnsi="Calibri" w:cs="Times New Roman"/>
          <w:sz w:val="22"/>
          <w:szCs w:val="22"/>
          <w:lang w:val="en-GB"/>
        </w:rPr>
        <w:fldChar w:fldCharType="begin"/>
      </w:r>
      <w:r w:rsidR="00A43B13">
        <w:rPr>
          <w:rFonts w:ascii="Calibri" w:hAnsi="Calibri" w:cs="Times New Roman"/>
          <w:sz w:val="22"/>
          <w:szCs w:val="22"/>
          <w:lang w:val="en-GB"/>
        </w:rPr>
        <w:instrText xml:space="preserve"> ADDIN EN.CITE &lt;EndNote&gt;&lt;Cite&gt;&lt;Author&gt;Gill SE&lt;/Author&gt;&lt;Year&gt;2007&lt;/Year&gt;&lt;RecNum&gt;1127&lt;/RecNum&gt;&lt;DisplayText&gt;&lt;style face="superscript"&gt;182&lt;/style&gt;&lt;/DisplayText&gt;&lt;record&gt;&lt;rec-number&gt;1127&lt;/rec-number&gt;&lt;foreign-keys&gt;&lt;key app="EN" db-id="wtftd20rmszxx0ettxy5exwdf90wv22s2dsf" timestamp="1419212983"&gt;1127&lt;/key&gt;&lt;/foreign-keys&gt;&lt;ref-type name="Journal Article"&gt;17&lt;/ref-type&gt;&lt;contributors&gt;&lt;authors&gt;&lt;author&gt;Gill SE,&lt;/author&gt;&lt;author&gt;Handley JF, &lt;/author&gt;&lt;author&gt;Ennos AR, &lt;/author&gt;&lt;author&gt;Pauleit S,&lt;/author&gt;&lt;/authors&gt;&lt;/contributors&gt;&lt;titles&gt;&lt;title&gt;Adapting Cities for Climate Change: The Role of the Green Infrastructure.&lt;/title&gt;&lt;secondary-title&gt;Built Environ&lt;/secondary-title&gt;&lt;/titles&gt;&lt;periodical&gt;&lt;full-title&gt;Built Environ&lt;/full-title&gt;&lt;/periodical&gt;&lt;pages&gt;115-133&lt;/pages&gt;&lt;volume&gt;33&lt;/volume&gt;&lt;number&gt;1&lt;/number&gt;&lt;dates&gt;&lt;year&gt;2007&lt;/year&gt;&lt;/dates&gt;&lt;urls&gt;&lt;/urls&gt;&lt;/record&gt;&lt;/Cite&gt;&lt;/EndNote&gt;</w:instrText>
      </w:r>
      <w:r w:rsidR="00E13392">
        <w:rPr>
          <w:rFonts w:ascii="Calibri" w:hAnsi="Calibri" w:cs="Times New Roman"/>
          <w:sz w:val="22"/>
          <w:szCs w:val="22"/>
          <w:lang w:val="en-GB"/>
        </w:rPr>
        <w:fldChar w:fldCharType="separate"/>
      </w:r>
      <w:r w:rsidR="00A43B13" w:rsidRPr="00A43B13">
        <w:rPr>
          <w:rFonts w:ascii="Calibri" w:hAnsi="Calibri" w:cs="Times New Roman"/>
          <w:noProof/>
          <w:sz w:val="22"/>
          <w:szCs w:val="22"/>
          <w:vertAlign w:val="superscript"/>
          <w:lang w:val="en-GB"/>
        </w:rPr>
        <w:t>182</w:t>
      </w:r>
      <w:r w:rsidR="00E13392">
        <w:rPr>
          <w:rFonts w:ascii="Calibri" w:hAnsi="Calibri" w:cs="Times New Roman"/>
          <w:sz w:val="22"/>
          <w:szCs w:val="22"/>
          <w:lang w:val="en-GB"/>
        </w:rPr>
        <w:fldChar w:fldCharType="end"/>
      </w:r>
      <w:r w:rsidRPr="00A37EA9">
        <w:rPr>
          <w:rFonts w:ascii="Calibri" w:hAnsi="Calibri" w:cs="Times New Roman"/>
          <w:sz w:val="22"/>
          <w:szCs w:val="22"/>
          <w:lang w:val="en-GB"/>
        </w:rPr>
        <w:t xml:space="preserve"> EbA can further create synergies between adaptation and climate change mitigating measures, by assisting in carbon sequestration and storage, and enhancing various ecosystem services considered beneficial for human health.</w:t>
      </w:r>
      <w:r w:rsidR="00E13392" w:rsidRPr="00A37EA9">
        <w:rPr>
          <w:rFonts w:ascii="Calibri" w:hAnsi="Calibri" w:cs="Times New Roman"/>
          <w:sz w:val="22"/>
          <w:szCs w:val="22"/>
          <w:lang w:val="en-GB"/>
        </w:rPr>
        <w:fldChar w:fldCharType="begin"/>
      </w:r>
      <w:r w:rsidR="00A43B13">
        <w:rPr>
          <w:rFonts w:ascii="Calibri" w:hAnsi="Calibri" w:cs="Times New Roman"/>
          <w:sz w:val="22"/>
          <w:szCs w:val="22"/>
          <w:lang w:val="en-GB"/>
        </w:rPr>
        <w:instrText xml:space="preserve"> ADDIN EN.CITE &lt;EndNote&gt;&lt;Cite&gt;&lt;Author&gt;Munang&lt;/Author&gt;&lt;Year&gt;2013&lt;/Year&gt;&lt;RecNum&gt;1161&lt;/RecNum&gt;&lt;DisplayText&gt;&lt;style face="superscript"&gt;176,183&lt;/style&gt;&lt;/DisplayText&gt;&lt;record&gt;&lt;rec-number&gt;1161&lt;/rec-number&gt;&lt;foreign-keys&gt;&lt;key app="EN" db-id="wtftd20rmszxx0ettxy5exwdf90wv22s2dsf" timestamp="1419212983"&gt;1161&lt;/key&gt;&lt;/foreign-keys&gt;&lt;ref-type name="Journal Article"&gt;17&lt;/ref-type&gt;&lt;contributors&gt;&lt;authors&gt;&lt;author&gt;Munang, Richard&lt;/author&gt;&lt;author&gt;Thiaw, Ibrahim&lt;/author&gt;&lt;author&gt;Alverson, Keith&lt;/author&gt;&lt;author&gt;Mumba, Musonda&lt;/author&gt;&lt;author&gt;Liu, Jian&lt;/author&gt;&lt;author&gt;Rivington, Mike&lt;/author&gt;&lt;/authors&gt;&lt;/contributors&gt;&lt;titles&gt;&lt;title&gt;Climate change and Ecosystem-based Adaptation: a new pragmatic approach to buffering climate change impacts&lt;/title&gt;&lt;secondary-title&gt;Current Opinion in Environmental Sustainability&lt;/secondary-title&gt;&lt;/titles&gt;&lt;periodical&gt;&lt;full-title&gt;Current Opinion in Environmental Sustainability&lt;/full-title&gt;&lt;/periodical&gt;&lt;pages&gt;67-71&lt;/pages&gt;&lt;volume&gt;5&lt;/volume&gt;&lt;number&gt;1&lt;/number&gt;&lt;dates&gt;&lt;year&gt;2013&lt;/year&gt;&lt;pub-dates&gt;&lt;date&gt;3//&lt;/date&gt;&lt;/pub-dates&gt;&lt;/dates&gt;&lt;isbn&gt;1877-3435&lt;/isbn&gt;&lt;urls&gt;&lt;related-urls&gt;&lt;url&gt;http://www.sciencedirect.com/science/article/pii/S1877343512001881&lt;/url&gt;&lt;/related-urls&gt;&lt;/urls&gt;&lt;electronic-resource-num&gt;http://dx.doi.org/10.1016/j.cosust.2012.12.001&lt;/electronic-resource-num&gt;&lt;/record&gt;&lt;/Cite&gt;&lt;Cite&gt;&lt;Author&gt;Colls&lt;/Author&gt;&lt;Year&gt;2009&lt;/Year&gt;&lt;RecNum&gt;1098&lt;/RecNum&gt;&lt;record&gt;&lt;rec-number&gt;1098&lt;/rec-number&gt;&lt;foreign-keys&gt;&lt;key app="EN" db-id="wtftd20rmszxx0ettxy5exwdf90wv22s2dsf" timestamp="1419212983"&gt;1098&lt;/key&gt;&lt;/foreign-keys&gt;&lt;ref-type name="Report"&gt;27&lt;/ref-type&gt;&lt;contributors&gt;&lt;authors&gt;&lt;author&gt;Colls, A. &lt;/author&gt;&lt;author&gt;Ash, N.&lt;/author&gt;&lt;author&gt;Ikkala, N.&lt;/author&gt;&lt;/authors&gt;&lt;/contributors&gt;&lt;titles&gt;&lt;title&gt;Ecosystem-based Adaptation: A Natural Response to Climate Change&lt;/title&gt;&lt;/titles&gt;&lt;dates&gt;&lt;year&gt;2009&lt;/year&gt;&lt;/dates&gt;&lt;pub-location&gt;Switzerland&lt;/pub-location&gt;&lt;publisher&gt;International Union for Conservation of Nature&lt;/publisher&gt;&lt;urls&gt;&lt;/urls&gt;&lt;/record&gt;&lt;/Cite&gt;&lt;/EndNote&gt;</w:instrText>
      </w:r>
      <w:r w:rsidR="00E13392" w:rsidRPr="00A37EA9">
        <w:rPr>
          <w:rFonts w:ascii="Calibri" w:hAnsi="Calibri" w:cs="Times New Roman"/>
          <w:sz w:val="22"/>
          <w:szCs w:val="22"/>
          <w:lang w:val="en-GB"/>
        </w:rPr>
        <w:fldChar w:fldCharType="separate"/>
      </w:r>
      <w:r w:rsidR="00A43B13" w:rsidRPr="00A43B13">
        <w:rPr>
          <w:rFonts w:ascii="Calibri" w:hAnsi="Calibri" w:cs="Times New Roman"/>
          <w:noProof/>
          <w:sz w:val="22"/>
          <w:szCs w:val="22"/>
          <w:vertAlign w:val="superscript"/>
          <w:lang w:val="en-GB"/>
        </w:rPr>
        <w:t>176,183</w:t>
      </w:r>
      <w:r w:rsidR="00E13392" w:rsidRPr="00A37EA9">
        <w:rPr>
          <w:rFonts w:ascii="Calibri" w:hAnsi="Calibri" w:cs="Times New Roman"/>
          <w:sz w:val="22"/>
          <w:szCs w:val="22"/>
          <w:lang w:val="en-GB"/>
        </w:rPr>
        <w:fldChar w:fldCharType="end"/>
      </w:r>
      <w:r w:rsidRPr="00A37EA9">
        <w:rPr>
          <w:rFonts w:ascii="Calibri" w:hAnsi="Calibri" w:cs="Times New Roman"/>
          <w:sz w:val="22"/>
          <w:szCs w:val="22"/>
          <w:lang w:val="en-GB"/>
        </w:rPr>
        <w:t xml:space="preserve"> Trees are particularly considered to be efficient in reducing concentrations of polluta</w:t>
      </w:r>
      <w:r w:rsidRPr="00142ED0">
        <w:rPr>
          <w:rFonts w:ascii="Calibri" w:hAnsi="Calibri" w:cs="Times New Roman"/>
          <w:sz w:val="22"/>
          <w:szCs w:val="22"/>
          <w:lang w:val="en-GB"/>
        </w:rPr>
        <w:t xml:space="preserve">nts, </w:t>
      </w:r>
      <w:r w:rsidR="009F3C0D" w:rsidRPr="004008E1">
        <w:rPr>
          <w:rFonts w:ascii="Calibri" w:hAnsi="Calibri" w:cs="Times New Roman"/>
          <w:sz w:val="22"/>
          <w:szCs w:val="22"/>
          <w:lang w:val="en-GB"/>
        </w:rPr>
        <w:t>although</w:t>
      </w:r>
      <w:r w:rsidRPr="004008E1">
        <w:rPr>
          <w:rFonts w:ascii="Calibri" w:hAnsi="Calibri" w:cs="Times New Roman"/>
          <w:sz w:val="22"/>
          <w:szCs w:val="22"/>
          <w:lang w:val="en-GB"/>
        </w:rPr>
        <w:t xml:space="preserve"> the capacity can vary up to 15-fold between species.</w:t>
      </w:r>
      <w:r w:rsidR="00E13392" w:rsidRPr="00A37EA9">
        <w:rPr>
          <w:rFonts w:ascii="Calibri" w:hAnsi="Calibri" w:cs="Times New Roman"/>
          <w:sz w:val="22"/>
          <w:szCs w:val="22"/>
          <w:lang w:val="en-GB"/>
        </w:rPr>
        <w:fldChar w:fldCharType="begin"/>
      </w:r>
      <w:r w:rsidR="00A43B13">
        <w:rPr>
          <w:rFonts w:ascii="Calibri" w:hAnsi="Calibri" w:cs="Times New Roman"/>
          <w:sz w:val="22"/>
          <w:szCs w:val="22"/>
          <w:lang w:val="en-GB"/>
        </w:rPr>
        <w:instrText xml:space="preserve"> ADDIN EN.CITE &lt;EndNote&gt;&lt;Cite&gt;&lt;Author&gt;Drewniak&lt;/Author&gt;&lt;Year&gt;2014&lt;/Year&gt;&lt;RecNum&gt;1552&lt;/RecNum&gt;&lt;DisplayText&gt;&lt;style face="superscript"&gt;184&lt;/style&gt;&lt;/DisplayText&gt;&lt;record&gt;&lt;rec-number&gt;1552&lt;/rec-number&gt;&lt;foreign-keys&gt;&lt;key app="EN" db-id="wtftd20rmszxx0ettxy5exwdf90wv22s2dsf" timestamp="1427444260"&gt;1552&lt;/key&gt;&lt;/foreign-keys&gt;&lt;ref-type name="Journal Article"&gt;17&lt;/ref-type&gt;&lt;contributors&gt;&lt;authors&gt;&lt;author&gt;B Drewniak&lt;/author&gt;&lt;author&gt;P Snyder&lt;/author&gt;&lt;author&gt;A Steiner&lt;/author&gt;&lt;author&gt;T Twine&lt;/author&gt;&lt;author&gt;D Wuebbles&lt;/author&gt;&lt;/authors&gt;&lt;/contributors&gt;&lt;titles&gt;&lt;title&gt;Simulated changes in biogenic VOC emissions and ozone formation from habitat expansion of Acer Rubrum (red maple)&lt;/title&gt;&lt;secondary-title&gt;Environ Res Lett&lt;/secondary-title&gt;&lt;/titles&gt;&lt;periodical&gt;&lt;full-title&gt;Environ Res Lett&lt;/full-title&gt;&lt;/periodical&gt;&lt;volume&gt;9&lt;/volume&gt;&lt;number&gt;1&lt;/number&gt;&lt;dates&gt;&lt;year&gt;2014&lt;/year&gt;&lt;/dates&gt;&lt;urls&gt;&lt;/urls&gt;&lt;/record&gt;&lt;/Cite&gt;&lt;/EndNote&gt;</w:instrText>
      </w:r>
      <w:r w:rsidR="00E13392" w:rsidRPr="00A37EA9">
        <w:rPr>
          <w:rFonts w:ascii="Calibri" w:hAnsi="Calibri" w:cs="Times New Roman"/>
          <w:sz w:val="22"/>
          <w:szCs w:val="22"/>
          <w:lang w:val="en-GB"/>
        </w:rPr>
        <w:fldChar w:fldCharType="separate"/>
      </w:r>
      <w:r w:rsidR="00A43B13" w:rsidRPr="00A43B13">
        <w:rPr>
          <w:rFonts w:ascii="Calibri" w:hAnsi="Calibri" w:cs="Times New Roman"/>
          <w:noProof/>
          <w:sz w:val="22"/>
          <w:szCs w:val="22"/>
          <w:vertAlign w:val="superscript"/>
          <w:lang w:val="en-GB"/>
        </w:rPr>
        <w:t>184</w:t>
      </w:r>
      <w:r w:rsidR="00E13392" w:rsidRPr="00A37EA9">
        <w:rPr>
          <w:rFonts w:ascii="Calibri" w:hAnsi="Calibri" w:cs="Times New Roman"/>
          <w:sz w:val="22"/>
          <w:szCs w:val="22"/>
          <w:lang w:val="en-GB"/>
        </w:rPr>
        <w:fldChar w:fldCharType="end"/>
      </w:r>
    </w:p>
    <w:p w:rsidR="00FB601E" w:rsidRPr="00A37EA9" w:rsidRDefault="00FB601E" w:rsidP="004349AE">
      <w:pPr>
        <w:rPr>
          <w:rFonts w:ascii="Calibri" w:hAnsi="Calibri" w:cs="Times New Roman"/>
          <w:sz w:val="22"/>
          <w:szCs w:val="22"/>
          <w:lang w:val="en-GB"/>
        </w:rPr>
      </w:pPr>
    </w:p>
    <w:p w:rsidR="003F0715" w:rsidRDefault="00FB601E" w:rsidP="00DB6072">
      <w:pPr>
        <w:rPr>
          <w:rFonts w:ascii="Calibri" w:hAnsi="Calibri" w:cs="Times New Roman"/>
          <w:sz w:val="22"/>
          <w:szCs w:val="22"/>
          <w:lang w:val="en-GB"/>
        </w:rPr>
      </w:pPr>
      <w:r w:rsidRPr="00142ED0">
        <w:rPr>
          <w:rFonts w:ascii="Calibri" w:hAnsi="Calibri" w:cs="Times New Roman"/>
          <w:sz w:val="22"/>
          <w:szCs w:val="22"/>
          <w:lang w:val="en-GB"/>
        </w:rPr>
        <w:t xml:space="preserve">Green urban design </w:t>
      </w:r>
      <w:r w:rsidR="009F3C0D" w:rsidRPr="004008E1">
        <w:rPr>
          <w:rFonts w:ascii="Calibri" w:hAnsi="Calibri" w:cs="Times New Roman"/>
          <w:sz w:val="22"/>
          <w:szCs w:val="22"/>
          <w:lang w:val="en-GB"/>
        </w:rPr>
        <w:t>can reduce</w:t>
      </w:r>
      <w:r w:rsidRPr="00B50254">
        <w:rPr>
          <w:rFonts w:ascii="Calibri" w:hAnsi="Calibri" w:cs="Times New Roman"/>
          <w:sz w:val="22"/>
          <w:szCs w:val="22"/>
          <w:lang w:val="en-GB"/>
        </w:rPr>
        <w:t xml:space="preserve"> obesity, and improve mental health through increased physical activity,</w:t>
      </w:r>
      <w:r w:rsidR="00737973" w:rsidRPr="00B50254">
        <w:rPr>
          <w:rFonts w:ascii="Calibri" w:hAnsi="Calibri" w:cs="Times New Roman"/>
          <w:sz w:val="22"/>
          <w:szCs w:val="22"/>
          <w:lang w:val="en-GB"/>
        </w:rPr>
        <w:t xml:space="preserve"> </w:t>
      </w:r>
      <w:r w:rsidRPr="004B2349">
        <w:rPr>
          <w:rFonts w:ascii="Calibri" w:hAnsi="Calibri" w:cs="Times New Roman"/>
          <w:sz w:val="22"/>
          <w:szCs w:val="22"/>
          <w:lang w:val="en-GB"/>
        </w:rPr>
        <w:t>and social connectivity.</w:t>
      </w:r>
      <w:r w:rsidR="00E13392">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&lt;EndNote&gt;&lt;Cite&gt;&lt;Author&gt;Cheng&lt;/Author&gt;&lt;Year&gt;2013&lt;/Year&gt;&lt;RecNum&gt;1094&lt;/RecNum&gt;&lt;DisplayText&gt;&lt;style face="superscript"&gt;164&lt;/style&gt;&lt;/DisplayText&gt;&lt;record&gt;&lt;rec-number&gt;1094&lt;/rec-number&gt;&lt;foreign-keys&gt;&lt;key app="EN" db-id="wtftd20rmszxx0ettxy5exwdf90wv22s2dsf" timestamp="1419212983"&gt;1094&lt;/key&gt;&lt;/foreign-keys&gt;&lt;ref-type name="Journal Article"&gt;17&lt;/ref-type&gt;&lt;contributors&gt;&lt;authors&gt;&lt;author&gt;Cheng, J. J.&lt;/author&gt;&lt;author&gt;Berry, P.&lt;/author&gt;&lt;/authors&gt;&lt;/contributors&gt;&lt;auth-address&gt;Public Health and Preventive Medicine Program, Department of Clinical Epidemiology and Biostatistics, McMaster University, 1280 Main Street West, HSC2C2, Hamilton, ON, L8S 4K1, Canada. june.cheng@medportal.ca&lt;/auth-address&gt;&lt;titles&gt;&lt;title&gt;Health co-benefits and risks of public health adaptation strategies to climate change: a review of current literature&lt;/title&gt;&lt;secondary-title&gt;Int J Public Health&lt;/secondary-title&gt;&lt;alt-title&gt;International journal of public health&lt;/alt-title&gt;&lt;/titles&gt;&lt;periodical&gt;&lt;full-title&gt;Int J Public Health&lt;/full-title&gt;&lt;abbr-1&gt;International journal of public health&lt;/abbr-1&gt;&lt;/periodical&gt;&lt;alt-periodical&gt;&lt;full-title&gt;Int J Public Health&lt;/full-title&gt;&lt;abbr-1&gt;International journal of public health&lt;/abbr-1&gt;&lt;/alt-periodical&gt;&lt;pages&gt;305-11&lt;/pages&gt;&lt;volume&gt;58&lt;/volume&gt;&lt;number&gt;2&lt;/number&gt;&lt;edition&gt;2012/11/01&lt;/edition&gt;&lt;keywords&gt;&lt;keyword&gt;*Adaptation, Physiological&lt;/keyword&gt;&lt;keyword&gt;*Climate Change&lt;/keyword&gt;&lt;keyword&gt;Humans&lt;/keyword&gt;&lt;keyword&gt;*Public Health&lt;/keyword&gt;&lt;keyword&gt;Risk Factors&lt;/keyword&gt;&lt;/keywords&gt;&lt;dates&gt;&lt;year&gt;2013&lt;/year&gt;&lt;pub-dates&gt;&lt;date&gt;Apr&lt;/date&gt;&lt;/pub-dates&gt;&lt;/dates&gt;&lt;isbn&gt;1661-8556&lt;/isbn&gt;&lt;accession-num&gt;23111371&lt;/accession-num&gt;&lt;urls&gt;&lt;/urls&gt;&lt;custom2&gt;Pmc3607711&lt;/custom2&gt;&lt;electronic-resource-num&gt;10.1007/s00038-012-0422-5&lt;/electronic-resource-num&gt;&lt;remote-database-provider&gt;NLM&lt;/remote-database-provider&gt;&lt;language&gt;eng&lt;/language&gt;&lt;/record&gt;&lt;/Cite&gt;&lt;/EndNote&gt;</w:instrText>
      </w:r>
      <w:r w:rsidR="00E13392">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164</w:t>
      </w:r>
      <w:r w:rsidR="00E13392">
        <w:rPr>
          <w:rFonts w:ascii="Calibri" w:hAnsi="Calibri" w:cs="Times New Roman"/>
          <w:sz w:val="22"/>
          <w:szCs w:val="22"/>
          <w:lang w:val="en-GB"/>
        </w:rPr>
        <w:fldChar w:fldCharType="end"/>
      </w:r>
      <w:r w:rsidRPr="00A37EA9">
        <w:rPr>
          <w:rFonts w:ascii="Calibri" w:hAnsi="Calibri" w:cs="Times New Roman"/>
          <w:sz w:val="22"/>
          <w:szCs w:val="22"/>
          <w:lang w:val="en-GB"/>
        </w:rPr>
        <w:t xml:space="preserve"> Increased neighbourhood green spaces reduces both morbidity and mortality from many </w:t>
      </w:r>
      <w:r w:rsidRPr="00142ED0">
        <w:rPr>
          <w:rFonts w:ascii="Calibri" w:hAnsi="Calibri" w:cs="Times New Roman"/>
          <w:sz w:val="22"/>
          <w:szCs w:val="22"/>
          <w:lang w:val="en-GB"/>
        </w:rPr>
        <w:t>cardiovascular and respiratory diseases</w:t>
      </w:r>
      <w:r w:rsidR="00142ED0">
        <w:rPr>
          <w:rFonts w:ascii="Calibri" w:hAnsi="Calibri" w:cs="Times New Roman"/>
          <w:sz w:val="22"/>
          <w:szCs w:val="22"/>
          <w:lang w:val="en-GB"/>
        </w:rPr>
        <w:t xml:space="preserve"> </w:t>
      </w:r>
      <w:r w:rsidRPr="00A37EA9">
        <w:rPr>
          <w:rFonts w:ascii="Calibri" w:hAnsi="Calibri" w:cs="Times New Roman"/>
          <w:sz w:val="22"/>
          <w:szCs w:val="22"/>
          <w:lang w:val="en-GB"/>
        </w:rPr>
        <w:t xml:space="preserve"> and stress-related illnesses.</w:t>
      </w:r>
      <w:r w:rsidR="00E13392">
        <w:rPr>
          <w:rFonts w:ascii="Calibri" w:hAnsi="Calibri" w:cs="Times New Roman"/>
          <w:sz w:val="22"/>
          <w:szCs w:val="22"/>
          <w:lang w:val="en-GB"/>
        </w:rPr>
        <w:fldChar w:fldCharType="begin"/>
      </w:r>
      <w:r w:rsidR="00303C0E">
        <w:rPr>
          <w:rFonts w:ascii="Calibri" w:hAnsi="Calibri" w:cs="Times New Roman"/>
          <w:sz w:val="22"/>
          <w:szCs w:val="22"/>
          <w:lang w:val="en-GB"/>
        </w:rPr>
        <w:instrText xml:space="preserve"> ADDIN EN.CITE &lt;EndNote&gt;&lt;Cite&gt;&lt;Author&gt;Smith KR&lt;/Author&gt;&lt;Year&gt;2014&lt;/Year&gt;&lt;RecNum&gt;1199&lt;/RecNum&gt;&lt;DisplayText&gt;&lt;style face="superscript"&gt;31&lt;/style&gt;&lt;/DisplayText&gt;&lt;record&gt;&lt;rec-number&gt;1199&lt;/rec-number&gt;&lt;foreign-keys&gt;&lt;key app="EN" db-id="wtftd20rmszxx0ettxy5exwdf90wv22s2dsf" timestamp="1419212983"&gt;1199&lt;/key&gt;&lt;/foreign-keys&gt;&lt;ref-type name="Book Section"&gt;5&lt;/ref-type&gt;&lt;contributors&gt;&lt;authors&gt;&lt;author&gt;Smith KR, &lt;/author&gt;&lt;author&gt;Woodward A, &lt;/author&gt;&lt;author&gt;Campell-Lendrum D, &lt;/author&gt;&lt;author&gt;Chadee D, &lt;/author&gt;&lt;author&gt;Honda Y, &lt;/author&gt;&lt;author&gt;Liu Q, &lt;/author&gt;&lt;author&gt;Olwoch J, &lt;/author&gt;&lt;author&gt;Revich B, &lt;/author&gt;&lt;author&gt;Sauerborn R, &lt;/author&gt;&lt;author&gt;Aranda C, &lt;/author&gt;&lt;author&gt;Berry H, &lt;/author&gt;&lt;author&gt;Butler C, &lt;/author&gt;&lt;author&gt;Chafe Z, &lt;/author&gt;&lt;author&gt;Cushing L, &lt;/author&gt;&lt;author&gt;Ebi K, &lt;/author&gt;&lt;author&gt;Kjellstrom T, &lt;/author&gt;&lt;author&gt;Kovats S, &lt;/author&gt;&lt;author&gt;Lindsay G, &lt;/author&gt;&lt;author&gt;Lipp E, &lt;/author&gt;&lt;author&gt;McMichael T, &lt;/author&gt;&lt;author&gt;Murray V, &lt;/author&gt;&lt;author&gt;Sankoh O, &lt;/author&gt;&lt;author&gt;O’Neill M, &lt;/author&gt;&lt;author&gt;Shonkoff SB, &lt;/author&gt;&lt;author&gt;Sutherland J, &lt;/author&gt;&lt;author&gt;Yamamoto S,&lt;/author&gt;&lt;/authors&gt;&lt;/contributors&gt;&lt;titles&gt;&lt;title&gt;Human Health - Impacts adaptation and co-benefits&lt;/title&gt;&lt;secondary-title&gt;Climate Change 2014: Impacts, Adaptation, and Vulnerability. Working Group II Contribution to the IPCC 5th Assessment Report&lt;/secondary-title&gt;&lt;/titles&gt;&lt;dates&gt;&lt;year&gt;2014&lt;/year&gt;&lt;/dates&gt;&lt;pub-location&gt;Cambridge, UK and New York, NY, USA&lt;/pub-location&gt;&lt;publisher&gt;Cambridge University Press&lt;/publisher&gt;&lt;urls&gt;&lt;/urls&gt;&lt;/record&gt;&lt;/Cite&gt;&lt;/EndNote&gt;</w:instrText>
      </w:r>
      <w:r w:rsidR="00E13392">
        <w:rPr>
          <w:rFonts w:ascii="Calibri" w:hAnsi="Calibri" w:cs="Times New Roman"/>
          <w:sz w:val="22"/>
          <w:szCs w:val="22"/>
          <w:lang w:val="en-GB"/>
        </w:rPr>
        <w:fldChar w:fldCharType="separate"/>
      </w:r>
      <w:r w:rsidR="00303C0E" w:rsidRPr="00303C0E">
        <w:rPr>
          <w:rFonts w:ascii="Calibri" w:hAnsi="Calibri" w:cs="Times New Roman"/>
          <w:noProof/>
          <w:sz w:val="22"/>
          <w:szCs w:val="22"/>
          <w:vertAlign w:val="superscript"/>
          <w:lang w:val="en-GB"/>
        </w:rPr>
        <w:t>31</w:t>
      </w:r>
      <w:r w:rsidR="00E13392">
        <w:rPr>
          <w:rFonts w:ascii="Calibri" w:hAnsi="Calibri" w:cs="Times New Roman"/>
          <w:sz w:val="22"/>
          <w:szCs w:val="22"/>
          <w:lang w:val="en-GB"/>
        </w:rPr>
        <w:fldChar w:fldCharType="end"/>
      </w:r>
      <w:r w:rsidRPr="00A37EA9">
        <w:rPr>
          <w:rFonts w:ascii="Calibri" w:hAnsi="Calibri" w:cs="Times New Roman"/>
          <w:sz w:val="22"/>
          <w:szCs w:val="22"/>
          <w:lang w:val="en-GB"/>
        </w:rPr>
        <w:t xml:space="preserve"> </w:t>
      </w:r>
      <w:r w:rsidR="009F3C0D" w:rsidRPr="00142ED0">
        <w:rPr>
          <w:rFonts w:ascii="Calibri" w:hAnsi="Calibri" w:cs="Times New Roman"/>
          <w:sz w:val="22"/>
          <w:szCs w:val="22"/>
          <w:lang w:val="en-GB"/>
        </w:rPr>
        <w:t>T</w:t>
      </w:r>
      <w:r w:rsidRPr="00142ED0">
        <w:rPr>
          <w:rFonts w:ascii="Calibri" w:hAnsi="Calibri" w:cs="Times New Roman"/>
          <w:sz w:val="22"/>
          <w:szCs w:val="22"/>
          <w:lang w:val="en-GB"/>
        </w:rPr>
        <w:t>ree canopies have a higher albedo effect than other hard surfaces,</w:t>
      </w:r>
      <w:r w:rsidR="009F6FD3">
        <w:rPr>
          <w:rFonts w:ascii="Calibri" w:hAnsi="Calibri" w:cs="Times New Roman"/>
          <w:sz w:val="22"/>
          <w:szCs w:val="22"/>
          <w:lang w:val="en-GB"/>
        </w:rPr>
        <w:t xml:space="preserve"> and can work to reduce the urban heat island effect, lowering</w:t>
      </w:r>
      <w:r w:rsidRPr="00142ED0">
        <w:rPr>
          <w:rFonts w:ascii="Calibri" w:hAnsi="Calibri" w:cs="Times New Roman"/>
          <w:sz w:val="22"/>
          <w:szCs w:val="22"/>
          <w:lang w:val="en-GB"/>
        </w:rPr>
        <w:t xml:space="preserve"> heat mortality by 40-99%</w:t>
      </w:r>
      <w:r w:rsidR="00737973" w:rsidRPr="004008E1">
        <w:rPr>
          <w:rFonts w:ascii="Calibri" w:hAnsi="Calibri" w:cs="Times New Roman"/>
          <w:sz w:val="22"/>
          <w:szCs w:val="22"/>
          <w:lang w:val="en-GB"/>
        </w:rPr>
        <w:t>.</w:t>
      </w:r>
      <w:r w:rsidR="00E13392" w:rsidRPr="00A37EA9">
        <w:rPr>
          <w:rFonts w:ascii="Calibri" w:hAnsi="Calibri" w:cs="Times New Roman"/>
          <w:sz w:val="22"/>
          <w:szCs w:val="22"/>
          <w:lang w:val="en-GB"/>
        </w:rPr>
        <w:fldChar w:fldCharType="begin"/>
      </w:r>
      <w:r w:rsidR="00A43B13">
        <w:rPr>
          <w:rFonts w:ascii="Calibri" w:hAnsi="Calibri" w:cs="Times New Roman"/>
          <w:sz w:val="22"/>
          <w:szCs w:val="22"/>
          <w:lang w:val="en-GB"/>
        </w:rPr>
        <w:instrText xml:space="preserve"> ADDIN EN.CITE &lt;EndNote&gt;&lt;Cite&gt;&lt;Author&gt;Stone&lt;/Author&gt;&lt;Year&gt;2014&lt;/Year&gt;&lt;RecNum&gt;1555&lt;/RecNum&gt;&lt;DisplayText&gt;&lt;style face="superscript"&gt;185&lt;/style&gt;&lt;/DisplayText&gt;&lt;record&gt;&lt;rec-number&gt;1555&lt;/rec-number&gt;&lt;foreign-keys&gt;&lt;key app="EN" db-id="wtftd20rmszxx0ettxy5exwdf90wv22s2dsf" timestamp="1427445523"&gt;1555&lt;/key&gt;&lt;/foreign-keys&gt;&lt;ref-type name="Journal Article"&gt;17&lt;/ref-type&gt;&lt;contributors&gt;&lt;authors&gt;&lt;author&gt;B Jr Stone&lt;/author&gt;&lt;author&gt;J Vargo&lt;/author&gt;&lt;author&gt;P Liu&lt;/author&gt;&lt;author&gt;Dana Habeeb&lt;/author&gt;&lt;author&gt;Anthony DeLucia&lt;/author&gt;&lt;author&gt;Marcus Trail&lt;/author&gt;&lt;author&gt;Yongtao Hu&lt;/author&gt;&lt;author&gt;Armistead Russell&lt;/author&gt;&lt;/authors&gt;&lt;/contributors&gt;&lt;titles&gt;&lt;title&gt;Avoided Heat-Related Mortality through Climate Adaptation Strategies in Three US Cities&lt;/title&gt;&lt;secondary-title&gt;PLoS ONE&lt;/secondary-title&gt;&lt;/titles&gt;&lt;periodical&gt;&lt;full-title&gt;PLoS ONE&lt;/full-title&gt;&lt;/periodical&gt;&lt;volume&gt;9&lt;/volume&gt;&lt;number&gt;6&lt;/number&gt;&lt;dates&gt;&lt;year&gt;2014&lt;/year&gt;&lt;/dates&gt;&lt;urls&gt;&lt;/urls&gt;&lt;/record&gt;&lt;/Cite&gt;&lt;/EndNote&gt;</w:instrText>
      </w:r>
      <w:r w:rsidR="00E13392" w:rsidRPr="00A37EA9">
        <w:rPr>
          <w:rFonts w:ascii="Calibri" w:hAnsi="Calibri" w:cs="Times New Roman"/>
          <w:sz w:val="22"/>
          <w:szCs w:val="22"/>
          <w:lang w:val="en-GB"/>
        </w:rPr>
        <w:fldChar w:fldCharType="separate"/>
      </w:r>
      <w:r w:rsidR="00A43B13" w:rsidRPr="00A43B13">
        <w:rPr>
          <w:rFonts w:ascii="Calibri" w:hAnsi="Calibri" w:cs="Times New Roman"/>
          <w:noProof/>
          <w:sz w:val="22"/>
          <w:szCs w:val="22"/>
          <w:vertAlign w:val="superscript"/>
          <w:lang w:val="en-GB"/>
        </w:rPr>
        <w:t>185</w:t>
      </w:r>
      <w:r w:rsidR="00E13392" w:rsidRPr="00A37EA9">
        <w:rPr>
          <w:rFonts w:ascii="Calibri" w:hAnsi="Calibri" w:cs="Times New Roman"/>
          <w:sz w:val="22"/>
          <w:szCs w:val="22"/>
          <w:lang w:val="en-GB"/>
        </w:rPr>
        <w:fldChar w:fldCharType="end"/>
      </w:r>
      <w:r w:rsidR="003F0715">
        <w:rPr>
          <w:rFonts w:ascii="Calibri" w:hAnsi="Calibri" w:cs="Times New Roman"/>
          <w:sz w:val="22"/>
          <w:szCs w:val="22"/>
          <w:lang w:val="en-GB"/>
        </w:rPr>
        <w:t xml:space="preserve"> </w:t>
      </w:r>
      <w:r w:rsidR="00723833">
        <w:rPr>
          <w:rFonts w:ascii="Calibri" w:hAnsi="Calibri" w:cs="Times New Roman"/>
          <w:sz w:val="22"/>
          <w:szCs w:val="22"/>
          <w:lang w:val="en-GB"/>
        </w:rPr>
        <w:t>Whilst resulting in improved public health and community resilience, many of these measures will also act to mitigate climate change.</w:t>
      </w:r>
    </w:p>
    <w:p w:rsidR="00723833" w:rsidRPr="004B2349" w:rsidRDefault="00723833" w:rsidP="00DB6072">
      <w:pPr>
        <w:rPr>
          <w:rFonts w:ascii="Calibri" w:hAnsi="Calibri" w:cs="Times New Roman"/>
          <w:sz w:val="22"/>
          <w:szCs w:val="22"/>
          <w:lang w:val="en-GB"/>
        </w:rPr>
      </w:pPr>
    </w:p>
    <w:p w:rsidR="00FB601E" w:rsidRPr="004B2349" w:rsidRDefault="00FB601E" w:rsidP="00FB601E">
      <w:pPr>
        <w:pStyle w:val="Heading2"/>
        <w:rPr>
          <w:lang w:val="en-GB"/>
        </w:rPr>
      </w:pPr>
      <w:bookmarkStart w:id="73" w:name="_Toc415931386"/>
      <w:bookmarkStart w:id="74" w:name="_Toc417502051"/>
      <w:r w:rsidRPr="004B2349">
        <w:rPr>
          <w:lang w:val="en-GB"/>
        </w:rPr>
        <w:lastRenderedPageBreak/>
        <w:t>Overcoming Adaptation Barriers</w:t>
      </w:r>
      <w:bookmarkEnd w:id="73"/>
      <w:bookmarkEnd w:id="74"/>
      <w:r w:rsidRPr="004B2349">
        <w:rPr>
          <w:lang w:val="en-GB"/>
        </w:rPr>
        <w:t xml:space="preserve"> </w:t>
      </w:r>
    </w:p>
    <w:p w:rsidR="009F3C0D" w:rsidRPr="004B2349" w:rsidRDefault="00FB601E" w:rsidP="00FB601E">
      <w:pPr>
        <w:jc w:val="both"/>
        <w:rPr>
          <w:rFonts w:ascii="Calibri" w:hAnsi="Calibri" w:cs="Times New Roman"/>
          <w:sz w:val="22"/>
          <w:lang w:val="en-GB"/>
        </w:rPr>
      </w:pPr>
      <w:r w:rsidRPr="004B2349">
        <w:rPr>
          <w:rFonts w:ascii="Calibri" w:hAnsi="Calibri" w:cs="Times New Roman"/>
          <w:sz w:val="22"/>
          <w:lang w:val="en-GB"/>
        </w:rPr>
        <w:t xml:space="preserve">Globally, relatively few national strategies, bring climate change into public health decision-making processes. </w:t>
      </w:r>
      <w:r w:rsidR="009F3C0D" w:rsidRPr="004B2349">
        <w:rPr>
          <w:rFonts w:ascii="Calibri" w:hAnsi="Calibri" w:cs="Times New Roman"/>
          <w:sz w:val="22"/>
          <w:lang w:val="en-GB"/>
        </w:rPr>
        <w:t>The health impacts of climate change are</w:t>
      </w:r>
      <w:r w:rsidR="000942AB">
        <w:rPr>
          <w:rFonts w:ascii="Calibri" w:hAnsi="Calibri" w:cs="Times New Roman"/>
          <w:sz w:val="22"/>
          <w:lang w:val="en-GB"/>
        </w:rPr>
        <w:t xml:space="preserve"> often</w:t>
      </w:r>
      <w:r w:rsidR="009F3C0D" w:rsidRPr="004B2349">
        <w:rPr>
          <w:rFonts w:ascii="Calibri" w:hAnsi="Calibri" w:cs="Times New Roman"/>
          <w:sz w:val="22"/>
          <w:lang w:val="en-GB"/>
        </w:rPr>
        <w:t xml:space="preserve"> poorly communicated and poorly understood by the public and policy-makers. Barriers to health climate adaptation include: competing spending priorities; widespread poverty; lack of data to inform adaptation policies;  weak institutions, a lack of capital, distorted economic incentives and poor governance. Here, we elaborate these barriers and discuss some ways to overcome them.</w:t>
      </w:r>
    </w:p>
    <w:p w:rsidR="00FB601E" w:rsidRPr="004B2349" w:rsidRDefault="00FB601E" w:rsidP="00FB601E">
      <w:pPr>
        <w:jc w:val="both"/>
        <w:rPr>
          <w:rFonts w:ascii="Calibri" w:hAnsi="Calibri"/>
          <w:lang w:val="en-GB"/>
        </w:rPr>
      </w:pPr>
    </w:p>
    <w:p w:rsidR="00FB601E" w:rsidRPr="004B2349" w:rsidRDefault="00FB601E" w:rsidP="00FB601E">
      <w:pPr>
        <w:jc w:val="both"/>
        <w:rPr>
          <w:i/>
          <w:sz w:val="22"/>
          <w:szCs w:val="22"/>
          <w:lang w:val="en-GB"/>
        </w:rPr>
      </w:pPr>
      <w:bookmarkStart w:id="75" w:name="_Toc402956362"/>
      <w:r w:rsidRPr="004B2349">
        <w:rPr>
          <w:i/>
          <w:sz w:val="22"/>
          <w:szCs w:val="22"/>
          <w:lang w:val="en-GB"/>
        </w:rPr>
        <w:t>1. Institutional collaboration</w:t>
      </w:r>
      <w:bookmarkEnd w:id="75"/>
    </w:p>
    <w:p w:rsidR="00FB601E" w:rsidRPr="004349AE" w:rsidRDefault="00FB601E" w:rsidP="00FB601E">
      <w:pPr>
        <w:jc w:val="both"/>
        <w:rPr>
          <w:rFonts w:ascii="Calibri" w:hAnsi="Calibri"/>
          <w:sz w:val="22"/>
          <w:vertAlign w:val="superscript"/>
          <w:lang w:val="en-GB"/>
        </w:rPr>
      </w:pPr>
      <w:r w:rsidRPr="00A37EA9">
        <w:rPr>
          <w:rFonts w:ascii="Calibri" w:hAnsi="Calibri" w:cs="Times New Roman"/>
          <w:sz w:val="22"/>
          <w:lang w:val="en-GB"/>
        </w:rPr>
        <w:t xml:space="preserve">Health adaptation policies and programs </w:t>
      </w:r>
      <w:r w:rsidRPr="004008E1">
        <w:rPr>
          <w:rFonts w:ascii="Calibri" w:hAnsi="Calibri" w:cs="Times New Roman"/>
          <w:sz w:val="22"/>
          <w:lang w:val="en-GB"/>
        </w:rPr>
        <w:t>require engagement of numerous agencies and organisations</w:t>
      </w:r>
      <w:r w:rsidRPr="00B50254">
        <w:rPr>
          <w:rFonts w:ascii="Calibri" w:hAnsi="Calibri" w:cs="Times New Roman"/>
          <w:sz w:val="22"/>
          <w:lang w:val="en-GB"/>
        </w:rPr>
        <w:t>, including government agencies, NGOs, informal associations, kinship networks and traditional institutions</w:t>
      </w:r>
      <w:r w:rsidRPr="004B2349">
        <w:rPr>
          <w:rFonts w:ascii="Calibri" w:hAnsi="Calibri" w:cs="Times New Roman"/>
          <w:sz w:val="22"/>
          <w:lang w:val="en-GB"/>
        </w:rPr>
        <w:t>.</w:t>
      </w:r>
      <w:r w:rsidR="00E13392" w:rsidRPr="00142ED0">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&lt;EndNote&gt;&lt;Cite&gt;&lt;Author&gt;Huang&lt;/Author&gt;&lt;Year&gt;2011&lt;/Year&gt;&lt;RecNum&gt;1139&lt;/RecNum&gt;&lt;DisplayText&gt;&lt;style face="superscript"&gt;186&lt;/style&gt;&lt;/DisplayText&gt;&lt;record&gt;&lt;rec-number&gt;1139&lt;/rec-number&gt;&lt;foreign-keys&gt;&lt;key app="EN" db-id="wtftd20rmszxx0ettxy5exwdf90wv22s2dsf" timestamp="1419212983"&gt;1139&lt;/key&gt;&lt;/foreign-keys&gt;&lt;ref-type name="Journal Article"&gt;17&lt;/ref-type&gt;&lt;contributors&gt;&lt;authors&gt;&lt;author&gt;Huang, C.&lt;/author&gt;&lt;author&gt;Vaneckova, P.&lt;/author&gt;&lt;author&gt;Wang, X.&lt;/author&gt;&lt;author&gt;Fitzgerald, G.&lt;/author&gt;&lt;author&gt;Guo, Y.&lt;/author&gt;&lt;author&gt;Tong, S.&lt;/author&gt;&lt;/authors&gt;&lt;/contributors&gt;&lt;auth-address&gt;Queensland University of Technology, Brisbane, Australia. huangcunrui@hotmail.com&lt;/auth-address&gt;&lt;titles&gt;&lt;title&gt;Constraints and barriers to public health adaptation to climate change: a review of the literature&lt;/title&gt;&lt;secondary-title&gt;Am J Prev Med&lt;/secondary-title&gt;&lt;alt-title&gt;American journal of preventive medicine&lt;/alt-title&gt;&lt;/titles&gt;&lt;periodical&gt;&lt;full-title&gt;Am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medicine&lt;/abbr-1&gt;&lt;/alt-periodical&gt;&lt;pages&gt;183-90&lt;/pages&gt;&lt;volume&gt;40&lt;/volume&gt;&lt;number&gt;2&lt;/number&gt;&lt;edition&gt;2011/01/18&lt;/edition&gt;&lt;keywords&gt;&lt;keyword&gt;*Greenhouse Effect&lt;/keyword&gt;&lt;keyword&gt;Humans&lt;/keyword&gt;&lt;keyword&gt;*Public Health&lt;/keyword&gt;&lt;keyword&gt;*Public Health Administration&lt;/keyword&gt;&lt;/keywords&gt;&lt;dates&gt;&lt;year&gt;2011&lt;/year&gt;&lt;pub-dates&gt;&lt;date&gt;Feb&lt;/date&gt;&lt;/pub-dates&gt;&lt;/dates&gt;&lt;isbn&gt;0749-3797&lt;/isbn&gt;&lt;accession-num&gt;21238867&lt;/accession-num&gt;&lt;urls&gt;&lt;/urls&gt;&lt;electronic-resource-num&gt;10.1016/j.amepre.2010.10.025&lt;/electronic-resource-num&gt;&lt;remote-database-provider&gt;NLM&lt;/remote-database-provider&gt;&lt;language&gt;eng&lt;/language&gt;&lt;/record&gt;&lt;/Cite&gt;&lt;/EndNote&gt;</w:instrText>
      </w:r>
      <w:r w:rsidR="00E13392" w:rsidRPr="00142ED0">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186</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At the same time, institutional fragmentation, lack of coordination and communication across levels of governmen</w:t>
      </w:r>
      <w:r w:rsidRPr="00142ED0">
        <w:rPr>
          <w:rFonts w:ascii="Calibri" w:hAnsi="Calibri" w:cs="Times New Roman"/>
          <w:sz w:val="22"/>
          <w:lang w:val="en-GB"/>
        </w:rPr>
        <w:t>t, and conflicts of interest between ministries are overly common.</w:t>
      </w:r>
      <w:r w:rsidR="00E13392" w:rsidRPr="00142ED0">
        <w:rPr>
          <w:rFonts w:ascii="Calibri" w:hAnsi="Calibri" w:cs="Times New Roman"/>
          <w:sz w:val="22"/>
          <w:lang w:val="en-GB"/>
        </w:rPr>
        <w:fldChar w:fldCharType="begin">
          <w:fldData xml:space="preserve">PEVuZE5vdGU+PENpdGU+PEF1dGhvcj5XaWxiYW5rczwvQXV0aG9yPjxZZWFyPjIwMDc8L1llYXI+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</w:fldData>
        </w:fldChar>
      </w:r>
      <w:r w:rsidR="00A43B13">
        <w:rPr>
          <w:rFonts w:ascii="Calibri" w:hAnsi="Calibri" w:cs="Times New Roman"/>
          <w:sz w:val="22"/>
          <w:lang w:val="en-GB"/>
        </w:rPr>
        <w:instrText xml:space="preserve"> ADDIN EN.CITE </w:instrText>
      </w:r>
      <w:r w:rsidR="00E13392">
        <w:rPr>
          <w:rFonts w:ascii="Calibri" w:hAnsi="Calibri" w:cs="Times New Roman"/>
          <w:sz w:val="22"/>
          <w:lang w:val="en-GB"/>
        </w:rPr>
        <w:fldChar w:fldCharType="begin">
          <w:fldData xml:space="preserve">PEVuZE5vdGU+PENpdGU+PEF1dGhvcj5XaWxiYW5rczwvQXV0aG9yPjxZZWFyPjIwMDc8L1llYXI+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</w:fldData>
        </w:fldChar>
      </w:r>
      <w:r w:rsidR="00A43B13">
        <w:rPr>
          <w:rFonts w:ascii="Calibri" w:hAnsi="Calibri" w:cs="Times New Roman"/>
          <w:sz w:val="22"/>
          <w:lang w:val="en-GB"/>
        </w:rPr>
        <w:instrText xml:space="preserve"> ADDIN EN.CITE.DATA </w:instrText>
      </w:r>
      <w:r w:rsidR="00E13392">
        <w:rPr>
          <w:rFonts w:ascii="Calibri" w:hAnsi="Calibri" w:cs="Times New Roman"/>
          <w:sz w:val="22"/>
          <w:lang w:val="en-GB"/>
        </w:rPr>
      </w:r>
      <w:r w:rsidR="00E13392">
        <w:rPr>
          <w:rFonts w:ascii="Calibri" w:hAnsi="Calibri" w:cs="Times New Roman"/>
          <w:sz w:val="22"/>
          <w:lang w:val="en-GB"/>
        </w:rPr>
        <w:fldChar w:fldCharType="end"/>
      </w:r>
      <w:r w:rsidR="00E13392" w:rsidRPr="00142ED0">
        <w:rPr>
          <w:rFonts w:ascii="Calibri" w:hAnsi="Calibri" w:cs="Times New Roman"/>
          <w:sz w:val="22"/>
          <w:lang w:val="en-GB"/>
        </w:rPr>
      </w:r>
      <w:r w:rsidR="00E13392" w:rsidRPr="00142ED0">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186,187</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Strengthening institutions a</w:t>
      </w:r>
      <w:r w:rsidRPr="00142ED0">
        <w:rPr>
          <w:rFonts w:ascii="Calibri" w:hAnsi="Calibri" w:cs="Times New Roman"/>
          <w:sz w:val="22"/>
          <w:lang w:val="en-GB"/>
        </w:rPr>
        <w:t xml:space="preserve">t multiple levels is </w:t>
      </w:r>
      <w:r w:rsidRPr="004008E1">
        <w:rPr>
          <w:rFonts w:ascii="Calibri" w:hAnsi="Calibri" w:cs="Times New Roman"/>
          <w:sz w:val="22"/>
          <w:lang w:val="en-GB"/>
        </w:rPr>
        <w:t>vital, and institutional capacity ‘needs assessment’ and collaboration, are critical for health adaptation to climate change.</w:t>
      </w:r>
      <w:r w:rsidR="00E13392" w:rsidRPr="00142ED0">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&lt;EndNote&gt;&lt;Cite&gt;&lt;Author&gt;California Natural Resources Agency&lt;/Author&gt;&lt;Year&gt;2009&lt;/Year&gt;&lt;RecNum&gt;1092&lt;/RecNum&gt;&lt;DisplayText&gt;&lt;style face="superscript"&gt;188&lt;/style&gt;&lt;/DisplayText&gt;&lt;record&gt;&lt;rec-number&gt;1092&lt;/rec-number&gt;&lt;foreign-keys&gt;&lt;key app="EN" db-id="wtftd20rmszxx0ettxy5exwdf90wv22s2dsf" timestamp="1419212983"&gt;1092&lt;/key&gt;&lt;/foreign-keys&gt;&lt;ref-type name="Journal Article"&gt;17&lt;/ref-type&gt;&lt;contributors&gt;&lt;authors&gt;&lt;author&gt;California Natural Resources Agency,&lt;/author&gt;&lt;/authors&gt;&lt;/contributors&gt;&lt;titles&gt;&lt;title&gt;California Climate Adaptation Strategy: A Report to the Governor of the State of California in Response to Executive Order S-13-2008&lt;/title&gt;&lt;/titles&gt;&lt;dates&gt;&lt;year&gt;2009&lt;/year&gt;&lt;/dates&gt;&lt;urls&gt;&lt;/urls&gt;&lt;/record&gt;&lt;/Cite&gt;&lt;/EndNote&gt;</w:instrText>
      </w:r>
      <w:r w:rsidR="00E13392" w:rsidRPr="00142ED0">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188</w:t>
      </w:r>
      <w:r w:rsidR="00E13392" w:rsidRPr="00142ED0">
        <w:rPr>
          <w:rFonts w:ascii="Calibri" w:hAnsi="Calibri" w:cs="Times New Roman"/>
          <w:sz w:val="22"/>
          <w:lang w:val="en-GB"/>
        </w:rPr>
        <w:fldChar w:fldCharType="end"/>
      </w:r>
      <w:r w:rsidRPr="00A37EA9">
        <w:rPr>
          <w:rFonts w:ascii="Calibri" w:hAnsi="Calibri" w:cs="Times New Roman"/>
          <w:sz w:val="22"/>
          <w:lang w:val="en-GB"/>
        </w:rPr>
        <w:t xml:space="preserve"> The support of </w:t>
      </w:r>
      <w:r w:rsidRPr="004008E1">
        <w:rPr>
          <w:rFonts w:ascii="Calibri" w:hAnsi="Calibri" w:cs="Times New Roman"/>
          <w:sz w:val="22"/>
          <w:lang w:val="en-GB"/>
        </w:rPr>
        <w:t xml:space="preserve">“bridging organizations”, as well </w:t>
      </w:r>
      <w:r w:rsidR="009F3C0D" w:rsidRPr="00B50254">
        <w:rPr>
          <w:rFonts w:ascii="Calibri" w:hAnsi="Calibri" w:cs="Times New Roman"/>
          <w:sz w:val="22"/>
          <w:lang w:val="en-GB"/>
        </w:rPr>
        <w:t xml:space="preserve">as </w:t>
      </w:r>
      <w:r w:rsidRPr="00B50254">
        <w:rPr>
          <w:rFonts w:ascii="Calibri" w:hAnsi="Calibri" w:cs="Times New Roman"/>
          <w:sz w:val="22"/>
          <w:lang w:val="en-GB"/>
        </w:rPr>
        <w:t>partnerships through networks</w:t>
      </w:r>
      <w:r w:rsidR="009F3C0D" w:rsidRPr="004B2349">
        <w:rPr>
          <w:rFonts w:ascii="Calibri" w:hAnsi="Calibri" w:cs="Times New Roman"/>
          <w:sz w:val="22"/>
          <w:lang w:val="en-GB"/>
        </w:rPr>
        <w:t xml:space="preserve"> are</w:t>
      </w:r>
      <w:r w:rsidRPr="004B2349">
        <w:rPr>
          <w:rFonts w:ascii="Calibri" w:hAnsi="Calibri" w:cs="Times New Roman"/>
          <w:sz w:val="22"/>
          <w:lang w:val="en-GB"/>
        </w:rPr>
        <w:t xml:space="preserve"> critical as</w:t>
      </w:r>
      <w:r w:rsidR="009F3C0D" w:rsidRPr="004B2349">
        <w:rPr>
          <w:rFonts w:ascii="Calibri" w:hAnsi="Calibri" w:cs="Times New Roman"/>
          <w:sz w:val="22"/>
          <w:lang w:val="en-GB"/>
        </w:rPr>
        <w:t xml:space="preserve"> a</w:t>
      </w:r>
      <w:r w:rsidRPr="004B2349">
        <w:rPr>
          <w:rFonts w:ascii="Calibri" w:hAnsi="Calibri" w:cs="Times New Roman"/>
          <w:sz w:val="22"/>
          <w:lang w:val="en-GB"/>
        </w:rPr>
        <w:t xml:space="preserve"> means to overcome fragmentation, and improve collaboration, information flows and learning.</w:t>
      </w:r>
      <w:r w:rsidR="00E13392" w:rsidRPr="00142ED0">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&lt;EndNote&gt;&lt;Cite&gt;&lt;Author&gt;Feiock&lt;/Author&gt;&lt;Year&gt;2008&lt;/Year&gt;&lt;RecNum&gt;1556&lt;/RecNum&gt;&lt;DisplayText&gt;&lt;style face="superscript"&gt;189&lt;/style&gt;&lt;/DisplayText&gt;&lt;record&gt;&lt;rec-number&gt;1556&lt;/rec-number&gt;&lt;foreign-keys&gt;&lt;key app="EN" db-id="wtftd20rmszxx0ettxy5exwdf90wv22s2dsf" timestamp="1427445703"&gt;1556&lt;/key&gt;&lt;/foreign-keys&gt;&lt;ref-type name="Journal Article"&gt;17&lt;/ref-type&gt;&lt;contributors&gt;&lt;authors&gt;&lt;author&gt;R C Feiock&lt;/author&gt;&lt;/authors&gt;&lt;/contributors&gt;&lt;titles&gt;&lt;title&gt;Metropolitan Governance and Institutional Collective Action&lt;/title&gt;&lt;secondary-title&gt;Urban Affairs Review&lt;/secondary-title&gt;&lt;/titles&gt;&lt;periodical&gt;&lt;full-title&gt;Urban Affairs Review&lt;/full-title&gt;&lt;/periodical&gt;&lt;pages&gt;356-77&lt;/pages&gt;&lt;volume&gt;44&lt;/volume&gt;&lt;number&gt;3&lt;/number&gt;&lt;dates&gt;&lt;year&gt;2008&lt;/year&gt;&lt;/dates&gt;&lt;urls&gt;&lt;/urls&gt;&lt;/record&gt;&lt;/Cite&gt;&lt;/EndNote&gt;</w:instrText>
      </w:r>
      <w:r w:rsidR="00E13392" w:rsidRPr="00142ED0">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189</w:t>
      </w:r>
      <w:r w:rsidR="00E13392" w:rsidRPr="00142ED0">
        <w:rPr>
          <w:rFonts w:ascii="Calibri" w:hAnsi="Calibri" w:cs="Times New Roman"/>
          <w:sz w:val="22"/>
          <w:lang w:val="en-GB"/>
        </w:rPr>
        <w:fldChar w:fldCharType="end"/>
      </w:r>
      <w:r w:rsidR="000E78FE" w:rsidRPr="00A37EA9">
        <w:rPr>
          <w:rFonts w:ascii="Calibri" w:hAnsi="Calibri" w:cs="Times New Roman"/>
          <w:sz w:val="22"/>
          <w:vertAlign w:val="superscript"/>
          <w:lang w:val="en-GB"/>
        </w:rPr>
        <w:t xml:space="preserve"> </w:t>
      </w:r>
    </w:p>
    <w:p w:rsidR="00FB601E" w:rsidRPr="00A37EA9" w:rsidRDefault="00FB601E" w:rsidP="00FB601E">
      <w:pPr>
        <w:jc w:val="both"/>
        <w:rPr>
          <w:rFonts w:ascii="Calibri" w:hAnsi="Calibri"/>
          <w:i/>
          <w:lang w:val="en-GB"/>
        </w:rPr>
      </w:pPr>
    </w:p>
    <w:p w:rsidR="00FB601E" w:rsidRPr="00142ED0" w:rsidRDefault="00FB601E" w:rsidP="00FB601E">
      <w:pPr>
        <w:jc w:val="both"/>
        <w:rPr>
          <w:i/>
          <w:sz w:val="22"/>
          <w:szCs w:val="22"/>
          <w:lang w:val="en-GB"/>
        </w:rPr>
      </w:pPr>
      <w:bookmarkStart w:id="76" w:name="_Toc402956363"/>
      <w:r w:rsidRPr="00142ED0">
        <w:rPr>
          <w:i/>
          <w:sz w:val="22"/>
          <w:szCs w:val="22"/>
          <w:lang w:val="en-GB"/>
        </w:rPr>
        <w:t>2. Finance</w:t>
      </w:r>
      <w:bookmarkEnd w:id="76"/>
    </w:p>
    <w:p w:rsidR="00FB601E" w:rsidRPr="004B2349" w:rsidRDefault="00FB601E" w:rsidP="00FB601E">
      <w:pPr>
        <w:jc w:val="both"/>
        <w:rPr>
          <w:rFonts w:ascii="Calibri" w:hAnsi="Calibri" w:cs="Arial"/>
          <w:sz w:val="22"/>
          <w:szCs w:val="22"/>
          <w:lang w:val="en-GB"/>
        </w:rPr>
      </w:pPr>
      <w:r w:rsidRPr="004008E1">
        <w:rPr>
          <w:rFonts w:ascii="Calibri" w:hAnsi="Calibri" w:cs="Arial"/>
          <w:sz w:val="22"/>
          <w:szCs w:val="22"/>
          <w:lang w:val="en-GB"/>
        </w:rPr>
        <w:t xml:space="preserve">Lack of </w:t>
      </w:r>
      <w:r w:rsidR="009F3C0D" w:rsidRPr="00B50254">
        <w:rPr>
          <w:rFonts w:ascii="Calibri" w:hAnsi="Calibri" w:cs="Arial"/>
          <w:sz w:val="22"/>
          <w:szCs w:val="22"/>
          <w:lang w:val="en-GB"/>
        </w:rPr>
        <w:t>finance</w:t>
      </w:r>
      <w:r w:rsidRPr="004B2349">
        <w:rPr>
          <w:rFonts w:ascii="Calibri" w:hAnsi="Calibri" w:cs="Arial"/>
          <w:sz w:val="22"/>
          <w:szCs w:val="22"/>
          <w:lang w:val="en-GB"/>
        </w:rPr>
        <w:t xml:space="preserve"> is commonly cited as a major obstacle to adaptation, especially in the poorest regions and communities. This might result in economic incentives for investment in adaptation appearing small; individuals or firms lowering initial costs by avoiding expensive adaptation technologies or options; and the fact that the long-term benefits of health risk reduction, health improvements, and other societal benefits (reduced public health care costs) are heavily discounted. </w:t>
      </w:r>
    </w:p>
    <w:p w:rsidR="00FB601E" w:rsidRPr="004349AE" w:rsidRDefault="00FB601E" w:rsidP="00FB601E">
      <w:pPr>
        <w:jc w:val="both"/>
        <w:rPr>
          <w:rFonts w:ascii="Calibri" w:hAnsi="Calibri"/>
          <w:sz w:val="22"/>
          <w:lang w:val="en-GB"/>
        </w:rPr>
      </w:pPr>
      <w:r w:rsidRPr="004B2349">
        <w:rPr>
          <w:rFonts w:ascii="Calibri" w:hAnsi="Calibri" w:cs="Arial"/>
          <w:sz w:val="22"/>
          <w:szCs w:val="22"/>
          <w:lang w:val="en-GB"/>
        </w:rPr>
        <w:t>Community and informal networks may provide financial support, but regional, national and international funds as well as private sector funding will be required for adaptation responses at a larger scale.</w:t>
      </w:r>
      <w:r w:rsidR="00E13392" w:rsidRPr="004008E1">
        <w:rPr>
          <w:rFonts w:ascii="Calibri" w:hAnsi="Calibri" w:cs="Arial"/>
          <w:sz w:val="22"/>
          <w:szCs w:val="22"/>
          <w:lang w:val="en-GB"/>
        </w:rPr>
        <w:fldChar w:fldCharType="begin"/>
      </w:r>
      <w:r w:rsidR="00A43B13">
        <w:rPr>
          <w:rFonts w:ascii="Calibri" w:hAnsi="Calibri" w:cs="Arial"/>
          <w:sz w:val="22"/>
          <w:szCs w:val="22"/>
          <w:lang w:val="en-GB"/>
        </w:rPr>
        <w:instrText xml:space="preserve"> ADDIN EN.CITE &lt;EndNote&gt;&lt;Cite&gt;&lt;Author&gt;UNFCCC&lt;/Author&gt;&lt;Year&gt;2013&lt;/Year&gt;&lt;RecNum&gt;1205&lt;/RecNum&gt;&lt;DisplayText&gt;&lt;style face="superscript"&gt;190&lt;/style&gt;&lt;/DisplayText&gt;&lt;record&gt;&lt;rec-number&gt;1205&lt;/rec-number&gt;&lt;foreign-keys&gt;&lt;key app="EN" db-id="wtftd20rmszxx0ettxy5exwdf90wv22s2dsf" timestamp="1419212983"&gt;1205&lt;/key&gt;&lt;/foreign-keys&gt;&lt;ref-type name="Conference Paper"&gt;47&lt;/ref-type&gt;&lt;contributors&gt;&lt;authors&gt;&lt;author&gt;UNFCCC,&lt;/author&gt;&lt;/authors&gt;&lt;/contributors&gt;&lt;titles&gt;&lt;title&gt;Third synthesis report on technology needs identified by Parties not included in Annex I to the Convention&lt;/title&gt;&lt;secondary-title&gt;Document FCCC/SBSTA/2013/Inf.7. Subsidiary Body for Scientific and Technological Advice, Thirty-ninth Session&lt;/secondary-title&gt;&lt;/titles&gt;&lt;dates&gt;&lt;year&gt;2013&lt;/year&gt;&lt;pub-dates&gt;&lt;date&gt;11-16 November 2013&lt;/date&gt;&lt;/pub-dates&gt;&lt;/dates&gt;&lt;pub-location&gt;Warsaw&lt;/pub-location&gt;&lt;urls&gt;&lt;/urls&gt;&lt;/record&gt;&lt;/Cite&gt;&lt;/EndNote&gt;</w:instrText>
      </w:r>
      <w:r w:rsidR="00E13392" w:rsidRPr="004008E1">
        <w:rPr>
          <w:rFonts w:ascii="Calibri" w:hAnsi="Calibri" w:cs="Arial"/>
          <w:sz w:val="22"/>
          <w:szCs w:val="22"/>
          <w:lang w:val="en-GB"/>
        </w:rPr>
        <w:fldChar w:fldCharType="separate"/>
      </w:r>
      <w:r w:rsidR="00A43B13" w:rsidRPr="00A43B13">
        <w:rPr>
          <w:rFonts w:ascii="Calibri" w:hAnsi="Calibri" w:cs="Arial"/>
          <w:noProof/>
          <w:sz w:val="22"/>
          <w:szCs w:val="22"/>
          <w:vertAlign w:val="superscript"/>
          <w:lang w:val="en-GB"/>
        </w:rPr>
        <w:t>190</w:t>
      </w:r>
      <w:r w:rsidR="00E13392" w:rsidRPr="004008E1">
        <w:rPr>
          <w:rFonts w:ascii="Calibri" w:hAnsi="Calibri" w:cs="Arial"/>
          <w:sz w:val="22"/>
          <w:szCs w:val="22"/>
          <w:lang w:val="en-GB"/>
        </w:rPr>
        <w:fldChar w:fldCharType="end"/>
      </w:r>
      <w:r w:rsidRPr="004008E1">
        <w:rPr>
          <w:rFonts w:ascii="Calibri" w:hAnsi="Calibri" w:cs="Arial"/>
          <w:sz w:val="22"/>
          <w:szCs w:val="22"/>
          <w:lang w:val="en-GB"/>
        </w:rPr>
        <w:t xml:space="preserve"> To date, adaptation funding is inadequate compared to the risks and hazards faced</w:t>
      </w:r>
      <w:r w:rsidRPr="004008E1">
        <w:rPr>
          <w:rFonts w:ascii="Calibri" w:hAnsi="Calibri" w:cs="Times New Roman"/>
          <w:sz w:val="22"/>
          <w:lang w:val="en-GB"/>
        </w:rPr>
        <w:t>. This is covered in more detail, in Section 4 of the Commission.</w:t>
      </w:r>
    </w:p>
    <w:p w:rsidR="00FB601E" w:rsidRPr="004008E1" w:rsidRDefault="00FB601E" w:rsidP="00FB601E">
      <w:pPr>
        <w:jc w:val="both"/>
        <w:rPr>
          <w:rFonts w:ascii="Calibri" w:hAnsi="Calibri"/>
          <w:lang w:val="en-GB"/>
        </w:rPr>
      </w:pPr>
    </w:p>
    <w:p w:rsidR="00FB601E" w:rsidRPr="004008E1" w:rsidRDefault="00FB601E" w:rsidP="00FB601E">
      <w:pPr>
        <w:jc w:val="both"/>
        <w:rPr>
          <w:i/>
          <w:sz w:val="22"/>
          <w:szCs w:val="22"/>
          <w:lang w:val="en-GB"/>
        </w:rPr>
      </w:pPr>
      <w:bookmarkStart w:id="77" w:name="_Toc402956364"/>
      <w:r w:rsidRPr="004008E1">
        <w:rPr>
          <w:i/>
          <w:sz w:val="22"/>
          <w:szCs w:val="22"/>
          <w:lang w:val="en-GB"/>
        </w:rPr>
        <w:t>3. Communication</w:t>
      </w:r>
      <w:bookmarkEnd w:id="77"/>
    </w:p>
    <w:p w:rsidR="00FB601E" w:rsidRPr="004008E1" w:rsidRDefault="00FB601E" w:rsidP="00FB601E">
      <w:pPr>
        <w:jc w:val="both"/>
        <w:rPr>
          <w:rFonts w:ascii="Calibri" w:hAnsi="Calibri" w:cs="Times New Roman"/>
          <w:sz w:val="22"/>
          <w:lang w:val="en-GB"/>
        </w:rPr>
      </w:pPr>
      <w:r w:rsidRPr="00B50254">
        <w:rPr>
          <w:rFonts w:ascii="Calibri" w:hAnsi="Calibri" w:cs="Times New Roman"/>
          <w:sz w:val="22"/>
          <w:lang w:val="en-GB"/>
        </w:rPr>
        <w:t>Public awareness of the health risks of climate change, even from heatwaves and other extreme weather events, is currently low.</w:t>
      </w:r>
      <w:r w:rsidR="00E13392" w:rsidRPr="004008E1">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&lt;EndNote&gt;&lt;Cite&gt;&lt;Author&gt;Leiserowitz&lt;/Author&gt;&lt;Year&gt;2014&lt;/Year&gt;&lt;RecNum&gt;1426&lt;/RecNum&gt;&lt;DisplayText&gt;&lt;style face="superscript"&gt;191&lt;/style&gt;&lt;/DisplayText&gt;&lt;record&gt;&lt;rec-number&gt;1426&lt;/rec-number&gt;&lt;foreign-keys&gt;&lt;key app="EN" db-id="wtftd20rmszxx0ettxy5exwdf90wv22s2dsf" timestamp="1419295325"&gt;1426&lt;/key&gt;&lt;/foreign-keys&gt;&lt;ref-type name="Report"&gt;27&lt;/ref-type&gt;&lt;contributors&gt;&lt;authors&gt;&lt;author&gt;A Leiserowitz&lt;/author&gt;&lt;author&gt;E Maibach&lt;/author&gt;&lt;author&gt;C Roser-Renouf&lt;/author&gt;&lt;author&gt;G Feinberg&lt;/author&gt;&lt;author&gt;S Rosenthal&lt;/author&gt;&lt;author&gt;J Marlon&lt;/author&gt;&lt;/authors&gt;&lt;/contributors&gt;&lt;titles&gt;&lt;title&gt;Public Perceptions of the Health Consequences of Global Warming&lt;/title&gt;&lt;/titles&gt;&lt;dates&gt;&lt;year&gt;2014&lt;/year&gt;&lt;/dates&gt;&lt;pub-location&gt;New Haven, CT&lt;/pub-location&gt;&lt;publisher&gt; Yale University and George Mason University&lt;/publisher&gt;&lt;urls&gt;&lt;/urls&gt;&lt;/record&gt;&lt;/Cite&gt;&lt;/EndNote&gt;</w:instrText>
      </w:r>
      <w:r w:rsidR="00E13392" w:rsidRPr="004008E1">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191</w:t>
      </w:r>
      <w:r w:rsidR="00E13392" w:rsidRPr="004008E1">
        <w:rPr>
          <w:rFonts w:ascii="Calibri" w:hAnsi="Calibri" w:cs="Times New Roman"/>
          <w:sz w:val="22"/>
          <w:lang w:val="en-GB"/>
        </w:rPr>
        <w:fldChar w:fldCharType="end"/>
      </w:r>
      <w:r w:rsidRPr="004008E1">
        <w:rPr>
          <w:rFonts w:ascii="Calibri" w:hAnsi="Calibri" w:cs="Times New Roman"/>
          <w:sz w:val="22"/>
          <w:lang w:val="en-GB"/>
        </w:rPr>
        <w:t xml:space="preserve"> Innovative media strategies are needed to enhance awareness of such risks and improve public adaptive skills and effectiveness.</w:t>
      </w:r>
      <w:r w:rsidR="00E13392" w:rsidRPr="004008E1">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&lt;EndNote&gt;&lt;Cite&gt;&lt;Author&gt;Moser&lt;/Author&gt;&lt;Year&gt;2007&lt;/Year&gt;&lt;RecNum&gt;1187&lt;/RecNum&gt;&lt;DisplayText&gt;&lt;style face="superscript"&gt;192&lt;/style&gt;&lt;/DisplayText&gt;&lt;record&gt;&lt;rec-number&gt;1187&lt;/rec-number&gt;&lt;foreign-keys&gt;&lt;key app="EN" db-id="wtftd20rmszxx0ettxy5exwdf90wv22s2dsf" timestamp="1419212983"&gt;1187&lt;/key&gt;&lt;/foreign-keys&gt;&lt;ref-type name="Book"&gt;6&lt;/ref-type&gt;&lt;contributors&gt;&lt;authors&gt;&lt;author&gt;Moser, S.C&lt;/author&gt;&lt;author&gt;Dilling, L.&lt;/author&gt;&lt;/authors&gt;&lt;/contributors&gt;&lt;titles&gt;&lt;title&gt;Creating a climate for change: communicating climate change and facilitating social change&lt;/title&gt;&lt;/titles&gt;&lt;dates&gt;&lt;year&gt;2007&lt;/year&gt;&lt;/dates&gt;&lt;pub-location&gt;Cambridge, UK&lt;/pub-location&gt;&lt;publisher&gt; Cambridge University Press&lt;/publisher&gt;&lt;urls&gt;&lt;/urls&gt;&lt;/record&gt;&lt;/Cite&gt;&lt;/EndNote&gt;</w:instrText>
      </w:r>
      <w:r w:rsidR="00E13392" w:rsidRPr="004008E1">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192</w:t>
      </w:r>
      <w:r w:rsidR="00E13392" w:rsidRPr="004008E1">
        <w:rPr>
          <w:rFonts w:ascii="Calibri" w:hAnsi="Calibri" w:cs="Times New Roman"/>
          <w:sz w:val="22"/>
          <w:lang w:val="en-GB"/>
        </w:rPr>
        <w:fldChar w:fldCharType="end"/>
      </w:r>
      <w:r w:rsidRPr="004008E1">
        <w:rPr>
          <w:rFonts w:ascii="Calibri" w:hAnsi="Calibri" w:cs="Times New Roman"/>
          <w:sz w:val="22"/>
          <w:lang w:val="en-GB"/>
        </w:rPr>
        <w:t xml:space="preserve"> Health professionals, being knowledgeable and trusted, are in a strong position to communicate the risks posed by climate change, and the benefits of adaptation.</w:t>
      </w:r>
      <w:r w:rsidR="00E13392" w:rsidRPr="004008E1">
        <w:rPr>
          <w:rFonts w:ascii="Calibri" w:hAnsi="Calibri" w:cs="Times New Roman"/>
          <w:sz w:val="22"/>
          <w:lang w:val="en-GB"/>
        </w:rPr>
        <w:fldChar w:fldCharType="begin"/>
      </w:r>
      <w:r w:rsidR="00723833">
        <w:rPr>
          <w:rFonts w:ascii="Calibri" w:hAnsi="Calibri" w:cs="Times New Roman"/>
          <w:sz w:val="22"/>
          <w:lang w:val="en-GB"/>
        </w:rPr>
        <w:instrText xml:space="preserve"> ADDIN EN.CITE &lt;EndNote&gt;&lt;Cite&gt;&lt;Author&gt;Frumkin&lt;/Author&gt;&lt;Year&gt;2008&lt;/Year&gt;&lt;RecNum&gt;1121&lt;/RecNum&gt;&lt;DisplayText&gt;&lt;style face="superscript"&gt;102&lt;/style&gt;&lt;/DisplayText&gt;&lt;record&gt;&lt;rec-number&gt;1121&lt;/rec-number&gt;&lt;foreign-keys&gt;&lt;key app="EN" db-id="wtftd20rmszxx0ettxy5exwdf90wv22s2dsf" timestamp="1419212983"&gt;1121&lt;/key&gt;&lt;/foreign-keys&gt;&lt;ref-type name="Journal Article"&gt;17&lt;/ref-type&gt;&lt;contributors&gt;&lt;authors&gt;&lt;author&gt;Frumkin, H.&lt;/author&gt;&lt;author&gt;McMichael, A. J.&lt;/author&gt;&lt;/authors&gt;&lt;/contributors&gt;&lt;auth-address&gt;National Center for Environmental Health/Agency for Toxic Substances and Disease Registry, CDC, 4770 Buford Highway, MS F-61, Atlanta GA 30341, USA. hfrumkin@cdc.gov&lt;/auth-address&gt;&lt;titles&gt;&lt;title&gt;Climate change and public health: thinking, communicating, acting&lt;/title&gt;&lt;secondary-title&gt;Am J Prev Med&lt;/secondary-title&gt;&lt;alt-title&gt;American journal of preventive medicine&lt;/alt-title&gt;&lt;/titles&gt;&lt;periodical&gt;&lt;full-title&gt;Am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medicine&lt;/abbr-1&gt;&lt;/alt-periodical&gt;&lt;pages&gt;403-10&lt;/pages&gt;&lt;volume&gt;35&lt;/volume&gt;&lt;number&gt;5&lt;/number&gt;&lt;edition&gt;2008/10/22&lt;/edition&gt;&lt;keywords&gt;&lt;keyword&gt;Communication&lt;/keyword&gt;&lt;keyword&gt;*Greenhouse Effect&lt;/keyword&gt;&lt;keyword&gt;Health Planning&lt;/keyword&gt;&lt;keyword&gt;Humans&lt;/keyword&gt;&lt;keyword&gt;Leadership&lt;/keyword&gt;&lt;keyword&gt;*Public Health&lt;/keyword&gt;&lt;keyword&gt;Systems Theory&lt;/keyword&gt;&lt;keyword&gt;Time Factors&lt;/keyword&gt;&lt;/keywords&gt;&lt;dates&gt;&lt;year&gt;2008&lt;/year&gt;&lt;pub-dates&gt;&lt;date&gt;Nov&lt;/date&gt;&lt;/pub-dates&gt;&lt;/dates&gt;&lt;isbn&gt;0749-3797&lt;/isbn&gt;&lt;accession-num&gt;18929964&lt;/accession-num&gt;&lt;urls&gt;&lt;/urls&gt;&lt;electronic-resource-num&gt;10.1016/j.amepre.2008.08.019&lt;/electronic-resource-num&gt;&lt;remote-database-provider&gt;NLM&lt;/remote-database-provider&gt;&lt;language&gt;eng&lt;/language&gt;&lt;/record&gt;&lt;/Cite&gt;&lt;/EndNote&gt;</w:instrText>
      </w:r>
      <w:r w:rsidR="00E13392" w:rsidRPr="004008E1">
        <w:rPr>
          <w:rFonts w:ascii="Calibri" w:hAnsi="Calibri" w:cs="Times New Roman"/>
          <w:sz w:val="22"/>
          <w:lang w:val="en-GB"/>
        </w:rPr>
        <w:fldChar w:fldCharType="separate"/>
      </w:r>
      <w:r w:rsidR="00723833" w:rsidRPr="00723833">
        <w:rPr>
          <w:rFonts w:ascii="Calibri" w:hAnsi="Calibri" w:cs="Times New Roman"/>
          <w:noProof/>
          <w:sz w:val="22"/>
          <w:vertAlign w:val="superscript"/>
          <w:lang w:val="en-GB"/>
        </w:rPr>
        <w:t>102</w:t>
      </w:r>
      <w:r w:rsidR="00E13392" w:rsidRPr="004008E1">
        <w:rPr>
          <w:rFonts w:ascii="Calibri" w:hAnsi="Calibri" w:cs="Times New Roman"/>
          <w:sz w:val="22"/>
          <w:lang w:val="en-GB"/>
        </w:rPr>
        <w:fldChar w:fldCharType="end"/>
      </w:r>
      <w:r w:rsidRPr="004008E1">
        <w:rPr>
          <w:rFonts w:ascii="Calibri" w:hAnsi="Calibri" w:cs="Times New Roman"/>
          <w:sz w:val="22"/>
          <w:lang w:val="en-GB"/>
        </w:rPr>
        <w:t xml:space="preserve"> </w:t>
      </w:r>
    </w:p>
    <w:p w:rsidR="00FB601E" w:rsidRPr="004008E1" w:rsidRDefault="00FB601E" w:rsidP="00FB601E">
      <w:pPr>
        <w:jc w:val="both"/>
        <w:rPr>
          <w:rFonts w:ascii="Calibri" w:hAnsi="Calibri"/>
          <w:lang w:val="en-GB"/>
        </w:rPr>
      </w:pPr>
    </w:p>
    <w:p w:rsidR="00FB601E" w:rsidRPr="00B50254" w:rsidRDefault="00FB601E" w:rsidP="00FB601E">
      <w:pPr>
        <w:pStyle w:val="Heading2"/>
        <w:rPr>
          <w:lang w:val="en-GB"/>
        </w:rPr>
      </w:pPr>
      <w:bookmarkStart w:id="78" w:name="_Toc402956375"/>
      <w:bookmarkStart w:id="79" w:name="_Toc278446364"/>
      <w:bookmarkStart w:id="80" w:name="_Toc415931387"/>
      <w:bookmarkStart w:id="81" w:name="_Toc417502052"/>
      <w:r w:rsidRPr="00B50254">
        <w:rPr>
          <w:lang w:val="en-GB"/>
        </w:rPr>
        <w:t xml:space="preserve">Monitoring Indicators for Adaptation to Indirect </w:t>
      </w:r>
      <w:bookmarkEnd w:id="78"/>
      <w:bookmarkEnd w:id="79"/>
      <w:r w:rsidRPr="00B50254">
        <w:rPr>
          <w:lang w:val="en-GB"/>
        </w:rPr>
        <w:t>Impacts</w:t>
      </w:r>
      <w:bookmarkEnd w:id="80"/>
      <w:bookmarkEnd w:id="81"/>
    </w:p>
    <w:p w:rsidR="00FB601E" w:rsidRPr="004349AE" w:rsidRDefault="00FB601E" w:rsidP="00FB601E">
      <w:pPr>
        <w:jc w:val="both"/>
        <w:rPr>
          <w:rFonts w:ascii="Calibri" w:hAnsi="Calibri"/>
          <w:sz w:val="22"/>
          <w:lang w:val="en-GB"/>
        </w:rPr>
      </w:pPr>
      <w:r w:rsidRPr="00B50254">
        <w:rPr>
          <w:rFonts w:ascii="Calibri" w:hAnsi="Calibri" w:cs="Times New Roman"/>
          <w:sz w:val="22"/>
          <w:szCs w:val="22"/>
          <w:lang w:val="en-GB"/>
        </w:rPr>
        <w:t xml:space="preserve">Several indicators can serve as </w:t>
      </w:r>
      <w:r w:rsidRPr="004B2349">
        <w:rPr>
          <w:rFonts w:ascii="Calibri" w:hAnsi="Calibri" w:cs="Times New Roman"/>
          <w:sz w:val="22"/>
          <w:szCs w:val="22"/>
          <w:lang w:val="en-GB"/>
        </w:rPr>
        <w:t xml:space="preserve">proxies for investments in adaptation and resilience to the indirect health effects of climate change. </w:t>
      </w:r>
    </w:p>
    <w:p w:rsidR="00FB601E" w:rsidRPr="004008E1" w:rsidRDefault="00FB601E" w:rsidP="00FB601E">
      <w:pPr>
        <w:jc w:val="both"/>
        <w:rPr>
          <w:rFonts w:ascii="Calibri" w:hAnsi="Calibri" w:cs="Times New Roman"/>
          <w:i/>
          <w:sz w:val="22"/>
          <w:szCs w:val="22"/>
          <w:lang w:val="en-GB"/>
        </w:rPr>
      </w:pPr>
    </w:p>
    <w:p w:rsidR="00FB601E" w:rsidRPr="00B50254" w:rsidRDefault="00FB601E" w:rsidP="00FB601E">
      <w:pPr>
        <w:jc w:val="both"/>
        <w:rPr>
          <w:rFonts w:ascii="Calibri" w:hAnsi="Calibri"/>
          <w:sz w:val="22"/>
          <w:szCs w:val="22"/>
          <w:lang w:val="en-GB"/>
        </w:rPr>
      </w:pPr>
      <w:r w:rsidRPr="004008E1">
        <w:rPr>
          <w:rFonts w:ascii="Calibri" w:hAnsi="Calibri" w:cs="Times New Roman"/>
          <w:i/>
          <w:sz w:val="22"/>
          <w:szCs w:val="22"/>
          <w:lang w:val="en-GB"/>
        </w:rPr>
        <w:t xml:space="preserve">1. National adaptation programmes </w:t>
      </w:r>
      <w:r w:rsidRPr="00B50254">
        <w:rPr>
          <w:rFonts w:ascii="Calibri" w:hAnsi="Calibri" w:cs="Times New Roman"/>
          <w:i/>
          <w:sz w:val="22"/>
          <w:szCs w:val="22"/>
          <w:lang w:val="en-GB"/>
        </w:rPr>
        <w:t>of action</w:t>
      </w:r>
    </w:p>
    <w:p w:rsidR="00FB601E" w:rsidRPr="004B2349" w:rsidRDefault="00FB601E" w:rsidP="00FB601E">
      <w:pPr>
        <w:jc w:val="both"/>
        <w:rPr>
          <w:rFonts w:ascii="Calibri" w:hAnsi="Calibri" w:cs="Times New Roman"/>
          <w:sz w:val="22"/>
          <w:szCs w:val="22"/>
          <w:lang w:val="en-GB"/>
        </w:rPr>
      </w:pPr>
      <w:r w:rsidRPr="004B2349">
        <w:rPr>
          <w:rFonts w:ascii="Calibri" w:hAnsi="Calibri" w:cs="Times New Roman"/>
          <w:sz w:val="22"/>
          <w:szCs w:val="22"/>
          <w:lang w:val="en-GB"/>
        </w:rPr>
        <w:t>National Adaptation Programmes of Action (NAPAs) are designed for low resource countries to communicate their most urgent adaptation needs to the United Nations Framework Convention on Climate Change (UNFCCC) for funding</w:t>
      </w:r>
      <w:r w:rsidRPr="004349AE">
        <w:rPr>
          <w:rFonts w:ascii="Calibri" w:hAnsi="Calibri"/>
          <w:sz w:val="22"/>
          <w:lang w:val="en-GB"/>
        </w:rPr>
        <w:t>.</w:t>
      </w:r>
      <w:r w:rsidR="00E13392" w:rsidRPr="004349AE">
        <w:rPr>
          <w:rFonts w:ascii="Calibri" w:hAnsi="Calibri"/>
          <w:sz w:val="22"/>
          <w:lang w:val="en-GB"/>
        </w:rPr>
        <w:fldChar w:fldCharType="begin"/>
      </w:r>
      <w:r w:rsidR="00A43B13">
        <w:rPr>
          <w:rFonts w:ascii="Calibri" w:hAnsi="Calibri"/>
          <w:sz w:val="22"/>
          <w:lang w:val="en-GB"/>
        </w:rPr>
        <w:instrText xml:space="preserve"> ADDIN EN.CITE &lt;EndNote&gt;&lt;Cite&gt;&lt;Author&gt;Noble I&lt;/Author&gt;&lt;Year&gt;2014&lt;/Year&gt;&lt;RecNum&gt;1190&lt;/RecNum&gt;&lt;DisplayText&gt;&lt;style face="superscript"&gt;193&lt;/style&gt;&lt;/DisplayText&gt;&lt;record&gt;&lt;rec-number&gt;1190&lt;/rec-number&gt;&lt;foreign-keys&gt;&lt;key app="EN" db-id="wtftd20rmszxx0ettxy5exwdf90wv22s2dsf" timestamp="1419212983"&gt;1190&lt;/key&gt;&lt;/foreign-keys&gt;&lt;ref-type name="Book Section"&gt;5&lt;/ref-type&gt;&lt;contributors&gt;&lt;authors&gt;&lt;author&gt;Noble I, &lt;/author&gt;&lt;author&gt;Huq S, &lt;/author&gt;&lt;author&gt;Ayers J, &lt;/author&gt;&lt;author&gt;Berkhout F, &lt;/author&gt;&lt;author&gt;Dow K, &lt;/author&gt;&lt;author&gt;Füssel HM, &lt;/author&gt;&lt;author&gt;Smith J, &lt;/author&gt;&lt;author&gt;Tierney K, &lt;/author&gt;&lt;author&gt;Wright H, &lt;/author&gt;&lt;author&gt;PAtt A, &lt;/author&gt;&lt;author&gt;Takeuchi K,  .&lt;/author&gt;&lt;/authors&gt;&lt;/contributors&gt;&lt;titles&gt;&lt;title&gt;Adaptation Needs and Options&lt;/title&gt;&lt;secondary-title&gt;Climate Change 2014: Impacts, Adaptation, and Vulnerability. Working Group II Contribution to the IPCC 5th Assessment Report&lt;/secondary-title&gt;&lt;/titles&gt;&lt;dates&gt;&lt;year&gt;2014&lt;/year&gt;&lt;/dates&gt;&lt;pub-location&gt;Cambridge, UK and New York, NY, USA&lt;/pub-location&gt;&lt;publisher&gt;Cambridge University Press&lt;/publisher&gt;&lt;urls&gt;&lt;/urls&gt;&lt;/record&gt;&lt;/Cite&gt;&lt;/EndNote&gt;</w:instrText>
      </w:r>
      <w:r w:rsidR="00E13392" w:rsidRPr="004349AE">
        <w:rPr>
          <w:rFonts w:ascii="Calibri" w:hAnsi="Calibri"/>
          <w:sz w:val="22"/>
          <w:lang w:val="en-GB"/>
        </w:rPr>
        <w:fldChar w:fldCharType="separate"/>
      </w:r>
      <w:r w:rsidR="00A43B13" w:rsidRPr="00A43B13">
        <w:rPr>
          <w:rFonts w:ascii="Calibri" w:hAnsi="Calibri"/>
          <w:noProof/>
          <w:sz w:val="22"/>
          <w:vertAlign w:val="superscript"/>
          <w:lang w:val="en-GB"/>
        </w:rPr>
        <w:t>193</w:t>
      </w:r>
      <w:r w:rsidR="00E13392" w:rsidRPr="004349AE">
        <w:rPr>
          <w:rFonts w:ascii="Calibri" w:hAnsi="Calibri"/>
          <w:sz w:val="22"/>
          <w:lang w:val="en-GB"/>
        </w:rPr>
        <w:fldChar w:fldCharType="end"/>
      </w:r>
      <w:r w:rsidRPr="004008E1">
        <w:rPr>
          <w:rFonts w:ascii="Calibri" w:hAnsi="Calibri" w:cs="Times New Roman"/>
          <w:sz w:val="22"/>
          <w:szCs w:val="22"/>
          <w:lang w:val="en-GB"/>
        </w:rPr>
        <w:t xml:space="preserve"> Health projects are more often included in the NAPAs and they typically address current disease (e.g. malaria) control issues.</w:t>
      </w:r>
      <w:r w:rsidR="00E13392" w:rsidRPr="004008E1">
        <w:rPr>
          <w:rFonts w:ascii="Calibri" w:hAnsi="Calibri" w:cs="Times New Roman"/>
          <w:sz w:val="22"/>
          <w:szCs w:val="22"/>
          <w:lang w:val="en-GB"/>
        </w:rPr>
        <w:fldChar w:fldCharType="begin"/>
      </w:r>
      <w:r w:rsidR="00723833">
        <w:rPr>
          <w:rFonts w:ascii="Calibri" w:hAnsi="Calibri" w:cs="Times New Roman"/>
          <w:sz w:val="22"/>
          <w:szCs w:val="22"/>
          <w:lang w:val="en-GB"/>
        </w:rPr>
        <w:instrText xml:space="preserve"> ADDIN EN.CITE &lt;EndNote&gt;&lt;Cite&gt;&lt;Author&gt;Parry&lt;/Author&gt;&lt;Year&gt;2009&lt;/Year&gt;&lt;RecNum&gt;971&lt;/RecNum&gt;&lt;DisplayText&gt;&lt;style face="superscript"&gt;168&lt;/style&gt;&lt;/DisplayText&gt;&lt;record&gt;&lt;rec-number&gt;971&lt;/rec-number&gt;&lt;foreign-keys&gt;&lt;key app="EN" db-id="wtftd20rmszxx0ettxy5exwdf90wv22s2dsf" timestamp="1419212983"&gt;971&lt;/key&gt;&lt;/foreign-keys&gt;&lt;ref-type name="Report"&gt;27&lt;/ref-type&gt;&lt;contributors&gt;&lt;authors&gt;&lt;author&gt;Parry, M.&lt;/author&gt;&lt;author&gt;Arnell,N.&lt;/author&gt;&lt;author&gt;Berry, P.&lt;/author&gt;&lt;author&gt;Dodman, D.&lt;/author&gt;&lt;author&gt;Fankhauser, S.&lt;/author&gt;&lt;author&gt;Hope, C.&lt;/author&gt;&lt;author&gt;Kovats, S.&lt;/author&gt;&lt;author&gt;Nicholls, R.&lt;/author&gt;&lt;author&gt;Satterthwaite, D.&lt;/author&gt;&lt;author&gt;Tiffin, R.&lt;/author&gt;&lt;author&gt;Wheeler, T.&lt;/author&gt;&lt;/authors&gt;&lt;/contributors&gt;&lt;titles&gt;&lt;title&gt;Assessing the Costs of Adaptation to Climate Change: A Review of the UNFCCC and Other Recent Estimates&lt;/title&gt;&lt;/titles&gt;&lt;dates&gt;&lt;year&gt;2009&lt;/year&gt;&lt;/dates&gt;&lt;pub-location&gt;London&lt;/pub-location&gt;&lt;publisher&gt;Imperial College London and International Institute for Environment and Development&lt;/publisher&gt;&lt;urls&gt;&lt;/urls&gt;&lt;/record&gt;&lt;/Cite&gt;&lt;/EndNote&gt;</w:instrText>
      </w:r>
      <w:r w:rsidR="00E13392" w:rsidRPr="004008E1">
        <w:rPr>
          <w:rFonts w:ascii="Calibri" w:hAnsi="Calibri" w:cs="Times New Roman"/>
          <w:sz w:val="22"/>
          <w:szCs w:val="22"/>
          <w:lang w:val="en-GB"/>
        </w:rPr>
        <w:fldChar w:fldCharType="separate"/>
      </w:r>
      <w:r w:rsidR="00723833" w:rsidRPr="00723833">
        <w:rPr>
          <w:rFonts w:ascii="Calibri" w:hAnsi="Calibri" w:cs="Times New Roman"/>
          <w:noProof/>
          <w:sz w:val="22"/>
          <w:szCs w:val="22"/>
          <w:vertAlign w:val="superscript"/>
          <w:lang w:val="en-GB"/>
        </w:rPr>
        <w:t>168</w:t>
      </w:r>
      <w:r w:rsidR="00E13392" w:rsidRPr="004008E1">
        <w:rPr>
          <w:rFonts w:ascii="Calibri" w:hAnsi="Calibri" w:cs="Times New Roman"/>
          <w:sz w:val="22"/>
          <w:szCs w:val="22"/>
          <w:lang w:val="en-GB"/>
        </w:rPr>
        <w:fldChar w:fldCharType="end"/>
      </w:r>
      <w:r w:rsidR="009F3C0D" w:rsidRPr="004008E1">
        <w:rPr>
          <w:rFonts w:ascii="Calibri" w:hAnsi="Calibri" w:cs="Times New Roman"/>
          <w:sz w:val="22"/>
          <w:szCs w:val="22"/>
          <w:lang w:val="en-GB"/>
        </w:rPr>
        <w:t xml:space="preserve"> </w:t>
      </w:r>
      <w:r w:rsidR="00723833">
        <w:rPr>
          <w:rFonts w:ascii="Calibri" w:hAnsi="Calibri" w:cs="Times New Roman"/>
          <w:sz w:val="22"/>
          <w:szCs w:val="22"/>
          <w:lang w:val="en-GB"/>
        </w:rPr>
        <w:t xml:space="preserve">To this end, there is a need to provide ongoing assessment of the </w:t>
      </w:r>
      <w:r w:rsidRPr="004B2349">
        <w:rPr>
          <w:rFonts w:ascii="Calibri" w:hAnsi="Calibri" w:cs="Times New Roman"/>
          <w:sz w:val="22"/>
          <w:szCs w:val="22"/>
          <w:lang w:val="en-GB"/>
        </w:rPr>
        <w:t>number of countries that integrate health aspects in their National Adaptation Programme of Action (NAPA)</w:t>
      </w:r>
      <w:r w:rsidR="00723833">
        <w:rPr>
          <w:rFonts w:ascii="Calibri" w:hAnsi="Calibri" w:cs="Times New Roman"/>
          <w:sz w:val="22"/>
          <w:szCs w:val="22"/>
          <w:lang w:val="en-GB"/>
        </w:rPr>
        <w:t>, as well as the extent to which health is integrated</w:t>
      </w:r>
      <w:r w:rsidRPr="004B2349">
        <w:rPr>
          <w:rFonts w:ascii="Calibri" w:hAnsi="Calibri" w:cs="Times New Roman"/>
          <w:sz w:val="22"/>
          <w:szCs w:val="22"/>
          <w:lang w:val="en-GB"/>
        </w:rPr>
        <w:t>. This indicator should</w:t>
      </w:r>
      <w:r w:rsidR="009F3C0D" w:rsidRPr="004B2349">
        <w:rPr>
          <w:rFonts w:ascii="Calibri" w:hAnsi="Calibri" w:cs="Times New Roman"/>
          <w:sz w:val="22"/>
          <w:szCs w:val="22"/>
          <w:lang w:val="en-GB"/>
        </w:rPr>
        <w:t xml:space="preserve"> assess adaptation for both direct and indirect health impacts</w:t>
      </w:r>
      <w:r w:rsidRPr="004B2349">
        <w:rPr>
          <w:rFonts w:ascii="Calibri" w:hAnsi="Calibri" w:cs="Times New Roman"/>
          <w:sz w:val="22"/>
          <w:szCs w:val="22"/>
          <w:lang w:val="en-GB"/>
        </w:rPr>
        <w:t>.</w:t>
      </w:r>
    </w:p>
    <w:p w:rsidR="00FB601E" w:rsidRPr="004B2349" w:rsidRDefault="00FB601E" w:rsidP="00FB601E">
      <w:pPr>
        <w:jc w:val="both"/>
        <w:rPr>
          <w:rFonts w:ascii="Calibri" w:hAnsi="Calibri" w:cs="Times New Roman"/>
          <w:i/>
          <w:sz w:val="22"/>
          <w:szCs w:val="22"/>
          <w:lang w:val="en-GB"/>
        </w:rPr>
      </w:pPr>
    </w:p>
    <w:p w:rsidR="00FB601E" w:rsidRPr="004B2349" w:rsidRDefault="00FB601E" w:rsidP="00FB601E">
      <w:pPr>
        <w:jc w:val="both"/>
        <w:rPr>
          <w:rFonts w:ascii="Calibri" w:hAnsi="Calibri"/>
          <w:sz w:val="22"/>
          <w:szCs w:val="22"/>
          <w:lang w:val="en-GB"/>
        </w:rPr>
      </w:pPr>
      <w:r w:rsidRPr="004B2349">
        <w:rPr>
          <w:rFonts w:ascii="Calibri" w:hAnsi="Calibri" w:cs="Times New Roman"/>
          <w:i/>
          <w:sz w:val="22"/>
          <w:szCs w:val="22"/>
          <w:lang w:val="en-GB"/>
        </w:rPr>
        <w:t>2. Early warning systems</w:t>
      </w:r>
    </w:p>
    <w:p w:rsidR="00FB601E" w:rsidRPr="004B2349" w:rsidRDefault="00FB601E" w:rsidP="00FB601E">
      <w:pPr>
        <w:jc w:val="both"/>
        <w:rPr>
          <w:rFonts w:ascii="Calibri" w:hAnsi="Calibri"/>
          <w:sz w:val="22"/>
          <w:szCs w:val="22"/>
          <w:lang w:val="en-GB"/>
        </w:rPr>
      </w:pPr>
      <w:r w:rsidRPr="004B2349">
        <w:rPr>
          <w:rFonts w:ascii="Calibri" w:hAnsi="Calibri" w:cs="Times New Roman"/>
          <w:sz w:val="22"/>
          <w:szCs w:val="22"/>
          <w:lang w:val="en-GB"/>
        </w:rPr>
        <w:lastRenderedPageBreak/>
        <w:t xml:space="preserve">This indicator should include the number of countries that have upgraded early warning systems for a) extreme weather events; b) climate change sensitive diseases; c) food security; d) migration movements. Early warning systems have proved to be a critical and co-beneficial investment and – if matched with response capacities – could help societies adapt more promptly to changing circumstances that affect human health. </w:t>
      </w:r>
    </w:p>
    <w:p w:rsidR="00FB601E" w:rsidRPr="004B2349" w:rsidRDefault="00FB601E" w:rsidP="00FB601E">
      <w:pPr>
        <w:jc w:val="both"/>
        <w:rPr>
          <w:rFonts w:ascii="Calibri" w:hAnsi="Calibri" w:cs="Times New Roman"/>
          <w:i/>
          <w:sz w:val="22"/>
          <w:szCs w:val="22"/>
          <w:lang w:val="en-GB"/>
        </w:rPr>
      </w:pPr>
    </w:p>
    <w:p w:rsidR="00FB601E" w:rsidRPr="004B2349" w:rsidRDefault="00FB601E" w:rsidP="00FB601E">
      <w:pPr>
        <w:jc w:val="both"/>
        <w:rPr>
          <w:rFonts w:ascii="Calibri" w:hAnsi="Calibri"/>
          <w:sz w:val="22"/>
          <w:szCs w:val="22"/>
          <w:lang w:val="en-GB"/>
        </w:rPr>
      </w:pPr>
      <w:r w:rsidRPr="004B2349">
        <w:rPr>
          <w:rFonts w:ascii="Calibri" w:hAnsi="Calibri" w:cs="Times New Roman"/>
          <w:i/>
          <w:sz w:val="22"/>
          <w:szCs w:val="22"/>
          <w:lang w:val="en-GB"/>
        </w:rPr>
        <w:t>3. Ecosystem based adaptation</w:t>
      </w:r>
    </w:p>
    <w:p w:rsidR="00FB601E" w:rsidRPr="004B2349" w:rsidRDefault="00FB601E" w:rsidP="00FB601E">
      <w:pPr>
        <w:jc w:val="both"/>
        <w:rPr>
          <w:rFonts w:ascii="Calibri" w:hAnsi="Calibri" w:cs="Times New Roman"/>
          <w:b/>
          <w:sz w:val="22"/>
          <w:szCs w:val="22"/>
          <w:lang w:val="en-GB"/>
        </w:rPr>
      </w:pPr>
      <w:r w:rsidRPr="004B2349">
        <w:rPr>
          <w:rFonts w:ascii="Calibri" w:hAnsi="Calibri" w:cs="Times New Roman"/>
          <w:sz w:val="22"/>
          <w:szCs w:val="22"/>
          <w:lang w:val="en-GB"/>
        </w:rPr>
        <w:t xml:space="preserve">Investments in ecosystem based adaptation for both direct (e.g. flood risk) and indirect (e.g. food security, disease mitigation) health impacts could create multiple co-benefits and provide no-regret options for several of the indirect effects discussed above. </w:t>
      </w:r>
    </w:p>
    <w:p w:rsidR="00FB601E" w:rsidRPr="004008E1" w:rsidRDefault="00FB601E" w:rsidP="00FB601E">
      <w:pPr>
        <w:rPr>
          <w:rFonts w:ascii="Calibri" w:hAnsi="Calibri" w:cs="Times New Roman"/>
          <w:sz w:val="22"/>
          <w:lang w:val="en-GB"/>
        </w:rPr>
      </w:pPr>
    </w:p>
    <w:p w:rsidR="00FB601E" w:rsidRPr="004008E1" w:rsidRDefault="00FB601E" w:rsidP="00FB601E">
      <w:pPr>
        <w:pStyle w:val="Heading2"/>
        <w:rPr>
          <w:lang w:val="en-GB"/>
        </w:rPr>
      </w:pPr>
      <w:bookmarkStart w:id="82" w:name="_Toc415931388"/>
      <w:bookmarkStart w:id="83" w:name="_Toc417502053"/>
      <w:r w:rsidRPr="004008E1">
        <w:rPr>
          <w:lang w:val="en-GB"/>
        </w:rPr>
        <w:t>Conclusion</w:t>
      </w:r>
      <w:bookmarkEnd w:id="82"/>
      <w:bookmarkEnd w:id="83"/>
    </w:p>
    <w:p w:rsidR="00FB601E" w:rsidRPr="004B2349" w:rsidRDefault="00FB601E" w:rsidP="00FB601E">
      <w:pPr>
        <w:jc w:val="both"/>
        <w:rPr>
          <w:rFonts w:ascii="Calibri" w:hAnsi="Calibri" w:cs="Times New Roman"/>
          <w:sz w:val="22"/>
          <w:lang w:val="en-GB"/>
        </w:rPr>
      </w:pPr>
      <w:r w:rsidRPr="00B50254">
        <w:rPr>
          <w:rFonts w:ascii="Calibri" w:hAnsi="Calibri" w:cs="Times New Roman"/>
          <w:sz w:val="22"/>
          <w:lang w:val="en-GB"/>
        </w:rPr>
        <w:t xml:space="preserve">This Section has outlined interventions available to enhance community resilience and adapt to the health effects of climate </w:t>
      </w:r>
      <w:r w:rsidRPr="004B2349">
        <w:rPr>
          <w:rFonts w:ascii="Calibri" w:hAnsi="Calibri" w:cs="Times New Roman"/>
          <w:sz w:val="22"/>
          <w:lang w:val="en-GB"/>
        </w:rPr>
        <w:t xml:space="preserve">change. Many of these are no-regret options that could provide co-benefits across several dimensions including food security, disease prevention and sustainability in general. </w:t>
      </w:r>
      <w:r w:rsidR="009F3C0D" w:rsidRPr="004B2349">
        <w:rPr>
          <w:rFonts w:ascii="Calibri" w:hAnsi="Calibri" w:cs="Times New Roman"/>
          <w:sz w:val="22"/>
          <w:lang w:val="en-GB"/>
        </w:rPr>
        <w:t>A</w:t>
      </w:r>
      <w:r w:rsidRPr="004B2349">
        <w:rPr>
          <w:rFonts w:ascii="Calibri" w:hAnsi="Calibri" w:cs="Times New Roman"/>
          <w:sz w:val="22"/>
          <w:lang w:val="en-GB"/>
        </w:rPr>
        <w:t>daptation will provide both short-term and long-term benefits beyond human health. Effective adaptation requires institutional collaboration across levels, integrated approaches, appropriate long term funding, and institutions flexible enough to cope with changing circumstances and surprise.</w:t>
      </w:r>
    </w:p>
    <w:p w:rsidR="00FB601E" w:rsidRPr="004B2349" w:rsidRDefault="00FB601E" w:rsidP="00FB601E">
      <w:pPr>
        <w:jc w:val="both"/>
        <w:rPr>
          <w:rFonts w:ascii="Calibri" w:hAnsi="Calibri" w:cs="Times New Roman"/>
          <w:sz w:val="22"/>
          <w:lang w:val="en-GB"/>
        </w:rPr>
      </w:pPr>
    </w:p>
    <w:p w:rsidR="00533226" w:rsidRPr="004B2349" w:rsidRDefault="000942AB" w:rsidP="00FB601E">
      <w:pPr>
        <w:jc w:val="both"/>
        <w:rPr>
          <w:rFonts w:ascii="Calibri" w:hAnsi="Calibri" w:cs="Times New Roman"/>
          <w:sz w:val="22"/>
          <w:lang w:val="en-GB"/>
        </w:rPr>
      </w:pPr>
      <w:r>
        <w:rPr>
          <w:rFonts w:ascii="Calibri" w:hAnsi="Calibri" w:cs="Times New Roman"/>
          <w:sz w:val="22"/>
          <w:lang w:val="en-GB"/>
        </w:rPr>
        <w:t>U</w:t>
      </w:r>
      <w:r w:rsidR="00FB601E" w:rsidRPr="004B2349">
        <w:rPr>
          <w:rFonts w:ascii="Calibri" w:hAnsi="Calibri" w:cs="Times New Roman"/>
          <w:sz w:val="22"/>
          <w:lang w:val="en-GB"/>
        </w:rPr>
        <w:t xml:space="preserve">rgent mitigation efforts </w:t>
      </w:r>
      <w:r w:rsidR="004F1FA5">
        <w:rPr>
          <w:rFonts w:ascii="Calibri" w:hAnsi="Calibri" w:cs="Times New Roman"/>
          <w:sz w:val="22"/>
          <w:lang w:val="en-GB"/>
        </w:rPr>
        <w:t xml:space="preserve">must </w:t>
      </w:r>
      <w:r w:rsidR="00FB601E" w:rsidRPr="004B2349">
        <w:rPr>
          <w:rFonts w:ascii="Calibri" w:hAnsi="Calibri" w:cs="Times New Roman"/>
          <w:sz w:val="22"/>
          <w:lang w:val="en-GB"/>
        </w:rPr>
        <w:t>accompany the recommendations provided in Section 2</w:t>
      </w:r>
      <w:r w:rsidR="004F1FA5">
        <w:rPr>
          <w:rFonts w:ascii="Calibri" w:hAnsi="Calibri" w:cs="Times New Roman"/>
          <w:sz w:val="22"/>
          <w:lang w:val="en-GB"/>
        </w:rPr>
        <w:t xml:space="preserve">, a subject covered in </w:t>
      </w:r>
      <w:r w:rsidR="00FB601E" w:rsidRPr="004B2349">
        <w:rPr>
          <w:rFonts w:ascii="Calibri" w:hAnsi="Calibri" w:cs="Times New Roman"/>
          <w:sz w:val="22"/>
          <w:lang w:val="en-GB"/>
        </w:rPr>
        <w:t>Section 3 of this Commission.</w:t>
      </w:r>
      <w:r w:rsidR="00FB601E" w:rsidRPr="004B2349" w:rsidDel="005213D1">
        <w:rPr>
          <w:rFonts w:ascii="Calibri" w:hAnsi="Calibri" w:cs="Times New Roman"/>
          <w:sz w:val="22"/>
          <w:lang w:val="en-GB"/>
        </w:rPr>
        <w:t xml:space="preserve"> </w:t>
      </w:r>
    </w:p>
    <w:p w:rsidR="00F27BD7" w:rsidRPr="004B2349" w:rsidRDefault="00F27BD7">
      <w:pPr>
        <w:spacing w:after="160" w:line="259" w:lineRule="auto"/>
        <w:rPr>
          <w:rFonts w:ascii="Calibri" w:hAnsi="Calibri" w:cs="Times New Roman"/>
          <w:sz w:val="22"/>
          <w:lang w:val="en-GB"/>
        </w:rPr>
      </w:pPr>
      <w:r w:rsidRPr="004B2349">
        <w:rPr>
          <w:rFonts w:ascii="Calibri" w:hAnsi="Calibri" w:cs="Times New Roman"/>
          <w:sz w:val="22"/>
          <w:lang w:val="en-GB"/>
        </w:rPr>
        <w:br w:type="page"/>
      </w:r>
    </w:p>
    <w:p w:rsidR="00F27BD7" w:rsidRPr="004B2349" w:rsidRDefault="00024E43" w:rsidP="00F27BD7">
      <w:pPr>
        <w:pStyle w:val="Heading1"/>
        <w:rPr>
          <w:lang w:val="en-GB"/>
        </w:rPr>
      </w:pPr>
      <w:bookmarkStart w:id="84" w:name="_Toc402956376"/>
      <w:bookmarkStart w:id="85" w:name="_Toc415931389"/>
      <w:bookmarkStart w:id="86" w:name="_Toc417502054"/>
      <w:r w:rsidRPr="004B2349">
        <w:rPr>
          <w:lang w:val="en-GB"/>
        </w:rPr>
        <w:lastRenderedPageBreak/>
        <w:t xml:space="preserve">Section </w:t>
      </w:r>
      <w:r w:rsidR="00F27BD7" w:rsidRPr="004B2349">
        <w:rPr>
          <w:lang w:val="en-GB"/>
        </w:rPr>
        <w:t>3: Transition to a Low-Carbon Energy Infrastructure</w:t>
      </w:r>
      <w:bookmarkEnd w:id="84"/>
      <w:bookmarkEnd w:id="85"/>
      <w:bookmarkEnd w:id="86"/>
    </w:p>
    <w:p w:rsidR="00F27BD7" w:rsidRPr="004B2349" w:rsidRDefault="00F27BD7" w:rsidP="00F27BD7">
      <w:pPr>
        <w:jc w:val="both"/>
        <w:rPr>
          <w:rFonts w:ascii="Calibri" w:hAnsi="Calibri"/>
          <w:lang w:val="en-GB"/>
        </w:rPr>
      </w:pPr>
    </w:p>
    <w:p w:rsidR="00F27BD7" w:rsidRPr="00D036C9" w:rsidRDefault="00F27BD7" w:rsidP="00D036C9">
      <w:pPr>
        <w:pStyle w:val="Heading2"/>
        <w:rPr>
          <w:lang w:val="en-GB"/>
        </w:rPr>
      </w:pPr>
      <w:bookmarkStart w:id="87" w:name="_Toc402956377"/>
      <w:bookmarkStart w:id="88" w:name="_Toc415931390"/>
      <w:bookmarkStart w:id="89" w:name="_Toc417502055"/>
      <w:r w:rsidRPr="004B2349">
        <w:rPr>
          <w:lang w:val="en-GB"/>
        </w:rPr>
        <w:t>Introduction</w:t>
      </w:r>
      <w:bookmarkEnd w:id="87"/>
      <w:bookmarkEnd w:id="88"/>
      <w:bookmarkEnd w:id="89"/>
    </w:p>
    <w:p w:rsidR="00B80CE0" w:rsidRPr="004B2349" w:rsidRDefault="00B80CE0" w:rsidP="00B80CE0">
      <w:pPr>
        <w:jc w:val="both"/>
        <w:rPr>
          <w:rFonts w:ascii="Calibri" w:hAnsi="Calibri" w:cs="Times New Roman"/>
          <w:sz w:val="22"/>
          <w:lang w:val="en-GB"/>
        </w:rPr>
      </w:pPr>
      <w:r w:rsidRPr="004B2349">
        <w:rPr>
          <w:rFonts w:ascii="Calibri" w:hAnsi="Calibri" w:cs="Times New Roman"/>
          <w:sz w:val="22"/>
          <w:lang w:val="en-GB"/>
        </w:rPr>
        <w:t>It is technically feasible to transition to a Low-Carbon Infrastructure with new technologies, the use of alternate materials, changing patterns of demand, and by creating additional sinks for GHG’s. This requires challenging the deeply entrenched use of fossil fuels.  Any significant deployment to meet demanding CO</w:t>
      </w:r>
      <w:r w:rsidRPr="000E6723">
        <w:rPr>
          <w:rFonts w:ascii="Calibri" w:hAnsi="Calibri" w:cs="Times New Roman"/>
          <w:sz w:val="22"/>
          <w:vertAlign w:val="subscript"/>
          <w:lang w:val="en-GB"/>
        </w:rPr>
        <w:t>2</w:t>
      </w:r>
      <w:r w:rsidRPr="004B2349">
        <w:rPr>
          <w:rFonts w:ascii="Calibri" w:hAnsi="Calibri" w:cs="Times New Roman"/>
          <w:sz w:val="22"/>
          <w:lang w:val="en-GB"/>
        </w:rPr>
        <w:t xml:space="preserve"> targets will require the reduction of costs of mitigation options, carbon pricing, improvement in the research and development process and the implementation of policies and regulations to act as enabling mechanisms, as well as recognition of the strong near-term and long-term co-benefits to health.  </w:t>
      </w:r>
    </w:p>
    <w:p w:rsidR="00B80CE0" w:rsidRPr="004B2349" w:rsidRDefault="00B80CE0" w:rsidP="00B80CE0">
      <w:pPr>
        <w:jc w:val="both"/>
        <w:rPr>
          <w:rFonts w:ascii="Calibri" w:hAnsi="Calibri" w:cs="Times New Roman"/>
          <w:sz w:val="22"/>
          <w:lang w:val="en-GB"/>
        </w:rPr>
      </w:pPr>
    </w:p>
    <w:p w:rsidR="0082008A" w:rsidRDefault="00B80CE0" w:rsidP="00B80CE0">
      <w:pPr>
        <w:jc w:val="both"/>
        <w:rPr>
          <w:rFonts w:ascii="Calibri" w:hAnsi="Calibri" w:cs="Times New Roman"/>
          <w:sz w:val="22"/>
          <w:lang w:val="en-GB"/>
        </w:rPr>
      </w:pPr>
      <w:r w:rsidRPr="004B2349">
        <w:rPr>
          <w:rFonts w:ascii="Calibri" w:hAnsi="Calibri" w:cs="Times New Roman"/>
          <w:sz w:val="22"/>
          <w:lang w:val="en-GB"/>
        </w:rPr>
        <w:t>The technologies for reducing GHG emissions related to energy and many energy-related end-uses have been in existence for at least 40 years (Table 4.1), and several key technologies have their roots deep in the 19</w:t>
      </w:r>
      <w:r w:rsidRPr="004B2349">
        <w:rPr>
          <w:rFonts w:ascii="Calibri" w:hAnsi="Calibri" w:cs="Times New Roman"/>
          <w:sz w:val="22"/>
          <w:vertAlign w:val="superscript"/>
          <w:lang w:val="en-GB"/>
        </w:rPr>
        <w:t>th</w:t>
      </w:r>
      <w:r w:rsidRPr="004B2349">
        <w:rPr>
          <w:rFonts w:ascii="Calibri" w:hAnsi="Calibri" w:cs="Times New Roman"/>
          <w:sz w:val="22"/>
          <w:lang w:val="en-GB"/>
        </w:rPr>
        <w:t xml:space="preserve"> Century. The technologies are available now. We have a reasonable grasp of their performance, economics and side effects (unintended impacts). They treat the causes of the problem (i.e. fossil fuel GHG emissions) rather than the symptoms (climate change). Other technologies, such as those described under ‘geo-engineering’ have a high degree of uncertainty as to their effectiveness and also their side effects.  We view these technologies as being highly risky but also (at this time) unnecessary, as we have the tools needed to achieve emission targets to avoid catastrophic climate change.  Geo-engineering is analogous to using un-licen</w:t>
      </w:r>
      <w:r w:rsidR="00CA0E58" w:rsidRPr="004B2349">
        <w:rPr>
          <w:rFonts w:ascii="Calibri" w:hAnsi="Calibri" w:cs="Times New Roman"/>
          <w:sz w:val="22"/>
          <w:lang w:val="en-GB"/>
        </w:rPr>
        <w:t>s</w:t>
      </w:r>
      <w:r w:rsidRPr="004B2349">
        <w:rPr>
          <w:rFonts w:ascii="Calibri" w:hAnsi="Calibri" w:cs="Times New Roman"/>
          <w:sz w:val="22"/>
          <w:lang w:val="en-GB"/>
        </w:rPr>
        <w:t>ed drugs to treat Ebola when public health and hygiene could have prevented the problem in the first place.</w:t>
      </w:r>
      <w:r w:rsidR="0082008A">
        <w:rPr>
          <w:rFonts w:ascii="Calibri" w:hAnsi="Calibri" w:cs="Times New Roman"/>
          <w:sz w:val="22"/>
          <w:lang w:val="en-GB"/>
        </w:rPr>
        <w:t xml:space="preserve"> It is also important to recognise that for an energy source to be renewable, it must satisfy a low-carbon requirement, and consider the use of scarce resources such as copper, silicon and rare earth metals.</w:t>
      </w:r>
    </w:p>
    <w:p w:rsidR="00E219B1" w:rsidRPr="006B3566" w:rsidRDefault="000E6723" w:rsidP="00B80CE0">
      <w:pPr>
        <w:jc w:val="both"/>
        <w:rPr>
          <w:rFonts w:ascii="Calibri" w:hAnsi="Calibri" w:cs="Times New Roman"/>
          <w:sz w:val="22"/>
          <w:lang w:val="en-GB"/>
        </w:rPr>
      </w:pPr>
      <w:r>
        <w:rPr>
          <w:rFonts w:ascii="Calibri" w:hAnsi="Calibri" w:cs="Times New Roman"/>
          <w:sz w:val="22"/>
          <w:lang w:val="en-GB"/>
        </w:rPr>
        <w:t>Public health has much to gain from the mitigation of Short Lived Climate Pollutants (SLCPs) such as methane, black carbon, hydrofluorocarbons, and tropospheric ozone. The benefits for health, climate change, and crop yields are covered in great detail in a report by the World Health Organization and the Climate and Clean Air Coalition.</w:t>
      </w:r>
      <w:r w:rsidR="00E13392">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&lt;EndNote&gt;&lt;Cite&gt;&lt;Author&gt;Scovronick&lt;/Author&gt;&lt;Year&gt;2015&lt;/Year&gt;&lt;RecNum&gt;1579&lt;/RecNum&gt;&lt;DisplayText&gt;&lt;style face="superscript"&gt;194&lt;/style&gt;&lt;/DisplayText&gt;&lt;record&gt;&lt;rec-number&gt;1579&lt;/rec-number&gt;&lt;foreign-keys&gt;&lt;key app="EN" db-id="wtftd20rmszxx0ettxy5exwdf90wv22s2dsf" timestamp="1428163707"&gt;1579&lt;/key&gt;&lt;/foreign-keys&gt;&lt;ref-type name="Report"&gt;27&lt;/ref-type&gt;&lt;contributors&gt;&lt;authors&gt;&lt;author&gt;Noah Scovronick&lt;/author&gt;&lt;author&gt;Heather Adair-Rohani&lt;/author&gt;&lt;author&gt;Nathan Borgford-Parnell&lt;/author&gt;&lt;author&gt;Michael Brauer&lt;/author&gt;&lt;author&gt;Andy Haines&lt;/author&gt;&lt;author&gt;Jonathan Patz&lt;/author&gt;&lt;author&gt;Annette Prüss-Ustün&lt;/author&gt;&lt;author&gt;Veerabhadran Ramanathan&lt;/author&gt;&lt;/authors&gt;&lt;/contributors&gt;&lt;titles&gt;&lt;title&gt;Reducing Global Health Risks Through Mitigation of Short-Lived Climate Pollutants: Scoping Report For Policymakers&lt;/title&gt;&lt;/titles&gt;&lt;dates&gt;&lt;year&gt;2015&lt;/year&gt;&lt;/dates&gt;&lt;pub-location&gt;Geneva&lt;/pub-location&gt;&lt;publisher&gt;World Health Organization &amp;amp; Climate and Clean Air Coalition&lt;/publisher&gt;&lt;urls&gt;&lt;/urls&gt;&lt;/record&gt;&lt;/Cite&gt;&lt;/EndNote&gt;</w:instrText>
      </w:r>
      <w:r w:rsidR="00E13392">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194</w:t>
      </w:r>
      <w:r w:rsidR="00E13392">
        <w:rPr>
          <w:rFonts w:ascii="Calibri" w:hAnsi="Calibri" w:cs="Times New Roman"/>
          <w:sz w:val="22"/>
          <w:lang w:val="en-GB"/>
        </w:rPr>
        <w:fldChar w:fldCharType="end"/>
      </w:r>
      <w:r>
        <w:rPr>
          <w:rFonts w:ascii="Calibri" w:hAnsi="Calibri" w:cs="Times New Roman"/>
          <w:sz w:val="22"/>
          <w:lang w:val="en-GB"/>
        </w:rPr>
        <w:t xml:space="preserve"> </w:t>
      </w:r>
    </w:p>
    <w:p w:rsidR="00F27BD7" w:rsidRDefault="00F27BD7" w:rsidP="00F27BD7">
      <w:pPr>
        <w:spacing w:after="120"/>
        <w:rPr>
          <w:rFonts w:ascii="Calibri" w:hAnsi="Calibri"/>
          <w:lang w:val="en-GB"/>
        </w:rPr>
      </w:pPr>
    </w:p>
    <w:p w:rsidR="00D022A9" w:rsidRPr="00D022A9" w:rsidRDefault="00D022A9" w:rsidP="00D022A9">
      <w:pPr>
        <w:spacing w:after="120" w:line="259" w:lineRule="auto"/>
        <w:rPr>
          <w:rFonts w:ascii="Calibri" w:eastAsiaTheme="minorHAnsi" w:hAnsi="Calibri" w:cs="Palatino"/>
          <w:sz w:val="20"/>
          <w:szCs w:val="20"/>
          <w:lang w:val="en-GB" w:eastAsia="en-US"/>
        </w:rPr>
      </w:pPr>
      <w:bookmarkStart w:id="90" w:name="_Toc402956378"/>
      <w:r w:rsidRPr="00D022A9">
        <w:rPr>
          <w:rFonts w:ascii="Calibri" w:eastAsiaTheme="minorHAnsi" w:hAnsi="Calibri" w:cs="Palatino"/>
          <w:i/>
          <w:sz w:val="20"/>
          <w:szCs w:val="20"/>
          <w:lang w:val="en-GB" w:eastAsia="en-US"/>
        </w:rPr>
        <w:t>Table 4.1:</w:t>
      </w:r>
      <w:r w:rsidRPr="00D022A9">
        <w:rPr>
          <w:rFonts w:ascii="Calibri" w:eastAsiaTheme="minorHAnsi" w:hAnsi="Calibri" w:cs="Palatino"/>
          <w:sz w:val="20"/>
          <w:szCs w:val="20"/>
          <w:lang w:val="en-GB" w:eastAsia="en-US"/>
        </w:rPr>
        <w:t xml:space="preserve"> List of high-impact technologies for climate mitigation</w:t>
      </w:r>
    </w:p>
    <w:tbl>
      <w:tblPr>
        <w:tblStyle w:val="TableGrid11"/>
        <w:tblW w:w="5125" w:type="pct"/>
        <w:tblInd w:w="-113" w:type="dxa"/>
        <w:tblLook w:val="04A0" w:firstRow="1" w:lastRow="0" w:firstColumn="1" w:lastColumn="0" w:noHBand="0" w:noVBand="1"/>
      </w:tblPr>
      <w:tblGrid>
        <w:gridCol w:w="2069"/>
        <w:gridCol w:w="3554"/>
        <w:gridCol w:w="3850"/>
      </w:tblGrid>
      <w:tr w:rsidR="00D022A9" w:rsidRPr="00D022A9" w:rsidTr="00FE56B7">
        <w:tc>
          <w:tcPr>
            <w:tcW w:w="1092" w:type="pct"/>
          </w:tcPr>
          <w:p w:rsidR="00D022A9" w:rsidRPr="00D022A9" w:rsidRDefault="00D022A9" w:rsidP="00D022A9">
            <w:pPr>
              <w:rPr>
                <w:rFonts w:eastAsiaTheme="minorHAnsi"/>
                <w:b/>
                <w:sz w:val="16"/>
                <w:szCs w:val="16"/>
                <w:lang w:eastAsia="en-US"/>
              </w:rPr>
            </w:pPr>
            <w:r w:rsidRPr="00D022A9">
              <w:rPr>
                <w:rFonts w:eastAsiaTheme="minorHAnsi"/>
                <w:b/>
                <w:sz w:val="16"/>
                <w:szCs w:val="16"/>
                <w:lang w:eastAsia="en-US"/>
              </w:rPr>
              <w:t>Pathways</w:t>
            </w:r>
          </w:p>
        </w:tc>
        <w:tc>
          <w:tcPr>
            <w:tcW w:w="1876" w:type="pct"/>
          </w:tcPr>
          <w:p w:rsidR="00D022A9" w:rsidRPr="00D022A9" w:rsidRDefault="00D022A9" w:rsidP="00D022A9">
            <w:pPr>
              <w:rPr>
                <w:rFonts w:eastAsiaTheme="minorHAnsi"/>
                <w:b/>
                <w:sz w:val="16"/>
                <w:szCs w:val="16"/>
                <w:lang w:eastAsia="en-US"/>
              </w:rPr>
            </w:pPr>
            <w:r w:rsidRPr="00D022A9">
              <w:rPr>
                <w:rFonts w:eastAsiaTheme="minorHAnsi"/>
                <w:b/>
                <w:sz w:val="16"/>
                <w:szCs w:val="16"/>
                <w:lang w:eastAsia="en-US"/>
              </w:rPr>
              <w:t>Mitigation technology</w:t>
            </w:r>
          </w:p>
        </w:tc>
        <w:tc>
          <w:tcPr>
            <w:tcW w:w="2032" w:type="pct"/>
          </w:tcPr>
          <w:p w:rsidR="00D022A9" w:rsidRPr="00D022A9" w:rsidRDefault="00D022A9" w:rsidP="00D022A9">
            <w:pPr>
              <w:rPr>
                <w:rFonts w:eastAsiaTheme="minorHAnsi"/>
                <w:b/>
                <w:sz w:val="16"/>
                <w:szCs w:val="16"/>
                <w:lang w:eastAsia="en-US"/>
              </w:rPr>
            </w:pPr>
            <w:r w:rsidRPr="00D022A9">
              <w:rPr>
                <w:rFonts w:eastAsiaTheme="minorHAnsi"/>
                <w:b/>
                <w:sz w:val="16"/>
                <w:szCs w:val="16"/>
                <w:lang w:eastAsia="en-US"/>
              </w:rPr>
              <w:t>Potential mitigation effects</w:t>
            </w:r>
          </w:p>
        </w:tc>
      </w:tr>
      <w:tr w:rsidR="00D022A9" w:rsidRPr="00D022A9" w:rsidTr="00FE56B7">
        <w:tc>
          <w:tcPr>
            <w:tcW w:w="1092" w:type="pct"/>
            <w:vMerge w:val="restart"/>
          </w:tcPr>
          <w:p w:rsidR="00D022A9" w:rsidRPr="00D022A9" w:rsidRDefault="00D022A9" w:rsidP="00D022A9">
            <w:pPr>
              <w:rPr>
                <w:rFonts w:eastAsiaTheme="minorHAnsi"/>
                <w:sz w:val="16"/>
                <w:szCs w:val="16"/>
                <w:lang w:eastAsia="en-US"/>
              </w:rPr>
            </w:pPr>
            <w:r w:rsidRPr="00D022A9">
              <w:rPr>
                <w:rFonts w:eastAsiaTheme="minorHAnsi"/>
                <w:sz w:val="16"/>
                <w:szCs w:val="16"/>
                <w:lang w:eastAsia="en-US"/>
              </w:rPr>
              <w:t>Energy efficiency</w:t>
            </w:r>
          </w:p>
        </w:tc>
        <w:tc>
          <w:tcPr>
            <w:tcW w:w="1876" w:type="pct"/>
          </w:tcPr>
          <w:p w:rsidR="00D022A9" w:rsidRPr="00D022A9" w:rsidRDefault="00D022A9" w:rsidP="00D022A9">
            <w:pPr>
              <w:rPr>
                <w:rFonts w:eastAsiaTheme="minorHAnsi"/>
                <w:i/>
                <w:sz w:val="16"/>
                <w:szCs w:val="16"/>
                <w:lang w:eastAsia="en-US"/>
              </w:rPr>
            </w:pPr>
            <w:r w:rsidRPr="00D022A9">
              <w:rPr>
                <w:rFonts w:eastAsiaTheme="minorHAnsi"/>
                <w:i/>
                <w:sz w:val="16"/>
                <w:szCs w:val="16"/>
                <w:lang w:eastAsia="en-US"/>
              </w:rPr>
              <w:t xml:space="preserve">Supply-side efficiency </w:t>
            </w:r>
          </w:p>
        </w:tc>
        <w:tc>
          <w:tcPr>
            <w:tcW w:w="2032" w:type="pct"/>
          </w:tcPr>
          <w:p w:rsidR="00D022A9" w:rsidRPr="00D022A9" w:rsidRDefault="00D022A9" w:rsidP="00D022A9">
            <w:pPr>
              <w:rPr>
                <w:rFonts w:eastAsiaTheme="minorHAnsi"/>
                <w:lang w:eastAsia="en-US"/>
              </w:rPr>
            </w:pPr>
            <w:r w:rsidRPr="00D022A9">
              <w:rPr>
                <w:rFonts w:ascii="Calibri" w:eastAsiaTheme="minorHAnsi" w:hAnsi="Calibri"/>
                <w:sz w:val="16"/>
                <w:szCs w:val="16"/>
                <w:lang w:val="en-GB" w:eastAsia="en-US"/>
              </w:rPr>
              <w:t>Save 14% of primary energy supply (121 EJ by 2050)</w:t>
            </w:r>
            <w:r w:rsidRPr="00D022A9">
              <w:rPr>
                <w:rFonts w:ascii="Calibri" w:eastAsiaTheme="minorHAnsi" w:hAnsi="Calibri"/>
                <w:sz w:val="16"/>
                <w:szCs w:val="16"/>
                <w:vertAlign w:val="superscript"/>
                <w:lang w:val="en-GB" w:eastAsia="zh-CN"/>
              </w:rPr>
              <w:t>1</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rPr>
                <w:rFonts w:eastAsiaTheme="minorHAnsi"/>
                <w:i/>
                <w:sz w:val="16"/>
                <w:szCs w:val="16"/>
                <w:lang w:eastAsia="en-US"/>
              </w:rPr>
            </w:pPr>
            <w:r w:rsidRPr="00D022A9">
              <w:rPr>
                <w:rFonts w:eastAsiaTheme="minorHAnsi"/>
                <w:i/>
                <w:sz w:val="16"/>
                <w:szCs w:val="16"/>
                <w:lang w:eastAsia="en-US"/>
              </w:rPr>
              <w:t>End-user efficiency</w:t>
            </w:r>
          </w:p>
        </w:tc>
        <w:tc>
          <w:tcPr>
            <w:tcW w:w="2032" w:type="pct"/>
          </w:tcPr>
          <w:p w:rsidR="00D022A9" w:rsidRPr="00D022A9" w:rsidRDefault="00D022A9" w:rsidP="00D022A9">
            <w:pPr>
              <w:rPr>
                <w:rFonts w:ascii="Calibri" w:eastAsiaTheme="minorHAnsi" w:hAnsi="Calibri"/>
                <w:sz w:val="16"/>
                <w:szCs w:val="16"/>
                <w:lang w:val="en-GB" w:eastAsia="en-US"/>
              </w:rPr>
            </w:pPr>
            <w:r w:rsidRPr="00D022A9">
              <w:rPr>
                <w:rFonts w:ascii="Calibri" w:eastAsiaTheme="minorHAnsi" w:hAnsi="Calibri"/>
                <w:sz w:val="16"/>
                <w:szCs w:val="16"/>
                <w:lang w:val="en-GB" w:eastAsia="en-US"/>
              </w:rPr>
              <w:t>1.5 Gt CO</w:t>
            </w:r>
            <w:r w:rsidRPr="00D022A9">
              <w:rPr>
                <w:rFonts w:ascii="Calibri" w:eastAsiaTheme="minorHAnsi" w:hAnsi="Calibri"/>
                <w:sz w:val="16"/>
                <w:szCs w:val="16"/>
                <w:vertAlign w:val="subscript"/>
                <w:lang w:val="en-GB" w:eastAsia="en-US"/>
              </w:rPr>
              <w:t>2</w:t>
            </w:r>
            <w:r w:rsidRPr="00D022A9">
              <w:rPr>
                <w:rFonts w:ascii="Calibri" w:eastAsiaTheme="minorHAnsi" w:hAnsi="Calibri"/>
                <w:sz w:val="16"/>
                <w:szCs w:val="16"/>
                <w:lang w:val="en-GB" w:eastAsia="en-US"/>
              </w:rPr>
              <w:t>-eq in 2020</w:t>
            </w:r>
            <w:r w:rsidRPr="00D022A9">
              <w:rPr>
                <w:rFonts w:ascii="Calibri" w:eastAsiaTheme="minorHAnsi" w:hAnsi="Calibri"/>
                <w:sz w:val="16"/>
                <w:szCs w:val="16"/>
                <w:vertAlign w:val="superscript"/>
                <w:lang w:val="en-GB" w:eastAsia="en-US"/>
              </w:rPr>
              <w:t>2</w:t>
            </w:r>
          </w:p>
        </w:tc>
      </w:tr>
      <w:tr w:rsidR="00D022A9" w:rsidRPr="00D022A9" w:rsidTr="00FE56B7">
        <w:trPr>
          <w:trHeight w:val="59"/>
        </w:trPr>
        <w:tc>
          <w:tcPr>
            <w:tcW w:w="1092" w:type="pct"/>
            <w:vMerge w:val="restart"/>
          </w:tcPr>
          <w:p w:rsidR="00D022A9" w:rsidRPr="00D022A9" w:rsidRDefault="00D022A9" w:rsidP="00D022A9">
            <w:pPr>
              <w:rPr>
                <w:rFonts w:eastAsiaTheme="minorHAnsi"/>
                <w:sz w:val="16"/>
                <w:szCs w:val="16"/>
                <w:lang w:eastAsia="en-US"/>
              </w:rPr>
            </w:pPr>
            <w:r w:rsidRPr="00D022A9">
              <w:rPr>
                <w:rFonts w:eastAsiaTheme="minorHAnsi"/>
                <w:sz w:val="16"/>
                <w:szCs w:val="16"/>
                <w:lang w:eastAsia="en-US"/>
              </w:rPr>
              <w:t>Carbon sequestration</w:t>
            </w:r>
          </w:p>
        </w:tc>
        <w:tc>
          <w:tcPr>
            <w:tcW w:w="3908" w:type="pct"/>
            <w:gridSpan w:val="2"/>
          </w:tcPr>
          <w:p w:rsidR="00D022A9" w:rsidRPr="00D022A9" w:rsidRDefault="00D022A9" w:rsidP="00D022A9">
            <w:pPr>
              <w:rPr>
                <w:rFonts w:eastAsiaTheme="minorHAnsi"/>
                <w:lang w:eastAsia="en-US"/>
              </w:rPr>
            </w:pPr>
            <w:r w:rsidRPr="00D022A9">
              <w:rPr>
                <w:rFonts w:ascii="Calibri" w:eastAsiaTheme="minorHAnsi" w:hAnsi="Calibri"/>
                <w:i/>
                <w:sz w:val="16"/>
                <w:szCs w:val="16"/>
                <w:lang w:val="en-GB" w:eastAsia="en-US"/>
              </w:rPr>
              <w:t>Land c</w:t>
            </w:r>
            <w:r w:rsidRPr="00D022A9">
              <w:rPr>
                <w:rFonts w:ascii="Calibri" w:eastAsiaTheme="minorHAnsi" w:hAnsi="Calibri" w:hint="eastAsia"/>
                <w:i/>
                <w:sz w:val="16"/>
                <w:szCs w:val="16"/>
                <w:lang w:val="en-GB" w:eastAsia="en-US"/>
              </w:rPr>
              <w:t>arbon sequestration</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Afforestation and reforestation</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183 Gt C by 2060</w:t>
            </w:r>
            <w:r w:rsidRPr="00D022A9">
              <w:rPr>
                <w:rFonts w:ascii="Calibri" w:eastAsiaTheme="minorHAnsi" w:hAnsi="Calibri"/>
                <w:sz w:val="16"/>
                <w:szCs w:val="16"/>
                <w:vertAlign w:val="superscript"/>
                <w:lang w:val="en-GB" w:eastAsia="en-US"/>
              </w:rPr>
              <w:t>3</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Bio-char</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0.55 Gt C year</w:t>
            </w:r>
            <w:r w:rsidRPr="00D022A9">
              <w:rPr>
                <w:rFonts w:ascii="Calibri" w:eastAsiaTheme="minorHAnsi" w:hAnsi="Calibri"/>
                <w:sz w:val="16"/>
                <w:szCs w:val="16"/>
                <w:vertAlign w:val="superscript"/>
                <w:lang w:val="en-GB" w:eastAsia="en-US"/>
              </w:rPr>
              <w:t>-1</w:t>
            </w:r>
            <w:r w:rsidRPr="00D022A9">
              <w:rPr>
                <w:rFonts w:ascii="Calibri" w:eastAsiaTheme="minorHAnsi" w:hAnsi="Calibri"/>
                <w:sz w:val="16"/>
                <w:szCs w:val="16"/>
                <w:lang w:val="en-GB" w:eastAsia="en-US"/>
              </w:rPr>
              <w:t xml:space="preserve"> </w:t>
            </w:r>
            <w:r w:rsidRPr="00D022A9">
              <w:rPr>
                <w:rFonts w:ascii="Calibri" w:eastAsiaTheme="minorHAnsi" w:hAnsi="Calibri"/>
                <w:sz w:val="16"/>
                <w:szCs w:val="16"/>
                <w:vertAlign w:val="superscript"/>
                <w:lang w:val="en-GB" w:eastAsia="en-US"/>
              </w:rPr>
              <w:t>3</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Upstream oil and gas industry methane recovery</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570 Mt CO</w:t>
            </w:r>
            <w:r w:rsidRPr="00D022A9">
              <w:rPr>
                <w:rFonts w:ascii="Calibri" w:eastAsiaTheme="minorHAnsi" w:hAnsi="Calibri"/>
                <w:sz w:val="16"/>
                <w:szCs w:val="16"/>
                <w:vertAlign w:val="subscript"/>
                <w:lang w:val="en-GB" w:eastAsia="en-US"/>
              </w:rPr>
              <w:t>2</w:t>
            </w:r>
            <w:r w:rsidRPr="00D022A9">
              <w:rPr>
                <w:rFonts w:ascii="Calibri" w:eastAsiaTheme="minorHAnsi" w:hAnsi="Calibri"/>
                <w:sz w:val="16"/>
                <w:szCs w:val="16"/>
                <w:lang w:val="en-GB" w:eastAsia="en-US"/>
              </w:rPr>
              <w:t>-eq in 2020</w:t>
            </w:r>
            <w:r w:rsidRPr="00D022A9">
              <w:rPr>
                <w:rFonts w:ascii="Calibri" w:eastAsiaTheme="minorHAnsi" w:hAnsi="Calibri"/>
                <w:sz w:val="16"/>
                <w:szCs w:val="16"/>
                <w:vertAlign w:val="superscript"/>
                <w:lang w:val="en-GB" w:eastAsia="en-US"/>
              </w:rPr>
              <w:t>2</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3908" w:type="pct"/>
            <w:gridSpan w:val="2"/>
          </w:tcPr>
          <w:p w:rsidR="00D022A9" w:rsidRPr="00D022A9" w:rsidRDefault="00D022A9" w:rsidP="00D022A9">
            <w:pPr>
              <w:rPr>
                <w:rFonts w:eastAsiaTheme="minorHAnsi"/>
                <w:lang w:eastAsia="en-US"/>
              </w:rPr>
            </w:pPr>
            <w:r w:rsidRPr="00D022A9">
              <w:rPr>
                <w:rFonts w:ascii="Calibri" w:eastAsiaTheme="minorHAnsi" w:hAnsi="Calibri"/>
                <w:i/>
                <w:sz w:val="16"/>
                <w:szCs w:val="16"/>
                <w:lang w:val="en-GB" w:eastAsia="en-US"/>
              </w:rPr>
              <w:t>Ocean carbon sink enhancement</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Increase ocean alkalinity</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0.27 Gt C year</w:t>
            </w:r>
            <w:r w:rsidRPr="00D022A9">
              <w:rPr>
                <w:rFonts w:ascii="Calibri" w:eastAsiaTheme="minorHAnsi" w:hAnsi="Calibri"/>
                <w:sz w:val="16"/>
                <w:szCs w:val="16"/>
                <w:vertAlign w:val="superscript"/>
                <w:lang w:val="en-GB" w:eastAsia="en-US"/>
              </w:rPr>
              <w:t>-1</w:t>
            </w:r>
            <w:r w:rsidRPr="00D022A9">
              <w:rPr>
                <w:rFonts w:ascii="Calibri" w:eastAsiaTheme="minorHAnsi" w:hAnsi="Calibri"/>
                <w:sz w:val="16"/>
                <w:szCs w:val="16"/>
                <w:lang w:val="en-GB" w:eastAsia="en-US"/>
              </w:rPr>
              <w:t xml:space="preserve"> after 100 year</w:t>
            </w:r>
            <w:r w:rsidRPr="00D022A9">
              <w:rPr>
                <w:rFonts w:ascii="Calibri" w:eastAsiaTheme="minorHAnsi" w:hAnsi="Calibri"/>
                <w:sz w:val="16"/>
                <w:szCs w:val="16"/>
                <w:vertAlign w:val="superscript"/>
                <w:lang w:val="en-GB" w:eastAsia="en-US"/>
              </w:rPr>
              <w:t>3</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Iron fertilization</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3.5 Gt C year</w:t>
            </w:r>
            <w:r w:rsidRPr="00D022A9">
              <w:rPr>
                <w:rFonts w:ascii="Calibri" w:eastAsiaTheme="minorHAnsi" w:hAnsi="Calibri"/>
                <w:sz w:val="16"/>
                <w:szCs w:val="16"/>
                <w:vertAlign w:val="superscript"/>
                <w:lang w:val="en-GB" w:eastAsia="en-US"/>
              </w:rPr>
              <w:t>-1</w:t>
            </w:r>
            <w:r w:rsidRPr="00D022A9">
              <w:rPr>
                <w:rFonts w:ascii="Calibri" w:eastAsiaTheme="minorHAnsi" w:hAnsi="Calibri"/>
                <w:sz w:val="16"/>
                <w:szCs w:val="16"/>
                <w:lang w:val="en-GB" w:eastAsia="en-US"/>
              </w:rPr>
              <w:t xml:space="preserve"> for first 100 years</w:t>
            </w:r>
            <w:r w:rsidRPr="00D022A9">
              <w:rPr>
                <w:rFonts w:ascii="Calibri" w:eastAsiaTheme="minorHAnsi" w:hAnsi="Calibri"/>
                <w:sz w:val="16"/>
                <w:szCs w:val="16"/>
                <w:vertAlign w:val="superscript"/>
                <w:lang w:val="en-GB" w:eastAsia="en-US"/>
              </w:rPr>
              <w:t>3</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3908" w:type="pct"/>
            <w:gridSpan w:val="2"/>
          </w:tcPr>
          <w:p w:rsidR="00D022A9" w:rsidRPr="00D022A9" w:rsidRDefault="00D022A9" w:rsidP="00D022A9">
            <w:pPr>
              <w:rPr>
                <w:rFonts w:eastAsiaTheme="minorHAnsi"/>
                <w:i/>
                <w:lang w:eastAsia="en-US"/>
              </w:rPr>
            </w:pPr>
            <w:r w:rsidRPr="00D022A9">
              <w:rPr>
                <w:rFonts w:eastAsiaTheme="minorHAnsi"/>
                <w:i/>
                <w:sz w:val="16"/>
                <w:szCs w:val="16"/>
                <w:lang w:eastAsia="en-US"/>
              </w:rPr>
              <w:t>Carbon capture and storage</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Carbon capture during energy generation</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Can reduce life-cycle CO</w:t>
            </w:r>
            <w:r w:rsidRPr="00D022A9">
              <w:rPr>
                <w:rFonts w:ascii="Calibri" w:eastAsiaTheme="minorHAnsi" w:hAnsi="Calibri"/>
                <w:sz w:val="16"/>
                <w:szCs w:val="16"/>
                <w:vertAlign w:val="subscript"/>
                <w:lang w:val="en-GB" w:eastAsia="en-US"/>
              </w:rPr>
              <w:t>2</w:t>
            </w:r>
            <w:r w:rsidRPr="00D022A9">
              <w:rPr>
                <w:rFonts w:ascii="Calibri" w:eastAsiaTheme="minorHAnsi" w:hAnsi="Calibri"/>
                <w:sz w:val="16"/>
                <w:szCs w:val="16"/>
                <w:lang w:val="en-GB" w:eastAsia="en-US"/>
              </w:rPr>
              <w:t xml:space="preserve"> emission from fossil-fuel combustion at stationary sources by 65-85%</w:t>
            </w:r>
            <w:r w:rsidRPr="00D022A9">
              <w:rPr>
                <w:rFonts w:ascii="Calibri" w:eastAsiaTheme="minorHAnsi" w:hAnsi="Calibri"/>
                <w:sz w:val="16"/>
                <w:szCs w:val="16"/>
                <w:vertAlign w:val="superscript"/>
                <w:lang w:val="en-GB" w:eastAsia="en-US"/>
              </w:rPr>
              <w:t>2</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Direct air capture</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3.6 Gt CO</w:t>
            </w:r>
            <w:r w:rsidRPr="00D022A9">
              <w:rPr>
                <w:rFonts w:ascii="Calibri" w:eastAsiaTheme="minorHAnsi" w:hAnsi="Calibri"/>
                <w:sz w:val="16"/>
                <w:szCs w:val="16"/>
                <w:vertAlign w:val="subscript"/>
                <w:lang w:val="en-GB" w:eastAsia="en-US"/>
              </w:rPr>
              <w:t>2</w:t>
            </w:r>
            <w:r w:rsidRPr="00D022A9">
              <w:rPr>
                <w:rFonts w:ascii="Calibri" w:eastAsiaTheme="minorHAnsi" w:hAnsi="Calibri"/>
                <w:sz w:val="16"/>
                <w:szCs w:val="16"/>
                <w:lang w:val="en-GB" w:eastAsia="en-US"/>
              </w:rPr>
              <w:t xml:space="preserve"> year</w:t>
            </w:r>
            <w:r w:rsidRPr="00D022A9">
              <w:rPr>
                <w:rFonts w:ascii="Calibri" w:eastAsiaTheme="minorHAnsi" w:hAnsi="Calibri"/>
                <w:sz w:val="16"/>
                <w:szCs w:val="16"/>
                <w:vertAlign w:val="superscript"/>
                <w:lang w:val="en-GB" w:eastAsia="en-US"/>
              </w:rPr>
              <w:t>-1</w:t>
            </w:r>
            <w:r w:rsidRPr="00D022A9">
              <w:rPr>
                <w:rFonts w:ascii="Calibri" w:eastAsiaTheme="minorHAnsi" w:hAnsi="Calibri"/>
                <w:sz w:val="16"/>
                <w:szCs w:val="16"/>
                <w:lang w:val="en-GB" w:eastAsia="en-US"/>
              </w:rPr>
              <w:t xml:space="preserve"> with 10 million units</w:t>
            </w:r>
            <w:r w:rsidRPr="00D022A9">
              <w:rPr>
                <w:rFonts w:ascii="Calibri" w:eastAsiaTheme="minorHAnsi" w:hAnsi="Calibri"/>
                <w:sz w:val="16"/>
                <w:szCs w:val="16"/>
                <w:vertAlign w:val="superscript"/>
                <w:lang w:val="en-GB" w:eastAsia="en-US"/>
              </w:rPr>
              <w:t>4</w:t>
            </w:r>
          </w:p>
        </w:tc>
      </w:tr>
      <w:tr w:rsidR="00D022A9" w:rsidRPr="00D022A9" w:rsidTr="00FE56B7">
        <w:tc>
          <w:tcPr>
            <w:tcW w:w="1092" w:type="pct"/>
            <w:vMerge w:val="restart"/>
          </w:tcPr>
          <w:p w:rsidR="00D022A9" w:rsidRPr="00D022A9" w:rsidRDefault="00D022A9" w:rsidP="00D022A9">
            <w:pPr>
              <w:rPr>
                <w:rFonts w:eastAsiaTheme="minorHAnsi"/>
                <w:sz w:val="16"/>
                <w:szCs w:val="16"/>
                <w:lang w:eastAsia="en-US"/>
              </w:rPr>
            </w:pPr>
            <w:r w:rsidRPr="00D022A9">
              <w:rPr>
                <w:rFonts w:eastAsiaTheme="minorHAnsi"/>
                <w:sz w:val="16"/>
                <w:szCs w:val="16"/>
                <w:lang w:eastAsia="en-US"/>
              </w:rPr>
              <w:t>Carbon intensity reduction</w:t>
            </w:r>
          </w:p>
        </w:tc>
        <w:tc>
          <w:tcPr>
            <w:tcW w:w="3908" w:type="pct"/>
            <w:gridSpan w:val="2"/>
          </w:tcPr>
          <w:p w:rsidR="00D022A9" w:rsidRPr="00D022A9" w:rsidRDefault="00D022A9" w:rsidP="00D022A9">
            <w:pPr>
              <w:rPr>
                <w:rFonts w:eastAsiaTheme="minorHAnsi"/>
                <w:i/>
                <w:lang w:eastAsia="en-US"/>
              </w:rPr>
            </w:pPr>
            <w:r w:rsidRPr="00D022A9">
              <w:rPr>
                <w:rFonts w:eastAsiaTheme="minorHAnsi" w:hint="eastAsia"/>
                <w:i/>
                <w:sz w:val="16"/>
                <w:szCs w:val="16"/>
                <w:lang w:val="en-GB" w:eastAsia="en-US"/>
              </w:rPr>
              <w:t xml:space="preserve">Renewable </w:t>
            </w:r>
            <w:r w:rsidRPr="00D022A9">
              <w:rPr>
                <w:rFonts w:eastAsiaTheme="minorHAnsi"/>
                <w:i/>
                <w:sz w:val="16"/>
                <w:szCs w:val="16"/>
                <w:lang w:val="en-GB" w:eastAsia="en-US"/>
              </w:rPr>
              <w:t>energy</w:t>
            </w:r>
            <w:r w:rsidRPr="00D022A9">
              <w:rPr>
                <w:rFonts w:eastAsiaTheme="minorHAnsi" w:hint="eastAsia"/>
                <w:i/>
                <w:sz w:val="16"/>
                <w:szCs w:val="16"/>
                <w:lang w:val="en-GB" w:eastAsia="en-US"/>
              </w:rPr>
              <w:t>*</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Geothermal</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0.2-5.6 Gt CO</w:t>
            </w:r>
            <w:r w:rsidRPr="00D022A9">
              <w:rPr>
                <w:rFonts w:ascii="Calibri" w:eastAsiaTheme="minorHAnsi" w:hAnsi="Calibri"/>
                <w:sz w:val="16"/>
                <w:szCs w:val="16"/>
                <w:vertAlign w:val="subscript"/>
                <w:lang w:val="en-GB" w:eastAsia="en-US"/>
              </w:rPr>
              <w:t>2</w:t>
            </w:r>
            <w:r w:rsidRPr="00D022A9">
              <w:rPr>
                <w:rFonts w:ascii="Calibri" w:eastAsiaTheme="minorHAnsi" w:hAnsi="Calibri"/>
                <w:sz w:val="16"/>
                <w:szCs w:val="16"/>
                <w:lang w:val="en-GB" w:eastAsia="en-US"/>
              </w:rPr>
              <w:t xml:space="preserve"> year</w:t>
            </w:r>
            <w:r w:rsidRPr="00D022A9">
              <w:rPr>
                <w:rFonts w:ascii="Calibri" w:eastAsiaTheme="minorHAnsi" w:hAnsi="Calibri"/>
                <w:sz w:val="16"/>
                <w:szCs w:val="16"/>
                <w:vertAlign w:val="superscript"/>
                <w:lang w:val="en-GB" w:eastAsia="en-US"/>
              </w:rPr>
              <w:t>-1</w:t>
            </w:r>
            <w:r w:rsidRPr="00D022A9">
              <w:rPr>
                <w:rFonts w:ascii="Calibri" w:eastAsiaTheme="minorHAnsi" w:hAnsi="Calibri"/>
                <w:sz w:val="16"/>
                <w:szCs w:val="16"/>
                <w:lang w:val="en-GB" w:eastAsia="en-US"/>
              </w:rPr>
              <w:t xml:space="preserve"> by 2050</w:t>
            </w:r>
            <w:r w:rsidRPr="00D022A9">
              <w:rPr>
                <w:rFonts w:ascii="Calibri" w:eastAsiaTheme="minorHAnsi" w:hAnsi="Calibri"/>
                <w:sz w:val="16"/>
                <w:szCs w:val="16"/>
                <w:vertAlign w:val="superscript"/>
                <w:lang w:val="en-GB" w:eastAsia="en-US"/>
              </w:rPr>
              <w:t>5</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 xml:space="preserve">Bioenergy </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2.0-5.3 Gt CO</w:t>
            </w:r>
            <w:r w:rsidRPr="00D022A9">
              <w:rPr>
                <w:rFonts w:ascii="Calibri" w:eastAsiaTheme="minorHAnsi" w:hAnsi="Calibri"/>
                <w:sz w:val="16"/>
                <w:szCs w:val="16"/>
                <w:vertAlign w:val="subscript"/>
                <w:lang w:val="en-GB" w:eastAsia="en-US"/>
              </w:rPr>
              <w:t>2</w:t>
            </w:r>
            <w:r w:rsidRPr="00D022A9">
              <w:rPr>
                <w:rFonts w:ascii="Calibri" w:eastAsiaTheme="minorHAnsi" w:hAnsi="Calibri"/>
                <w:sz w:val="16"/>
                <w:szCs w:val="16"/>
                <w:lang w:val="en-GB" w:eastAsia="en-US"/>
              </w:rPr>
              <w:t xml:space="preserve"> year</w:t>
            </w:r>
            <w:r w:rsidRPr="00D022A9">
              <w:rPr>
                <w:rFonts w:ascii="Calibri" w:eastAsiaTheme="minorHAnsi" w:hAnsi="Calibri"/>
                <w:sz w:val="16"/>
                <w:szCs w:val="16"/>
                <w:vertAlign w:val="superscript"/>
                <w:lang w:val="en-GB" w:eastAsia="en-US"/>
              </w:rPr>
              <w:t>-1</w:t>
            </w:r>
            <w:r w:rsidRPr="00D022A9">
              <w:rPr>
                <w:rFonts w:ascii="Calibri" w:eastAsiaTheme="minorHAnsi" w:hAnsi="Calibri"/>
                <w:sz w:val="16"/>
                <w:szCs w:val="16"/>
                <w:lang w:val="en-GB" w:eastAsia="en-US"/>
              </w:rPr>
              <w:t xml:space="preserve"> by 2050</w:t>
            </w:r>
            <w:r w:rsidRPr="00D022A9">
              <w:rPr>
                <w:rFonts w:ascii="Calibri" w:eastAsiaTheme="minorHAnsi" w:hAnsi="Calibri"/>
                <w:sz w:val="16"/>
                <w:szCs w:val="16"/>
                <w:vertAlign w:val="superscript"/>
                <w:lang w:val="en-GB" w:eastAsia="en-US"/>
              </w:rPr>
              <w:t>5</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Ocean energy</w:t>
            </w:r>
          </w:p>
          <w:p w:rsidR="00D022A9" w:rsidRPr="00D022A9" w:rsidRDefault="00D022A9" w:rsidP="00D022A9">
            <w:pPr>
              <w:spacing w:line="240" w:lineRule="exact"/>
              <w:ind w:firstLineChars="100" w:firstLine="160"/>
              <w:rPr>
                <w:rFonts w:ascii="Calibri" w:eastAsiaTheme="minorHAnsi" w:hAnsi="Calibri"/>
                <w:sz w:val="16"/>
                <w:szCs w:val="16"/>
                <w:lang w:val="en-GB" w:eastAsia="en-US"/>
              </w:rPr>
            </w:pPr>
            <w:r w:rsidRPr="00D022A9">
              <w:rPr>
                <w:rFonts w:ascii="Calibri" w:eastAsiaTheme="minorHAnsi" w:hAnsi="Calibri"/>
                <w:sz w:val="16"/>
                <w:szCs w:val="16"/>
                <w:lang w:val="en-GB" w:eastAsia="en-US"/>
              </w:rPr>
              <w:t>(thermal, wave, tidal)</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0.0-1.4 Gt CO</w:t>
            </w:r>
            <w:r w:rsidRPr="00D022A9">
              <w:rPr>
                <w:rFonts w:ascii="Calibri" w:eastAsiaTheme="minorHAnsi" w:hAnsi="Calibri"/>
                <w:sz w:val="16"/>
                <w:szCs w:val="16"/>
                <w:vertAlign w:val="subscript"/>
                <w:lang w:val="en-GB" w:eastAsia="en-US"/>
              </w:rPr>
              <w:t>2</w:t>
            </w:r>
            <w:r w:rsidRPr="00D022A9">
              <w:rPr>
                <w:rFonts w:ascii="Calibri" w:eastAsiaTheme="minorHAnsi" w:hAnsi="Calibri"/>
                <w:sz w:val="16"/>
                <w:szCs w:val="16"/>
                <w:vertAlign w:val="superscript"/>
                <w:lang w:val="en-GB" w:eastAsia="en-US"/>
              </w:rPr>
              <w:t xml:space="preserve"> </w:t>
            </w:r>
            <w:r w:rsidRPr="00D022A9">
              <w:rPr>
                <w:rFonts w:ascii="Calibri" w:eastAsiaTheme="minorHAnsi" w:hAnsi="Calibri"/>
                <w:sz w:val="16"/>
                <w:szCs w:val="16"/>
                <w:lang w:val="en-GB" w:eastAsia="en-US"/>
              </w:rPr>
              <w:t>year</w:t>
            </w:r>
            <w:r w:rsidRPr="00D022A9">
              <w:rPr>
                <w:rFonts w:ascii="Calibri" w:eastAsiaTheme="minorHAnsi" w:hAnsi="Calibri"/>
                <w:sz w:val="16"/>
                <w:szCs w:val="16"/>
                <w:vertAlign w:val="superscript"/>
                <w:lang w:val="en-GB" w:eastAsia="en-US"/>
              </w:rPr>
              <w:t>-1</w:t>
            </w:r>
            <w:r w:rsidRPr="00D022A9">
              <w:rPr>
                <w:rFonts w:ascii="Calibri" w:eastAsiaTheme="minorHAnsi" w:hAnsi="Calibri"/>
                <w:sz w:val="16"/>
                <w:szCs w:val="16"/>
                <w:lang w:val="en-GB" w:eastAsia="en-US"/>
              </w:rPr>
              <w:t xml:space="preserve"> by 2050</w:t>
            </w:r>
            <w:r w:rsidRPr="00D022A9">
              <w:rPr>
                <w:rFonts w:ascii="Calibri" w:eastAsiaTheme="minorHAnsi" w:hAnsi="Calibri"/>
                <w:sz w:val="16"/>
                <w:szCs w:val="16"/>
                <w:vertAlign w:val="superscript"/>
                <w:lang w:val="en-GB" w:eastAsia="en-US"/>
              </w:rPr>
              <w:t>5</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Solar energy</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0.4-15.0 Gt CO</w:t>
            </w:r>
            <w:r w:rsidRPr="00D022A9">
              <w:rPr>
                <w:rFonts w:ascii="Calibri" w:eastAsiaTheme="minorHAnsi" w:hAnsi="Calibri"/>
                <w:sz w:val="16"/>
                <w:szCs w:val="16"/>
                <w:vertAlign w:val="subscript"/>
                <w:lang w:val="en-GB" w:eastAsia="en-US"/>
              </w:rPr>
              <w:t>2</w:t>
            </w:r>
            <w:r w:rsidRPr="00D022A9">
              <w:rPr>
                <w:rFonts w:ascii="Calibri" w:eastAsiaTheme="minorHAnsi" w:hAnsi="Calibri"/>
                <w:sz w:val="16"/>
                <w:szCs w:val="16"/>
                <w:vertAlign w:val="superscript"/>
                <w:lang w:val="en-GB" w:eastAsia="en-US"/>
              </w:rPr>
              <w:t xml:space="preserve"> </w:t>
            </w:r>
            <w:r w:rsidRPr="00D022A9">
              <w:rPr>
                <w:rFonts w:ascii="Calibri" w:eastAsiaTheme="minorHAnsi" w:hAnsi="Calibri"/>
                <w:sz w:val="16"/>
                <w:szCs w:val="16"/>
                <w:lang w:val="en-GB" w:eastAsia="en-US"/>
              </w:rPr>
              <w:t>year</w:t>
            </w:r>
            <w:r w:rsidRPr="00D022A9">
              <w:rPr>
                <w:rFonts w:ascii="Calibri" w:eastAsiaTheme="minorHAnsi" w:hAnsi="Calibri"/>
                <w:sz w:val="16"/>
                <w:szCs w:val="16"/>
                <w:vertAlign w:val="superscript"/>
                <w:lang w:val="en-GB" w:eastAsia="en-US"/>
              </w:rPr>
              <w:t>-1</w:t>
            </w:r>
            <w:r w:rsidRPr="00D022A9">
              <w:rPr>
                <w:rFonts w:ascii="Calibri" w:eastAsiaTheme="minorHAnsi" w:hAnsi="Calibri"/>
                <w:sz w:val="16"/>
                <w:szCs w:val="16"/>
                <w:lang w:val="en-GB" w:eastAsia="en-US"/>
              </w:rPr>
              <w:t xml:space="preserve"> by 2050</w:t>
            </w:r>
            <w:r w:rsidRPr="00D022A9">
              <w:rPr>
                <w:rFonts w:ascii="Calibri" w:eastAsiaTheme="minorHAnsi" w:hAnsi="Calibri"/>
                <w:sz w:val="16"/>
                <w:szCs w:val="16"/>
                <w:vertAlign w:val="superscript"/>
                <w:lang w:val="en-GB" w:eastAsia="en-US"/>
              </w:rPr>
              <w:t>5</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Hydropower</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0.6-4.5 Gt CO</w:t>
            </w:r>
            <w:r w:rsidRPr="00D022A9">
              <w:rPr>
                <w:rFonts w:ascii="Calibri" w:eastAsiaTheme="minorHAnsi" w:hAnsi="Calibri"/>
                <w:sz w:val="16"/>
                <w:szCs w:val="16"/>
                <w:vertAlign w:val="subscript"/>
                <w:lang w:val="en-GB" w:eastAsia="en-US"/>
              </w:rPr>
              <w:t>2</w:t>
            </w:r>
            <w:r w:rsidRPr="00D022A9">
              <w:rPr>
                <w:rFonts w:ascii="Calibri" w:eastAsiaTheme="minorHAnsi" w:hAnsi="Calibri"/>
                <w:sz w:val="16"/>
                <w:szCs w:val="16"/>
                <w:vertAlign w:val="superscript"/>
                <w:lang w:val="en-GB" w:eastAsia="en-US"/>
              </w:rPr>
              <w:t xml:space="preserve"> </w:t>
            </w:r>
            <w:r w:rsidRPr="00D022A9">
              <w:rPr>
                <w:rFonts w:ascii="Calibri" w:eastAsiaTheme="minorHAnsi" w:hAnsi="Calibri"/>
                <w:sz w:val="16"/>
                <w:szCs w:val="16"/>
                <w:lang w:val="en-GB" w:eastAsia="en-US"/>
              </w:rPr>
              <w:t>year</w:t>
            </w:r>
            <w:r w:rsidRPr="00D022A9">
              <w:rPr>
                <w:rFonts w:ascii="Calibri" w:eastAsiaTheme="minorHAnsi" w:hAnsi="Calibri"/>
                <w:sz w:val="16"/>
                <w:szCs w:val="16"/>
                <w:vertAlign w:val="superscript"/>
                <w:lang w:val="en-GB" w:eastAsia="en-US"/>
              </w:rPr>
              <w:t>-1</w:t>
            </w:r>
            <w:r w:rsidRPr="00D022A9">
              <w:rPr>
                <w:rFonts w:ascii="Calibri" w:eastAsiaTheme="minorHAnsi" w:hAnsi="Calibri"/>
                <w:sz w:val="16"/>
                <w:szCs w:val="16"/>
                <w:lang w:val="en-GB" w:eastAsia="en-US"/>
              </w:rPr>
              <w:t xml:space="preserve"> by 2050</w:t>
            </w:r>
            <w:r w:rsidRPr="00D022A9">
              <w:rPr>
                <w:rFonts w:ascii="Calibri" w:eastAsiaTheme="minorHAnsi" w:hAnsi="Calibri"/>
                <w:sz w:val="16"/>
                <w:szCs w:val="16"/>
                <w:vertAlign w:val="superscript"/>
                <w:lang w:val="en-GB" w:eastAsia="en-US"/>
              </w:rPr>
              <w:t>5</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Wind energy</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1.2-9.8 Gt CO</w:t>
            </w:r>
            <w:r w:rsidRPr="00D022A9">
              <w:rPr>
                <w:rFonts w:ascii="Calibri" w:eastAsiaTheme="minorHAnsi" w:hAnsi="Calibri"/>
                <w:sz w:val="16"/>
                <w:szCs w:val="16"/>
                <w:vertAlign w:val="subscript"/>
                <w:lang w:val="en-GB" w:eastAsia="en-US"/>
              </w:rPr>
              <w:t>2</w:t>
            </w:r>
            <w:r w:rsidRPr="00D022A9">
              <w:rPr>
                <w:rFonts w:ascii="Calibri" w:eastAsiaTheme="minorHAnsi" w:hAnsi="Calibri"/>
                <w:sz w:val="16"/>
                <w:szCs w:val="16"/>
                <w:vertAlign w:val="superscript"/>
                <w:lang w:val="en-GB" w:eastAsia="en-US"/>
              </w:rPr>
              <w:t xml:space="preserve"> </w:t>
            </w:r>
            <w:r w:rsidRPr="00D022A9">
              <w:rPr>
                <w:rFonts w:ascii="Calibri" w:eastAsiaTheme="minorHAnsi" w:hAnsi="Calibri"/>
                <w:sz w:val="16"/>
                <w:szCs w:val="16"/>
                <w:lang w:val="en-GB" w:eastAsia="en-US"/>
              </w:rPr>
              <w:t>year</w:t>
            </w:r>
            <w:r w:rsidRPr="00D022A9">
              <w:rPr>
                <w:rFonts w:ascii="Calibri" w:eastAsiaTheme="minorHAnsi" w:hAnsi="Calibri"/>
                <w:sz w:val="16"/>
                <w:szCs w:val="16"/>
                <w:vertAlign w:val="superscript"/>
                <w:lang w:val="en-GB" w:eastAsia="en-US"/>
              </w:rPr>
              <w:t xml:space="preserve">-1 </w:t>
            </w:r>
            <w:r w:rsidRPr="00D022A9">
              <w:rPr>
                <w:rFonts w:ascii="Calibri" w:eastAsiaTheme="minorHAnsi" w:hAnsi="Calibri"/>
                <w:sz w:val="16"/>
                <w:szCs w:val="16"/>
                <w:lang w:val="en-GB" w:eastAsia="en-US"/>
              </w:rPr>
              <w:t>by 2050</w:t>
            </w:r>
            <w:r w:rsidRPr="00D022A9">
              <w:rPr>
                <w:rFonts w:ascii="Calibri" w:eastAsiaTheme="minorHAnsi" w:hAnsi="Calibri"/>
                <w:sz w:val="16"/>
                <w:szCs w:val="16"/>
                <w:vertAlign w:val="superscript"/>
                <w:lang w:val="en-GB" w:eastAsia="en-US"/>
              </w:rPr>
              <w:t>5</w:t>
            </w:r>
          </w:p>
        </w:tc>
      </w:tr>
      <w:tr w:rsidR="00D022A9" w:rsidRPr="00D022A9" w:rsidTr="00FE56B7">
        <w:tc>
          <w:tcPr>
            <w:tcW w:w="1092" w:type="pct"/>
            <w:vMerge/>
          </w:tcPr>
          <w:p w:rsidR="00D022A9" w:rsidRPr="00D022A9" w:rsidRDefault="00D022A9" w:rsidP="00D022A9">
            <w:pPr>
              <w:rPr>
                <w:rFonts w:eastAsiaTheme="minorHAnsi"/>
                <w:sz w:val="16"/>
                <w:szCs w:val="16"/>
                <w:lang w:eastAsia="en-US"/>
              </w:rPr>
            </w:pPr>
          </w:p>
        </w:tc>
        <w:tc>
          <w:tcPr>
            <w:tcW w:w="1876" w:type="pct"/>
          </w:tcPr>
          <w:p w:rsidR="00D022A9" w:rsidRPr="00D022A9" w:rsidRDefault="00D022A9" w:rsidP="00D022A9">
            <w:pPr>
              <w:spacing w:line="240" w:lineRule="exact"/>
              <w:rPr>
                <w:rFonts w:ascii="Calibri" w:eastAsiaTheme="minorHAnsi" w:hAnsi="Calibri"/>
                <w:i/>
                <w:sz w:val="16"/>
                <w:szCs w:val="16"/>
                <w:lang w:val="en-GB" w:eastAsia="en-US"/>
              </w:rPr>
            </w:pPr>
            <w:r w:rsidRPr="00D022A9">
              <w:rPr>
                <w:rFonts w:ascii="Calibri" w:eastAsiaTheme="minorHAnsi" w:hAnsi="Calibri"/>
                <w:i/>
                <w:sz w:val="16"/>
                <w:szCs w:val="16"/>
                <w:lang w:val="en-GB" w:eastAsia="en-US"/>
              </w:rPr>
              <w:t>Nuclear energy</w:t>
            </w:r>
          </w:p>
        </w:tc>
        <w:tc>
          <w:tcPr>
            <w:tcW w:w="2032" w:type="pct"/>
          </w:tcPr>
          <w:p w:rsidR="00D022A9" w:rsidRPr="00D022A9" w:rsidRDefault="00D022A9" w:rsidP="00D022A9">
            <w:pPr>
              <w:spacing w:line="240" w:lineRule="exact"/>
              <w:rPr>
                <w:rFonts w:ascii="Calibri" w:eastAsiaTheme="minorHAnsi" w:hAnsi="Calibri"/>
                <w:sz w:val="16"/>
                <w:szCs w:val="16"/>
                <w:lang w:val="en-GB" w:eastAsia="en-US"/>
              </w:rPr>
            </w:pPr>
            <w:r w:rsidRPr="00D022A9">
              <w:rPr>
                <w:rFonts w:ascii="Calibri" w:eastAsiaTheme="minorHAnsi" w:hAnsi="Calibri"/>
                <w:sz w:val="16"/>
                <w:szCs w:val="16"/>
                <w:lang w:val="en-GB" w:eastAsia="en-US"/>
              </w:rPr>
              <w:t>1.5-3.0 Gt CO</w:t>
            </w:r>
            <w:r w:rsidRPr="00D022A9">
              <w:rPr>
                <w:rFonts w:ascii="Calibri" w:eastAsiaTheme="minorHAnsi" w:hAnsi="Calibri"/>
                <w:sz w:val="16"/>
                <w:szCs w:val="16"/>
                <w:vertAlign w:val="subscript"/>
                <w:lang w:val="en-GB" w:eastAsia="en-US"/>
              </w:rPr>
              <w:t>2</w:t>
            </w:r>
            <w:r w:rsidRPr="00D022A9">
              <w:rPr>
                <w:rFonts w:ascii="Calibri" w:eastAsiaTheme="minorHAnsi" w:hAnsi="Calibri"/>
                <w:sz w:val="16"/>
                <w:szCs w:val="16"/>
                <w:vertAlign w:val="superscript"/>
                <w:lang w:val="en-GB" w:eastAsia="en-US"/>
              </w:rPr>
              <w:t xml:space="preserve"> </w:t>
            </w:r>
            <w:r w:rsidRPr="00D022A9">
              <w:rPr>
                <w:rFonts w:ascii="Calibri" w:eastAsiaTheme="minorHAnsi" w:hAnsi="Calibri"/>
                <w:sz w:val="16"/>
                <w:szCs w:val="16"/>
                <w:lang w:val="en-GB" w:eastAsia="en-US"/>
              </w:rPr>
              <w:t>year</w:t>
            </w:r>
            <w:r w:rsidRPr="00D022A9">
              <w:rPr>
                <w:rFonts w:ascii="Calibri" w:eastAsiaTheme="minorHAnsi" w:hAnsi="Calibri"/>
                <w:sz w:val="16"/>
                <w:szCs w:val="16"/>
                <w:vertAlign w:val="superscript"/>
                <w:lang w:val="en-GB" w:eastAsia="en-US"/>
              </w:rPr>
              <w:t>-1</w:t>
            </w:r>
            <w:r w:rsidRPr="00D022A9">
              <w:rPr>
                <w:rFonts w:ascii="Calibri" w:eastAsiaTheme="minorHAnsi" w:hAnsi="Calibri"/>
                <w:sz w:val="16"/>
                <w:szCs w:val="16"/>
                <w:lang w:val="en-GB" w:eastAsia="en-US"/>
              </w:rPr>
              <w:t xml:space="preserve"> with current capacity</w:t>
            </w:r>
            <w:r w:rsidRPr="00D022A9">
              <w:rPr>
                <w:rFonts w:ascii="Calibri" w:eastAsiaTheme="minorHAnsi" w:hAnsi="Calibri"/>
                <w:sz w:val="16"/>
                <w:szCs w:val="16"/>
                <w:vertAlign w:val="superscript"/>
                <w:lang w:val="en-GB" w:eastAsia="en-US"/>
              </w:rPr>
              <w:t>6</w:t>
            </w:r>
          </w:p>
        </w:tc>
      </w:tr>
    </w:tbl>
    <w:p w:rsidR="00D022A9" w:rsidRPr="00D022A9" w:rsidRDefault="00D022A9" w:rsidP="00D022A9">
      <w:pPr>
        <w:spacing w:after="120" w:line="259" w:lineRule="auto"/>
        <w:rPr>
          <w:rFonts w:ascii="Calibri" w:eastAsiaTheme="minorHAnsi" w:hAnsi="Calibri" w:cs="Palatino"/>
          <w:b/>
          <w:sz w:val="18"/>
          <w:szCs w:val="22"/>
          <w:lang w:val="en-GB" w:eastAsia="en-US"/>
        </w:rPr>
      </w:pPr>
    </w:p>
    <w:p w:rsidR="00D022A9" w:rsidRPr="00D022A9" w:rsidRDefault="00D022A9" w:rsidP="00D022A9">
      <w:pPr>
        <w:spacing w:after="120" w:line="259" w:lineRule="auto"/>
        <w:jc w:val="both"/>
        <w:rPr>
          <w:rFonts w:ascii="Calibri" w:eastAsiaTheme="minorHAnsi" w:hAnsi="Calibri" w:cs="Palatino"/>
          <w:sz w:val="20"/>
          <w:szCs w:val="20"/>
          <w:lang w:val="en-GB" w:eastAsia="en-US"/>
        </w:rPr>
      </w:pPr>
      <w:r w:rsidRPr="00D022A9">
        <w:rPr>
          <w:rFonts w:ascii="Calibri" w:eastAsiaTheme="minorHAnsi" w:hAnsi="Calibri" w:cs="Palatino"/>
          <w:sz w:val="20"/>
          <w:szCs w:val="20"/>
          <w:lang w:val="en-GB" w:eastAsia="en-US"/>
        </w:rPr>
        <w:lastRenderedPageBreak/>
        <w:t>Sources: 1 (Graus</w:t>
      </w:r>
      <w:r w:rsidRPr="00D022A9">
        <w:rPr>
          <w:rFonts w:ascii="Calibri" w:eastAsiaTheme="minorHAnsi" w:hAnsi="Calibri" w:cs="Palatino"/>
          <w:i/>
          <w:sz w:val="20"/>
          <w:szCs w:val="20"/>
          <w:lang w:val="en-GB" w:eastAsia="en-US"/>
        </w:rPr>
        <w:t xml:space="preserve"> </w:t>
      </w:r>
      <w:r w:rsidRPr="00D022A9">
        <w:rPr>
          <w:rFonts w:ascii="Calibri" w:eastAsiaTheme="minorHAnsi" w:hAnsi="Calibri" w:cs="Palatino"/>
          <w:sz w:val="20"/>
          <w:szCs w:val="20"/>
          <w:lang w:val="en-GB" w:eastAsia="en-US"/>
        </w:rPr>
        <w:t>et al., 2011)</w:t>
      </w:r>
      <w:r w:rsidR="00E13392" w:rsidRPr="00D022A9">
        <w:rPr>
          <w:rFonts w:ascii="Calibri" w:eastAsiaTheme="minorHAnsi" w:hAnsi="Calibri" w:cs="Palatino"/>
          <w:sz w:val="20"/>
          <w:szCs w:val="20"/>
          <w:lang w:val="en-GB" w:eastAsia="en-US"/>
        </w:rPr>
        <w:fldChar w:fldCharType="begin"/>
      </w:r>
      <w:r w:rsidR="00A43B13">
        <w:rPr>
          <w:rFonts w:ascii="Calibri" w:eastAsiaTheme="minorHAnsi" w:hAnsi="Calibri" w:cs="Palatino"/>
          <w:sz w:val="20"/>
          <w:szCs w:val="20"/>
          <w:lang w:val="en-GB" w:eastAsia="en-US"/>
        </w:rPr>
        <w:instrText xml:space="preserve"> ADDIN EN.CITE &lt;EndNote&gt;&lt;Cite&gt;&lt;Author&gt;Graus&lt;/Author&gt;&lt;Year&gt;2011&lt;/Year&gt;&lt;RecNum&gt;1455&lt;/RecNum&gt;&lt;DisplayText&gt;&lt;style face="superscript"&gt;195&lt;/style&gt;&lt;/DisplayText&gt;&lt;record&gt;&lt;rec-number&gt;1455&lt;/rec-number&gt;&lt;foreign-keys&gt;&lt;key app="EN" db-id="wtftd20rmszxx0ettxy5exwdf90wv22s2dsf" timestamp="1419303974"&gt;1455&lt;/key&gt;&lt;/foreign-keys&gt;&lt;ref-type name="Journal Article"&gt;17&lt;/ref-type&gt;&lt;contributors&gt;&lt;authors&gt;&lt;author&gt;W Graus&lt;/author&gt;&lt;author&gt;E Blomen&lt;/author&gt;&lt;author&gt;E Worrell&lt;/author&gt;&lt;/authors&gt;&lt;/contributors&gt;&lt;titles&gt;&lt;title&gt;Global energy efficiency improvement in the long term: a demand-and supply-side perspective&lt;/title&gt;&lt;secondary-title&gt;Energy Efficiency&lt;/secondary-title&gt;&lt;/titles&gt;&lt;periodical&gt;&lt;full-title&gt;Energy Efficiency&lt;/full-title&gt;&lt;/periodical&gt;&lt;pages&gt;435-63&lt;/pages&gt;&lt;volume&gt;4&lt;/volume&gt;&lt;dates&gt;&lt;year&gt;2011&lt;/year&gt;&lt;/dates&gt;&lt;urls&gt;&lt;/urls&gt;&lt;/record&gt;&lt;/Cite&gt;&lt;/EndNote&gt;</w:instrText>
      </w:r>
      <w:r w:rsidR="00E13392" w:rsidRPr="00D022A9">
        <w:rPr>
          <w:rFonts w:ascii="Calibri" w:eastAsiaTheme="minorHAnsi" w:hAnsi="Calibri" w:cs="Palatino"/>
          <w:sz w:val="20"/>
          <w:szCs w:val="20"/>
          <w:lang w:val="en-GB" w:eastAsia="en-US"/>
        </w:rPr>
        <w:fldChar w:fldCharType="separate"/>
      </w:r>
      <w:r w:rsidR="00A43B13" w:rsidRPr="00A43B13">
        <w:rPr>
          <w:rFonts w:ascii="Calibri" w:eastAsiaTheme="minorHAnsi" w:hAnsi="Calibri" w:cs="Palatino"/>
          <w:noProof/>
          <w:sz w:val="20"/>
          <w:szCs w:val="20"/>
          <w:vertAlign w:val="superscript"/>
          <w:lang w:val="en-GB" w:eastAsia="en-US"/>
        </w:rPr>
        <w:t>195</w:t>
      </w:r>
      <w:r w:rsidR="00E13392" w:rsidRPr="00D022A9">
        <w:rPr>
          <w:rFonts w:ascii="Calibri" w:eastAsiaTheme="minorHAnsi" w:hAnsi="Calibri" w:cs="Palatino"/>
          <w:sz w:val="20"/>
          <w:szCs w:val="20"/>
          <w:lang w:val="en-GB" w:eastAsia="en-US"/>
        </w:rPr>
        <w:fldChar w:fldCharType="end"/>
      </w:r>
      <w:r w:rsidRPr="00D022A9">
        <w:rPr>
          <w:rFonts w:ascii="Calibri" w:eastAsiaTheme="minorHAnsi" w:hAnsi="Calibri" w:cs="Palatino"/>
          <w:sz w:val="20"/>
          <w:szCs w:val="20"/>
          <w:lang w:val="en-GB" w:eastAsia="en-US"/>
        </w:rPr>
        <w:t>, 2 (IEA, 2013)</w:t>
      </w:r>
      <w:r w:rsidR="00E13392" w:rsidRPr="00D022A9">
        <w:rPr>
          <w:rFonts w:ascii="Calibri" w:eastAsiaTheme="minorHAnsi" w:hAnsi="Calibri" w:cs="Palatino"/>
          <w:sz w:val="20"/>
          <w:szCs w:val="20"/>
          <w:lang w:val="en-GB" w:eastAsia="en-US"/>
        </w:rPr>
        <w:fldChar w:fldCharType="begin"/>
      </w:r>
      <w:r w:rsidR="00A43B13">
        <w:rPr>
          <w:rFonts w:ascii="Calibri" w:eastAsiaTheme="minorHAnsi" w:hAnsi="Calibri" w:cs="Palatino"/>
          <w:sz w:val="20"/>
          <w:szCs w:val="20"/>
          <w:lang w:val="en-GB" w:eastAsia="en-US"/>
        </w:rPr>
        <w:instrText xml:space="preserve"> ADDIN EN.CITE &lt;EndNote&gt;&lt;Cite&gt;&lt;Author&gt;International Energy Agency&lt;/Author&gt;&lt;Year&gt;2013&lt;/Year&gt;&lt;RecNum&gt;1456&lt;/RecNum&gt;&lt;DisplayText&gt;&lt;style face="superscript"&gt;196&lt;/style&gt;&lt;/DisplayText&gt;&lt;record&gt;&lt;rec-number&gt;1456&lt;/rec-number&gt;&lt;foreign-keys&gt;&lt;key app="EN" db-id="wtftd20rmszxx0ettxy5exwdf90wv22s2dsf" timestamp="1419304049"&gt;1456&lt;/key&gt;&lt;/foreign-keys&gt;&lt;ref-type name="Report"&gt;27&lt;/ref-type&gt;&lt;contributors&gt;&lt;authors&gt;&lt;author&gt;International Energy Agency,&lt;/author&gt;&lt;/authors&gt;&lt;/contributors&gt;&lt;titles&gt;&lt;title&gt;Redrawing the energy-climate map. In, World energy outlook special report&lt;/title&gt;&lt;/titles&gt;&lt;dates&gt;&lt;year&gt;2013&lt;/year&gt;&lt;/dates&gt;&lt;pub-location&gt;Paris&lt;/pub-location&gt;&lt;urls&gt;&lt;/urls&gt;&lt;/record&gt;&lt;/Cite&gt;&lt;/EndNote&gt;</w:instrText>
      </w:r>
      <w:r w:rsidR="00E13392" w:rsidRPr="00D022A9">
        <w:rPr>
          <w:rFonts w:ascii="Calibri" w:eastAsiaTheme="minorHAnsi" w:hAnsi="Calibri" w:cs="Palatino"/>
          <w:sz w:val="20"/>
          <w:szCs w:val="20"/>
          <w:lang w:val="en-GB" w:eastAsia="en-US"/>
        </w:rPr>
        <w:fldChar w:fldCharType="separate"/>
      </w:r>
      <w:r w:rsidR="00A43B13" w:rsidRPr="00A43B13">
        <w:rPr>
          <w:rFonts w:ascii="Calibri" w:eastAsiaTheme="minorHAnsi" w:hAnsi="Calibri" w:cs="Palatino"/>
          <w:noProof/>
          <w:sz w:val="20"/>
          <w:szCs w:val="20"/>
          <w:vertAlign w:val="superscript"/>
          <w:lang w:val="en-GB" w:eastAsia="en-US"/>
        </w:rPr>
        <w:t>196</w:t>
      </w:r>
      <w:r w:rsidR="00E13392" w:rsidRPr="00D022A9">
        <w:rPr>
          <w:rFonts w:ascii="Calibri" w:eastAsiaTheme="minorHAnsi" w:hAnsi="Calibri" w:cs="Palatino"/>
          <w:sz w:val="20"/>
          <w:szCs w:val="20"/>
          <w:lang w:val="en-GB" w:eastAsia="en-US"/>
        </w:rPr>
        <w:fldChar w:fldCharType="end"/>
      </w:r>
      <w:r w:rsidRPr="00D022A9">
        <w:rPr>
          <w:rFonts w:ascii="Calibri" w:eastAsiaTheme="minorHAnsi" w:hAnsi="Calibri" w:cs="Palatino"/>
          <w:sz w:val="20"/>
          <w:szCs w:val="20"/>
          <w:lang w:val="en-GB" w:eastAsia="en-US"/>
        </w:rPr>
        <w:t>, 3 (Vaughan and Lenton, 2011)</w:t>
      </w:r>
      <w:r w:rsidR="00E13392" w:rsidRPr="00D022A9">
        <w:rPr>
          <w:rFonts w:ascii="Calibri" w:eastAsiaTheme="minorHAnsi" w:hAnsi="Calibri" w:cs="Palatino"/>
          <w:sz w:val="20"/>
          <w:szCs w:val="20"/>
          <w:lang w:val="en-GB" w:eastAsia="en-US"/>
        </w:rPr>
        <w:fldChar w:fldCharType="begin"/>
      </w:r>
      <w:r w:rsidR="00A43B13">
        <w:rPr>
          <w:rFonts w:ascii="Calibri" w:eastAsiaTheme="minorHAnsi" w:hAnsi="Calibri" w:cs="Palatino"/>
          <w:sz w:val="20"/>
          <w:szCs w:val="20"/>
          <w:lang w:val="en-GB" w:eastAsia="en-US"/>
        </w:rPr>
        <w:instrText xml:space="preserve"> ADDIN EN.CITE &lt;EndNote&gt;&lt;Cite&gt;&lt;Author&gt;Vaughan&lt;/Author&gt;&lt;Year&gt;2011&lt;/Year&gt;&lt;RecNum&gt;1457&lt;/RecNum&gt;&lt;DisplayText&gt;&lt;style face="superscript"&gt;197&lt;/style&gt;&lt;/DisplayText&gt;&lt;record&gt;&lt;rec-number&gt;1457&lt;/rec-number&gt;&lt;foreign-keys&gt;&lt;key app="EN" db-id="wtftd20rmszxx0ettxy5exwdf90wv22s2dsf" timestamp="1419304102"&gt;1457&lt;/key&gt;&lt;/foreign-keys&gt;&lt;ref-type name="Journal Article"&gt;17&lt;/ref-type&gt;&lt;contributors&gt;&lt;authors&gt;&lt;author&gt;NE Vaughan&lt;/author&gt;&lt;author&gt;TM Lenton&lt;/author&gt;&lt;/authors&gt;&lt;/contributors&gt;&lt;titles&gt;&lt;title&gt;A review of climate geoengineering proposals&lt;/title&gt;&lt;secondary-title&gt;Climate Change&lt;/secondary-title&gt;&lt;/titles&gt;&lt;periodical&gt;&lt;full-title&gt;Climate Change&lt;/full-title&gt;&lt;/periodical&gt;&lt;pages&gt;745-90&lt;/pages&gt;&lt;volume&gt;109&lt;/volume&gt;&lt;number&gt;3-4&lt;/number&gt;&lt;dates&gt;&lt;year&gt;2011&lt;/year&gt;&lt;/dates&gt;&lt;urls&gt;&lt;/urls&gt;&lt;/record&gt;&lt;/Cite&gt;&lt;/EndNote&gt;</w:instrText>
      </w:r>
      <w:r w:rsidR="00E13392" w:rsidRPr="00D022A9">
        <w:rPr>
          <w:rFonts w:ascii="Calibri" w:eastAsiaTheme="minorHAnsi" w:hAnsi="Calibri" w:cs="Palatino"/>
          <w:sz w:val="20"/>
          <w:szCs w:val="20"/>
          <w:lang w:val="en-GB" w:eastAsia="en-US"/>
        </w:rPr>
        <w:fldChar w:fldCharType="separate"/>
      </w:r>
      <w:r w:rsidR="00A43B13" w:rsidRPr="00A43B13">
        <w:rPr>
          <w:rFonts w:ascii="Calibri" w:eastAsiaTheme="minorHAnsi" w:hAnsi="Calibri" w:cs="Palatino"/>
          <w:noProof/>
          <w:sz w:val="20"/>
          <w:szCs w:val="20"/>
          <w:vertAlign w:val="superscript"/>
          <w:lang w:val="en-GB" w:eastAsia="en-US"/>
        </w:rPr>
        <w:t>197</w:t>
      </w:r>
      <w:r w:rsidR="00E13392" w:rsidRPr="00D022A9">
        <w:rPr>
          <w:rFonts w:ascii="Calibri" w:eastAsiaTheme="minorHAnsi" w:hAnsi="Calibri" w:cs="Palatino"/>
          <w:sz w:val="20"/>
          <w:szCs w:val="20"/>
          <w:lang w:val="en-GB" w:eastAsia="en-US"/>
        </w:rPr>
        <w:fldChar w:fldCharType="end"/>
      </w:r>
      <w:r w:rsidRPr="00D022A9">
        <w:rPr>
          <w:rFonts w:ascii="Calibri" w:eastAsiaTheme="minorHAnsi" w:hAnsi="Calibri" w:cs="Palatino"/>
          <w:sz w:val="20"/>
          <w:szCs w:val="20"/>
          <w:lang w:val="en-GB" w:eastAsia="en-US"/>
        </w:rPr>
        <w:t>, 4 (Lackner</w:t>
      </w:r>
      <w:r w:rsidRPr="00D022A9">
        <w:rPr>
          <w:rFonts w:ascii="Calibri" w:eastAsiaTheme="minorHAnsi" w:hAnsi="Calibri" w:cs="Palatino"/>
          <w:i/>
          <w:sz w:val="20"/>
          <w:szCs w:val="20"/>
          <w:lang w:val="en-GB" w:eastAsia="en-US"/>
        </w:rPr>
        <w:t xml:space="preserve"> et al.,</w:t>
      </w:r>
      <w:r w:rsidRPr="00D022A9">
        <w:rPr>
          <w:rFonts w:ascii="Calibri" w:eastAsiaTheme="minorHAnsi" w:hAnsi="Calibri" w:cs="Palatino"/>
          <w:sz w:val="20"/>
          <w:szCs w:val="20"/>
          <w:lang w:val="en-GB" w:eastAsia="en-US"/>
        </w:rPr>
        <w:t xml:space="preserve"> 2012)</w:t>
      </w:r>
      <w:r w:rsidR="00E13392" w:rsidRPr="00D022A9">
        <w:rPr>
          <w:rFonts w:ascii="Calibri" w:eastAsiaTheme="minorHAnsi" w:hAnsi="Calibri" w:cs="Palatino"/>
          <w:sz w:val="20"/>
          <w:szCs w:val="20"/>
          <w:lang w:val="en-GB" w:eastAsia="en-US"/>
        </w:rPr>
        <w:fldChar w:fldCharType="begin"/>
      </w:r>
      <w:r w:rsidR="00A43B13">
        <w:rPr>
          <w:rFonts w:ascii="Calibri" w:eastAsiaTheme="minorHAnsi" w:hAnsi="Calibri" w:cs="Palatino"/>
          <w:sz w:val="20"/>
          <w:szCs w:val="20"/>
          <w:lang w:val="en-GB" w:eastAsia="en-US"/>
        </w:rPr>
        <w:instrText xml:space="preserve"> ADDIN EN.CITE &lt;EndNote&gt;&lt;Cite&gt;&lt;Author&gt;Lackner&lt;/Author&gt;&lt;Year&gt;2012&lt;/Year&gt;&lt;RecNum&gt;1458&lt;/RecNum&gt;&lt;DisplayText&gt;&lt;style face="superscript"&gt;198&lt;/style&gt;&lt;/DisplayText&gt;&lt;record&gt;&lt;rec-number&gt;1458&lt;/rec-number&gt;&lt;foreign-keys&gt;&lt;key app="EN" db-id="wtftd20rmszxx0ettxy5exwdf90wv22s2dsf" timestamp="1419304185"&gt;1458&lt;/key&gt;&lt;/foreign-keys&gt;&lt;ref-type name="Journal Article"&gt;17&lt;/ref-type&gt;&lt;contributors&gt;&lt;authors&gt;&lt;author&gt;KS Lackner&lt;/author&gt;&lt;author&gt;S Brennan&lt;/author&gt;&lt;author&gt;JM Matter&lt;/author&gt;&lt;author&gt;AHA Park&lt;/author&gt;&lt;author&gt;A Wright&lt;/author&gt;&lt;author&gt;B van der Zwaan&lt;/author&gt;&lt;/authors&gt;&lt;/contributors&gt;&lt;titles&gt;&lt;title&gt;&lt;style face="normal" font="default" size="100%"&gt;The urgency of the development of CO&lt;/style&gt;&lt;style face="subscript" font="default" size="100%"&gt;2&lt;/style&gt;&lt;style face="normal" font="default" size="100%"&gt; capture from ambient air&lt;/style&gt;&lt;/title&gt;&lt;secondary-title&gt;Proceedings of the National Academy of Sciences&lt;/secondary-title&gt;&lt;/titles&gt;&lt;periodical&gt;&lt;full-title&gt;Proceedings of the National Academy of Sciences&lt;/full-title&gt;&lt;/periodical&gt;&lt;pages&gt;13156-62&lt;/pages&gt;&lt;volume&gt;109&lt;/volume&gt;&lt;number&gt;33&lt;/number&gt;&lt;dates&gt;&lt;year&gt;2012&lt;/year&gt;&lt;/dates&gt;&lt;urls&gt;&lt;/urls&gt;&lt;/record&gt;&lt;/Cite&gt;&lt;/EndNote&gt;</w:instrText>
      </w:r>
      <w:r w:rsidR="00E13392" w:rsidRPr="00D022A9">
        <w:rPr>
          <w:rFonts w:ascii="Calibri" w:eastAsiaTheme="minorHAnsi" w:hAnsi="Calibri" w:cs="Palatino"/>
          <w:sz w:val="20"/>
          <w:szCs w:val="20"/>
          <w:lang w:val="en-GB" w:eastAsia="en-US"/>
        </w:rPr>
        <w:fldChar w:fldCharType="separate"/>
      </w:r>
      <w:r w:rsidR="00A43B13" w:rsidRPr="00A43B13">
        <w:rPr>
          <w:rFonts w:ascii="Calibri" w:eastAsiaTheme="minorHAnsi" w:hAnsi="Calibri" w:cs="Palatino"/>
          <w:noProof/>
          <w:sz w:val="20"/>
          <w:szCs w:val="20"/>
          <w:vertAlign w:val="superscript"/>
          <w:lang w:val="en-GB" w:eastAsia="en-US"/>
        </w:rPr>
        <w:t>198</w:t>
      </w:r>
      <w:r w:rsidR="00E13392" w:rsidRPr="00D022A9">
        <w:rPr>
          <w:rFonts w:ascii="Calibri" w:eastAsiaTheme="minorHAnsi" w:hAnsi="Calibri" w:cs="Palatino"/>
          <w:sz w:val="20"/>
          <w:szCs w:val="20"/>
          <w:lang w:val="en-GB" w:eastAsia="en-US"/>
        </w:rPr>
        <w:fldChar w:fldCharType="end"/>
      </w:r>
      <w:r w:rsidRPr="00D022A9">
        <w:rPr>
          <w:rFonts w:ascii="Calibri" w:eastAsiaTheme="minorHAnsi" w:hAnsi="Calibri" w:cs="Palatino"/>
          <w:sz w:val="20"/>
          <w:szCs w:val="20"/>
          <w:lang w:val="en-GB" w:eastAsia="en-US"/>
        </w:rPr>
        <w:t>, 5 (Fischedick</w:t>
      </w:r>
      <w:r w:rsidRPr="00D022A9">
        <w:rPr>
          <w:rFonts w:ascii="Calibri" w:eastAsiaTheme="minorHAnsi" w:hAnsi="Calibri" w:cs="Palatino"/>
          <w:i/>
          <w:sz w:val="20"/>
          <w:szCs w:val="20"/>
          <w:lang w:val="en-GB" w:eastAsia="en-US"/>
        </w:rPr>
        <w:t xml:space="preserve"> </w:t>
      </w:r>
      <w:r w:rsidRPr="00D022A9">
        <w:rPr>
          <w:rFonts w:ascii="Calibri" w:eastAsiaTheme="minorHAnsi" w:hAnsi="Calibri" w:cs="Palatino"/>
          <w:sz w:val="20"/>
          <w:szCs w:val="20"/>
          <w:lang w:val="en-GB" w:eastAsia="en-US"/>
        </w:rPr>
        <w:t>et al., 2011)</w:t>
      </w:r>
      <w:r w:rsidR="00E13392" w:rsidRPr="00D022A9">
        <w:rPr>
          <w:rFonts w:ascii="Calibri" w:eastAsiaTheme="minorHAnsi" w:hAnsi="Calibri" w:cs="Palatino"/>
          <w:sz w:val="20"/>
          <w:szCs w:val="20"/>
          <w:lang w:val="en-GB" w:eastAsia="en-US"/>
        </w:rPr>
        <w:fldChar w:fldCharType="begin"/>
      </w:r>
      <w:r w:rsidR="00A43B13">
        <w:rPr>
          <w:rFonts w:ascii="Calibri" w:eastAsiaTheme="minorHAnsi" w:hAnsi="Calibri" w:cs="Palatino"/>
          <w:sz w:val="20"/>
          <w:szCs w:val="20"/>
          <w:lang w:val="en-GB" w:eastAsia="en-US"/>
        </w:rPr>
        <w:instrText xml:space="preserve"> ADDIN EN.CITE &lt;EndNote&gt;&lt;Cite&gt;&lt;Author&gt;Fischedick&lt;/Author&gt;&lt;Year&gt;2011&lt;/Year&gt;&lt;RecNum&gt;1459&lt;/RecNum&gt;&lt;DisplayText&gt;&lt;style face="superscript"&gt;199&lt;/style&gt;&lt;/DisplayText&gt;&lt;record&gt;&lt;rec-number&gt;1459&lt;/rec-number&gt;&lt;foreign-keys&gt;&lt;key app="EN" db-id="wtftd20rmszxx0ettxy5exwdf90wv22s2dsf" timestamp="1419304410"&gt;1459&lt;/key&gt;&lt;/foreign-keys&gt;&lt;ref-type name="Book Section"&gt;5&lt;/ref-type&gt;&lt;contributors&gt;&lt;authors&gt;&lt;author&gt;M Fischedick&lt;/author&gt;&lt;author&gt;R Schaeffer&lt;/author&gt;&lt;author&gt;A Adedoyin&lt;/author&gt;&lt;author&gt;M Akai&lt;/author&gt;&lt;author&gt;T Bruckner&lt;/author&gt;&lt;author&gt;L Clarke&lt;/author&gt;&lt;author&gt;V Krey&lt;/author&gt;&lt;author&gt;I Savolainen&lt;/author&gt;&lt;author&gt;S Teske&lt;/author&gt;&lt;author&gt;D Urge-Vorsatz&lt;/author&gt;&lt;author&gt;R Wright&lt;/author&gt;&lt;/authors&gt;&lt;secondary-authors&gt;&lt;author&gt;O Edenhofer&lt;/author&gt;&lt;author&gt;R Pichs-Madruga&lt;/author&gt;&lt;author&gt;Y Sokona&lt;/author&gt;&lt;author&gt;K Seyboth&lt;/author&gt;&lt;author&gt;P Matschoss&lt;/author&gt;&lt;author&gt;S Kadner&lt;/author&gt;&lt;author&gt;P Eickemeier&lt;/author&gt;&lt;author&gt;G Hansen&lt;/author&gt;&lt;author&gt;S Schlomer&lt;/author&gt;&lt;author&gt;C von Stechow&lt;/author&gt;&lt;/secondary-authors&gt;&lt;/contributors&gt;&lt;titles&gt;&lt;title&gt;Mitigation potential and costs&lt;/title&gt;&lt;secondary-title&gt;IPCC special report on renewable energy sources and climate change mitigation&lt;/secondary-title&gt;&lt;/titles&gt;&lt;dates&gt;&lt;year&gt;2011&lt;/year&gt;&lt;/dates&gt;&lt;pub-location&gt;Cambridge, United Kingdom and New York, USA&lt;/pub-location&gt;&lt;publisher&gt;Cambridge University Press&lt;/publisher&gt;&lt;urls&gt;&lt;/urls&gt;&lt;/record&gt;&lt;/Cite&gt;&lt;/EndNote&gt;</w:instrText>
      </w:r>
      <w:r w:rsidR="00E13392" w:rsidRPr="00D022A9">
        <w:rPr>
          <w:rFonts w:ascii="Calibri" w:eastAsiaTheme="minorHAnsi" w:hAnsi="Calibri" w:cs="Palatino"/>
          <w:sz w:val="20"/>
          <w:szCs w:val="20"/>
          <w:lang w:val="en-GB" w:eastAsia="en-US"/>
        </w:rPr>
        <w:fldChar w:fldCharType="separate"/>
      </w:r>
      <w:r w:rsidR="00A43B13" w:rsidRPr="00A43B13">
        <w:rPr>
          <w:rFonts w:ascii="Calibri" w:eastAsiaTheme="minorHAnsi" w:hAnsi="Calibri" w:cs="Palatino"/>
          <w:noProof/>
          <w:sz w:val="20"/>
          <w:szCs w:val="20"/>
          <w:vertAlign w:val="superscript"/>
          <w:lang w:val="en-GB" w:eastAsia="en-US"/>
        </w:rPr>
        <w:t>199</w:t>
      </w:r>
      <w:r w:rsidR="00E13392" w:rsidRPr="00D022A9">
        <w:rPr>
          <w:rFonts w:ascii="Calibri" w:eastAsiaTheme="minorHAnsi" w:hAnsi="Calibri" w:cs="Palatino"/>
          <w:sz w:val="20"/>
          <w:szCs w:val="20"/>
          <w:lang w:val="en-GB" w:eastAsia="en-US"/>
        </w:rPr>
        <w:fldChar w:fldCharType="end"/>
      </w:r>
      <w:r w:rsidRPr="00D022A9">
        <w:rPr>
          <w:rFonts w:ascii="Calibri" w:eastAsiaTheme="minorHAnsi" w:hAnsi="Calibri" w:cs="Palatino"/>
          <w:sz w:val="20"/>
          <w:szCs w:val="20"/>
          <w:lang w:val="en-GB" w:eastAsia="en-US"/>
        </w:rPr>
        <w:t>, 6 (van der Zwaan, 2013)</w:t>
      </w:r>
      <w:r w:rsidR="00E13392" w:rsidRPr="00D022A9">
        <w:rPr>
          <w:rFonts w:ascii="Calibri" w:eastAsiaTheme="minorHAnsi" w:hAnsi="Calibri" w:cs="Palatino"/>
          <w:sz w:val="20"/>
          <w:szCs w:val="20"/>
          <w:lang w:val="en-GB" w:eastAsia="en-US"/>
        </w:rPr>
        <w:fldChar w:fldCharType="begin"/>
      </w:r>
      <w:r w:rsidR="00A43B13">
        <w:rPr>
          <w:rFonts w:ascii="Calibri" w:eastAsiaTheme="minorHAnsi" w:hAnsi="Calibri" w:cs="Palatino"/>
          <w:sz w:val="20"/>
          <w:szCs w:val="20"/>
          <w:lang w:val="en-GB" w:eastAsia="en-US"/>
        </w:rPr>
        <w:instrText xml:space="preserve"> ADDIN EN.CITE &lt;EndNote&gt;&lt;Cite&gt;&lt;Author&gt;Zwaan&lt;/Author&gt;&lt;Year&gt;2013&lt;/Year&gt;&lt;RecNum&gt;1460&lt;/RecNum&gt;&lt;DisplayText&gt;&lt;style face="superscript"&gt;200&lt;/style&gt;&lt;/DisplayText&gt;&lt;record&gt;&lt;rec-number&gt;1460&lt;/rec-number&gt;&lt;foreign-keys&gt;&lt;key app="EN" db-id="wtftd20rmszxx0ettxy5exwdf90wv22s2dsf" timestamp="1419304481"&gt;1460&lt;/key&gt;&lt;/foreign-keys&gt;&lt;ref-type name="Journal Article"&gt;17&lt;/ref-type&gt;&lt;contributors&gt;&lt;authors&gt;&lt;author&gt;B van der Zwaan&lt;/author&gt;&lt;/authors&gt;&lt;/contributors&gt;&lt;titles&gt;&lt;title&gt;The role of nuclear power in mitigating emissions from electricity generation&lt;/title&gt;&lt;secondary-title&gt;Energy Strategy Reviews&lt;/secondary-title&gt;&lt;/titles&gt;&lt;periodical&gt;&lt;full-title&gt;Energy Strategy Reviews&lt;/full-title&gt;&lt;/periodical&gt;&lt;pages&gt; 296-301&lt;/pages&gt;&lt;volume&gt;1&lt;/volume&gt;&lt;dates&gt;&lt;year&gt;2013&lt;/year&gt;&lt;/dates&gt;&lt;urls&gt;&lt;/urls&gt;&lt;/record&gt;&lt;/Cite&gt;&lt;/EndNote&gt;</w:instrText>
      </w:r>
      <w:r w:rsidR="00E13392" w:rsidRPr="00D022A9">
        <w:rPr>
          <w:rFonts w:ascii="Calibri" w:eastAsiaTheme="minorHAnsi" w:hAnsi="Calibri" w:cs="Palatino"/>
          <w:sz w:val="20"/>
          <w:szCs w:val="20"/>
          <w:lang w:val="en-GB" w:eastAsia="en-US"/>
        </w:rPr>
        <w:fldChar w:fldCharType="separate"/>
      </w:r>
      <w:r w:rsidR="00A43B13" w:rsidRPr="00A43B13">
        <w:rPr>
          <w:rFonts w:ascii="Calibri" w:eastAsiaTheme="minorHAnsi" w:hAnsi="Calibri" w:cs="Palatino"/>
          <w:noProof/>
          <w:sz w:val="20"/>
          <w:szCs w:val="20"/>
          <w:vertAlign w:val="superscript"/>
          <w:lang w:val="en-GB" w:eastAsia="en-US"/>
        </w:rPr>
        <w:t>200</w:t>
      </w:r>
      <w:r w:rsidR="00E13392" w:rsidRPr="00D022A9">
        <w:rPr>
          <w:rFonts w:ascii="Calibri" w:eastAsiaTheme="minorHAnsi" w:hAnsi="Calibri" w:cs="Palatino"/>
          <w:sz w:val="20"/>
          <w:szCs w:val="20"/>
          <w:lang w:val="en-GB" w:eastAsia="en-US"/>
        </w:rPr>
        <w:fldChar w:fldCharType="end"/>
      </w:r>
      <w:r w:rsidRPr="00D022A9">
        <w:rPr>
          <w:rFonts w:ascii="Calibri" w:eastAsiaTheme="minorHAnsi" w:hAnsi="Calibri" w:cs="Palatino"/>
          <w:sz w:val="20"/>
          <w:szCs w:val="20"/>
          <w:lang w:val="en-GB" w:eastAsia="en-US"/>
        </w:rPr>
        <w:t>. *The values of CO</w:t>
      </w:r>
      <w:r w:rsidRPr="00D022A9">
        <w:rPr>
          <w:rFonts w:ascii="Calibri" w:eastAsiaTheme="minorHAnsi" w:hAnsi="Calibri" w:cs="Palatino"/>
          <w:sz w:val="20"/>
          <w:szCs w:val="20"/>
          <w:vertAlign w:val="subscript"/>
          <w:lang w:val="en-GB" w:eastAsia="en-US"/>
        </w:rPr>
        <w:t xml:space="preserve">2 </w:t>
      </w:r>
      <w:r w:rsidRPr="00D022A9">
        <w:rPr>
          <w:rFonts w:ascii="Calibri" w:eastAsiaTheme="minorHAnsi" w:hAnsi="Calibri" w:cs="Palatino"/>
          <w:sz w:val="20"/>
          <w:szCs w:val="20"/>
          <w:lang w:val="en-GB" w:eastAsia="en-US"/>
        </w:rPr>
        <w:t>emission mitigation for renewable energy were read from figure 10.20 in IPCC special report on renewable sources and climate change mitigation. The ranges represented the minimum and maximum values from four future energy scenarios.</w:t>
      </w:r>
    </w:p>
    <w:p w:rsidR="008662EF" w:rsidRPr="005F5BC6" w:rsidRDefault="008662EF" w:rsidP="00B80CE0">
      <w:pPr>
        <w:spacing w:after="120"/>
        <w:jc w:val="both"/>
        <w:rPr>
          <w:rFonts w:ascii="Calibri" w:hAnsi="Calibri"/>
          <w:sz w:val="20"/>
          <w:szCs w:val="20"/>
          <w:lang w:val="en-GB"/>
        </w:rPr>
      </w:pPr>
    </w:p>
    <w:p w:rsidR="00F27BD7" w:rsidRPr="00D036C9" w:rsidRDefault="00F27BD7" w:rsidP="00D036C9">
      <w:pPr>
        <w:pStyle w:val="Heading2"/>
        <w:rPr>
          <w:lang w:val="en-GB"/>
        </w:rPr>
      </w:pPr>
      <w:bookmarkStart w:id="91" w:name="_Toc415931391"/>
      <w:bookmarkStart w:id="92" w:name="_Toc417502056"/>
      <w:r w:rsidRPr="005F5BC6">
        <w:rPr>
          <w:lang w:val="en-GB"/>
        </w:rPr>
        <w:t xml:space="preserve">Main </w:t>
      </w:r>
      <w:r w:rsidR="00155D15">
        <w:rPr>
          <w:lang w:val="en-GB"/>
        </w:rPr>
        <w:t>S</w:t>
      </w:r>
      <w:r w:rsidR="00155D15" w:rsidRPr="005F5BC6">
        <w:rPr>
          <w:lang w:val="en-GB"/>
        </w:rPr>
        <w:t xml:space="preserve">ources </w:t>
      </w:r>
      <w:r w:rsidRPr="005F5BC6">
        <w:rPr>
          <w:lang w:val="en-GB"/>
        </w:rPr>
        <w:t xml:space="preserve">of GHG </w:t>
      </w:r>
      <w:bookmarkEnd w:id="90"/>
      <w:r w:rsidR="00155D15">
        <w:rPr>
          <w:lang w:val="en-GB"/>
        </w:rPr>
        <w:t>E</w:t>
      </w:r>
      <w:r w:rsidR="00155D15" w:rsidRPr="005F5BC6">
        <w:rPr>
          <w:lang w:val="en-GB"/>
        </w:rPr>
        <w:t>missions</w:t>
      </w:r>
      <w:bookmarkEnd w:id="91"/>
      <w:bookmarkEnd w:id="92"/>
    </w:p>
    <w:p w:rsidR="00B80CE0" w:rsidRPr="005F5BC6" w:rsidRDefault="00B80CE0" w:rsidP="00B80CE0">
      <w:pPr>
        <w:jc w:val="both"/>
        <w:rPr>
          <w:rFonts w:ascii="Calibri" w:hAnsi="Calibri" w:cs="Times New Roman"/>
          <w:sz w:val="22"/>
          <w:szCs w:val="22"/>
          <w:lang w:val="en-GB"/>
        </w:rPr>
      </w:pPr>
      <w:r w:rsidRPr="005F5BC6">
        <w:rPr>
          <w:rFonts w:ascii="Calibri" w:hAnsi="Calibri" w:cs="Times New Roman"/>
          <w:sz w:val="22"/>
          <w:szCs w:val="22"/>
          <w:lang w:val="en-GB"/>
        </w:rPr>
        <w:t>In 2010, annual global GHG emissions were estimated at 49 GtCO</w:t>
      </w:r>
      <w:r w:rsidRPr="00FD2424">
        <w:rPr>
          <w:rFonts w:ascii="Calibri" w:hAnsi="Calibri" w:cs="Times New Roman"/>
          <w:sz w:val="22"/>
          <w:szCs w:val="22"/>
          <w:vertAlign w:val="subscript"/>
          <w:lang w:val="en-GB"/>
        </w:rPr>
        <w:t>2</w:t>
      </w:r>
      <w:r w:rsidRPr="005F5BC6">
        <w:rPr>
          <w:rFonts w:ascii="Calibri" w:hAnsi="Calibri" w:cs="Times New Roman"/>
          <w:sz w:val="22"/>
          <w:szCs w:val="22"/>
          <w:lang w:val="en-GB"/>
        </w:rPr>
        <w:t>e.</w:t>
      </w:r>
      <w:r w:rsidR="00E13392">
        <w:rPr>
          <w:rFonts w:ascii="Calibri" w:hAnsi="Calibri" w:cs="Times New Roman"/>
          <w:sz w:val="22"/>
          <w:szCs w:val="22"/>
          <w:lang w:val="en-GB"/>
        </w:rPr>
        <w:fldChar w:fldCharType="begin"/>
      </w:r>
      <w:r w:rsidR="00A43B13">
        <w:rPr>
          <w:rFonts w:ascii="Calibri" w:hAnsi="Calibri" w:cs="Times New Roman"/>
          <w:sz w:val="22"/>
          <w:szCs w:val="22"/>
          <w:lang w:val="en-GB"/>
        </w:rPr>
        <w:instrText xml:space="preserve"> ADDIN EN.CITE &lt;EndNote&gt;&lt;Cite&gt;&lt;RecNum&gt;1427&lt;/RecNum&gt;&lt;DisplayText&gt;&lt;style face="superscript"&gt;201&lt;/style&gt;&lt;/DisplayText&gt;&lt;record&gt;&lt;rec-number&gt;1427&lt;/rec-number&gt;&lt;foreign-keys&gt;&lt;key app="EN" db-id="wtftd20rmszxx0ettxy5exwdf90wv22s2dsf" timestamp="1419296207"&gt;1427&lt;/key&gt;&lt;/foreign-keys&gt;&lt;ref-type name="Book Section"&gt;5&lt;/ref-type&gt;&lt;contributors&gt;&lt;secondary-authors&gt;&lt;author&gt;O Edenhofer&lt;/author&gt;&lt;author&gt;R Pichs-Madruga&lt;/author&gt;&lt;author&gt;Y Sokona&lt;/author&gt;&lt;author&gt;E Farahani&lt;/author&gt;&lt;author&gt;S Kadner&lt;/author&gt;&lt;author&gt;K Seyboth&lt;/author&gt;&lt;author&gt;A Adler&lt;/author&gt;&lt;author&gt;I Baum&lt;/author&gt;&lt;author&gt;S Brunner&lt;/author&gt;&lt;author&gt;P Eickemeier&lt;/author&gt;&lt;author&gt;B Kriemann&lt;/author&gt;&lt;author&gt;J Savolainen&lt;/author&gt;&lt;author&gt;S Schlömer&lt;/author&gt;&lt;author&gt;C von Stechow&lt;/author&gt;&lt;author&gt;T Zwickel&lt;/author&gt;&lt;author&gt;JC Minx&lt;/author&gt;&lt;/secondary-authors&gt;&lt;/contributors&gt;&lt;titles&gt;&lt;title&gt;Summary for Policymakers&lt;/title&gt;&lt;secondary-title&gt;Climate Change 2014: Mitigation of Climate Change. Contribution of Working Group III to the Fifth Assessment Report of the Intergovernmental Panel on Climate Change&lt;/secondary-title&gt;&lt;/titles&gt;&lt;dates&gt;&lt;/dates&gt;&lt;pub-location&gt;Cambridge, United Kingdom and New York, NY, USA&lt;/pub-location&gt;&lt;publisher&gt;Cambridge University Press&lt;/publisher&gt;&lt;urls&gt;&lt;/urls&gt;&lt;/record&gt;&lt;/Cite&gt;&lt;/EndNote&gt;</w:instrText>
      </w:r>
      <w:r w:rsidR="00E13392">
        <w:rPr>
          <w:rFonts w:ascii="Calibri" w:hAnsi="Calibri" w:cs="Times New Roman"/>
          <w:sz w:val="22"/>
          <w:szCs w:val="22"/>
          <w:lang w:val="en-GB"/>
        </w:rPr>
        <w:fldChar w:fldCharType="separate"/>
      </w:r>
      <w:r w:rsidR="00A43B13" w:rsidRPr="00A43B13">
        <w:rPr>
          <w:rFonts w:ascii="Calibri" w:hAnsi="Calibri" w:cs="Times New Roman"/>
          <w:noProof/>
          <w:sz w:val="22"/>
          <w:szCs w:val="22"/>
          <w:vertAlign w:val="superscript"/>
          <w:lang w:val="en-GB"/>
        </w:rPr>
        <w:t>201</w:t>
      </w:r>
      <w:r w:rsidR="00E13392">
        <w:rPr>
          <w:rFonts w:ascii="Calibri" w:hAnsi="Calibri" w:cs="Times New Roman"/>
          <w:sz w:val="22"/>
          <w:szCs w:val="22"/>
          <w:lang w:val="en-GB"/>
        </w:rPr>
        <w:fldChar w:fldCharType="end"/>
      </w:r>
      <w:r w:rsidRPr="005F5BC6">
        <w:rPr>
          <w:rFonts w:ascii="Calibri" w:hAnsi="Calibri" w:cs="Times New Roman"/>
          <w:sz w:val="22"/>
          <w:szCs w:val="22"/>
          <w:lang w:val="en-GB"/>
        </w:rPr>
        <w:t xml:space="preserve"> </w:t>
      </w:r>
      <w:r w:rsidRPr="00B52CC1">
        <w:rPr>
          <w:rFonts w:ascii="Calibri" w:hAnsi="Calibri" w:cs="Times New Roman"/>
          <w:sz w:val="22"/>
          <w:szCs w:val="22"/>
          <w:lang w:val="en-GB"/>
        </w:rPr>
        <w:t>The majority</w:t>
      </w:r>
      <w:r w:rsidRPr="00D17021">
        <w:rPr>
          <w:rFonts w:ascii="Calibri" w:hAnsi="Calibri" w:cs="Times New Roman"/>
          <w:sz w:val="22"/>
          <w:szCs w:val="22"/>
          <w:lang w:val="en-GB"/>
        </w:rPr>
        <w:t xml:space="preserve"> (~70%) of all GHG emissions can be linked back to the burning of fossil </w:t>
      </w:r>
      <w:r w:rsidRPr="00D7478E">
        <w:rPr>
          <w:rFonts w:ascii="Calibri" w:hAnsi="Calibri" w:cs="Times New Roman"/>
          <w:sz w:val="22"/>
          <w:szCs w:val="22"/>
          <w:lang w:val="en-GB"/>
        </w:rPr>
        <w:t>fuel for the production of energy services, goods or energy extraction (</w:t>
      </w:r>
      <w:r w:rsidRPr="00FD2424">
        <w:rPr>
          <w:rFonts w:ascii="Calibri" w:hAnsi="Calibri" w:cs="Times New Roman"/>
          <w:sz w:val="22"/>
          <w:szCs w:val="22"/>
          <w:lang w:val="en-GB"/>
        </w:rPr>
        <w:t xml:space="preserve">Figure </w:t>
      </w:r>
      <w:r>
        <w:rPr>
          <w:rFonts w:ascii="Calibri" w:hAnsi="Calibri" w:cs="Times New Roman"/>
          <w:sz w:val="22"/>
          <w:szCs w:val="22"/>
          <w:lang w:val="en-GB"/>
        </w:rPr>
        <w:t>4.1</w:t>
      </w:r>
      <w:r w:rsidRPr="005F5BC6">
        <w:rPr>
          <w:rFonts w:ascii="Calibri" w:hAnsi="Calibri" w:cs="Times New Roman"/>
          <w:sz w:val="22"/>
          <w:szCs w:val="22"/>
          <w:lang w:val="en-GB"/>
        </w:rPr>
        <w:t>)</w:t>
      </w:r>
      <w:r w:rsidR="00EA70AE">
        <w:rPr>
          <w:rFonts w:ascii="Calibri" w:hAnsi="Calibri" w:cs="Times New Roman"/>
          <w:sz w:val="22"/>
          <w:szCs w:val="22"/>
          <w:lang w:val="en-GB"/>
        </w:rPr>
        <w:t>.</w:t>
      </w:r>
      <w:r w:rsidR="00E13392">
        <w:rPr>
          <w:rFonts w:ascii="Calibri" w:hAnsi="Calibri" w:cs="Times New Roman"/>
          <w:sz w:val="22"/>
          <w:szCs w:val="22"/>
          <w:lang w:val="en-GB"/>
        </w:rPr>
        <w:fldChar w:fldCharType="begin"/>
      </w:r>
      <w:r w:rsidR="00A43B13">
        <w:rPr>
          <w:rFonts w:ascii="Calibri" w:hAnsi="Calibri" w:cs="Times New Roman"/>
          <w:sz w:val="22"/>
          <w:szCs w:val="22"/>
          <w:lang w:val="en-GB"/>
        </w:rPr>
        <w:instrText xml:space="preserve"> ADDIN EN.CITE &lt;EndNote&gt;&lt;Cite&gt;&lt;Author&gt;Victor&lt;/Author&gt;&lt;Year&gt;2014&lt;/Year&gt;&lt;RecNum&gt;1384&lt;/RecNum&gt;&lt;DisplayText&gt;&lt;style face="superscript"&gt;202&lt;/style&gt;&lt;/DisplayText&gt;&lt;record&gt;&lt;rec-number&gt;1384&lt;/rec-number&gt;&lt;foreign-keys&gt;&lt;key app="EN" db-id="wtftd20rmszxx0ettxy5exwdf90wv22s2dsf" timestamp="1419251477"&gt;1384&lt;/key&gt;&lt;/foreign-keys&gt;&lt;ref-type name="Book Section"&gt;5&lt;/ref-type&gt;&lt;contributors&gt;&lt;authors&gt;&lt;author&gt;DG Victor&lt;/author&gt;&lt;author&gt;D Zhou&lt;/author&gt;&lt;author&gt;EHM Ahmed&lt;/author&gt;&lt;author&gt;PK Dadhich&lt;/author&gt;&lt;author&gt;JGJ Olivier&lt;/author&gt;&lt;author&gt;HH Rogner&lt;/author&gt;&lt;author&gt;K Sheikho&lt;/author&gt;&lt;author&gt;M Yamaguchi&lt;/author&gt;&lt;/authors&gt;&lt;secondary-authors&gt;&lt;author&gt;O Edenhofer&lt;/author&gt;&lt;author&gt;R Pichs-Madruga&lt;/author&gt;&lt;author&gt;Y Sokona&lt;/author&gt;&lt;author&gt;E Farahani&lt;/author&gt;&lt;author&gt;S Kadner&lt;/author&gt;&lt;author&gt;K Seyboth&lt;/author&gt;&lt;author&gt;A Adler&lt;/author&gt;&lt;author&gt;I Baum&lt;/author&gt;&lt;author&gt;S Brunner&lt;/author&gt;&lt;author&gt;P Eickemeier&lt;/author&gt;&lt;author&gt;B Kriemann&lt;/author&gt;&lt;author&gt;J Savolainen&lt;/author&gt;&lt;author&gt;S Schlömer&lt;/author&gt;&lt;author&gt;C von Stechow&lt;/author&gt;&lt;author&gt;T Zwickel&lt;/author&gt;&lt;author&gt;JC Minx&lt;/author&gt;&lt;/secondary-authors&gt;&lt;/contributors&gt;&lt;titles&gt;&lt;title&gt;Introductory Chapter&lt;/title&gt;&lt;secondary-title&gt;Climate Change 2014: Mitigation of Climate Change. Contribution of Working Group III to the Fifth Assessment Report of the Intergovernmental Panel on Climate Change&lt;/secondary-title&gt;&lt;/titles&gt;&lt;dates&gt;&lt;year&gt;2014&lt;/year&gt;&lt;/dates&gt;&lt;pub-location&gt;Cambridge, United Kingdom and New York, NY, USA&lt;/pub-location&gt;&lt;publisher&gt;Cambridge University Press&lt;/publisher&gt;&lt;urls&gt;&lt;/urls&gt;&lt;/record&gt;&lt;/Cite&gt;&lt;/EndNote&gt;</w:instrText>
      </w:r>
      <w:r w:rsidR="00E13392">
        <w:rPr>
          <w:rFonts w:ascii="Calibri" w:hAnsi="Calibri" w:cs="Times New Roman"/>
          <w:sz w:val="22"/>
          <w:szCs w:val="22"/>
          <w:lang w:val="en-GB"/>
        </w:rPr>
        <w:fldChar w:fldCharType="separate"/>
      </w:r>
      <w:r w:rsidR="00A43B13" w:rsidRPr="00A43B13">
        <w:rPr>
          <w:rFonts w:ascii="Calibri" w:hAnsi="Calibri" w:cs="Times New Roman"/>
          <w:noProof/>
          <w:sz w:val="22"/>
          <w:szCs w:val="22"/>
          <w:vertAlign w:val="superscript"/>
          <w:lang w:val="en-GB"/>
        </w:rPr>
        <w:t>202</w:t>
      </w:r>
      <w:r w:rsidR="00E13392">
        <w:rPr>
          <w:rFonts w:ascii="Calibri" w:hAnsi="Calibri" w:cs="Times New Roman"/>
          <w:sz w:val="22"/>
          <w:szCs w:val="22"/>
          <w:lang w:val="en-GB"/>
        </w:rPr>
        <w:fldChar w:fldCharType="end"/>
      </w:r>
      <w:r w:rsidRPr="005F5BC6">
        <w:rPr>
          <w:rFonts w:ascii="Calibri" w:hAnsi="Calibri" w:cs="Times New Roman"/>
          <w:sz w:val="22"/>
          <w:szCs w:val="22"/>
          <w:lang w:val="en-GB"/>
        </w:rPr>
        <w:t xml:space="preserve"> Global emissions from heat and electricity production and transport have tripled and doubled respectively since 1970 whereas the contribution from agriculture and land use change has slightly reduced from 1990 levels.</w:t>
      </w:r>
      <w:r w:rsidR="00E13392">
        <w:rPr>
          <w:rFonts w:ascii="Calibri" w:hAnsi="Calibri" w:cs="Times New Roman"/>
          <w:sz w:val="22"/>
          <w:szCs w:val="22"/>
          <w:lang w:val="en-GB"/>
        </w:rPr>
        <w:fldChar w:fldCharType="begin"/>
      </w:r>
      <w:r w:rsidR="00A43B13">
        <w:rPr>
          <w:rFonts w:ascii="Calibri" w:hAnsi="Calibri" w:cs="Times New Roman"/>
          <w:sz w:val="22"/>
          <w:szCs w:val="22"/>
          <w:lang w:val="en-GB"/>
        </w:rPr>
        <w:instrText xml:space="preserve"> ADDIN EN.CITE &lt;EndNote&gt;&lt;Cite&gt;&lt;Author&gt;Bruckner&lt;/Author&gt;&lt;Year&gt;2014&lt;/Year&gt;&lt;RecNum&gt;1428&lt;/RecNum&gt;&lt;DisplayText&gt;&lt;style face="superscript"&gt;203&lt;/style&gt;&lt;/DisplayText&gt;&lt;record&gt;&lt;rec-number&gt;1428&lt;/rec-number&gt;&lt;foreign-keys&gt;&lt;key app="EN" db-id="wtftd20rmszxx0ettxy5exwdf90wv22s2dsf" timestamp="1419296464"&gt;1428&lt;/key&gt;&lt;/foreign-keys&gt;&lt;ref-type name="Book Section"&gt;5&lt;/ref-type&gt;&lt;contributors&gt;&lt;authors&gt;&lt;author&gt;T Bruckner&lt;/author&gt;&lt;author&gt;IA Bashmakov&lt;/author&gt;&lt;author&gt;Y Mulugetta&lt;/author&gt;&lt;author&gt;H Chum&lt;/author&gt;&lt;author&gt;A de la Vega Navarro&lt;/author&gt;&lt;author&gt;J Edmonds&lt;/author&gt;&lt;author&gt;A Faaij&lt;/author&gt;&lt;author&gt;B Fungtammasan&lt;/author&gt;&lt;author&gt;A Garg&lt;/author&gt;&lt;author&gt;E Hertwich&lt;/author&gt;&lt;author&gt;D Honnery&lt;/author&gt;&lt;author&gt;D Infield&lt;/author&gt;&lt;author&gt;M Kainuma&lt;/author&gt;&lt;author&gt;S Khennas&lt;/author&gt;&lt;author&gt;S Kim&lt;/author&gt;&lt;author&gt;HB Nimir&lt;/author&gt;&lt;author&gt;K Riahi&lt;/author&gt;&lt;author&gt;N Strachan&lt;/author&gt;&lt;author&gt;R Wiser&lt;/author&gt;&lt;author&gt;X Zhang&lt;/author&gt;&lt;/authors&gt;&lt;secondary-authors&gt;&lt;author&gt;O Edenhofer&lt;/author&gt;&lt;author&gt;R Pichs-Madruga&lt;/author&gt;&lt;author&gt;Y Sokona&lt;/author&gt;&lt;author&gt;E Farahani&lt;/author&gt;&lt;author&gt;S Kadner&lt;/author&gt;&lt;author&gt;K Seyboth&lt;/author&gt;&lt;author&gt;A Adler&lt;/author&gt;&lt;author&gt;I Baum&lt;/author&gt;&lt;author&gt;S Brunner&lt;/author&gt;&lt;author&gt;P Eickemeier&lt;/author&gt;&lt;author&gt;B Kriemann&lt;/author&gt;&lt;author&gt;J Savolainen&lt;/author&gt;&lt;author&gt;S Schlömer&lt;/author&gt;&lt;author&gt;C von Stechow&lt;/author&gt;&lt;author&gt;T Zwickel&lt;/author&gt;&lt;author&gt;JC Minx&lt;/author&gt;&lt;/secondary-authors&gt;&lt;/contributors&gt;&lt;titles&gt;&lt;title&gt;Energy Systems&lt;/title&gt;&lt;secondary-title&gt;Climate Change 2014: Mitigation of Climate Change. Contribution of Working Group III to the Fifth Assessment Report of the Intergovernmental Panel on Climate Change&lt;/secondary-title&gt;&lt;/titles&gt;&lt;dates&gt;&lt;year&gt;2014&lt;/year&gt;&lt;/dates&gt;&lt;pub-location&gt;Cambridge, United Kingdom and New York, NY, USA&lt;/pub-location&gt;&lt;publisher&gt;Cambridge University Press&lt;/publisher&gt;&lt;urls&gt;&lt;/urls&gt;&lt;/record&gt;&lt;/Cite&gt;&lt;/EndNote&gt;</w:instrText>
      </w:r>
      <w:r w:rsidR="00E13392">
        <w:rPr>
          <w:rFonts w:ascii="Calibri" w:hAnsi="Calibri" w:cs="Times New Roman"/>
          <w:sz w:val="22"/>
          <w:szCs w:val="22"/>
          <w:lang w:val="en-GB"/>
        </w:rPr>
        <w:fldChar w:fldCharType="separate"/>
      </w:r>
      <w:r w:rsidR="00A43B13" w:rsidRPr="00A43B13">
        <w:rPr>
          <w:rFonts w:ascii="Calibri" w:hAnsi="Calibri" w:cs="Times New Roman"/>
          <w:noProof/>
          <w:sz w:val="22"/>
          <w:szCs w:val="22"/>
          <w:vertAlign w:val="superscript"/>
          <w:lang w:val="en-GB"/>
        </w:rPr>
        <w:t>203</w:t>
      </w:r>
      <w:r w:rsidR="00E13392">
        <w:rPr>
          <w:rFonts w:ascii="Calibri" w:hAnsi="Calibri" w:cs="Times New Roman"/>
          <w:sz w:val="22"/>
          <w:szCs w:val="22"/>
          <w:lang w:val="en-GB"/>
        </w:rPr>
        <w:fldChar w:fldCharType="end"/>
      </w:r>
    </w:p>
    <w:p w:rsidR="00B80CE0" w:rsidRDefault="00B80CE0" w:rsidP="00B80CE0">
      <w:pPr>
        <w:jc w:val="both"/>
        <w:rPr>
          <w:rFonts w:ascii="Calibri" w:hAnsi="Calibri" w:cs="Times New Roman"/>
          <w:sz w:val="22"/>
          <w:szCs w:val="22"/>
          <w:lang w:val="en-GB"/>
        </w:rPr>
      </w:pPr>
    </w:p>
    <w:p w:rsidR="00D022A9" w:rsidRPr="00D022A9" w:rsidRDefault="00D022A9" w:rsidP="00D022A9">
      <w:pPr>
        <w:spacing w:after="160" w:line="259" w:lineRule="auto"/>
        <w:jc w:val="both"/>
        <w:rPr>
          <w:rFonts w:ascii="Calibri" w:eastAsiaTheme="minorHAnsi" w:hAnsi="Calibri" w:cs="Times New Roman"/>
          <w:sz w:val="22"/>
          <w:szCs w:val="22"/>
          <w:lang w:val="en-GB" w:eastAsia="en-US"/>
        </w:rPr>
      </w:pPr>
      <w:r w:rsidRPr="00D022A9">
        <w:rPr>
          <w:rFonts w:ascii="Calibri" w:eastAsiaTheme="minorHAnsi" w:hAnsi="Calibri" w:cs="Times New Roman"/>
          <w:noProof/>
          <w:sz w:val="22"/>
          <w:szCs w:val="22"/>
          <w:lang w:val="en-GB" w:eastAsia="en-GB"/>
        </w:rPr>
        <w:drawing>
          <wp:inline distT="0" distB="0" distL="0" distR="0">
            <wp:extent cx="5731510" cy="6283960"/>
            <wp:effectExtent l="0" t="0" r="2540" b="2540"/>
            <wp:docPr id="8" name="Picture 8" descr="Macintosh HD:Users:ighamilton:Documents:1401_LancetCrisis:02_Documents:02_WorkingGroups:WG3 - Technical Solutions:04_Images:IPCC_WGIII_Fig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ghamilton:Documents:1401_LancetCrisis:02_Documents:02_WorkingGroups:WG3 - Technical Solutions:04_Images:IPCC_WGIII_Fig14.pd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6283960"/>
                    </a:xfrm>
                    <a:prstGeom prst="rect">
                      <a:avLst/>
                    </a:prstGeom>
                    <a:noFill/>
                    <a:ln>
                      <a:noFill/>
                    </a:ln>
                  </pic:spPr>
                </pic:pic>
              </a:graphicData>
            </a:graphic>
          </wp:inline>
        </w:drawing>
      </w:r>
    </w:p>
    <w:p w:rsidR="00D022A9" w:rsidRPr="00D022A9" w:rsidRDefault="00D022A9" w:rsidP="00D022A9">
      <w:pPr>
        <w:spacing w:after="160" w:line="259" w:lineRule="auto"/>
        <w:jc w:val="both"/>
        <w:rPr>
          <w:rFonts w:ascii="Calibri" w:eastAsiaTheme="minorHAnsi" w:hAnsi="Calibri" w:cs="Times New Roman"/>
          <w:sz w:val="20"/>
          <w:szCs w:val="22"/>
          <w:lang w:val="en-GB" w:eastAsia="en-US"/>
        </w:rPr>
      </w:pPr>
      <w:r w:rsidRPr="00D022A9">
        <w:rPr>
          <w:rFonts w:ascii="Calibri" w:eastAsiaTheme="minorHAnsi" w:hAnsi="Calibri" w:cs="Times New Roman"/>
          <w:i/>
          <w:sz w:val="20"/>
          <w:szCs w:val="22"/>
          <w:lang w:val="en-GB" w:eastAsia="en-US"/>
        </w:rPr>
        <w:lastRenderedPageBreak/>
        <w:t>Figure 4.1:</w:t>
      </w:r>
      <w:r w:rsidRPr="00D022A9">
        <w:rPr>
          <w:rFonts w:ascii="Calibri" w:eastAsiaTheme="minorHAnsi" w:hAnsi="Calibri" w:cs="Times New Roman"/>
          <w:sz w:val="20"/>
          <w:szCs w:val="22"/>
          <w:lang w:val="en-GB" w:eastAsia="en-US"/>
        </w:rPr>
        <w:t xml:space="preserve"> Panel A (top left): Allocation of total GHG emissions in 2010 (49.5 GtCO</w:t>
      </w:r>
      <w:r w:rsidRPr="00D022A9">
        <w:rPr>
          <w:rFonts w:ascii="Calibri" w:eastAsiaTheme="minorHAnsi" w:hAnsi="Calibri" w:cs="Times New Roman"/>
          <w:sz w:val="20"/>
          <w:szCs w:val="22"/>
          <w:vertAlign w:val="subscript"/>
          <w:lang w:val="en-GB" w:eastAsia="en-US"/>
        </w:rPr>
        <w:t>2</w:t>
      </w:r>
      <w:r w:rsidRPr="00D022A9">
        <w:rPr>
          <w:rFonts w:ascii="Calibri" w:eastAsiaTheme="minorHAnsi" w:hAnsi="Calibri" w:cs="Times New Roman"/>
          <w:sz w:val="20"/>
          <w:szCs w:val="22"/>
          <w:lang w:val="en-GB" w:eastAsia="en-US"/>
        </w:rPr>
        <w:t>eq/yr) across the five sectors examined in detail in this report. Pullout from panel A allocates indirect CO</w:t>
      </w:r>
      <w:r w:rsidRPr="00D022A9">
        <w:rPr>
          <w:rFonts w:ascii="Calibri" w:eastAsiaTheme="minorHAnsi" w:hAnsi="Calibri" w:cs="Times New Roman"/>
          <w:sz w:val="20"/>
          <w:szCs w:val="22"/>
          <w:vertAlign w:val="subscript"/>
          <w:lang w:val="en-GB" w:eastAsia="en-US"/>
        </w:rPr>
        <w:t>2</w:t>
      </w:r>
      <w:r w:rsidRPr="00D022A9">
        <w:rPr>
          <w:rFonts w:ascii="Calibri" w:eastAsiaTheme="minorHAnsi" w:hAnsi="Calibri" w:cs="Times New Roman"/>
          <w:sz w:val="20"/>
          <w:szCs w:val="22"/>
          <w:lang w:val="en-GB" w:eastAsia="en-US"/>
        </w:rPr>
        <w:t xml:space="preserve"> emission shares from electricity and heat production in the sectors of final energy use. Panel B (top right) allocates total emissions (49.5 GtCO</w:t>
      </w:r>
      <w:r w:rsidRPr="00D022A9">
        <w:rPr>
          <w:rFonts w:ascii="Calibri" w:eastAsiaTheme="minorHAnsi" w:hAnsi="Calibri" w:cs="Times New Roman"/>
          <w:sz w:val="20"/>
          <w:szCs w:val="22"/>
          <w:vertAlign w:val="subscript"/>
          <w:lang w:val="en-GB" w:eastAsia="en-US"/>
        </w:rPr>
        <w:t>2</w:t>
      </w:r>
      <w:r w:rsidRPr="00D022A9">
        <w:rPr>
          <w:rFonts w:ascii="Calibri" w:eastAsiaTheme="minorHAnsi" w:hAnsi="Calibri" w:cs="Times New Roman"/>
          <w:sz w:val="20"/>
          <w:szCs w:val="22"/>
          <w:lang w:val="en-GB" w:eastAsia="en-US"/>
        </w:rPr>
        <w:t>eq/yr) to reveal how the total from each sector increases or decreases when adjusted for indirect emissions. Panel C (lower panel): Total annual GHG emissions by groups of gases 1970–2010, along with estimated uncertainties illustrated for 2010 (whiskers). The uncertainty ranges are illustrative, given the limited literature in this field.</w:t>
      </w:r>
      <w:r w:rsidR="007065D4">
        <w:rPr>
          <w:rFonts w:ascii="Calibri" w:eastAsiaTheme="minorHAnsi" w:hAnsi="Calibri" w:cs="Times New Roman"/>
          <w:sz w:val="20"/>
          <w:szCs w:val="22"/>
          <w:lang w:val="en-GB" w:eastAsia="en-US"/>
        </w:rPr>
        <w:t xml:space="preserve"> (Source: IPCC, 2014)</w:t>
      </w:r>
      <w:r w:rsidR="00E13392" w:rsidRPr="00D022A9">
        <w:rPr>
          <w:rFonts w:ascii="Calibri" w:eastAsiaTheme="minorHAnsi" w:hAnsi="Calibri" w:cs="Times New Roman"/>
          <w:sz w:val="20"/>
          <w:szCs w:val="22"/>
          <w:lang w:val="en-GB" w:eastAsia="en-US"/>
        </w:rPr>
        <w:fldChar w:fldCharType="begin"/>
      </w:r>
      <w:r w:rsidR="00A43B13">
        <w:rPr>
          <w:rFonts w:ascii="Calibri" w:eastAsiaTheme="minorHAnsi" w:hAnsi="Calibri" w:cs="Times New Roman"/>
          <w:sz w:val="20"/>
          <w:szCs w:val="22"/>
          <w:lang w:val="en-GB" w:eastAsia="en-US"/>
        </w:rPr>
        <w:instrText xml:space="preserve"> ADDIN EN.CITE &lt;EndNote&gt;&lt;Cite&gt;&lt;RecNum&gt;1427&lt;/RecNum&gt;&lt;DisplayText&gt;&lt;style face="superscript"&gt;201&lt;/style&gt;&lt;/DisplayText&gt;&lt;record&gt;&lt;rec-number&gt;1427&lt;/rec-number&gt;&lt;foreign-keys&gt;&lt;key app="EN" db-id="wtftd20rmszxx0ettxy5exwdf90wv22s2dsf" timestamp="1419296207"&gt;1427&lt;/key&gt;&lt;/foreign-keys&gt;&lt;ref-type name="Book Section"&gt;5&lt;/ref-type&gt;&lt;contributors&gt;&lt;secondary-authors&gt;&lt;author&gt;O Edenhofer&lt;/author&gt;&lt;author&gt;R Pichs-Madruga&lt;/author&gt;&lt;author&gt;Y Sokona&lt;/author&gt;&lt;author&gt;E Farahani&lt;/author&gt;&lt;author&gt;S Kadner&lt;/author&gt;&lt;author&gt;K Seyboth&lt;/author&gt;&lt;author&gt;A Adler&lt;/author&gt;&lt;author&gt;I Baum&lt;/author&gt;&lt;author&gt;S Brunner&lt;/author&gt;&lt;author&gt;P Eickemeier&lt;/author&gt;&lt;author&gt;B Kriemann&lt;/author&gt;&lt;author&gt;J Savolainen&lt;/author&gt;&lt;author&gt;S Schlömer&lt;/author&gt;&lt;author&gt;C von Stechow&lt;/author&gt;&lt;author&gt;T Zwickel&lt;/author&gt;&lt;author&gt;JC Minx&lt;/author&gt;&lt;/secondary-authors&gt;&lt;/contributors&gt;&lt;titles&gt;&lt;title&gt;Summary for Policymakers&lt;/title&gt;&lt;secondary-title&gt;Climate Change 2014: Mitigation of Climate Change. Contribution of Working Group III to the Fifth Assessment Report of the Intergovernmental Panel on Climate Change&lt;/secondary-title&gt;&lt;/titles&gt;&lt;dates&gt;&lt;/dates&gt;&lt;pub-location&gt;Cambridge, United Kingdom and New York, NY, USA&lt;/pub-location&gt;&lt;publisher&gt;Cambridge University Press&lt;/publisher&gt;&lt;urls&gt;&lt;/urls&gt;&lt;/record&gt;&lt;/Cite&gt;&lt;/EndNote&gt;</w:instrText>
      </w:r>
      <w:r w:rsidR="00E13392" w:rsidRPr="00D022A9">
        <w:rPr>
          <w:rFonts w:ascii="Calibri" w:eastAsiaTheme="minorHAnsi" w:hAnsi="Calibri" w:cs="Times New Roman"/>
          <w:sz w:val="20"/>
          <w:szCs w:val="22"/>
          <w:lang w:val="en-GB" w:eastAsia="en-US"/>
        </w:rPr>
        <w:fldChar w:fldCharType="separate"/>
      </w:r>
      <w:r w:rsidR="00A43B13" w:rsidRPr="00A43B13">
        <w:rPr>
          <w:rFonts w:ascii="Calibri" w:eastAsiaTheme="minorHAnsi" w:hAnsi="Calibri" w:cs="Times New Roman"/>
          <w:noProof/>
          <w:sz w:val="20"/>
          <w:szCs w:val="22"/>
          <w:vertAlign w:val="superscript"/>
          <w:lang w:val="en-GB" w:eastAsia="en-US"/>
        </w:rPr>
        <w:t>201</w:t>
      </w:r>
      <w:r w:rsidR="00E13392" w:rsidRPr="00D022A9">
        <w:rPr>
          <w:rFonts w:ascii="Calibri" w:eastAsiaTheme="minorHAnsi" w:hAnsi="Calibri" w:cs="Times New Roman"/>
          <w:sz w:val="20"/>
          <w:szCs w:val="22"/>
          <w:lang w:val="en-GB" w:eastAsia="en-US"/>
        </w:rPr>
        <w:fldChar w:fldCharType="end"/>
      </w:r>
      <w:r w:rsidRPr="00D022A9">
        <w:rPr>
          <w:rFonts w:ascii="Calibri" w:eastAsiaTheme="minorHAnsi" w:hAnsi="Calibri" w:cs="Times New Roman"/>
          <w:sz w:val="20"/>
          <w:szCs w:val="22"/>
          <w:lang w:val="en-GB" w:eastAsia="en-US"/>
        </w:rPr>
        <w:t xml:space="preserve"> AFOLU refers to Agriculture, Forestry and Other Land Uses.</w:t>
      </w:r>
    </w:p>
    <w:p w:rsidR="00F27BD7" w:rsidRPr="005F5BC6" w:rsidRDefault="00F27BD7" w:rsidP="00F27BD7">
      <w:pPr>
        <w:spacing w:after="120"/>
        <w:jc w:val="both"/>
        <w:rPr>
          <w:rFonts w:ascii="Calibri" w:hAnsi="Calibri" w:cs="Times New Roman"/>
          <w:sz w:val="22"/>
          <w:szCs w:val="22"/>
          <w:lang w:val="en-GB"/>
        </w:rPr>
      </w:pPr>
    </w:p>
    <w:p w:rsidR="00B80CE0" w:rsidRPr="004349AE" w:rsidRDefault="00B80CE0" w:rsidP="00B80CE0">
      <w:pPr>
        <w:jc w:val="both"/>
        <w:rPr>
          <w:rFonts w:ascii="Calibri" w:hAnsi="Calibri"/>
          <w:lang w:val="en-GB"/>
        </w:rPr>
      </w:pPr>
      <w:r>
        <w:rPr>
          <w:rFonts w:ascii="Calibri" w:hAnsi="Calibri" w:cs="Times New Roman"/>
          <w:sz w:val="22"/>
          <w:szCs w:val="22"/>
          <w:lang w:val="en-GB"/>
        </w:rPr>
        <w:t>When upstream and electricity sector emissions are allocated on an end-use basis</w:t>
      </w:r>
      <w:r w:rsidRPr="006B3566">
        <w:rPr>
          <w:rFonts w:ascii="Calibri" w:hAnsi="Calibri" w:cs="Times New Roman"/>
          <w:sz w:val="22"/>
          <w:szCs w:val="22"/>
          <w:lang w:val="en-GB"/>
        </w:rPr>
        <w:t xml:space="preserve">, </w:t>
      </w:r>
      <w:r>
        <w:rPr>
          <w:rFonts w:ascii="Calibri" w:hAnsi="Calibri" w:cs="Times New Roman"/>
          <w:sz w:val="22"/>
          <w:szCs w:val="22"/>
          <w:lang w:val="en-GB"/>
        </w:rPr>
        <w:t>m</w:t>
      </w:r>
      <w:r w:rsidRPr="005F5BC6">
        <w:rPr>
          <w:rFonts w:ascii="Calibri" w:hAnsi="Calibri" w:cs="Times New Roman"/>
          <w:sz w:val="22"/>
          <w:szCs w:val="22"/>
          <w:lang w:val="en-GB"/>
        </w:rPr>
        <w:t xml:space="preserve">ost emissions </w:t>
      </w:r>
      <w:r>
        <w:rPr>
          <w:rFonts w:ascii="Calibri" w:hAnsi="Calibri" w:cs="Times New Roman"/>
          <w:sz w:val="22"/>
          <w:szCs w:val="22"/>
          <w:lang w:val="en-GB"/>
        </w:rPr>
        <w:t xml:space="preserve">(~61%) </w:t>
      </w:r>
      <w:r w:rsidRPr="005F5BC6">
        <w:rPr>
          <w:rFonts w:ascii="Calibri" w:hAnsi="Calibri" w:cs="Times New Roman"/>
          <w:sz w:val="22"/>
          <w:szCs w:val="22"/>
          <w:lang w:val="en-GB"/>
        </w:rPr>
        <w:t>are related to the built environment</w:t>
      </w:r>
      <w:r>
        <w:rPr>
          <w:rFonts w:ascii="Calibri" w:hAnsi="Calibri" w:cs="Times New Roman"/>
          <w:sz w:val="22"/>
          <w:szCs w:val="22"/>
          <w:lang w:val="en-GB"/>
        </w:rPr>
        <w:t xml:space="preserve"> (i.e. buildings, transport and industry). These emissions are related to</w:t>
      </w:r>
      <w:r w:rsidRPr="005F5BC6">
        <w:rPr>
          <w:rFonts w:ascii="Calibri" w:hAnsi="Calibri" w:cs="Times New Roman"/>
          <w:sz w:val="22"/>
          <w:szCs w:val="22"/>
          <w:lang w:val="en-GB"/>
        </w:rPr>
        <w:t xml:space="preserve"> providing services such as cooling and heat in buildings, power for lights, appliances, electronics and computing, and motive power for moving to and within largely urbanised places</w:t>
      </w:r>
      <w:r>
        <w:rPr>
          <w:rFonts w:ascii="Calibri" w:hAnsi="Calibri" w:cs="Times New Roman"/>
          <w:sz w:val="22"/>
          <w:szCs w:val="22"/>
          <w:lang w:val="en-GB"/>
        </w:rPr>
        <w:t>, while i</w:t>
      </w:r>
      <w:r w:rsidRPr="005F5BC6">
        <w:rPr>
          <w:rFonts w:ascii="Calibri" w:hAnsi="Calibri" w:cs="Times New Roman"/>
          <w:sz w:val="22"/>
          <w:szCs w:val="22"/>
          <w:lang w:val="en-GB"/>
        </w:rPr>
        <w:t>ndustrial manufacturing of products</w:t>
      </w:r>
      <w:r>
        <w:rPr>
          <w:rFonts w:ascii="Calibri" w:hAnsi="Calibri" w:cs="Times New Roman"/>
          <w:sz w:val="22"/>
          <w:szCs w:val="22"/>
          <w:lang w:val="en-GB"/>
        </w:rPr>
        <w:t xml:space="preserve"> feeds</w:t>
      </w:r>
      <w:r w:rsidRPr="005F5BC6">
        <w:rPr>
          <w:rFonts w:ascii="Calibri" w:hAnsi="Calibri" w:cs="Times New Roman"/>
          <w:sz w:val="22"/>
          <w:szCs w:val="22"/>
          <w:lang w:val="en-GB"/>
        </w:rPr>
        <w:t xml:space="preserve"> into the built environment system through movement of goods, economic activity and employment.</w:t>
      </w:r>
    </w:p>
    <w:p w:rsidR="00B80CE0" w:rsidRPr="005F5BC6" w:rsidRDefault="00B80CE0" w:rsidP="00B80CE0">
      <w:pPr>
        <w:rPr>
          <w:rFonts w:ascii="Calibri" w:hAnsi="Calibri"/>
          <w:lang w:val="en-GB"/>
        </w:rPr>
      </w:pPr>
    </w:p>
    <w:p w:rsidR="00B80CE0" w:rsidRPr="00D036C9" w:rsidRDefault="00B80CE0" w:rsidP="00D036C9">
      <w:pPr>
        <w:pStyle w:val="Heading2"/>
        <w:rPr>
          <w:lang w:val="en-GB"/>
        </w:rPr>
      </w:pPr>
      <w:bookmarkStart w:id="93" w:name="_Toc415931392"/>
      <w:bookmarkStart w:id="94" w:name="_Toc417502057"/>
      <w:r>
        <w:rPr>
          <w:lang w:val="en-GB"/>
        </w:rPr>
        <w:t>The Global Energy System</w:t>
      </w:r>
      <w:bookmarkEnd w:id="93"/>
      <w:bookmarkEnd w:id="94"/>
    </w:p>
    <w:p w:rsidR="00B80CE0" w:rsidRDefault="00B80CE0" w:rsidP="00B80CE0">
      <w:pPr>
        <w:jc w:val="both"/>
        <w:rPr>
          <w:rFonts w:ascii="Calibri" w:hAnsi="Calibri" w:cs="Times New Roman"/>
          <w:sz w:val="22"/>
          <w:lang w:val="en-GB"/>
        </w:rPr>
      </w:pPr>
      <w:r w:rsidRPr="00C636DF">
        <w:rPr>
          <w:rFonts w:ascii="Calibri" w:hAnsi="Calibri" w:cs="Times New Roman"/>
          <w:sz w:val="22"/>
          <w:szCs w:val="22"/>
          <w:lang w:val="en-GB"/>
        </w:rPr>
        <w:t>We know that the global energy system is heavily dependent on the extraction, availability, movement and consumption of fossil fuels, and this system shows vulnerabilities when stressed</w:t>
      </w:r>
      <w:r w:rsidRPr="007B1CD6">
        <w:rPr>
          <w:rFonts w:ascii="Calibri" w:hAnsi="Calibri" w:cs="Times New Roman"/>
          <w:sz w:val="22"/>
          <w:szCs w:val="22"/>
          <w:lang w:val="en-GB"/>
        </w:rPr>
        <w:t xml:space="preserve">.  </w:t>
      </w:r>
      <w:r>
        <w:rPr>
          <w:rFonts w:ascii="Calibri" w:hAnsi="Calibri" w:cs="Times New Roman"/>
          <w:sz w:val="22"/>
          <w:szCs w:val="22"/>
          <w:lang w:val="en-GB"/>
        </w:rPr>
        <w:t>For example,</w:t>
      </w:r>
      <w:r w:rsidRPr="007B1CD6">
        <w:rPr>
          <w:rFonts w:ascii="Calibri" w:hAnsi="Calibri" w:cs="Times New Roman"/>
          <w:sz w:val="22"/>
          <w:szCs w:val="22"/>
          <w:lang w:val="en-GB"/>
        </w:rPr>
        <w:t xml:space="preserve"> the 1972 OPEC oil embargo (which resulted in a cut of global production by 6.5% over 2 months) or the First Persian Gulf War (which caused a doubling of global oil prices over 3-4 months)</w:t>
      </w:r>
      <w:r>
        <w:rPr>
          <w:rFonts w:ascii="Calibri" w:hAnsi="Calibri" w:cs="Times New Roman"/>
          <w:sz w:val="22"/>
          <w:szCs w:val="22"/>
          <w:lang w:val="en-GB"/>
        </w:rPr>
        <w:t xml:space="preserve"> each </w:t>
      </w:r>
      <w:r w:rsidRPr="007B1CD6">
        <w:rPr>
          <w:rFonts w:ascii="Calibri" w:hAnsi="Calibri" w:cs="Times New Roman"/>
          <w:sz w:val="22"/>
          <w:szCs w:val="22"/>
          <w:lang w:val="en-GB"/>
        </w:rPr>
        <w:t>cause</w:t>
      </w:r>
      <w:r>
        <w:rPr>
          <w:rFonts w:ascii="Calibri" w:hAnsi="Calibri" w:cs="Times New Roman"/>
          <w:sz w:val="22"/>
          <w:szCs w:val="22"/>
          <w:lang w:val="en-GB"/>
        </w:rPr>
        <w:t>d</w:t>
      </w:r>
      <w:r w:rsidRPr="007B1CD6">
        <w:rPr>
          <w:rFonts w:ascii="Calibri" w:hAnsi="Calibri" w:cs="Times New Roman"/>
          <w:sz w:val="22"/>
          <w:szCs w:val="22"/>
          <w:lang w:val="en-GB"/>
        </w:rPr>
        <w:t xml:space="preserve"> major pressure on the access and security of global energy supplies</w:t>
      </w:r>
      <w:r w:rsidRPr="00B52CC1">
        <w:rPr>
          <w:rFonts w:ascii="Calibri" w:hAnsi="Calibri" w:cs="Times New Roman"/>
          <w:sz w:val="22"/>
          <w:szCs w:val="22"/>
          <w:lang w:val="en-GB"/>
        </w:rPr>
        <w:t>.</w:t>
      </w:r>
      <w:r w:rsidR="00E13392">
        <w:rPr>
          <w:rFonts w:ascii="Calibri" w:hAnsi="Calibri" w:cs="Times New Roman"/>
          <w:sz w:val="22"/>
          <w:szCs w:val="22"/>
          <w:lang w:val="en-GB"/>
        </w:rPr>
        <w:fldChar w:fldCharType="begin"/>
      </w:r>
      <w:r w:rsidR="00A43B13">
        <w:rPr>
          <w:rFonts w:ascii="Calibri" w:hAnsi="Calibri" w:cs="Times New Roman"/>
          <w:sz w:val="22"/>
          <w:szCs w:val="22"/>
          <w:lang w:val="en-GB"/>
        </w:rPr>
        <w:instrText xml:space="preserve"> ADDIN EN.CITE &lt;EndNote&gt;&lt;Cite&gt;&lt;Author&gt;Stafford Smith&lt;/Author&gt;&lt;Year&gt;2011&lt;/Year&gt;&lt;RecNum&gt;1200&lt;/RecNum&gt;&lt;DisplayText&gt;&lt;style face="superscript"&gt;204&lt;/style&gt;&lt;/DisplayText&gt;&lt;record&gt;&lt;rec-number&gt;1200&lt;/rec-number&gt;&lt;foreign-keys&gt;&lt;key app="EN" db-id="wtftd20rmszxx0ettxy5exwdf90wv22s2dsf" timestamp="1419212983"&gt;1200&lt;/key&gt;&lt;/foreign-keys&gt;&lt;ref-type name="Journal Article"&gt;17&lt;/ref-type&gt;&lt;contributors&gt;&lt;authors&gt;&lt;author&gt;Stafford Smith, M. &lt;/author&gt;&lt;author&gt;Horrocks, L., &lt;/author&gt;&lt;author&gt;Harvey, A, &lt;/author&gt;&lt;author&gt;Hamilton, C.&lt;/author&gt;&lt;/authors&gt;&lt;/contributors&gt;&lt;titles&gt;&lt;title&gt;Rethinking adaptation for a 4°C world&lt;/title&gt;&lt;secondary-title&gt;Philosophical Transactions of the Royal Society A&lt;/secondary-title&gt;&lt;/titles&gt;&lt;periodical&gt;&lt;full-title&gt;Philosophical Transactions of the Royal Society A&lt;/full-title&gt;&lt;/periodical&gt;&lt;pages&gt;196-216&lt;/pages&gt;&lt;volume&gt;369&lt;/volume&gt;&lt;dates&gt;&lt;year&gt;2011&lt;/year&gt;&lt;/dates&gt;&lt;urls&gt;&lt;/urls&gt;&lt;electronic-resource-num&gt;10.1098/rsta.2010.0277&lt;/electronic-resource-num&gt;&lt;/record&gt;&lt;/Cite&gt;&lt;/EndNote&gt;</w:instrText>
      </w:r>
      <w:r w:rsidR="00E13392">
        <w:rPr>
          <w:rFonts w:ascii="Calibri" w:hAnsi="Calibri" w:cs="Times New Roman"/>
          <w:sz w:val="22"/>
          <w:szCs w:val="22"/>
          <w:lang w:val="en-GB"/>
        </w:rPr>
        <w:fldChar w:fldCharType="separate"/>
      </w:r>
      <w:r w:rsidR="00A43B13" w:rsidRPr="00A43B13">
        <w:rPr>
          <w:rFonts w:ascii="Calibri" w:hAnsi="Calibri" w:cs="Times New Roman"/>
          <w:noProof/>
          <w:sz w:val="22"/>
          <w:szCs w:val="22"/>
          <w:vertAlign w:val="superscript"/>
          <w:lang w:val="en-GB"/>
        </w:rPr>
        <w:t>204</w:t>
      </w:r>
      <w:r w:rsidR="00E13392">
        <w:rPr>
          <w:rFonts w:ascii="Calibri" w:hAnsi="Calibri" w:cs="Times New Roman"/>
          <w:sz w:val="22"/>
          <w:szCs w:val="22"/>
          <w:lang w:val="en-GB"/>
        </w:rPr>
        <w:fldChar w:fldCharType="end"/>
      </w:r>
      <w:r w:rsidRPr="00EA5D80">
        <w:rPr>
          <w:rFonts w:ascii="Calibri" w:hAnsi="Calibri" w:cs="Palatino"/>
          <w:sz w:val="22"/>
          <w:szCs w:val="22"/>
          <w:lang w:val="en-GB"/>
        </w:rPr>
        <w:t xml:space="preserve"> </w:t>
      </w:r>
      <w:r w:rsidRPr="00C636DF">
        <w:rPr>
          <w:rFonts w:ascii="Calibri" w:hAnsi="Calibri" w:cs="Times New Roman"/>
          <w:sz w:val="22"/>
          <w:lang w:val="en-GB"/>
        </w:rPr>
        <w:t xml:space="preserve">Further, </w:t>
      </w:r>
      <w:r w:rsidRPr="00B52CC1">
        <w:rPr>
          <w:rFonts w:ascii="Calibri" w:hAnsi="Calibri" w:cs="Times New Roman"/>
          <w:sz w:val="22"/>
          <w:lang w:val="en-GB"/>
        </w:rPr>
        <w:t>many of the world</w:t>
      </w:r>
      <w:r>
        <w:rPr>
          <w:rFonts w:ascii="Calibri" w:hAnsi="Calibri" w:cs="Times New Roman"/>
          <w:sz w:val="22"/>
          <w:lang w:val="en-GB"/>
        </w:rPr>
        <w:t>’</w:t>
      </w:r>
      <w:r w:rsidRPr="00B52CC1">
        <w:rPr>
          <w:rFonts w:ascii="Calibri" w:hAnsi="Calibri" w:cs="Times New Roman"/>
          <w:sz w:val="22"/>
          <w:lang w:val="en-GB"/>
        </w:rPr>
        <w:t xml:space="preserve">s largest actual and potential </w:t>
      </w:r>
      <w:r>
        <w:rPr>
          <w:rFonts w:ascii="Calibri" w:hAnsi="Calibri" w:cs="Times New Roman"/>
          <w:sz w:val="22"/>
          <w:lang w:val="en-GB"/>
        </w:rPr>
        <w:t>conventional</w:t>
      </w:r>
      <w:r w:rsidRPr="00B52CC1">
        <w:rPr>
          <w:rFonts w:ascii="Calibri" w:hAnsi="Calibri" w:cs="Times New Roman"/>
          <w:sz w:val="22"/>
          <w:lang w:val="en-GB"/>
        </w:rPr>
        <w:t xml:space="preserve"> oil reserves </w:t>
      </w:r>
      <w:r>
        <w:rPr>
          <w:rFonts w:ascii="Calibri" w:hAnsi="Calibri" w:cs="Times New Roman"/>
          <w:sz w:val="22"/>
          <w:lang w:val="en-GB"/>
        </w:rPr>
        <w:t>are</w:t>
      </w:r>
      <w:r w:rsidRPr="00B52CC1">
        <w:rPr>
          <w:rFonts w:ascii="Calibri" w:hAnsi="Calibri" w:cs="Times New Roman"/>
          <w:sz w:val="22"/>
          <w:lang w:val="en-GB"/>
        </w:rPr>
        <w:t xml:space="preserve"> in areas </w:t>
      </w:r>
      <w:r>
        <w:rPr>
          <w:rFonts w:ascii="Calibri" w:hAnsi="Calibri" w:cs="Times New Roman"/>
          <w:sz w:val="22"/>
          <w:lang w:val="en-GB"/>
        </w:rPr>
        <w:t>of</w:t>
      </w:r>
      <w:r w:rsidRPr="00B52CC1">
        <w:rPr>
          <w:rFonts w:ascii="Calibri" w:hAnsi="Calibri" w:cs="Times New Roman"/>
          <w:sz w:val="22"/>
          <w:lang w:val="en-GB"/>
        </w:rPr>
        <w:t xml:space="preserve"> historic volatility and civil unrest.</w:t>
      </w:r>
      <w:r w:rsidR="00E13392">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&lt;EndNote&gt;&lt;Cite&gt;&lt;Author&gt;Basedau&lt;/Author&gt;&lt;Year&gt;2009&lt;/Year&gt;&lt;RecNum&gt;1430&lt;/RecNum&gt;&lt;DisplayText&gt;&lt;style face="superscript"&gt;205&lt;/style&gt;&lt;/DisplayText&gt;&lt;record&gt;&lt;rec-number&gt;1430&lt;/rec-number&gt;&lt;foreign-keys&gt;&lt;key app="EN" db-id="wtftd20rmszxx0ettxy5exwdf90wv22s2dsf" timestamp="1419297271"&gt;1430&lt;/key&gt;&lt;/foreign-keys&gt;&lt;ref-type name="Journal Article"&gt;17&lt;/ref-type&gt;&lt;contributors&gt;&lt;authors&gt;&lt;author&gt;M Basedau&lt;/author&gt;&lt;author&gt;J Lay&lt;/author&gt;&lt;/authors&gt;&lt;/contributors&gt;&lt;titles&gt;&lt;title&gt;Resource Curse or Rentier Peace? The Ambiguous Effects of Oil Wealth and Oil Dependence on Violent Conflict&lt;/title&gt;&lt;secondary-title&gt;Journal of Peace Research&lt;/secondary-title&gt;&lt;/titles&gt;&lt;periodical&gt;&lt;full-title&gt;Journal of Peace Research&lt;/full-title&gt;&lt;/periodical&gt;&lt;pages&gt;757–76&lt;/pages&gt;&lt;volume&gt;46&lt;/volume&gt;&lt;number&gt;6&lt;/number&gt;&lt;dates&gt;&lt;year&gt;2009&lt;/year&gt;&lt;/dates&gt;&lt;urls&gt;&lt;/urls&gt;&lt;/record&gt;&lt;/Cite&gt;&lt;/EndNote&gt;</w:instrText>
      </w:r>
      <w:r w:rsidR="00E13392">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205</w:t>
      </w:r>
      <w:r w:rsidR="00E13392">
        <w:rPr>
          <w:rFonts w:ascii="Calibri" w:hAnsi="Calibri" w:cs="Times New Roman"/>
          <w:sz w:val="22"/>
          <w:lang w:val="en-GB"/>
        </w:rPr>
        <w:fldChar w:fldCharType="end"/>
      </w:r>
      <w:r w:rsidRPr="00B52CC1">
        <w:rPr>
          <w:rFonts w:ascii="Calibri" w:hAnsi="Calibri" w:cs="Times New Roman"/>
          <w:sz w:val="22"/>
          <w:lang w:val="en-GB"/>
        </w:rPr>
        <w:t xml:space="preserve"> </w:t>
      </w:r>
    </w:p>
    <w:p w:rsidR="00B80CE0" w:rsidRDefault="00B80CE0" w:rsidP="00B80CE0">
      <w:pPr>
        <w:jc w:val="both"/>
        <w:rPr>
          <w:rFonts w:ascii="Calibri" w:hAnsi="Calibri" w:cs="Times New Roman"/>
          <w:sz w:val="22"/>
          <w:lang w:val="en-GB"/>
        </w:rPr>
      </w:pPr>
    </w:p>
    <w:p w:rsidR="00B80CE0" w:rsidRPr="00B52CC1" w:rsidRDefault="00B80CE0" w:rsidP="00B80CE0">
      <w:pPr>
        <w:jc w:val="both"/>
        <w:rPr>
          <w:rFonts w:ascii="Calibri" w:hAnsi="Calibri" w:cs="Times New Roman"/>
          <w:sz w:val="22"/>
          <w:lang w:val="en-GB"/>
        </w:rPr>
      </w:pPr>
      <w:r>
        <w:rPr>
          <w:rFonts w:ascii="Calibri" w:hAnsi="Calibri" w:cs="Times New Roman"/>
          <w:sz w:val="22"/>
          <w:lang w:val="en-GB"/>
        </w:rPr>
        <w:t xml:space="preserve">Climate change poses a risk to the existing </w:t>
      </w:r>
      <w:r w:rsidRPr="00B52CC1">
        <w:rPr>
          <w:rFonts w:ascii="Calibri" w:hAnsi="Calibri" w:cs="Times New Roman"/>
          <w:sz w:val="22"/>
          <w:lang w:val="en-GB"/>
        </w:rPr>
        <w:t>energy system</w:t>
      </w:r>
      <w:r>
        <w:rPr>
          <w:rFonts w:ascii="Calibri" w:hAnsi="Calibri" w:cs="Times New Roman"/>
          <w:sz w:val="22"/>
          <w:lang w:val="en-GB"/>
        </w:rPr>
        <w:t>. Under a changing climate, t</w:t>
      </w:r>
      <w:r w:rsidRPr="00B52CC1">
        <w:rPr>
          <w:rFonts w:ascii="Calibri" w:hAnsi="Calibri" w:cs="Times New Roman"/>
          <w:sz w:val="22"/>
          <w:lang w:val="en-GB"/>
        </w:rPr>
        <w:t>hese vulnerabilities could result in disruption in both supply and production of power under extreme weather events, operations (e.g. water availability for cooling towers), viability of infrastructure (e.g. location of power lines or hydroelectric systems), impact on transmission (e.g. high temperatures or wind damage), and higher demand for cooling and building system performance.</w:t>
      </w:r>
      <w:r w:rsidR="00E13392">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&lt;EndNote&gt;&lt;Cite&gt;&lt;Author&gt;Schaeffer&lt;/Author&gt;&lt;Year&gt;2012&lt;/Year&gt;&lt;RecNum&gt;1435&lt;/RecNum&gt;&lt;DisplayText&gt;&lt;style face="superscript"&gt;206,207&lt;/style&gt;&lt;/DisplayText&gt;&lt;record&gt;&lt;rec-number&gt;1435&lt;/rec-number&gt;&lt;foreign-keys&gt;&lt;key app="EN" db-id="wtftd20rmszxx0ettxy5exwdf90wv22s2dsf" timestamp="1419298686"&gt;1435&lt;/key&gt;&lt;/foreign-keys&gt;&lt;ref-type name="Journal Article"&gt;17&lt;/ref-type&gt;&lt;contributors&gt;&lt;authors&gt;&lt;author&gt;R Schaeffer&lt;/author&gt;&lt;author&gt;AS Szkloa&lt;/author&gt;&lt;author&gt;A Pereira-de-Lucena&lt;/author&gt;&lt;author&gt;BSM Cesar Borbaa&lt;/author&gt;&lt;author&gt;L Pinheiro Pupo Nogueiraa&lt;/author&gt;&lt;author&gt;FP Fleminga&lt;/author&gt;&lt;author&gt;A Troccolib&lt;/author&gt;&lt;author&gt;M Harrisonc&lt;/author&gt;&lt;author&gt;MS Boulahya&lt;/author&gt;&lt;/authors&gt;&lt;/contributors&gt;&lt;titles&gt;&lt;title&gt;Energy sector vulnerability to climate change: A review&lt;/title&gt;&lt;secondary-title&gt;Energy&lt;/secondary-title&gt;&lt;/titles&gt;&lt;periodical&gt;&lt;full-title&gt;Energy&lt;/full-title&gt;&lt;/periodical&gt;&lt;pages&gt;1-12&lt;/pages&gt;&lt;volume&gt;38&lt;/volume&gt;&lt;number&gt;1&lt;/number&gt;&lt;dates&gt;&lt;year&gt;2012&lt;/year&gt;&lt;/dates&gt;&lt;urls&gt;&lt;/urls&gt;&lt;/record&gt;&lt;/Cite&gt;&lt;Cite&gt;&lt;Author&gt;Schaeffer&lt;/Author&gt;&lt;Year&gt;2012&lt;/Year&gt;&lt;RecNum&gt;1429&lt;/RecNum&gt;&lt;record&gt;&lt;rec-number&gt;1429&lt;/rec-number&gt;&lt;foreign-keys&gt;&lt;key app="EN" db-id="wtftd20rmszxx0ettxy5exwdf90wv22s2dsf" timestamp="1419297109"&gt;1429&lt;/key&gt;&lt;/foreign-keys&gt;&lt;ref-type name="Journal Article"&gt;17&lt;/ref-type&gt;&lt;contributors&gt;&lt;authors&gt;&lt;author&gt;M Schaeffer&lt;/author&gt;&lt;author&gt;W Hare&lt;/author&gt;&lt;author&gt;S Rahmstorf&lt;/author&gt;&lt;author&gt;M Vermeer&lt;/author&gt;&lt;/authors&gt;&lt;/contributors&gt;&lt;titles&gt;&lt;title&gt;Long-term sea-level rise implied by 1.5 °C and 2 °C warming levels&lt;/title&gt;&lt;secondary-title&gt;Nature Climate Change&lt;/secondary-title&gt;&lt;/titles&gt;&lt;periodical&gt;&lt;full-title&gt;Nature Climate Change&lt;/full-title&gt;&lt;/periodical&gt;&lt;pages&gt;867-70&lt;/pages&gt;&lt;volume&gt;2&lt;/volume&gt;&lt;dates&gt;&lt;year&gt;2012&lt;/year&gt;&lt;/dates&gt;&lt;urls&gt;&lt;/urls&gt;&lt;/record&gt;&lt;/Cite&gt;&lt;/EndNote&gt;</w:instrText>
      </w:r>
      <w:r w:rsidR="00E13392">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206,207</w:t>
      </w:r>
      <w:r w:rsidR="00E13392">
        <w:rPr>
          <w:rFonts w:ascii="Calibri" w:hAnsi="Calibri" w:cs="Times New Roman"/>
          <w:sz w:val="22"/>
          <w:lang w:val="en-GB"/>
        </w:rPr>
        <w:fldChar w:fldCharType="end"/>
      </w:r>
    </w:p>
    <w:p w:rsidR="00B80CE0" w:rsidRPr="00D7478E" w:rsidRDefault="00B80CE0" w:rsidP="00B80CE0">
      <w:pPr>
        <w:jc w:val="both"/>
        <w:rPr>
          <w:rFonts w:ascii="Calibri" w:hAnsi="Calibri"/>
          <w:sz w:val="22"/>
          <w:szCs w:val="22"/>
          <w:lang w:val="en-GB"/>
        </w:rPr>
      </w:pPr>
    </w:p>
    <w:p w:rsidR="00F27BD7" w:rsidRDefault="00B80CE0" w:rsidP="00B80CE0">
      <w:pPr>
        <w:jc w:val="both"/>
        <w:rPr>
          <w:rFonts w:ascii="Calibri" w:hAnsi="Calibri" w:cs="Times New Roman"/>
          <w:sz w:val="22"/>
          <w:szCs w:val="22"/>
          <w:lang w:val="en-GB"/>
        </w:rPr>
      </w:pPr>
      <w:r w:rsidRPr="006B3566">
        <w:rPr>
          <w:rFonts w:ascii="Calibri" w:hAnsi="Calibri" w:cs="Times New Roman"/>
          <w:sz w:val="22"/>
          <w:szCs w:val="22"/>
          <w:lang w:val="en-GB"/>
        </w:rPr>
        <w:t xml:space="preserve">Primarily, the usefulness of fossil fuels relates to their power </w:t>
      </w:r>
      <w:r>
        <w:rPr>
          <w:rFonts w:ascii="Calibri" w:hAnsi="Calibri" w:cs="Times New Roman"/>
          <w:sz w:val="22"/>
          <w:szCs w:val="22"/>
          <w:lang w:val="en-GB"/>
        </w:rPr>
        <w:t xml:space="preserve">and energy </w:t>
      </w:r>
      <w:r w:rsidRPr="006B3566">
        <w:rPr>
          <w:rFonts w:ascii="Calibri" w:hAnsi="Calibri" w:cs="Times New Roman"/>
          <w:sz w:val="22"/>
          <w:szCs w:val="22"/>
          <w:lang w:val="en-GB"/>
        </w:rPr>
        <w:t>density, portability and</w:t>
      </w:r>
      <w:r w:rsidR="008373C6">
        <w:rPr>
          <w:rFonts w:ascii="Calibri" w:hAnsi="Calibri" w:cs="Times New Roman"/>
          <w:sz w:val="22"/>
          <w:szCs w:val="22"/>
          <w:lang w:val="en-GB"/>
        </w:rPr>
        <w:t xml:space="preserve"> </w:t>
      </w:r>
      <w:r w:rsidRPr="006B3566">
        <w:rPr>
          <w:rFonts w:ascii="Calibri" w:hAnsi="Calibri" w:cs="Times New Roman"/>
          <w:sz w:val="22"/>
          <w:szCs w:val="22"/>
          <w:lang w:val="en-GB"/>
        </w:rPr>
        <w:t xml:space="preserve"> relative cost compared to other</w:t>
      </w:r>
      <w:r>
        <w:rPr>
          <w:rFonts w:ascii="Calibri" w:hAnsi="Calibri" w:cs="Times New Roman"/>
          <w:sz w:val="22"/>
          <w:szCs w:val="22"/>
          <w:lang w:val="en-GB"/>
        </w:rPr>
        <w:t xml:space="preserve"> forms of energy.</w:t>
      </w:r>
      <w:r w:rsidRPr="006B3566">
        <w:rPr>
          <w:rFonts w:ascii="Calibri" w:hAnsi="Calibri" w:cs="Times New Roman"/>
          <w:sz w:val="22"/>
          <w:szCs w:val="22"/>
          <w:lang w:val="en-GB"/>
        </w:rPr>
        <w:t xml:space="preserve"> These attributes have acted as challenges to the transition to low-carbon </w:t>
      </w:r>
      <w:r>
        <w:rPr>
          <w:rFonts w:ascii="Calibri" w:hAnsi="Calibri" w:cs="Times New Roman"/>
          <w:sz w:val="22"/>
          <w:szCs w:val="22"/>
          <w:lang w:val="en-GB"/>
        </w:rPr>
        <w:t>energy sources and vectors</w:t>
      </w:r>
      <w:r w:rsidRPr="006B3566">
        <w:rPr>
          <w:rFonts w:ascii="Calibri" w:hAnsi="Calibri" w:cs="Times New Roman"/>
          <w:sz w:val="22"/>
          <w:szCs w:val="22"/>
          <w:lang w:val="en-GB"/>
        </w:rPr>
        <w:t xml:space="preserve">, such as renewable/nuclear electricity </w:t>
      </w:r>
      <w:r>
        <w:rPr>
          <w:rFonts w:ascii="Calibri" w:hAnsi="Calibri" w:cs="Times New Roman"/>
          <w:sz w:val="22"/>
          <w:szCs w:val="22"/>
          <w:lang w:val="en-GB"/>
        </w:rPr>
        <w:t>and</w:t>
      </w:r>
      <w:r w:rsidRPr="006B3566">
        <w:rPr>
          <w:rFonts w:ascii="Calibri" w:hAnsi="Calibri" w:cs="Times New Roman"/>
          <w:sz w:val="22"/>
          <w:szCs w:val="22"/>
          <w:lang w:val="en-GB"/>
        </w:rPr>
        <w:t xml:space="preserve"> hydrogen. </w:t>
      </w:r>
      <w:r>
        <w:rPr>
          <w:rFonts w:ascii="Calibri" w:hAnsi="Calibri" w:cs="Times New Roman"/>
          <w:sz w:val="22"/>
          <w:szCs w:val="22"/>
          <w:lang w:val="en-GB"/>
        </w:rPr>
        <w:t>Maintaining power supply based on</w:t>
      </w:r>
      <w:r w:rsidRPr="006B3566">
        <w:rPr>
          <w:rFonts w:ascii="Calibri" w:hAnsi="Calibri" w:cs="Times New Roman"/>
          <w:sz w:val="22"/>
          <w:szCs w:val="22"/>
          <w:lang w:val="en-GB"/>
        </w:rPr>
        <w:t xml:space="preserve"> intermittent electricity s</w:t>
      </w:r>
      <w:r>
        <w:rPr>
          <w:rFonts w:ascii="Calibri" w:hAnsi="Calibri" w:cs="Times New Roman"/>
          <w:sz w:val="22"/>
          <w:szCs w:val="22"/>
          <w:lang w:val="en-GB"/>
        </w:rPr>
        <w:t>ources such as wind power is a complex system integration problem.</w:t>
      </w:r>
      <w:r w:rsidR="00E13392">
        <w:rPr>
          <w:rFonts w:ascii="Calibri" w:hAnsi="Calibri" w:cs="Times New Roman"/>
          <w:sz w:val="22"/>
          <w:szCs w:val="22"/>
          <w:lang w:val="en-GB"/>
        </w:rPr>
        <w:fldChar w:fldCharType="begin"/>
      </w:r>
      <w:r w:rsidR="00A43B13">
        <w:rPr>
          <w:rFonts w:ascii="Calibri" w:hAnsi="Calibri" w:cs="Times New Roman"/>
          <w:sz w:val="22"/>
          <w:szCs w:val="22"/>
          <w:lang w:val="en-GB"/>
        </w:rPr>
        <w:instrText xml:space="preserve"> ADDIN EN.CITE &lt;EndNote&gt;&lt;Cite&gt;&lt;Author&gt;Czisch&lt;/Author&gt;&lt;Year&gt;2011&lt;/Year&gt;&lt;RecNum&gt;1431&lt;/RecNum&gt;&lt;DisplayText&gt;&lt;style face="superscript"&gt;208&lt;/style&gt;&lt;/DisplayText&gt;&lt;record&gt;&lt;rec-number&gt;1431&lt;/rec-number&gt;&lt;foreign-keys&gt;&lt;key app="EN" db-id="wtftd20rmszxx0ettxy5exwdf90wv22s2dsf" timestamp="1419297403"&gt;1431&lt;/key&gt;&lt;/foreign-keys&gt;&lt;ref-type name="Journal Article"&gt;17&lt;/ref-type&gt;&lt;contributors&gt;&lt;authors&gt;&lt;author&gt;G Czisch&lt;/author&gt;&lt;/authors&gt;&lt;/contributors&gt;&lt;titles&gt;&lt;title&gt; Scenarios for a Future Electricity Supply: Cost-optimised Variations on Supplying Europe and Its Neighbours with Electricity from Renewable Energies&lt;/title&gt;&lt;secondary-title&gt;IET renewable energy series, Institution of Engineering and Technology&lt;/secondary-title&gt;&lt;/titles&gt;&lt;periodical&gt;&lt;full-title&gt;IET renewable energy series, Institution of Engineering and Technology&lt;/full-title&gt;&lt;/periodical&gt;&lt;volume&gt;10&lt;/volume&gt;&lt;dates&gt;&lt;year&gt;2011&lt;/year&gt;&lt;/dates&gt;&lt;urls&gt;&lt;/urls&gt;&lt;/record&gt;&lt;/Cite&gt;&lt;/EndNote&gt;</w:instrText>
      </w:r>
      <w:r w:rsidR="00E13392">
        <w:rPr>
          <w:rFonts w:ascii="Calibri" w:hAnsi="Calibri" w:cs="Times New Roman"/>
          <w:sz w:val="22"/>
          <w:szCs w:val="22"/>
          <w:lang w:val="en-GB"/>
        </w:rPr>
        <w:fldChar w:fldCharType="separate"/>
      </w:r>
      <w:r w:rsidR="00A43B13" w:rsidRPr="00A43B13">
        <w:rPr>
          <w:rFonts w:ascii="Calibri" w:hAnsi="Calibri" w:cs="Times New Roman"/>
          <w:noProof/>
          <w:sz w:val="22"/>
          <w:szCs w:val="22"/>
          <w:vertAlign w:val="superscript"/>
          <w:lang w:val="en-GB"/>
        </w:rPr>
        <w:t>208</w:t>
      </w:r>
      <w:r w:rsidR="00E13392">
        <w:rPr>
          <w:rFonts w:ascii="Calibri" w:hAnsi="Calibri" w:cs="Times New Roman"/>
          <w:sz w:val="22"/>
          <w:szCs w:val="22"/>
          <w:lang w:val="en-GB"/>
        </w:rPr>
        <w:fldChar w:fldCharType="end"/>
      </w:r>
      <w:r>
        <w:rPr>
          <w:rFonts w:ascii="Calibri" w:hAnsi="Calibri" w:cs="Times New Roman"/>
          <w:sz w:val="22"/>
          <w:szCs w:val="22"/>
          <w:lang w:val="en-GB"/>
        </w:rPr>
        <w:t xml:space="preserve"> Practical solutions will involve </w:t>
      </w:r>
      <w:r w:rsidRPr="006B3566">
        <w:rPr>
          <w:rFonts w:ascii="Calibri" w:hAnsi="Calibri" w:cs="Times New Roman"/>
          <w:sz w:val="22"/>
          <w:szCs w:val="22"/>
          <w:lang w:val="en-GB"/>
        </w:rPr>
        <w:t>combination</w:t>
      </w:r>
      <w:r>
        <w:rPr>
          <w:rFonts w:ascii="Calibri" w:hAnsi="Calibri" w:cs="Times New Roman"/>
          <w:sz w:val="22"/>
          <w:szCs w:val="22"/>
          <w:lang w:val="en-GB"/>
        </w:rPr>
        <w:t>s</w:t>
      </w:r>
      <w:r w:rsidRPr="006B3566">
        <w:rPr>
          <w:rFonts w:ascii="Calibri" w:hAnsi="Calibri" w:cs="Times New Roman"/>
          <w:sz w:val="22"/>
          <w:szCs w:val="22"/>
          <w:lang w:val="en-GB"/>
        </w:rPr>
        <w:t xml:space="preserve"> of </w:t>
      </w:r>
      <w:r>
        <w:rPr>
          <w:rFonts w:ascii="Calibri" w:hAnsi="Calibri" w:cs="Times New Roman"/>
          <w:sz w:val="22"/>
          <w:szCs w:val="22"/>
          <w:lang w:val="en-GB"/>
        </w:rPr>
        <w:t>energy</w:t>
      </w:r>
      <w:r w:rsidRPr="006B3566">
        <w:rPr>
          <w:rFonts w:ascii="Calibri" w:hAnsi="Calibri" w:cs="Times New Roman"/>
          <w:sz w:val="22"/>
          <w:szCs w:val="22"/>
          <w:lang w:val="en-GB"/>
        </w:rPr>
        <w:t xml:space="preserve"> stores (hydro-electric</w:t>
      </w:r>
      <w:r>
        <w:rPr>
          <w:rFonts w:ascii="Calibri" w:hAnsi="Calibri" w:cs="Times New Roman"/>
          <w:sz w:val="22"/>
          <w:szCs w:val="22"/>
          <w:lang w:val="en-GB"/>
        </w:rPr>
        <w:t>,</w:t>
      </w:r>
      <w:r w:rsidRPr="006B3566">
        <w:rPr>
          <w:rFonts w:ascii="Calibri" w:hAnsi="Calibri" w:cs="Times New Roman"/>
          <w:sz w:val="22"/>
          <w:szCs w:val="22"/>
          <w:lang w:val="en-GB"/>
        </w:rPr>
        <w:t xml:space="preserve"> thermo-chemical)</w:t>
      </w:r>
      <w:r>
        <w:rPr>
          <w:rFonts w:ascii="Calibri" w:hAnsi="Calibri" w:cs="Times New Roman"/>
          <w:sz w:val="22"/>
          <w:szCs w:val="22"/>
          <w:lang w:val="en-GB"/>
        </w:rPr>
        <w:t xml:space="preserve">, demand-side management, </w:t>
      </w:r>
      <w:r w:rsidRPr="006B3566">
        <w:rPr>
          <w:rFonts w:ascii="Calibri" w:hAnsi="Calibri" w:cs="Times New Roman"/>
          <w:sz w:val="22"/>
          <w:szCs w:val="22"/>
          <w:lang w:val="en-GB"/>
        </w:rPr>
        <w:t xml:space="preserve">and </w:t>
      </w:r>
      <w:r>
        <w:rPr>
          <w:rFonts w:ascii="Calibri" w:hAnsi="Calibri" w:cs="Times New Roman"/>
          <w:sz w:val="22"/>
          <w:szCs w:val="22"/>
          <w:lang w:val="en-GB"/>
        </w:rPr>
        <w:t>the harnessing of geographical diversity both with respect to demand and supply.  Cross-continental power grids can play a significant role in reducing low-carbon systems costs because greater diversity of demand and supply reduce the need for expensive energy storage.</w:t>
      </w:r>
    </w:p>
    <w:p w:rsidR="00F27BD7" w:rsidRPr="007C3B85" w:rsidRDefault="00F27BD7" w:rsidP="00F27BD7">
      <w:pPr>
        <w:jc w:val="both"/>
        <w:rPr>
          <w:rFonts w:ascii="Calibri" w:hAnsi="Calibri" w:cs="Times New Roman"/>
          <w:sz w:val="22"/>
          <w:szCs w:val="22"/>
          <w:lang w:val="en-GB"/>
        </w:rPr>
      </w:pPr>
    </w:p>
    <w:p w:rsidR="00F27BD7" w:rsidRPr="00D7478E" w:rsidRDefault="00F27BD7" w:rsidP="00F27BD7">
      <w:pPr>
        <w:jc w:val="both"/>
        <w:rPr>
          <w:rFonts w:ascii="Calibri" w:hAnsi="Calibri" w:cs="Times New Roman"/>
          <w:sz w:val="22"/>
          <w:szCs w:val="22"/>
          <w:lang w:val="en-GB"/>
        </w:rPr>
      </w:pPr>
    </w:p>
    <w:p w:rsidR="00F27BD7" w:rsidRPr="00D036C9" w:rsidRDefault="00155D15" w:rsidP="00D036C9">
      <w:pPr>
        <w:pStyle w:val="Heading3"/>
        <w:rPr>
          <w:lang w:val="en-GB"/>
        </w:rPr>
      </w:pPr>
      <w:bookmarkStart w:id="95" w:name="_Toc415931393"/>
      <w:bookmarkStart w:id="96" w:name="_Toc417502058"/>
      <w:r>
        <w:rPr>
          <w:lang w:val="en-GB"/>
        </w:rPr>
        <w:t>The Growth in Energy Demand</w:t>
      </w:r>
      <w:bookmarkEnd w:id="95"/>
      <w:bookmarkEnd w:id="96"/>
    </w:p>
    <w:p w:rsidR="00B80CE0" w:rsidRPr="005F5BC6" w:rsidRDefault="00B80CE0" w:rsidP="00B80CE0">
      <w:pPr>
        <w:jc w:val="both"/>
        <w:rPr>
          <w:rFonts w:ascii="Calibri" w:hAnsi="Calibri"/>
          <w:lang w:val="en-GB"/>
        </w:rPr>
      </w:pPr>
      <w:r w:rsidRPr="005F5BC6">
        <w:rPr>
          <w:rFonts w:ascii="Calibri" w:hAnsi="Calibri" w:cs="Times New Roman"/>
          <w:sz w:val="22"/>
          <w:lang w:val="en-GB"/>
        </w:rPr>
        <w:t xml:space="preserve">Global energy demand has grown by 27% from 2001-2010, </w:t>
      </w:r>
      <w:r w:rsidR="008373C6">
        <w:rPr>
          <w:rFonts w:ascii="Calibri" w:hAnsi="Calibri" w:cs="Times New Roman"/>
          <w:sz w:val="22"/>
          <w:lang w:val="en-GB"/>
        </w:rPr>
        <w:t>largely</w:t>
      </w:r>
      <w:r w:rsidRPr="005F5BC6">
        <w:rPr>
          <w:rFonts w:ascii="Calibri" w:hAnsi="Calibri" w:cs="Times New Roman"/>
          <w:sz w:val="22"/>
          <w:lang w:val="en-GB"/>
        </w:rPr>
        <w:t xml:space="preserve"> concentrated in Asia (79%), Middle East and Africa (32%) and Latin America (32%), but with near stable </w:t>
      </w:r>
      <w:r>
        <w:rPr>
          <w:rFonts w:ascii="Calibri" w:hAnsi="Calibri" w:cs="Times New Roman"/>
          <w:sz w:val="22"/>
          <w:lang w:val="en-GB"/>
        </w:rPr>
        <w:t xml:space="preserve">but high   </w:t>
      </w:r>
      <w:r w:rsidRPr="005F5BC6">
        <w:rPr>
          <w:rFonts w:ascii="Calibri" w:hAnsi="Calibri" w:cs="Times New Roman"/>
          <w:sz w:val="22"/>
          <w:lang w:val="en-GB"/>
        </w:rPr>
        <w:t>demand</w:t>
      </w:r>
      <w:r>
        <w:rPr>
          <w:rFonts w:ascii="Calibri" w:hAnsi="Calibri" w:cs="Times New Roman"/>
          <w:sz w:val="22"/>
          <w:lang w:val="en-GB"/>
        </w:rPr>
        <w:t xml:space="preserve"> (on a territorial accounting basis)</w:t>
      </w:r>
      <w:r w:rsidRPr="005F5BC6">
        <w:rPr>
          <w:rFonts w:ascii="Calibri" w:hAnsi="Calibri" w:cs="Times New Roman"/>
          <w:sz w:val="22"/>
          <w:lang w:val="en-GB"/>
        </w:rPr>
        <w:t xml:space="preserve"> </w:t>
      </w:r>
      <w:r>
        <w:rPr>
          <w:rFonts w:ascii="Calibri" w:hAnsi="Calibri" w:cs="Times New Roman"/>
          <w:sz w:val="22"/>
          <w:lang w:val="en-GB"/>
        </w:rPr>
        <w:t>i</w:t>
      </w:r>
      <w:r w:rsidRPr="005F5BC6">
        <w:rPr>
          <w:rFonts w:ascii="Calibri" w:hAnsi="Calibri" w:cs="Times New Roman"/>
          <w:sz w:val="22"/>
          <w:lang w:val="en-GB"/>
        </w:rPr>
        <w:t>n the 1990 OECD group of countries.</w:t>
      </w:r>
      <w:r w:rsidR="00E13392">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&lt;EndNote&gt;&lt;Cite&gt;&lt;Author&gt;Bruckner&lt;/Author&gt;&lt;Year&gt;2014&lt;/Year&gt;&lt;RecNum&gt;1428&lt;/RecNum&gt;&lt;DisplayText&gt;&lt;style face="superscript"&gt;203&lt;/style&gt;&lt;/DisplayText&gt;&lt;record&gt;&lt;rec-number&gt;1428&lt;/rec-number&gt;&lt;foreign-keys&gt;&lt;key app="EN" db-id="wtftd20rmszxx0ettxy5exwdf90wv22s2dsf" timestamp="1419296464"&gt;1428&lt;/key&gt;&lt;/foreign-keys&gt;&lt;ref-type name="Book Section"&gt;5&lt;/ref-type&gt;&lt;contributors&gt;&lt;authors&gt;&lt;author&gt;T Bruckner&lt;/author&gt;&lt;author&gt;IA Bashmakov&lt;/author&gt;&lt;author&gt;Y Mulugetta&lt;/author&gt;&lt;author&gt;H Chum&lt;/author&gt;&lt;author&gt;A de la Vega Navarro&lt;/author&gt;&lt;author&gt;J Edmonds&lt;/author&gt;&lt;author&gt;A Faaij&lt;/author&gt;&lt;author&gt;B Fungtammasan&lt;/author&gt;&lt;author&gt;A Garg&lt;/author&gt;&lt;author&gt;E Hertwich&lt;/author&gt;&lt;author&gt;D Honnery&lt;/author&gt;&lt;author&gt;D Infield&lt;/author&gt;&lt;author&gt;M Kainuma&lt;/author&gt;&lt;author&gt;S Khennas&lt;/author&gt;&lt;author&gt;S Kim&lt;/author&gt;&lt;author&gt;HB Nimir&lt;/author&gt;&lt;author&gt;K Riahi&lt;/author&gt;&lt;author&gt;N Strachan&lt;/author&gt;&lt;author&gt;R Wiser&lt;/author&gt;&lt;author&gt;X Zhang&lt;/author&gt;&lt;/authors&gt;&lt;secondary-authors&gt;&lt;author&gt;O Edenhofer&lt;/author&gt;&lt;author&gt;R Pichs-Madruga&lt;/author&gt;&lt;author&gt;Y Sokona&lt;/author&gt;&lt;author&gt;E Farahani&lt;/author&gt;&lt;author&gt;S Kadner&lt;/author&gt;&lt;author&gt;K Seyboth&lt;/author&gt;&lt;author&gt;A Adler&lt;/author&gt;&lt;author&gt;I Baum&lt;/author&gt;&lt;author&gt;S Brunner&lt;/author&gt;&lt;author&gt;P Eickemeier&lt;/author&gt;&lt;author&gt;B Kriemann&lt;/author&gt;&lt;author&gt;J Savolainen&lt;/author&gt;&lt;author&gt;S Schlömer&lt;/author&gt;&lt;author&gt;C von Stechow&lt;/author&gt;&lt;author&gt;T Zwickel&lt;/author&gt;&lt;author&gt;JC Minx&lt;/author&gt;&lt;/secondary-authors&gt;&lt;/contributors&gt;&lt;titles&gt;&lt;title&gt;Energy Systems&lt;/title&gt;&lt;secondary-title&gt;Climate Change 2014: Mitigation of Climate Change. Contribution of Working Group III to the Fifth Assessment Report of the Intergovernmental Panel on Climate Change&lt;/secondary-title&gt;&lt;/titles&gt;&lt;dates&gt;&lt;year&gt;2014&lt;/year&gt;&lt;/dates&gt;&lt;pub-location&gt;Cambridge, United Kingdom and New York, NY, USA&lt;/pub-location&gt;&lt;publisher&gt;Cambridge University Press&lt;/publisher&gt;&lt;urls&gt;&lt;/urls&gt;&lt;/record&gt;&lt;/Cite&gt;&lt;/EndNote&gt;</w:instrText>
      </w:r>
      <w:r w:rsidR="00E13392">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203</w:t>
      </w:r>
      <w:r w:rsidR="00E13392">
        <w:rPr>
          <w:rFonts w:ascii="Calibri" w:hAnsi="Calibri" w:cs="Times New Roman"/>
          <w:sz w:val="22"/>
          <w:lang w:val="en-GB"/>
        </w:rPr>
        <w:fldChar w:fldCharType="end"/>
      </w:r>
      <w:r w:rsidRPr="005F5BC6">
        <w:rPr>
          <w:rFonts w:ascii="Calibri" w:hAnsi="Calibri" w:cs="Times New Roman"/>
          <w:sz w:val="22"/>
          <w:lang w:val="en-GB"/>
        </w:rPr>
        <w:t xml:space="preserve"> China doubled its energy demand during this period and represented the single largest proportion of the global increase (44%).</w:t>
      </w:r>
      <w:r w:rsidR="00E13392">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&lt;EndNote&gt;&lt;Cite&gt;&lt;Author&gt;International Energy Agency&lt;/Author&gt;&lt;Year&gt;2013&lt;/Year&gt;&lt;RecNum&gt;949&lt;/RecNum&gt;&lt;DisplayText&gt;&lt;style face="superscript"&gt;209&lt;/style&gt;&lt;/DisplayText&gt;&lt;record&gt;&lt;rec-number&gt;949&lt;/rec-number&gt;&lt;foreign-keys&gt;&lt;key app="EN" db-id="wtftd20rmszxx0ettxy5exwdf90wv22s2dsf" timestamp="1419212983"&gt;949&lt;/key&gt;&lt;/foreign-keys&gt;&lt;ref-type name="Government Document"&gt;46&lt;/ref-type&gt;&lt;contributors&gt;&lt;authors&gt;&lt;author&gt;International Energy Agency,&lt;/author&gt;&lt;/authors&gt;&lt;/contributors&gt;&lt;titles&gt;&lt;title&gt;World Energy Outlook 2013&lt;/title&gt;&lt;/titles&gt;&lt;dates&gt;&lt;year&gt;2013&lt;/year&gt;&lt;/dates&gt;&lt;pub-location&gt;Paris&lt;/pub-location&gt;&lt;urls&gt;&lt;/urls&gt;&lt;/record&gt;&lt;/Cite&gt;&lt;/EndNote&gt;</w:instrText>
      </w:r>
      <w:r w:rsidR="00E13392">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209</w:t>
      </w:r>
      <w:r w:rsidR="00E13392">
        <w:rPr>
          <w:rFonts w:ascii="Calibri" w:hAnsi="Calibri" w:cs="Times New Roman"/>
          <w:sz w:val="22"/>
          <w:lang w:val="en-GB"/>
        </w:rPr>
        <w:fldChar w:fldCharType="end"/>
      </w:r>
      <w:r w:rsidRPr="005F5BC6">
        <w:rPr>
          <w:rFonts w:ascii="Calibri" w:hAnsi="Calibri" w:cs="Times New Roman"/>
          <w:sz w:val="22"/>
          <w:lang w:val="en-GB"/>
        </w:rPr>
        <w:t xml:space="preserve"> Most global growth in energy was in coal (44%) for use in electricity production</w:t>
      </w:r>
      <w:r w:rsidR="004560F5">
        <w:rPr>
          <w:rFonts w:ascii="Calibri" w:hAnsi="Calibri" w:cs="Times New Roman"/>
          <w:sz w:val="22"/>
          <w:lang w:val="en-GB"/>
        </w:rPr>
        <w:t>, a dangerous reality for human health</w:t>
      </w:r>
      <w:r w:rsidRPr="005F5BC6">
        <w:rPr>
          <w:rFonts w:ascii="Calibri" w:hAnsi="Calibri" w:cs="Times New Roman"/>
          <w:sz w:val="22"/>
          <w:lang w:val="en-GB"/>
        </w:rPr>
        <w:t>.</w:t>
      </w:r>
      <w:r w:rsidR="00E13392">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&lt;EndNote&gt;&lt;Cite&gt;&lt;Author&gt;Barrett&lt;/Author&gt;&lt;Year&gt;2010&lt;/Year&gt;&lt;RecNum&gt;1432&lt;/RecNum&gt;&lt;DisplayText&gt;&lt;style face="superscript"&gt;210&lt;/style&gt;&lt;/DisplayText&gt;&lt;record&gt;&lt;rec-number&gt;1432&lt;/rec-number&gt;&lt;foreign-keys&gt;&lt;key app="EN" db-id="wtftd20rmszxx0ettxy5exwdf90wv22s2dsf" timestamp="1419297724"&gt;1432&lt;/key&gt;&lt;/foreign-keys&gt;&lt;ref-type name="Report"&gt;27&lt;/ref-type&gt;&lt;contributors&gt;&lt;authors&gt;&lt;author&gt;J Barrett&lt;/author&gt;&lt;author&gt;C Le Quéré&lt;/author&gt;&lt;author&gt;M Lenzen&lt;/author&gt;&lt;author&gt;G Peters&lt;/author&gt;&lt;author&gt;K Roelich&lt;/author&gt;&lt;author&gt;T Wiedmann&lt;/author&gt;&lt;/authors&gt;&lt;/contributors&gt;&lt;titles&gt;&lt;title&gt;Consumption-Based Emissions Reporting: Memorandum submitted by UK Energy Research Centre (CON 19)&lt;/title&gt;&lt;/titles&gt;&lt;dates&gt;&lt;year&gt;2010&lt;/year&gt;&lt;/dates&gt;&lt;urls&gt;&lt;/urls&gt;&lt;/record&gt;&lt;/Cite&gt;&lt;/EndNote&gt;</w:instrText>
      </w:r>
      <w:r w:rsidR="00E13392">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210</w:t>
      </w:r>
      <w:r w:rsidR="00E13392">
        <w:rPr>
          <w:rFonts w:ascii="Calibri" w:hAnsi="Calibri" w:cs="Times New Roman"/>
          <w:sz w:val="22"/>
          <w:lang w:val="en-GB"/>
        </w:rPr>
        <w:fldChar w:fldCharType="end"/>
      </w:r>
    </w:p>
    <w:p w:rsidR="00B80CE0" w:rsidRPr="005F5BC6" w:rsidRDefault="00B80CE0" w:rsidP="00B80CE0">
      <w:pPr>
        <w:jc w:val="both"/>
        <w:rPr>
          <w:rFonts w:ascii="Calibri" w:hAnsi="Calibri" w:cs="Times New Roman"/>
          <w:sz w:val="22"/>
          <w:lang w:val="en-GB"/>
        </w:rPr>
      </w:pPr>
    </w:p>
    <w:p w:rsidR="00B80CE0" w:rsidRPr="008D621A" w:rsidRDefault="00B80CE0" w:rsidP="004349AE">
      <w:pPr>
        <w:jc w:val="both"/>
        <w:rPr>
          <w:rFonts w:ascii="Calibri" w:hAnsi="Calibri" w:cs="Times New Roman"/>
          <w:sz w:val="22"/>
          <w:szCs w:val="22"/>
          <w:lang w:val="en-GB"/>
        </w:rPr>
      </w:pPr>
      <w:r w:rsidRPr="008D3E49">
        <w:rPr>
          <w:rFonts w:ascii="Calibri" w:hAnsi="Calibri" w:cs="Times New Roman"/>
          <w:sz w:val="22"/>
          <w:lang w:val="en-GB"/>
        </w:rPr>
        <w:lastRenderedPageBreak/>
        <w:t xml:space="preserve">Economic productivity </w:t>
      </w:r>
      <w:r w:rsidRPr="009B0163">
        <w:rPr>
          <w:rFonts w:ascii="Calibri" w:hAnsi="Calibri" w:cs="Times New Roman"/>
          <w:sz w:val="22"/>
          <w:lang w:val="en-GB"/>
        </w:rPr>
        <w:t xml:space="preserve">has risen alongside </w:t>
      </w:r>
      <w:r w:rsidRPr="008D3E49">
        <w:rPr>
          <w:rFonts w:ascii="Calibri" w:hAnsi="Calibri" w:cs="Times New Roman"/>
          <w:sz w:val="22"/>
          <w:lang w:val="en-GB"/>
        </w:rPr>
        <w:t>global energy demand.</w:t>
      </w:r>
      <w:r w:rsidRPr="009B0163">
        <w:rPr>
          <w:rFonts w:ascii="Calibri" w:hAnsi="Calibri" w:cs="Times New Roman"/>
          <w:sz w:val="22"/>
          <w:lang w:val="en-GB"/>
        </w:rPr>
        <w:t xml:space="preserve"> Whilst fossil fuel-based energy demand has grown slowly in OECD countries since 1970, gains were made in GDP terms that were largely a result of de-industrialisation of the economy (largely exported to Asia). As a result, Asia has made a significant leap in energy consumption, emissions and GDP. The energy intensity of large global economies (i.e. US, China, EU, India) </w:t>
      </w:r>
      <w:r w:rsidRPr="008D3E49">
        <w:rPr>
          <w:rFonts w:ascii="Calibri" w:hAnsi="Calibri" w:cs="Times New Roman"/>
          <w:sz w:val="22"/>
          <w:lang w:val="en-GB"/>
        </w:rPr>
        <w:t>ha</w:t>
      </w:r>
      <w:r>
        <w:rPr>
          <w:rFonts w:ascii="Calibri" w:hAnsi="Calibri" w:cs="Times New Roman"/>
          <w:sz w:val="22"/>
          <w:lang w:val="en-GB"/>
        </w:rPr>
        <w:t>ve</w:t>
      </w:r>
      <w:r w:rsidRPr="009B0163">
        <w:rPr>
          <w:rFonts w:ascii="Calibri" w:hAnsi="Calibri" w:cs="Times New Roman"/>
          <w:sz w:val="22"/>
          <w:lang w:val="en-GB"/>
        </w:rPr>
        <w:t xml:space="preserve"> fallen </w:t>
      </w:r>
      <w:r>
        <w:rPr>
          <w:rFonts w:ascii="Calibri" w:hAnsi="Calibri" w:cs="Times New Roman"/>
          <w:sz w:val="22"/>
          <w:lang w:val="en-GB"/>
        </w:rPr>
        <w:t>progressivel</w:t>
      </w:r>
      <w:r w:rsidRPr="008D3E49">
        <w:rPr>
          <w:rFonts w:ascii="Calibri" w:hAnsi="Calibri" w:cs="Times New Roman"/>
          <w:sz w:val="22"/>
          <w:lang w:val="en-GB"/>
        </w:rPr>
        <w:t>y</w:t>
      </w:r>
      <w:r w:rsidRPr="009B0163">
        <w:rPr>
          <w:rFonts w:ascii="Calibri" w:hAnsi="Calibri" w:cs="Times New Roman"/>
          <w:sz w:val="22"/>
          <w:lang w:val="en-GB"/>
        </w:rPr>
        <w:t xml:space="preserve"> over the period of industrialisation</w:t>
      </w:r>
      <w:r w:rsidRPr="008D3E49">
        <w:rPr>
          <w:rFonts w:ascii="Calibri" w:hAnsi="Calibri" w:cs="Times New Roman"/>
          <w:sz w:val="22"/>
          <w:lang w:val="en-GB"/>
        </w:rPr>
        <w:t>.</w:t>
      </w:r>
      <w:r w:rsidR="00E13392">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&lt;EndNote&gt;&lt;Cite&gt;&lt;Author&gt;Blanco&lt;/Author&gt;&lt;Year&gt;2014&lt;/Year&gt;&lt;RecNum&gt;1433&lt;/RecNum&gt;&lt;DisplayText&gt;&lt;style face="superscript"&gt;211&lt;/style&gt;&lt;/DisplayText&gt;&lt;record&gt;&lt;rec-number&gt;1433&lt;/rec-number&gt;&lt;foreign-keys&gt;&lt;key app="EN" db-id="wtftd20rmszxx0ettxy5exwdf90wv22s2dsf" timestamp="1419297840"&gt;1433&lt;/key&gt;&lt;/foreign-keys&gt;&lt;ref-type name="Book Section"&gt;5&lt;/ref-type&gt;&lt;contributors&gt;&lt;authors&gt;&lt;author&gt;G Blanco&lt;/author&gt;&lt;author&gt;R Gerlagh&lt;/author&gt;&lt;author&gt;S Suh&lt;/author&gt;&lt;author&gt;J Barrett&lt;/author&gt;&lt;author&gt;HC de Coninck&lt;/author&gt;&lt;author&gt;CF Diaz Morejon&lt;/author&gt;&lt;author&gt;R Mathur&lt;/author&gt;&lt;author&gt;N Nakicenovic&lt;/author&gt;&lt;author&gt;A Ofosu Ahenkora&lt;/author&gt;&lt;author&gt;J Pan&lt;/author&gt;&lt;author&gt;H Pathak&lt;/author&gt;&lt;author&gt;J Rice&lt;/author&gt;&lt;author&gt;R Richels&lt;/author&gt;&lt;author&gt;SJ Smith&lt;/author&gt;&lt;author&gt;DI Stern&lt;/author&gt;&lt;author&gt;FL Toth&lt;/author&gt;&lt;author&gt;P Zhou&lt;/author&gt;&lt;/authors&gt;&lt;secondary-authors&gt;&lt;author&gt;O Edenhofer&lt;/author&gt;&lt;author&gt;R Pichs-Madruga&lt;/author&gt;&lt;author&gt;Y Sokona&lt;/author&gt;&lt;author&gt;E Farahani&lt;/author&gt;&lt;author&gt;S Kadner&lt;/author&gt;&lt;author&gt;K Seyboth&lt;/author&gt;&lt;author&gt;A Adler&lt;/author&gt;&lt;author&gt;I Baum&lt;/author&gt;&lt;author&gt;S Brunner&lt;/author&gt;&lt;author&gt;P Eickemeier&lt;/author&gt;&lt;author&gt;B Kriemann&lt;/author&gt;&lt;author&gt;J Savolainen&lt;/author&gt;&lt;author&gt;S Schlömer&lt;/author&gt;&lt;author&gt;C von Stechow&lt;/author&gt;&lt;author&gt;T Zwickel&lt;/author&gt;&lt;author&gt;JC Minx&lt;/author&gt;&lt;/secondary-authors&gt;&lt;/contributors&gt;&lt;titles&gt;&lt;title&gt;Drivers, Trends and Mitigation&lt;/title&gt;&lt;secondary-title&gt;Climate Change 2014: Mitigation of Climate Change. Contribution of Working Group III to the Fifth Assessment Report of the Intergovernmental Panel on Climate Change&lt;/secondary-title&gt;&lt;/titles&gt;&lt;dates&gt;&lt;year&gt;2014&lt;/year&gt;&lt;/dates&gt;&lt;pub-location&gt;Cambridge, United Kingdom and New York, NY, USA&lt;/pub-location&gt;&lt;publisher&gt;Cambridge University Press&lt;/publisher&gt;&lt;urls&gt;&lt;/urls&gt;&lt;/record&gt;&lt;/Cite&gt;&lt;/EndNote&gt;</w:instrText>
      </w:r>
      <w:r w:rsidR="00E13392">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211</w:t>
      </w:r>
      <w:r w:rsidR="00E13392">
        <w:rPr>
          <w:rFonts w:ascii="Calibri" w:hAnsi="Calibri" w:cs="Times New Roman"/>
          <w:sz w:val="22"/>
          <w:lang w:val="en-GB"/>
        </w:rPr>
        <w:fldChar w:fldCharType="end"/>
      </w:r>
      <w:r w:rsidRPr="009B0163">
        <w:rPr>
          <w:rFonts w:ascii="Calibri" w:hAnsi="Calibri" w:cs="Times New Roman"/>
          <w:sz w:val="22"/>
          <w:lang w:val="en-GB"/>
        </w:rPr>
        <w:t xml:space="preserve"> </w:t>
      </w:r>
      <w:r w:rsidRPr="008D3E49">
        <w:rPr>
          <w:rFonts w:ascii="Calibri" w:hAnsi="Calibri" w:cs="Times New Roman"/>
          <w:sz w:val="22"/>
          <w:szCs w:val="22"/>
          <w:lang w:val="en-GB"/>
        </w:rPr>
        <w:t xml:space="preserve"> Figure 4.</w:t>
      </w:r>
      <w:r w:rsidR="008662EF">
        <w:rPr>
          <w:rFonts w:ascii="Calibri" w:hAnsi="Calibri" w:cs="Times New Roman"/>
          <w:sz w:val="22"/>
          <w:szCs w:val="22"/>
          <w:lang w:val="en-GB"/>
        </w:rPr>
        <w:t>2</w:t>
      </w:r>
      <w:r w:rsidRPr="008D3E49">
        <w:rPr>
          <w:rFonts w:ascii="Calibri" w:hAnsi="Calibri" w:cs="Times New Roman"/>
          <w:sz w:val="22"/>
          <w:szCs w:val="22"/>
          <w:lang w:val="en-GB"/>
        </w:rPr>
        <w:t xml:space="preserve"> shows that economic gains </w:t>
      </w:r>
      <w:r>
        <w:rPr>
          <w:rFonts w:ascii="Calibri" w:hAnsi="Calibri" w:cs="Times New Roman"/>
          <w:sz w:val="22"/>
          <w:szCs w:val="22"/>
          <w:lang w:val="en-GB"/>
        </w:rPr>
        <w:t xml:space="preserve">need not be strongly coupled to </w:t>
      </w:r>
      <w:r w:rsidRPr="008D3E49">
        <w:rPr>
          <w:rFonts w:ascii="Calibri" w:hAnsi="Calibri" w:cs="Times New Roman"/>
          <w:sz w:val="22"/>
          <w:szCs w:val="22"/>
          <w:lang w:val="en-GB"/>
        </w:rPr>
        <w:t>CO</w:t>
      </w:r>
      <w:r w:rsidRPr="008D3E49">
        <w:rPr>
          <w:rFonts w:ascii="Calibri" w:hAnsi="Calibri" w:cs="Times New Roman"/>
          <w:sz w:val="22"/>
          <w:szCs w:val="22"/>
          <w:vertAlign w:val="subscript"/>
          <w:lang w:val="en-GB"/>
        </w:rPr>
        <w:t xml:space="preserve">2 </w:t>
      </w:r>
      <w:r w:rsidRPr="008D3E49">
        <w:rPr>
          <w:rFonts w:ascii="Calibri" w:hAnsi="Calibri" w:cs="Times New Roman"/>
          <w:sz w:val="22"/>
          <w:szCs w:val="22"/>
          <w:lang w:val="en-GB"/>
        </w:rPr>
        <w:t xml:space="preserve">emissions, though </w:t>
      </w:r>
      <w:r>
        <w:rPr>
          <w:rFonts w:ascii="Calibri" w:hAnsi="Calibri" w:cs="Times New Roman"/>
          <w:sz w:val="22"/>
          <w:szCs w:val="22"/>
          <w:lang w:val="en-GB"/>
        </w:rPr>
        <w:t>the relationship is partially obscured by</w:t>
      </w:r>
      <w:r w:rsidRPr="008D3E49">
        <w:rPr>
          <w:rFonts w:ascii="Calibri" w:hAnsi="Calibri" w:cs="Times New Roman"/>
          <w:sz w:val="22"/>
          <w:szCs w:val="22"/>
          <w:lang w:val="en-GB"/>
        </w:rPr>
        <w:t xml:space="preserve"> </w:t>
      </w:r>
      <w:r>
        <w:rPr>
          <w:rFonts w:ascii="Calibri" w:hAnsi="Calibri" w:cs="Times New Roman"/>
          <w:sz w:val="22"/>
          <w:szCs w:val="22"/>
          <w:lang w:val="en-GB"/>
        </w:rPr>
        <w:t>the e</w:t>
      </w:r>
      <w:r w:rsidRPr="008D3E49">
        <w:rPr>
          <w:rFonts w:ascii="Calibri" w:hAnsi="Calibri" w:cs="Times New Roman"/>
          <w:sz w:val="22"/>
          <w:szCs w:val="22"/>
          <w:lang w:val="en-GB"/>
        </w:rPr>
        <w:t>xport</w:t>
      </w:r>
      <w:r>
        <w:rPr>
          <w:rFonts w:ascii="Calibri" w:hAnsi="Calibri" w:cs="Times New Roman"/>
          <w:sz w:val="22"/>
          <w:szCs w:val="22"/>
          <w:lang w:val="en-GB"/>
        </w:rPr>
        <w:t xml:space="preserve"> of</w:t>
      </w:r>
      <w:r w:rsidRPr="008D3E49">
        <w:rPr>
          <w:rFonts w:ascii="Calibri" w:hAnsi="Calibri" w:cs="Times New Roman"/>
          <w:sz w:val="22"/>
          <w:szCs w:val="22"/>
          <w:lang w:val="en-GB"/>
        </w:rPr>
        <w:t xml:space="preserve"> CO</w:t>
      </w:r>
      <w:r w:rsidRPr="008D3E49">
        <w:rPr>
          <w:rFonts w:ascii="Calibri" w:hAnsi="Calibri" w:cs="Times New Roman"/>
          <w:sz w:val="22"/>
          <w:szCs w:val="22"/>
          <w:vertAlign w:val="subscript"/>
          <w:lang w:val="en-GB"/>
        </w:rPr>
        <w:t>2</w:t>
      </w:r>
      <w:r w:rsidRPr="008D3E49">
        <w:rPr>
          <w:rFonts w:ascii="Calibri" w:hAnsi="Calibri" w:cs="Times New Roman"/>
          <w:sz w:val="22"/>
          <w:szCs w:val="22"/>
          <w:lang w:val="en-GB"/>
        </w:rPr>
        <w:t xml:space="preserve"> emissions. Moving</w:t>
      </w:r>
      <w:r w:rsidRPr="008D621A">
        <w:rPr>
          <w:rFonts w:ascii="Calibri" w:hAnsi="Calibri" w:cs="Times New Roman"/>
          <w:sz w:val="22"/>
          <w:szCs w:val="22"/>
          <w:lang w:val="en-GB"/>
        </w:rPr>
        <w:t xml:space="preserve"> energy-intensive industries offshore (most of which remain fossil fuel powered) allows for territorial emissions to fall, but at the cost of increased emissions elsewhere. </w:t>
      </w:r>
    </w:p>
    <w:p w:rsidR="00B80CE0" w:rsidRPr="008D621A" w:rsidRDefault="00B80CE0" w:rsidP="00B80CE0">
      <w:pPr>
        <w:jc w:val="both"/>
        <w:rPr>
          <w:rFonts w:ascii="Calibri" w:hAnsi="Calibri" w:cs="Palatino"/>
          <w:sz w:val="22"/>
          <w:szCs w:val="22"/>
          <w:lang w:val="en-GB"/>
        </w:rPr>
      </w:pPr>
    </w:p>
    <w:p w:rsidR="00B80CE0" w:rsidRDefault="00B80CE0" w:rsidP="00B80CE0">
      <w:pPr>
        <w:jc w:val="both"/>
        <w:rPr>
          <w:rFonts w:ascii="Calibri" w:hAnsi="Calibri" w:cs="Times New Roman"/>
          <w:sz w:val="22"/>
          <w:lang w:val="en-GB"/>
        </w:rPr>
      </w:pPr>
      <w:r w:rsidRPr="00D17021">
        <w:rPr>
          <w:rFonts w:ascii="Calibri" w:hAnsi="Calibri" w:cs="Times New Roman"/>
          <w:sz w:val="22"/>
          <w:lang w:val="en-GB"/>
        </w:rPr>
        <w:t xml:space="preserve">Growth in demand for energy will </w:t>
      </w:r>
      <w:r w:rsidRPr="00124BD4">
        <w:rPr>
          <w:rFonts w:ascii="Calibri" w:hAnsi="Calibri" w:cs="Times New Roman"/>
          <w:sz w:val="22"/>
          <w:lang w:val="en-GB"/>
        </w:rPr>
        <w:t>likely continue over the coming 25 years, particularly in lower-middle and low income</w:t>
      </w:r>
      <w:r w:rsidRPr="00390482">
        <w:rPr>
          <w:rFonts w:ascii="Calibri" w:hAnsi="Calibri" w:cs="Times New Roman"/>
          <w:sz w:val="22"/>
          <w:lang w:val="en-GB"/>
        </w:rPr>
        <w:t xml:space="preserve"> economic regions where most citizens lack access to safe and affordable energy. The growth </w:t>
      </w:r>
      <w:r w:rsidRPr="00D7478E">
        <w:rPr>
          <w:rFonts w:ascii="Calibri" w:hAnsi="Calibri" w:cs="Times New Roman"/>
          <w:sz w:val="22"/>
          <w:lang w:val="en-GB"/>
        </w:rPr>
        <w:t xml:space="preserve">in global per capita energy demand </w:t>
      </w:r>
      <w:r>
        <w:rPr>
          <w:rFonts w:ascii="Calibri" w:hAnsi="Calibri" w:cs="Times New Roman"/>
          <w:sz w:val="22"/>
          <w:lang w:val="en-GB"/>
        </w:rPr>
        <w:t>is</w:t>
      </w:r>
      <w:r w:rsidRPr="00D7478E">
        <w:rPr>
          <w:rFonts w:ascii="Calibri" w:hAnsi="Calibri" w:cs="Times New Roman"/>
          <w:sz w:val="22"/>
          <w:lang w:val="en-GB"/>
        </w:rPr>
        <w:t xml:space="preserve"> linked to improvements in the standard of living in developing regions and direct</w:t>
      </w:r>
      <w:r w:rsidRPr="003B5153">
        <w:rPr>
          <w:rFonts w:ascii="Calibri" w:hAnsi="Calibri" w:cs="Times New Roman"/>
          <w:sz w:val="22"/>
          <w:lang w:val="en-GB"/>
        </w:rPr>
        <w:t xml:space="preserve">ly supports development goals. </w:t>
      </w:r>
      <w:r>
        <w:rPr>
          <w:rFonts w:ascii="Calibri" w:hAnsi="Calibri" w:cs="Times New Roman"/>
          <w:sz w:val="22"/>
          <w:lang w:val="en-GB"/>
        </w:rPr>
        <w:t>Expected energy d</w:t>
      </w:r>
      <w:r w:rsidRPr="003B5153">
        <w:rPr>
          <w:rFonts w:ascii="Calibri" w:hAnsi="Calibri" w:cs="Times New Roman"/>
          <w:sz w:val="22"/>
          <w:lang w:val="en-GB"/>
        </w:rPr>
        <w:t>emand in non-OECD coun</w:t>
      </w:r>
      <w:r w:rsidRPr="00C636DF">
        <w:rPr>
          <w:rFonts w:ascii="Calibri" w:hAnsi="Calibri" w:cs="Times New Roman"/>
          <w:sz w:val="22"/>
          <w:lang w:val="en-GB"/>
        </w:rPr>
        <w:t>tries may double by 2035 (107%) from 2010, while OECD countries may increase by 14% over the same period.</w:t>
      </w:r>
      <w:r w:rsidR="00E13392">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&lt;EndNote&gt;&lt;Cite&gt;&lt;Author&gt;International Energy Agency&lt;/Author&gt;&lt;Year&gt;2013&lt;/Year&gt;&lt;RecNum&gt;949&lt;/RecNum&gt;&lt;DisplayText&gt;&lt;style face="superscript"&gt;209&lt;/style&gt;&lt;/DisplayText&gt;&lt;record&gt;&lt;rec-number&gt;949&lt;/rec-number&gt;&lt;foreign-keys&gt;&lt;key app="EN" db-id="wtftd20rmszxx0ettxy5exwdf90wv22s2dsf" timestamp="1419212983"&gt;949&lt;/key&gt;&lt;/foreign-keys&gt;&lt;ref-type name="Government Document"&gt;46&lt;/ref-type&gt;&lt;contributors&gt;&lt;authors&gt;&lt;author&gt;International Energy Agency,&lt;/author&gt;&lt;/authors&gt;&lt;/contributors&gt;&lt;titles&gt;&lt;title&gt;World Energy Outlook 2013&lt;/title&gt;&lt;/titles&gt;&lt;dates&gt;&lt;year&gt;2013&lt;/year&gt;&lt;/dates&gt;&lt;pub-location&gt;Paris&lt;/pub-location&gt;&lt;urls&gt;&lt;/urls&gt;&lt;/record&gt;&lt;/Cite&gt;&lt;/EndNote&gt;</w:instrText>
      </w:r>
      <w:r w:rsidR="00E13392">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209</w:t>
      </w:r>
      <w:r w:rsidR="00E13392">
        <w:rPr>
          <w:rFonts w:ascii="Calibri" w:hAnsi="Calibri" w:cs="Times New Roman"/>
          <w:sz w:val="22"/>
          <w:lang w:val="en-GB"/>
        </w:rPr>
        <w:fldChar w:fldCharType="end"/>
      </w:r>
      <w:r w:rsidRPr="00C636DF">
        <w:rPr>
          <w:rFonts w:ascii="Calibri" w:hAnsi="Calibri" w:cs="Times New Roman"/>
          <w:sz w:val="22"/>
          <w:lang w:val="en-GB"/>
        </w:rPr>
        <w:t xml:space="preserve"> </w:t>
      </w:r>
      <w:r>
        <w:rPr>
          <w:rFonts w:ascii="Calibri" w:hAnsi="Calibri" w:cs="Times New Roman"/>
          <w:sz w:val="22"/>
          <w:lang w:val="en-GB"/>
        </w:rPr>
        <w:t xml:space="preserve"> </w:t>
      </w:r>
      <w:r w:rsidRPr="005F5BC6">
        <w:rPr>
          <w:rFonts w:ascii="Calibri" w:hAnsi="Calibri" w:cs="Times New Roman"/>
          <w:sz w:val="22"/>
          <w:lang w:val="en-GB"/>
        </w:rPr>
        <w:t>However, this growth in demand will continue to directly benefit high-income regions through exported production of goods.</w:t>
      </w:r>
      <w:r>
        <w:rPr>
          <w:rFonts w:ascii="Calibri" w:hAnsi="Calibri" w:cs="Times New Roman"/>
          <w:sz w:val="22"/>
          <w:lang w:val="en-GB"/>
        </w:rPr>
        <w:t xml:space="preserve"> </w:t>
      </w:r>
    </w:p>
    <w:p w:rsidR="00D022A9" w:rsidRDefault="00D022A9" w:rsidP="00B80CE0">
      <w:pPr>
        <w:jc w:val="both"/>
        <w:rPr>
          <w:rFonts w:ascii="Calibri" w:hAnsi="Calibri" w:cs="Times New Roman"/>
          <w:sz w:val="22"/>
          <w:lang w:val="en-GB"/>
        </w:rPr>
      </w:pPr>
    </w:p>
    <w:p w:rsidR="00D022A9" w:rsidRPr="00390482" w:rsidRDefault="00D022A9" w:rsidP="00B80CE0">
      <w:pPr>
        <w:jc w:val="both"/>
        <w:rPr>
          <w:rFonts w:ascii="Calibri" w:hAnsi="Calibri"/>
          <w:lang w:val="en-GB"/>
        </w:rPr>
      </w:pPr>
      <w:r>
        <w:rPr>
          <w:noProof/>
          <w:lang w:val="en-GB" w:eastAsia="en-GB"/>
        </w:rPr>
        <w:drawing>
          <wp:inline distT="0" distB="0" distL="0" distR="0">
            <wp:extent cx="5731510" cy="40214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31510" cy="4021455"/>
                    </a:xfrm>
                    <a:prstGeom prst="rect">
                      <a:avLst/>
                    </a:prstGeom>
                  </pic:spPr>
                </pic:pic>
              </a:graphicData>
            </a:graphic>
          </wp:inline>
        </w:drawing>
      </w:r>
    </w:p>
    <w:p w:rsidR="00F27BD7" w:rsidRDefault="00F27BD7" w:rsidP="00F27BD7">
      <w:pPr>
        <w:rPr>
          <w:rFonts w:ascii="Calibri" w:hAnsi="Calibri"/>
          <w:lang w:val="en-GB"/>
        </w:rPr>
      </w:pPr>
    </w:p>
    <w:p w:rsidR="00B80CE0" w:rsidRPr="00B00BC8" w:rsidRDefault="00B00BC8" w:rsidP="00B00BC8">
      <w:pPr>
        <w:spacing w:after="120" w:line="259" w:lineRule="auto"/>
        <w:rPr>
          <w:rFonts w:ascii="Calibri" w:eastAsiaTheme="minorHAnsi" w:hAnsi="Calibri" w:cs="Times New Roman"/>
          <w:i/>
          <w:sz w:val="20"/>
          <w:szCs w:val="20"/>
          <w:lang w:val="en-GB" w:eastAsia="en-US"/>
        </w:rPr>
      </w:pPr>
      <w:r w:rsidRPr="00B00BC8">
        <w:rPr>
          <w:rFonts w:ascii="Calibri" w:eastAsiaTheme="minorHAnsi" w:hAnsi="Calibri" w:cs="Times New Roman"/>
          <w:i/>
          <w:sz w:val="20"/>
          <w:szCs w:val="20"/>
          <w:lang w:val="en-GB" w:eastAsia="en-US"/>
        </w:rPr>
        <w:t>Figure 4.2</w:t>
      </w:r>
      <w:r>
        <w:rPr>
          <w:rFonts w:ascii="Calibri" w:eastAsiaTheme="minorHAnsi" w:hAnsi="Calibri" w:cs="Times New Roman"/>
          <w:i/>
          <w:sz w:val="20"/>
          <w:szCs w:val="20"/>
          <w:lang w:val="en-GB" w:eastAsia="en-US"/>
        </w:rPr>
        <w:t xml:space="preserve">: </w:t>
      </w:r>
      <w:r w:rsidRPr="00B00BC8">
        <w:rPr>
          <w:rFonts w:ascii="Calibri" w:eastAsiaTheme="minorHAnsi" w:hAnsi="Calibri" w:cs="Times New Roman"/>
          <w:i/>
          <w:sz w:val="20"/>
          <w:szCs w:val="20"/>
          <w:lang w:val="en-GB" w:eastAsia="en-US"/>
        </w:rPr>
        <w:t>Per capita CO2 emission trends in relation to income for a selection of countries (1990-2008) (Source: World Bank)</w:t>
      </w:r>
      <w:r w:rsidR="00E13392">
        <w:rPr>
          <w:rFonts w:ascii="Calibri" w:eastAsiaTheme="minorHAnsi" w:hAnsi="Calibri" w:cs="Times New Roman"/>
          <w:i/>
          <w:sz w:val="20"/>
          <w:szCs w:val="20"/>
          <w:lang w:val="en-GB" w:eastAsia="en-US"/>
        </w:rPr>
        <w:fldChar w:fldCharType="begin"/>
      </w:r>
      <w:r w:rsidR="00A43B13">
        <w:rPr>
          <w:rFonts w:ascii="Calibri" w:eastAsiaTheme="minorHAnsi" w:hAnsi="Calibri" w:cs="Times New Roman"/>
          <w:i/>
          <w:sz w:val="20"/>
          <w:szCs w:val="20"/>
          <w:lang w:val="en-GB" w:eastAsia="en-US"/>
        </w:rPr>
        <w:instrText xml:space="preserve"> ADDIN EN.CITE &lt;EndNote&gt;&lt;Cite&gt;&lt;Author&gt;Bank&lt;/Author&gt;&lt;Year&gt;2015&lt;/Year&gt;&lt;RecNum&gt;1582&lt;/RecNum&gt;&lt;DisplayText&gt;&lt;style face="superscript"&gt;212,213&lt;/style&gt;&lt;/DisplayText&gt;&lt;record&gt;&lt;rec-number&gt;1582&lt;/rec-number&gt;&lt;foreign-keys&gt;&lt;key app="EN" db-id="wtftd20rmszxx0ettxy5exwdf90wv22s2dsf" timestamp="1429470640"&gt;1582&lt;/key&gt;&lt;/foreign-keys&gt;&lt;ref-type name="Report"&gt;27&lt;/ref-type&gt;&lt;contributors&gt;&lt;authors&gt;&lt;author&gt;World Bank&lt;/author&gt;&lt;/authors&gt;&lt;/contributors&gt;&lt;titles&gt;&lt;title&gt;World Development Indicators - GDP per capita (constant 2005 US$), World Bank national accounts data, and OECD National Accounts data files&lt;/title&gt;&lt;/titles&gt;&lt;dates&gt;&lt;year&gt;2015&lt;/year&gt;&lt;/dates&gt;&lt;pub-location&gt;Washington D.C.&lt;/pub-location&gt;&lt;urls&gt;&lt;/urls&gt;&lt;/record&gt;&lt;/Cite&gt;&lt;Cite&gt;&lt;Author&gt;Bank&lt;/Author&gt;&lt;Year&gt;2015&lt;/Year&gt;&lt;RecNum&gt;1583&lt;/RecNum&gt;&lt;record&gt;&lt;rec-number&gt;1583&lt;/rec-number&gt;&lt;foreign-keys&gt;&lt;key app="EN" db-id="wtftd20rmszxx0ettxy5exwdf90wv22s2dsf" timestamp="1429470678"&gt;1583&lt;/key&gt;&lt;/foreign-keys&gt;&lt;ref-type name="Report"&gt;27&lt;/ref-type&gt;&lt;contributors&gt;&lt;authors&gt;&lt;author&gt;World Bank&lt;/author&gt;&lt;/authors&gt;&lt;/contributors&gt;&lt;titles&gt;&lt;title&gt;World Development Indicators - CO2 emissions (metric tons per capita)&lt;/title&gt;&lt;/titles&gt;&lt;dates&gt;&lt;year&gt;2015&lt;/year&gt;&lt;/dates&gt;&lt;pub-location&gt;Tennessee&lt;/pub-location&gt;&lt;urls&gt;&lt;/urls&gt;&lt;/record&gt;&lt;/Cite&gt;&lt;/EndNote&gt;</w:instrText>
      </w:r>
      <w:r w:rsidR="00E13392">
        <w:rPr>
          <w:rFonts w:ascii="Calibri" w:eastAsiaTheme="minorHAnsi" w:hAnsi="Calibri" w:cs="Times New Roman"/>
          <w:i/>
          <w:sz w:val="20"/>
          <w:szCs w:val="20"/>
          <w:lang w:val="en-GB" w:eastAsia="en-US"/>
        </w:rPr>
        <w:fldChar w:fldCharType="separate"/>
      </w:r>
      <w:r w:rsidR="00A43B13" w:rsidRPr="00A43B13">
        <w:rPr>
          <w:rFonts w:ascii="Calibri" w:eastAsiaTheme="minorHAnsi" w:hAnsi="Calibri" w:cs="Times New Roman"/>
          <w:i/>
          <w:noProof/>
          <w:sz w:val="20"/>
          <w:szCs w:val="20"/>
          <w:vertAlign w:val="superscript"/>
          <w:lang w:val="en-GB" w:eastAsia="en-US"/>
        </w:rPr>
        <w:t>212,213</w:t>
      </w:r>
      <w:r w:rsidR="00E13392">
        <w:rPr>
          <w:rFonts w:ascii="Calibri" w:eastAsiaTheme="minorHAnsi" w:hAnsi="Calibri" w:cs="Times New Roman"/>
          <w:i/>
          <w:sz w:val="20"/>
          <w:szCs w:val="20"/>
          <w:lang w:val="en-GB" w:eastAsia="en-US"/>
        </w:rPr>
        <w:fldChar w:fldCharType="end"/>
      </w:r>
    </w:p>
    <w:p w:rsidR="00B00BC8" w:rsidRPr="00FC2C50" w:rsidRDefault="00B00BC8" w:rsidP="00B80CE0">
      <w:pPr>
        <w:jc w:val="both"/>
        <w:rPr>
          <w:rFonts w:ascii="Calibri" w:hAnsi="Calibri" w:cs="Times New Roman"/>
          <w:sz w:val="22"/>
          <w:lang w:val="en-GB"/>
        </w:rPr>
      </w:pPr>
    </w:p>
    <w:p w:rsidR="00B80CE0" w:rsidRPr="00D036C9" w:rsidRDefault="00B80CE0" w:rsidP="00D036C9">
      <w:pPr>
        <w:pStyle w:val="Heading3"/>
        <w:rPr>
          <w:lang w:val="en-GB"/>
        </w:rPr>
      </w:pPr>
      <w:bookmarkStart w:id="97" w:name="_Toc402956385"/>
      <w:bookmarkStart w:id="98" w:name="_Toc415931394"/>
      <w:bookmarkStart w:id="99" w:name="_Toc417502059"/>
      <w:r w:rsidRPr="00944110">
        <w:rPr>
          <w:lang w:val="en-GB"/>
        </w:rPr>
        <w:t xml:space="preserve">Meeting our </w:t>
      </w:r>
      <w:r>
        <w:rPr>
          <w:lang w:val="en-GB"/>
        </w:rPr>
        <w:t>F</w:t>
      </w:r>
      <w:r w:rsidRPr="00944110">
        <w:rPr>
          <w:lang w:val="en-GB"/>
        </w:rPr>
        <w:t xml:space="preserve">uture </w:t>
      </w:r>
      <w:r>
        <w:rPr>
          <w:lang w:val="en-GB"/>
        </w:rPr>
        <w:t>E</w:t>
      </w:r>
      <w:r w:rsidRPr="00944110">
        <w:rPr>
          <w:lang w:val="en-GB"/>
        </w:rPr>
        <w:t xml:space="preserve">nergy </w:t>
      </w:r>
      <w:bookmarkEnd w:id="97"/>
      <w:r>
        <w:rPr>
          <w:lang w:val="en-GB"/>
        </w:rPr>
        <w:t>N</w:t>
      </w:r>
      <w:r w:rsidRPr="00944110">
        <w:rPr>
          <w:lang w:val="en-GB"/>
        </w:rPr>
        <w:t>eeds</w:t>
      </w:r>
      <w:bookmarkEnd w:id="98"/>
      <w:bookmarkEnd w:id="99"/>
    </w:p>
    <w:p w:rsidR="00B80CE0" w:rsidRPr="004008E1" w:rsidRDefault="00B80CE0" w:rsidP="00B80CE0">
      <w:pPr>
        <w:jc w:val="both"/>
        <w:rPr>
          <w:rFonts w:ascii="Calibri" w:hAnsi="Calibri" w:cs="Times New Roman"/>
          <w:sz w:val="22"/>
          <w:lang w:val="en-GB"/>
        </w:rPr>
      </w:pPr>
      <w:r>
        <w:rPr>
          <w:rFonts w:ascii="Calibri" w:hAnsi="Calibri" w:cs="Times New Roman"/>
          <w:sz w:val="22"/>
          <w:lang w:val="en-GB"/>
        </w:rPr>
        <w:t>A</w:t>
      </w:r>
      <w:r w:rsidRPr="00C636DF">
        <w:rPr>
          <w:rFonts w:ascii="Calibri" w:hAnsi="Calibri" w:cs="Times New Roman"/>
          <w:sz w:val="22"/>
          <w:lang w:val="en-GB"/>
        </w:rPr>
        <w:t>ccess to energy is a key enabler of economic development and social wellbeing. In recognition of energy being a key determinant of economic and social development, and of health and wellbeing</w:t>
      </w:r>
      <w:r w:rsidRPr="001408C1">
        <w:rPr>
          <w:rFonts w:ascii="Calibri" w:hAnsi="Calibri" w:cs="Times New Roman"/>
          <w:sz w:val="22"/>
          <w:lang w:val="en-GB"/>
        </w:rPr>
        <w:t xml:space="preserve">, the UN has declared that 2014-2024 is the UN Decade of Sustainable Energy for All. The </w:t>
      </w:r>
      <w:r>
        <w:rPr>
          <w:rFonts w:ascii="Calibri" w:hAnsi="Calibri" w:cs="Times New Roman"/>
          <w:sz w:val="22"/>
          <w:lang w:val="en-GB"/>
        </w:rPr>
        <w:t>whole of the</w:t>
      </w:r>
      <w:r w:rsidRPr="001408C1">
        <w:rPr>
          <w:rFonts w:ascii="Calibri" w:hAnsi="Calibri" w:cs="Times New Roman"/>
          <w:sz w:val="22"/>
          <w:lang w:val="en-GB"/>
        </w:rPr>
        <w:t xml:space="preserve"> world’s population must be able to acc</w:t>
      </w:r>
      <w:r w:rsidRPr="007B795B">
        <w:rPr>
          <w:rFonts w:ascii="Calibri" w:hAnsi="Calibri" w:cs="Times New Roman"/>
          <w:sz w:val="22"/>
          <w:lang w:val="en-GB"/>
        </w:rPr>
        <w:t>ess clean forms of energy that can provide these basic needs</w:t>
      </w:r>
      <w:r>
        <w:rPr>
          <w:rFonts w:ascii="Calibri" w:hAnsi="Calibri" w:cs="Times New Roman"/>
          <w:sz w:val="22"/>
          <w:lang w:val="en-GB"/>
        </w:rPr>
        <w:t xml:space="preserve">, </w:t>
      </w:r>
      <w:r>
        <w:rPr>
          <w:rFonts w:ascii="Calibri" w:hAnsi="Calibri" w:cs="Times New Roman"/>
          <w:sz w:val="22"/>
          <w:lang w:val="en-GB"/>
        </w:rPr>
        <w:lastRenderedPageBreak/>
        <w:t>which can minimise the health burden from both direct exposure and indirect from future climate change risks</w:t>
      </w:r>
      <w:r w:rsidRPr="007B795B">
        <w:rPr>
          <w:rFonts w:ascii="Calibri" w:hAnsi="Calibri" w:cs="Times New Roman"/>
          <w:sz w:val="22"/>
          <w:lang w:val="en-GB"/>
        </w:rPr>
        <w:t>.</w:t>
      </w:r>
      <w:r>
        <w:rPr>
          <w:rFonts w:ascii="Calibri" w:hAnsi="Calibri" w:cs="Times New Roman"/>
          <w:sz w:val="22"/>
          <w:lang w:val="en-GB"/>
        </w:rPr>
        <w:t xml:space="preserve"> </w:t>
      </w:r>
      <w:r w:rsidRPr="00C636DF">
        <w:rPr>
          <w:rFonts w:ascii="Calibri" w:hAnsi="Calibri" w:cs="Times New Roman"/>
          <w:sz w:val="22"/>
          <w:lang w:val="en-GB"/>
        </w:rPr>
        <w:t xml:space="preserve">The Sustainable Development Goals (SDGs) have emphasised the role that energy </w:t>
      </w:r>
      <w:r>
        <w:rPr>
          <w:rFonts w:ascii="Calibri" w:hAnsi="Calibri" w:cs="Times New Roman"/>
          <w:sz w:val="22"/>
          <w:lang w:val="en-GB"/>
        </w:rPr>
        <w:t>play</w:t>
      </w:r>
      <w:r w:rsidRPr="00C636DF">
        <w:rPr>
          <w:rFonts w:ascii="Calibri" w:hAnsi="Calibri" w:cs="Times New Roman"/>
          <w:sz w:val="22"/>
          <w:lang w:val="en-GB"/>
        </w:rPr>
        <w:t>s in securing a sustainable future for a global nine billion population by 2050</w:t>
      </w:r>
      <w:r>
        <w:rPr>
          <w:rFonts w:ascii="Calibri" w:hAnsi="Calibri" w:cs="Times New Roman"/>
          <w:sz w:val="22"/>
          <w:lang w:val="en-GB"/>
        </w:rPr>
        <w:t xml:space="preserve"> </w:t>
      </w:r>
      <w:r w:rsidRPr="00C636DF">
        <w:rPr>
          <w:rFonts w:ascii="Calibri" w:hAnsi="Calibri" w:cs="Times New Roman"/>
          <w:sz w:val="22"/>
          <w:lang w:val="en-GB"/>
        </w:rPr>
        <w:t xml:space="preserve">and has outlined </w:t>
      </w:r>
      <w:r>
        <w:rPr>
          <w:rFonts w:ascii="Calibri" w:hAnsi="Calibri" w:cs="Times New Roman"/>
          <w:sz w:val="22"/>
          <w:lang w:val="en-GB"/>
        </w:rPr>
        <w:t>four</w:t>
      </w:r>
      <w:r w:rsidRPr="00C636DF">
        <w:rPr>
          <w:rFonts w:ascii="Calibri" w:hAnsi="Calibri" w:cs="Times New Roman"/>
          <w:sz w:val="22"/>
          <w:lang w:val="en-GB"/>
        </w:rPr>
        <w:t xml:space="preserve"> </w:t>
      </w:r>
      <w:r w:rsidRPr="004008E1">
        <w:rPr>
          <w:rFonts w:ascii="Calibri" w:hAnsi="Calibri" w:cs="Times New Roman"/>
          <w:sz w:val="22"/>
          <w:lang w:val="en-GB"/>
        </w:rPr>
        <w:t>targets to support, which could act as progress metrics</w:t>
      </w:r>
      <w:r w:rsidR="00844FA8">
        <w:rPr>
          <w:rFonts w:ascii="Calibri" w:hAnsi="Calibri" w:cs="Times New Roman"/>
          <w:sz w:val="22"/>
          <w:lang w:val="en-GB"/>
        </w:rPr>
        <w:t>. The indicators measuring progress on the proposed SDGs for ‘securing sustainable energy for all by 2030’ include: ensuring universal access to affordable, sustainable, reliable energy services; doubling the share of renewable energy in the global energy mix; doubling the global rate of improvement in energy efficiency; phasing out fossil fuel production and consumption subsidies that encourage wasteful use, while ensuring secure affordable energy for the poor.</w:t>
      </w:r>
      <w:r w:rsidR="00844FA8" w:rsidRPr="00844FA8">
        <w:rPr>
          <w:rFonts w:ascii="Calibri" w:hAnsi="Calibri" w:cs="Times New Roman"/>
          <w:lang w:val="en-GB"/>
        </w:rPr>
        <w:t xml:space="preserve"> </w:t>
      </w:r>
      <w:r w:rsidR="00E13392">
        <w:rPr>
          <w:rFonts w:ascii="Calibri" w:hAnsi="Calibri" w:cs="Times New Roman"/>
          <w:lang w:val="en-GB"/>
        </w:rPr>
        <w:fldChar w:fldCharType="begin"/>
      </w:r>
      <w:r w:rsidR="00A43B13">
        <w:rPr>
          <w:rFonts w:ascii="Calibri" w:hAnsi="Calibri" w:cs="Times New Roman"/>
          <w:lang w:val="en-GB"/>
        </w:rPr>
        <w:instrText xml:space="preserve"> ADDIN EN.CITE &lt;EndNote&gt;&lt;Cite&gt;&lt;Year&gt;2014&lt;/Year&gt;&lt;RecNum&gt;1442&lt;/RecNum&gt;&lt;DisplayText&gt;&lt;style face="superscript"&gt;214&lt;/style&gt;&lt;/DisplayText&gt;&lt;record&gt;&lt;rec-number&gt;1442&lt;/rec-number&gt;&lt;foreign-keys&gt;&lt;key app="EN" db-id="wtftd20rmszxx0ettxy5exwdf90wv22s2dsf" timestamp="1419300384"&gt;1442&lt;/key&gt;&lt;/foreign-keys&gt;&lt;ref-type name="Report"&gt;27&lt;/ref-type&gt;&lt;contributors&gt;&lt;/contributors&gt;&lt;titles&gt;&lt;title&gt;Open Working Group proposal for Sustainable Development Goals&lt;/title&gt;&lt;/titles&gt;&lt;dates&gt;&lt;year&gt;2014&lt;/year&gt;&lt;/dates&gt;&lt;pub-location&gt;New York&lt;/pub-location&gt;&lt;publisher&gt;United Nations Department of Economic and Social Affairs, Division for Sustainable Development&lt;/publisher&gt;&lt;urls&gt;&lt;/urls&gt;&lt;/record&gt;&lt;/Cite&gt;&lt;/EndNote&gt;</w:instrText>
      </w:r>
      <w:r w:rsidR="00E13392">
        <w:rPr>
          <w:rFonts w:ascii="Calibri" w:hAnsi="Calibri" w:cs="Times New Roman"/>
          <w:lang w:val="en-GB"/>
        </w:rPr>
        <w:fldChar w:fldCharType="separate"/>
      </w:r>
      <w:r w:rsidR="00A43B13" w:rsidRPr="00A43B13">
        <w:rPr>
          <w:rFonts w:ascii="Calibri" w:hAnsi="Calibri" w:cs="Times New Roman"/>
          <w:noProof/>
          <w:vertAlign w:val="superscript"/>
          <w:lang w:val="en-GB"/>
        </w:rPr>
        <w:t>214</w:t>
      </w:r>
      <w:r w:rsidR="00E13392">
        <w:rPr>
          <w:rFonts w:ascii="Calibri" w:hAnsi="Calibri" w:cs="Times New Roman"/>
          <w:lang w:val="en-GB"/>
        </w:rPr>
        <w:fldChar w:fldCharType="end"/>
      </w:r>
    </w:p>
    <w:p w:rsidR="00B80CE0" w:rsidRPr="00B50254" w:rsidRDefault="00B80CE0" w:rsidP="00B80CE0">
      <w:pPr>
        <w:jc w:val="both"/>
        <w:rPr>
          <w:rFonts w:ascii="Calibri" w:hAnsi="Calibri" w:cs="Times New Roman"/>
          <w:sz w:val="22"/>
          <w:lang w:val="en-GB"/>
        </w:rPr>
      </w:pPr>
    </w:p>
    <w:p w:rsidR="00F27BD7" w:rsidRPr="004B2349" w:rsidRDefault="00F27BD7" w:rsidP="00F27BD7">
      <w:pPr>
        <w:jc w:val="both"/>
        <w:rPr>
          <w:rFonts w:ascii="Calibri" w:hAnsi="Calibri" w:cs="Times New Roman"/>
          <w:sz w:val="22"/>
          <w:lang w:val="en-GB"/>
        </w:rPr>
      </w:pPr>
    </w:p>
    <w:p w:rsidR="00B80CE0" w:rsidRPr="00D036C9" w:rsidRDefault="00B80CE0" w:rsidP="00D036C9">
      <w:pPr>
        <w:pStyle w:val="Heading2"/>
        <w:rPr>
          <w:lang w:val="en-GB"/>
        </w:rPr>
      </w:pPr>
      <w:bookmarkStart w:id="100" w:name="_Toc415931395"/>
      <w:bookmarkStart w:id="101" w:name="_Toc417502060"/>
      <w:r w:rsidRPr="004B2349">
        <w:rPr>
          <w:lang w:val="en-GB"/>
        </w:rPr>
        <w:t>The Health Burden of the Current Energy System</w:t>
      </w:r>
      <w:bookmarkEnd w:id="100"/>
      <w:bookmarkEnd w:id="101"/>
    </w:p>
    <w:p w:rsidR="00B80CE0" w:rsidRDefault="00B80CE0" w:rsidP="00B80CE0">
      <w:pPr>
        <w:jc w:val="both"/>
        <w:rPr>
          <w:rFonts w:ascii="Calibri" w:hAnsi="Calibri" w:cs="Times New Roman"/>
          <w:sz w:val="22"/>
          <w:lang w:val="en-GB"/>
        </w:rPr>
      </w:pPr>
      <w:r w:rsidRPr="004B2349">
        <w:rPr>
          <w:rFonts w:ascii="Calibri" w:hAnsi="Calibri" w:cs="Times New Roman"/>
          <w:sz w:val="22"/>
          <w:lang w:val="en-GB"/>
        </w:rPr>
        <w:t>Although linked to a historical transformation in health, a fossil fuel-based energy system also imposes significant health burdens (see Figure 4.</w:t>
      </w:r>
      <w:r w:rsidR="008662EF">
        <w:rPr>
          <w:rFonts w:ascii="Calibri" w:hAnsi="Calibri" w:cs="Times New Roman"/>
          <w:sz w:val="22"/>
          <w:lang w:val="en-GB"/>
        </w:rPr>
        <w:t>3</w:t>
      </w:r>
      <w:r w:rsidRPr="004008E1">
        <w:rPr>
          <w:rFonts w:ascii="Calibri" w:hAnsi="Calibri" w:cs="Times New Roman"/>
          <w:sz w:val="22"/>
          <w:lang w:val="en-GB"/>
        </w:rPr>
        <w:t xml:space="preserve">).  </w:t>
      </w:r>
      <w:r w:rsidRPr="00B50254">
        <w:rPr>
          <w:rFonts w:ascii="Calibri" w:hAnsi="Calibri" w:cs="Times New Roman"/>
          <w:sz w:val="22"/>
          <w:lang w:val="en-GB"/>
        </w:rPr>
        <w:t>The direct</w:t>
      </w:r>
      <w:r w:rsidRPr="004B2349">
        <w:rPr>
          <w:rFonts w:ascii="Calibri" w:hAnsi="Calibri" w:cs="Times New Roman"/>
          <w:sz w:val="22"/>
          <w:lang w:val="en-GB"/>
        </w:rPr>
        <w:t xml:space="preserve"> burden occurs through emissions of particulates and solid wastes (coal, oil, gas, biomass), risk of flooding (hydroelectricity), accidents and injuries (all), </w:t>
      </w:r>
      <w:r w:rsidR="008373C6" w:rsidRPr="004B2349">
        <w:rPr>
          <w:rFonts w:ascii="Calibri" w:hAnsi="Calibri" w:cs="Times New Roman"/>
          <w:sz w:val="22"/>
          <w:lang w:val="en-GB"/>
        </w:rPr>
        <w:t xml:space="preserve">and </w:t>
      </w:r>
      <w:r w:rsidRPr="004B2349">
        <w:rPr>
          <w:rFonts w:ascii="Calibri" w:hAnsi="Calibri" w:cs="Times New Roman"/>
          <w:sz w:val="22"/>
          <w:lang w:val="en-GB"/>
        </w:rPr>
        <w:t>emission of radioactive materials (coal, nuclear). But as the primary driver of anthropogenic climate change, an energy system based on fossil fuels will also have indirect effects through climate change and the increase in temperatures, extreme weather</w:t>
      </w:r>
      <w:r w:rsidRPr="00C636DF">
        <w:rPr>
          <w:rFonts w:ascii="Calibri" w:hAnsi="Calibri" w:cs="Times New Roman"/>
          <w:sz w:val="22"/>
          <w:lang w:val="en-GB"/>
        </w:rPr>
        <w:t>, heatwaves, and variable precipitation</w:t>
      </w:r>
      <w:r>
        <w:rPr>
          <w:rFonts w:ascii="Calibri" w:hAnsi="Calibri" w:cs="Times New Roman"/>
          <w:sz w:val="22"/>
          <w:lang w:val="en-GB"/>
        </w:rPr>
        <w:t xml:space="preserve"> (</w:t>
      </w:r>
      <w:r w:rsidR="008373C6">
        <w:rPr>
          <w:rFonts w:ascii="Calibri" w:hAnsi="Calibri" w:cs="Times New Roman"/>
          <w:sz w:val="22"/>
          <w:lang w:val="en-GB"/>
        </w:rPr>
        <w:t>see</w:t>
      </w:r>
      <w:r>
        <w:rPr>
          <w:rFonts w:ascii="Calibri" w:hAnsi="Calibri" w:cs="Times New Roman"/>
          <w:sz w:val="22"/>
          <w:lang w:val="en-GB"/>
        </w:rPr>
        <w:t xml:space="preserve"> Section 1)</w:t>
      </w:r>
      <w:r w:rsidRPr="00C636DF">
        <w:rPr>
          <w:rFonts w:ascii="Calibri" w:hAnsi="Calibri" w:cs="Times New Roman"/>
          <w:sz w:val="22"/>
          <w:lang w:val="en-GB"/>
        </w:rPr>
        <w:t>.</w:t>
      </w:r>
    </w:p>
    <w:p w:rsidR="00B80CE0" w:rsidRDefault="00B80CE0" w:rsidP="00B80CE0">
      <w:pPr>
        <w:jc w:val="both"/>
        <w:rPr>
          <w:rFonts w:ascii="Calibri" w:hAnsi="Calibri" w:cs="Times New Roman"/>
          <w:sz w:val="22"/>
          <w:lang w:val="en-GB"/>
        </w:rPr>
      </w:pPr>
    </w:p>
    <w:p w:rsidR="00F64068" w:rsidRDefault="00B80CE0" w:rsidP="00B80CE0">
      <w:pPr>
        <w:jc w:val="both"/>
        <w:rPr>
          <w:rFonts w:ascii="Calibri" w:hAnsi="Calibri" w:cs="Times New Roman"/>
          <w:sz w:val="22"/>
          <w:lang w:val="en-GB"/>
        </w:rPr>
      </w:pPr>
      <w:r w:rsidRPr="00C636DF">
        <w:rPr>
          <w:rFonts w:ascii="Calibri" w:hAnsi="Calibri" w:cs="Times New Roman"/>
          <w:sz w:val="22"/>
          <w:lang w:val="en-GB"/>
        </w:rPr>
        <w:t xml:space="preserve">The immediacy of this burden varies with the inertia built into the emission to exposure pathways and exposure to health effect pathways. Compared to climate change, the locality and visibility of fossil fuel emissions </w:t>
      </w:r>
      <w:r>
        <w:rPr>
          <w:rFonts w:ascii="Calibri" w:hAnsi="Calibri" w:cs="Times New Roman"/>
          <w:sz w:val="22"/>
          <w:lang w:val="en-GB"/>
        </w:rPr>
        <w:t>are</w:t>
      </w:r>
      <w:r w:rsidRPr="00C636DF">
        <w:rPr>
          <w:rFonts w:ascii="Calibri" w:hAnsi="Calibri" w:cs="Times New Roman"/>
          <w:sz w:val="22"/>
          <w:lang w:val="en-GB"/>
        </w:rPr>
        <w:t xml:space="preserve"> more apparent today as poor air quality and toxic discharges, such as smog in Beijing </w:t>
      </w:r>
      <w:r w:rsidR="00DF6540">
        <w:rPr>
          <w:rFonts w:ascii="Calibri" w:hAnsi="Calibri" w:cs="Times New Roman"/>
          <w:sz w:val="22"/>
          <w:lang w:val="en-GB"/>
        </w:rPr>
        <w:t xml:space="preserve"> or Delhi</w:t>
      </w:r>
      <w:r w:rsidRPr="00C636DF">
        <w:rPr>
          <w:rFonts w:ascii="Calibri" w:hAnsi="Calibri" w:cs="Times New Roman"/>
          <w:sz w:val="22"/>
          <w:lang w:val="en-GB"/>
        </w:rPr>
        <w:t xml:space="preserve">. A coal-fired power plant will emit particulates that result in immediate exposure for the local population </w:t>
      </w:r>
      <w:r>
        <w:rPr>
          <w:rFonts w:ascii="Calibri" w:hAnsi="Calibri" w:cs="Times New Roman"/>
          <w:sz w:val="22"/>
          <w:lang w:val="en-GB"/>
        </w:rPr>
        <w:t>with consequent increased risk</w:t>
      </w:r>
      <w:r w:rsidRPr="007B795B">
        <w:rPr>
          <w:rFonts w:ascii="Calibri" w:hAnsi="Calibri" w:cs="Times New Roman"/>
          <w:sz w:val="22"/>
          <w:lang w:val="en-GB"/>
        </w:rPr>
        <w:t xml:space="preserve"> of developing respiratory disease and lung cancer. The exposure </w:t>
      </w:r>
      <w:r>
        <w:rPr>
          <w:rFonts w:ascii="Calibri" w:hAnsi="Calibri" w:cs="Times New Roman"/>
          <w:sz w:val="22"/>
          <w:lang w:val="en-GB"/>
        </w:rPr>
        <w:t>to</w:t>
      </w:r>
      <w:r w:rsidRPr="007B795B">
        <w:rPr>
          <w:rFonts w:ascii="Calibri" w:hAnsi="Calibri" w:cs="Times New Roman"/>
          <w:sz w:val="22"/>
          <w:lang w:val="en-GB"/>
        </w:rPr>
        <w:t xml:space="preserve"> emissions can result in immediate health effects for the local population, such as respiratory tract infection</w:t>
      </w:r>
      <w:r w:rsidR="00F64068">
        <w:rPr>
          <w:rFonts w:ascii="Calibri" w:hAnsi="Calibri" w:cs="Times New Roman"/>
          <w:sz w:val="22"/>
          <w:lang w:val="en-GB"/>
        </w:rPr>
        <w:t>s</w:t>
      </w:r>
      <w:r w:rsidRPr="007B795B">
        <w:rPr>
          <w:rFonts w:ascii="Calibri" w:hAnsi="Calibri" w:cs="Times New Roman"/>
          <w:sz w:val="22"/>
          <w:lang w:val="en-GB"/>
        </w:rPr>
        <w:t>, or take many years or decades to have an effect. A coal-fired station will produce immediate CO</w:t>
      </w:r>
      <w:r w:rsidRPr="005F5BC6">
        <w:rPr>
          <w:rFonts w:ascii="Calibri" w:hAnsi="Calibri" w:cs="Times New Roman"/>
          <w:sz w:val="22"/>
          <w:vertAlign w:val="subscript"/>
          <w:lang w:val="en-GB"/>
        </w:rPr>
        <w:t>2</w:t>
      </w:r>
      <w:r w:rsidRPr="005F5BC6">
        <w:rPr>
          <w:rFonts w:ascii="Calibri" w:hAnsi="Calibri" w:cs="Times New Roman"/>
          <w:sz w:val="22"/>
          <w:lang w:val="en-GB"/>
        </w:rPr>
        <w:t xml:space="preserve"> emissions, but these emissions do not result in immediate health impact.  Instead, </w:t>
      </w:r>
      <w:r>
        <w:rPr>
          <w:rFonts w:ascii="Calibri" w:hAnsi="Calibri" w:cs="Times New Roman"/>
          <w:sz w:val="22"/>
          <w:lang w:val="en-GB"/>
        </w:rPr>
        <w:t>GHG emissions that accumulate</w:t>
      </w:r>
      <w:r w:rsidRPr="005F5BC6">
        <w:rPr>
          <w:rFonts w:ascii="Calibri" w:hAnsi="Calibri" w:cs="Times New Roman"/>
          <w:sz w:val="22"/>
          <w:lang w:val="en-GB"/>
        </w:rPr>
        <w:t xml:space="preserve"> in the atmosphere </w:t>
      </w:r>
      <w:r>
        <w:rPr>
          <w:rFonts w:ascii="Calibri" w:hAnsi="Calibri" w:cs="Times New Roman"/>
          <w:sz w:val="22"/>
          <w:lang w:val="en-GB"/>
        </w:rPr>
        <w:t xml:space="preserve">over the long-term </w:t>
      </w:r>
      <w:r w:rsidRPr="005F5BC6">
        <w:rPr>
          <w:rFonts w:ascii="Calibri" w:hAnsi="Calibri" w:cs="Times New Roman"/>
          <w:sz w:val="22"/>
          <w:lang w:val="en-GB"/>
        </w:rPr>
        <w:t xml:space="preserve">will result in global climate change. The long-term nature of climate change means that these exposures build towards a more dangerous level.  </w:t>
      </w:r>
      <w:r>
        <w:rPr>
          <w:rFonts w:ascii="Calibri" w:hAnsi="Calibri" w:cs="Times New Roman"/>
          <w:sz w:val="22"/>
          <w:lang w:val="en-GB"/>
        </w:rPr>
        <w:t>Another dimension</w:t>
      </w:r>
      <w:r w:rsidRPr="005F5BC6">
        <w:rPr>
          <w:rFonts w:ascii="Calibri" w:hAnsi="Calibri" w:cs="Times New Roman"/>
          <w:sz w:val="22"/>
          <w:lang w:val="en-GB"/>
        </w:rPr>
        <w:t xml:space="preserve"> is locality </w:t>
      </w:r>
      <w:r>
        <w:rPr>
          <w:rFonts w:ascii="Calibri" w:hAnsi="Calibri" w:cs="Times New Roman"/>
          <w:sz w:val="22"/>
          <w:lang w:val="en-GB"/>
        </w:rPr>
        <w:t>of</w:t>
      </w:r>
      <w:r w:rsidRPr="005F5BC6">
        <w:rPr>
          <w:rFonts w:ascii="Calibri" w:hAnsi="Calibri" w:cs="Times New Roman"/>
          <w:sz w:val="22"/>
          <w:lang w:val="en-GB"/>
        </w:rPr>
        <w:t xml:space="preserve"> the emissions-exposure, exposure-health effect pathways.  Local</w:t>
      </w:r>
      <w:r>
        <w:rPr>
          <w:rFonts w:ascii="Calibri" w:hAnsi="Calibri" w:cs="Times New Roman"/>
          <w:sz w:val="22"/>
          <w:lang w:val="en-GB"/>
        </w:rPr>
        <w:t>ly</w:t>
      </w:r>
      <w:r w:rsidRPr="005F5BC6">
        <w:rPr>
          <w:rFonts w:ascii="Calibri" w:hAnsi="Calibri" w:cs="Times New Roman"/>
          <w:sz w:val="22"/>
          <w:lang w:val="en-GB"/>
        </w:rPr>
        <w:t xml:space="preserve"> </w:t>
      </w:r>
      <w:r>
        <w:rPr>
          <w:rFonts w:ascii="Calibri" w:hAnsi="Calibri" w:cs="Times New Roman"/>
          <w:sz w:val="22"/>
          <w:lang w:val="en-GB"/>
        </w:rPr>
        <w:t>generated</w:t>
      </w:r>
      <w:r w:rsidRPr="005F5BC6">
        <w:rPr>
          <w:rFonts w:ascii="Calibri" w:hAnsi="Calibri" w:cs="Times New Roman"/>
          <w:sz w:val="22"/>
          <w:lang w:val="en-GB"/>
        </w:rPr>
        <w:t xml:space="preserve"> emissions will affect </w:t>
      </w:r>
      <w:r>
        <w:rPr>
          <w:rFonts w:ascii="Calibri" w:hAnsi="Calibri" w:cs="Times New Roman"/>
          <w:sz w:val="22"/>
          <w:lang w:val="en-GB"/>
        </w:rPr>
        <w:t xml:space="preserve">both </w:t>
      </w:r>
      <w:r w:rsidRPr="005F5BC6">
        <w:rPr>
          <w:rFonts w:ascii="Calibri" w:hAnsi="Calibri" w:cs="Times New Roman"/>
          <w:sz w:val="22"/>
          <w:lang w:val="en-GB"/>
        </w:rPr>
        <w:t>the population surrounding the point of discharge</w:t>
      </w:r>
      <w:r>
        <w:rPr>
          <w:rFonts w:ascii="Calibri" w:hAnsi="Calibri" w:cs="Times New Roman"/>
          <w:sz w:val="22"/>
          <w:lang w:val="en-GB"/>
        </w:rPr>
        <w:t xml:space="preserve"> and in some cases more widely, as in burning coal in north Asia.  C</w:t>
      </w:r>
      <w:r w:rsidRPr="005F5BC6">
        <w:rPr>
          <w:rFonts w:ascii="Calibri" w:hAnsi="Calibri" w:cs="Times New Roman"/>
          <w:sz w:val="22"/>
          <w:lang w:val="en-GB"/>
        </w:rPr>
        <w:t>limate change</w:t>
      </w:r>
      <w:r>
        <w:rPr>
          <w:rFonts w:ascii="Calibri" w:hAnsi="Calibri" w:cs="Times New Roman"/>
          <w:sz w:val="22"/>
          <w:lang w:val="en-GB"/>
        </w:rPr>
        <w:t>, however,</w:t>
      </w:r>
      <w:r w:rsidRPr="005F5BC6">
        <w:rPr>
          <w:rFonts w:ascii="Calibri" w:hAnsi="Calibri" w:cs="Times New Roman"/>
          <w:sz w:val="22"/>
          <w:lang w:val="en-GB"/>
        </w:rPr>
        <w:t xml:space="preserve"> will affect all areas to varying degrees.</w:t>
      </w:r>
    </w:p>
    <w:p w:rsidR="00EE7716" w:rsidRDefault="00EE7716" w:rsidP="00B80CE0">
      <w:pPr>
        <w:jc w:val="both"/>
        <w:rPr>
          <w:rFonts w:ascii="Calibri" w:hAnsi="Calibri" w:cs="Times New Roman"/>
          <w:sz w:val="22"/>
          <w:lang w:val="en-GB"/>
        </w:rPr>
      </w:pPr>
    </w:p>
    <w:p w:rsidR="00EE7716" w:rsidRDefault="00EE7716" w:rsidP="00B80CE0">
      <w:pPr>
        <w:jc w:val="both"/>
        <w:rPr>
          <w:rFonts w:ascii="Calibri" w:hAnsi="Calibri" w:cs="Times New Roman"/>
          <w:sz w:val="22"/>
          <w:lang w:val="en-GB"/>
        </w:rPr>
      </w:pPr>
      <w:r w:rsidRPr="006A7DE4">
        <w:rPr>
          <w:rFonts w:ascii="Calibri" w:hAnsi="Calibri" w:cs="Times New Roman"/>
          <w:sz w:val="22"/>
          <w:lang w:val="en-GB"/>
        </w:rPr>
        <w:t xml:space="preserve">The global increased use of energy per capita is highly related to considerable improvements in quality of life across much of the world.  The majority of this energy use is derived from fossil fuel use, but primarily coal.  Coal's wide-availability and economic attractiveness has made it the fuel of choice for use in power generation.  The recent expansion of coal use, mainly in the newly industrialising countries, effectively reverses the global pattern through most of the Twentieth Century towards less carbon intensive and less polluting fossil fuels – the progressive displacement of coal by oil, and of both by natural gas. </w:t>
      </w:r>
      <w:r>
        <w:rPr>
          <w:rFonts w:ascii="Calibri" w:hAnsi="Calibri" w:cs="Times New Roman"/>
          <w:sz w:val="22"/>
          <w:lang w:val="en-GB"/>
        </w:rPr>
        <w:t>However,</w:t>
      </w:r>
      <w:r w:rsidRPr="006A7DE4">
        <w:rPr>
          <w:rFonts w:ascii="Calibri" w:hAnsi="Calibri" w:cs="Times New Roman"/>
          <w:sz w:val="22"/>
          <w:lang w:val="en-GB"/>
        </w:rPr>
        <w:t xml:space="preserve"> the time when fuel switching could decarbonise the global economy sufficiently quickly to avoid dangerous climate change has almost certainly passed. It is increasingly difficult to justify large scale investment in unabated gas-fired infrastructure. The</w:t>
      </w:r>
      <w:r>
        <w:rPr>
          <w:rFonts w:ascii="Calibri" w:hAnsi="Calibri" w:cs="Times New Roman"/>
          <w:sz w:val="22"/>
          <w:lang w:val="en-GB"/>
        </w:rPr>
        <w:t xml:space="preserve"> dangerous impacts</w:t>
      </w:r>
      <w:r w:rsidRPr="006A7DE4">
        <w:rPr>
          <w:rFonts w:ascii="Calibri" w:hAnsi="Calibri" w:cs="Times New Roman"/>
          <w:sz w:val="22"/>
          <w:lang w:val="en-GB"/>
        </w:rPr>
        <w:t xml:space="preserve"> of coal on health from exposure to air pollution in the form of noxiou</w:t>
      </w:r>
      <w:r w:rsidRPr="00844FA8">
        <w:rPr>
          <w:rFonts w:ascii="Calibri" w:hAnsi="Calibri" w:cs="Times New Roman"/>
          <w:sz w:val="22"/>
          <w:lang w:val="en-GB"/>
        </w:rPr>
        <w:t>s particulates and heavy metals</w:t>
      </w:r>
      <w:r>
        <w:rPr>
          <w:rFonts w:ascii="Calibri" w:hAnsi="Calibri" w:cs="Times New Roman"/>
          <w:sz w:val="22"/>
          <w:lang w:val="en-GB"/>
        </w:rPr>
        <w:t>;</w:t>
      </w:r>
      <w:r w:rsidRPr="006A7DE4">
        <w:rPr>
          <w:rFonts w:ascii="Calibri" w:hAnsi="Calibri" w:cs="Times New Roman"/>
          <w:sz w:val="22"/>
          <w:lang w:val="en-GB"/>
        </w:rPr>
        <w:t xml:space="preserve"> the environmental degradation (e.g. contaminating water courses and habitat loss) from the extraction and processing of coal,</w:t>
      </w:r>
      <w:r>
        <w:rPr>
          <w:rFonts w:ascii="Calibri" w:hAnsi="Calibri" w:cs="Times New Roman"/>
          <w:sz w:val="22"/>
          <w:lang w:val="en-GB"/>
        </w:rPr>
        <w:t>; and</w:t>
      </w:r>
      <w:r w:rsidRPr="006A7DE4">
        <w:rPr>
          <w:rFonts w:ascii="Calibri" w:hAnsi="Calibri" w:cs="Times New Roman"/>
          <w:sz w:val="22"/>
          <w:lang w:val="en-GB"/>
        </w:rPr>
        <w:t xml:space="preserve"> the major contribution that burning coal and the release of GHG's has in changing the longterm climate</w:t>
      </w:r>
      <w:r>
        <w:rPr>
          <w:rFonts w:ascii="Calibri" w:hAnsi="Calibri" w:cs="Times New Roman"/>
          <w:sz w:val="22"/>
          <w:lang w:val="en-GB"/>
        </w:rPr>
        <w:t xml:space="preserve"> almost certainly</w:t>
      </w:r>
      <w:r w:rsidRPr="006A7DE4">
        <w:rPr>
          <w:rFonts w:ascii="Calibri" w:hAnsi="Calibri" w:cs="Times New Roman"/>
          <w:sz w:val="22"/>
          <w:lang w:val="en-GB"/>
        </w:rPr>
        <w:t xml:space="preserve"> undermines the use of coal as a longterm fuel. Although the use of coal as a fuel source for power generation will be linked to economic growth and (sometimes precarious) improvements in quality of life, the risk that coal has on our global health through climate change and habitat loss means that </w:t>
      </w:r>
      <w:r w:rsidRPr="006A7DE4">
        <w:rPr>
          <w:rFonts w:ascii="Calibri" w:hAnsi="Calibri" w:cs="Times New Roman"/>
          <w:sz w:val="22"/>
          <w:lang w:val="en-GB"/>
        </w:rPr>
        <w:lastRenderedPageBreak/>
        <w:t>moving to low-emission fuels in areas of high coal demand is a major part of the global low-carbon energy transition. Whilst the use of technologies such as CCS</w:t>
      </w:r>
      <w:r>
        <w:rPr>
          <w:rFonts w:ascii="Calibri" w:hAnsi="Calibri" w:cs="Times New Roman"/>
          <w:sz w:val="22"/>
          <w:lang w:val="en-GB"/>
        </w:rPr>
        <w:t xml:space="preserve"> are consistently cited in reducing the impact of coal-based power generation, at present, these technologies h</w:t>
      </w:r>
      <w:r w:rsidRPr="00844FA8">
        <w:rPr>
          <w:rFonts w:ascii="Calibri" w:hAnsi="Calibri" w:cs="Times New Roman"/>
          <w:sz w:val="22"/>
          <w:lang w:val="en-GB"/>
        </w:rPr>
        <w:t>a</w:t>
      </w:r>
      <w:r>
        <w:rPr>
          <w:rFonts w:ascii="Calibri" w:hAnsi="Calibri" w:cs="Times New Roman"/>
          <w:sz w:val="22"/>
          <w:lang w:val="en-GB"/>
        </w:rPr>
        <w:t>ve</w:t>
      </w:r>
      <w:r w:rsidRPr="006A7DE4">
        <w:rPr>
          <w:rFonts w:ascii="Calibri" w:hAnsi="Calibri" w:cs="Times New Roman"/>
          <w:sz w:val="22"/>
          <w:lang w:val="en-GB"/>
        </w:rPr>
        <w:t xml:space="preserve"> many major unknowns and </w:t>
      </w:r>
      <w:r>
        <w:rPr>
          <w:rFonts w:ascii="Calibri" w:hAnsi="Calibri" w:cs="Times New Roman"/>
          <w:sz w:val="22"/>
          <w:lang w:val="en-GB"/>
        </w:rPr>
        <w:t xml:space="preserve">are </w:t>
      </w:r>
      <w:r w:rsidRPr="006A7DE4">
        <w:rPr>
          <w:rFonts w:ascii="Calibri" w:hAnsi="Calibri" w:cs="Times New Roman"/>
          <w:sz w:val="22"/>
          <w:lang w:val="en-GB"/>
        </w:rPr>
        <w:t xml:space="preserve">without substantial government investment </w:t>
      </w:r>
      <w:r>
        <w:rPr>
          <w:rFonts w:ascii="Calibri" w:hAnsi="Calibri" w:cs="Times New Roman"/>
          <w:sz w:val="22"/>
          <w:lang w:val="en-GB"/>
        </w:rPr>
        <w:t>or</w:t>
      </w:r>
      <w:r w:rsidRPr="006A7DE4">
        <w:rPr>
          <w:rFonts w:ascii="Calibri" w:hAnsi="Calibri" w:cs="Times New Roman"/>
          <w:sz w:val="22"/>
          <w:lang w:val="en-GB"/>
        </w:rPr>
        <w:t xml:space="preserve"> the use of carbon pricing.</w:t>
      </w:r>
      <w:r w:rsidR="00533334">
        <w:rPr>
          <w:rFonts w:ascii="Calibri" w:hAnsi="Calibri" w:cs="Times New Roman"/>
          <w:sz w:val="22"/>
          <w:lang w:val="en-GB"/>
        </w:rPr>
        <w:t xml:space="preserve"> </w:t>
      </w:r>
    </w:p>
    <w:p w:rsidR="00A43B13" w:rsidRDefault="00A43B13" w:rsidP="00B80CE0">
      <w:pPr>
        <w:jc w:val="both"/>
        <w:rPr>
          <w:rFonts w:ascii="Calibri" w:hAnsi="Calibri" w:cs="Times New Roman"/>
          <w:sz w:val="22"/>
          <w:lang w:val="en-GB"/>
        </w:rPr>
      </w:pPr>
    </w:p>
    <w:p w:rsidR="00B80CE0" w:rsidRDefault="00F64068" w:rsidP="00B80CE0">
      <w:pPr>
        <w:jc w:val="both"/>
        <w:rPr>
          <w:rFonts w:ascii="Calibri" w:hAnsi="Calibri" w:cs="Times New Roman"/>
          <w:sz w:val="22"/>
          <w:lang w:val="en-GB"/>
        </w:rPr>
      </w:pPr>
      <w:r>
        <w:rPr>
          <w:rFonts w:ascii="Calibri" w:hAnsi="Calibri" w:cs="Times New Roman"/>
          <w:sz w:val="22"/>
          <w:lang w:val="en-GB"/>
        </w:rPr>
        <w:t>One important strategy to protect against the health burdens of local and national energy choices, is to ensure that health impact assessments are built in to the planning, costing and approval phases of a new project. By developing the tools and capacity to enforce this, policymakers can better understand the broader consequences of their decisions.</w:t>
      </w:r>
    </w:p>
    <w:p w:rsidR="00D022A9" w:rsidRPr="005F5BC6" w:rsidRDefault="00D022A9" w:rsidP="00B80CE0">
      <w:pPr>
        <w:jc w:val="both"/>
        <w:rPr>
          <w:rFonts w:ascii="Calibri" w:hAnsi="Calibri" w:cs="Times New Roman"/>
          <w:sz w:val="22"/>
          <w:lang w:val="en-GB"/>
        </w:rPr>
      </w:pPr>
    </w:p>
    <w:p w:rsidR="00B80CE0" w:rsidRPr="004349AE" w:rsidRDefault="00B80CE0" w:rsidP="00B80CE0">
      <w:pPr>
        <w:jc w:val="both"/>
        <w:rPr>
          <w:rFonts w:ascii="Calibri" w:hAnsi="Calibri"/>
          <w:sz w:val="22"/>
          <w:lang w:val="en-GB"/>
        </w:rPr>
      </w:pPr>
    </w:p>
    <w:p w:rsidR="00D022A9" w:rsidRPr="00D022A9" w:rsidRDefault="00D022A9" w:rsidP="00D022A9">
      <w:pPr>
        <w:spacing w:after="120" w:line="259" w:lineRule="auto"/>
        <w:rPr>
          <w:rFonts w:ascii="Calibri" w:eastAsiaTheme="minorHAnsi" w:hAnsi="Calibri"/>
          <w:sz w:val="22"/>
          <w:szCs w:val="22"/>
          <w:lang w:val="en-GB" w:eastAsia="en-US"/>
        </w:rPr>
      </w:pPr>
      <w:r w:rsidRPr="00D022A9">
        <w:rPr>
          <w:rFonts w:ascii="Calibri" w:eastAsiaTheme="minorHAnsi" w:hAnsi="Calibri"/>
          <w:i/>
          <w:noProof/>
          <w:sz w:val="22"/>
          <w:szCs w:val="22"/>
          <w:lang w:val="en-GB" w:eastAsia="en-GB"/>
        </w:rPr>
        <w:drawing>
          <wp:inline distT="0" distB="0" distL="0" distR="0">
            <wp:extent cx="5731510" cy="396811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Connections_FossilFuels_ClimateChange_v01.ep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968115"/>
                    </a:xfrm>
                    <a:prstGeom prst="rect">
                      <a:avLst/>
                    </a:prstGeom>
                  </pic:spPr>
                </pic:pic>
              </a:graphicData>
            </a:graphic>
          </wp:inline>
        </w:drawing>
      </w:r>
    </w:p>
    <w:p w:rsidR="00D022A9" w:rsidRPr="00D022A9" w:rsidRDefault="00D022A9" w:rsidP="00D022A9">
      <w:pPr>
        <w:spacing w:after="120" w:line="259" w:lineRule="auto"/>
        <w:rPr>
          <w:rFonts w:ascii="Calibri" w:eastAsiaTheme="minorHAnsi" w:hAnsi="Calibri" w:cs="Times New Roman"/>
          <w:sz w:val="22"/>
          <w:szCs w:val="22"/>
          <w:lang w:val="en-GB" w:eastAsia="en-US"/>
        </w:rPr>
      </w:pPr>
      <w:r w:rsidRPr="00D022A9">
        <w:rPr>
          <w:rFonts w:ascii="Calibri" w:eastAsiaTheme="minorHAnsi" w:hAnsi="Calibri" w:cs="Times New Roman"/>
          <w:i/>
          <w:sz w:val="20"/>
          <w:szCs w:val="20"/>
          <w:lang w:val="en-GB" w:eastAsia="en-US"/>
        </w:rPr>
        <w:t>Figure 4.3:</w:t>
      </w:r>
      <w:r w:rsidRPr="00D022A9">
        <w:rPr>
          <w:rFonts w:ascii="Calibri" w:eastAsiaTheme="minorHAnsi" w:hAnsi="Calibri" w:cs="Times New Roman"/>
          <w:sz w:val="20"/>
          <w:szCs w:val="20"/>
          <w:lang w:val="en-GB" w:eastAsia="en-US"/>
        </w:rPr>
        <w:t xml:space="preserve"> Connections between the global energy system and health impacts</w:t>
      </w:r>
    </w:p>
    <w:p w:rsidR="00B80CE0" w:rsidRDefault="00B80CE0" w:rsidP="00B80CE0">
      <w:pPr>
        <w:jc w:val="both"/>
        <w:rPr>
          <w:rFonts w:ascii="Calibri" w:hAnsi="Calibri" w:cs="Times New Roman"/>
          <w:sz w:val="22"/>
          <w:lang w:val="en-GB"/>
        </w:rPr>
      </w:pPr>
    </w:p>
    <w:p w:rsidR="00B80CE0" w:rsidRPr="00D036C9" w:rsidRDefault="00B80CE0" w:rsidP="00D036C9">
      <w:pPr>
        <w:pStyle w:val="Heading3"/>
        <w:rPr>
          <w:lang w:val="en-GB"/>
        </w:rPr>
      </w:pPr>
      <w:bookmarkStart w:id="102" w:name="_Toc415931396"/>
      <w:bookmarkStart w:id="103" w:name="_Toc417502061"/>
      <w:r w:rsidRPr="00B52CC1">
        <w:rPr>
          <w:lang w:val="en-GB"/>
        </w:rPr>
        <w:t xml:space="preserve">Connections </w:t>
      </w:r>
      <w:r w:rsidR="008373C6">
        <w:rPr>
          <w:lang w:val="en-GB"/>
        </w:rPr>
        <w:t>b</w:t>
      </w:r>
      <w:r w:rsidRPr="00B52CC1">
        <w:rPr>
          <w:lang w:val="en-GB"/>
        </w:rPr>
        <w:t xml:space="preserve">etween </w:t>
      </w:r>
      <w:r>
        <w:rPr>
          <w:lang w:val="en-GB"/>
        </w:rPr>
        <w:t>A</w:t>
      </w:r>
      <w:r w:rsidRPr="00B52CC1">
        <w:rPr>
          <w:lang w:val="en-GB"/>
        </w:rPr>
        <w:t xml:space="preserve">ctions, </w:t>
      </w:r>
      <w:r>
        <w:rPr>
          <w:lang w:val="en-GB"/>
        </w:rPr>
        <w:t>T</w:t>
      </w:r>
      <w:r w:rsidRPr="00B52CC1">
        <w:rPr>
          <w:lang w:val="en-GB"/>
        </w:rPr>
        <w:t xml:space="preserve">echnologies and </w:t>
      </w:r>
      <w:r>
        <w:rPr>
          <w:lang w:val="en-GB"/>
        </w:rPr>
        <w:t>H</w:t>
      </w:r>
      <w:r w:rsidRPr="00B52CC1">
        <w:rPr>
          <w:lang w:val="en-GB"/>
        </w:rPr>
        <w:t xml:space="preserve">ealth </w:t>
      </w:r>
      <w:r>
        <w:rPr>
          <w:lang w:val="en-GB"/>
        </w:rPr>
        <w:t>O</w:t>
      </w:r>
      <w:r w:rsidRPr="00B52CC1">
        <w:rPr>
          <w:lang w:val="en-GB"/>
        </w:rPr>
        <w:t>utcomes</w:t>
      </w:r>
      <w:bookmarkEnd w:id="102"/>
      <w:bookmarkEnd w:id="103"/>
    </w:p>
    <w:p w:rsidR="00B80CE0" w:rsidRPr="00E47DEA" w:rsidRDefault="00B80CE0" w:rsidP="00B80CE0">
      <w:pPr>
        <w:jc w:val="both"/>
        <w:rPr>
          <w:rFonts w:ascii="Calibri" w:hAnsi="Calibri" w:cs="Times New Roman"/>
          <w:sz w:val="22"/>
          <w:lang w:val="en-GB"/>
        </w:rPr>
      </w:pPr>
      <w:r>
        <w:rPr>
          <w:rFonts w:ascii="Calibri" w:hAnsi="Calibri" w:cs="Times New Roman"/>
          <w:sz w:val="22"/>
          <w:lang w:val="en-GB"/>
        </w:rPr>
        <w:t>A</w:t>
      </w:r>
      <w:r w:rsidRPr="005F5BC6">
        <w:rPr>
          <w:rFonts w:ascii="Calibri" w:hAnsi="Calibri" w:cs="Times New Roman"/>
          <w:sz w:val="22"/>
          <w:lang w:val="en-GB"/>
        </w:rPr>
        <w:t>ctions that seek to mitigate climate change have the potential to be beneficial to health, both directly</w:t>
      </w:r>
      <w:r w:rsidRPr="003C67BA">
        <w:rPr>
          <w:rFonts w:ascii="Calibri" w:hAnsi="Calibri" w:cs="Times New Roman"/>
          <w:sz w:val="22"/>
          <w:lang w:val="en-GB"/>
        </w:rPr>
        <w:t xml:space="preserve"> and indirectly.</w:t>
      </w:r>
      <w:r w:rsidR="00E13392">
        <w:rPr>
          <w:rFonts w:ascii="Calibri" w:hAnsi="Calibri" w:cs="Times New Roman"/>
          <w:sz w:val="22"/>
          <w:lang w:val="en-GB"/>
        </w:rPr>
        <w:fldChar w:fldCharType="begin">
          <w:fldData xml:space="preserve">PEVuZE5vdGU+PENpdGU+PEF1dGhvcj5Db3N0ZWxsbzwvQXV0aG9yPjxZZWFyPjIwMDk8L1llYXI+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</w:fldData>
        </w:fldChar>
      </w:r>
      <w:r w:rsidR="00303C0E">
        <w:rPr>
          <w:rFonts w:ascii="Calibri" w:hAnsi="Calibri" w:cs="Times New Roman"/>
          <w:sz w:val="22"/>
          <w:lang w:val="en-GB"/>
        </w:rPr>
        <w:instrText xml:space="preserve"> ADDIN EN.CITE </w:instrText>
      </w:r>
      <w:r w:rsidR="00E13392">
        <w:rPr>
          <w:rFonts w:ascii="Calibri" w:hAnsi="Calibri" w:cs="Times New Roman"/>
          <w:sz w:val="22"/>
          <w:lang w:val="en-GB"/>
        </w:rPr>
        <w:fldChar w:fldCharType="begin">
          <w:fldData xml:space="preserve">PEVuZE5vdGU+PENpdGU+PEF1dGhvcj5Db3N0ZWxsbzwvQXV0aG9yPjxZZWFyPjIwMDk8L1llYXI+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</w:fldData>
        </w:fldChar>
      </w:r>
      <w:r w:rsidR="00303C0E">
        <w:rPr>
          <w:rFonts w:ascii="Calibri" w:hAnsi="Calibri" w:cs="Times New Roman"/>
          <w:sz w:val="22"/>
          <w:lang w:val="en-GB"/>
        </w:rPr>
        <w:instrText xml:space="preserve"> ADDIN EN.CITE.DATA </w:instrText>
      </w:r>
      <w:r w:rsidR="00E13392">
        <w:rPr>
          <w:rFonts w:ascii="Calibri" w:hAnsi="Calibri" w:cs="Times New Roman"/>
          <w:sz w:val="22"/>
          <w:lang w:val="en-GB"/>
        </w:rPr>
      </w:r>
      <w:r w:rsidR="00E13392">
        <w:rPr>
          <w:rFonts w:ascii="Calibri" w:hAnsi="Calibri" w:cs="Times New Roman"/>
          <w:sz w:val="22"/>
          <w:lang w:val="en-GB"/>
        </w:rPr>
        <w:fldChar w:fldCharType="end"/>
      </w:r>
      <w:r w:rsidR="00E13392">
        <w:rPr>
          <w:rFonts w:ascii="Calibri" w:hAnsi="Calibri" w:cs="Times New Roman"/>
          <w:sz w:val="22"/>
          <w:lang w:val="en-GB"/>
        </w:rPr>
      </w:r>
      <w:r w:rsidR="00E13392">
        <w:rPr>
          <w:rFonts w:ascii="Calibri" w:hAnsi="Calibri" w:cs="Times New Roman"/>
          <w:sz w:val="22"/>
          <w:lang w:val="en-GB"/>
        </w:rPr>
        <w:fldChar w:fldCharType="separate"/>
      </w:r>
      <w:r w:rsidR="00303C0E" w:rsidRPr="00303C0E">
        <w:rPr>
          <w:rFonts w:ascii="Calibri" w:hAnsi="Calibri" w:cs="Times New Roman"/>
          <w:noProof/>
          <w:sz w:val="22"/>
          <w:vertAlign w:val="superscript"/>
          <w:lang w:val="en-GB"/>
        </w:rPr>
        <w:t>1,29</w:t>
      </w:r>
      <w:r w:rsidR="00E13392">
        <w:rPr>
          <w:rFonts w:ascii="Calibri" w:hAnsi="Calibri" w:cs="Times New Roman"/>
          <w:sz w:val="22"/>
          <w:lang w:val="en-GB"/>
        </w:rPr>
        <w:fldChar w:fldCharType="end"/>
      </w:r>
      <w:r w:rsidRPr="003C67BA">
        <w:rPr>
          <w:rFonts w:ascii="Calibri" w:hAnsi="Calibri" w:cs="Times New Roman"/>
          <w:sz w:val="22"/>
          <w:lang w:val="en-GB"/>
        </w:rPr>
        <w:t xml:space="preserve"> Across a number of sectors, the potential health benefits of switching to low-carbon technologies include </w:t>
      </w:r>
      <w:r w:rsidR="00DF6540">
        <w:rPr>
          <w:rFonts w:ascii="Calibri" w:hAnsi="Calibri" w:cs="Times New Roman"/>
          <w:sz w:val="22"/>
          <w:lang w:val="en-GB"/>
        </w:rPr>
        <w:t>a reduction in carbon emissions from</w:t>
      </w:r>
      <w:r>
        <w:rPr>
          <w:rFonts w:ascii="Calibri" w:hAnsi="Calibri" w:cs="Times New Roman"/>
          <w:sz w:val="22"/>
          <w:lang w:val="en-GB"/>
        </w:rPr>
        <w:t xml:space="preserve"> </w:t>
      </w:r>
      <w:r w:rsidRPr="003C67BA">
        <w:rPr>
          <w:rFonts w:ascii="Calibri" w:hAnsi="Calibri" w:cs="Times New Roman"/>
          <w:sz w:val="22"/>
          <w:lang w:val="en-GB"/>
        </w:rPr>
        <w:t>power generation,</w:t>
      </w:r>
      <w:r w:rsidR="00E13392">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&lt;EndNote&gt;&lt;Cite&gt;&lt;Author&gt;Markandya&lt;/Author&gt;&lt;Year&gt;2009&lt;/Year&gt;&lt;RecNum&gt;905&lt;/RecNum&gt;&lt;DisplayText&gt;&lt;style face="superscript"&gt;215,216&lt;/style&gt;&lt;/DisplayText&gt;&lt;record&gt;&lt;rec-number&gt;905&lt;/rec-number&gt;&lt;foreign-keys&gt;&lt;key app="EN" db-id="wtftd20rmszxx0ettxy5exwdf90wv22s2dsf" timestamp="1419212983"&gt;905&lt;/key&gt;&lt;/foreign-keys&gt;&lt;ref-type name="Journal Article"&gt;17&lt;/ref-type&gt;&lt;contributors&gt;&lt;authors&gt;&lt;author&gt;Markandya, Anil&lt;/author&gt;&lt;author&gt;Armstrong, Ben G.&lt;/author&gt;&lt;author&gt;Hales, Simon&lt;/author&gt;&lt;author&gt;Chiabai, Aline&lt;/author&gt;&lt;author&gt;Criqui, Patrick&lt;/author&gt;&lt;author&gt;Mima, Silvana&lt;/author&gt;&lt;author&gt;Tonne, Cathryn&lt;/author&gt;&lt;author&gt;Wilkinson, Paul&lt;/author&gt;&lt;/authors&gt;&lt;/contributors&gt;&lt;titles&gt;&lt;title&gt;Public health benefits of strategies to reduce greenhouse-gas emissions: low-carbon electricity generation&lt;/title&gt;&lt;secondary-title&gt;The Lancet&lt;/secondary-title&gt;&lt;/titles&gt;&lt;periodical&gt;&lt;full-title&gt;The Lancet&lt;/full-title&gt;&lt;/periodical&gt;&lt;pages&gt;2006-2015&lt;/pages&gt;&lt;volume&gt;374&lt;/volume&gt;&lt;number&gt;9706&lt;/number&gt;&lt;dates&gt;&lt;year&gt;2009&lt;/year&gt;&lt;/dates&gt;&lt;isbn&gt;0140-6736&lt;/isbn&gt;&lt;urls&gt;&lt;related-urls&gt;&lt;url&gt;http://linkinghub.elsevier.com/retrieve/pii/S0140673609617153&lt;/url&gt;&lt;/related-urls&gt;&lt;/urls&gt;&lt;/record&gt;&lt;/Cite&gt;&lt;Cite&gt;&lt;Author&gt;Markandya&lt;/Author&gt;&lt;Year&gt;2007&lt;/Year&gt;&lt;RecNum&gt;859&lt;/RecNum&gt;&lt;record&gt;&lt;rec-number&gt;859&lt;/rec-number&gt;&lt;foreign-keys&gt;&lt;key app="EN" db-id="wtftd20rmszxx0ettxy5exwdf90wv22s2dsf" timestamp="1410458642"&gt;859&lt;/key&gt;&lt;/foreign-keys&gt;&lt;ref-type name="Journal Article"&gt;17&lt;/ref-type&gt;&lt;contributors&gt;&lt;authors&gt;&lt;author&gt;A Markandya&lt;/author&gt;&lt;author&gt;P Wilkinson&lt;/author&gt;&lt;/authors&gt;&lt;/contributors&gt;&lt;titles&gt;&lt;title&gt;Electricity generation and health&lt;/title&gt;&lt;secondary-title&gt;Lancet&lt;/secondary-title&gt;&lt;/titles&gt;&lt;periodical&gt;&lt;full-title&gt;Lancet&lt;/full-title&gt;&lt;/periodical&gt;&lt;pages&gt;979-90&lt;/pages&gt;&lt;volume&gt;370&lt;/volume&gt;&lt;number&gt;9591&lt;/number&gt;&lt;dates&gt;&lt;year&gt;2007&lt;/year&gt;&lt;/dates&gt;&lt;urls&gt;&lt;/urls&gt;&lt;/record&gt;&lt;/Cite&gt;&lt;/EndNote&gt;</w:instrText>
      </w:r>
      <w:r w:rsidR="00E13392">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215,216</w:t>
      </w:r>
      <w:r w:rsidR="00E13392">
        <w:rPr>
          <w:rFonts w:ascii="Calibri" w:hAnsi="Calibri" w:cs="Times New Roman"/>
          <w:sz w:val="22"/>
          <w:lang w:val="en-GB"/>
        </w:rPr>
        <w:fldChar w:fldCharType="end"/>
      </w:r>
      <w:r w:rsidRPr="003C67BA">
        <w:rPr>
          <w:rFonts w:ascii="Calibri" w:hAnsi="Calibri" w:cs="Times New Roman"/>
          <w:sz w:val="22"/>
          <w:lang w:val="en-GB"/>
        </w:rPr>
        <w:t xml:space="preserve"> improved indoor air quality through </w:t>
      </w:r>
      <w:r w:rsidR="00DF6540">
        <w:rPr>
          <w:rFonts w:ascii="Calibri" w:hAnsi="Calibri" w:cs="Times New Roman"/>
          <w:sz w:val="22"/>
          <w:lang w:val="en-GB"/>
        </w:rPr>
        <w:t xml:space="preserve">clean </w:t>
      </w:r>
      <w:r w:rsidRPr="003C67BA">
        <w:rPr>
          <w:rFonts w:ascii="Calibri" w:hAnsi="Calibri" w:cs="Times New Roman"/>
          <w:sz w:val="22"/>
          <w:lang w:val="en-GB"/>
        </w:rPr>
        <w:t>household cooking technologies in low-income settings and housing thermal efficiency in high-income settings, and low</w:t>
      </w:r>
      <w:r w:rsidR="00DF6540">
        <w:rPr>
          <w:rFonts w:ascii="Calibri" w:hAnsi="Calibri" w:cs="Times New Roman"/>
          <w:sz w:val="22"/>
          <w:lang w:val="en-GB"/>
        </w:rPr>
        <w:t>ered</w:t>
      </w:r>
      <w:r w:rsidRPr="003C67BA">
        <w:rPr>
          <w:rFonts w:ascii="Calibri" w:hAnsi="Calibri" w:cs="Times New Roman"/>
          <w:sz w:val="22"/>
          <w:lang w:val="en-GB"/>
        </w:rPr>
        <w:t xml:space="preserve"> particulate matter exposure from low-emission transport.</w:t>
      </w:r>
      <w:r w:rsidR="00E13392">
        <w:rPr>
          <w:rFonts w:ascii="Calibri" w:hAnsi="Calibri" w:cs="Times New Roman"/>
          <w:sz w:val="22"/>
          <w:lang w:val="en-GB"/>
        </w:rPr>
        <w:fldChar w:fldCharType="begin">
          <w:fldData xml:space="preserve">PEVuZE5vdGU+PENpdGU+PEF1dGhvcj5XaWxraW5zb248L0F1dGhvcj48WWVhcj4yMDA5PC9ZZWFy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==
</w:fldData>
        </w:fldChar>
      </w:r>
      <w:r w:rsidR="00A43B13">
        <w:rPr>
          <w:rFonts w:ascii="Calibri" w:hAnsi="Calibri" w:cs="Times New Roman"/>
          <w:sz w:val="22"/>
          <w:lang w:val="en-GB"/>
        </w:rPr>
        <w:instrText xml:space="preserve"> ADDIN EN.CITE </w:instrText>
      </w:r>
      <w:r w:rsidR="00E13392">
        <w:rPr>
          <w:rFonts w:ascii="Calibri" w:hAnsi="Calibri" w:cs="Times New Roman"/>
          <w:sz w:val="22"/>
          <w:lang w:val="en-GB"/>
        </w:rPr>
        <w:fldChar w:fldCharType="begin">
          <w:fldData xml:space="preserve">PEVuZE5vdGU+PENpdGU+PEF1dGhvcj5XaWxraW5zb248L0F1dGhvcj48WWVhcj4yMDA5PC9ZZWFy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==
</w:fldData>
        </w:fldChar>
      </w:r>
      <w:r w:rsidR="00A43B13">
        <w:rPr>
          <w:rFonts w:ascii="Calibri" w:hAnsi="Calibri" w:cs="Times New Roman"/>
          <w:sz w:val="22"/>
          <w:lang w:val="en-GB"/>
        </w:rPr>
        <w:instrText xml:space="preserve"> ADDIN EN.CITE.DATA </w:instrText>
      </w:r>
      <w:r w:rsidR="00E13392">
        <w:rPr>
          <w:rFonts w:ascii="Calibri" w:hAnsi="Calibri" w:cs="Times New Roman"/>
          <w:sz w:val="22"/>
          <w:lang w:val="en-GB"/>
        </w:rPr>
      </w:r>
      <w:r w:rsidR="00E13392">
        <w:rPr>
          <w:rFonts w:ascii="Calibri" w:hAnsi="Calibri" w:cs="Times New Roman"/>
          <w:sz w:val="22"/>
          <w:lang w:val="en-GB"/>
        </w:rPr>
        <w:fldChar w:fldCharType="end"/>
      </w:r>
      <w:r w:rsidR="00E13392">
        <w:rPr>
          <w:rFonts w:ascii="Calibri" w:hAnsi="Calibri" w:cs="Times New Roman"/>
          <w:sz w:val="22"/>
          <w:lang w:val="en-GB"/>
        </w:rPr>
      </w:r>
      <w:r w:rsidR="00E13392">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217,218</w:t>
      </w:r>
      <w:r w:rsidR="00E13392">
        <w:rPr>
          <w:rFonts w:ascii="Calibri" w:hAnsi="Calibri" w:cs="Times New Roman"/>
          <w:sz w:val="22"/>
          <w:lang w:val="en-GB"/>
        </w:rPr>
        <w:fldChar w:fldCharType="end"/>
      </w:r>
      <w:r w:rsidRPr="003C67BA">
        <w:rPr>
          <w:rFonts w:ascii="Calibri" w:hAnsi="Calibri" w:cs="Times New Roman"/>
          <w:sz w:val="22"/>
          <w:lang w:val="en-GB"/>
        </w:rPr>
        <w:t xml:space="preserve"> </w:t>
      </w:r>
    </w:p>
    <w:p w:rsidR="00B80CE0" w:rsidRPr="00E47DEA" w:rsidRDefault="00B80CE0" w:rsidP="00B80CE0">
      <w:pPr>
        <w:jc w:val="both"/>
        <w:rPr>
          <w:rFonts w:ascii="Calibri" w:hAnsi="Calibri" w:cs="Times New Roman"/>
          <w:sz w:val="22"/>
          <w:lang w:val="en-GB"/>
        </w:rPr>
      </w:pPr>
    </w:p>
    <w:p w:rsidR="00B80CE0" w:rsidRPr="004349AE" w:rsidRDefault="00B80CE0" w:rsidP="004349AE">
      <w:pPr>
        <w:rPr>
          <w:rFonts w:ascii="Calibri" w:hAnsi="Calibri"/>
          <w:sz w:val="22"/>
          <w:lang w:val="en-GB"/>
        </w:rPr>
      </w:pPr>
      <w:r w:rsidRPr="00E47DEA">
        <w:rPr>
          <w:rFonts w:cs="Times New Roman"/>
          <w:sz w:val="22"/>
          <w:szCs w:val="22"/>
          <w:lang w:val="en-GB"/>
        </w:rPr>
        <w:t>Decarbonising the power supply sector holds both risks and benefits for health</w:t>
      </w:r>
      <w:r w:rsidRPr="00E47DEA">
        <w:rPr>
          <w:rFonts w:cs="Palatino"/>
          <w:sz w:val="22"/>
          <w:szCs w:val="22"/>
          <w:lang w:val="en-GB"/>
        </w:rPr>
        <w:t xml:space="preserve">. </w:t>
      </w:r>
      <w:r w:rsidRPr="00E47DEA">
        <w:rPr>
          <w:rFonts w:cs="Times New Roman"/>
          <w:sz w:val="22"/>
          <w:szCs w:val="22"/>
          <w:lang w:val="en-GB"/>
        </w:rPr>
        <w:t>The direct benefits centre on reducing exposure to air pollutants from fossil fuel burning.</w:t>
      </w:r>
      <w:r w:rsidR="00E13392" w:rsidRPr="00E47DEA">
        <w:rPr>
          <w:rFonts w:cs="Times New Roman"/>
          <w:sz w:val="22"/>
          <w:szCs w:val="22"/>
          <w:lang w:val="en-GB"/>
        </w:rPr>
        <w:fldChar w:fldCharType="begin"/>
      </w:r>
      <w:r w:rsidR="00A43B13">
        <w:rPr>
          <w:rFonts w:cs="Times New Roman"/>
          <w:sz w:val="22"/>
          <w:szCs w:val="22"/>
          <w:lang w:val="en-GB"/>
        </w:rPr>
        <w:instrText xml:space="preserve"> ADDIN EN.CITE &lt;EndNote&gt;&lt;Cite&gt;&lt;Author&gt;Markandya&lt;/Author&gt;&lt;Year&gt;2007&lt;/Year&gt;&lt;RecNum&gt;859&lt;/RecNum&gt;&lt;DisplayText&gt;&lt;style face="superscript"&gt;216&lt;/style&gt;&lt;/DisplayText&gt;&lt;record&gt;&lt;rec-number&gt;859&lt;/rec-number&gt;&lt;foreign-keys&gt;&lt;key app="EN" db-id="wtftd20rmszxx0ettxy5exwdf90wv22s2dsf" timestamp="1410458642"&gt;859&lt;/key&gt;&lt;/foreign-keys&gt;&lt;ref-type name="Journal Article"&gt;17&lt;/ref-type&gt;&lt;contributors&gt;&lt;authors&gt;&lt;author&gt;A Markandya&lt;/author&gt;&lt;author&gt;P Wilkinson&lt;/author&gt;&lt;/authors&gt;&lt;/contributors&gt;&lt;titles&gt;&lt;title&gt;Electricity generation and health&lt;/title&gt;&lt;secondary-title&gt;Lancet&lt;/secondary-title&gt;&lt;/titles&gt;&lt;periodical&gt;&lt;full-title&gt;Lancet&lt;/full-title&gt;&lt;/periodical&gt;&lt;pages&gt;979-90&lt;/pages&gt;&lt;volume&gt;370&lt;/volume&gt;&lt;number&gt;9591&lt;/number&gt;&lt;dates&gt;&lt;year&gt;2007&lt;/year&gt;&lt;/dates&gt;&lt;urls&gt;&lt;/urls&gt;&lt;/record&gt;&lt;/Cite&gt;&lt;/EndNote&gt;</w:instrText>
      </w:r>
      <w:r w:rsidR="00E13392" w:rsidRPr="00E47DEA">
        <w:rPr>
          <w:rFonts w:cs="Times New Roman"/>
          <w:sz w:val="22"/>
          <w:szCs w:val="22"/>
          <w:lang w:val="en-GB"/>
        </w:rPr>
        <w:fldChar w:fldCharType="separate"/>
      </w:r>
      <w:r w:rsidR="00A43B13" w:rsidRPr="00A43B13">
        <w:rPr>
          <w:rFonts w:cs="Times New Roman"/>
          <w:noProof/>
          <w:sz w:val="22"/>
          <w:szCs w:val="22"/>
          <w:vertAlign w:val="superscript"/>
          <w:lang w:val="en-GB"/>
        </w:rPr>
        <w:t>216</w:t>
      </w:r>
      <w:r w:rsidR="00E13392" w:rsidRPr="00E47DEA">
        <w:rPr>
          <w:rFonts w:cs="Times New Roman"/>
          <w:sz w:val="22"/>
          <w:szCs w:val="22"/>
          <w:lang w:val="en-GB"/>
        </w:rPr>
        <w:fldChar w:fldCharType="end"/>
      </w:r>
      <w:r w:rsidRPr="00E47DEA">
        <w:rPr>
          <w:rFonts w:cs="Times New Roman"/>
          <w:sz w:val="22"/>
          <w:szCs w:val="22"/>
          <w:lang w:val="en-GB"/>
        </w:rPr>
        <w:t xml:space="preserve">  In the UK, the associated burden of air pollution from the power sector is estimated to account for 3,800 respiratory related deaths per year.</w:t>
      </w:r>
      <w:r w:rsidR="00E13392" w:rsidRPr="00E47DEA">
        <w:rPr>
          <w:rFonts w:cs="Times New Roman"/>
          <w:sz w:val="22"/>
          <w:szCs w:val="22"/>
          <w:lang w:val="en-GB"/>
        </w:rPr>
        <w:fldChar w:fldCharType="begin"/>
      </w:r>
      <w:r w:rsidR="00A43B13">
        <w:rPr>
          <w:rFonts w:cs="Times New Roman"/>
          <w:sz w:val="22"/>
          <w:szCs w:val="22"/>
          <w:lang w:val="en-GB"/>
        </w:rPr>
        <w:instrText xml:space="preserve"> ADDIN EN.CITE &lt;EndNote&gt;&lt;Cite&gt;&lt;Author&gt;Markandya&lt;/Author&gt;&lt;Year&gt;2007&lt;/Year&gt;&lt;RecNum&gt;859&lt;/RecNum&gt;&lt;DisplayText&gt;&lt;style face="superscript"&gt;216&lt;/style&gt;&lt;/DisplayText&gt;&lt;record&gt;&lt;rec-number&gt;859&lt;/rec-number&gt;&lt;foreign-keys&gt;&lt;key app="EN" db-id="wtftd20rmszxx0ettxy5exwdf90wv22s2dsf" timestamp="1410458642"&gt;859&lt;/key&gt;&lt;/foreign-keys&gt;&lt;ref-type name="Journal Article"&gt;17&lt;/ref-type&gt;&lt;contributors&gt;&lt;authors&gt;&lt;author&gt;A Markandya&lt;/author&gt;&lt;author&gt;P Wilkinson&lt;/author&gt;&lt;/authors&gt;&lt;/contributors&gt;&lt;titles&gt;&lt;title&gt;Electricity generation and health&lt;/title&gt;&lt;secondary-title&gt;Lancet&lt;/secondary-title&gt;&lt;/titles&gt;&lt;periodical&gt;&lt;full-title&gt;Lancet&lt;/full-title&gt;&lt;/periodical&gt;&lt;pages&gt;979-90&lt;/pages&gt;&lt;volume&gt;370&lt;/volume&gt;&lt;number&gt;9591&lt;/number&gt;&lt;dates&gt;&lt;year&gt;2007&lt;/year&gt;&lt;/dates&gt;&lt;urls&gt;&lt;/urls&gt;&lt;/record&gt;&lt;/Cite&gt;&lt;/EndNote&gt;</w:instrText>
      </w:r>
      <w:r w:rsidR="00E13392" w:rsidRPr="00E47DEA">
        <w:rPr>
          <w:rFonts w:cs="Times New Roman"/>
          <w:sz w:val="22"/>
          <w:szCs w:val="22"/>
          <w:lang w:val="en-GB"/>
        </w:rPr>
        <w:fldChar w:fldCharType="separate"/>
      </w:r>
      <w:r w:rsidR="00A43B13" w:rsidRPr="00A43B13">
        <w:rPr>
          <w:rFonts w:cs="Times New Roman"/>
          <w:noProof/>
          <w:sz w:val="22"/>
          <w:szCs w:val="22"/>
          <w:vertAlign w:val="superscript"/>
          <w:lang w:val="en-GB"/>
        </w:rPr>
        <w:t>216</w:t>
      </w:r>
      <w:r w:rsidR="00E13392" w:rsidRPr="00E47DEA">
        <w:rPr>
          <w:rFonts w:cs="Times New Roman"/>
          <w:sz w:val="22"/>
          <w:szCs w:val="22"/>
          <w:lang w:val="en-GB"/>
        </w:rPr>
        <w:fldChar w:fldCharType="end"/>
      </w:r>
      <w:r w:rsidRPr="00E47DEA">
        <w:rPr>
          <w:rFonts w:cs="Times New Roman"/>
          <w:sz w:val="22"/>
          <w:szCs w:val="22"/>
          <w:lang w:val="en-GB"/>
        </w:rPr>
        <w:t xml:space="preserve"> </w:t>
      </w:r>
      <w:r w:rsidRPr="00E47DEA">
        <w:rPr>
          <w:rFonts w:ascii="Calibri" w:hAnsi="Calibri" w:cs="Times New Roman"/>
          <w:sz w:val="22"/>
          <w:szCs w:val="22"/>
          <w:lang w:val="en-GB"/>
        </w:rPr>
        <w:t xml:space="preserve"> In China, air pollution is thought to result in 7.4 times greater premature deaths from PM2.5 than in the European Union.</w:t>
      </w:r>
      <w:r w:rsidR="00E13392" w:rsidRPr="00E47DEA">
        <w:rPr>
          <w:rFonts w:ascii="Calibri" w:hAnsi="Calibri" w:cs="Times New Roman"/>
          <w:sz w:val="22"/>
          <w:szCs w:val="22"/>
          <w:lang w:val="en-GB"/>
        </w:rPr>
        <w:fldChar w:fldCharType="begin"/>
      </w:r>
      <w:r w:rsidR="00A43B13">
        <w:rPr>
          <w:rFonts w:ascii="Calibri" w:hAnsi="Calibri" w:cs="Times New Roman"/>
          <w:sz w:val="22"/>
          <w:szCs w:val="22"/>
          <w:lang w:val="en-GB"/>
        </w:rPr>
        <w:instrText xml:space="preserve"> ADDIN EN.CITE &lt;EndNote&gt;&lt;Cite&gt;&lt;Author&gt;Markandya&lt;/Author&gt;&lt;Year&gt;2009&lt;/Year&gt;&lt;RecNum&gt;905&lt;/RecNum&gt;&lt;DisplayText&gt;&lt;style face="superscript"&gt;215&lt;/style&gt;&lt;/DisplayText&gt;&lt;record&gt;&lt;rec-number&gt;905&lt;/rec-number&gt;&lt;foreign-keys&gt;&lt;key app="EN" db-id="wtftd20rmszxx0ettxy5exwdf90wv22s2dsf" timestamp="1419212983"&gt;905&lt;/key&gt;&lt;/foreign-keys&gt;&lt;ref-type name="Journal Article"&gt;17&lt;/ref-type&gt;&lt;contributors&gt;&lt;authors&gt;&lt;author&gt;Markandya, Anil&lt;/author&gt;&lt;author&gt;Armstrong, Ben G.&lt;/author&gt;&lt;author&gt;Hales, Simon&lt;/author&gt;&lt;author&gt;Chiabai, Aline&lt;/author&gt;&lt;author&gt;Criqui, Patrick&lt;/author&gt;&lt;author&gt;Mima, Silvana&lt;/author&gt;&lt;author&gt;Tonne, Cathryn&lt;/author&gt;&lt;author&gt;Wilkinson, Paul&lt;/author&gt;&lt;/authors&gt;&lt;/contributors&gt;&lt;titles&gt;&lt;title&gt;Public health benefits of strategies to reduce greenhouse-gas emissions: low-carbon electricity generation&lt;/title&gt;&lt;secondary-title&gt;The Lancet&lt;/secondary-title&gt;&lt;/titles&gt;&lt;periodical&gt;&lt;full-title&gt;The Lancet&lt;/full-title&gt;&lt;/periodical&gt;&lt;pages&gt;2006-2015&lt;/pages&gt;&lt;volume&gt;374&lt;/volume&gt;&lt;number&gt;9706&lt;/number&gt;&lt;dates&gt;&lt;year&gt;2009&lt;/year&gt;&lt;/dates&gt;&lt;isbn&gt;0140-6736&lt;/isbn&gt;&lt;urls&gt;&lt;related-urls&gt;&lt;url&gt;http://linkinghub.elsevier.com/retrieve/pii/S0140673609617153&lt;/url&gt;&lt;/related-urls&gt;&lt;/urls&gt;&lt;/record&gt;&lt;/Cite&gt;&lt;/EndNote&gt;</w:instrText>
      </w:r>
      <w:r w:rsidR="00E13392" w:rsidRPr="00E47DEA">
        <w:rPr>
          <w:rFonts w:ascii="Calibri" w:hAnsi="Calibri" w:cs="Times New Roman"/>
          <w:sz w:val="22"/>
          <w:szCs w:val="22"/>
          <w:lang w:val="en-GB"/>
        </w:rPr>
        <w:fldChar w:fldCharType="separate"/>
      </w:r>
      <w:r w:rsidR="00A43B13" w:rsidRPr="00A43B13">
        <w:rPr>
          <w:rFonts w:ascii="Calibri" w:hAnsi="Calibri" w:cs="Times New Roman"/>
          <w:noProof/>
          <w:sz w:val="22"/>
          <w:szCs w:val="22"/>
          <w:vertAlign w:val="superscript"/>
          <w:lang w:val="en-GB"/>
        </w:rPr>
        <w:t>215</w:t>
      </w:r>
      <w:r w:rsidR="00E13392" w:rsidRPr="00E47DEA">
        <w:rPr>
          <w:rFonts w:ascii="Calibri" w:hAnsi="Calibri" w:cs="Times New Roman"/>
          <w:sz w:val="22"/>
          <w:szCs w:val="22"/>
          <w:lang w:val="en-GB"/>
        </w:rPr>
        <w:fldChar w:fldCharType="end"/>
      </w:r>
      <w:r w:rsidRPr="00E47DEA">
        <w:rPr>
          <w:rFonts w:ascii="Calibri" w:hAnsi="Calibri" w:cs="Times New Roman"/>
          <w:sz w:val="22"/>
          <w:szCs w:val="22"/>
          <w:lang w:val="en-GB"/>
        </w:rPr>
        <w:t xml:space="preserve"> </w:t>
      </w:r>
      <w:r>
        <w:rPr>
          <w:rFonts w:ascii="Calibri" w:hAnsi="Calibri" w:cs="Times New Roman"/>
          <w:sz w:val="22"/>
          <w:szCs w:val="22"/>
          <w:lang w:val="en-GB"/>
        </w:rPr>
        <w:t>I</w:t>
      </w:r>
      <w:r w:rsidRPr="00B131ED">
        <w:rPr>
          <w:rFonts w:ascii="Calibri" w:hAnsi="Calibri" w:cs="Times New Roman"/>
          <w:sz w:val="22"/>
          <w:szCs w:val="22"/>
          <w:lang w:val="en-GB"/>
        </w:rPr>
        <w:t xml:space="preserve">t has been estimated that current ambient concentrations of particulate matter led to the loss of about 40 months from the average life </w:t>
      </w:r>
      <w:r w:rsidRPr="00B131ED">
        <w:rPr>
          <w:rFonts w:ascii="Calibri" w:hAnsi="Calibri" w:cs="Times New Roman"/>
          <w:sz w:val="22"/>
          <w:szCs w:val="22"/>
          <w:lang w:val="en-GB"/>
        </w:rPr>
        <w:lastRenderedPageBreak/>
        <w:t>expectancy in China, but that this loss could be cut by half by 2050 if climate mitigation strategies were implemented.</w:t>
      </w:r>
      <w:r w:rsidRPr="002C728D">
        <w:rPr>
          <w:rFonts w:ascii="Calibri" w:hAnsi="Calibri" w:cs="Times New Roman"/>
          <w:sz w:val="22"/>
          <w:szCs w:val="22"/>
          <w:vertAlign w:val="superscript"/>
          <w:lang w:val="en-GB"/>
        </w:rPr>
        <w:t xml:space="preserve">335 </w:t>
      </w:r>
      <w:r w:rsidRPr="00E47DEA">
        <w:rPr>
          <w:rFonts w:ascii="Calibri" w:hAnsi="Calibri" w:cs="Times New Roman"/>
          <w:sz w:val="22"/>
          <w:szCs w:val="22"/>
          <w:lang w:val="en-GB"/>
        </w:rPr>
        <w:t>The risks to health from decarbonisation are more likely to be indirect;</w:t>
      </w:r>
      <w:r w:rsidRPr="003C67BA">
        <w:rPr>
          <w:rFonts w:ascii="Calibri" w:hAnsi="Calibri" w:cs="Times New Roman"/>
          <w:sz w:val="22"/>
          <w:lang w:val="en-GB"/>
        </w:rPr>
        <w:t xml:space="preserve"> if the deployment and adoption of technologies that aim to reduce carbon emissions, reduce energy demand or switch fuels are not undertaken with care, there are risks of u</w:t>
      </w:r>
      <w:r w:rsidRPr="005F5BC6">
        <w:rPr>
          <w:rFonts w:ascii="Calibri" w:hAnsi="Calibri" w:cs="Times New Roman"/>
          <w:sz w:val="22"/>
          <w:lang w:val="en-GB"/>
        </w:rPr>
        <w:t>nintended consequences</w:t>
      </w:r>
      <w:r w:rsidRPr="00E47DEA">
        <w:rPr>
          <w:rFonts w:ascii="Calibri" w:hAnsi="Calibri" w:cs="Times New Roman"/>
          <w:sz w:val="22"/>
          <w:lang w:val="en-GB"/>
        </w:rPr>
        <w:t xml:space="preserve"> through, for example, poor </w:t>
      </w:r>
      <w:r w:rsidR="00DF6540">
        <w:rPr>
          <w:rFonts w:ascii="Calibri" w:hAnsi="Calibri" w:cs="Times New Roman"/>
          <w:sz w:val="22"/>
          <w:lang w:val="en-GB"/>
        </w:rPr>
        <w:t xml:space="preserve">housing </w:t>
      </w:r>
      <w:r w:rsidRPr="00E47DEA">
        <w:rPr>
          <w:rFonts w:ascii="Calibri" w:hAnsi="Calibri" w:cs="Times New Roman"/>
          <w:sz w:val="22"/>
          <w:lang w:val="en-GB"/>
        </w:rPr>
        <w:t>ventilation</w:t>
      </w:r>
      <w:r w:rsidR="00921EBE">
        <w:rPr>
          <w:rFonts w:ascii="Calibri" w:hAnsi="Calibri" w:cs="Times New Roman"/>
          <w:sz w:val="22"/>
          <w:lang w:val="en-GB"/>
        </w:rPr>
        <w:t>.</w:t>
      </w:r>
      <w:r w:rsidR="00E13392">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&lt;EndNote&gt;&lt;Cite&gt;&lt;Author&gt;Davies&lt;/Author&gt;&lt;Year&gt;2012&lt;/Year&gt;&lt;RecNum&gt;1443&lt;/RecNum&gt;&lt;DisplayText&gt;&lt;style face="superscript"&gt;219&lt;/style&gt;&lt;/DisplayText&gt;&lt;record&gt;&lt;rec-number&gt;1443&lt;/rec-number&gt;&lt;foreign-keys&gt;&lt;key app="EN" db-id="wtftd20rmszxx0ettxy5exwdf90wv22s2dsf" timestamp="1419301077"&gt;1443&lt;/key&gt;&lt;/foreign-keys&gt;&lt;ref-type name="Journal Article"&gt;17&lt;/ref-type&gt;&lt;contributors&gt;&lt;authors&gt;&lt;author&gt;M Davies&lt;/author&gt;&lt;author&gt;T Oreszczyn&lt;/author&gt;&lt;/authors&gt;&lt;/contributors&gt;&lt;titles&gt;&lt;title&gt;The unintended consequences of decarbonising the built environment: A UK case study&lt;/title&gt;&lt;secondary-title&gt;Energy and Buildings&lt;/secondary-title&gt;&lt;/titles&gt;&lt;periodical&gt;&lt;full-title&gt;Energy and Buildings&lt;/full-title&gt;&lt;/periodical&gt;&lt;pages&gt;80-5&lt;/pages&gt;&lt;volume&gt;46&lt;/volume&gt;&lt;dates&gt;&lt;year&gt;2012&lt;/year&gt;&lt;/dates&gt;&lt;urls&gt;&lt;/urls&gt;&lt;/record&gt;&lt;/Cite&gt;&lt;/EndNote&gt;</w:instrText>
      </w:r>
      <w:r w:rsidR="00E13392">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219</w:t>
      </w:r>
      <w:r w:rsidR="00E13392">
        <w:rPr>
          <w:rFonts w:ascii="Calibri" w:hAnsi="Calibri" w:cs="Times New Roman"/>
          <w:sz w:val="22"/>
          <w:lang w:val="en-GB"/>
        </w:rPr>
        <w:fldChar w:fldCharType="end"/>
      </w:r>
      <w:r w:rsidRPr="00E47DEA">
        <w:rPr>
          <w:rFonts w:ascii="Calibri" w:hAnsi="Calibri" w:cs="Times New Roman"/>
          <w:sz w:val="22"/>
          <w:szCs w:val="22"/>
          <w:lang w:val="en-GB"/>
        </w:rPr>
        <w:t xml:space="preserve"> </w:t>
      </w:r>
    </w:p>
    <w:p w:rsidR="00B80CE0" w:rsidRPr="0021772B" w:rsidRDefault="00B80CE0" w:rsidP="00B80CE0">
      <w:pPr>
        <w:jc w:val="both"/>
        <w:rPr>
          <w:rFonts w:ascii="Calibri" w:hAnsi="Calibri" w:cs="Times New Roman"/>
          <w:sz w:val="22"/>
          <w:lang w:val="en-GB"/>
        </w:rPr>
      </w:pPr>
    </w:p>
    <w:p w:rsidR="00B80CE0" w:rsidRDefault="00B80CE0" w:rsidP="00B80CE0">
      <w:pPr>
        <w:jc w:val="both"/>
        <w:rPr>
          <w:rFonts w:ascii="Calibri" w:hAnsi="Calibri" w:cs="Times New Roman"/>
          <w:sz w:val="22"/>
          <w:lang w:val="en-GB"/>
        </w:rPr>
      </w:pPr>
      <w:r w:rsidRPr="000965A5">
        <w:rPr>
          <w:rFonts w:ascii="Calibri" w:hAnsi="Calibri" w:cs="Times New Roman"/>
          <w:sz w:val="22"/>
          <w:lang w:val="en-GB"/>
        </w:rPr>
        <w:t xml:space="preserve">Besides air quality, a number of links between climate mitigation practices and technologies and potential health benefits have been established (Figure </w:t>
      </w:r>
      <w:r>
        <w:rPr>
          <w:rFonts w:ascii="Calibri" w:hAnsi="Calibri" w:cs="Times New Roman"/>
          <w:sz w:val="22"/>
          <w:lang w:val="en-GB"/>
        </w:rPr>
        <w:t>4.</w:t>
      </w:r>
      <w:r w:rsidR="008662EF">
        <w:rPr>
          <w:rFonts w:ascii="Calibri" w:hAnsi="Calibri" w:cs="Times New Roman"/>
          <w:sz w:val="22"/>
          <w:lang w:val="en-GB"/>
        </w:rPr>
        <w:t>4</w:t>
      </w:r>
      <w:r w:rsidRPr="000965A5">
        <w:rPr>
          <w:rFonts w:ascii="Calibri" w:hAnsi="Calibri" w:cs="Times New Roman"/>
          <w:sz w:val="22"/>
          <w:lang w:val="en-GB"/>
        </w:rPr>
        <w:t>)</w:t>
      </w:r>
      <w:r w:rsidRPr="00C636DF">
        <w:rPr>
          <w:rFonts w:ascii="Calibri" w:hAnsi="Calibri" w:cs="Times New Roman"/>
          <w:sz w:val="22"/>
          <w:lang w:val="en-GB"/>
        </w:rPr>
        <w:t>.</w:t>
      </w:r>
      <w:r w:rsidR="00E13392">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&lt;EndNote&gt;&lt;Cite&gt;&lt;Author&gt;Proust&lt;/Author&gt;&lt;Year&gt;2012&lt;/Year&gt;&lt;RecNum&gt;1486&lt;/RecNum&gt;&lt;DisplayText&gt;&lt;style face="superscript"&gt;220&lt;/style&gt;&lt;/DisplayText&gt;&lt;record&gt;&lt;rec-number&gt;1486&lt;/rec-number&gt;&lt;foreign-keys&gt;&lt;key app="EN" db-id="wtftd20rmszxx0ettxy5exwdf90wv22s2dsf" timestamp="1419309829"&gt;1486&lt;/key&gt;&lt;/foreign-keys&gt;&lt;ref-type name="Journal Article"&gt;17&lt;/ref-type&gt;&lt;contributors&gt;&lt;authors&gt;&lt;author&gt;K Proust&lt;/author&gt;&lt;author&gt;B Newell&lt;/author&gt;&lt;author&gt;H Brown&lt;/author&gt;&lt;author&gt;A Capon&lt;/author&gt;&lt;author&gt;C Browne&lt;/author&gt;&lt;author&gt;A Burton&lt;/author&gt;&lt;author&gt;J Dixon&lt;/author&gt;&lt;author&gt;L Mu&lt;/author&gt;&lt;author&gt;M Zarafu&lt;/author&gt;&lt;/authors&gt;&lt;/contributors&gt;&lt;titles&gt;&lt;title&gt;Human health and climate change: leverage points for adaptation in urban environments&lt;/title&gt;&lt;secondary-title&gt;International journal of environmental research and public health&lt;/secondary-title&gt;&lt;/titles&gt;&lt;periodical&gt;&lt;full-title&gt;International Journal of Environmental Research and Public Health&lt;/full-title&gt;&lt;/periodical&gt;&lt;pages&gt;2134-58&lt;/pages&gt;&lt;volume&gt;9&lt;/volume&gt;&lt;number&gt;6&lt;/number&gt;&lt;dates&gt;&lt;year&gt;2012&lt;/year&gt;&lt;/dates&gt;&lt;urls&gt;&lt;/urls&gt;&lt;/record&gt;&lt;/Cite&gt;&lt;/EndNote&gt;</w:instrText>
      </w:r>
      <w:r w:rsidR="00E13392">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220</w:t>
      </w:r>
      <w:r w:rsidR="00E13392">
        <w:rPr>
          <w:rFonts w:ascii="Calibri" w:hAnsi="Calibri" w:cs="Times New Roman"/>
          <w:sz w:val="22"/>
          <w:lang w:val="en-GB"/>
        </w:rPr>
        <w:fldChar w:fldCharType="end"/>
      </w:r>
      <w:r w:rsidRPr="000965A5">
        <w:rPr>
          <w:rFonts w:ascii="Calibri" w:hAnsi="Calibri" w:cs="Times New Roman"/>
          <w:sz w:val="22"/>
          <w:lang w:val="en-GB"/>
        </w:rPr>
        <w:t xml:space="preserve">  Using active transport as an ex</w:t>
      </w:r>
      <w:r w:rsidRPr="00944110">
        <w:rPr>
          <w:rFonts w:ascii="Calibri" w:hAnsi="Calibri" w:cs="Times New Roman"/>
          <w:sz w:val="22"/>
          <w:lang w:val="en-GB"/>
        </w:rPr>
        <w:t>ample, the shift from car driving to walking and cycling not only reduces the air pollutant emissions but</w:t>
      </w:r>
      <w:r w:rsidR="008373C6">
        <w:rPr>
          <w:rFonts w:ascii="Calibri" w:hAnsi="Calibri" w:cs="Times New Roman"/>
          <w:sz w:val="22"/>
          <w:lang w:val="en-GB"/>
        </w:rPr>
        <w:t xml:space="preserve"> </w:t>
      </w:r>
      <w:r w:rsidRPr="00944110">
        <w:rPr>
          <w:rFonts w:ascii="Calibri" w:hAnsi="Calibri" w:cs="Times New Roman"/>
          <w:sz w:val="22"/>
          <w:lang w:val="en-GB"/>
        </w:rPr>
        <w:t xml:space="preserve">also increases levels of exercise, which in turn can lead to reduced risks of </w:t>
      </w:r>
      <w:r w:rsidR="00DF6540">
        <w:rPr>
          <w:rFonts w:ascii="Calibri" w:hAnsi="Calibri" w:cs="Times New Roman"/>
          <w:sz w:val="22"/>
          <w:lang w:val="en-GB"/>
        </w:rPr>
        <w:t>several health outcomes, including cardiovascular diseases, diabetes, and some cancers</w:t>
      </w:r>
      <w:r w:rsidRPr="00944110">
        <w:rPr>
          <w:rFonts w:ascii="Calibri" w:hAnsi="Calibri" w:cs="Times New Roman"/>
          <w:sz w:val="22"/>
          <w:lang w:val="en-GB"/>
        </w:rPr>
        <w:t>.</w:t>
      </w:r>
      <w:r w:rsidR="00E13392">
        <w:rPr>
          <w:rFonts w:ascii="Calibri" w:hAnsi="Calibri" w:cs="Times New Roman"/>
          <w:sz w:val="22"/>
          <w:lang w:val="en-GB"/>
        </w:rPr>
        <w:fldChar w:fldCharType="begin"/>
      </w:r>
      <w:r w:rsidR="00A43B13">
        <w:rPr>
          <w:rFonts w:ascii="Calibri" w:hAnsi="Calibri" w:cs="Times New Roman"/>
          <w:sz w:val="22"/>
          <w:lang w:val="en-GB"/>
        </w:rPr>
        <w:instrText xml:space="preserve"> ADDIN EN.CITE &lt;EndNote&gt;&lt;Cite&gt;&lt;Author&gt;Woodcock&lt;/Author&gt;&lt;Year&gt;2009&lt;/Year&gt;&lt;RecNum&gt;922&lt;/RecNum&gt;&lt;DisplayText&gt;&lt;style face="superscript"&gt;218&lt;/style&gt;&lt;/DisplayText&gt;&lt;record&gt;&lt;rec-number&gt;922&lt;/rec-number&gt;&lt;foreign-keys&gt;&lt;key app="EN" db-id="wtftd20rmszxx0ettxy5exwdf90wv22s2dsf" timestamp="1419212983"&gt;922&lt;/key&gt;&lt;/foreign-keys&gt;&lt;ref-type name="Journal Article"&gt;17&lt;/ref-type&gt;&lt;contributors&gt;&lt;authors&gt;&lt;author&gt;Woodcock, James&lt;/author&gt;&lt;author&gt;Edwards, Phil&lt;/author&gt;&lt;author&gt;Tonne, Cathryn&lt;/author&gt;&lt;author&gt;Armstrong, Ben G.&lt;/author&gt;&lt;author&gt;Ashiru, Olu&lt;/author&gt;&lt;author&gt;Banister, David&lt;/author&gt;&lt;author&gt;Beevers, Sean&lt;/author&gt;&lt;author&gt;Chalabi, Zaid&lt;/author&gt;&lt;author&gt;Chowdhury, Zohir&lt;/author&gt;&lt;author&gt;Cohen, Aaron&lt;/author&gt;&lt;author&gt;Franco, Oscar H.&lt;/author&gt;&lt;author&gt;Haines, Andy&lt;/author&gt;&lt;author&gt;Hickman, Robin&lt;/author&gt;&lt;author&gt;Lindsay, Graeme&lt;/author&gt;&lt;author&gt;Mittal, Ishaan&lt;/author&gt;&lt;author&gt;Mohan, Dinesh&lt;/author&gt;&lt;author&gt;Tiwari, Geetam&lt;/author&gt;&lt;author&gt;Woodward, Alistair&lt;/author&gt;&lt;author&gt;Roberts, Ian&lt;/author&gt;&lt;/authors&gt;&lt;/contributors&gt;&lt;titles&gt;&lt;title&gt;Public health benefits of strategies to reduce greenhouse-gas emissions: urban land transport&lt;/title&gt;&lt;secondary-title&gt;The Lancet&lt;/secondary-title&gt;&lt;/titles&gt;&lt;periodical&gt;&lt;full-title&gt;The Lancet&lt;/full-title&gt;&lt;/periodical&gt;&lt;pages&gt;1930-1943&lt;/pages&gt;&lt;volume&gt;374&lt;/volume&gt;&lt;number&gt;9705&lt;/number&gt;&lt;dates&gt;&lt;year&gt;2009&lt;/year&gt;&lt;/dates&gt;&lt;isbn&gt;0140-6736&lt;/isbn&gt;&lt;urls&gt;&lt;related-urls&gt;&lt;url&gt;http://linkinghub.elsevier.com/retrieve/pii/S0140673609617141&lt;/url&gt;&lt;/related-urls&gt;&lt;/urls&gt;&lt;/record&gt;&lt;/Cite&gt;&lt;/EndNote&gt;</w:instrText>
      </w:r>
      <w:r w:rsidR="00E13392">
        <w:rPr>
          <w:rFonts w:ascii="Calibri" w:hAnsi="Calibri" w:cs="Times New Roman"/>
          <w:sz w:val="22"/>
          <w:lang w:val="en-GB"/>
        </w:rPr>
        <w:fldChar w:fldCharType="separate"/>
      </w:r>
      <w:r w:rsidR="00A43B13" w:rsidRPr="00A43B13">
        <w:rPr>
          <w:rFonts w:ascii="Calibri" w:hAnsi="Calibri" w:cs="Times New Roman"/>
          <w:noProof/>
          <w:sz w:val="22"/>
          <w:vertAlign w:val="superscript"/>
          <w:lang w:val="en-GB"/>
        </w:rPr>
        <w:t>218</w:t>
      </w:r>
      <w:r w:rsidR="00E13392">
        <w:rPr>
          <w:rFonts w:ascii="Calibri" w:hAnsi="Calibri" w:cs="Times New Roman"/>
          <w:sz w:val="22"/>
          <w:lang w:val="en-GB"/>
        </w:rPr>
        <w:fldChar w:fldCharType="end"/>
      </w:r>
      <w:r w:rsidR="00DF6540" w:rsidDel="00DF6540">
        <w:rPr>
          <w:rFonts w:ascii="Calibri" w:hAnsi="Calibri" w:cs="Times New Roman"/>
          <w:sz w:val="22"/>
          <w:lang w:val="en-GB"/>
        </w:rPr>
        <w:t xml:space="preserve"> </w:t>
      </w:r>
    </w:p>
    <w:p w:rsidR="00DF6540" w:rsidRDefault="00DF6540" w:rsidP="00B80CE0">
      <w:pPr>
        <w:jc w:val="both"/>
        <w:rPr>
          <w:rFonts w:ascii="Calibri" w:hAnsi="Calibri" w:cs="Times New Roman"/>
          <w:sz w:val="22"/>
          <w:lang w:val="en-GB"/>
        </w:rPr>
      </w:pPr>
    </w:p>
    <w:p w:rsidR="00DF6540" w:rsidRPr="00D022A9" w:rsidRDefault="00DF6540" w:rsidP="00DF6540">
      <w:pPr>
        <w:spacing w:after="120"/>
        <w:rPr>
          <w:rFonts w:ascii="Calibri" w:eastAsiaTheme="minorHAnsi" w:hAnsi="Calibri"/>
          <w:sz w:val="20"/>
          <w:szCs w:val="20"/>
          <w:lang w:val="en-GB" w:eastAsia="en-US"/>
        </w:rPr>
      </w:pPr>
      <w:r w:rsidRPr="00D022A9">
        <w:rPr>
          <w:rFonts w:ascii="Calibri" w:eastAsiaTheme="minorHAnsi" w:hAnsi="Calibri"/>
          <w:noProof/>
          <w:sz w:val="20"/>
          <w:szCs w:val="20"/>
          <w:lang w:val="en-GB" w:eastAsia="en-GB"/>
        </w:rPr>
        <w:drawing>
          <wp:inline distT="0" distB="0" distL="0" distR="0">
            <wp:extent cx="5715000" cy="5477378"/>
            <wp:effectExtent l="0" t="0" r="0" b="9525"/>
            <wp:docPr id="9" name="Picture 9" descr="Macintosh HD:Users:ighamilton:Documents:1401_LancetCrisis:02_Documents:02_WorkingGroups:WG3 - Technical Solutions:04_Images:Fig7_Benefi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ghamilton:Documents:1401_LancetCrisis:02_Documents:02_WorkingGroups:WG3 - Technical Solutions:04_Images:Fig7_Benefits.pd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460" cy="5477819"/>
                    </a:xfrm>
                    <a:prstGeom prst="rect">
                      <a:avLst/>
                    </a:prstGeom>
                    <a:noFill/>
                    <a:ln>
                      <a:noFill/>
                    </a:ln>
                  </pic:spPr>
                </pic:pic>
              </a:graphicData>
            </a:graphic>
          </wp:inline>
        </w:drawing>
      </w:r>
    </w:p>
    <w:p w:rsidR="00DF6540" w:rsidRPr="00D022A9" w:rsidRDefault="00DF6540" w:rsidP="00DF6540">
      <w:pPr>
        <w:spacing w:after="120" w:line="259" w:lineRule="auto"/>
        <w:rPr>
          <w:rFonts w:ascii="Calibri" w:eastAsiaTheme="minorHAnsi" w:hAnsi="Calibri"/>
          <w:sz w:val="20"/>
          <w:szCs w:val="20"/>
          <w:lang w:val="en-GB" w:eastAsia="en-US"/>
        </w:rPr>
      </w:pPr>
      <w:r w:rsidRPr="00D022A9">
        <w:rPr>
          <w:rFonts w:ascii="Calibri" w:eastAsiaTheme="minorHAnsi" w:hAnsi="Calibri" w:cs="Times New Roman"/>
          <w:i/>
          <w:sz w:val="20"/>
          <w:szCs w:val="20"/>
          <w:lang w:val="en-GB" w:eastAsia="en-US"/>
        </w:rPr>
        <w:t>Figure 4.4:</w:t>
      </w:r>
      <w:r w:rsidRPr="00D022A9">
        <w:rPr>
          <w:rFonts w:ascii="Calibri" w:eastAsiaTheme="minorHAnsi" w:hAnsi="Calibri" w:cs="Times New Roman"/>
          <w:sz w:val="20"/>
          <w:szCs w:val="20"/>
          <w:lang w:val="en-GB" w:eastAsia="en-US"/>
        </w:rPr>
        <w:t xml:space="preserve"> Frequently cited co-benefits of major mitigation techniques. A red line between a mitigation technology and an effect indicates that the technology will increase the effect, a green line indicates an opposite trend.</w:t>
      </w:r>
    </w:p>
    <w:p w:rsidR="00DF6540" w:rsidRPr="00C636DF" w:rsidRDefault="00DF6540" w:rsidP="00B80CE0">
      <w:pPr>
        <w:jc w:val="both"/>
        <w:rPr>
          <w:rFonts w:ascii="Calibri" w:hAnsi="Calibri" w:cs="Times New Roman"/>
          <w:sz w:val="22"/>
          <w:lang w:val="en-GB"/>
        </w:rPr>
      </w:pPr>
    </w:p>
    <w:p w:rsidR="00B80CE0" w:rsidRPr="0061532A" w:rsidRDefault="00B80CE0" w:rsidP="00B80CE0">
      <w:pPr>
        <w:jc w:val="both"/>
        <w:rPr>
          <w:rFonts w:ascii="Calibri" w:hAnsi="Calibri" w:cs="Times New Roman"/>
          <w:sz w:val="22"/>
          <w:szCs w:val="22"/>
          <w:lang w:val="en-GB"/>
        </w:rPr>
      </w:pPr>
      <w:r w:rsidRPr="0061532A">
        <w:rPr>
          <w:rFonts w:ascii="Calibri" w:hAnsi="Calibri" w:cs="Times New Roman"/>
          <w:sz w:val="22"/>
          <w:szCs w:val="22"/>
          <w:lang w:val="en-GB"/>
        </w:rPr>
        <w:t xml:space="preserve">The formal health sector itself also has a role to play in reducing its emissions. Hospitals and health systems, particularly in more industrialised settings, </w:t>
      </w:r>
      <w:r>
        <w:rPr>
          <w:rFonts w:ascii="Calibri" w:hAnsi="Calibri" w:cs="Times New Roman"/>
          <w:sz w:val="22"/>
          <w:szCs w:val="22"/>
          <w:lang w:val="en-GB"/>
        </w:rPr>
        <w:t xml:space="preserve">account for around 10% of GDP and </w:t>
      </w:r>
      <w:r w:rsidRPr="0061532A">
        <w:rPr>
          <w:rFonts w:ascii="Calibri" w:hAnsi="Calibri" w:cs="Times New Roman"/>
          <w:sz w:val="22"/>
          <w:szCs w:val="22"/>
          <w:lang w:val="en-GB"/>
        </w:rPr>
        <w:t xml:space="preserve">have a </w:t>
      </w:r>
      <w:r w:rsidRPr="0061532A">
        <w:rPr>
          <w:rFonts w:ascii="Calibri" w:hAnsi="Calibri" w:cs="Times New Roman"/>
          <w:sz w:val="22"/>
          <w:szCs w:val="22"/>
          <w:lang w:val="en-GB"/>
        </w:rPr>
        <w:lastRenderedPageBreak/>
        <w:t>significant carbon footprint.  While the full extent of health care’s climate impacts is not known, emerging data confirms its significance and the need for mitigation strategies. For instance, the National Health Service in England calculated its</w:t>
      </w:r>
      <w:r w:rsidRPr="0061532A" w:rsidDel="007E72B9">
        <w:rPr>
          <w:rFonts w:ascii="Calibri" w:hAnsi="Calibri" w:cs="Times New Roman"/>
          <w:sz w:val="22"/>
          <w:szCs w:val="22"/>
          <w:lang w:val="en-GB"/>
        </w:rPr>
        <w:t xml:space="preserve"> </w:t>
      </w:r>
      <w:r w:rsidRPr="0061532A">
        <w:rPr>
          <w:rFonts w:ascii="Calibri" w:hAnsi="Calibri" w:cs="Times New Roman"/>
          <w:sz w:val="22"/>
          <w:szCs w:val="22"/>
          <w:lang w:val="en-GB"/>
        </w:rPr>
        <w:t>carbon</w:t>
      </w:r>
      <w:r w:rsidRPr="0061532A" w:rsidDel="007E72B9">
        <w:rPr>
          <w:rFonts w:ascii="Calibri" w:hAnsi="Calibri" w:cs="Times New Roman"/>
          <w:sz w:val="22"/>
          <w:szCs w:val="22"/>
          <w:lang w:val="en-GB"/>
        </w:rPr>
        <w:t xml:space="preserve"> </w:t>
      </w:r>
      <w:r w:rsidRPr="0061532A">
        <w:rPr>
          <w:rFonts w:ascii="Calibri" w:hAnsi="Calibri" w:cs="Times New Roman"/>
          <w:sz w:val="22"/>
          <w:szCs w:val="22"/>
          <w:lang w:val="en-GB"/>
        </w:rPr>
        <w:t>footprint at more than 18 million tons of CO</w:t>
      </w:r>
      <w:r w:rsidRPr="00024E43">
        <w:rPr>
          <w:rFonts w:ascii="Calibri" w:hAnsi="Calibri" w:cs="Times New Roman"/>
          <w:sz w:val="22"/>
          <w:szCs w:val="22"/>
          <w:vertAlign w:val="subscript"/>
          <w:lang w:val="en-GB"/>
        </w:rPr>
        <w:t>2</w:t>
      </w:r>
      <w:r w:rsidRPr="0061532A">
        <w:rPr>
          <w:rFonts w:ascii="Calibri" w:hAnsi="Calibri" w:cs="Times New Roman"/>
          <w:sz w:val="22"/>
          <w:szCs w:val="22"/>
          <w:lang w:val="en-GB"/>
        </w:rPr>
        <w:t xml:space="preserve"> each year –- 25% of total public sector emissions</w:t>
      </w:r>
      <w:r w:rsidRPr="00E47DEA">
        <w:rPr>
          <w:rFonts w:ascii="Calibri" w:hAnsi="Calibri" w:cs="Times New Roman"/>
          <w:sz w:val="22"/>
          <w:szCs w:val="22"/>
          <w:lang w:val="en-GB"/>
        </w:rPr>
        <w:t>.</w:t>
      </w:r>
      <w:r w:rsidR="00E13392" w:rsidRPr="00E47DEA">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&lt;EndNote&gt;&lt;Cite&gt;&lt;Year&gt;2009&lt;/Year&gt;&lt;RecNum&gt;1487&lt;/RecNum&gt;&lt;DisplayText&gt;&lt;style face="superscript"&gt;221&lt;/style&gt;&lt;/DisplayText&gt;&lt;record&gt;&lt;rec-number&gt;1487&lt;/rec-number&gt;&lt;foreign-keys&gt;&lt;key app="EN" db-id="wtftd20rmszxx0ettxy5exwdf90wv22s2dsf" timestamp="1419310692"&gt;1487&lt;/key&gt;&lt;/foreign-keys&gt;&lt;ref-type name="Report"&gt;27&lt;/ref-type&gt;&lt;contributors&gt;&lt;/contributors&gt;&lt;titles&gt;&lt;title&gt;Sustainable Development Unit: NHS, Public Health and Social Care. Saving carbon, improving health: NHS carbon reduction strategy&lt;/title&gt;&lt;/titles&gt;&lt;dates&gt;&lt;year&gt;2009&lt;/year&gt;&lt;/dates&gt;&lt;pub-location&gt;Cambridge&lt;/pub-location&gt;&lt;urls&gt;&lt;/urls&gt;&lt;/record&gt;&lt;/Cite&gt;&lt;/EndNote&gt;</w:instrText>
      </w:r>
      <w:r w:rsidR="00E13392" w:rsidRPr="00E47DEA">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221</w:t>
      </w:r>
      <w:r w:rsidR="00E13392" w:rsidRPr="00E47DEA">
        <w:rPr>
          <w:rFonts w:ascii="Calibri" w:hAnsi="Calibri" w:cs="Times New Roman"/>
          <w:sz w:val="22"/>
          <w:szCs w:val="22"/>
          <w:lang w:val="en-GB"/>
        </w:rPr>
        <w:fldChar w:fldCharType="end"/>
      </w:r>
      <w:r w:rsidRPr="00E47DEA">
        <w:rPr>
          <w:rFonts w:ascii="Calibri" w:hAnsi="Calibri" w:cs="Times New Roman"/>
          <w:sz w:val="22"/>
          <w:szCs w:val="22"/>
          <w:lang w:val="en-GB"/>
        </w:rPr>
        <w:t xml:space="preserve"> 72% of the NHS’s carbon footprint is related to procurement and the remaining split between travel and energy use in buildings.</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&lt;EndNote&gt;&lt;Cite&gt;&lt;Author&gt;UK Sustainable Development Unit&lt;/Author&gt;&lt;Year&gt;2014&lt;/Year&gt;&lt;RecNum&gt;1559&lt;/RecNum&gt;&lt;DisplayText&gt;&lt;style face="superscript"&gt;222&lt;/style&gt;&lt;/DisplayText&gt;&lt;record&gt;&lt;rec-number&gt;1559&lt;/rec-number&gt;&lt;foreign-keys&gt;&lt;key app="EN" db-id="wtftd20rmszxx0ettxy5exwdf90wv22s2dsf" timestamp="1427453641"&gt;1559&lt;/key&gt;&lt;/foreign-keys&gt;&lt;ref-type name="Book Section"&gt;5&lt;/ref-type&gt;&lt;contributors&gt;&lt;authors&gt;&lt;author&gt;UK Sustainable Development Unit,&lt;/author&gt;&lt;/authors&gt;&lt;/contributors&gt;&lt;titles&gt;&lt;title&gt;Module on Carbon Hotspots&lt;/title&gt;&lt;secondary-title&gt;Sustainable Development Strategy for the Health and Care System 2014 - 2020&lt;/secondary-title&gt;&lt;/titles&gt;&lt;dates&gt;&lt;year&gt;2014&lt;/year&gt;&lt;/dates&gt;&lt;pub-location&gt;London&lt;/pub-location&gt;&lt;urls&gt;&lt;/urls&gt;&lt;/record&gt;&lt;/Cite&gt;&lt;/EndNote&gt;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222</w:t>
      </w:r>
      <w:r w:rsidR="00E13392">
        <w:rPr>
          <w:rFonts w:ascii="Calibri" w:hAnsi="Calibri" w:cs="Times New Roman"/>
          <w:sz w:val="22"/>
          <w:szCs w:val="22"/>
          <w:lang w:val="en-GB"/>
        </w:rPr>
        <w:fldChar w:fldCharType="end"/>
      </w:r>
      <w:r w:rsidRPr="00E47DEA">
        <w:rPr>
          <w:rFonts w:ascii="Calibri" w:hAnsi="Calibri" w:cs="Times New Roman"/>
          <w:sz w:val="22"/>
          <w:szCs w:val="22"/>
          <w:lang w:val="en-GB"/>
        </w:rPr>
        <w:t xml:space="preserve">  In the U.S.</w:t>
      </w:r>
      <w:r w:rsidR="00921EBE">
        <w:rPr>
          <w:rFonts w:ascii="Calibri" w:hAnsi="Calibri" w:cs="Times New Roman"/>
          <w:sz w:val="22"/>
          <w:szCs w:val="22"/>
          <w:lang w:val="en-GB"/>
        </w:rPr>
        <w:t xml:space="preserve"> </w:t>
      </w:r>
      <w:r w:rsidRPr="00E47DEA">
        <w:rPr>
          <w:rFonts w:ascii="Calibri" w:hAnsi="Calibri" w:cs="Times New Roman"/>
          <w:sz w:val="22"/>
          <w:szCs w:val="22"/>
          <w:lang w:val="en-GB"/>
        </w:rPr>
        <w:t xml:space="preserve">the healthcare sector </w:t>
      </w:r>
      <w:r w:rsidR="008373C6">
        <w:rPr>
          <w:rFonts w:ascii="Calibri" w:hAnsi="Calibri" w:cs="Times New Roman"/>
          <w:sz w:val="22"/>
          <w:szCs w:val="22"/>
          <w:lang w:val="en-GB"/>
        </w:rPr>
        <w:t>i</w:t>
      </w:r>
      <w:r w:rsidRPr="00E47DEA">
        <w:rPr>
          <w:rFonts w:ascii="Calibri" w:hAnsi="Calibri" w:cs="Times New Roman"/>
          <w:sz w:val="22"/>
          <w:szCs w:val="22"/>
          <w:lang w:val="en-GB"/>
        </w:rPr>
        <w:t>s responsible for 8 percent of the country’s total</w:t>
      </w:r>
      <w:r w:rsidR="005A3478">
        <w:rPr>
          <w:rFonts w:ascii="Calibri" w:hAnsi="Calibri" w:cs="Times New Roman"/>
          <w:sz w:val="22"/>
          <w:szCs w:val="22"/>
          <w:lang w:val="en-GB"/>
        </w:rPr>
        <w:t xml:space="preserve"> GHG</w:t>
      </w:r>
      <w:r w:rsidRPr="00E47DEA">
        <w:rPr>
          <w:rFonts w:ascii="Calibri" w:hAnsi="Calibri" w:cs="Times New Roman"/>
          <w:sz w:val="22"/>
          <w:szCs w:val="22"/>
          <w:lang w:val="en-GB"/>
        </w:rPr>
        <w:t xml:space="preserve"> emissions</w:t>
      </w:r>
      <w:r w:rsidRPr="0061532A">
        <w:rPr>
          <w:rFonts w:ascii="Calibri" w:hAnsi="Calibri" w:cs="Times New Roman"/>
          <w:sz w:val="22"/>
          <w:szCs w:val="22"/>
          <w:lang w:val="en-GB"/>
        </w:rPr>
        <w:t>.</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&lt;EndNote&gt;&lt;Cite&gt;&lt;Author&gt;US Environmental Protection Agency&lt;/Author&gt;&lt;Year&gt;2011&lt;/Year&gt;&lt;RecNum&gt;1560&lt;/RecNum&gt;&lt;DisplayText&gt;&lt;style face="superscript"&gt;223&lt;/style&gt;&lt;/DisplayText&gt;&lt;record&gt;&lt;rec-number&gt;1560&lt;/rec-number&gt;&lt;foreign-keys&gt;&lt;key app="EN" db-id="wtftd20rmszxx0ettxy5exwdf90wv22s2dsf" timestamp="1427454272"&gt;1560&lt;/key&gt;&lt;/foreign-keys&gt;&lt;ref-type name="Report"&gt;27&lt;/ref-type&gt;&lt;contributors&gt;&lt;authors&gt;&lt;author&gt;US Environmental Protection Agency,&lt;/author&gt;&lt;/authors&gt;&lt;/contributors&gt;&lt;titles&gt;&lt;title&gt;Inventory of U.S. Greenhouse Gas Emissions and Sinks: 1990-2009&lt;/title&gt;&lt;/titles&gt;&lt;dates&gt;&lt;year&gt;2011&lt;/year&gt;&lt;/dates&gt;&lt;pub-location&gt;Washington D.C.&lt;/pub-location&gt;&lt;urls&gt;&lt;/urls&gt;&lt;/record&gt;&lt;/Cite&gt;&lt;/EndNote&gt;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223</w:t>
      </w:r>
      <w:r w:rsidR="00E13392">
        <w:rPr>
          <w:rFonts w:ascii="Calibri" w:hAnsi="Calibri" w:cs="Times New Roman"/>
          <w:sz w:val="22"/>
          <w:szCs w:val="22"/>
          <w:lang w:val="en-GB"/>
        </w:rPr>
        <w:fldChar w:fldCharType="end"/>
      </w:r>
      <w:r w:rsidRPr="0061532A">
        <w:rPr>
          <w:rFonts w:ascii="Calibri" w:hAnsi="Calibri" w:cs="Times New Roman"/>
          <w:sz w:val="22"/>
          <w:szCs w:val="22"/>
          <w:lang w:val="en-GB"/>
        </w:rPr>
        <w:t xml:space="preserve"> </w:t>
      </w:r>
      <w:r w:rsidRPr="00E47DEA">
        <w:rPr>
          <w:rFonts w:ascii="Calibri" w:hAnsi="Calibri" w:cs="Times New Roman"/>
          <w:sz w:val="22"/>
          <w:szCs w:val="22"/>
          <w:lang w:val="en-GB"/>
        </w:rPr>
        <w:t xml:space="preserve">With </w:t>
      </w:r>
      <w:r>
        <w:rPr>
          <w:rFonts w:ascii="Calibri" w:hAnsi="Calibri" w:cs="Times New Roman"/>
          <w:sz w:val="22"/>
          <w:szCs w:val="22"/>
          <w:lang w:val="en-GB"/>
        </w:rPr>
        <w:t>among</w:t>
      </w:r>
      <w:r w:rsidRPr="00E47DEA">
        <w:rPr>
          <w:rFonts w:ascii="Calibri" w:hAnsi="Calibri" w:cs="Times New Roman"/>
          <w:sz w:val="22"/>
          <w:szCs w:val="22"/>
          <w:lang w:val="en-GB"/>
        </w:rPr>
        <w:t xml:space="preserve"> the largest </w:t>
      </w:r>
      <w:r>
        <w:rPr>
          <w:rFonts w:ascii="Calibri" w:hAnsi="Calibri" w:cs="Times New Roman"/>
          <w:sz w:val="22"/>
          <w:szCs w:val="22"/>
          <w:lang w:val="en-GB"/>
        </w:rPr>
        <w:t xml:space="preserve">sectoral </w:t>
      </w:r>
      <w:r w:rsidRPr="00E47DEA">
        <w:rPr>
          <w:rFonts w:ascii="Calibri" w:hAnsi="Calibri" w:cs="Times New Roman"/>
          <w:sz w:val="22"/>
          <w:szCs w:val="22"/>
          <w:lang w:val="en-GB"/>
        </w:rPr>
        <w:t>purchasing power globally, the health</w:t>
      </w:r>
      <w:r>
        <w:rPr>
          <w:rFonts w:ascii="Calibri" w:hAnsi="Calibri" w:cs="Times New Roman"/>
          <w:sz w:val="22"/>
          <w:szCs w:val="22"/>
          <w:lang w:val="en-GB"/>
        </w:rPr>
        <w:t xml:space="preserve"> sector could reduce its impact through the products it purchases and through investment in its infrastructure (i.e. hospitals, ambulatory services, and clinics). </w:t>
      </w:r>
    </w:p>
    <w:p w:rsidR="00B80CE0" w:rsidRPr="0061532A" w:rsidRDefault="00B80CE0" w:rsidP="00B80CE0">
      <w:pPr>
        <w:jc w:val="both"/>
        <w:rPr>
          <w:rFonts w:ascii="Calibri" w:hAnsi="Calibri" w:cs="Times New Roman"/>
          <w:sz w:val="22"/>
          <w:szCs w:val="22"/>
          <w:lang w:val="en-GB"/>
        </w:rPr>
      </w:pPr>
    </w:p>
    <w:p w:rsidR="00B80CE0" w:rsidRPr="0061532A" w:rsidRDefault="00B80CE0" w:rsidP="00B80CE0">
      <w:pPr>
        <w:jc w:val="both"/>
        <w:rPr>
          <w:rFonts w:ascii="Calibri" w:hAnsi="Calibri" w:cs="Times New Roman"/>
          <w:sz w:val="22"/>
          <w:szCs w:val="22"/>
          <w:lang w:val="en-GB"/>
        </w:rPr>
      </w:pPr>
      <w:r w:rsidRPr="0061532A">
        <w:rPr>
          <w:rFonts w:ascii="Calibri" w:hAnsi="Calibri" w:cs="Times New Roman"/>
          <w:sz w:val="22"/>
          <w:szCs w:val="22"/>
          <w:lang w:val="en-GB"/>
        </w:rPr>
        <w:t>By moving toward low carbon health systems, health care can mitigate its own climate impact, become more resilient to the impacts of climate change, save money and lead by example. For instance, in South Korea, Yonsei University Health System is targeting reducing GHG emissions by 30% by 2020. Energy efficiency measures saved the system $1.7 million and reduced GHG emissions by 5,316 tons of CO</w:t>
      </w:r>
      <w:r w:rsidRPr="00024E43">
        <w:rPr>
          <w:rFonts w:ascii="Calibri" w:hAnsi="Calibri" w:cs="Times New Roman"/>
          <w:sz w:val="22"/>
          <w:szCs w:val="22"/>
          <w:vertAlign w:val="subscript"/>
          <w:lang w:val="en-GB"/>
        </w:rPr>
        <w:t xml:space="preserve">2 </w:t>
      </w:r>
      <w:r w:rsidRPr="0061532A">
        <w:rPr>
          <w:rFonts w:ascii="Calibri" w:hAnsi="Calibri" w:cs="Times New Roman"/>
          <w:sz w:val="22"/>
          <w:szCs w:val="22"/>
          <w:lang w:val="en-GB"/>
        </w:rPr>
        <w:t>in 2011 alone.</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&lt;EndNote&gt;&lt;Cite&gt;&lt;Author&gt;Global Green and Healthy Hospitals Network&lt;/Author&gt;&lt;Year&gt;2014&lt;/Year&gt;&lt;RecNum&gt;1489&lt;/RecNum&gt;&lt;DisplayText&gt;&lt;style face="superscript"&gt;224&lt;/style&gt;&lt;/DisplayText&gt;&lt;record&gt;&lt;rec-number&gt;1489&lt;/rec-number&gt;&lt;foreign-keys&gt;&lt;key app="EN" db-id="wtftd20rmszxx0ettxy5exwdf90wv22s2dsf" timestamp="1419310979"&gt;1489&lt;/key&gt;&lt;/foreign-keys&gt;&lt;ref-type name="Web Page"&gt;12&lt;/ref-type&gt;&lt;contributors&gt;&lt;authors&gt;&lt;author&gt;Global Green and Healthy Hospitals Network,&lt;/author&gt;&lt;/authors&gt;&lt;/contributors&gt;&lt;titles&gt;&lt;title&gt;Greenhouse Gas Emissions Reduction and Availability of Energy-Saving Practices in the Special Context of a Hospital Environment: Yonsei University Health System&lt;/title&gt;&lt;/titles&gt;&lt;volume&gt;7 Dec&lt;/volume&gt;&lt;number&gt;2014&lt;/number&gt;&lt;dates&gt;&lt;year&gt;2014&lt;/year&gt;&lt;/dates&gt;&lt;urls&gt;&lt;related-urls&gt;&lt;url&gt;http://greenhospitals.net/en/case-studies/&lt;/url&gt;&lt;/related-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224</w:t>
      </w:r>
      <w:r w:rsidR="00E13392">
        <w:rPr>
          <w:rFonts w:ascii="Calibri" w:hAnsi="Calibri" w:cs="Times New Roman"/>
          <w:sz w:val="22"/>
          <w:szCs w:val="22"/>
          <w:lang w:val="en-GB"/>
        </w:rPr>
        <w:fldChar w:fldCharType="end"/>
      </w:r>
      <w:r w:rsidRPr="0061532A">
        <w:rPr>
          <w:rFonts w:ascii="Calibri" w:hAnsi="Calibri" w:cs="Times New Roman"/>
          <w:sz w:val="22"/>
          <w:szCs w:val="22"/>
          <w:lang w:val="en-GB"/>
        </w:rPr>
        <w:t xml:space="preserve"> In the United States, Gunderson Health has increased efficiency by 40</w:t>
      </w:r>
      <w:r>
        <w:rPr>
          <w:rFonts w:ascii="Calibri" w:hAnsi="Calibri" w:cs="Times New Roman"/>
          <w:sz w:val="22"/>
          <w:szCs w:val="22"/>
          <w:lang w:val="en-GB"/>
        </w:rPr>
        <w:t>%</w:t>
      </w:r>
      <w:r w:rsidRPr="0061532A">
        <w:rPr>
          <w:rFonts w:ascii="Calibri" w:hAnsi="Calibri" w:cs="Times New Roman"/>
          <w:sz w:val="22"/>
          <w:szCs w:val="22"/>
          <w:lang w:val="en-GB"/>
        </w:rPr>
        <w:t>, saving $2 million annually, while deploying solar, wind, geothermal and biomass to significantly reduce its carbon footprint and end its dependence on fossil fuels.</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&lt;EndNote&gt;&lt;Cite&gt;&lt;Author&gt;Gundersen Health&lt;/Author&gt;&lt;Year&gt;2014&lt;/Year&gt;&lt;RecNum&gt;1490&lt;/RecNum&gt;&lt;DisplayText&gt;&lt;style face="superscript"&gt;225&lt;/style&gt;&lt;/DisplayText&gt;&lt;record&gt;&lt;rec-number&gt;1490&lt;/rec-number&gt;&lt;foreign-keys&gt;&lt;key app="EN" db-id="wtftd20rmszxx0ettxy5exwdf90wv22s2dsf" timestamp="1419311118"&gt;1490&lt;/key&gt;&lt;/foreign-keys&gt;&lt;ref-type name="Web Page"&gt;12&lt;/ref-type&gt;&lt;contributors&gt;&lt;authors&gt;&lt;author&gt;Gundersen Health,&lt;/author&gt;&lt;/authors&gt;&lt;/contributors&gt;&lt;titles&gt;&lt;title&gt;Gundersen reaches first days of energy independence: First health system in nation to achieve this distinction&lt;/title&gt;&lt;/titles&gt;&lt;volume&gt;2014&lt;/volume&gt;&lt;number&gt;7 Dec&lt;/number&gt;&lt;dates&gt;&lt;year&gt;2014&lt;/year&gt;&lt;/dates&gt;&lt;urls&gt;&lt;related-urls&gt;&lt;url&gt;http://www.gundersenenvision.org/gundersen-reaches-first-days-of-energy-independence &lt;/url&gt;&lt;/related-urls&gt;&lt;/urls&gt;&lt;/record&gt;&lt;/Cite&gt;&lt;/EndNote&gt;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225</w:t>
      </w:r>
      <w:r w:rsidR="00E13392">
        <w:rPr>
          <w:rFonts w:ascii="Calibri" w:hAnsi="Calibri" w:cs="Times New Roman"/>
          <w:sz w:val="22"/>
          <w:szCs w:val="22"/>
          <w:lang w:val="en-GB"/>
        </w:rPr>
        <w:fldChar w:fldCharType="end"/>
      </w:r>
      <w:r w:rsidRPr="0061532A">
        <w:rPr>
          <w:rFonts w:ascii="Calibri" w:hAnsi="Calibri" w:cs="Times New Roman"/>
          <w:sz w:val="22"/>
          <w:szCs w:val="22"/>
          <w:lang w:val="en-GB"/>
        </w:rPr>
        <w:t xml:space="preserve"> In England, the NHS, Public Health and Social Care System ha</w:t>
      </w:r>
      <w:r w:rsidR="00DF6540">
        <w:rPr>
          <w:rFonts w:ascii="Calibri" w:hAnsi="Calibri" w:cs="Times New Roman"/>
          <w:sz w:val="22"/>
          <w:szCs w:val="22"/>
          <w:lang w:val="en-GB"/>
        </w:rPr>
        <w:t>s</w:t>
      </w:r>
      <w:r w:rsidRPr="0061532A">
        <w:rPr>
          <w:rFonts w:ascii="Calibri" w:hAnsi="Calibri" w:cs="Times New Roman"/>
          <w:sz w:val="22"/>
          <w:szCs w:val="22"/>
          <w:lang w:val="en-GB"/>
        </w:rPr>
        <w:t xml:space="preserve"> similarly committed to reducing its carbon footprint by at least 34% by 2020.</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&lt;EndNote&gt;&lt;Cite&gt;&lt;Year&gt;2014&lt;/Year&gt;&lt;RecNum&gt;1492&lt;/RecNum&gt;&lt;DisplayText&gt;&lt;style face="superscript"&gt;226&lt;/style&gt;&lt;/DisplayText&gt;&lt;record&gt;&lt;rec-number&gt;1492&lt;/rec-number&gt;&lt;foreign-keys&gt;&lt;key app="EN" db-id="wtftd20rmszxx0ettxy5exwdf90wv22s2dsf" timestamp="1419311387"&gt;1492&lt;/key&gt;&lt;/foreign-keys&gt;&lt;ref-type name="Report"&gt;27&lt;/ref-type&gt;&lt;contributors&gt;&lt;/contributors&gt;&lt;titles&gt;&lt;title&gt;Sustainable Development Unit: NHS, Public Health and Social Care. A Cross England Health System Statement for the UN Climate Summit&lt;/title&gt;&lt;/titles&gt;&lt;dates&gt;&lt;year&gt;2014&lt;/year&gt;&lt;/dates&gt;&lt;pub-location&gt;Cambridge&lt;/pub-location&gt;&lt;urls&gt;&lt;/urls&gt;&lt;/record&gt;&lt;/Cite&gt;&lt;/EndNote&gt;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226</w:t>
      </w:r>
      <w:r w:rsidR="00E13392">
        <w:rPr>
          <w:rFonts w:ascii="Calibri" w:hAnsi="Calibri" w:cs="Times New Roman"/>
          <w:sz w:val="22"/>
          <w:szCs w:val="22"/>
          <w:lang w:val="en-GB"/>
        </w:rPr>
        <w:fldChar w:fldCharType="end"/>
      </w:r>
      <w:r w:rsidRPr="0061532A">
        <w:rPr>
          <w:rFonts w:ascii="Calibri" w:hAnsi="Calibri" w:cs="Times New Roman"/>
          <w:sz w:val="22"/>
          <w:szCs w:val="22"/>
          <w:lang w:val="en-GB"/>
        </w:rPr>
        <w:t xml:space="preserve"> </w:t>
      </w:r>
    </w:p>
    <w:p w:rsidR="00B80CE0" w:rsidRPr="0061532A" w:rsidRDefault="00B80CE0" w:rsidP="00B80CE0">
      <w:pPr>
        <w:jc w:val="both"/>
        <w:rPr>
          <w:rFonts w:ascii="Calibri" w:hAnsi="Calibri" w:cs="Times New Roman"/>
          <w:sz w:val="22"/>
          <w:szCs w:val="22"/>
          <w:lang w:val="en-GB"/>
        </w:rPr>
      </w:pPr>
    </w:p>
    <w:p w:rsidR="00B80CE0" w:rsidRPr="00C636DF" w:rsidRDefault="00B80CE0" w:rsidP="00B80CE0">
      <w:pPr>
        <w:jc w:val="both"/>
        <w:rPr>
          <w:rFonts w:ascii="Calibri" w:hAnsi="Calibri" w:cs="Times New Roman"/>
          <w:sz w:val="22"/>
          <w:lang w:val="en-GB"/>
        </w:rPr>
      </w:pPr>
      <w:r>
        <w:rPr>
          <w:rFonts w:ascii="Calibri" w:hAnsi="Calibri" w:cs="Times New Roman"/>
          <w:sz w:val="22"/>
          <w:szCs w:val="22"/>
          <w:lang w:val="en-GB"/>
        </w:rPr>
        <w:t>Conversely, a</w:t>
      </w:r>
      <w:r w:rsidRPr="0061532A">
        <w:rPr>
          <w:rFonts w:ascii="Calibri" w:hAnsi="Calibri" w:cs="Times New Roman"/>
          <w:sz w:val="22"/>
          <w:szCs w:val="22"/>
          <w:lang w:val="en-GB"/>
        </w:rPr>
        <w:t>ccounting for the health co-benefits of climate change mitigation, can help to bring down the overall cost of greenhouse gas mitigation. Jensen et al. (2013) has shown that the incorporation of health co-benefits of cleaner vehicles and active travel can make those mitigation practices cost-effective.</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&lt;EndNote&gt;&lt;Cite&gt;&lt;Author&gt;Jensen&lt;/Author&gt;&lt;Year&gt;2013&lt;/Year&gt;&lt;RecNum&gt;903&lt;/RecNum&gt;&lt;DisplayText&gt;&lt;style face="superscript"&gt;227&lt;/style&gt;&lt;/DisplayText&gt;&lt;record&gt;&lt;rec-number&gt;903&lt;/rec-number&gt;&lt;foreign-keys&gt;&lt;key app="EN" db-id="wtftd20rmszxx0ettxy5exwdf90wv22s2dsf" timestamp="1419212983"&gt;903&lt;/key&gt;&lt;/foreign-keys&gt;&lt;ref-type name="Journal Article"&gt;17&lt;/ref-type&gt;&lt;contributors&gt;&lt;authors&gt;&lt;author&gt;Jensen, HenningTarp&lt;/author&gt;&lt;author&gt;Keogh-Brown, MarcusR&lt;/author&gt;&lt;author&gt;Smith, RichardD&lt;/author&gt;&lt;author&gt;Chalabi, Zaid&lt;/author&gt;&lt;author&gt;Dangour, AlanD&lt;/author&gt;&lt;author&gt;Davies, Mike&lt;/author&gt;&lt;author&gt;Edwards, Phil&lt;/author&gt;&lt;author&gt;Garnett, Tara&lt;/author&gt;&lt;author&gt;Givoni, Moshe&lt;/author&gt;&lt;author&gt;Griffiths, Ulla&lt;/author&gt;&lt;author&gt;Hamilton, Ian&lt;/author&gt;&lt;author&gt;Jarrett, James&lt;/author&gt;&lt;author&gt;Roberts, Ian&lt;/author&gt;&lt;author&gt;Wilkinson, Paul&lt;/author&gt;&lt;author&gt;Woodcock, James&lt;/author&gt;&lt;author&gt;Haines, Andy&lt;/author&gt;&lt;/authors&gt;&lt;/contributors&gt;&lt;titles&gt;&lt;title&gt;The importance of health co-benefits in macroeconomic assessments of UK Greenhouse Gas emission reduction strategies&lt;/title&gt;&lt;secondary-title&gt;Climatic Change&lt;/secondary-title&gt;&lt;alt-title&gt;Climatic Change&lt;/alt-title&gt;&lt;/titles&gt;&lt;periodical&gt;&lt;full-title&gt;Climatic Change&lt;/full-title&gt;&lt;/periodical&gt;&lt;alt-periodical&gt;&lt;full-title&gt;Climatic Change&lt;/full-title&gt;&lt;/alt-periodical&gt;&lt;pages&gt;223-237&lt;/pages&gt;&lt;volume&gt;121&lt;/volume&gt;&lt;number&gt;2&lt;/number&gt;&lt;dates&gt;&lt;year&gt;2013&lt;/year&gt;&lt;pub-dates&gt;&lt;date&gt;2013/11/01&lt;/date&gt;&lt;/pub-dates&gt;&lt;/dates&gt;&lt;publisher&gt;Springer Netherlands&lt;/publisher&gt;&lt;isbn&gt;0165-0009&lt;/isbn&gt;&lt;urls&gt;&lt;related-urls&gt;&lt;url&gt;http://dx.doi.org/10.1007/s10584-013-0881-6&lt;/url&gt;&lt;/related-urls&gt;&lt;/urls&gt;&lt;electronic-resource-num&gt;10.1007/s10584-013-0881-6&lt;/electronic-resource-num&gt;&lt;language&gt;English&lt;/language&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227</w:t>
      </w:r>
      <w:r w:rsidR="00E13392">
        <w:rPr>
          <w:rFonts w:ascii="Calibri" w:hAnsi="Calibri" w:cs="Times New Roman"/>
          <w:sz w:val="22"/>
          <w:szCs w:val="22"/>
          <w:lang w:val="en-GB"/>
        </w:rPr>
        <w:fldChar w:fldCharType="end"/>
      </w:r>
      <w:r w:rsidRPr="0061532A">
        <w:rPr>
          <w:rFonts w:ascii="Calibri" w:hAnsi="Calibri" w:cs="Times New Roman"/>
          <w:sz w:val="22"/>
          <w:szCs w:val="22"/>
          <w:lang w:val="en-GB"/>
        </w:rPr>
        <w:t xml:space="preserve"> The health benefits of reducing methane emission in industrialised nations could exceed costs even under the least aggressive mitigation scenario between 2005 and 2030.</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&lt;EndNote&gt;&lt;Cite&gt;&lt;Author&gt;West&lt;/Author&gt;&lt;Year&gt;2012&lt;/Year&gt;&lt;RecNum&gt;1493&lt;/RecNum&gt;&lt;DisplayText&gt;&lt;style face="superscript"&gt;228&lt;/style&gt;&lt;/DisplayText&gt;&lt;record&gt;&lt;rec-number&gt;1493&lt;/rec-number&gt;&lt;foreign-keys&gt;&lt;key app="EN" db-id="wtftd20rmszxx0ettxy5exwdf90wv22s2dsf" timestamp="1419311620"&gt;1493&lt;/key&gt;&lt;/foreign-keys&gt;&lt;ref-type name="Journal Article"&gt;17&lt;/ref-type&gt;&lt;contributors&gt;&lt;authors&gt;&lt;author&gt;JJ West&lt;/author&gt;&lt;author&gt;AM Fiore&lt;/author&gt;&lt;author&gt;LW Horowitz&lt;/author&gt;&lt;/authors&gt;&lt;/contributors&gt;&lt;titles&gt;&lt;title&gt;Scenarios of methane emission reductions to 2030: Abatement costs and co-benefits to ozone air quality and human mortality&lt;/title&gt;&lt;secondary-title&gt;Climatic Change&lt;/secondary-title&gt;&lt;/titles&gt;&lt;periodical&gt;&lt;full-title&gt;Climatic Change&lt;/full-title&gt;&lt;/periodical&gt;&lt;pages&gt;441-61&lt;/pages&gt;&lt;volume&gt;114&lt;/volume&gt;&lt;dates&gt;&lt;year&gt;2012&lt;/year&gt;&lt;/dates&gt;&lt;urls&gt;&lt;/urls&gt;&lt;/record&gt;&lt;/Cite&gt;&lt;/EndNote&gt;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228</w:t>
      </w:r>
      <w:r w:rsidR="00E13392">
        <w:rPr>
          <w:rFonts w:ascii="Calibri" w:hAnsi="Calibri" w:cs="Times New Roman"/>
          <w:sz w:val="22"/>
          <w:szCs w:val="22"/>
          <w:lang w:val="en-GB"/>
        </w:rPr>
        <w:fldChar w:fldCharType="end"/>
      </w:r>
      <w:r w:rsidRPr="0061532A">
        <w:rPr>
          <w:rFonts w:ascii="Calibri" w:hAnsi="Calibri" w:cs="Times New Roman"/>
          <w:sz w:val="22"/>
          <w:szCs w:val="22"/>
          <w:lang w:val="en-GB"/>
        </w:rPr>
        <w:t xml:space="preserve"> For example, in the UK, retrofits aimed at improving energy performance of English dwellings has the potential to offer substantial health benefit over the long</w:t>
      </w:r>
      <w:r>
        <w:rPr>
          <w:rFonts w:ascii="Calibri" w:hAnsi="Calibri" w:cs="Times New Roman"/>
          <w:sz w:val="22"/>
          <w:szCs w:val="22"/>
          <w:lang w:val="en-GB"/>
        </w:rPr>
        <w:t>-</w:t>
      </w:r>
      <w:r w:rsidRPr="0061532A">
        <w:rPr>
          <w:rFonts w:ascii="Calibri" w:hAnsi="Calibri" w:cs="Times New Roman"/>
          <w:sz w:val="22"/>
          <w:szCs w:val="22"/>
          <w:lang w:val="en-GB"/>
        </w:rPr>
        <w:t xml:space="preserve">term, providing ventilation to control indoor pollutants </w:t>
      </w:r>
      <w:r>
        <w:rPr>
          <w:rFonts w:ascii="Calibri" w:hAnsi="Calibri" w:cs="Times New Roman"/>
          <w:sz w:val="22"/>
          <w:szCs w:val="22"/>
          <w:lang w:val="en-GB"/>
        </w:rPr>
        <w:t>is</w:t>
      </w:r>
      <w:r w:rsidRPr="0061532A">
        <w:rPr>
          <w:rFonts w:ascii="Calibri" w:hAnsi="Calibri" w:cs="Times New Roman"/>
          <w:sz w:val="22"/>
          <w:szCs w:val="22"/>
          <w:lang w:val="en-GB"/>
        </w:rPr>
        <w:t xml:space="preserve"> installed (see </w:t>
      </w:r>
      <w:r w:rsidR="004B3151">
        <w:rPr>
          <w:rFonts w:ascii="Calibri" w:hAnsi="Calibri" w:cs="Times New Roman"/>
          <w:sz w:val="22"/>
          <w:szCs w:val="22"/>
          <w:lang w:val="en-GB"/>
        </w:rPr>
        <w:t xml:space="preserve">Appendix </w:t>
      </w:r>
      <w:r w:rsidR="004B20AD">
        <w:rPr>
          <w:rFonts w:ascii="Calibri" w:hAnsi="Calibri" w:cs="Times New Roman"/>
          <w:sz w:val="22"/>
          <w:szCs w:val="22"/>
          <w:lang w:val="en-GB"/>
        </w:rPr>
        <w:t>2</w:t>
      </w:r>
      <w:r w:rsidRPr="0061532A">
        <w:rPr>
          <w:rFonts w:ascii="Calibri" w:hAnsi="Calibri" w:cs="Times New Roman"/>
          <w:sz w:val="22"/>
          <w:szCs w:val="22"/>
          <w:lang w:val="en-GB"/>
        </w:rPr>
        <w:t xml:space="preserve">).  </w:t>
      </w:r>
    </w:p>
    <w:p w:rsidR="00F27BD7" w:rsidRPr="0061532A" w:rsidRDefault="00F27BD7" w:rsidP="0061532A">
      <w:pPr>
        <w:jc w:val="both"/>
        <w:rPr>
          <w:rFonts w:ascii="Calibri" w:hAnsi="Calibri" w:cs="Times New Roman"/>
          <w:sz w:val="22"/>
          <w:szCs w:val="22"/>
          <w:lang w:val="en-GB"/>
        </w:rPr>
      </w:pPr>
    </w:p>
    <w:p w:rsidR="00F27BD7" w:rsidRPr="00944110" w:rsidRDefault="00F27BD7" w:rsidP="004349AE">
      <w:pPr>
        <w:pStyle w:val="Heading2"/>
        <w:rPr>
          <w:lang w:val="en-GB"/>
        </w:rPr>
      </w:pPr>
      <w:bookmarkStart w:id="104" w:name="_Toc402956390"/>
      <w:bookmarkStart w:id="105" w:name="_Toc415931397"/>
      <w:bookmarkStart w:id="106" w:name="_Toc417502062"/>
      <w:r w:rsidRPr="000965A5">
        <w:rPr>
          <w:lang w:val="en-GB"/>
        </w:rPr>
        <w:t xml:space="preserve">Pathways to (GHG </w:t>
      </w:r>
      <w:r w:rsidR="00155D15">
        <w:rPr>
          <w:lang w:val="en-GB"/>
        </w:rPr>
        <w:t>E</w:t>
      </w:r>
      <w:r w:rsidR="00155D15" w:rsidRPr="000965A5">
        <w:rPr>
          <w:lang w:val="en-GB"/>
        </w:rPr>
        <w:t xml:space="preserve">missions </w:t>
      </w:r>
      <w:r w:rsidR="00155D15">
        <w:rPr>
          <w:lang w:val="en-GB"/>
        </w:rPr>
        <w:t>R</w:t>
      </w:r>
      <w:r w:rsidR="00155D15" w:rsidRPr="000965A5">
        <w:rPr>
          <w:lang w:val="en-GB"/>
        </w:rPr>
        <w:t>eduction</w:t>
      </w:r>
      <w:r w:rsidRPr="000965A5">
        <w:rPr>
          <w:lang w:val="en-GB"/>
        </w:rPr>
        <w:t xml:space="preserve">) </w:t>
      </w:r>
      <w:bookmarkEnd w:id="104"/>
      <w:r w:rsidR="00155D15">
        <w:rPr>
          <w:lang w:val="en-GB"/>
        </w:rPr>
        <w:t>P</w:t>
      </w:r>
      <w:r w:rsidR="00155D15" w:rsidRPr="000965A5">
        <w:rPr>
          <w:lang w:val="en-GB"/>
        </w:rPr>
        <w:t>athways</w:t>
      </w:r>
      <w:bookmarkEnd w:id="105"/>
      <w:bookmarkEnd w:id="106"/>
    </w:p>
    <w:p w:rsidR="00051058" w:rsidRPr="005F5BC6" w:rsidRDefault="00051058" w:rsidP="00051058">
      <w:pPr>
        <w:jc w:val="both"/>
        <w:rPr>
          <w:rFonts w:ascii="Calibri" w:hAnsi="Calibri" w:cs="Times New Roman"/>
          <w:sz w:val="22"/>
          <w:lang w:val="en-GB"/>
        </w:rPr>
      </w:pPr>
      <w:r w:rsidRPr="00C636DF">
        <w:rPr>
          <w:rFonts w:ascii="Calibri" w:hAnsi="Calibri" w:cs="Times New Roman"/>
          <w:sz w:val="22"/>
          <w:lang w:val="en-GB"/>
        </w:rPr>
        <w:t>Over the last two centuries</w:t>
      </w:r>
      <w:r>
        <w:rPr>
          <w:rFonts w:ascii="Calibri" w:hAnsi="Calibri" w:cs="Times New Roman"/>
          <w:sz w:val="22"/>
          <w:lang w:val="en-GB"/>
        </w:rPr>
        <w:t>, the prevailing pattern of national development, has involved dramatic increases in productive capacity, supporting transformations in nutrition and housing, underpinned by development of fossil-fired energy supply, conversion and distribution systems. Three overlapping</w:t>
      </w:r>
      <w:r w:rsidRPr="007B795B">
        <w:rPr>
          <w:rFonts w:ascii="Calibri" w:hAnsi="Calibri" w:cs="Times New Roman"/>
          <w:sz w:val="22"/>
          <w:lang w:val="en-GB"/>
        </w:rPr>
        <w:t xml:space="preserve"> stages</w:t>
      </w:r>
      <w:r>
        <w:rPr>
          <w:rFonts w:ascii="Calibri" w:hAnsi="Calibri" w:cs="Times New Roman"/>
          <w:sz w:val="22"/>
          <w:lang w:val="en-GB"/>
        </w:rPr>
        <w:t xml:space="preserve"> of development can be identified:</w:t>
      </w:r>
      <w:r w:rsidRPr="007B795B">
        <w:rPr>
          <w:rFonts w:ascii="Calibri" w:hAnsi="Calibri" w:cs="Times New Roman"/>
          <w:sz w:val="22"/>
          <w:lang w:val="en-GB"/>
        </w:rPr>
        <w:t xml:space="preserve"> </w:t>
      </w:r>
      <w:r w:rsidRPr="005F5BC6">
        <w:rPr>
          <w:rFonts w:ascii="Calibri" w:hAnsi="Calibri" w:cs="Times New Roman"/>
          <w:b/>
          <w:sz w:val="22"/>
          <w:lang w:val="en-GB"/>
        </w:rPr>
        <w:t xml:space="preserve">Stage 1: </w:t>
      </w:r>
      <w:r>
        <w:rPr>
          <w:rFonts w:ascii="Calibri" w:hAnsi="Calibri" w:cs="Times New Roman"/>
          <w:b/>
          <w:sz w:val="22"/>
          <w:lang w:val="en-GB"/>
        </w:rPr>
        <w:t>typically low technology, relatively inefficient and with little regard for damage due to pollution and other externalities</w:t>
      </w:r>
      <w:r w:rsidRPr="005F5BC6">
        <w:rPr>
          <w:rFonts w:ascii="Calibri" w:hAnsi="Calibri" w:cs="Times New Roman"/>
          <w:b/>
          <w:sz w:val="22"/>
          <w:lang w:val="en-GB"/>
        </w:rPr>
        <w:t xml:space="preserve">. Stage 2: </w:t>
      </w:r>
      <w:r>
        <w:rPr>
          <w:rFonts w:ascii="Calibri" w:hAnsi="Calibri" w:cs="Times New Roman"/>
          <w:b/>
          <w:sz w:val="22"/>
          <w:lang w:val="en-GB"/>
        </w:rPr>
        <w:t>L</w:t>
      </w:r>
      <w:r w:rsidRPr="005F5BC6">
        <w:rPr>
          <w:rFonts w:ascii="Calibri" w:hAnsi="Calibri" w:cs="Times New Roman"/>
          <w:b/>
          <w:sz w:val="22"/>
          <w:lang w:val="en-GB"/>
        </w:rPr>
        <w:t>ocally clean</w:t>
      </w:r>
      <w:r w:rsidRPr="005F5BC6">
        <w:rPr>
          <w:rFonts w:ascii="Calibri" w:hAnsi="Calibri" w:cs="Times New Roman"/>
          <w:sz w:val="22"/>
          <w:lang w:val="en-GB"/>
        </w:rPr>
        <w:t>: As countries become wealthier</w:t>
      </w:r>
      <w:r>
        <w:rPr>
          <w:rFonts w:ascii="Calibri" w:hAnsi="Calibri" w:cs="Times New Roman"/>
          <w:sz w:val="22"/>
          <w:lang w:val="en-GB"/>
        </w:rPr>
        <w:t>,</w:t>
      </w:r>
      <w:r w:rsidRPr="005F5BC6">
        <w:rPr>
          <w:rFonts w:ascii="Calibri" w:hAnsi="Calibri" w:cs="Times New Roman"/>
          <w:sz w:val="22"/>
          <w:lang w:val="en-GB"/>
        </w:rPr>
        <w:t xml:space="preserve"> they can afford to invest in the longer term and deal with the local health problems associated with burning fossil fuels. </w:t>
      </w:r>
      <w:r w:rsidRPr="005F5BC6">
        <w:rPr>
          <w:rFonts w:ascii="Calibri" w:hAnsi="Calibri" w:cs="Times New Roman"/>
          <w:b/>
          <w:sz w:val="22"/>
          <w:lang w:val="en-GB"/>
        </w:rPr>
        <w:t xml:space="preserve">Stage 3: </w:t>
      </w:r>
      <w:r>
        <w:rPr>
          <w:rFonts w:ascii="Calibri" w:hAnsi="Calibri" w:cs="Times New Roman"/>
          <w:b/>
          <w:sz w:val="22"/>
          <w:lang w:val="en-GB"/>
        </w:rPr>
        <w:t>Regionally and g</w:t>
      </w:r>
      <w:r w:rsidRPr="005F5BC6">
        <w:rPr>
          <w:rFonts w:ascii="Calibri" w:hAnsi="Calibri" w:cs="Times New Roman"/>
          <w:b/>
          <w:sz w:val="22"/>
          <w:lang w:val="en-GB"/>
        </w:rPr>
        <w:t>lobally clean</w:t>
      </w:r>
      <w:r w:rsidRPr="005F5BC6">
        <w:rPr>
          <w:rFonts w:ascii="Calibri" w:hAnsi="Calibri" w:cs="Times New Roman"/>
          <w:sz w:val="22"/>
          <w:lang w:val="en-GB"/>
        </w:rPr>
        <w:t xml:space="preserve">: this involves the development of energy systems that </w:t>
      </w:r>
      <w:r>
        <w:rPr>
          <w:rFonts w:ascii="Calibri" w:hAnsi="Calibri" w:cs="Times New Roman"/>
          <w:sz w:val="22"/>
          <w:lang w:val="en-GB"/>
        </w:rPr>
        <w:t xml:space="preserve">address trans-boundary pollution problems including that of anthropogenic climate change; stage 3 is generally associated with </w:t>
      </w:r>
      <w:r w:rsidRPr="006B3566">
        <w:rPr>
          <w:rFonts w:ascii="Calibri" w:hAnsi="Calibri" w:cs="Times New Roman"/>
          <w:sz w:val="22"/>
          <w:szCs w:val="22"/>
          <w:lang w:val="en-GB"/>
        </w:rPr>
        <w:t xml:space="preserve">high GDP and </w:t>
      </w:r>
      <w:r>
        <w:rPr>
          <w:rFonts w:ascii="Calibri" w:hAnsi="Calibri" w:cs="Times New Roman"/>
          <w:sz w:val="22"/>
          <w:szCs w:val="22"/>
          <w:lang w:val="en-GB"/>
        </w:rPr>
        <w:t>indices of public health</w:t>
      </w:r>
      <w:r>
        <w:rPr>
          <w:rFonts w:ascii="Calibri" w:hAnsi="Calibri" w:cs="Times New Roman"/>
          <w:sz w:val="22"/>
          <w:lang w:val="en-GB"/>
        </w:rPr>
        <w:t>.</w:t>
      </w:r>
      <w:r w:rsidRPr="005F5BC6">
        <w:rPr>
          <w:rFonts w:ascii="Calibri" w:hAnsi="Calibri" w:cs="Times New Roman"/>
          <w:sz w:val="22"/>
          <w:lang w:val="en-GB"/>
        </w:rPr>
        <w:t xml:space="preserve"> </w:t>
      </w:r>
      <w:r w:rsidRPr="00051058">
        <w:rPr>
          <w:rFonts w:ascii="Calibri" w:hAnsi="Calibri" w:cs="Times New Roman"/>
          <w:sz w:val="22"/>
          <w:szCs w:val="22"/>
          <w:lang w:val="en-GB"/>
        </w:rPr>
        <w:t>Importantly, improvements in technology and efficiency have historically accompanied and assisted, but have not been primarily driven by the goal of pollution control. The patterns of development associated with Stages 1&amp;2 are complex and multi-dimensional, and Stage 3 is unlikely to be different. Stages 1&amp;2 have historically been associated with increasing income and health.</w:t>
      </w:r>
    </w:p>
    <w:p w:rsidR="00051058" w:rsidRPr="00944110" w:rsidRDefault="00051058" w:rsidP="00051058">
      <w:pPr>
        <w:rPr>
          <w:rFonts w:ascii="Calibri" w:hAnsi="Calibri"/>
          <w:lang w:val="en-GB"/>
        </w:rPr>
      </w:pPr>
    </w:p>
    <w:p w:rsidR="00051058" w:rsidRDefault="00051058" w:rsidP="00051058">
      <w:pPr>
        <w:jc w:val="both"/>
        <w:rPr>
          <w:rFonts w:ascii="Calibri" w:hAnsi="Calibri" w:cs="Times New Roman"/>
          <w:sz w:val="22"/>
          <w:lang w:val="en-GB"/>
        </w:rPr>
      </w:pPr>
      <w:r>
        <w:rPr>
          <w:rFonts w:ascii="Calibri" w:hAnsi="Calibri" w:cs="Times New Roman"/>
          <w:sz w:val="22"/>
          <w:lang w:val="en-GB"/>
        </w:rPr>
        <w:t>This pattern of development has resulted in emission</w:t>
      </w:r>
      <w:r w:rsidRPr="006B3566">
        <w:rPr>
          <w:rFonts w:ascii="Calibri" w:hAnsi="Calibri" w:cs="Times New Roman"/>
          <w:sz w:val="22"/>
          <w:lang w:val="en-GB"/>
        </w:rPr>
        <w:t xml:space="preserve"> </w:t>
      </w:r>
      <w:r>
        <w:rPr>
          <w:rFonts w:ascii="Calibri" w:hAnsi="Calibri" w:cs="Times New Roman"/>
          <w:sz w:val="22"/>
          <w:lang w:val="en-GB"/>
        </w:rPr>
        <w:t xml:space="preserve">of approximately </w:t>
      </w:r>
      <w:r w:rsidRPr="006B3566">
        <w:rPr>
          <w:rFonts w:ascii="Calibri" w:hAnsi="Calibri" w:cs="Times New Roman"/>
          <w:sz w:val="22"/>
          <w:lang w:val="en-GB"/>
        </w:rPr>
        <w:t>1600 GtCO</w:t>
      </w:r>
      <w:r w:rsidRPr="00FD2424">
        <w:rPr>
          <w:rFonts w:ascii="Calibri" w:hAnsi="Calibri" w:cs="Times New Roman"/>
          <w:sz w:val="22"/>
          <w:vertAlign w:val="subscript"/>
          <w:lang w:val="en-GB"/>
        </w:rPr>
        <w:t>2</w:t>
      </w:r>
      <w:r w:rsidRPr="006B3566">
        <w:rPr>
          <w:rFonts w:ascii="Calibri" w:hAnsi="Calibri" w:cs="Times New Roman"/>
          <w:sz w:val="22"/>
          <w:lang w:val="en-GB"/>
        </w:rPr>
        <w:t xml:space="preserve"> </w:t>
      </w:r>
      <w:r>
        <w:rPr>
          <w:rFonts w:ascii="Calibri" w:hAnsi="Calibri" w:cs="Times New Roman"/>
          <w:sz w:val="22"/>
          <w:lang w:val="en-GB"/>
        </w:rPr>
        <w:t xml:space="preserve">since 1870, with a consequent rise in global mean </w:t>
      </w:r>
      <w:r w:rsidRPr="006B3566">
        <w:rPr>
          <w:rFonts w:ascii="Calibri" w:hAnsi="Calibri" w:cs="Times New Roman"/>
          <w:sz w:val="22"/>
          <w:lang w:val="en-GB"/>
        </w:rPr>
        <w:t>temperature anomaly of +</w:t>
      </w:r>
      <w:r>
        <w:rPr>
          <w:rFonts w:ascii="Calibri" w:hAnsi="Calibri" w:cs="Times New Roman"/>
          <w:sz w:val="22"/>
          <w:lang w:val="en-GB"/>
        </w:rPr>
        <w:t>0.85</w:t>
      </w:r>
      <w:r w:rsidRPr="006B3566">
        <w:rPr>
          <w:rFonts w:ascii="Calibri" w:hAnsi="Calibri" w:cs="Times New Roman"/>
          <w:sz w:val="22"/>
          <w:lang w:val="en-GB"/>
        </w:rPr>
        <w:t xml:space="preserve"> °C </w:t>
      </w:r>
      <w:r>
        <w:rPr>
          <w:rFonts w:ascii="Calibri" w:hAnsi="Calibri" w:cs="Times New Roman"/>
          <w:sz w:val="22"/>
          <w:lang w:val="en-GB"/>
        </w:rPr>
        <w:t>(</w:t>
      </w:r>
      <w:r w:rsidRPr="006B3566">
        <w:rPr>
          <w:rFonts w:ascii="Calibri" w:hAnsi="Calibri" w:cs="Times New Roman"/>
          <w:sz w:val="22"/>
          <w:lang w:val="en-GB"/>
        </w:rPr>
        <w:t>1870</w:t>
      </w:r>
      <w:r>
        <w:rPr>
          <w:rFonts w:ascii="Calibri" w:hAnsi="Calibri" w:cs="Times New Roman"/>
          <w:sz w:val="22"/>
          <w:lang w:val="en-GB"/>
        </w:rPr>
        <w:t>-2010)</w:t>
      </w:r>
      <w:r w:rsidRPr="006B3566">
        <w:rPr>
          <w:rFonts w:ascii="Calibri" w:hAnsi="Calibri" w:cs="Times New Roman"/>
          <w:sz w:val="22"/>
          <w:lang w:val="en-GB"/>
        </w:rPr>
        <w:t xml:space="preserve">. To </w:t>
      </w:r>
      <w:r>
        <w:rPr>
          <w:rFonts w:ascii="Calibri" w:hAnsi="Calibri" w:cs="Times New Roman"/>
          <w:sz w:val="22"/>
          <w:lang w:val="en-GB"/>
        </w:rPr>
        <w:t xml:space="preserve">have a better than 66% probability of </w:t>
      </w:r>
      <w:r w:rsidRPr="006B3566">
        <w:rPr>
          <w:rFonts w:ascii="Calibri" w:hAnsi="Calibri" w:cs="Times New Roman"/>
          <w:sz w:val="22"/>
          <w:lang w:val="en-GB"/>
        </w:rPr>
        <w:t>keep</w:t>
      </w:r>
      <w:r>
        <w:rPr>
          <w:rFonts w:ascii="Calibri" w:hAnsi="Calibri" w:cs="Times New Roman"/>
          <w:sz w:val="22"/>
          <w:lang w:val="en-GB"/>
        </w:rPr>
        <w:t>ing</w:t>
      </w:r>
      <w:r w:rsidRPr="006B3566">
        <w:rPr>
          <w:rFonts w:ascii="Calibri" w:hAnsi="Calibri" w:cs="Times New Roman"/>
          <w:sz w:val="22"/>
          <w:lang w:val="en-GB"/>
        </w:rPr>
        <w:t xml:space="preserve"> the rise in global temperatures </w:t>
      </w:r>
      <w:r>
        <w:rPr>
          <w:rFonts w:ascii="Calibri" w:hAnsi="Calibri" w:cs="Times New Roman"/>
          <w:sz w:val="22"/>
          <w:lang w:val="en-GB"/>
        </w:rPr>
        <w:t>to</w:t>
      </w:r>
      <w:r w:rsidRPr="006B3566">
        <w:rPr>
          <w:rFonts w:ascii="Calibri" w:hAnsi="Calibri" w:cs="Times New Roman"/>
          <w:sz w:val="22"/>
          <w:lang w:val="en-GB"/>
        </w:rPr>
        <w:t xml:space="preserve"> </w:t>
      </w:r>
      <w:r w:rsidRPr="00051058">
        <w:rPr>
          <w:rFonts w:ascii="Calibri" w:hAnsi="Calibri" w:cs="Times New Roman"/>
          <w:sz w:val="22"/>
          <w:lang w:val="en-GB"/>
        </w:rPr>
        <w:t>below 2°C, cumulative greenhouse gas emissions from 2011 on would need to be limited to around 630-1180 Gt CO</w:t>
      </w:r>
      <w:r w:rsidRPr="00051058">
        <w:rPr>
          <w:rFonts w:ascii="Calibri" w:hAnsi="Calibri" w:cs="Times New Roman"/>
          <w:sz w:val="22"/>
          <w:vertAlign w:val="subscript"/>
          <w:lang w:val="en-GB"/>
        </w:rPr>
        <w:t>2,</w:t>
      </w:r>
      <w:r w:rsidRPr="00051058">
        <w:rPr>
          <w:rFonts w:ascii="Calibri" w:hAnsi="Calibri" w:cs="Times New Roman"/>
          <w:sz w:val="22"/>
          <w:lang w:val="en-GB"/>
        </w:rPr>
        <w:t>eq.</w:t>
      </w:r>
      <w:r w:rsidR="00E13392" w:rsidRPr="00051058">
        <w:rPr>
          <w:rFonts w:ascii="Calibri" w:hAnsi="Calibri" w:cs="Times New Roman"/>
          <w:sz w:val="22"/>
          <w:lang w:val="en-GB"/>
        </w:rPr>
        <w:fldChar w:fldCharType="begin">
          <w:fldData xml:space="preserve">PEVuZE5vdGU+PENpdGU+PEF1dGhvcj5JbnN0aXR1dGUgZm9yIFN1c3RhaW5hYmxlIERldmVsb3Bt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</w:fldData>
        </w:fldChar>
      </w:r>
      <w:r w:rsidR="009F6910">
        <w:rPr>
          <w:rFonts w:ascii="Calibri" w:hAnsi="Calibri" w:cs="Times New Roman"/>
          <w:sz w:val="22"/>
          <w:lang w:val="en-GB"/>
        </w:rPr>
        <w:instrText xml:space="preserve"> ADDIN EN.CITE </w:instrText>
      </w:r>
      <w:r w:rsidR="00E13392">
        <w:rPr>
          <w:rFonts w:ascii="Calibri" w:hAnsi="Calibri" w:cs="Times New Roman"/>
          <w:sz w:val="22"/>
          <w:lang w:val="en-GB"/>
        </w:rPr>
        <w:fldChar w:fldCharType="begin">
          <w:fldData xml:space="preserve">PEVuZE5vdGU+PENpdGU+PEF1dGhvcj5JbnN0aXR1dGUgZm9yIFN1c3RhaW5hYmxlIERldmVsb3Bt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</w:fldData>
        </w:fldChar>
      </w:r>
      <w:r w:rsidR="009F6910">
        <w:rPr>
          <w:rFonts w:ascii="Calibri" w:hAnsi="Calibri" w:cs="Times New Roman"/>
          <w:sz w:val="22"/>
          <w:lang w:val="en-GB"/>
        </w:rPr>
        <w:instrText xml:space="preserve"> ADDIN EN.CITE.DATA </w:instrText>
      </w:r>
      <w:r w:rsidR="00E13392">
        <w:rPr>
          <w:rFonts w:ascii="Calibri" w:hAnsi="Calibri" w:cs="Times New Roman"/>
          <w:sz w:val="22"/>
          <w:lang w:val="en-GB"/>
        </w:rPr>
      </w:r>
      <w:r w:rsidR="00E13392">
        <w:rPr>
          <w:rFonts w:ascii="Calibri" w:hAnsi="Calibri" w:cs="Times New Roman"/>
          <w:sz w:val="22"/>
          <w:lang w:val="en-GB"/>
        </w:rPr>
        <w:fldChar w:fldCharType="end"/>
      </w:r>
      <w:r w:rsidR="00E13392" w:rsidRPr="00051058">
        <w:rPr>
          <w:rFonts w:ascii="Calibri" w:hAnsi="Calibri" w:cs="Times New Roman"/>
          <w:sz w:val="22"/>
          <w:lang w:val="en-GB"/>
        </w:rPr>
      </w:r>
      <w:r w:rsidR="00E13392" w:rsidRPr="00051058">
        <w:rPr>
          <w:rFonts w:ascii="Calibri" w:hAnsi="Calibri" w:cs="Times New Roman"/>
          <w:sz w:val="22"/>
          <w:lang w:val="en-GB"/>
        </w:rPr>
        <w:fldChar w:fldCharType="separate"/>
      </w:r>
      <w:r w:rsidR="009F6910" w:rsidRPr="009F6910">
        <w:rPr>
          <w:rFonts w:ascii="Calibri" w:hAnsi="Calibri" w:cs="Times New Roman"/>
          <w:noProof/>
          <w:sz w:val="22"/>
          <w:vertAlign w:val="superscript"/>
          <w:lang w:val="en-GB"/>
        </w:rPr>
        <w:t>201,229,230</w:t>
      </w:r>
      <w:r w:rsidR="00E13392" w:rsidRPr="00051058">
        <w:rPr>
          <w:rFonts w:ascii="Calibri" w:hAnsi="Calibri" w:cs="Times New Roman"/>
          <w:sz w:val="22"/>
          <w:lang w:val="en-GB"/>
        </w:rPr>
        <w:fldChar w:fldCharType="end"/>
      </w:r>
      <w:r w:rsidRPr="00051058">
        <w:rPr>
          <w:rFonts w:ascii="Calibri" w:hAnsi="Calibri" w:cs="Times New Roman"/>
          <w:sz w:val="22"/>
          <w:lang w:val="en-GB"/>
        </w:rPr>
        <w:t xml:space="preserve"> At the current global emission rate, this budget would be used up in between 13 and 24 years.</w:t>
      </w:r>
      <w:r>
        <w:rPr>
          <w:rFonts w:ascii="Calibri" w:hAnsi="Calibri" w:cs="Times New Roman"/>
          <w:sz w:val="22"/>
          <w:lang w:val="en-GB"/>
        </w:rPr>
        <w:t xml:space="preserve"> </w:t>
      </w:r>
    </w:p>
    <w:p w:rsidR="00051058" w:rsidRDefault="00051058" w:rsidP="00051058">
      <w:pPr>
        <w:jc w:val="both"/>
        <w:rPr>
          <w:rFonts w:ascii="Calibri" w:hAnsi="Calibri" w:cs="Times New Roman"/>
          <w:sz w:val="22"/>
          <w:lang w:val="en-GB"/>
        </w:rPr>
      </w:pPr>
    </w:p>
    <w:p w:rsidR="00051058" w:rsidRPr="004008E1" w:rsidRDefault="00051058" w:rsidP="00051058">
      <w:pPr>
        <w:jc w:val="both"/>
        <w:rPr>
          <w:rFonts w:ascii="Calibri" w:hAnsi="Calibri" w:cs="Times New Roman"/>
          <w:sz w:val="22"/>
          <w:szCs w:val="22"/>
          <w:lang w:val="en-GB"/>
        </w:rPr>
      </w:pPr>
      <w:r>
        <w:rPr>
          <w:rFonts w:ascii="Calibri" w:hAnsi="Calibri" w:cs="Times New Roman"/>
          <w:sz w:val="22"/>
          <w:szCs w:val="22"/>
          <w:lang w:val="en-GB"/>
        </w:rPr>
        <w:t>T</w:t>
      </w:r>
      <w:r w:rsidRPr="006B3566">
        <w:rPr>
          <w:rFonts w:ascii="Calibri" w:hAnsi="Calibri" w:cs="Times New Roman"/>
          <w:sz w:val="22"/>
          <w:szCs w:val="22"/>
          <w:lang w:val="en-GB"/>
        </w:rPr>
        <w:t>he last 30 years of OECD data have shown that significant changes to global energy systems are</w:t>
      </w:r>
      <w:r>
        <w:rPr>
          <w:rFonts w:ascii="Calibri" w:hAnsi="Calibri" w:cs="Times New Roman"/>
          <w:sz w:val="22"/>
          <w:szCs w:val="22"/>
          <w:lang w:val="en-GB"/>
        </w:rPr>
        <w:t xml:space="preserve"> possible </w:t>
      </w:r>
      <w:r w:rsidRPr="006B3566">
        <w:rPr>
          <w:rFonts w:ascii="Calibri" w:hAnsi="Calibri" w:cs="Times New Roman"/>
          <w:sz w:val="22"/>
          <w:szCs w:val="22"/>
          <w:lang w:val="en-GB"/>
        </w:rPr>
        <w:t xml:space="preserve">. </w:t>
      </w:r>
      <w:r>
        <w:rPr>
          <w:rFonts w:ascii="Calibri" w:hAnsi="Calibri" w:cs="Times New Roman"/>
          <w:sz w:val="22"/>
          <w:szCs w:val="22"/>
          <w:lang w:val="en-GB"/>
        </w:rPr>
        <w:t>Indeed</w:t>
      </w:r>
      <w:r w:rsidRPr="006B3566">
        <w:rPr>
          <w:rFonts w:ascii="Calibri" w:hAnsi="Calibri" w:cs="Times New Roman"/>
          <w:sz w:val="22"/>
          <w:szCs w:val="22"/>
          <w:lang w:val="en-GB"/>
        </w:rPr>
        <w:t>, the whole of the 20</w:t>
      </w:r>
      <w:r w:rsidRPr="004349AE">
        <w:rPr>
          <w:rFonts w:ascii="Calibri" w:hAnsi="Calibri"/>
          <w:sz w:val="22"/>
          <w:vertAlign w:val="superscript"/>
          <w:lang w:val="en-GB"/>
        </w:rPr>
        <w:t>th</w:t>
      </w:r>
      <w:r w:rsidRPr="006B3566">
        <w:rPr>
          <w:rFonts w:ascii="Calibri" w:hAnsi="Calibri" w:cs="Times New Roman"/>
          <w:sz w:val="22"/>
          <w:szCs w:val="22"/>
          <w:lang w:val="en-GB"/>
        </w:rPr>
        <w:t xml:space="preserve"> Century has been characterised by </w:t>
      </w:r>
      <w:r>
        <w:rPr>
          <w:rFonts w:ascii="Calibri" w:hAnsi="Calibri" w:cs="Times New Roman"/>
          <w:sz w:val="22"/>
          <w:szCs w:val="22"/>
          <w:lang w:val="en-GB"/>
        </w:rPr>
        <w:t xml:space="preserve">a succession of transitions in energy </w:t>
      </w:r>
      <w:r w:rsidRPr="006B3566">
        <w:rPr>
          <w:rFonts w:ascii="Calibri" w:hAnsi="Calibri" w:cs="Times New Roman"/>
          <w:sz w:val="22"/>
          <w:szCs w:val="22"/>
          <w:lang w:val="en-GB"/>
        </w:rPr>
        <w:t>technologi</w:t>
      </w:r>
      <w:r>
        <w:rPr>
          <w:rFonts w:ascii="Calibri" w:hAnsi="Calibri" w:cs="Times New Roman"/>
          <w:sz w:val="22"/>
          <w:szCs w:val="22"/>
          <w:lang w:val="en-GB"/>
        </w:rPr>
        <w:t>es</w:t>
      </w:r>
      <w:r w:rsidRPr="006B3566">
        <w:rPr>
          <w:rFonts w:ascii="Calibri" w:hAnsi="Calibri" w:cs="Times New Roman"/>
          <w:sz w:val="22"/>
          <w:szCs w:val="22"/>
          <w:lang w:val="en-GB"/>
        </w:rPr>
        <w:t xml:space="preserve">. </w:t>
      </w:r>
      <w:r w:rsidRPr="005F5BC6">
        <w:rPr>
          <w:rFonts w:ascii="Calibri" w:hAnsi="Calibri" w:cs="Times New Roman"/>
          <w:sz w:val="22"/>
          <w:szCs w:val="22"/>
          <w:lang w:val="en-GB"/>
        </w:rPr>
        <w:t xml:space="preserve">However, </w:t>
      </w:r>
      <w:r>
        <w:rPr>
          <w:rFonts w:ascii="Calibri" w:hAnsi="Calibri" w:cs="Times New Roman"/>
          <w:sz w:val="22"/>
          <w:szCs w:val="22"/>
          <w:lang w:val="en-GB"/>
        </w:rPr>
        <w:t xml:space="preserve">this process has not been inevitable and decisions on energy systems have been aligned with </w:t>
      </w:r>
      <w:r w:rsidRPr="005F5BC6">
        <w:rPr>
          <w:rFonts w:ascii="Calibri" w:hAnsi="Calibri" w:cs="Times New Roman"/>
          <w:sz w:val="22"/>
          <w:szCs w:val="22"/>
          <w:lang w:val="en-GB"/>
        </w:rPr>
        <w:t>other national objectives, e.g. enhanced security of supply</w:t>
      </w:r>
      <w:r>
        <w:rPr>
          <w:rFonts w:ascii="Calibri" w:hAnsi="Calibri" w:cs="Times New Roman"/>
          <w:sz w:val="22"/>
          <w:szCs w:val="22"/>
          <w:lang w:val="en-GB"/>
        </w:rPr>
        <w:t xml:space="preserve"> or</w:t>
      </w:r>
      <w:r w:rsidRPr="005F5BC6">
        <w:rPr>
          <w:rFonts w:ascii="Calibri" w:hAnsi="Calibri" w:cs="Times New Roman"/>
          <w:sz w:val="22"/>
          <w:szCs w:val="22"/>
          <w:lang w:val="en-GB"/>
        </w:rPr>
        <w:t xml:space="preserve"> reduced air pollution. This </w:t>
      </w:r>
      <w:r>
        <w:rPr>
          <w:rFonts w:ascii="Calibri" w:hAnsi="Calibri" w:cs="Times New Roman"/>
          <w:sz w:val="22"/>
          <w:szCs w:val="22"/>
          <w:lang w:val="en-GB"/>
        </w:rPr>
        <w:t>suggest</w:t>
      </w:r>
      <w:r w:rsidRPr="005F5BC6">
        <w:rPr>
          <w:rFonts w:ascii="Calibri" w:hAnsi="Calibri" w:cs="Times New Roman"/>
          <w:sz w:val="22"/>
          <w:szCs w:val="22"/>
          <w:lang w:val="en-GB"/>
        </w:rPr>
        <w:t>s that the transition to low carbon energy</w:t>
      </w:r>
      <w:r>
        <w:rPr>
          <w:rFonts w:ascii="Calibri" w:hAnsi="Calibri" w:cs="Times New Roman"/>
          <w:sz w:val="22"/>
          <w:szCs w:val="22"/>
          <w:lang w:val="en-GB"/>
        </w:rPr>
        <w:t xml:space="preserve">, it will need </w:t>
      </w:r>
      <w:r w:rsidRPr="004008E1">
        <w:rPr>
          <w:rFonts w:ascii="Calibri" w:hAnsi="Calibri" w:cs="Times New Roman"/>
          <w:sz w:val="22"/>
          <w:szCs w:val="22"/>
          <w:lang w:val="en-GB"/>
        </w:rPr>
        <w:t>to be predicated on achieving multiple objectives, including climate change, health, equity and economic prosperity.</w:t>
      </w:r>
    </w:p>
    <w:p w:rsidR="00051058" w:rsidRPr="00B50254" w:rsidRDefault="00051058" w:rsidP="00051058">
      <w:pPr>
        <w:jc w:val="both"/>
        <w:rPr>
          <w:rFonts w:ascii="Calibri" w:hAnsi="Calibri" w:cs="Times New Roman"/>
          <w:sz w:val="22"/>
          <w:lang w:val="en-GB"/>
        </w:rPr>
      </w:pPr>
    </w:p>
    <w:p w:rsidR="00051058" w:rsidRDefault="00051058" w:rsidP="00051058">
      <w:pPr>
        <w:jc w:val="both"/>
        <w:rPr>
          <w:rFonts w:ascii="Calibri" w:hAnsi="Calibri" w:cs="Times New Roman"/>
          <w:sz w:val="22"/>
          <w:lang w:val="en-GB"/>
        </w:rPr>
      </w:pPr>
      <w:r w:rsidRPr="004008E1">
        <w:rPr>
          <w:rFonts w:ascii="Calibri" w:hAnsi="Calibri" w:cs="Times New Roman"/>
          <w:sz w:val="22"/>
          <w:lang w:val="en-GB"/>
        </w:rPr>
        <w:t>Many trajectories are in principle possible, that are consistent with such a budget (</w:t>
      </w:r>
      <w:r w:rsidRPr="004349AE">
        <w:rPr>
          <w:rFonts w:ascii="Calibri" w:hAnsi="Calibri" w:cs="Times New Roman"/>
          <w:sz w:val="22"/>
          <w:lang w:val="en-GB"/>
        </w:rPr>
        <w:t>Box 4.</w:t>
      </w:r>
      <w:r w:rsidR="00844FA8">
        <w:rPr>
          <w:rFonts w:ascii="Calibri" w:hAnsi="Calibri" w:cs="Times New Roman"/>
          <w:sz w:val="22"/>
          <w:lang w:val="en-GB"/>
        </w:rPr>
        <w:t>1</w:t>
      </w:r>
      <w:r w:rsidRPr="004008E1">
        <w:rPr>
          <w:rFonts w:ascii="Calibri" w:hAnsi="Calibri" w:cs="Times New Roman"/>
          <w:sz w:val="22"/>
          <w:lang w:val="en-GB"/>
        </w:rPr>
        <w:t xml:space="preserve"> below illustrates those of the UK and China). Such trajectories necessarily involve emissions in the second half of the century in the region of 90% lower than emissions between 2011-2050.</w:t>
      </w:r>
      <w:r w:rsidR="00E13392" w:rsidRPr="004008E1">
        <w:rPr>
          <w:rFonts w:ascii="Calibri" w:hAnsi="Calibri" w:cs="Times New Roman"/>
          <w:sz w:val="22"/>
          <w:lang w:val="en-GB"/>
        </w:rPr>
        <w:fldChar w:fldCharType="begin"/>
      </w:r>
      <w:r w:rsidR="009F6910">
        <w:rPr>
          <w:rFonts w:ascii="Calibri" w:hAnsi="Calibri" w:cs="Times New Roman"/>
          <w:sz w:val="22"/>
          <w:lang w:val="en-GB"/>
        </w:rPr>
        <w:instrText xml:space="preserve"> ADDIN EN.CITE &lt;EndNote&gt;&lt;Cite&gt;&lt;Author&gt;Krey&lt;/Author&gt;&lt;Year&gt;2014&lt;/Year&gt;&lt;RecNum&gt;1445&lt;/RecNum&gt;&lt;DisplayText&gt;&lt;style face="superscript"&gt;231&lt;/style&gt;&lt;/DisplayText&gt;&lt;record&gt;&lt;rec-number&gt;1445&lt;/rec-number&gt;&lt;foreign-keys&gt;&lt;key app="EN" db-id="wtftd20rmszxx0ettxy5exwdf90wv22s2dsf" timestamp="1419301828"&gt;1445&lt;/key&gt;&lt;/foreign-keys&gt;&lt;ref-type name="Book Section"&gt;5&lt;/ref-type&gt;&lt;contributors&gt;&lt;authors&gt;&lt;author&gt;VO Krey&lt;/author&gt;&lt;author&gt;G Masera&lt;/author&gt;&lt;author&gt;T Blanford&lt;/author&gt;&lt;author&gt;R Bruckner&lt;/author&gt;&lt;author&gt;R Cooke&lt;/author&gt;&lt;author&gt;K Fisher-Vanden&lt;/author&gt;&lt;author&gt;H Haberl&lt;/author&gt;&lt;author&gt;E Hertwich&lt;/author&gt;&lt;author&gt;E Kriegler&lt;/author&gt;&lt;author&gt;D Mueller&lt;/author&gt;&lt;author&gt;S Paltsev&lt;/author&gt;&lt;author&gt;L Price&lt;/author&gt;&lt;author&gt;S Schlömer&lt;/author&gt;&lt;author&gt;D Ürge-Vorsatz&lt;/author&gt;&lt;author&gt;DP van Vuuren&lt;/author&gt;&lt;author&gt;T Zwickel&lt;/author&gt;&lt;/authors&gt;&lt;secondary-authors&gt;&lt;author&gt;O Edenhofer&lt;/author&gt;&lt;author&gt;R Pichs-Madruga&lt;/author&gt;&lt;author&gt;Y Sokona&lt;/author&gt;&lt;author&gt;E Farahani&lt;/author&gt;&lt;author&gt;S Kadner&lt;/author&gt;&lt;author&gt;K Seyboth&lt;/author&gt;&lt;author&gt;A Adler&lt;/author&gt;&lt;author&gt;I Baum&lt;/author&gt;&lt;author&gt;S Brunner&lt;/author&gt;&lt;author&gt;P Eickemeier&lt;/author&gt;&lt;author&gt;B Kriemann&lt;/author&gt;&lt;author&gt;J Savolainen&lt;/author&gt;&lt;author&gt;S Schlömer&lt;/author&gt;&lt;author&gt;C von Stechow&lt;/author&gt;&lt;author&gt;T Zwickel&lt;/author&gt;&lt;author&gt;JC Minx&lt;/author&gt;&lt;/secondary-authors&gt;&lt;/contributors&gt;&lt;titles&gt;&lt;title&gt;Annex II: Metrics &amp;amp; Methodology&lt;/title&gt;&lt;secondary-title&gt;Climate Change 2014: Mitigation of Climate Change. Contribution of Working Group III to the Fifth Assessment Report of the Intergovernmental Panel on Climate Change&lt;/secondary-title&gt;&lt;/titles&gt;&lt;dates&gt;&lt;year&gt;2014&lt;/year&gt;&lt;/dates&gt;&lt;pub-location&gt;Cambridge, United Kingdom and New York, NY, USA&lt;/pub-location&gt;&lt;publisher&gt;Cambridge University Press&lt;/publisher&gt;&lt;urls&gt;&lt;/urls&gt;&lt;/record&gt;&lt;/Cite&gt;&lt;/EndNote&gt;</w:instrText>
      </w:r>
      <w:r w:rsidR="00E13392" w:rsidRPr="004008E1">
        <w:rPr>
          <w:rFonts w:ascii="Calibri" w:hAnsi="Calibri" w:cs="Times New Roman"/>
          <w:sz w:val="22"/>
          <w:lang w:val="en-GB"/>
        </w:rPr>
        <w:fldChar w:fldCharType="separate"/>
      </w:r>
      <w:r w:rsidR="009F6910" w:rsidRPr="009F6910">
        <w:rPr>
          <w:rFonts w:ascii="Calibri" w:hAnsi="Calibri" w:cs="Times New Roman"/>
          <w:noProof/>
          <w:sz w:val="22"/>
          <w:vertAlign w:val="superscript"/>
          <w:lang w:val="en-GB"/>
        </w:rPr>
        <w:t>231</w:t>
      </w:r>
      <w:r w:rsidR="00E13392" w:rsidRPr="004008E1">
        <w:rPr>
          <w:rFonts w:ascii="Calibri" w:hAnsi="Calibri" w:cs="Times New Roman"/>
          <w:sz w:val="22"/>
          <w:lang w:val="en-GB"/>
        </w:rPr>
        <w:fldChar w:fldCharType="end"/>
      </w:r>
      <w:r w:rsidRPr="004008E1">
        <w:rPr>
          <w:rFonts w:ascii="Calibri" w:hAnsi="Calibri" w:cs="Times New Roman"/>
          <w:sz w:val="22"/>
          <w:lang w:val="en-GB"/>
        </w:rPr>
        <w:t xml:space="preserve"> All would require an unprecedented global commitment to change, and none appears easy. To stabilise CO</w:t>
      </w:r>
      <w:r w:rsidRPr="004008E1">
        <w:rPr>
          <w:rFonts w:ascii="Calibri" w:hAnsi="Calibri" w:cs="Times New Roman"/>
          <w:sz w:val="22"/>
          <w:vertAlign w:val="subscript"/>
          <w:lang w:val="en-GB"/>
        </w:rPr>
        <w:t>2</w:t>
      </w:r>
      <w:r w:rsidRPr="00B50254">
        <w:rPr>
          <w:rFonts w:ascii="Calibri" w:hAnsi="Calibri" w:cs="Times New Roman"/>
          <w:sz w:val="22"/>
          <w:lang w:val="en-GB"/>
        </w:rPr>
        <w:t>e</w:t>
      </w:r>
      <w:r w:rsidRPr="00953701">
        <w:rPr>
          <w:rFonts w:ascii="Calibri" w:hAnsi="Calibri" w:cs="Times New Roman"/>
          <w:sz w:val="22"/>
          <w:lang w:val="en-GB"/>
        </w:rPr>
        <w:t xml:space="preserve"> concentrations </w:t>
      </w:r>
      <w:r>
        <w:rPr>
          <w:rFonts w:ascii="Calibri" w:hAnsi="Calibri" w:cs="Times New Roman"/>
          <w:sz w:val="22"/>
          <w:lang w:val="en-GB"/>
        </w:rPr>
        <w:t>in the range</w:t>
      </w:r>
      <w:r w:rsidRPr="00953701">
        <w:rPr>
          <w:rFonts w:ascii="Calibri" w:hAnsi="Calibri" w:cs="Times New Roman"/>
          <w:sz w:val="22"/>
          <w:lang w:val="en-GB"/>
        </w:rPr>
        <w:t xml:space="preserve"> 450</w:t>
      </w:r>
      <w:r>
        <w:rPr>
          <w:rFonts w:ascii="Calibri" w:hAnsi="Calibri" w:cs="Times New Roman"/>
          <w:sz w:val="22"/>
          <w:lang w:val="en-GB"/>
        </w:rPr>
        <w:t>-</w:t>
      </w:r>
      <w:r w:rsidRPr="00953701">
        <w:rPr>
          <w:rFonts w:ascii="Calibri" w:hAnsi="Calibri" w:cs="Times New Roman"/>
          <w:sz w:val="22"/>
          <w:lang w:val="en-GB"/>
        </w:rPr>
        <w:t>650 ppm</w:t>
      </w:r>
      <w:r>
        <w:rPr>
          <w:rFonts w:ascii="Calibri" w:hAnsi="Calibri" w:cs="Times New Roman"/>
          <w:sz w:val="22"/>
          <w:lang w:val="en-GB"/>
        </w:rPr>
        <w:t xml:space="preserve"> (consistent with 2-4</w:t>
      </w:r>
      <w:r>
        <w:rPr>
          <w:rFonts w:ascii="Calibri" w:hAnsi="Calibri" w:cs="Times New Roman"/>
          <w:sz w:val="22"/>
          <w:lang w:val="en-GB"/>
        </w:rPr>
        <w:sym w:font="Symbol" w:char="F0B0"/>
      </w:r>
      <w:r>
        <w:rPr>
          <w:rFonts w:ascii="Calibri" w:hAnsi="Calibri" w:cs="Times New Roman"/>
          <w:sz w:val="22"/>
          <w:lang w:val="en-GB"/>
        </w:rPr>
        <w:t>C of warming)</w:t>
      </w:r>
      <w:r w:rsidRPr="00953701">
        <w:rPr>
          <w:rFonts w:ascii="Calibri" w:hAnsi="Calibri" w:cs="Times New Roman"/>
          <w:sz w:val="22"/>
          <w:lang w:val="en-GB"/>
        </w:rPr>
        <w:t xml:space="preserve"> will</w:t>
      </w:r>
      <w:r>
        <w:rPr>
          <w:rFonts w:ascii="Calibri" w:hAnsi="Calibri" w:cs="Times New Roman"/>
          <w:sz w:val="22"/>
          <w:lang w:val="en-GB"/>
        </w:rPr>
        <w:t xml:space="preserve"> require</w:t>
      </w:r>
      <w:r w:rsidRPr="00953701">
        <w:rPr>
          <w:rFonts w:ascii="Calibri" w:hAnsi="Calibri" w:cs="Times New Roman"/>
          <w:sz w:val="22"/>
          <w:lang w:val="en-GB"/>
        </w:rPr>
        <w:t xml:space="preserve"> </w:t>
      </w:r>
      <w:r>
        <w:rPr>
          <w:rFonts w:ascii="Calibri" w:hAnsi="Calibri" w:cs="Times New Roman"/>
          <w:sz w:val="22"/>
          <w:lang w:val="en-GB"/>
        </w:rPr>
        <w:t xml:space="preserve">the global emission rate to fall by </w:t>
      </w:r>
      <w:r w:rsidRPr="00953701">
        <w:rPr>
          <w:rFonts w:ascii="Calibri" w:hAnsi="Calibri" w:cs="Times New Roman"/>
          <w:sz w:val="22"/>
          <w:lang w:val="en-GB"/>
        </w:rPr>
        <w:t>between 3-</w:t>
      </w:r>
      <w:r>
        <w:rPr>
          <w:rFonts w:ascii="Calibri" w:hAnsi="Calibri" w:cs="Times New Roman"/>
          <w:sz w:val="22"/>
          <w:lang w:val="en-GB"/>
        </w:rPr>
        <w:t>6% per year, a rate that so far</w:t>
      </w:r>
      <w:r w:rsidRPr="00953701">
        <w:rPr>
          <w:rFonts w:ascii="Calibri" w:hAnsi="Calibri" w:cs="Times New Roman"/>
          <w:sz w:val="22"/>
          <w:lang w:val="en-GB"/>
        </w:rPr>
        <w:t xml:space="preserve"> has only been associated with major social upheaval and economic crisis.</w:t>
      </w:r>
      <w:r w:rsidR="00E13392" w:rsidRPr="00953701">
        <w:rPr>
          <w:rFonts w:ascii="Calibri" w:hAnsi="Calibri" w:cs="Times New Roman"/>
          <w:sz w:val="22"/>
          <w:lang w:val="en-GB"/>
        </w:rPr>
        <w:fldChar w:fldCharType="begin"/>
      </w:r>
      <w:r w:rsidR="00CC5E3E">
        <w:rPr>
          <w:rFonts w:ascii="Calibri" w:hAnsi="Calibri" w:cs="Times New Roman"/>
          <w:sz w:val="22"/>
          <w:lang w:val="en-GB"/>
        </w:rPr>
        <w:instrText xml:space="preserve"> ADDIN EN.CITE &lt;EndNote&gt;&lt;Cite&gt;&lt;Author&gt;Anderson&lt;/Author&gt;&lt;Year&gt;2011&lt;/Year&gt;&lt;RecNum&gt;1397&lt;/RecNum&gt;&lt;DisplayText&gt;&lt;style face="superscript"&gt;22&lt;/style&gt;&lt;/DisplayText&gt;&lt;record&gt;&lt;rec-number&gt;1397&lt;/rec-number&gt;&lt;foreign-keys&gt;&lt;key app="EN" db-id="wtftd20rmszxx0ettxy5exwdf90wv22s2dsf" timestamp="1419266032"&gt;1397&lt;/key&gt;&lt;/foreign-keys&gt;&lt;ref-type name="Journal Article"&gt;17&lt;/ref-type&gt;&lt;contributors&gt;&lt;authors&gt;&lt;author&gt;K Anderson&lt;/author&gt;&lt;author&gt;A Bows&lt;/author&gt;&lt;/authors&gt;&lt;/contributors&gt;&lt;titles&gt;&lt;title&gt;Beyond &amp;apos;dangerous&amp;apos; climate change: emission scenarios for a new world&lt;/title&gt;&lt;secondary-title&gt;Philos Trans A Math Phys Eng Sci&lt;/secondary-title&gt;&lt;/titles&gt;&lt;periodical&gt;&lt;full-title&gt;Philos Trans A Math Phys Eng Sci&lt;/full-title&gt;&lt;/periodical&gt;&lt;pages&gt;20-44&lt;/pages&gt;&lt;volume&gt;369&lt;/volume&gt;&lt;number&gt;1934&lt;/number&gt;&lt;dates&gt;&lt;year&gt;2011&lt;/year&gt;&lt;/dates&gt;&lt;urls&gt;&lt;/urls&gt;&lt;/record&gt;&lt;/Cite&gt;&lt;/EndNote&gt;</w:instrText>
      </w:r>
      <w:r w:rsidR="00E13392" w:rsidRPr="00953701">
        <w:rPr>
          <w:rFonts w:ascii="Calibri" w:hAnsi="Calibri" w:cs="Times New Roman"/>
          <w:sz w:val="22"/>
          <w:lang w:val="en-GB"/>
        </w:rPr>
        <w:fldChar w:fldCharType="separate"/>
      </w:r>
      <w:r w:rsidR="00CC5E3E" w:rsidRPr="00CC5E3E">
        <w:rPr>
          <w:rFonts w:ascii="Calibri" w:hAnsi="Calibri" w:cs="Times New Roman"/>
          <w:noProof/>
          <w:sz w:val="22"/>
          <w:vertAlign w:val="superscript"/>
          <w:lang w:val="en-GB"/>
        </w:rPr>
        <w:t>22</w:t>
      </w:r>
      <w:r w:rsidR="00E13392" w:rsidRPr="00953701">
        <w:rPr>
          <w:rFonts w:ascii="Calibri" w:hAnsi="Calibri" w:cs="Times New Roman"/>
          <w:sz w:val="22"/>
          <w:lang w:val="en-GB"/>
        </w:rPr>
        <w:fldChar w:fldCharType="end"/>
      </w:r>
      <w:r>
        <w:rPr>
          <w:rFonts w:ascii="Calibri" w:hAnsi="Calibri" w:cs="Times New Roman"/>
          <w:sz w:val="22"/>
          <w:lang w:val="en-GB"/>
        </w:rPr>
        <w:t xml:space="preserve">  Postponing deep cuts in emissions may allow for new policies and technologies, but at the cost of significant impacts (e.g. for land use and food production) in the second half of the century.</w:t>
      </w:r>
    </w:p>
    <w:p w:rsidR="00051058" w:rsidRPr="00B52CC1" w:rsidRDefault="00051058" w:rsidP="00051058">
      <w:pPr>
        <w:jc w:val="both"/>
        <w:rPr>
          <w:rFonts w:ascii="Calibri" w:hAnsi="Calibri" w:cs="Times New Roman"/>
          <w:sz w:val="22"/>
          <w:lang w:val="en-GB"/>
        </w:rPr>
      </w:pPr>
    </w:p>
    <w:p w:rsidR="00051058" w:rsidRPr="00D036C9" w:rsidRDefault="00051058" w:rsidP="00D036C9">
      <w:pPr>
        <w:pStyle w:val="Heading3"/>
        <w:rPr>
          <w:lang w:val="en-GB"/>
        </w:rPr>
      </w:pPr>
      <w:bookmarkStart w:id="107" w:name="_Toc415931398"/>
      <w:bookmarkStart w:id="108" w:name="_Toc417502063"/>
      <w:r w:rsidRPr="0021772B">
        <w:rPr>
          <w:lang w:val="en-GB"/>
        </w:rPr>
        <w:t>Te</w:t>
      </w:r>
      <w:r w:rsidRPr="000965A5">
        <w:rPr>
          <w:lang w:val="en-GB"/>
        </w:rPr>
        <w:t xml:space="preserve">chnical </w:t>
      </w:r>
      <w:r>
        <w:rPr>
          <w:lang w:val="en-GB"/>
        </w:rPr>
        <w:t>O</w:t>
      </w:r>
      <w:r w:rsidRPr="000965A5">
        <w:rPr>
          <w:lang w:val="en-GB"/>
        </w:rPr>
        <w:t xml:space="preserve">ptions </w:t>
      </w:r>
      <w:r>
        <w:rPr>
          <w:lang w:val="en-GB"/>
        </w:rPr>
        <w:t xml:space="preserve">and Pathways </w:t>
      </w:r>
      <w:r w:rsidRPr="000965A5">
        <w:rPr>
          <w:lang w:val="en-GB"/>
        </w:rPr>
        <w:t xml:space="preserve">to </w:t>
      </w:r>
      <w:r>
        <w:rPr>
          <w:lang w:val="en-GB"/>
        </w:rPr>
        <w:t>A</w:t>
      </w:r>
      <w:r w:rsidRPr="000965A5">
        <w:rPr>
          <w:lang w:val="en-GB"/>
        </w:rPr>
        <w:t xml:space="preserve">chieve a 2°C </w:t>
      </w:r>
      <w:r>
        <w:rPr>
          <w:lang w:val="en-GB"/>
        </w:rPr>
        <w:t>W</w:t>
      </w:r>
      <w:r w:rsidRPr="000965A5">
        <w:rPr>
          <w:lang w:val="en-GB"/>
        </w:rPr>
        <w:t xml:space="preserve">arming </w:t>
      </w:r>
      <w:r>
        <w:rPr>
          <w:lang w:val="en-GB"/>
        </w:rPr>
        <w:t>T</w:t>
      </w:r>
      <w:r w:rsidRPr="000965A5">
        <w:rPr>
          <w:lang w:val="en-GB"/>
        </w:rPr>
        <w:t>arget</w:t>
      </w:r>
      <w:bookmarkEnd w:id="107"/>
      <w:bookmarkEnd w:id="108"/>
    </w:p>
    <w:p w:rsidR="00051058" w:rsidRPr="005F5BC6" w:rsidRDefault="008373C6" w:rsidP="00051058">
      <w:pPr>
        <w:jc w:val="both"/>
        <w:rPr>
          <w:rFonts w:ascii="Calibri" w:hAnsi="Calibri" w:cs="Times New Roman"/>
          <w:sz w:val="22"/>
          <w:szCs w:val="22"/>
          <w:lang w:val="en-GB"/>
        </w:rPr>
      </w:pPr>
      <w:r>
        <w:rPr>
          <w:rFonts w:ascii="Calibri" w:hAnsi="Calibri" w:cs="Times New Roman"/>
          <w:sz w:val="22"/>
          <w:szCs w:val="22"/>
          <w:lang w:val="en-GB"/>
        </w:rPr>
        <w:t>Many</w:t>
      </w:r>
      <w:r w:rsidR="00051058" w:rsidRPr="00944110">
        <w:rPr>
          <w:rFonts w:ascii="Calibri" w:hAnsi="Calibri" w:cs="Times New Roman"/>
          <w:sz w:val="22"/>
          <w:szCs w:val="22"/>
          <w:lang w:val="en-GB"/>
        </w:rPr>
        <w:t xml:space="preserve"> technologies </w:t>
      </w:r>
      <w:r w:rsidR="00051058">
        <w:rPr>
          <w:rFonts w:ascii="Calibri" w:hAnsi="Calibri" w:cs="Times New Roman"/>
          <w:sz w:val="22"/>
          <w:szCs w:val="22"/>
          <w:lang w:val="en-GB"/>
        </w:rPr>
        <w:t xml:space="preserve">exist or have been proposed to mitigate </w:t>
      </w:r>
      <w:r w:rsidR="00051058" w:rsidRPr="004008E1">
        <w:rPr>
          <w:rFonts w:ascii="Calibri" w:hAnsi="Calibri" w:cs="Times New Roman"/>
          <w:sz w:val="22"/>
          <w:szCs w:val="22"/>
          <w:lang w:val="en-GB"/>
        </w:rPr>
        <w:t xml:space="preserve">climate change. </w:t>
      </w:r>
      <w:r w:rsidRPr="00B50254">
        <w:rPr>
          <w:rFonts w:ascii="Calibri" w:hAnsi="Calibri" w:cs="Times New Roman"/>
          <w:sz w:val="22"/>
          <w:szCs w:val="22"/>
          <w:lang w:val="en-GB"/>
        </w:rPr>
        <w:t>But they</w:t>
      </w:r>
      <w:r w:rsidR="00051058" w:rsidRPr="008662EF">
        <w:rPr>
          <w:rFonts w:ascii="Calibri" w:hAnsi="Calibri" w:cs="Times New Roman"/>
          <w:sz w:val="22"/>
          <w:szCs w:val="22"/>
          <w:lang w:val="en-GB"/>
        </w:rPr>
        <w:t xml:space="preserve"> vary in their potential mitigation impacts, stages of development, costs, and potential risks. Table 4.1 summarises mitigation technologies. Among them are climate engineering approaches such as land</w:t>
      </w:r>
      <w:r w:rsidR="00051058" w:rsidRPr="00C636DF">
        <w:rPr>
          <w:rFonts w:ascii="Calibri" w:hAnsi="Calibri" w:cs="Times New Roman"/>
          <w:sz w:val="22"/>
          <w:szCs w:val="22"/>
          <w:lang w:val="en-GB"/>
        </w:rPr>
        <w:t xml:space="preserve"> and sea sequestration</w:t>
      </w:r>
      <w:r w:rsidR="00051058" w:rsidRPr="00787509">
        <w:rPr>
          <w:rFonts w:ascii="Calibri" w:hAnsi="Calibri" w:cs="Times New Roman"/>
          <w:sz w:val="22"/>
          <w:szCs w:val="22"/>
          <w:lang w:val="en-GB"/>
        </w:rPr>
        <w:t xml:space="preserve">. </w:t>
      </w:r>
      <w:r w:rsidR="00051058">
        <w:rPr>
          <w:rFonts w:ascii="Calibri" w:hAnsi="Calibri" w:cs="Times New Roman"/>
          <w:sz w:val="22"/>
          <w:szCs w:val="22"/>
          <w:lang w:val="en-GB"/>
        </w:rPr>
        <w:t xml:space="preserve">Although these have significant potential, </w:t>
      </w:r>
      <w:r w:rsidR="00051058" w:rsidRPr="006B3566">
        <w:rPr>
          <w:rFonts w:ascii="Calibri" w:hAnsi="Calibri" w:cs="Times New Roman"/>
          <w:sz w:val="22"/>
          <w:szCs w:val="22"/>
          <w:lang w:val="en-GB"/>
        </w:rPr>
        <w:t xml:space="preserve">they carry </w:t>
      </w:r>
      <w:r w:rsidR="00051058">
        <w:rPr>
          <w:rFonts w:ascii="Calibri" w:hAnsi="Calibri" w:cs="Times New Roman"/>
          <w:sz w:val="22"/>
          <w:szCs w:val="22"/>
          <w:lang w:val="en-GB"/>
        </w:rPr>
        <w:t xml:space="preserve">significant </w:t>
      </w:r>
      <w:r w:rsidR="00051058" w:rsidRPr="006B3566">
        <w:rPr>
          <w:rFonts w:ascii="Calibri" w:hAnsi="Calibri" w:cs="Times New Roman"/>
          <w:sz w:val="22"/>
          <w:szCs w:val="22"/>
          <w:lang w:val="en-GB"/>
        </w:rPr>
        <w:t>risks</w:t>
      </w:r>
      <w:r w:rsidR="00051058">
        <w:rPr>
          <w:rFonts w:ascii="Calibri" w:hAnsi="Calibri" w:cs="Times New Roman"/>
          <w:sz w:val="22"/>
          <w:szCs w:val="22"/>
          <w:lang w:val="en-GB"/>
        </w:rPr>
        <w:t>,</w:t>
      </w:r>
      <w:r w:rsidR="00051058" w:rsidRPr="006B3566">
        <w:rPr>
          <w:rFonts w:ascii="Calibri" w:hAnsi="Calibri" w:cs="Times New Roman"/>
          <w:sz w:val="22"/>
          <w:szCs w:val="22"/>
          <w:lang w:val="en-GB"/>
        </w:rPr>
        <w:t xml:space="preserve"> </w:t>
      </w:r>
      <w:r w:rsidR="00051058">
        <w:rPr>
          <w:rFonts w:ascii="Calibri" w:hAnsi="Calibri" w:cs="Times New Roman"/>
          <w:sz w:val="22"/>
          <w:szCs w:val="22"/>
          <w:lang w:val="en-GB"/>
        </w:rPr>
        <w:t>including the possibility of damage</w:t>
      </w:r>
      <w:r w:rsidR="00051058" w:rsidRPr="006B3566">
        <w:rPr>
          <w:rFonts w:ascii="Calibri" w:hAnsi="Calibri" w:cs="Times New Roman"/>
          <w:sz w:val="22"/>
          <w:szCs w:val="22"/>
          <w:lang w:val="en-GB"/>
        </w:rPr>
        <w:t xml:space="preserve"> to ecosystems. </w:t>
      </w:r>
      <w:r w:rsidR="00051058">
        <w:rPr>
          <w:rFonts w:ascii="Calibri" w:hAnsi="Calibri" w:cs="Times New Roman"/>
          <w:sz w:val="22"/>
          <w:szCs w:val="22"/>
          <w:lang w:val="en-GB"/>
        </w:rPr>
        <w:t xml:space="preserve">It is currently uncertain that the necessary international consensus to allow the deployment of such </w:t>
      </w:r>
      <w:r w:rsidR="00051058" w:rsidRPr="006B3566">
        <w:rPr>
          <w:rFonts w:ascii="Calibri" w:hAnsi="Calibri" w:cs="Times New Roman"/>
          <w:sz w:val="22"/>
          <w:szCs w:val="22"/>
          <w:lang w:val="en-GB"/>
        </w:rPr>
        <w:t xml:space="preserve">technologies </w:t>
      </w:r>
      <w:r w:rsidR="00051058">
        <w:rPr>
          <w:rFonts w:ascii="Calibri" w:hAnsi="Calibri" w:cs="Times New Roman"/>
          <w:sz w:val="22"/>
          <w:szCs w:val="22"/>
          <w:lang w:val="en-GB"/>
        </w:rPr>
        <w:t>c</w:t>
      </w:r>
      <w:r w:rsidR="00051058" w:rsidRPr="006B3566">
        <w:rPr>
          <w:rFonts w:ascii="Calibri" w:hAnsi="Calibri" w:cs="Times New Roman"/>
          <w:sz w:val="22"/>
          <w:szCs w:val="22"/>
          <w:lang w:val="en-GB"/>
        </w:rPr>
        <w:t xml:space="preserve">ould be </w:t>
      </w:r>
      <w:r w:rsidR="00051058">
        <w:rPr>
          <w:rFonts w:ascii="Calibri" w:hAnsi="Calibri" w:cs="Times New Roman"/>
          <w:sz w:val="22"/>
          <w:szCs w:val="22"/>
          <w:lang w:val="en-GB"/>
        </w:rPr>
        <w:t xml:space="preserve">achieved. </w:t>
      </w:r>
      <w:r w:rsidR="00051058" w:rsidRPr="006B3566">
        <w:rPr>
          <w:rFonts w:ascii="Calibri" w:hAnsi="Calibri" w:cs="Times New Roman"/>
          <w:sz w:val="22"/>
          <w:szCs w:val="22"/>
          <w:lang w:val="en-GB"/>
        </w:rPr>
        <w:t xml:space="preserve">Energy efficiency improvement is considered as the least risky </w:t>
      </w:r>
      <w:r w:rsidR="00051058">
        <w:rPr>
          <w:rFonts w:ascii="Calibri" w:hAnsi="Calibri" w:cs="Times New Roman"/>
          <w:sz w:val="22"/>
          <w:szCs w:val="22"/>
          <w:lang w:val="en-GB"/>
        </w:rPr>
        <w:t xml:space="preserve">of the </w:t>
      </w:r>
      <w:r w:rsidR="00051058" w:rsidRPr="006B3566">
        <w:rPr>
          <w:rFonts w:ascii="Calibri" w:hAnsi="Calibri" w:cs="Times New Roman"/>
          <w:sz w:val="22"/>
          <w:szCs w:val="22"/>
          <w:lang w:val="en-GB"/>
        </w:rPr>
        <w:t>options</w:t>
      </w:r>
      <w:r w:rsidR="00051058">
        <w:rPr>
          <w:rFonts w:ascii="Calibri" w:hAnsi="Calibri" w:cs="Times New Roman"/>
          <w:sz w:val="22"/>
          <w:szCs w:val="22"/>
          <w:lang w:val="en-GB"/>
        </w:rPr>
        <w:t>, although on its own it is insufficient to achieve the necessary decarbonisation</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&lt;EndNote&gt;&lt;Cite&gt;&lt;Author&gt;Mills&lt;/Author&gt;&lt;Year&gt;2012&lt;/Year&gt;&lt;RecNum&gt;1448&lt;/RecNum&gt;&lt;DisplayText&gt;&lt;style face="superscript"&gt;232&lt;/style&gt;&lt;/DisplayText&gt;&lt;record&gt;&lt;rec-number&gt;1448&lt;/rec-number&gt;&lt;foreign-keys&gt;&lt;key app="EN" db-id="wtftd20rmszxx0ettxy5exwdf90wv22s2dsf" timestamp="1419302485"&gt;1448&lt;/key&gt;&lt;/foreign-keys&gt;&lt;ref-type name="Journal Article"&gt;17&lt;/ref-type&gt;&lt;contributors&gt;&lt;authors&gt;&lt;author&gt;B Mills&lt;/author&gt;&lt;author&gt;J Schleich&lt;/author&gt;&lt;/authors&gt;&lt;/contributors&gt;&lt;titles&gt;&lt;title&gt;Residential energy-efficient technology adoption, energy conservation, knowledge, and attitudes: An analysis of European countries&lt;/title&gt;&lt;secondary-title&gt;Energy Policy&lt;/secondary-title&gt;&lt;/titles&gt;&lt;periodical&gt;&lt;full-title&gt;Energy Policy&lt;/full-title&gt;&lt;/periodical&gt;&lt;pages&gt;616–28&lt;/pages&gt;&lt;volume&gt;49&lt;/volume&gt;&lt;dates&gt;&lt;year&gt;2012&lt;/year&gt;&lt;/dates&gt;&lt;urls&gt;&lt;/urls&gt;&lt;/record&gt;&lt;/Cite&gt;&lt;/EndNote&gt;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232</w:t>
      </w:r>
      <w:r w:rsidR="00E13392">
        <w:rPr>
          <w:rFonts w:ascii="Calibri" w:hAnsi="Calibri" w:cs="Times New Roman"/>
          <w:sz w:val="22"/>
          <w:szCs w:val="22"/>
          <w:lang w:val="en-GB"/>
        </w:rPr>
        <w:fldChar w:fldCharType="end"/>
      </w:r>
    </w:p>
    <w:p w:rsidR="00051058" w:rsidRPr="005F5BC6" w:rsidRDefault="00051058" w:rsidP="00051058">
      <w:pPr>
        <w:jc w:val="both"/>
        <w:rPr>
          <w:rFonts w:ascii="Calibri" w:hAnsi="Calibri"/>
          <w:sz w:val="22"/>
          <w:szCs w:val="22"/>
          <w:lang w:val="en-GB"/>
        </w:rPr>
      </w:pPr>
    </w:p>
    <w:p w:rsidR="00051058" w:rsidRDefault="00051058" w:rsidP="00051058">
      <w:pPr>
        <w:jc w:val="both"/>
        <w:rPr>
          <w:rFonts w:ascii="Calibri" w:hAnsi="Calibri" w:cs="Times New Roman"/>
          <w:sz w:val="22"/>
          <w:szCs w:val="22"/>
          <w:lang w:val="en-GB"/>
        </w:rPr>
      </w:pPr>
      <w:r w:rsidRPr="005F5BC6">
        <w:rPr>
          <w:rFonts w:ascii="Calibri" w:hAnsi="Calibri" w:cs="Times New Roman"/>
          <w:sz w:val="22"/>
          <w:szCs w:val="22"/>
          <w:lang w:val="en-GB"/>
        </w:rPr>
        <w:t xml:space="preserve">Individual behaviour is an important factor that affects the end-user energy efficiency, </w:t>
      </w:r>
      <w:r>
        <w:rPr>
          <w:rFonts w:ascii="Calibri" w:hAnsi="Calibri" w:cs="Times New Roman"/>
          <w:sz w:val="22"/>
          <w:szCs w:val="22"/>
          <w:lang w:val="en-GB"/>
        </w:rPr>
        <w:t xml:space="preserve">for example </w:t>
      </w:r>
      <w:r w:rsidRPr="005F5BC6">
        <w:rPr>
          <w:rFonts w:ascii="Calibri" w:hAnsi="Calibri" w:cs="Times New Roman"/>
          <w:sz w:val="22"/>
          <w:szCs w:val="22"/>
          <w:lang w:val="en-GB"/>
        </w:rPr>
        <w:t xml:space="preserve">using high-efficiency heating and cooling systems, </w:t>
      </w:r>
      <w:r>
        <w:rPr>
          <w:rFonts w:ascii="Calibri" w:hAnsi="Calibri" w:cs="Times New Roman"/>
          <w:sz w:val="22"/>
          <w:szCs w:val="22"/>
          <w:lang w:val="en-GB"/>
        </w:rPr>
        <w:t xml:space="preserve">adopting </w:t>
      </w:r>
      <w:r w:rsidRPr="005F5BC6">
        <w:rPr>
          <w:rFonts w:ascii="Calibri" w:hAnsi="Calibri" w:cs="Times New Roman"/>
          <w:sz w:val="22"/>
          <w:szCs w:val="22"/>
          <w:lang w:val="en-GB"/>
        </w:rPr>
        <w:t>more efficient driving</w:t>
      </w:r>
      <w:r>
        <w:rPr>
          <w:rFonts w:ascii="Calibri" w:hAnsi="Calibri" w:cs="Times New Roman"/>
          <w:sz w:val="22"/>
          <w:szCs w:val="22"/>
          <w:lang w:val="en-GB"/>
        </w:rPr>
        <w:t xml:space="preserve"> practices</w:t>
      </w:r>
      <w:r w:rsidRPr="005F5BC6">
        <w:rPr>
          <w:rFonts w:ascii="Calibri" w:hAnsi="Calibri" w:cs="Times New Roman"/>
          <w:sz w:val="22"/>
          <w:szCs w:val="22"/>
          <w:lang w:val="en-GB"/>
        </w:rPr>
        <w:t xml:space="preserve">, routine maintenance of vehicles and building systems, managing temperatures for heating, and hot water </w:t>
      </w:r>
      <w:r>
        <w:rPr>
          <w:rFonts w:ascii="Calibri" w:hAnsi="Calibri" w:cs="Times New Roman"/>
          <w:sz w:val="22"/>
          <w:szCs w:val="22"/>
          <w:lang w:val="en-GB"/>
        </w:rPr>
        <w:t>for</w:t>
      </w:r>
      <w:r w:rsidRPr="005F5BC6">
        <w:rPr>
          <w:rFonts w:ascii="Calibri" w:hAnsi="Calibri" w:cs="Times New Roman"/>
          <w:sz w:val="22"/>
          <w:szCs w:val="22"/>
          <w:lang w:val="en-GB"/>
        </w:rPr>
        <w:t xml:space="preserve"> washing.</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&lt;EndNote&gt;&lt;Cite&gt;&lt;Author&gt;Gilligan&lt;/Author&gt;&lt;Year&gt;2010&lt;/Year&gt;&lt;RecNum&gt;1451&lt;/RecNum&gt;&lt;DisplayText&gt;&lt;style face="superscript"&gt;233,234&lt;/style&gt;&lt;/DisplayText&gt;&lt;record&gt;&lt;rec-number&gt;1451&lt;/rec-number&gt;&lt;foreign-keys&gt;&lt;key app="EN" db-id="wtftd20rmszxx0ettxy5exwdf90wv22s2dsf" timestamp="1419303101"&gt;1451&lt;/key&gt;&lt;/foreign-keys&gt;&lt;ref-type name="Journal Article"&gt;17&lt;/ref-type&gt;&lt;contributors&gt;&lt;authors&gt;&lt;author&gt;J Gilligan&lt;/author&gt;&lt;author&gt;T Dietz&lt;/author&gt;&lt;author&gt;GT Gardner&lt;/author&gt;&lt;author&gt;PC Stern&lt;/author&gt;&lt;author&gt;MP Vandenbergh&lt;/author&gt;&lt;/authors&gt;&lt;/contributors&gt;&lt;titles&gt;&lt;title&gt;The behavioural wedge&lt;/title&gt;&lt;secondary-title&gt;Significance&lt;/secondary-title&gt;&lt;/titles&gt;&lt;periodical&gt;&lt;full-title&gt;Significance&lt;/full-title&gt;&lt;/periodical&gt;&lt;pages&gt;17-20&lt;/pages&gt;&lt;volume&gt;7&lt;/volume&gt;&lt;number&gt;1&lt;/number&gt;&lt;dates&gt;&lt;year&gt;2010&lt;/year&gt;&lt;/dates&gt;&lt;urls&gt;&lt;/urls&gt;&lt;/record&gt;&lt;/Cite&gt;&lt;Cite&gt;&lt;Author&gt;Mohareb&lt;/Author&gt;&lt;Year&gt;2014&lt;/Year&gt;&lt;RecNum&gt;1454&lt;/RecNum&gt;&lt;record&gt;&lt;rec-number&gt;1454&lt;/rec-number&gt;&lt;foreign-keys&gt;&lt;key app="EN" db-id="wtftd20rmszxx0ettxy5exwdf90wv22s2dsf" timestamp="1419303578"&gt;1454&lt;/key&gt;&lt;/foreign-keys&gt;&lt;ref-type name="Journal Article"&gt;17&lt;/ref-type&gt;&lt;contributors&gt;&lt;authors&gt;&lt;author&gt;EA Mohareb&lt;/author&gt;&lt;author&gt;CA Kennedy&lt;/author&gt;&lt;/authors&gt;&lt;/contributors&gt;&lt;titles&gt;&lt;title&gt;Scenarios of technology adoption towards low-carbon cities&lt;/title&gt;&lt;secondary-title&gt;Energy Policy&lt;/secondary-title&gt;&lt;/titles&gt;&lt;periodical&gt;&lt;full-title&gt;Energy Policy&lt;/full-title&gt;&lt;/periodical&gt;&lt;pages&gt;685–93&lt;/pages&gt;&lt;volume&gt;66&lt;/volume&gt;&lt;dates&gt;&lt;year&gt;2014&lt;/year&gt;&lt;/dates&gt;&lt;urls&gt;&lt;/urls&gt;&lt;/record&gt;&lt;/Cite&gt;&lt;/EndNote&gt;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233,234</w:t>
      </w:r>
      <w:r w:rsidR="00E13392">
        <w:rPr>
          <w:rFonts w:ascii="Calibri" w:hAnsi="Calibri" w:cs="Times New Roman"/>
          <w:sz w:val="22"/>
          <w:szCs w:val="22"/>
          <w:lang w:val="en-GB"/>
        </w:rPr>
        <w:fldChar w:fldCharType="end"/>
      </w:r>
      <w:r w:rsidRPr="005F5BC6">
        <w:rPr>
          <w:rFonts w:ascii="Calibri" w:hAnsi="Calibri" w:cs="Times New Roman"/>
          <w:sz w:val="22"/>
          <w:szCs w:val="22"/>
          <w:lang w:val="en-GB"/>
        </w:rPr>
        <w:t xml:space="preserve"> </w:t>
      </w:r>
      <w:r>
        <w:rPr>
          <w:rFonts w:ascii="Calibri" w:hAnsi="Calibri" w:cs="Times New Roman"/>
          <w:sz w:val="22"/>
          <w:szCs w:val="22"/>
          <w:lang w:val="en-GB"/>
        </w:rPr>
        <w:t xml:space="preserve"> </w:t>
      </w:r>
      <w:r w:rsidR="008373C6">
        <w:rPr>
          <w:rFonts w:ascii="Calibri" w:hAnsi="Calibri" w:cs="Times New Roman"/>
          <w:sz w:val="22"/>
          <w:szCs w:val="22"/>
          <w:lang w:val="en-GB"/>
        </w:rPr>
        <w:t>But</w:t>
      </w:r>
      <w:r>
        <w:rPr>
          <w:rFonts w:ascii="Calibri" w:hAnsi="Calibri" w:cs="Times New Roman"/>
          <w:sz w:val="22"/>
          <w:szCs w:val="22"/>
          <w:lang w:val="en-GB"/>
        </w:rPr>
        <w:t xml:space="preserve"> behavioural changes are not so easily achieved and pose considerable risk as a mitigation strategy.  The medical professions have decades of experience with attempts to induce mass changes of behaviour through health promotion. The most prominent campaigns have been targeted at alcohol consumption, smoking, diabetes and obesity. The overarching lesson is that even when behaviour change yields direct personal benefits, amounting in some cases to a decade or more of life expectancy, it is extraordinarily difficult to achieve through persuasion. In practice, different societies favour divergent approaches to influencing behaviour, ranging from the economic, through the physical to the psychological.</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&lt;EndNote&gt;&lt;Cite&gt;&lt;Author&gt;Verbeek&lt;/Author&gt;&lt;Year&gt;2006&lt;/Year&gt;&lt;RecNum&gt;1563&lt;/RecNum&gt;&lt;DisplayText&gt;&lt;style face="superscript"&gt;235&lt;/style&gt;&lt;/DisplayText&gt;&lt;record&gt;&lt;rec-number&gt;1563&lt;/rec-number&gt;&lt;foreign-keys&gt;&lt;key app="EN" db-id="wtftd20rmszxx0ettxy5exwdf90wv22s2dsf" timestamp="1427455042"&gt;1563&lt;/key&gt;&lt;/foreign-keys&gt;&lt;ref-type name="Journal Article"&gt;17&lt;/ref-type&gt;&lt;contributors&gt;&lt;authors&gt;&lt;author&gt;P Verbeek&lt;/author&gt;&lt;/authors&gt;&lt;/contributors&gt;&lt;titles&gt;&lt;title&gt;Ethiek en technologie: moreel actorschap en subjectiviteit in een technologische cultuur&lt;/title&gt;&lt;secondary-title&gt;Ethische Perspectiven&lt;/secondary-title&gt;&lt;/titles&gt;&lt;periodical&gt;&lt;full-title&gt;Ethische Perspectiven&lt;/full-title&gt;&lt;/periodical&gt;&lt;pages&gt;267-89&lt;/pages&gt;&lt;volume&gt;16&lt;/volume&gt;&lt;number&gt;3&lt;/number&gt;&lt;dates&gt;&lt;year&gt;2006&lt;/year&gt;&lt;/dates&gt;&lt;urls&gt;&lt;/urls&gt;&lt;/record&gt;&lt;/Cite&gt;&lt;/EndNote&gt;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235</w:t>
      </w:r>
      <w:r w:rsidR="00E13392">
        <w:rPr>
          <w:rFonts w:ascii="Calibri" w:hAnsi="Calibri" w:cs="Times New Roman"/>
          <w:sz w:val="22"/>
          <w:szCs w:val="22"/>
          <w:lang w:val="en-GB"/>
        </w:rPr>
        <w:fldChar w:fldCharType="end"/>
      </w:r>
    </w:p>
    <w:p w:rsidR="00051058" w:rsidRPr="0061532A" w:rsidRDefault="00051058" w:rsidP="00051058">
      <w:pPr>
        <w:jc w:val="both"/>
        <w:rPr>
          <w:rFonts w:ascii="Calibri" w:hAnsi="Calibri" w:cs="Times New Roman"/>
          <w:sz w:val="22"/>
          <w:szCs w:val="22"/>
          <w:lang w:val="en-GB"/>
        </w:rPr>
      </w:pPr>
    </w:p>
    <w:p w:rsidR="00051058" w:rsidRDefault="00051058" w:rsidP="00051058">
      <w:pPr>
        <w:jc w:val="both"/>
        <w:rPr>
          <w:rFonts w:ascii="Calibri" w:hAnsi="Calibri" w:cs="Times New Roman"/>
          <w:sz w:val="22"/>
          <w:szCs w:val="22"/>
          <w:lang w:val="en-GB"/>
        </w:rPr>
      </w:pPr>
      <w:r>
        <w:rPr>
          <w:rFonts w:ascii="Calibri" w:hAnsi="Calibri" w:cs="Times New Roman"/>
          <w:sz w:val="22"/>
          <w:szCs w:val="22"/>
          <w:lang w:val="en-GB"/>
        </w:rPr>
        <w:t>T</w:t>
      </w:r>
      <w:r w:rsidRPr="0061532A">
        <w:rPr>
          <w:rFonts w:ascii="Calibri" w:hAnsi="Calibri" w:cs="Times New Roman"/>
          <w:sz w:val="22"/>
          <w:szCs w:val="22"/>
          <w:lang w:val="en-GB"/>
        </w:rPr>
        <w:t>echnologies that have the grea</w:t>
      </w:r>
      <w:r>
        <w:rPr>
          <w:rFonts w:ascii="Calibri" w:hAnsi="Calibri" w:cs="Times New Roman"/>
          <w:sz w:val="22"/>
          <w:szCs w:val="22"/>
          <w:lang w:val="en-GB"/>
        </w:rPr>
        <w:t xml:space="preserve">test decarbonisation potential include nuclear power, </w:t>
      </w:r>
      <w:r w:rsidRPr="0061532A">
        <w:rPr>
          <w:rFonts w:ascii="Calibri" w:hAnsi="Calibri" w:cs="Times New Roman"/>
          <w:sz w:val="22"/>
          <w:szCs w:val="22"/>
          <w:lang w:val="en-GB"/>
        </w:rPr>
        <w:t xml:space="preserve">offshore wind, concentrated solar power (CSP), and </w:t>
      </w:r>
      <w:r>
        <w:rPr>
          <w:rFonts w:ascii="Calibri" w:hAnsi="Calibri" w:cs="Times New Roman"/>
          <w:sz w:val="22"/>
          <w:szCs w:val="22"/>
          <w:lang w:val="en-GB"/>
        </w:rPr>
        <w:t>carbon capture and storage (</w:t>
      </w:r>
      <w:r w:rsidRPr="0061532A">
        <w:rPr>
          <w:rFonts w:ascii="Calibri" w:hAnsi="Calibri" w:cs="Times New Roman"/>
          <w:sz w:val="22"/>
          <w:szCs w:val="22"/>
          <w:lang w:val="en-GB"/>
        </w:rPr>
        <w:t>CCS</w:t>
      </w:r>
      <w:r>
        <w:rPr>
          <w:rFonts w:ascii="Calibri" w:hAnsi="Calibri" w:cs="Times New Roman"/>
          <w:sz w:val="22"/>
          <w:szCs w:val="22"/>
          <w:lang w:val="en-GB"/>
        </w:rPr>
        <w:t>)</w:t>
      </w:r>
      <w:r w:rsidRPr="0061532A">
        <w:rPr>
          <w:rFonts w:ascii="Calibri" w:hAnsi="Calibri" w:cs="Times New Roman"/>
          <w:sz w:val="22"/>
          <w:szCs w:val="22"/>
          <w:lang w:val="en-GB"/>
        </w:rPr>
        <w:t>.</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&lt;EndNote&gt;&lt;Cite&gt;&lt;Author&gt;International Energy Agency&lt;/Author&gt;&lt;Year&gt;2012&lt;/Year&gt;&lt;RecNum&gt;947&lt;/RecNum&gt;&lt;DisplayText&gt;&lt;style face="superscript"&gt;236,237&lt;/style&gt;&lt;/DisplayText&gt;&lt;record&gt;&lt;rec-number&gt;947&lt;/rec-number&gt;&lt;foreign-keys&gt;&lt;key app="EN" db-id="wtftd20rmszxx0ettxy5exwdf90wv22s2dsf" timestamp="1419212983"&gt;947&lt;/key&gt;&lt;/foreign-keys&gt;&lt;ref-type name="Government Document"&gt;46&lt;/ref-type&gt;&lt;contributors&gt;&lt;authors&gt;&lt;author&gt;International Energy Agency,&lt;/author&gt;&lt;/authors&gt;&lt;/contributors&gt;&lt;titles&gt;&lt;title&gt;Energy Technology Perspectives 2012&lt;/title&gt;&lt;/titles&gt;&lt;dates&gt;&lt;year&gt;2012&lt;/year&gt;&lt;/dates&gt;&lt;pub-location&gt;Paris&lt;/pub-location&gt;&lt;urls&gt;&lt;/urls&gt;&lt;/record&gt;&lt;/Cite&gt;&lt;Cite&gt;&lt;Author&gt;International Energy Agency&lt;/Author&gt;&lt;Year&gt;2012&lt;/Year&gt;&lt;RecNum&gt;948&lt;/RecNum&gt;&lt;record&gt;&lt;rec-number&gt;948&lt;/rec-number&gt;&lt;foreign-keys&gt;&lt;key app="EN" db-id="wtftd20rmszxx0ettxy5exwdf90wv22s2dsf" timestamp="1419212983"&gt;948&lt;/key&gt;&lt;/foreign-keys&gt;&lt;ref-type name="Government Document"&gt;46&lt;/ref-type&gt;&lt;contributors&gt;&lt;authors&gt;&lt;author&gt;International Energy Agency,&lt;/author&gt;&lt;/authors&gt;&lt;/contributors&gt;&lt;titles&gt;&lt;title&gt;Coal Medium-Term Market Report 2012&lt;/title&gt;&lt;/titles&gt;&lt;dates&gt;&lt;year&gt;2012&lt;/year&gt;&lt;/dates&gt;&lt;pub-location&gt;Paris&lt;/pub-location&gt;&lt;urls&gt;&lt;/urls&gt;&lt;/record&gt;&lt;/Cite&gt;&lt;/EndNote&gt;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236,237</w:t>
      </w:r>
      <w:r w:rsidR="00E13392">
        <w:rPr>
          <w:rFonts w:ascii="Calibri" w:hAnsi="Calibri" w:cs="Times New Roman"/>
          <w:sz w:val="22"/>
          <w:szCs w:val="22"/>
          <w:lang w:val="en-GB"/>
        </w:rPr>
        <w:fldChar w:fldCharType="end"/>
      </w:r>
      <w:r w:rsidRPr="0061532A">
        <w:rPr>
          <w:rFonts w:ascii="Calibri" w:hAnsi="Calibri" w:cs="Times New Roman"/>
          <w:sz w:val="22"/>
          <w:szCs w:val="22"/>
          <w:lang w:val="en-GB"/>
        </w:rPr>
        <w:t xml:space="preserve">  PV and wind</w:t>
      </w:r>
      <w:r>
        <w:rPr>
          <w:rFonts w:ascii="Calibri" w:hAnsi="Calibri" w:cs="Times New Roman"/>
          <w:sz w:val="22"/>
          <w:szCs w:val="22"/>
          <w:lang w:val="en-GB"/>
        </w:rPr>
        <w:t xml:space="preserve"> </w:t>
      </w:r>
      <w:r w:rsidRPr="0061532A">
        <w:rPr>
          <w:rFonts w:ascii="Calibri" w:hAnsi="Calibri" w:cs="Times New Roman"/>
          <w:sz w:val="22"/>
          <w:szCs w:val="22"/>
          <w:lang w:val="en-GB"/>
        </w:rPr>
        <w:t>h</w:t>
      </w:r>
      <w:r>
        <w:rPr>
          <w:rFonts w:ascii="Calibri" w:hAnsi="Calibri" w:cs="Times New Roman"/>
          <w:sz w:val="22"/>
          <w:szCs w:val="22"/>
          <w:lang w:val="en-GB"/>
        </w:rPr>
        <w:t>ave</w:t>
      </w:r>
      <w:r w:rsidRPr="0061532A">
        <w:rPr>
          <w:rFonts w:ascii="Calibri" w:hAnsi="Calibri" w:cs="Times New Roman"/>
          <w:sz w:val="22"/>
          <w:szCs w:val="22"/>
          <w:lang w:val="en-GB"/>
        </w:rPr>
        <w:t xml:space="preserve"> been growing exponentially for decades (wind </w:t>
      </w:r>
      <w:r>
        <w:rPr>
          <w:rFonts w:ascii="Calibri" w:hAnsi="Calibri" w:cs="Times New Roman"/>
          <w:sz w:val="22"/>
          <w:szCs w:val="22"/>
          <w:lang w:val="en-GB"/>
        </w:rPr>
        <w:t xml:space="preserve"> ̴</w:t>
      </w:r>
      <w:r w:rsidRPr="0061532A">
        <w:rPr>
          <w:rFonts w:ascii="Calibri" w:hAnsi="Calibri" w:cs="Times New Roman"/>
          <w:sz w:val="22"/>
          <w:szCs w:val="22"/>
          <w:lang w:val="en-GB"/>
        </w:rPr>
        <w:t>12% per year</w:t>
      </w:r>
      <w:r>
        <w:rPr>
          <w:rFonts w:ascii="Calibri" w:hAnsi="Calibri" w:cs="Times New Roman"/>
          <w:sz w:val="22"/>
          <w:szCs w:val="22"/>
          <w:lang w:val="en-GB"/>
        </w:rPr>
        <w:t>,</w:t>
      </w:r>
      <w:r w:rsidRPr="0061532A">
        <w:rPr>
          <w:rFonts w:ascii="Calibri" w:hAnsi="Calibri" w:cs="Times New Roman"/>
          <w:sz w:val="22"/>
          <w:szCs w:val="22"/>
          <w:lang w:val="en-GB"/>
        </w:rPr>
        <w:t xml:space="preserve"> PV 35%), with consequent reductions in costs due to learning</w:t>
      </w:r>
      <w:r>
        <w:rPr>
          <w:rFonts w:ascii="Calibri" w:hAnsi="Calibri" w:cs="Times New Roman"/>
          <w:sz w:val="22"/>
          <w:szCs w:val="22"/>
          <w:lang w:val="en-GB"/>
        </w:rPr>
        <w:t xml:space="preserve"> and increasing scale of production and deployment</w:t>
      </w:r>
      <w:r w:rsidRPr="0061532A">
        <w:rPr>
          <w:rFonts w:ascii="Calibri" w:hAnsi="Calibri" w:cs="Times New Roman"/>
          <w:sz w:val="22"/>
          <w:szCs w:val="22"/>
          <w:lang w:val="en-GB"/>
        </w:rPr>
        <w:t xml:space="preserve">, while </w:t>
      </w:r>
      <w:r>
        <w:rPr>
          <w:rFonts w:ascii="Calibri" w:hAnsi="Calibri" w:cs="Times New Roman"/>
          <w:sz w:val="22"/>
          <w:szCs w:val="22"/>
          <w:lang w:val="en-GB"/>
        </w:rPr>
        <w:t xml:space="preserve">both </w:t>
      </w:r>
      <w:r w:rsidRPr="0061532A">
        <w:rPr>
          <w:rFonts w:ascii="Calibri" w:hAnsi="Calibri" w:cs="Times New Roman"/>
          <w:sz w:val="22"/>
          <w:szCs w:val="22"/>
          <w:lang w:val="en-GB"/>
        </w:rPr>
        <w:t xml:space="preserve">CSP </w:t>
      </w:r>
      <w:r>
        <w:rPr>
          <w:rFonts w:ascii="Calibri" w:hAnsi="Calibri" w:cs="Times New Roman"/>
          <w:sz w:val="22"/>
          <w:szCs w:val="22"/>
          <w:lang w:val="en-GB"/>
        </w:rPr>
        <w:t xml:space="preserve">and CCS </w:t>
      </w:r>
      <w:r w:rsidRPr="0061532A">
        <w:rPr>
          <w:rFonts w:ascii="Calibri" w:hAnsi="Calibri" w:cs="Times New Roman"/>
          <w:sz w:val="22"/>
          <w:szCs w:val="22"/>
          <w:lang w:val="en-GB"/>
        </w:rPr>
        <w:t>ha</w:t>
      </w:r>
      <w:r>
        <w:rPr>
          <w:rFonts w:ascii="Calibri" w:hAnsi="Calibri" w:cs="Times New Roman"/>
          <w:sz w:val="22"/>
          <w:szCs w:val="22"/>
          <w:lang w:val="en-GB"/>
        </w:rPr>
        <w:t>ve</w:t>
      </w:r>
      <w:r w:rsidRPr="0061532A">
        <w:rPr>
          <w:rFonts w:ascii="Calibri" w:hAnsi="Calibri" w:cs="Times New Roman"/>
          <w:sz w:val="22"/>
          <w:szCs w:val="22"/>
          <w:lang w:val="en-GB"/>
        </w:rPr>
        <w:t xml:space="preserve"> not yet been deployed at any significant scale, and so cannot capture significant learning effects. </w:t>
      </w:r>
      <w:r w:rsidRPr="006B3566">
        <w:rPr>
          <w:rFonts w:ascii="Calibri" w:hAnsi="Calibri" w:cs="Times New Roman"/>
          <w:sz w:val="22"/>
          <w:szCs w:val="22"/>
          <w:lang w:val="en-GB"/>
        </w:rPr>
        <w:t xml:space="preserve">CCS suffers from similar problems </w:t>
      </w:r>
      <w:r>
        <w:rPr>
          <w:rFonts w:ascii="Calibri" w:hAnsi="Calibri" w:cs="Times New Roman"/>
          <w:sz w:val="22"/>
          <w:szCs w:val="22"/>
          <w:lang w:val="en-GB"/>
        </w:rPr>
        <w:t>to</w:t>
      </w:r>
      <w:r w:rsidRPr="006B3566">
        <w:rPr>
          <w:rFonts w:ascii="Calibri" w:hAnsi="Calibri" w:cs="Times New Roman"/>
          <w:sz w:val="22"/>
          <w:szCs w:val="22"/>
          <w:lang w:val="en-GB"/>
        </w:rPr>
        <w:t xml:space="preserve"> nuclear, i.e. large unit sizes</w:t>
      </w:r>
      <w:r>
        <w:rPr>
          <w:rFonts w:ascii="Calibri" w:hAnsi="Calibri" w:cs="Times New Roman"/>
          <w:sz w:val="22"/>
          <w:szCs w:val="22"/>
          <w:lang w:val="en-GB"/>
        </w:rPr>
        <w:t xml:space="preserve">, </w:t>
      </w:r>
      <w:r w:rsidRPr="006B3566">
        <w:rPr>
          <w:rFonts w:ascii="Calibri" w:hAnsi="Calibri" w:cs="Times New Roman"/>
          <w:sz w:val="22"/>
          <w:szCs w:val="22"/>
          <w:lang w:val="en-GB"/>
        </w:rPr>
        <w:t xml:space="preserve">potential regulatory concerns and long lead times, which means weak </w:t>
      </w:r>
      <w:r w:rsidR="00DF6540">
        <w:rPr>
          <w:rFonts w:ascii="Calibri" w:hAnsi="Calibri" w:cs="Times New Roman"/>
          <w:sz w:val="22"/>
          <w:szCs w:val="22"/>
          <w:lang w:val="en-GB"/>
        </w:rPr>
        <w:t xml:space="preserve">and delayed </w:t>
      </w:r>
      <w:r w:rsidRPr="006B3566">
        <w:rPr>
          <w:rFonts w:ascii="Calibri" w:hAnsi="Calibri" w:cs="Times New Roman"/>
          <w:sz w:val="22"/>
          <w:szCs w:val="22"/>
          <w:lang w:val="en-GB"/>
        </w:rPr>
        <w:t xml:space="preserve">learning once deployment has begun.  </w:t>
      </w:r>
      <w:r>
        <w:rPr>
          <w:rFonts w:ascii="Calibri" w:hAnsi="Calibri" w:cs="Times New Roman"/>
          <w:sz w:val="22"/>
          <w:szCs w:val="22"/>
          <w:lang w:val="en-GB"/>
        </w:rPr>
        <w:t>But</w:t>
      </w:r>
      <w:r w:rsidRPr="006B3566">
        <w:rPr>
          <w:rFonts w:ascii="Calibri" w:hAnsi="Calibri" w:cs="Times New Roman"/>
          <w:sz w:val="22"/>
          <w:szCs w:val="22"/>
          <w:lang w:val="en-GB"/>
        </w:rPr>
        <w:t xml:space="preserve">, CCS’s </w:t>
      </w:r>
      <w:r>
        <w:rPr>
          <w:rFonts w:ascii="Calibri" w:hAnsi="Calibri" w:cs="Times New Roman"/>
          <w:sz w:val="22"/>
          <w:szCs w:val="22"/>
          <w:lang w:val="en-GB"/>
        </w:rPr>
        <w:t xml:space="preserve">additional </w:t>
      </w:r>
      <w:r w:rsidRPr="006B3566">
        <w:rPr>
          <w:rFonts w:ascii="Calibri" w:hAnsi="Calibri" w:cs="Times New Roman"/>
          <w:sz w:val="22"/>
          <w:szCs w:val="22"/>
          <w:lang w:val="en-GB"/>
        </w:rPr>
        <w:t xml:space="preserve">disadvantage compared with nuclear </w:t>
      </w:r>
      <w:r>
        <w:rPr>
          <w:rFonts w:ascii="Calibri" w:hAnsi="Calibri" w:cs="Times New Roman"/>
          <w:sz w:val="22"/>
          <w:szCs w:val="22"/>
          <w:lang w:val="en-GB"/>
        </w:rPr>
        <w:t xml:space="preserve">and renewables </w:t>
      </w:r>
      <w:r w:rsidRPr="006B3566">
        <w:rPr>
          <w:rFonts w:ascii="Calibri" w:hAnsi="Calibri" w:cs="Times New Roman"/>
          <w:sz w:val="22"/>
          <w:szCs w:val="22"/>
          <w:lang w:val="en-GB"/>
        </w:rPr>
        <w:t xml:space="preserve">is that while </w:t>
      </w:r>
      <w:r>
        <w:rPr>
          <w:rFonts w:ascii="Calibri" w:hAnsi="Calibri" w:cs="Times New Roman"/>
          <w:sz w:val="22"/>
          <w:szCs w:val="22"/>
          <w:lang w:val="en-GB"/>
        </w:rPr>
        <w:t>the latter</w:t>
      </w:r>
      <w:r w:rsidRPr="006B3566">
        <w:rPr>
          <w:rFonts w:ascii="Calibri" w:hAnsi="Calibri" w:cs="Times New Roman"/>
          <w:sz w:val="22"/>
          <w:szCs w:val="22"/>
          <w:lang w:val="en-GB"/>
        </w:rPr>
        <w:t xml:space="preserve"> decouple economies from the threat of future rising and/or volatile fossil fuel costs, CCS magnifies </w:t>
      </w:r>
      <w:r w:rsidRPr="006B3566">
        <w:rPr>
          <w:rFonts w:ascii="Calibri" w:hAnsi="Calibri" w:cs="Times New Roman"/>
          <w:sz w:val="22"/>
          <w:szCs w:val="22"/>
          <w:lang w:val="en-GB"/>
        </w:rPr>
        <w:lastRenderedPageBreak/>
        <w:t xml:space="preserve">these threats. Even in the absence of carbon pricing, </w:t>
      </w:r>
      <w:r>
        <w:rPr>
          <w:rFonts w:ascii="Calibri" w:hAnsi="Calibri" w:cs="Times New Roman"/>
          <w:sz w:val="22"/>
          <w:szCs w:val="22"/>
          <w:lang w:val="en-GB"/>
        </w:rPr>
        <w:t xml:space="preserve">renewables and </w:t>
      </w:r>
      <w:r w:rsidRPr="006B3566">
        <w:rPr>
          <w:rFonts w:ascii="Calibri" w:hAnsi="Calibri" w:cs="Times New Roman"/>
          <w:sz w:val="22"/>
          <w:szCs w:val="22"/>
          <w:lang w:val="en-GB"/>
        </w:rPr>
        <w:t>nuclear can be justified as a hedge against future increases in fossil fuel prices</w:t>
      </w:r>
      <w:r>
        <w:rPr>
          <w:rFonts w:ascii="Calibri" w:hAnsi="Calibri" w:cs="Times New Roman"/>
          <w:sz w:val="22"/>
          <w:szCs w:val="22"/>
          <w:lang w:val="en-GB"/>
        </w:rPr>
        <w:t>, w</w:t>
      </w:r>
      <w:r w:rsidRPr="006B3566">
        <w:rPr>
          <w:rFonts w:ascii="Calibri" w:hAnsi="Calibri" w:cs="Times New Roman"/>
          <w:sz w:val="22"/>
          <w:szCs w:val="22"/>
          <w:lang w:val="en-GB"/>
        </w:rPr>
        <w:t>hereas CCS cannot.</w:t>
      </w:r>
    </w:p>
    <w:p w:rsidR="00051058" w:rsidRPr="0061532A" w:rsidRDefault="00051058" w:rsidP="00051058">
      <w:pPr>
        <w:jc w:val="both"/>
        <w:rPr>
          <w:rFonts w:ascii="Calibri" w:hAnsi="Calibri" w:cs="Times New Roman"/>
          <w:sz w:val="22"/>
          <w:szCs w:val="22"/>
          <w:lang w:val="en-GB"/>
        </w:rPr>
      </w:pPr>
    </w:p>
    <w:p w:rsidR="00051058" w:rsidRPr="00A2740F" w:rsidRDefault="00051058" w:rsidP="00051058">
      <w:pPr>
        <w:jc w:val="both"/>
        <w:rPr>
          <w:rFonts w:ascii="Calibri" w:hAnsi="Calibri" w:cs="Times New Roman"/>
          <w:sz w:val="22"/>
          <w:szCs w:val="22"/>
          <w:lang w:val="en-GB"/>
        </w:rPr>
      </w:pPr>
      <w:r>
        <w:rPr>
          <w:rFonts w:ascii="Calibri" w:hAnsi="Calibri" w:cs="Times New Roman"/>
          <w:sz w:val="22"/>
          <w:szCs w:val="22"/>
          <w:lang w:val="en-GB"/>
        </w:rPr>
        <w:t>Attempts to understand the adaptation of the whole energy system in the context of rapid transitions to low carbon emissions have been predominantly from the discipline of economics. Among these is t</w:t>
      </w:r>
      <w:r w:rsidRPr="00482B17">
        <w:rPr>
          <w:rFonts w:ascii="Calibri" w:hAnsi="Calibri" w:cs="Times New Roman"/>
          <w:sz w:val="22"/>
          <w:szCs w:val="22"/>
          <w:lang w:val="en-GB"/>
        </w:rPr>
        <w:t xml:space="preserve">he </w:t>
      </w:r>
      <w:r>
        <w:rPr>
          <w:rFonts w:ascii="Calibri" w:hAnsi="Calibri" w:cs="Times New Roman"/>
          <w:sz w:val="22"/>
          <w:szCs w:val="22"/>
          <w:lang w:val="en-GB"/>
        </w:rPr>
        <w:t xml:space="preserve">Deep Decarbonization Pathways Project (DDPP), which has developed </w:t>
      </w:r>
      <w:r w:rsidRPr="00482B17">
        <w:rPr>
          <w:rFonts w:ascii="Calibri" w:hAnsi="Calibri" w:cs="Times New Roman"/>
          <w:sz w:val="22"/>
          <w:szCs w:val="22"/>
          <w:lang w:val="en-GB"/>
        </w:rPr>
        <w:t xml:space="preserve">pathways for </w:t>
      </w:r>
      <w:r>
        <w:rPr>
          <w:rFonts w:ascii="Calibri" w:hAnsi="Calibri" w:cs="Times New Roman"/>
          <w:sz w:val="22"/>
          <w:szCs w:val="22"/>
          <w:lang w:val="en-GB"/>
        </w:rPr>
        <w:t>15</w:t>
      </w:r>
      <w:r w:rsidRPr="00482B17">
        <w:rPr>
          <w:rFonts w:ascii="Calibri" w:hAnsi="Calibri" w:cs="Times New Roman"/>
          <w:sz w:val="22"/>
          <w:szCs w:val="22"/>
          <w:lang w:val="en-GB"/>
        </w:rPr>
        <w:t xml:space="preserve"> countrie</w:t>
      </w:r>
      <w:r w:rsidR="00921EBE">
        <w:rPr>
          <w:rFonts w:ascii="Calibri" w:hAnsi="Calibri" w:cs="Times New Roman"/>
          <w:sz w:val="22"/>
          <w:szCs w:val="22"/>
          <w:lang w:val="en-GB"/>
        </w:rPr>
        <w:t>s.</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&lt;EndNote&gt;&lt;Cite&gt;&lt;Author&gt;Institute for Sustainable Development and International Relations&lt;/Author&gt;&lt;Year&gt;2014&lt;/Year&gt;&lt;RecNum&gt;1440&lt;/RecNum&gt;&lt;DisplayText&gt;&lt;style face="superscript"&gt;229&lt;/style&gt;&lt;/DisplayText&gt;&lt;record&gt;&lt;rec-number&gt;1440&lt;/rec-number&gt;&lt;foreign-keys&gt;&lt;key app="EN" db-id="wtftd20rmszxx0ettxy5exwdf90wv22s2dsf" timestamp="1419299973"&gt;1440&lt;/key&gt;&lt;/foreign-keys&gt;&lt;ref-type name="Report"&gt;27&lt;/ref-type&gt;&lt;contributors&gt;&lt;authors&gt;&lt;author&gt;Institute for Sustainable Development and International Relations,&lt;/author&gt;&lt;author&gt;Sustainable Development Solutions Network,&lt;/author&gt;&lt;/authors&gt;&lt;/contributors&gt;&lt;titles&gt;&lt;title&gt;Pathways to deep decarbonization: Interim 2014 report&lt;/title&gt;&lt;/titles&gt;&lt;dates&gt;&lt;year&gt;2014&lt;/year&gt;&lt;/dates&gt;&lt;pub-location&gt;Washington D.C.&lt;/pub-location&gt;&lt;urls&gt;&lt;/urls&gt;&lt;/record&gt;&lt;/Cite&gt;&lt;/EndNote&gt;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229</w:t>
      </w:r>
      <w:r w:rsidR="00E13392">
        <w:rPr>
          <w:rFonts w:ascii="Calibri" w:hAnsi="Calibri" w:cs="Times New Roman"/>
          <w:sz w:val="22"/>
          <w:szCs w:val="22"/>
          <w:lang w:val="en-GB"/>
        </w:rPr>
        <w:fldChar w:fldCharType="end"/>
      </w:r>
      <w:r w:rsidRPr="00482B17">
        <w:rPr>
          <w:rFonts w:ascii="Calibri" w:hAnsi="Calibri" w:cs="Times New Roman"/>
          <w:sz w:val="22"/>
          <w:szCs w:val="22"/>
          <w:lang w:val="en-GB"/>
        </w:rPr>
        <w:t xml:space="preserve">  Box </w:t>
      </w:r>
      <w:r>
        <w:rPr>
          <w:rFonts w:ascii="Calibri" w:hAnsi="Calibri" w:cs="Times New Roman"/>
          <w:sz w:val="22"/>
          <w:szCs w:val="22"/>
          <w:lang w:val="en-GB"/>
        </w:rPr>
        <w:t>4.</w:t>
      </w:r>
      <w:r w:rsidR="00844FA8">
        <w:rPr>
          <w:rFonts w:ascii="Calibri" w:hAnsi="Calibri" w:cs="Times New Roman"/>
          <w:sz w:val="22"/>
          <w:szCs w:val="22"/>
          <w:lang w:val="en-GB"/>
        </w:rPr>
        <w:t>1</w:t>
      </w:r>
      <w:r w:rsidRPr="00482B17">
        <w:rPr>
          <w:rFonts w:ascii="Calibri" w:hAnsi="Calibri" w:cs="Times New Roman"/>
          <w:sz w:val="22"/>
          <w:szCs w:val="22"/>
          <w:lang w:val="en-GB"/>
        </w:rPr>
        <w:t xml:space="preserve"> provides an example of these technology pathways for the UK and China. </w:t>
      </w:r>
    </w:p>
    <w:p w:rsidR="00051058" w:rsidRDefault="00051058" w:rsidP="00051058">
      <w:pPr>
        <w:jc w:val="both"/>
        <w:rPr>
          <w:rFonts w:ascii="Calibri" w:hAnsi="Calibri" w:cs="Times New Roman"/>
          <w:sz w:val="22"/>
          <w:lang w:val="en-GB"/>
        </w:rPr>
      </w:pPr>
    </w:p>
    <w:tbl>
      <w:tblPr>
        <w:tblStyle w:val="TableGrid2"/>
        <w:tblW w:w="0" w:type="auto"/>
        <w:shd w:val="clear" w:color="auto" w:fill="F2F2F2" w:themeFill="background1" w:themeFillShade="F2"/>
        <w:tblLook w:val="04A0" w:firstRow="1" w:lastRow="0" w:firstColumn="1" w:lastColumn="0" w:noHBand="0" w:noVBand="1"/>
      </w:tblPr>
      <w:tblGrid>
        <w:gridCol w:w="9241"/>
      </w:tblGrid>
      <w:tr w:rsidR="00D022A9" w:rsidRPr="00D022A9" w:rsidTr="00FE56B7">
        <w:tc>
          <w:tcPr>
            <w:tcW w:w="9241" w:type="dxa"/>
            <w:tcBorders>
              <w:top w:val="nil"/>
              <w:left w:val="nil"/>
              <w:bottom w:val="nil"/>
              <w:right w:val="nil"/>
            </w:tcBorders>
            <w:shd w:val="clear" w:color="auto" w:fill="F2F2F2" w:themeFill="background1" w:themeFillShade="F2"/>
          </w:tcPr>
          <w:p w:rsidR="00D022A9" w:rsidRPr="00D022A9" w:rsidRDefault="00D022A9" w:rsidP="00D022A9">
            <w:pPr>
              <w:spacing w:before="120" w:after="120"/>
              <w:jc w:val="center"/>
              <w:rPr>
                <w:rFonts w:ascii="Calibri" w:hAnsi="Calibri"/>
                <w:lang w:val="en-GB"/>
              </w:rPr>
            </w:pPr>
            <w:r w:rsidRPr="00D022A9">
              <w:rPr>
                <w:rFonts w:ascii="Calibri" w:hAnsi="Calibri" w:cs="Times New Roman"/>
                <w:b/>
                <w:sz w:val="20"/>
                <w:lang w:val="en-GB"/>
              </w:rPr>
              <w:t>Box 4.1: Decarbonisation pathways for UK and China</w:t>
            </w:r>
          </w:p>
          <w:p w:rsidR="00D022A9" w:rsidRPr="00D022A9" w:rsidRDefault="00D022A9" w:rsidP="00D022A9">
            <w:pPr>
              <w:spacing w:before="120" w:after="120"/>
              <w:jc w:val="both"/>
              <w:rPr>
                <w:rFonts w:ascii="Calibri" w:hAnsi="Calibri" w:cs="DINPro-Light"/>
                <w:sz w:val="20"/>
                <w:szCs w:val="20"/>
                <w:lang w:eastAsia="en-GB"/>
              </w:rPr>
            </w:pPr>
            <w:r w:rsidRPr="00D022A9">
              <w:rPr>
                <w:rFonts w:ascii="Calibri" w:hAnsi="Calibri" w:cs="Times New Roman"/>
                <w:sz w:val="20"/>
                <w:szCs w:val="20"/>
                <w:lang w:val="en-GB"/>
              </w:rPr>
              <w:t xml:space="preserve">The Deep Decarbonisation Pathways Project (DDPP) </w:t>
            </w:r>
            <w:r w:rsidRPr="00D022A9">
              <w:rPr>
                <w:rFonts w:ascii="Calibri" w:hAnsi="Calibri" w:cs="DINPro-Light"/>
                <w:sz w:val="20"/>
                <w:szCs w:val="20"/>
                <w:lang w:eastAsia="en-GB"/>
              </w:rPr>
              <w:t>aims to understand and demonstrate how major emitting countries can transition to low carbon economies, and in doing so move towards the internationally agreed 2⁰C target by 2050. The project comprises representatives of 15 countries representing over 70% of current global greenhouse gas emissions, and is led by the UN Sustainable Development Solutions Network (SDSN), and the Institute for Sustainable Development and International Relations (IDDRI), Paris.</w:t>
            </w:r>
            <w:r w:rsidR="00E13392" w:rsidRPr="00D022A9">
              <w:rPr>
                <w:rFonts w:ascii="Calibri" w:hAnsi="Calibri" w:cs="DINPro-Light"/>
                <w:sz w:val="20"/>
                <w:szCs w:val="20"/>
                <w:lang w:eastAsia="en-GB"/>
              </w:rPr>
              <w:fldChar w:fldCharType="begin"/>
            </w:r>
            <w:r w:rsidR="009F6910">
              <w:rPr>
                <w:rFonts w:ascii="Calibri" w:hAnsi="Calibri" w:cs="DINPro-Light"/>
                <w:sz w:val="20"/>
                <w:szCs w:val="20"/>
                <w:lang w:eastAsia="en-GB"/>
              </w:rPr>
              <w:instrText xml:space="preserve"> ADDIN EN.CITE &lt;EndNote&gt;&lt;Cite&gt;&lt;Author&gt;Institute for Sustainable Development and International Relations&lt;/Author&gt;&lt;Year&gt;2014&lt;/Year&gt;&lt;RecNum&gt;1440&lt;/RecNum&gt;&lt;DisplayText&gt;&lt;style face="superscript"&gt;229&lt;/style&gt;&lt;/DisplayText&gt;&lt;record&gt;&lt;rec-number&gt;1440&lt;/rec-number&gt;&lt;foreign-keys&gt;&lt;key app="EN" db-id="wtftd20rmszxx0ettxy5exwdf90wv22s2dsf" timestamp="1419299973"&gt;1440&lt;/key&gt;&lt;/foreign-keys&gt;&lt;ref-type name="Report"&gt;27&lt;/ref-type&gt;&lt;contributors&gt;&lt;authors&gt;&lt;author&gt;Institute for Sustainable Development and International Relations,&lt;/author&gt;&lt;author&gt;Sustainable Development Solutions Network,&lt;/author&gt;&lt;/authors&gt;&lt;/contributors&gt;&lt;titles&gt;&lt;title&gt;Pathways to deep decarbonization: Interim 2014 report&lt;/title&gt;&lt;/titles&gt;&lt;dates&gt;&lt;year&gt;2014&lt;/year&gt;&lt;/dates&gt;&lt;pub-location&gt;Washington D.C.&lt;/pub-location&gt;&lt;urls&gt;&lt;/urls&gt;&lt;/record&gt;&lt;/Cite&gt;&lt;/EndNote&gt;</w:instrText>
            </w:r>
            <w:r w:rsidR="00E13392" w:rsidRPr="00D022A9">
              <w:rPr>
                <w:rFonts w:ascii="Calibri" w:hAnsi="Calibri" w:cs="DINPro-Light"/>
                <w:sz w:val="20"/>
                <w:szCs w:val="20"/>
                <w:lang w:eastAsia="en-GB"/>
              </w:rPr>
              <w:fldChar w:fldCharType="separate"/>
            </w:r>
            <w:r w:rsidR="009F6910" w:rsidRPr="009F6910">
              <w:rPr>
                <w:rFonts w:ascii="Calibri" w:hAnsi="Calibri" w:cs="DINPro-Light"/>
                <w:noProof/>
                <w:sz w:val="20"/>
                <w:szCs w:val="20"/>
                <w:vertAlign w:val="superscript"/>
                <w:lang w:eastAsia="en-GB"/>
              </w:rPr>
              <w:t>229</w:t>
            </w:r>
            <w:r w:rsidR="00E13392" w:rsidRPr="00D022A9">
              <w:rPr>
                <w:rFonts w:ascii="Calibri" w:hAnsi="Calibri" w:cs="DINPro-Light"/>
                <w:sz w:val="20"/>
                <w:szCs w:val="20"/>
                <w:lang w:eastAsia="en-GB"/>
              </w:rPr>
              <w:fldChar w:fldCharType="end"/>
            </w:r>
          </w:p>
          <w:p w:rsidR="00D022A9" w:rsidRPr="00D022A9" w:rsidRDefault="00D022A9" w:rsidP="00D022A9">
            <w:pPr>
              <w:spacing w:before="120" w:after="120"/>
              <w:jc w:val="both"/>
              <w:rPr>
                <w:rFonts w:ascii="Calibri" w:hAnsi="Calibri" w:cs="Times New Roman"/>
                <w:sz w:val="20"/>
                <w:szCs w:val="20"/>
                <w:lang w:val="en-GB"/>
              </w:rPr>
            </w:pPr>
            <w:r w:rsidRPr="00D022A9">
              <w:rPr>
                <w:rFonts w:ascii="Calibri" w:hAnsi="Calibri" w:cs="Times New Roman"/>
                <w:sz w:val="20"/>
                <w:szCs w:val="20"/>
                <w:lang w:val="en-GB"/>
              </w:rPr>
              <w:t>The project’s interim report describes pathways that achieve a 45% decrease of total CO</w:t>
            </w:r>
            <w:r w:rsidRPr="00D022A9">
              <w:rPr>
                <w:rFonts w:ascii="Calibri" w:hAnsi="Calibri" w:cs="Times New Roman"/>
                <w:sz w:val="20"/>
                <w:szCs w:val="20"/>
                <w:vertAlign w:val="subscript"/>
                <w:lang w:val="en-GB"/>
              </w:rPr>
              <w:t>2</w:t>
            </w:r>
            <w:r w:rsidRPr="00D022A9">
              <w:rPr>
                <w:rFonts w:ascii="Calibri" w:hAnsi="Calibri" w:cs="Times New Roman"/>
                <w:sz w:val="20"/>
                <w:szCs w:val="20"/>
                <w:lang w:val="en-GB"/>
              </w:rPr>
              <w:t>-energy emissions over the period (falling to 12.3 Gt by 2050, from 22.3 Gt in 2010). While the interim pathways do not reach a 50% probability of restricting climate change to 2°C, they provide important insights. Three key pillars of decarbonisation are critical in all the countries studied: energy efficiency and conservation, a shift to low-carbon electricity, and switching to lower carbon fuels. However, the balance between them depends on national circumstances.</w:t>
            </w:r>
          </w:p>
          <w:p w:rsidR="00D022A9" w:rsidRPr="00D022A9" w:rsidRDefault="00D022A9" w:rsidP="00D022A9">
            <w:pPr>
              <w:spacing w:before="120" w:after="120"/>
              <w:jc w:val="both"/>
              <w:rPr>
                <w:rFonts w:ascii="Calibri" w:hAnsi="Calibri" w:cs="Times New Roman"/>
                <w:sz w:val="20"/>
                <w:szCs w:val="20"/>
                <w:lang w:val="en-GB"/>
              </w:rPr>
            </w:pPr>
            <w:r w:rsidRPr="00D022A9">
              <w:rPr>
                <w:rFonts w:ascii="Calibri" w:hAnsi="Calibri" w:cs="Times New Roman"/>
                <w:sz w:val="20"/>
                <w:szCs w:val="20"/>
                <w:lang w:val="en-GB"/>
              </w:rPr>
              <w:t>The UK pathway is characterised by early decarbonisation of the power generation sector, and increased electrification of end-use sectors post-2030, leading to an 83% reduction in CO</w:t>
            </w:r>
            <w:r w:rsidRPr="00D022A9">
              <w:rPr>
                <w:rFonts w:ascii="Calibri" w:hAnsi="Calibri" w:cs="Times New Roman"/>
                <w:sz w:val="20"/>
                <w:szCs w:val="20"/>
                <w:vertAlign w:val="subscript"/>
                <w:lang w:val="en-GB"/>
              </w:rPr>
              <w:t>2</w:t>
            </w:r>
            <w:r w:rsidRPr="00D022A9">
              <w:rPr>
                <w:rFonts w:ascii="Calibri" w:hAnsi="Calibri" w:cs="Times New Roman"/>
                <w:sz w:val="20"/>
                <w:szCs w:val="20"/>
                <w:lang w:val="en-GB"/>
              </w:rPr>
              <w:t>-energy emissions by 2050 (see Figure 4.5 and 4.6 below). The cumulative investment requirements for such a large-scale decarbonisation are in the region of £200-300 billion, and require a strong policy framework, including Electricity Market reform. Post-2030, radical changes in energy vectors are necessary, with heating switching from gas to heat pumps and district heating, and transport increasingly electrified. Greater-than-marginal reductions in emissions e.g. associated with heating, requires sustained strategic vision and inter-decadal coordination between energy supply and demand sectors of the economy.  Challenges to delivery will likely include the scale of infrastructure investment, and public acceptability across end use sectors.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3559"/>
            </w:tblGrid>
            <w:tr w:rsidR="00D022A9" w:rsidRPr="00D022A9" w:rsidTr="00FE56B7">
              <w:tc>
                <w:tcPr>
                  <w:tcW w:w="4505" w:type="dxa"/>
                </w:tcPr>
                <w:p w:rsidR="00D022A9" w:rsidRPr="00D022A9" w:rsidRDefault="00D022A9" w:rsidP="00D022A9">
                  <w:pPr>
                    <w:spacing w:before="120" w:after="120"/>
                    <w:jc w:val="both"/>
                    <w:rPr>
                      <w:rFonts w:ascii="Calibri" w:hAnsi="Calibri" w:cs="Times New Roman"/>
                      <w:sz w:val="20"/>
                      <w:szCs w:val="20"/>
                      <w:lang w:val="en-GB"/>
                    </w:rPr>
                  </w:pPr>
                  <w:r w:rsidRPr="00D022A9">
                    <w:rPr>
                      <w:rFonts w:ascii="Calibri" w:hAnsi="Calibri" w:cs="Times New Roman"/>
                      <w:noProof/>
                      <w:sz w:val="20"/>
                      <w:szCs w:val="20"/>
                      <w:lang w:val="en-GB" w:eastAsia="en-GB"/>
                    </w:rPr>
                    <w:drawing>
                      <wp:inline distT="0" distB="0" distL="0" distR="0">
                        <wp:extent cx="3326011" cy="253746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348" r="8423"/>
                                <a:stretch/>
                              </pic:blipFill>
                              <pic:spPr bwMode="auto">
                                <a:xfrm>
                                  <a:off x="0" y="0"/>
                                  <a:ext cx="3350872" cy="2556427"/>
                                </a:xfrm>
                                <a:prstGeom prst="rect">
                                  <a:avLst/>
                                </a:prstGeom>
                                <a:noFill/>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ve="http://schemas.openxmlformats.org/markup-compatibility/2006"/>
                                  </a:ext>
                                </a:extLst>
                              </pic:spPr>
                            </pic:pic>
                          </a:graphicData>
                        </a:graphic>
                      </wp:inline>
                    </w:drawing>
                  </w:r>
                  <w:r w:rsidRPr="00D022A9">
                    <w:rPr>
                      <w:rFonts w:ascii="Calibri" w:hAnsi="Calibri" w:cs="Times New Roman"/>
                      <w:noProof/>
                      <w:sz w:val="20"/>
                      <w:szCs w:val="20"/>
                      <w:lang w:val="en-GB" w:eastAsia="en-GB"/>
                    </w:rPr>
                    <w:lastRenderedPageBreak/>
                    <w:drawing>
                      <wp:inline distT="0" distB="0" distL="0" distR="0">
                        <wp:extent cx="3326011" cy="253746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348" r="8423"/>
                                <a:stretch/>
                              </pic:blipFill>
                              <pic:spPr bwMode="auto">
                                <a:xfrm>
                                  <a:off x="0" y="0"/>
                                  <a:ext cx="3350872" cy="2556427"/>
                                </a:xfrm>
                                <a:prstGeom prst="rect">
                                  <a:avLst/>
                                </a:prstGeom>
                                <a:noFill/>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ve="http://schemas.openxmlformats.org/markup-compatibility/2006"/>
                                  </a:ext>
                                </a:extLst>
                              </pic:spPr>
                            </pic:pic>
                          </a:graphicData>
                        </a:graphic>
                      </wp:inline>
                    </w:drawing>
                  </w:r>
                </w:p>
              </w:tc>
              <w:tc>
                <w:tcPr>
                  <w:tcW w:w="4505" w:type="dxa"/>
                </w:tcPr>
                <w:p w:rsidR="00D022A9" w:rsidRPr="00D022A9" w:rsidRDefault="00D022A9" w:rsidP="00D022A9">
                  <w:pPr>
                    <w:spacing w:before="120" w:after="120"/>
                    <w:jc w:val="both"/>
                    <w:rPr>
                      <w:rFonts w:ascii="Calibri" w:hAnsi="Calibri" w:cs="Times New Roman"/>
                      <w:sz w:val="20"/>
                      <w:szCs w:val="20"/>
                      <w:lang w:val="en-GB"/>
                    </w:rPr>
                  </w:pPr>
                  <w:r w:rsidRPr="00D022A9">
                    <w:rPr>
                      <w:rFonts w:ascii="Calibri" w:hAnsi="Calibri" w:cs="Times New Roman"/>
                      <w:noProof/>
                      <w:sz w:val="20"/>
                      <w:szCs w:val="20"/>
                      <w:lang w:val="en-GB" w:eastAsia="en-GB"/>
                    </w:rPr>
                    <w:lastRenderedPageBreak/>
                    <w:drawing>
                      <wp:inline distT="0" distB="0" distL="0" distR="0">
                        <wp:extent cx="1935338" cy="2526030"/>
                        <wp:effectExtent l="0" t="0" r="8255" b="762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cstate="print"/>
                                <a:srcRect t="8299"/>
                                <a:stretch/>
                              </pic:blipFill>
                              <pic:spPr bwMode="auto">
                                <a:xfrm>
                                  <a:off x="0" y="0"/>
                                  <a:ext cx="1949120" cy="2544018"/>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ve="http://schemas.openxmlformats.org/markup-compatibility/2006"/>
                                  </a:ext>
                                </a:extLst>
                              </pic:spPr>
                            </pic:pic>
                          </a:graphicData>
                        </a:graphic>
                      </wp:inline>
                    </w:drawing>
                  </w:r>
                  <w:r w:rsidRPr="00D022A9">
                    <w:rPr>
                      <w:rFonts w:ascii="Calibri" w:hAnsi="Calibri" w:cs="Times New Roman"/>
                      <w:noProof/>
                      <w:sz w:val="20"/>
                      <w:szCs w:val="20"/>
                      <w:lang w:val="en-GB" w:eastAsia="en-GB"/>
                    </w:rPr>
                    <w:lastRenderedPageBreak/>
                    <w:drawing>
                      <wp:inline distT="0" distB="0" distL="0" distR="0">
                        <wp:extent cx="1935338" cy="2526030"/>
                        <wp:effectExtent l="0" t="0" r="8255" b="762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cstate="print"/>
                                <a:srcRect t="8299"/>
                                <a:stretch/>
                              </pic:blipFill>
                              <pic:spPr bwMode="auto">
                                <a:xfrm>
                                  <a:off x="0" y="0"/>
                                  <a:ext cx="1949120" cy="2544018"/>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ve="http://schemas.openxmlformats.org/markup-compatibility/2006"/>
                                  </a:ext>
                                </a:extLst>
                              </pic:spPr>
                            </pic:pic>
                          </a:graphicData>
                        </a:graphic>
                      </wp:inline>
                    </w:drawing>
                  </w:r>
                </w:p>
              </w:tc>
            </w:tr>
          </w:tbl>
          <w:tbl>
            <w:tblPr>
              <w:tblW w:w="0" w:type="auto"/>
              <w:tblLook w:val="04A0" w:firstRow="1" w:lastRow="0" w:firstColumn="1" w:lastColumn="0" w:noHBand="0" w:noVBand="1"/>
            </w:tblPr>
            <w:tblGrid>
              <w:gridCol w:w="4505"/>
              <w:gridCol w:w="4505"/>
            </w:tblGrid>
            <w:tr w:rsidR="00D022A9" w:rsidRPr="00D022A9" w:rsidTr="00FE56B7">
              <w:tc>
                <w:tcPr>
                  <w:tcW w:w="4505" w:type="dxa"/>
                </w:tcPr>
                <w:p w:rsidR="00D022A9" w:rsidRPr="00D022A9" w:rsidRDefault="00D022A9" w:rsidP="00D022A9">
                  <w:pPr>
                    <w:spacing w:before="120" w:after="120" w:line="259" w:lineRule="auto"/>
                    <w:jc w:val="both"/>
                    <w:rPr>
                      <w:rFonts w:ascii="Calibri" w:eastAsiaTheme="minorHAnsi" w:hAnsi="Calibri" w:cs="Times New Roman"/>
                      <w:noProof/>
                      <w:sz w:val="20"/>
                      <w:szCs w:val="20"/>
                      <w:lang w:val="en-GB" w:eastAsia="en-GB"/>
                    </w:rPr>
                  </w:pPr>
                  <w:r w:rsidRPr="00D022A9">
                    <w:rPr>
                      <w:rFonts w:ascii="Calibri" w:eastAsiaTheme="minorHAnsi" w:hAnsi="Calibri" w:cs="Times New Roman"/>
                      <w:i/>
                      <w:noProof/>
                      <w:sz w:val="18"/>
                      <w:szCs w:val="18"/>
                      <w:lang w:val="en-GB" w:eastAsia="en-GB"/>
                    </w:rPr>
                    <w:lastRenderedPageBreak/>
                    <w:t>Figure 4.5. Energy-related CO</w:t>
                  </w:r>
                  <w:r w:rsidRPr="00D022A9">
                    <w:rPr>
                      <w:rFonts w:ascii="Calibri" w:eastAsiaTheme="minorHAnsi" w:hAnsi="Calibri" w:cs="Times New Roman"/>
                      <w:i/>
                      <w:noProof/>
                      <w:sz w:val="18"/>
                      <w:szCs w:val="18"/>
                      <w:vertAlign w:val="subscript"/>
                      <w:lang w:val="en-GB" w:eastAsia="en-GB"/>
                    </w:rPr>
                    <w:t>2</w:t>
                  </w:r>
                  <w:r w:rsidRPr="00D022A9">
                    <w:rPr>
                      <w:rFonts w:ascii="Calibri" w:eastAsiaTheme="minorHAnsi" w:hAnsi="Calibri" w:cs="Times New Roman"/>
                      <w:i/>
                      <w:noProof/>
                      <w:sz w:val="18"/>
                      <w:szCs w:val="18"/>
                      <w:lang w:val="en-GB" w:eastAsia="en-GB"/>
                    </w:rPr>
                    <w:t xml:space="preserve"> emissions pathway for UK, 2010/2050</w:t>
                  </w:r>
                </w:p>
              </w:tc>
              <w:tc>
                <w:tcPr>
                  <w:tcW w:w="4505" w:type="dxa"/>
                </w:tcPr>
                <w:p w:rsidR="00D022A9" w:rsidRPr="00D022A9" w:rsidRDefault="00D022A9" w:rsidP="00D022A9">
                  <w:pPr>
                    <w:spacing w:before="120" w:after="120" w:line="259" w:lineRule="auto"/>
                    <w:jc w:val="both"/>
                    <w:rPr>
                      <w:rFonts w:ascii="Calibri" w:eastAsiaTheme="minorHAnsi" w:hAnsi="Calibri" w:cs="Times New Roman"/>
                      <w:sz w:val="20"/>
                      <w:szCs w:val="20"/>
                      <w:lang w:val="en-GB" w:eastAsia="en-US"/>
                    </w:rPr>
                  </w:pPr>
                  <w:r w:rsidRPr="00D022A9">
                    <w:rPr>
                      <w:rFonts w:ascii="Calibri" w:eastAsiaTheme="minorHAnsi" w:hAnsi="Calibri" w:cs="Times New Roman"/>
                      <w:i/>
                      <w:noProof/>
                      <w:sz w:val="18"/>
                      <w:szCs w:val="18"/>
                      <w:lang w:val="en-GB" w:eastAsia="en-GB"/>
                    </w:rPr>
                    <w:t>Figure 4.6. Energy supply pathway for electricity generation for UK, 2010-2050</w:t>
                  </w:r>
                </w:p>
              </w:tc>
            </w:tr>
          </w:tbl>
          <w:p w:rsidR="00D022A9" w:rsidRPr="00D022A9" w:rsidRDefault="00D022A9" w:rsidP="00D022A9">
            <w:pPr>
              <w:spacing w:before="120" w:after="120"/>
              <w:jc w:val="both"/>
              <w:rPr>
                <w:rFonts w:ascii="Calibri" w:hAnsi="Calibri" w:cs="Times New Roman"/>
                <w:sz w:val="20"/>
                <w:szCs w:val="20"/>
                <w:lang w:val="en-GB"/>
              </w:rPr>
            </w:pPr>
            <w:r w:rsidRPr="00D022A9">
              <w:rPr>
                <w:rFonts w:ascii="Calibri" w:hAnsi="Calibri" w:cs="Times New Roman"/>
                <w:sz w:val="20"/>
                <w:szCs w:val="20"/>
                <w:lang w:val="en-GB"/>
              </w:rPr>
              <w:t>The challenge in China is to achieve decarbonisation alongside continued rapid economic growth. The pathway shows GDP per capita increasing 6-fold from 2010 to 2050: this is offset by a 72% reduction in energy intensity of GDP, a substantial decoupling. Emissions peak by 2030, and fall by 34% by 2050, driven by falling energy intensity, and almost complete decarbonisation of power generation. Despite electricity generation more than doubling by 2050, unabated coal is replaced by renewables, nuclear and CCS (Figures 4.7 and 4.8). In industry, CCS and higher efficiency reduce emissions by 57% by 2050. But growth continues in the transport sector due to a 10-fold increase in mobility, only partly offset by higher efficiency and limited penetration of low carbon vehicles.</w:t>
            </w:r>
          </w:p>
          <w:p w:rsidR="00D022A9" w:rsidRPr="00D022A9" w:rsidRDefault="00D022A9" w:rsidP="00D022A9">
            <w:pPr>
              <w:spacing w:before="120" w:after="120"/>
              <w:jc w:val="both"/>
              <w:rPr>
                <w:rFonts w:ascii="Calibri" w:hAnsi="Calibri" w:cs="Times New Roman"/>
                <w:sz w:val="20"/>
                <w:szCs w:val="20"/>
                <w:lang w:val="en-GB"/>
              </w:rPr>
            </w:pPr>
            <w:r w:rsidRPr="00D022A9">
              <w:rPr>
                <w:rFonts w:ascii="Calibri" w:hAnsi="Calibri" w:cs="Times New Roman"/>
                <w:sz w:val="20"/>
                <w:szCs w:val="20"/>
                <w:lang w:val="en-GB"/>
              </w:rPr>
              <w:t xml:space="preserve">Key to the transition of the Chinese energy system is rapid development and deployment of low carbon technologies, and a shift away from unabated coal use, facilitated by energy market reform and carbon pricing. </w:t>
            </w:r>
          </w:p>
          <w:tbl>
            <w:tblPr>
              <w:tblW w:w="0" w:type="auto"/>
              <w:tblLook w:val="04A0" w:firstRow="1" w:lastRow="0" w:firstColumn="1" w:lastColumn="0" w:noHBand="0" w:noVBand="1"/>
            </w:tblPr>
            <w:tblGrid>
              <w:gridCol w:w="5377"/>
              <w:gridCol w:w="3648"/>
            </w:tblGrid>
            <w:tr w:rsidR="00D022A9" w:rsidRPr="00D022A9" w:rsidTr="00FE56B7">
              <w:tc>
                <w:tcPr>
                  <w:tcW w:w="5377" w:type="dxa"/>
                </w:tcPr>
                <w:p w:rsidR="00D022A9" w:rsidRPr="00D022A9" w:rsidRDefault="00D022A9" w:rsidP="00D022A9">
                  <w:pPr>
                    <w:spacing w:before="120" w:after="120" w:line="259" w:lineRule="auto"/>
                    <w:jc w:val="both"/>
                    <w:rPr>
                      <w:rFonts w:ascii="Calibri" w:eastAsiaTheme="minorHAnsi" w:hAnsi="Calibri" w:cs="Times New Roman"/>
                      <w:sz w:val="20"/>
                      <w:szCs w:val="20"/>
                      <w:lang w:val="en-GB" w:eastAsia="en-US"/>
                    </w:rPr>
                  </w:pPr>
                  <w:r w:rsidRPr="00D022A9">
                    <w:rPr>
                      <w:rFonts w:eastAsiaTheme="minorHAnsi"/>
                      <w:noProof/>
                      <w:sz w:val="22"/>
                      <w:szCs w:val="22"/>
                      <w:lang w:val="en-GB" w:eastAsia="en-GB"/>
                    </w:rPr>
                    <w:drawing>
                      <wp:inline distT="0" distB="0" distL="0" distR="0">
                        <wp:extent cx="3276600" cy="236982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16004" r="22544"/>
                                <a:stretch/>
                              </pic:blipFill>
                              <pic:spPr bwMode="auto">
                                <a:xfrm>
                                  <a:off x="0" y="0"/>
                                  <a:ext cx="3277590" cy="2370536"/>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ve="http://schemas.openxmlformats.org/markup-compatibility/2006"/>
                                  </a:ext>
                                </a:extLst>
                              </pic:spPr>
                            </pic:pic>
                          </a:graphicData>
                        </a:graphic>
                      </wp:inline>
                    </w:drawing>
                  </w:r>
                  <w:r w:rsidRPr="00D022A9">
                    <w:rPr>
                      <w:rFonts w:eastAsiaTheme="minorHAnsi"/>
                      <w:noProof/>
                      <w:sz w:val="22"/>
                      <w:szCs w:val="22"/>
                      <w:lang w:val="en-GB" w:eastAsia="en-GB"/>
                    </w:rPr>
                    <w:lastRenderedPageBreak/>
                    <w:drawing>
                      <wp:inline distT="0" distB="0" distL="0" distR="0">
                        <wp:extent cx="3276600" cy="236982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16004" r="22544"/>
                                <a:stretch/>
                              </pic:blipFill>
                              <pic:spPr bwMode="auto">
                                <a:xfrm>
                                  <a:off x="0" y="0"/>
                                  <a:ext cx="3277590" cy="2370536"/>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ve="http://schemas.openxmlformats.org/markup-compatibility/2006"/>
                                  </a:ext>
                                </a:extLst>
                              </pic:spPr>
                            </pic:pic>
                          </a:graphicData>
                        </a:graphic>
                      </wp:inline>
                    </w:drawing>
                  </w:r>
                </w:p>
              </w:tc>
              <w:tc>
                <w:tcPr>
                  <w:tcW w:w="3648" w:type="dxa"/>
                </w:tcPr>
                <w:p w:rsidR="00D022A9" w:rsidRPr="00D022A9" w:rsidRDefault="00D022A9" w:rsidP="00D022A9">
                  <w:pPr>
                    <w:spacing w:before="120" w:after="120" w:line="259" w:lineRule="auto"/>
                    <w:jc w:val="both"/>
                    <w:rPr>
                      <w:rFonts w:ascii="Calibri" w:eastAsiaTheme="minorHAnsi" w:hAnsi="Calibri" w:cs="Times New Roman"/>
                      <w:sz w:val="20"/>
                      <w:szCs w:val="20"/>
                      <w:lang w:val="en-GB" w:eastAsia="en-US"/>
                    </w:rPr>
                  </w:pPr>
                  <w:r w:rsidRPr="00D022A9">
                    <w:rPr>
                      <w:rFonts w:eastAsiaTheme="minorHAnsi"/>
                      <w:noProof/>
                      <w:sz w:val="22"/>
                      <w:szCs w:val="22"/>
                      <w:lang w:val="en-GB" w:eastAsia="en-GB"/>
                    </w:rPr>
                    <w:lastRenderedPageBreak/>
                    <w:drawing>
                      <wp:inline distT="0" distB="0" distL="0" distR="0">
                        <wp:extent cx="2179320" cy="238506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t="9276" r="7143"/>
                                <a:stretch/>
                              </pic:blipFill>
                              <pic:spPr bwMode="auto">
                                <a:xfrm>
                                  <a:off x="0" y="0"/>
                                  <a:ext cx="2179532" cy="2385292"/>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ve="http://schemas.openxmlformats.org/markup-compatibility/2006"/>
                                  </a:ext>
                                </a:extLst>
                              </pic:spPr>
                            </pic:pic>
                          </a:graphicData>
                        </a:graphic>
                      </wp:inline>
                    </w:drawing>
                  </w:r>
                  <w:r w:rsidRPr="00D022A9">
                    <w:rPr>
                      <w:rFonts w:eastAsiaTheme="minorHAnsi"/>
                      <w:noProof/>
                      <w:sz w:val="22"/>
                      <w:szCs w:val="22"/>
                      <w:lang w:val="en-GB" w:eastAsia="en-GB"/>
                    </w:rPr>
                    <w:lastRenderedPageBreak/>
                    <w:drawing>
                      <wp:inline distT="0" distB="0" distL="0" distR="0">
                        <wp:extent cx="2179320" cy="238506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t="9276" r="7143"/>
                                <a:stretch/>
                              </pic:blipFill>
                              <pic:spPr bwMode="auto">
                                <a:xfrm>
                                  <a:off x="0" y="0"/>
                                  <a:ext cx="2179532" cy="2385292"/>
                                </a:xfrm>
                                <a:prstGeom prst="rect">
                                  <a:avLst/>
                                </a:prstGeom>
                                <a:ln>
                                  <a:noFill/>
                                </a:ln>
                                <a:extLst>
                                  <a:ext uri="{53640926-AAD7-44d8-BBD7-CCE9431645EC}">
                                    <a14:shadowObscure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ve="http://schemas.openxmlformats.org/markup-compatibility/2006"/>
                                  </a:ext>
                                </a:extLst>
                              </pic:spPr>
                            </pic:pic>
                          </a:graphicData>
                        </a:graphic>
                      </wp:inline>
                    </w:drawing>
                  </w:r>
                </w:p>
              </w:tc>
            </w:tr>
            <w:tr w:rsidR="00D022A9" w:rsidRPr="00D022A9" w:rsidTr="00FE56B7">
              <w:tc>
                <w:tcPr>
                  <w:tcW w:w="5377" w:type="dxa"/>
                </w:tcPr>
                <w:p w:rsidR="00D022A9" w:rsidRPr="00D022A9" w:rsidRDefault="00D022A9" w:rsidP="00D022A9">
                  <w:pPr>
                    <w:spacing w:before="120" w:after="120" w:line="259" w:lineRule="auto"/>
                    <w:jc w:val="both"/>
                    <w:rPr>
                      <w:rFonts w:ascii="Calibri" w:eastAsiaTheme="minorHAnsi" w:hAnsi="Calibri" w:cs="Times New Roman"/>
                      <w:noProof/>
                      <w:sz w:val="18"/>
                      <w:szCs w:val="18"/>
                      <w:lang w:val="en-GB" w:eastAsia="en-GB"/>
                    </w:rPr>
                  </w:pPr>
                  <w:r w:rsidRPr="00D022A9">
                    <w:rPr>
                      <w:rFonts w:ascii="Calibri" w:eastAsiaTheme="minorHAnsi" w:hAnsi="Calibri" w:cs="Times New Roman"/>
                      <w:i/>
                      <w:noProof/>
                      <w:sz w:val="18"/>
                      <w:szCs w:val="18"/>
                      <w:lang w:val="en-GB" w:eastAsia="en-GB"/>
                    </w:rPr>
                    <w:lastRenderedPageBreak/>
                    <w:t>Figure 4.7. Energy-related CO</w:t>
                  </w:r>
                  <w:r w:rsidRPr="00D022A9">
                    <w:rPr>
                      <w:rFonts w:ascii="Calibri" w:eastAsiaTheme="minorHAnsi" w:hAnsi="Calibri" w:cs="Times New Roman"/>
                      <w:i/>
                      <w:noProof/>
                      <w:sz w:val="18"/>
                      <w:szCs w:val="18"/>
                      <w:vertAlign w:val="subscript"/>
                      <w:lang w:val="en-GB" w:eastAsia="en-GB"/>
                    </w:rPr>
                    <w:t>2</w:t>
                  </w:r>
                  <w:r w:rsidRPr="00D022A9">
                    <w:rPr>
                      <w:rFonts w:ascii="Calibri" w:eastAsiaTheme="minorHAnsi" w:hAnsi="Calibri" w:cs="Times New Roman"/>
                      <w:i/>
                      <w:noProof/>
                      <w:sz w:val="18"/>
                      <w:szCs w:val="18"/>
                      <w:lang w:val="en-GB" w:eastAsia="en-GB"/>
                    </w:rPr>
                    <w:t xml:space="preserve"> emissions pathway for China, 2010/2050</w:t>
                  </w:r>
                </w:p>
              </w:tc>
              <w:tc>
                <w:tcPr>
                  <w:tcW w:w="3648" w:type="dxa"/>
                </w:tcPr>
                <w:p w:rsidR="00D022A9" w:rsidRPr="00D022A9" w:rsidRDefault="00D022A9" w:rsidP="00D022A9">
                  <w:pPr>
                    <w:spacing w:before="120" w:after="120" w:line="259" w:lineRule="auto"/>
                    <w:jc w:val="both"/>
                    <w:rPr>
                      <w:rFonts w:ascii="Calibri" w:eastAsiaTheme="minorHAnsi" w:hAnsi="Calibri" w:cs="Times New Roman"/>
                      <w:i/>
                      <w:noProof/>
                      <w:sz w:val="18"/>
                      <w:szCs w:val="18"/>
                      <w:lang w:val="en-GB" w:eastAsia="en-GB"/>
                    </w:rPr>
                  </w:pPr>
                  <w:r w:rsidRPr="00D022A9">
                    <w:rPr>
                      <w:rFonts w:ascii="Calibri" w:eastAsiaTheme="minorHAnsi" w:hAnsi="Calibri" w:cs="Times New Roman"/>
                      <w:i/>
                      <w:noProof/>
                      <w:sz w:val="18"/>
                      <w:szCs w:val="18"/>
                      <w:lang w:val="en-GB" w:eastAsia="en-GB"/>
                    </w:rPr>
                    <w:t>Figure 4.8. Energy supply pathway for electricity generation for China, 2010-2050</w:t>
                  </w:r>
                </w:p>
              </w:tc>
            </w:tr>
          </w:tbl>
          <w:p w:rsidR="00D022A9" w:rsidRPr="00D022A9" w:rsidRDefault="00D022A9" w:rsidP="009F6910">
            <w:pPr>
              <w:jc w:val="both"/>
              <w:rPr>
                <w:rFonts w:ascii="Calibri" w:hAnsi="Calibri"/>
                <w:lang w:val="en-GB"/>
              </w:rPr>
            </w:pPr>
            <w:r w:rsidRPr="00D022A9">
              <w:rPr>
                <w:rFonts w:ascii="Calibri" w:hAnsi="Calibri" w:cs="Times New Roman"/>
                <w:sz w:val="20"/>
                <w:szCs w:val="20"/>
                <w:lang w:val="en-GB"/>
              </w:rPr>
              <w:t xml:space="preserve">The project shows the critical need for large scale global technology RDD&amp;D and transfer efforts. A common feature of most pathways, is the need to decarbonise freight transport and industry. The final DDPP report will review investment levels and policy frameworks to enable the transition. </w:t>
            </w:r>
            <w:r w:rsidRPr="00D022A9">
              <w:rPr>
                <w:rFonts w:ascii="Calibri" w:hAnsi="Calibri"/>
                <w:b/>
                <w:sz w:val="20"/>
                <w:szCs w:val="20"/>
                <w:lang w:val="en-GB"/>
              </w:rPr>
              <w:t xml:space="preserve">Source: </w:t>
            </w:r>
            <w:r w:rsidRPr="00D022A9">
              <w:rPr>
                <w:rFonts w:ascii="Calibri" w:hAnsi="Calibri" w:cs="Times New Roman"/>
                <w:sz w:val="20"/>
                <w:szCs w:val="20"/>
                <w:lang w:val="en-GB"/>
              </w:rPr>
              <w:t>IDDRI and SDSN, 2014</w:t>
            </w:r>
            <w:r w:rsidR="00E13392" w:rsidRPr="00D022A9">
              <w:rPr>
                <w:rFonts w:ascii="Calibri" w:hAnsi="Calibri" w:cs="Times New Roman"/>
                <w:sz w:val="20"/>
                <w:szCs w:val="20"/>
                <w:lang w:val="en-GB"/>
              </w:rPr>
              <w:fldChar w:fldCharType="begin"/>
            </w:r>
            <w:r w:rsidR="009F6910">
              <w:rPr>
                <w:rFonts w:ascii="Calibri" w:hAnsi="Calibri" w:cs="Times New Roman"/>
                <w:sz w:val="20"/>
                <w:szCs w:val="20"/>
                <w:lang w:val="en-GB"/>
              </w:rPr>
              <w:instrText xml:space="preserve"> ADDIN EN.CITE &lt;EndNote&gt;&lt;Cite&gt;&lt;Author&gt;Institute for Sustainable Development and International Relations&lt;/Author&gt;&lt;Year&gt;2014&lt;/Year&gt;&lt;RecNum&gt;1440&lt;/RecNum&gt;&lt;DisplayText&gt;&lt;style face="superscript"&gt;229&lt;/style&gt;&lt;/DisplayText&gt;&lt;record&gt;&lt;rec-number&gt;1440&lt;/rec-number&gt;&lt;foreign-keys&gt;&lt;key app="EN" db-id="wtftd20rmszxx0ettxy5exwdf90wv22s2dsf" timestamp="1419299973"&gt;1440&lt;/key&gt;&lt;/foreign-keys&gt;&lt;ref-type name="Report"&gt;27&lt;/ref-type&gt;&lt;contributors&gt;&lt;authors&gt;&lt;author&gt;Institute for Sustainable Development and International Relations,&lt;/author&gt;&lt;author&gt;Sustainable Development Solutions Network,&lt;/author&gt;&lt;/authors&gt;&lt;/contributors&gt;&lt;titles&gt;&lt;title&gt;Pathways to deep decarbonization: Interim 2014 report&lt;/title&gt;&lt;/titles&gt;&lt;dates&gt;&lt;year&gt;2014&lt;/year&gt;&lt;/dates&gt;&lt;pub-location&gt;Washington D.C.&lt;/pub-location&gt;&lt;urls&gt;&lt;/urls&gt;&lt;/record&gt;&lt;/Cite&gt;&lt;/EndNote&gt;</w:instrText>
            </w:r>
            <w:r w:rsidR="00E13392" w:rsidRPr="00D022A9">
              <w:rPr>
                <w:rFonts w:ascii="Calibri" w:hAnsi="Calibri" w:cs="Times New Roman"/>
                <w:sz w:val="20"/>
                <w:szCs w:val="20"/>
                <w:lang w:val="en-GB"/>
              </w:rPr>
              <w:fldChar w:fldCharType="separate"/>
            </w:r>
            <w:r w:rsidR="009F6910" w:rsidRPr="009F6910">
              <w:rPr>
                <w:rFonts w:ascii="Calibri" w:hAnsi="Calibri" w:cs="Times New Roman"/>
                <w:noProof/>
                <w:sz w:val="20"/>
                <w:szCs w:val="20"/>
                <w:vertAlign w:val="superscript"/>
                <w:lang w:val="en-GB"/>
              </w:rPr>
              <w:t>229</w:t>
            </w:r>
            <w:r w:rsidR="00E13392" w:rsidRPr="00D022A9">
              <w:rPr>
                <w:rFonts w:ascii="Calibri" w:hAnsi="Calibri" w:cs="Times New Roman"/>
                <w:sz w:val="20"/>
                <w:szCs w:val="20"/>
                <w:lang w:val="en-GB"/>
              </w:rPr>
              <w:fldChar w:fldCharType="end"/>
            </w:r>
          </w:p>
        </w:tc>
      </w:tr>
    </w:tbl>
    <w:p w:rsidR="00D022A9" w:rsidRPr="00D022A9" w:rsidRDefault="00D022A9" w:rsidP="00D022A9">
      <w:pPr>
        <w:spacing w:after="160" w:line="259" w:lineRule="auto"/>
        <w:rPr>
          <w:rFonts w:eastAsiaTheme="minorHAnsi"/>
          <w:sz w:val="22"/>
          <w:szCs w:val="22"/>
          <w:lang w:val="en-AU" w:eastAsia="en-US"/>
        </w:rPr>
      </w:pPr>
    </w:p>
    <w:p w:rsidR="00051058" w:rsidRDefault="00051058" w:rsidP="004349AE">
      <w:pPr>
        <w:rPr>
          <w:rFonts w:ascii="Calibri" w:hAnsi="Calibri" w:cs="Times New Roman"/>
          <w:sz w:val="22"/>
          <w:lang w:val="en-GB"/>
        </w:rPr>
      </w:pPr>
    </w:p>
    <w:p w:rsidR="00051058" w:rsidRDefault="00051058" w:rsidP="00051058">
      <w:pPr>
        <w:jc w:val="both"/>
        <w:rPr>
          <w:rFonts w:ascii="Calibri" w:hAnsi="Calibri" w:cs="Times New Roman"/>
          <w:sz w:val="22"/>
          <w:szCs w:val="22"/>
          <w:lang w:val="en-GB"/>
        </w:rPr>
      </w:pPr>
      <w:r>
        <w:rPr>
          <w:rFonts w:ascii="Calibri" w:hAnsi="Calibri" w:cs="Times New Roman"/>
          <w:sz w:val="22"/>
          <w:szCs w:val="22"/>
          <w:lang w:val="en-GB"/>
        </w:rPr>
        <w:t xml:space="preserve">Transforming the global economy in anything like the </w:t>
      </w:r>
      <w:r w:rsidRPr="006B3566">
        <w:rPr>
          <w:rFonts w:ascii="Calibri" w:hAnsi="Calibri" w:cs="Times New Roman"/>
          <w:sz w:val="22"/>
          <w:szCs w:val="22"/>
          <w:lang w:val="en-GB"/>
        </w:rPr>
        <w:t xml:space="preserve">timescale </w:t>
      </w:r>
      <w:r>
        <w:rPr>
          <w:rFonts w:ascii="Calibri" w:hAnsi="Calibri" w:cs="Times New Roman"/>
          <w:sz w:val="22"/>
          <w:szCs w:val="22"/>
          <w:lang w:val="en-GB"/>
        </w:rPr>
        <w:t>implied by the above discussion requires unprecedented action in both industrialised and</w:t>
      </w:r>
      <w:r w:rsidRPr="006B3566">
        <w:rPr>
          <w:rFonts w:ascii="Calibri" w:hAnsi="Calibri" w:cs="Times New Roman"/>
          <w:sz w:val="22"/>
          <w:szCs w:val="22"/>
          <w:lang w:val="en-GB"/>
        </w:rPr>
        <w:t xml:space="preserve"> developing countries</w:t>
      </w:r>
      <w:r>
        <w:rPr>
          <w:rFonts w:ascii="Calibri" w:hAnsi="Calibri" w:cs="Times New Roman"/>
          <w:sz w:val="22"/>
          <w:szCs w:val="22"/>
          <w:lang w:val="en-GB"/>
        </w:rPr>
        <w:t xml:space="preserve">. The former will need to embark more-or-less immediately on </w:t>
      </w:r>
      <w:r w:rsidRPr="005C2913">
        <w:rPr>
          <w:rFonts w:ascii="Calibri" w:hAnsi="Calibri" w:cs="Times New Roman"/>
          <w:sz w:val="22"/>
          <w:szCs w:val="22"/>
          <w:lang w:val="en-GB"/>
        </w:rPr>
        <w:t>CO</w:t>
      </w:r>
      <w:r w:rsidRPr="005C2913">
        <w:rPr>
          <w:rFonts w:ascii="Calibri" w:hAnsi="Calibri" w:cs="Times New Roman"/>
          <w:sz w:val="22"/>
          <w:szCs w:val="22"/>
          <w:vertAlign w:val="subscript"/>
          <w:lang w:val="en-GB"/>
        </w:rPr>
        <w:t>2</w:t>
      </w:r>
      <w:r>
        <w:rPr>
          <w:rFonts w:ascii="Calibri" w:hAnsi="Calibri" w:cs="Times New Roman"/>
          <w:sz w:val="22"/>
          <w:szCs w:val="22"/>
          <w:lang w:val="en-GB"/>
        </w:rPr>
        <w:t xml:space="preserve"> reduction programmes with a</w:t>
      </w:r>
      <w:r w:rsidR="00921EBE">
        <w:rPr>
          <w:rFonts w:ascii="Calibri" w:hAnsi="Calibri" w:cs="Times New Roman"/>
          <w:sz w:val="22"/>
          <w:szCs w:val="22"/>
          <w:lang w:val="en-GB"/>
        </w:rPr>
        <w:t xml:space="preserve"> high</w:t>
      </w:r>
      <w:r>
        <w:rPr>
          <w:rFonts w:ascii="Calibri" w:hAnsi="Calibri" w:cs="Times New Roman"/>
          <w:sz w:val="22"/>
          <w:szCs w:val="22"/>
          <w:lang w:val="en-GB"/>
        </w:rPr>
        <w:t xml:space="preserve"> level of ambition</w:t>
      </w:r>
      <w:r w:rsidR="00921EBE">
        <w:rPr>
          <w:rFonts w:ascii="Calibri" w:hAnsi="Calibri" w:cs="Times New Roman"/>
          <w:sz w:val="22"/>
          <w:szCs w:val="22"/>
          <w:lang w:val="en-GB"/>
        </w:rPr>
        <w:t>.</w:t>
      </w:r>
      <w:r w:rsidRPr="006B3566">
        <w:rPr>
          <w:rFonts w:ascii="Calibri" w:hAnsi="Calibri" w:cs="Times New Roman"/>
          <w:sz w:val="22"/>
          <w:szCs w:val="22"/>
          <w:lang w:val="en-GB"/>
        </w:rPr>
        <w:t xml:space="preserve"> </w:t>
      </w:r>
      <w:r>
        <w:rPr>
          <w:rFonts w:ascii="Calibri" w:hAnsi="Calibri" w:cs="Times New Roman"/>
          <w:sz w:val="22"/>
          <w:szCs w:val="22"/>
          <w:lang w:val="en-GB"/>
        </w:rPr>
        <w:t xml:space="preserve">Developing countries </w:t>
      </w:r>
      <w:r w:rsidRPr="006B3566">
        <w:rPr>
          <w:rFonts w:ascii="Calibri" w:hAnsi="Calibri" w:cs="Times New Roman"/>
          <w:sz w:val="22"/>
          <w:szCs w:val="22"/>
          <w:lang w:val="en-GB"/>
        </w:rPr>
        <w:t xml:space="preserve">will need to move directly </w:t>
      </w:r>
      <w:r>
        <w:rPr>
          <w:rFonts w:ascii="Calibri" w:hAnsi="Calibri" w:cs="Times New Roman"/>
          <w:sz w:val="22"/>
          <w:szCs w:val="22"/>
          <w:lang w:val="en-GB"/>
        </w:rPr>
        <w:t>from</w:t>
      </w:r>
      <w:r w:rsidRPr="006B3566">
        <w:rPr>
          <w:rFonts w:ascii="Calibri" w:hAnsi="Calibri" w:cs="Times New Roman"/>
          <w:sz w:val="22"/>
          <w:szCs w:val="22"/>
          <w:lang w:val="en-GB"/>
        </w:rPr>
        <w:t xml:space="preserve"> Stage </w:t>
      </w:r>
      <w:r>
        <w:rPr>
          <w:rFonts w:ascii="Calibri" w:hAnsi="Calibri" w:cs="Times New Roman"/>
          <w:sz w:val="22"/>
          <w:szCs w:val="22"/>
          <w:lang w:val="en-GB"/>
        </w:rPr>
        <w:t xml:space="preserve">1 </w:t>
      </w:r>
      <w:r w:rsidRPr="006B3566">
        <w:rPr>
          <w:rFonts w:ascii="Calibri" w:hAnsi="Calibri" w:cs="Times New Roman"/>
          <w:sz w:val="22"/>
          <w:szCs w:val="22"/>
          <w:lang w:val="en-GB"/>
        </w:rPr>
        <w:t>to Stage 3 (</w:t>
      </w:r>
      <w:r>
        <w:rPr>
          <w:rFonts w:ascii="Calibri" w:hAnsi="Calibri" w:cs="Times New Roman"/>
          <w:sz w:val="22"/>
          <w:szCs w:val="22"/>
          <w:lang w:val="en-GB"/>
        </w:rPr>
        <w:t xml:space="preserve">significantly reduced </w:t>
      </w:r>
      <w:r w:rsidRPr="006B3566">
        <w:rPr>
          <w:rFonts w:ascii="Calibri" w:hAnsi="Calibri" w:cs="Times New Roman"/>
          <w:sz w:val="22"/>
          <w:szCs w:val="22"/>
          <w:lang w:val="en-GB"/>
        </w:rPr>
        <w:t>emissions</w:t>
      </w:r>
      <w:r>
        <w:rPr>
          <w:rFonts w:ascii="Calibri" w:hAnsi="Calibri" w:cs="Times New Roman"/>
          <w:sz w:val="22"/>
          <w:szCs w:val="22"/>
          <w:lang w:val="en-GB"/>
        </w:rPr>
        <w:t xml:space="preserve"> with associated </w:t>
      </w:r>
      <w:r w:rsidRPr="006B3566">
        <w:rPr>
          <w:rFonts w:ascii="Calibri" w:hAnsi="Calibri" w:cs="Times New Roman"/>
          <w:sz w:val="22"/>
          <w:szCs w:val="22"/>
          <w:lang w:val="en-GB"/>
        </w:rPr>
        <w:t xml:space="preserve">high GDP and </w:t>
      </w:r>
      <w:r>
        <w:rPr>
          <w:rFonts w:ascii="Calibri" w:hAnsi="Calibri" w:cs="Times New Roman"/>
          <w:sz w:val="22"/>
          <w:szCs w:val="22"/>
          <w:lang w:val="en-GB"/>
        </w:rPr>
        <w:t xml:space="preserve">indices of public health) probably with </w:t>
      </w:r>
      <w:r w:rsidRPr="006B3566">
        <w:rPr>
          <w:rFonts w:ascii="Calibri" w:hAnsi="Calibri" w:cs="Times New Roman"/>
          <w:sz w:val="22"/>
          <w:szCs w:val="22"/>
          <w:lang w:val="en-GB"/>
        </w:rPr>
        <w:t>both capital and technical support from developed countries</w:t>
      </w:r>
      <w:r>
        <w:rPr>
          <w:rFonts w:ascii="Calibri" w:hAnsi="Calibri" w:cs="Times New Roman"/>
          <w:sz w:val="22"/>
          <w:szCs w:val="22"/>
          <w:lang w:val="en-GB"/>
        </w:rPr>
        <w:t>.</w:t>
      </w:r>
      <w:r w:rsidRPr="007D7E7D">
        <w:rPr>
          <w:rFonts w:ascii="Calibri" w:hAnsi="Calibri" w:cs="Times New Roman"/>
          <w:sz w:val="22"/>
          <w:szCs w:val="22"/>
          <w:lang w:val="en-GB"/>
        </w:rPr>
        <w:t xml:space="preserve"> </w:t>
      </w:r>
      <w:r w:rsidRPr="000D353B">
        <w:rPr>
          <w:rFonts w:ascii="Calibri" w:hAnsi="Calibri" w:cs="Times New Roman"/>
          <w:sz w:val="22"/>
          <w:szCs w:val="22"/>
          <w:lang w:val="en-GB"/>
        </w:rPr>
        <w:t xml:space="preserve">Delayed emission reduction would lower the possibility to </w:t>
      </w:r>
      <w:r>
        <w:rPr>
          <w:rFonts w:ascii="Calibri" w:hAnsi="Calibri" w:cs="Times New Roman"/>
          <w:sz w:val="22"/>
          <w:szCs w:val="22"/>
          <w:lang w:val="en-GB"/>
        </w:rPr>
        <w:t>control</w:t>
      </w:r>
      <w:r w:rsidRPr="000D353B">
        <w:rPr>
          <w:rFonts w:ascii="Calibri" w:hAnsi="Calibri" w:cs="Times New Roman"/>
          <w:sz w:val="22"/>
          <w:szCs w:val="22"/>
          <w:lang w:val="en-GB"/>
        </w:rPr>
        <w:t xml:space="preserve"> climate change</w:t>
      </w:r>
      <w:r>
        <w:rPr>
          <w:rFonts w:ascii="Calibri" w:hAnsi="Calibri" w:cs="Times New Roman"/>
          <w:sz w:val="22"/>
          <w:szCs w:val="22"/>
          <w:lang w:val="en-GB"/>
        </w:rPr>
        <w:t>,</w:t>
      </w:r>
      <w:r w:rsidRPr="000D353B">
        <w:rPr>
          <w:rFonts w:ascii="Calibri" w:hAnsi="Calibri" w:cs="Times New Roman"/>
          <w:sz w:val="22"/>
          <w:szCs w:val="22"/>
          <w:lang w:val="en-GB"/>
        </w:rPr>
        <w:t xml:space="preserve"> raise costs</w:t>
      </w:r>
      <w:r w:rsidRPr="00B52CC1">
        <w:rPr>
          <w:rFonts w:ascii="Calibri" w:hAnsi="Calibri" w:cs="Palatino"/>
          <w:sz w:val="22"/>
          <w:szCs w:val="22"/>
          <w:lang w:val="en-GB"/>
        </w:rPr>
        <w:t xml:space="preserve"> </w:t>
      </w:r>
      <w:r>
        <w:rPr>
          <w:rFonts w:ascii="Calibri" w:hAnsi="Calibri" w:cs="Times New Roman"/>
          <w:sz w:val="22"/>
          <w:szCs w:val="22"/>
          <w:lang w:val="en-GB"/>
        </w:rPr>
        <w:t>and</w:t>
      </w:r>
      <w:r w:rsidRPr="006B3566">
        <w:rPr>
          <w:rFonts w:ascii="Calibri" w:hAnsi="Calibri" w:cs="Times New Roman"/>
          <w:sz w:val="22"/>
          <w:szCs w:val="22"/>
          <w:lang w:val="en-GB"/>
        </w:rPr>
        <w:t xml:space="preserve"> force </w:t>
      </w:r>
      <w:r>
        <w:rPr>
          <w:rFonts w:ascii="Calibri" w:hAnsi="Calibri" w:cs="Times New Roman"/>
          <w:sz w:val="22"/>
          <w:szCs w:val="22"/>
          <w:lang w:val="en-GB"/>
        </w:rPr>
        <w:t>the</w:t>
      </w:r>
      <w:r w:rsidRPr="006B3566">
        <w:rPr>
          <w:rFonts w:ascii="Calibri" w:hAnsi="Calibri" w:cs="Times New Roman"/>
          <w:sz w:val="22"/>
          <w:szCs w:val="22"/>
          <w:lang w:val="en-GB"/>
        </w:rPr>
        <w:t xml:space="preserve"> uptake </w:t>
      </w:r>
      <w:r>
        <w:rPr>
          <w:rFonts w:ascii="Calibri" w:hAnsi="Calibri" w:cs="Times New Roman"/>
          <w:sz w:val="22"/>
          <w:szCs w:val="22"/>
          <w:lang w:val="en-GB"/>
        </w:rPr>
        <w:t>of</w:t>
      </w:r>
      <w:r w:rsidRPr="006B3566">
        <w:rPr>
          <w:rFonts w:ascii="Calibri" w:hAnsi="Calibri" w:cs="Times New Roman"/>
          <w:sz w:val="22"/>
          <w:szCs w:val="22"/>
          <w:lang w:val="en-GB"/>
        </w:rPr>
        <w:t xml:space="preserve"> riskier and unproven mitigation technologies </w:t>
      </w:r>
      <w:r>
        <w:rPr>
          <w:rFonts w:ascii="Calibri" w:hAnsi="Calibri" w:cs="Times New Roman"/>
          <w:sz w:val="22"/>
          <w:szCs w:val="22"/>
          <w:lang w:val="en-GB"/>
        </w:rPr>
        <w:t xml:space="preserve">with increased risk of unintended consequences for </w:t>
      </w:r>
      <w:r w:rsidRPr="006B3566">
        <w:rPr>
          <w:rFonts w:ascii="Calibri" w:hAnsi="Calibri" w:cs="Times New Roman"/>
          <w:sz w:val="22"/>
          <w:szCs w:val="22"/>
          <w:lang w:val="en-GB"/>
        </w:rPr>
        <w:t>human wellbeing and ecosystems.</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&lt;EndNote&gt;&lt;Cite&gt;&lt;Author&gt;Mills&lt;/Author&gt;&lt;Year&gt;2012&lt;/Year&gt;&lt;RecNum&gt;1470&lt;/RecNum&gt;&lt;DisplayText&gt;&lt;style face="superscript"&gt;238&lt;/style&gt;&lt;/DisplayText&gt;&lt;record&gt;&lt;rec-number&gt;1470&lt;/rec-number&gt;&lt;foreign-keys&gt;&lt;key app="EN" db-id="wtftd20rmszxx0ettxy5exwdf90wv22s2dsf" timestamp="1419305603"&gt;1470&lt;/key&gt;&lt;/foreign-keys&gt;&lt;ref-type name="Journal Article"&gt;17&lt;/ref-type&gt;&lt;contributors&gt;&lt;authors&gt;&lt;author&gt;E Mills&lt;/author&gt;&lt;/authors&gt;&lt;/contributors&gt;&lt;titles&gt;&lt;title&gt;Weighing the risks of climate change mitigation strategies&lt;/title&gt;&lt;secondary-title&gt;Bulletin of the Atomic Scientists&lt;/secondary-title&gt;&lt;/titles&gt;&lt;periodical&gt;&lt;full-title&gt;Bulletin of the Atomic Scientists&lt;/full-title&gt;&lt;/periodical&gt;&lt;pages&gt;67-78&lt;/pages&gt;&lt;volume&gt;68&lt;/volume&gt;&lt;dates&gt;&lt;year&gt;2012&lt;/year&gt;&lt;/dates&gt;&lt;urls&gt;&lt;/urls&gt;&lt;/record&gt;&lt;/Cite&gt;&lt;/EndNote&gt;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238</w:t>
      </w:r>
      <w:r w:rsidR="00E13392">
        <w:rPr>
          <w:rFonts w:ascii="Calibri" w:hAnsi="Calibri" w:cs="Times New Roman"/>
          <w:sz w:val="22"/>
          <w:szCs w:val="22"/>
          <w:lang w:val="en-GB"/>
        </w:rPr>
        <w:fldChar w:fldCharType="end"/>
      </w:r>
    </w:p>
    <w:p w:rsidR="00051058" w:rsidRDefault="00051058" w:rsidP="00051058">
      <w:pPr>
        <w:jc w:val="both"/>
        <w:rPr>
          <w:rFonts w:ascii="Calibri" w:hAnsi="Calibri" w:cs="Times New Roman"/>
          <w:sz w:val="22"/>
          <w:szCs w:val="22"/>
          <w:lang w:val="en-GB"/>
        </w:rPr>
      </w:pPr>
    </w:p>
    <w:p w:rsidR="00051058" w:rsidRPr="00A56960" w:rsidRDefault="00051058" w:rsidP="00051058">
      <w:pPr>
        <w:jc w:val="both"/>
        <w:rPr>
          <w:rFonts w:ascii="Calibri" w:hAnsi="Calibri" w:cs="Times New Roman"/>
          <w:sz w:val="22"/>
          <w:szCs w:val="22"/>
          <w:lang w:val="en-GB"/>
        </w:rPr>
      </w:pPr>
      <w:r w:rsidRPr="00482B17">
        <w:rPr>
          <w:rFonts w:ascii="Calibri" w:hAnsi="Calibri" w:cs="Times New Roman"/>
          <w:sz w:val="22"/>
          <w:szCs w:val="22"/>
          <w:lang w:val="en-GB"/>
        </w:rPr>
        <w:t xml:space="preserve">The range of unintended consequences when the technologies are administered to different systems is large, complicated and in </w:t>
      </w:r>
      <w:r>
        <w:rPr>
          <w:rFonts w:ascii="Calibri" w:hAnsi="Calibri" w:cs="Times New Roman"/>
          <w:sz w:val="22"/>
          <w:szCs w:val="22"/>
          <w:lang w:val="en-GB"/>
        </w:rPr>
        <w:t>some</w:t>
      </w:r>
      <w:r w:rsidRPr="00482B17">
        <w:rPr>
          <w:rFonts w:ascii="Calibri" w:hAnsi="Calibri" w:cs="Times New Roman"/>
          <w:sz w:val="22"/>
          <w:szCs w:val="22"/>
          <w:lang w:val="en-GB"/>
        </w:rPr>
        <w:t xml:space="preserve"> areas poorly understood. </w:t>
      </w:r>
      <w:r>
        <w:rPr>
          <w:rFonts w:ascii="Calibri" w:hAnsi="Calibri" w:cs="Times New Roman"/>
          <w:sz w:val="22"/>
          <w:szCs w:val="22"/>
          <w:lang w:val="en-GB"/>
        </w:rPr>
        <w:t xml:space="preserve"> Ultimately, rapid mass</w:t>
      </w:r>
      <w:r w:rsidRPr="00C636DF">
        <w:rPr>
          <w:rFonts w:ascii="Calibri" w:hAnsi="Calibri" w:cs="Times New Roman"/>
          <w:sz w:val="22"/>
          <w:szCs w:val="22"/>
          <w:lang w:val="en-GB"/>
        </w:rPr>
        <w:t xml:space="preserve"> deployment of low carbon technologies requires a better understanding of the drivers and barriers to delivery </w:t>
      </w:r>
      <w:r w:rsidRPr="001408C1">
        <w:rPr>
          <w:rFonts w:ascii="Calibri" w:hAnsi="Calibri" w:cs="Times New Roman"/>
          <w:sz w:val="22"/>
          <w:szCs w:val="22"/>
          <w:lang w:val="en-GB"/>
        </w:rPr>
        <w:t>within different economic sectors, the scal</w:t>
      </w:r>
      <w:r w:rsidRPr="007B795B">
        <w:rPr>
          <w:rFonts w:ascii="Calibri" w:hAnsi="Calibri" w:cs="Times New Roman"/>
          <w:sz w:val="22"/>
          <w:szCs w:val="22"/>
          <w:lang w:val="en-GB"/>
        </w:rPr>
        <w:t>e and opportunity of deployment, the setting and its context including the actors and decision-makers involved.</w:t>
      </w:r>
      <w:r w:rsidRPr="000D353B">
        <w:rPr>
          <w:rFonts w:ascii="Calibri" w:hAnsi="Calibri" w:cs="Times New Roman"/>
          <w:sz w:val="22"/>
          <w:szCs w:val="22"/>
          <w:lang w:val="en-GB"/>
        </w:rPr>
        <w:t xml:space="preserve"> </w:t>
      </w:r>
      <w:r>
        <w:rPr>
          <w:rFonts w:ascii="Calibri" w:hAnsi="Calibri" w:cs="Times New Roman"/>
          <w:sz w:val="22"/>
          <w:szCs w:val="22"/>
          <w:lang w:val="en-GB"/>
        </w:rPr>
        <w:t xml:space="preserve"> The application of low-carbon technologies, t</w:t>
      </w:r>
      <w:r w:rsidRPr="00482B17">
        <w:rPr>
          <w:rFonts w:ascii="Calibri" w:hAnsi="Calibri" w:cs="Times New Roman"/>
          <w:sz w:val="22"/>
          <w:szCs w:val="22"/>
          <w:lang w:val="en-GB"/>
        </w:rPr>
        <w:t xml:space="preserve">heir impact, deployment and co-benefits must be maximised by understanding what works, where it works and why it works. This understanding is particularly important to support emerging technologies that are yet to reach market-scale deployment. </w:t>
      </w:r>
      <w:r>
        <w:rPr>
          <w:rFonts w:ascii="Calibri" w:hAnsi="Calibri" w:cs="Times New Roman"/>
          <w:sz w:val="22"/>
          <w:szCs w:val="22"/>
          <w:lang w:val="en-GB"/>
        </w:rPr>
        <w:t>T</w:t>
      </w:r>
      <w:r w:rsidRPr="00E04EEB">
        <w:rPr>
          <w:rFonts w:ascii="Calibri" w:hAnsi="Calibri" w:cs="Times New Roman"/>
          <w:sz w:val="22"/>
          <w:szCs w:val="22"/>
          <w:lang w:val="en-GB"/>
        </w:rPr>
        <w:t xml:space="preserve">hree key drivers </w:t>
      </w:r>
      <w:r>
        <w:rPr>
          <w:rFonts w:ascii="Calibri" w:hAnsi="Calibri" w:cs="Times New Roman"/>
          <w:sz w:val="22"/>
          <w:szCs w:val="22"/>
          <w:lang w:val="en-GB"/>
        </w:rPr>
        <w:t>are required</w:t>
      </w:r>
      <w:r w:rsidRPr="00E04EEB">
        <w:rPr>
          <w:rFonts w:ascii="Calibri" w:hAnsi="Calibri" w:cs="Times New Roman"/>
          <w:sz w:val="22"/>
          <w:szCs w:val="22"/>
          <w:lang w:val="en-GB"/>
        </w:rPr>
        <w:t xml:space="preserve"> to support pathways to a low carbon future: maximising the efficacy of low and zero carbon technologies; maximis</w:t>
      </w:r>
      <w:r>
        <w:rPr>
          <w:rFonts w:ascii="Calibri" w:hAnsi="Calibri" w:cs="Times New Roman"/>
          <w:sz w:val="22"/>
          <w:szCs w:val="22"/>
          <w:lang w:val="en-GB"/>
        </w:rPr>
        <w:t>e</w:t>
      </w:r>
      <w:r w:rsidRPr="00E04EEB">
        <w:rPr>
          <w:rFonts w:ascii="Calibri" w:hAnsi="Calibri" w:cs="Times New Roman"/>
          <w:sz w:val="22"/>
          <w:szCs w:val="22"/>
          <w:lang w:val="en-GB"/>
        </w:rPr>
        <w:t xml:space="preserve"> the deployment of these technologies;</w:t>
      </w:r>
      <w:r>
        <w:rPr>
          <w:rFonts w:ascii="Calibri" w:hAnsi="Calibri" w:cs="Times New Roman"/>
          <w:sz w:val="22"/>
          <w:szCs w:val="22"/>
          <w:lang w:val="en-GB"/>
        </w:rPr>
        <w:t xml:space="preserve"> </w:t>
      </w:r>
      <w:r w:rsidRPr="00E04EEB">
        <w:rPr>
          <w:rFonts w:ascii="Calibri" w:hAnsi="Calibri" w:cs="Times New Roman"/>
          <w:sz w:val="22"/>
          <w:szCs w:val="22"/>
          <w:lang w:val="en-GB"/>
        </w:rPr>
        <w:t xml:space="preserve">and maximising </w:t>
      </w:r>
      <w:r>
        <w:rPr>
          <w:rFonts w:ascii="Calibri" w:hAnsi="Calibri" w:cs="Times New Roman"/>
          <w:sz w:val="22"/>
          <w:szCs w:val="22"/>
          <w:lang w:val="en-GB"/>
        </w:rPr>
        <w:t xml:space="preserve">and internalising </w:t>
      </w:r>
      <w:r w:rsidRPr="00E04EEB">
        <w:rPr>
          <w:rFonts w:ascii="Calibri" w:hAnsi="Calibri" w:cs="Times New Roman"/>
          <w:sz w:val="22"/>
          <w:szCs w:val="22"/>
          <w:lang w:val="en-GB"/>
        </w:rPr>
        <w:t xml:space="preserve">the potential </w:t>
      </w:r>
      <w:r>
        <w:rPr>
          <w:rFonts w:ascii="Calibri" w:hAnsi="Calibri" w:cs="Times New Roman"/>
          <w:sz w:val="22"/>
          <w:szCs w:val="22"/>
          <w:lang w:val="en-GB"/>
        </w:rPr>
        <w:t xml:space="preserve">health </w:t>
      </w:r>
      <w:r w:rsidRPr="00E04EEB">
        <w:rPr>
          <w:rFonts w:ascii="Calibri" w:hAnsi="Calibri" w:cs="Times New Roman"/>
          <w:sz w:val="22"/>
          <w:szCs w:val="22"/>
          <w:lang w:val="en-GB"/>
        </w:rPr>
        <w:t>co-benefits of decarbonisation.</w:t>
      </w:r>
    </w:p>
    <w:p w:rsidR="00051058" w:rsidRPr="00A56960" w:rsidRDefault="00051058" w:rsidP="00051058">
      <w:pPr>
        <w:jc w:val="both"/>
        <w:rPr>
          <w:rFonts w:ascii="Calibri" w:hAnsi="Calibri" w:cs="Times New Roman"/>
          <w:sz w:val="22"/>
          <w:szCs w:val="22"/>
          <w:lang w:val="en-GB"/>
        </w:rPr>
      </w:pPr>
    </w:p>
    <w:p w:rsidR="00051058" w:rsidRPr="00D036C9" w:rsidRDefault="00051058" w:rsidP="00D036C9">
      <w:pPr>
        <w:pStyle w:val="Heading4"/>
        <w:rPr>
          <w:lang w:val="en-GB"/>
        </w:rPr>
      </w:pPr>
      <w:bookmarkStart w:id="109" w:name="_Toc402956391"/>
      <w:r w:rsidRPr="00A56960">
        <w:rPr>
          <w:lang w:val="en-GB"/>
        </w:rPr>
        <w:t>Maximi</w:t>
      </w:r>
      <w:r>
        <w:rPr>
          <w:lang w:val="en-GB"/>
        </w:rPr>
        <w:t>s</w:t>
      </w:r>
      <w:r w:rsidRPr="00A56960">
        <w:rPr>
          <w:lang w:val="en-GB"/>
        </w:rPr>
        <w:t xml:space="preserve">ing </w:t>
      </w:r>
      <w:bookmarkEnd w:id="109"/>
      <w:r>
        <w:rPr>
          <w:lang w:val="en-GB"/>
        </w:rPr>
        <w:t>E</w:t>
      </w:r>
      <w:r w:rsidRPr="00A56960">
        <w:rPr>
          <w:lang w:val="en-GB"/>
        </w:rPr>
        <w:t>fficacy</w:t>
      </w:r>
    </w:p>
    <w:p w:rsidR="00051058" w:rsidRPr="006B3566" w:rsidRDefault="00051058" w:rsidP="00051058">
      <w:pPr>
        <w:jc w:val="both"/>
        <w:rPr>
          <w:rFonts w:ascii="Calibri" w:hAnsi="Calibri" w:cs="Times New Roman"/>
          <w:sz w:val="22"/>
          <w:lang w:val="en-GB"/>
        </w:rPr>
      </w:pPr>
      <w:r w:rsidRPr="006B3566">
        <w:rPr>
          <w:rFonts w:ascii="Calibri" w:hAnsi="Calibri" w:cs="Times New Roman"/>
          <w:sz w:val="22"/>
          <w:szCs w:val="22"/>
          <w:lang w:val="en-GB"/>
        </w:rPr>
        <w:t xml:space="preserve">Although significant progress has been made in adopting clean technologies, the resulting impact on energy intensities </w:t>
      </w:r>
      <w:r>
        <w:rPr>
          <w:rFonts w:ascii="Calibri" w:hAnsi="Calibri" w:cs="Times New Roman"/>
          <w:sz w:val="22"/>
          <w:szCs w:val="22"/>
          <w:lang w:val="en-GB"/>
        </w:rPr>
        <w:t xml:space="preserve">and carbon emissions </w:t>
      </w:r>
      <w:r w:rsidRPr="006B3566">
        <w:rPr>
          <w:rFonts w:ascii="Calibri" w:hAnsi="Calibri" w:cs="Times New Roman"/>
          <w:sz w:val="22"/>
          <w:szCs w:val="22"/>
          <w:lang w:val="en-GB"/>
        </w:rPr>
        <w:t xml:space="preserve">has been lower than expected. </w:t>
      </w:r>
      <w:r w:rsidRPr="006B3566">
        <w:rPr>
          <w:rFonts w:ascii="Calibri" w:hAnsi="Calibri" w:cs="Times New Roman"/>
          <w:sz w:val="22"/>
          <w:lang w:val="en-GB"/>
        </w:rPr>
        <w:t>Barriers to adopt</w:t>
      </w:r>
      <w:r>
        <w:rPr>
          <w:rFonts w:ascii="Calibri" w:hAnsi="Calibri" w:cs="Times New Roman"/>
          <w:sz w:val="22"/>
          <w:lang w:val="en-GB"/>
        </w:rPr>
        <w:t>ion and deployment of</w:t>
      </w:r>
      <w:r w:rsidRPr="006B3566">
        <w:rPr>
          <w:rFonts w:ascii="Calibri" w:hAnsi="Calibri" w:cs="Times New Roman"/>
          <w:sz w:val="22"/>
          <w:lang w:val="en-GB"/>
        </w:rPr>
        <w:t xml:space="preserve"> mitigation technology include a lack of awareness and access to technical knowledge, segmentation and fragmentation within and amongst sectors, and financial disincentives. These barriers will be particularly acute in developing countries where the benefits of energy efficiency are not necessarily recognised and may be a lower priority compared to many other urgent issues, such </w:t>
      </w:r>
      <w:r w:rsidRPr="006B3566">
        <w:rPr>
          <w:rFonts w:ascii="Calibri" w:hAnsi="Calibri" w:cs="Times New Roman"/>
          <w:sz w:val="22"/>
          <w:lang w:val="en-GB"/>
        </w:rPr>
        <w:lastRenderedPageBreak/>
        <w:t>as poverty eradication, public health improvement and crime reduction; this may be further affected by a lack of means of communication. Further, due to a lack of quantitative and reliable measurements of energy performance, many stakeholders are not aware of energy savings potential.</w:t>
      </w:r>
      <w:r>
        <w:rPr>
          <w:rFonts w:ascii="Calibri" w:hAnsi="Calibri" w:cs="Times New Roman"/>
          <w:sz w:val="22"/>
          <w:lang w:val="en-GB"/>
        </w:rPr>
        <w:t xml:space="preserve"> </w:t>
      </w:r>
      <w:r w:rsidRPr="006B3566">
        <w:rPr>
          <w:rFonts w:ascii="Calibri" w:hAnsi="Calibri" w:cs="Times New Roman"/>
          <w:sz w:val="22"/>
          <w:lang w:val="en-GB"/>
        </w:rPr>
        <w:t>We propose th</w:t>
      </w:r>
      <w:r>
        <w:rPr>
          <w:rFonts w:ascii="Calibri" w:hAnsi="Calibri" w:cs="Times New Roman"/>
          <w:sz w:val="22"/>
          <w:lang w:val="en-GB"/>
        </w:rPr>
        <w:t>ree</w:t>
      </w:r>
      <w:r w:rsidRPr="006B3566">
        <w:rPr>
          <w:rFonts w:ascii="Calibri" w:hAnsi="Calibri" w:cs="Times New Roman"/>
          <w:sz w:val="22"/>
          <w:lang w:val="en-GB"/>
        </w:rPr>
        <w:t xml:space="preserve"> actions to improve efficacy:</w:t>
      </w:r>
    </w:p>
    <w:p w:rsidR="00051058" w:rsidRPr="006B3566" w:rsidRDefault="00051058" w:rsidP="004349AE">
      <w:pPr>
        <w:rPr>
          <w:rFonts w:ascii="Calibri" w:hAnsi="Calibri"/>
          <w:lang w:val="en-GB"/>
        </w:rPr>
      </w:pPr>
    </w:p>
    <w:p w:rsidR="00051058" w:rsidRPr="006B3566" w:rsidRDefault="00051058" w:rsidP="00051058">
      <w:pPr>
        <w:pStyle w:val="ListParagraph"/>
        <w:numPr>
          <w:ilvl w:val="0"/>
          <w:numId w:val="3"/>
        </w:numPr>
        <w:rPr>
          <w:rFonts w:ascii="Calibri" w:hAnsi="Calibri"/>
          <w:lang w:val="en-GB"/>
        </w:rPr>
      </w:pPr>
      <w:r w:rsidRPr="006B3566">
        <w:rPr>
          <w:rFonts w:ascii="Calibri" w:hAnsi="Calibri" w:cs="Times New Roman"/>
          <w:sz w:val="22"/>
          <w:lang w:val="en-GB"/>
        </w:rPr>
        <w:t>Understanding the direct and indirect impacts of technologies from an integrated technical, economic, social</w:t>
      </w:r>
      <w:r w:rsidR="00DF6540">
        <w:rPr>
          <w:rFonts w:ascii="Calibri" w:hAnsi="Calibri" w:cs="Times New Roman"/>
          <w:sz w:val="22"/>
          <w:lang w:val="en-GB"/>
        </w:rPr>
        <w:t>, health</w:t>
      </w:r>
      <w:r w:rsidRPr="006B3566">
        <w:rPr>
          <w:rFonts w:ascii="Calibri" w:hAnsi="Calibri" w:cs="Times New Roman"/>
          <w:sz w:val="22"/>
          <w:lang w:val="en-GB"/>
        </w:rPr>
        <w:t xml:space="preserve"> and cultural, and political perspective</w:t>
      </w:r>
      <w:r>
        <w:rPr>
          <w:rFonts w:ascii="Calibri" w:hAnsi="Calibri" w:cs="Times New Roman"/>
          <w:sz w:val="22"/>
          <w:lang w:val="en-GB"/>
        </w:rPr>
        <w:t>;</w:t>
      </w:r>
    </w:p>
    <w:p w:rsidR="00051058" w:rsidRPr="006B3566" w:rsidRDefault="00051058" w:rsidP="00051058">
      <w:pPr>
        <w:pStyle w:val="ListParagraph"/>
        <w:numPr>
          <w:ilvl w:val="0"/>
          <w:numId w:val="3"/>
        </w:numPr>
        <w:rPr>
          <w:rFonts w:ascii="Calibri" w:hAnsi="Calibri"/>
          <w:lang w:val="en-GB"/>
        </w:rPr>
      </w:pPr>
      <w:r w:rsidRPr="006B3566">
        <w:rPr>
          <w:rFonts w:ascii="Calibri" w:hAnsi="Calibri" w:cs="Times New Roman"/>
          <w:sz w:val="22"/>
          <w:lang w:val="en-GB"/>
        </w:rPr>
        <w:t>Gathering</w:t>
      </w:r>
      <w:r>
        <w:rPr>
          <w:rFonts w:ascii="Calibri" w:hAnsi="Calibri" w:cs="Times New Roman"/>
          <w:sz w:val="22"/>
          <w:lang w:val="en-GB"/>
        </w:rPr>
        <w:t xml:space="preserve">, </w:t>
      </w:r>
      <w:r w:rsidRPr="006B3566">
        <w:rPr>
          <w:rFonts w:ascii="Calibri" w:hAnsi="Calibri" w:cs="Times New Roman"/>
          <w:sz w:val="22"/>
          <w:lang w:val="en-GB"/>
        </w:rPr>
        <w:t>evaluating</w:t>
      </w:r>
      <w:r>
        <w:rPr>
          <w:rFonts w:ascii="Calibri" w:hAnsi="Calibri" w:cs="Times New Roman"/>
          <w:sz w:val="22"/>
          <w:lang w:val="en-GB"/>
        </w:rPr>
        <w:t xml:space="preserve"> and reporting</w:t>
      </w:r>
      <w:r w:rsidRPr="006B3566">
        <w:rPr>
          <w:rFonts w:ascii="Calibri" w:hAnsi="Calibri" w:cs="Times New Roman"/>
          <w:sz w:val="22"/>
          <w:lang w:val="en-GB"/>
        </w:rPr>
        <w:t xml:space="preserve"> real world evidence to support </w:t>
      </w:r>
      <w:r>
        <w:rPr>
          <w:rFonts w:ascii="Calibri" w:hAnsi="Calibri" w:cs="Times New Roman"/>
          <w:sz w:val="22"/>
          <w:lang w:val="en-GB"/>
        </w:rPr>
        <w:t>and guide</w:t>
      </w:r>
      <w:r w:rsidRPr="006B3566">
        <w:rPr>
          <w:rFonts w:ascii="Calibri" w:hAnsi="Calibri" w:cs="Times New Roman"/>
          <w:sz w:val="22"/>
          <w:lang w:val="en-GB"/>
        </w:rPr>
        <w:t xml:space="preserve"> </w:t>
      </w:r>
      <w:r>
        <w:rPr>
          <w:rFonts w:ascii="Calibri" w:hAnsi="Calibri" w:cs="Times New Roman"/>
          <w:sz w:val="22"/>
          <w:lang w:val="en-GB"/>
        </w:rPr>
        <w:t xml:space="preserve">development and implementation of mitigation </w:t>
      </w:r>
      <w:r w:rsidRPr="006B3566">
        <w:rPr>
          <w:rFonts w:ascii="Calibri" w:hAnsi="Calibri" w:cs="Times New Roman"/>
          <w:sz w:val="22"/>
          <w:lang w:val="en-GB"/>
        </w:rPr>
        <w:t>strategy</w:t>
      </w:r>
      <w:r>
        <w:rPr>
          <w:rFonts w:ascii="Calibri" w:hAnsi="Calibri" w:cs="Times New Roman"/>
          <w:sz w:val="22"/>
          <w:lang w:val="en-GB"/>
        </w:rPr>
        <w:t xml:space="preserve">; </w:t>
      </w:r>
    </w:p>
    <w:p w:rsidR="00051058" w:rsidRPr="006B3566" w:rsidRDefault="00051058" w:rsidP="00051058">
      <w:pPr>
        <w:pStyle w:val="ListParagraph"/>
        <w:numPr>
          <w:ilvl w:val="0"/>
          <w:numId w:val="3"/>
        </w:numPr>
        <w:rPr>
          <w:rFonts w:ascii="Calibri" w:hAnsi="Calibri"/>
          <w:lang w:val="en-GB"/>
        </w:rPr>
      </w:pPr>
      <w:r w:rsidRPr="006B3566">
        <w:rPr>
          <w:rFonts w:ascii="Calibri" w:hAnsi="Calibri" w:cs="Times New Roman"/>
          <w:sz w:val="22"/>
          <w:lang w:val="en-GB"/>
        </w:rPr>
        <w:t xml:space="preserve">Put in place policies and regulations (such as reporting schemes, inspections and benchmarks) to </w:t>
      </w:r>
      <w:r>
        <w:rPr>
          <w:rFonts w:ascii="Calibri" w:hAnsi="Calibri" w:cs="Times New Roman"/>
          <w:sz w:val="22"/>
          <w:lang w:val="en-GB"/>
        </w:rPr>
        <w:t>make performance visible within the market.</w:t>
      </w:r>
    </w:p>
    <w:p w:rsidR="00051058" w:rsidRPr="005F5BC6" w:rsidRDefault="00051058" w:rsidP="00051058">
      <w:pPr>
        <w:rPr>
          <w:rFonts w:ascii="Calibri" w:hAnsi="Calibri"/>
          <w:lang w:val="en-GB"/>
        </w:rPr>
      </w:pPr>
    </w:p>
    <w:p w:rsidR="00051058" w:rsidRPr="00D036C9" w:rsidRDefault="00051058" w:rsidP="00D036C9">
      <w:pPr>
        <w:pStyle w:val="Heading4"/>
        <w:rPr>
          <w:lang w:val="en-GB"/>
        </w:rPr>
      </w:pPr>
      <w:r w:rsidRPr="005F5BC6">
        <w:rPr>
          <w:lang w:val="en-GB"/>
        </w:rPr>
        <w:t>Maximi</w:t>
      </w:r>
      <w:r>
        <w:rPr>
          <w:lang w:val="en-GB"/>
        </w:rPr>
        <w:t>s</w:t>
      </w:r>
      <w:r w:rsidRPr="005F5BC6">
        <w:rPr>
          <w:lang w:val="en-GB"/>
        </w:rPr>
        <w:t xml:space="preserve">ing </w:t>
      </w:r>
      <w:r>
        <w:rPr>
          <w:lang w:val="en-GB"/>
        </w:rPr>
        <w:t>U</w:t>
      </w:r>
      <w:r w:rsidRPr="005F5BC6">
        <w:rPr>
          <w:lang w:val="en-GB"/>
        </w:rPr>
        <w:t>ptake</w:t>
      </w:r>
    </w:p>
    <w:p w:rsidR="00051058" w:rsidRPr="0061532A" w:rsidRDefault="00051058" w:rsidP="00051058">
      <w:pPr>
        <w:jc w:val="both"/>
        <w:rPr>
          <w:rFonts w:ascii="Calibri" w:hAnsi="Calibri" w:cs="Times New Roman"/>
          <w:sz w:val="22"/>
          <w:szCs w:val="22"/>
          <w:lang w:val="en-GB"/>
        </w:rPr>
      </w:pPr>
      <w:r>
        <w:rPr>
          <w:rFonts w:ascii="Calibri" w:hAnsi="Calibri" w:cs="Times New Roman"/>
          <w:sz w:val="22"/>
          <w:szCs w:val="22"/>
          <w:lang w:val="en-GB"/>
        </w:rPr>
        <w:t xml:space="preserve">Minimal </w:t>
      </w:r>
      <w:r w:rsidRPr="0061532A">
        <w:rPr>
          <w:rFonts w:ascii="Calibri" w:hAnsi="Calibri" w:cs="Times New Roman"/>
          <w:sz w:val="22"/>
          <w:szCs w:val="22"/>
          <w:lang w:val="en-GB"/>
        </w:rPr>
        <w:t>deployment of low carbon technologies poses a significant risk to the transition to a low carbon future. The IEA has stated that nine out of ten low carbon technologies that are essential for energy efficiency and decarbonisation are failing to meet their deployment objectives</w:t>
      </w:r>
      <w:r>
        <w:rPr>
          <w:rFonts w:ascii="Calibri" w:hAnsi="Calibri" w:cs="Times New Roman"/>
          <w:sz w:val="22"/>
          <w:szCs w:val="22"/>
          <w:lang w:val="en-GB"/>
        </w:rPr>
        <w:t>.  L</w:t>
      </w:r>
      <w:r w:rsidRPr="0061532A">
        <w:rPr>
          <w:rFonts w:ascii="Calibri" w:hAnsi="Calibri" w:cs="Times New Roman"/>
          <w:sz w:val="22"/>
          <w:szCs w:val="22"/>
          <w:lang w:val="en-GB"/>
        </w:rPr>
        <w:t>imited deployment</w:t>
      </w:r>
      <w:r>
        <w:rPr>
          <w:rFonts w:ascii="Calibri" w:hAnsi="Calibri" w:cs="Times New Roman"/>
          <w:sz w:val="22"/>
          <w:szCs w:val="22"/>
          <w:lang w:val="en-GB"/>
        </w:rPr>
        <w:t>, particularly early in the process, limits learning and constrains subsequent progress.</w:t>
      </w:r>
      <w:r w:rsidRPr="0061532A">
        <w:rPr>
          <w:rFonts w:ascii="Calibri" w:hAnsi="Calibri" w:cs="Times New Roman"/>
          <w:sz w:val="22"/>
          <w:szCs w:val="22"/>
          <w:lang w:val="en-GB"/>
        </w:rPr>
        <w:t xml:space="preserve"> </w:t>
      </w:r>
    </w:p>
    <w:p w:rsidR="00051058" w:rsidRPr="0061532A" w:rsidRDefault="00051058" w:rsidP="00051058">
      <w:pPr>
        <w:jc w:val="both"/>
        <w:rPr>
          <w:rFonts w:ascii="Calibri" w:hAnsi="Calibri" w:cs="Times New Roman"/>
          <w:sz w:val="22"/>
          <w:szCs w:val="22"/>
          <w:lang w:val="en-GB"/>
        </w:rPr>
      </w:pPr>
    </w:p>
    <w:p w:rsidR="00051058" w:rsidRPr="006B3566" w:rsidRDefault="00051058" w:rsidP="00051058">
      <w:pPr>
        <w:jc w:val="both"/>
        <w:rPr>
          <w:rFonts w:ascii="Calibri" w:hAnsi="Calibri" w:cs="Times New Roman"/>
          <w:sz w:val="22"/>
          <w:szCs w:val="22"/>
          <w:lang w:val="en-GB"/>
        </w:rPr>
      </w:pPr>
      <w:r>
        <w:rPr>
          <w:rFonts w:ascii="Calibri" w:hAnsi="Calibri" w:cs="Times New Roman"/>
          <w:sz w:val="22"/>
          <w:szCs w:val="22"/>
          <w:lang w:val="en-GB"/>
        </w:rPr>
        <w:t>I</w:t>
      </w:r>
      <w:r w:rsidRPr="0061532A">
        <w:rPr>
          <w:rFonts w:ascii="Calibri" w:hAnsi="Calibri" w:cs="Times New Roman"/>
          <w:sz w:val="22"/>
          <w:szCs w:val="22"/>
          <w:lang w:val="en-GB"/>
        </w:rPr>
        <w:t xml:space="preserve">nertia </w:t>
      </w:r>
      <w:r>
        <w:rPr>
          <w:rFonts w:ascii="Calibri" w:hAnsi="Calibri" w:cs="Times New Roman"/>
          <w:sz w:val="22"/>
          <w:szCs w:val="22"/>
          <w:lang w:val="en-GB"/>
        </w:rPr>
        <w:t>in the</w:t>
      </w:r>
      <w:r w:rsidRPr="0061532A">
        <w:rPr>
          <w:rFonts w:ascii="Calibri" w:hAnsi="Calibri" w:cs="Times New Roman"/>
          <w:sz w:val="22"/>
          <w:szCs w:val="22"/>
          <w:lang w:val="en-GB"/>
        </w:rPr>
        <w:t xml:space="preserve"> </w:t>
      </w:r>
      <w:r w:rsidRPr="006B3566">
        <w:rPr>
          <w:rFonts w:ascii="Calibri" w:hAnsi="Calibri" w:cs="Times New Roman"/>
          <w:sz w:val="22"/>
          <w:lang w:val="en-GB"/>
        </w:rPr>
        <w:t xml:space="preserve">technology </w:t>
      </w:r>
      <w:r w:rsidRPr="0061532A">
        <w:rPr>
          <w:rFonts w:ascii="Calibri" w:hAnsi="Calibri" w:cs="Times New Roman"/>
          <w:sz w:val="22"/>
          <w:szCs w:val="22"/>
          <w:lang w:val="en-GB"/>
        </w:rPr>
        <w:t xml:space="preserve">diffusion process within many sectors means that many off-the-shelf technologies today could take 20 years to </w:t>
      </w:r>
      <w:r>
        <w:rPr>
          <w:rFonts w:ascii="Calibri" w:hAnsi="Calibri" w:cs="Times New Roman"/>
          <w:sz w:val="22"/>
          <w:szCs w:val="22"/>
          <w:lang w:val="en-GB"/>
        </w:rPr>
        <w:t xml:space="preserve">achieve significant market penetration </w:t>
      </w:r>
      <w:r w:rsidRPr="0061532A">
        <w:rPr>
          <w:rFonts w:ascii="Calibri" w:hAnsi="Calibri" w:cs="Times New Roman"/>
          <w:sz w:val="22"/>
          <w:szCs w:val="22"/>
          <w:lang w:val="en-GB"/>
        </w:rPr>
        <w:t xml:space="preserve">without </w:t>
      </w:r>
      <w:r>
        <w:rPr>
          <w:rFonts w:ascii="Calibri" w:hAnsi="Calibri" w:cs="Times New Roman"/>
          <w:sz w:val="22"/>
          <w:szCs w:val="22"/>
          <w:lang w:val="en-GB"/>
        </w:rPr>
        <w:t>incentives to su</w:t>
      </w:r>
      <w:r w:rsidRPr="0061532A">
        <w:rPr>
          <w:rFonts w:ascii="Calibri" w:hAnsi="Calibri" w:cs="Times New Roman"/>
          <w:sz w:val="22"/>
          <w:szCs w:val="22"/>
          <w:lang w:val="en-GB"/>
        </w:rPr>
        <w:t>pport their uptake.</w:t>
      </w:r>
      <w:r w:rsidRPr="0061532A">
        <w:rPr>
          <w:rFonts w:ascii="Calibri" w:hAnsi="Calibri"/>
          <w:sz w:val="22"/>
          <w:szCs w:val="22"/>
          <w:lang w:val="en-GB"/>
        </w:rPr>
        <w:t xml:space="preserve"> </w:t>
      </w:r>
      <w:r>
        <w:rPr>
          <w:rFonts w:ascii="Calibri" w:hAnsi="Calibri" w:cs="Times New Roman"/>
          <w:sz w:val="22"/>
          <w:lang w:val="en-GB"/>
        </w:rPr>
        <w:t>Overcoming such inertia requires</w:t>
      </w:r>
      <w:r w:rsidRPr="006B3566">
        <w:rPr>
          <w:rFonts w:ascii="Calibri" w:hAnsi="Calibri" w:cs="Times New Roman"/>
          <w:sz w:val="22"/>
          <w:lang w:val="en-GB"/>
        </w:rPr>
        <w:t xml:space="preserve">: clear guidance on technology potential, robust data on technology performance, impact and costs, detailed information on existing sectors and historic structures, removing disincentives and perverse incentives, alongside strong regulations. </w:t>
      </w:r>
      <w:r>
        <w:rPr>
          <w:rFonts w:ascii="Calibri" w:hAnsi="Calibri" w:cs="Times New Roman"/>
          <w:sz w:val="22"/>
          <w:lang w:val="en-GB"/>
        </w:rPr>
        <w:t>For certain technologies, r</w:t>
      </w:r>
      <w:r w:rsidRPr="006B3566">
        <w:rPr>
          <w:rFonts w:ascii="Calibri" w:hAnsi="Calibri" w:cs="Times New Roman"/>
          <w:sz w:val="22"/>
          <w:lang w:val="en-GB"/>
        </w:rPr>
        <w:t>egulation</w:t>
      </w:r>
      <w:r>
        <w:rPr>
          <w:rFonts w:ascii="Calibri" w:hAnsi="Calibri" w:cs="Times New Roman"/>
          <w:sz w:val="22"/>
          <w:lang w:val="en-GB"/>
        </w:rPr>
        <w:t xml:space="preserve"> can </w:t>
      </w:r>
      <w:r w:rsidRPr="006B3566">
        <w:rPr>
          <w:rFonts w:ascii="Calibri" w:hAnsi="Calibri" w:cs="Times New Roman"/>
          <w:sz w:val="22"/>
          <w:lang w:val="en-GB"/>
        </w:rPr>
        <w:t>play a</w:t>
      </w:r>
      <w:r>
        <w:rPr>
          <w:rFonts w:ascii="Calibri" w:hAnsi="Calibri" w:cs="Times New Roman"/>
          <w:sz w:val="22"/>
          <w:lang w:val="en-GB"/>
        </w:rPr>
        <w:t xml:space="preserve"> major role in accelerating deployment – as in the case of the gas condensing boiler in the UK.</w:t>
      </w:r>
      <w:r w:rsidR="00E13392">
        <w:rPr>
          <w:rFonts w:ascii="Calibri" w:hAnsi="Calibri" w:cs="Times New Roman"/>
          <w:sz w:val="22"/>
          <w:lang w:val="en-GB"/>
        </w:rPr>
        <w:fldChar w:fldCharType="begin"/>
      </w:r>
      <w:r w:rsidR="009F6910">
        <w:rPr>
          <w:rFonts w:ascii="Calibri" w:hAnsi="Calibri" w:cs="Times New Roman"/>
          <w:sz w:val="22"/>
          <w:lang w:val="en-GB"/>
        </w:rPr>
        <w:instrText xml:space="preserve"> ADDIN EN.CITE &lt;EndNote&gt;&lt;Cite&gt;&lt;Author&gt;Elwell&lt;/Author&gt;&lt;Year&gt;(Forthcoming)&lt;/Year&gt;&lt;RecNum&gt;1503&lt;/RecNum&gt;&lt;DisplayText&gt;&lt;style face="superscript"&gt;239&lt;/style&gt;&lt;/DisplayText&gt;&lt;record&gt;&lt;rec-number&gt;1503&lt;/rec-number&gt;&lt;foreign-keys&gt;&lt;key app="EN" db-id="wtftd20rmszxx0ettxy5exwdf90wv22s2dsf" timestamp="1419313950"&gt;1503&lt;/key&gt;&lt;/foreign-keys&gt;&lt;ref-type name="Journal Article"&gt;17&lt;/ref-type&gt;&lt;contributors&gt;&lt;authors&gt;&lt;author&gt;CA Elwell&lt;/author&gt;&lt;author&gt;P Biddulph&lt;/author&gt;&lt;author&gt;R Lowe&lt;/author&gt;&lt;author&gt;T Oreszczyn&lt;/author&gt;&lt;/authors&gt;&lt;/contributors&gt;&lt;titles&gt;&lt;title&gt;Determining the impact of regulatory policy on UK gas use using Bayesian analysis on publicly available data&lt;/title&gt;&lt;/titles&gt;&lt;dates&gt;&lt;year&gt;(Forthcoming)&lt;/year&gt;&lt;/dates&gt;&lt;urls&gt;&lt;/urls&gt;&lt;/record&gt;&lt;/Cite&gt;&lt;/EndNote&gt;</w:instrText>
      </w:r>
      <w:r w:rsidR="00E13392">
        <w:rPr>
          <w:rFonts w:ascii="Calibri" w:hAnsi="Calibri" w:cs="Times New Roman"/>
          <w:sz w:val="22"/>
          <w:lang w:val="en-GB"/>
        </w:rPr>
        <w:fldChar w:fldCharType="separate"/>
      </w:r>
      <w:r w:rsidR="009F6910" w:rsidRPr="009F6910">
        <w:rPr>
          <w:rFonts w:ascii="Calibri" w:hAnsi="Calibri" w:cs="Times New Roman"/>
          <w:noProof/>
          <w:sz w:val="22"/>
          <w:vertAlign w:val="superscript"/>
          <w:lang w:val="en-GB"/>
        </w:rPr>
        <w:t>239</w:t>
      </w:r>
      <w:r w:rsidR="00E13392">
        <w:rPr>
          <w:rFonts w:ascii="Calibri" w:hAnsi="Calibri" w:cs="Times New Roman"/>
          <w:sz w:val="22"/>
          <w:lang w:val="en-GB"/>
        </w:rPr>
        <w:fldChar w:fldCharType="end"/>
      </w:r>
      <w:r>
        <w:rPr>
          <w:rFonts w:ascii="Calibri" w:hAnsi="Calibri" w:cs="Times New Roman"/>
          <w:sz w:val="22"/>
          <w:lang w:val="en-GB"/>
        </w:rPr>
        <w:t xml:space="preserve"> </w:t>
      </w:r>
      <w:r w:rsidRPr="006B3566">
        <w:rPr>
          <w:rFonts w:ascii="Calibri" w:hAnsi="Calibri" w:cs="Times New Roman"/>
          <w:sz w:val="22"/>
          <w:lang w:val="en-GB"/>
        </w:rPr>
        <w:t xml:space="preserve">Criteria for regulations to </w:t>
      </w:r>
      <w:r>
        <w:rPr>
          <w:rFonts w:ascii="Calibri" w:hAnsi="Calibri" w:cs="Times New Roman"/>
          <w:sz w:val="22"/>
          <w:lang w:val="en-GB"/>
        </w:rPr>
        <w:t>be effective in this role may be</w:t>
      </w:r>
      <w:r w:rsidRPr="006B3566">
        <w:rPr>
          <w:rFonts w:ascii="Calibri" w:hAnsi="Calibri" w:cs="Times New Roman"/>
          <w:sz w:val="22"/>
          <w:lang w:val="en-GB"/>
        </w:rPr>
        <w:t xml:space="preserve"> summarized as follows: that the goal of regulation should be unambiguous; that the technical nature of measures which will achieve the goal should be clear, and they should be easy to apply; that the technical nature of these measures should make it easy for the regulator to confirm that they have been implemented; that the total benefits should significantly outweigh costs; and that both benefits and costs should be a small part of some larger economic transaction.</w:t>
      </w:r>
      <w:r w:rsidR="00E13392">
        <w:rPr>
          <w:rFonts w:ascii="Calibri" w:hAnsi="Calibri" w:cs="Times New Roman"/>
          <w:sz w:val="22"/>
          <w:lang w:val="en-GB"/>
        </w:rPr>
        <w:fldChar w:fldCharType="begin"/>
      </w:r>
      <w:r w:rsidR="009F6910">
        <w:rPr>
          <w:rFonts w:ascii="Calibri" w:hAnsi="Calibri" w:cs="Times New Roman"/>
          <w:sz w:val="22"/>
          <w:lang w:val="en-GB"/>
        </w:rPr>
        <w:instrText xml:space="preserve"> ADDIN EN.CITE &lt;EndNote&gt;&lt;Cite&gt;&lt;Author&gt;Lowe&lt;/Author&gt;&lt;Year&gt;2000&lt;/Year&gt;&lt;RecNum&gt;1417&lt;/RecNum&gt;&lt;DisplayText&gt;&lt;style face="superscript"&gt;240&lt;/style&gt;&lt;/DisplayText&gt;&lt;record&gt;&lt;rec-number&gt;1417&lt;/rec-number&gt;&lt;foreign-keys&gt;&lt;key app="EN" db-id="wtftd20rmszxx0ettxy5exwdf90wv22s2dsf" timestamp="1419280134"&gt;1417&lt;/key&gt;&lt;/foreign-keys&gt;&lt;ref-type name="Journal Article"&gt;17&lt;/ref-type&gt;&lt;contributors&gt;&lt;authors&gt;&lt;author&gt;RJ Lowe&lt;/author&gt;&lt;/authors&gt;&lt;/contributors&gt;&lt;titles&gt;&lt;title&gt;Defining and Meeting the Carbon Constraints of the 21st Century&lt;/title&gt;&lt;secondary-title&gt;Building Research &amp;amp; Information&lt;/secondary-title&gt;&lt;/titles&gt;&lt;periodical&gt;&lt;full-title&gt;Building Research &amp;amp; Information&lt;/full-title&gt;&lt;/periodical&gt;&lt;pages&gt;159-75&lt;/pages&gt;&lt;volume&gt;28&lt;/volume&gt;&lt;number&gt;3&lt;/number&gt;&lt;dates&gt;&lt;year&gt;2000&lt;/year&gt;&lt;/dates&gt;&lt;urls&gt;&lt;/urls&gt;&lt;/record&gt;&lt;/Cite&gt;&lt;/EndNote&gt;</w:instrText>
      </w:r>
      <w:r w:rsidR="00E13392">
        <w:rPr>
          <w:rFonts w:ascii="Calibri" w:hAnsi="Calibri" w:cs="Times New Roman"/>
          <w:sz w:val="22"/>
          <w:lang w:val="en-GB"/>
        </w:rPr>
        <w:fldChar w:fldCharType="separate"/>
      </w:r>
      <w:r w:rsidR="009F6910" w:rsidRPr="009F6910">
        <w:rPr>
          <w:rFonts w:ascii="Calibri" w:hAnsi="Calibri" w:cs="Times New Roman"/>
          <w:noProof/>
          <w:sz w:val="22"/>
          <w:vertAlign w:val="superscript"/>
          <w:lang w:val="en-GB"/>
        </w:rPr>
        <w:t>240</w:t>
      </w:r>
      <w:r w:rsidR="00E13392">
        <w:rPr>
          <w:rFonts w:ascii="Calibri" w:hAnsi="Calibri" w:cs="Times New Roman"/>
          <w:sz w:val="22"/>
          <w:lang w:val="en-GB"/>
        </w:rPr>
        <w:fldChar w:fldCharType="end"/>
      </w:r>
      <w:r w:rsidRPr="006B3566">
        <w:rPr>
          <w:rFonts w:ascii="Calibri" w:hAnsi="Calibri" w:cs="Times New Roman"/>
          <w:sz w:val="22"/>
          <w:szCs w:val="22"/>
          <w:lang w:val="en-GB"/>
        </w:rPr>
        <w:t xml:space="preserve">Cities offer opportunities and challenges for technology deployment. </w:t>
      </w:r>
      <w:r>
        <w:rPr>
          <w:rFonts w:ascii="Calibri" w:hAnsi="Calibri" w:cs="Times New Roman"/>
          <w:sz w:val="22"/>
          <w:szCs w:val="22"/>
          <w:lang w:val="en-GB"/>
        </w:rPr>
        <w:t>For appropriate technologies, e</w:t>
      </w:r>
      <w:r w:rsidRPr="006B3566">
        <w:rPr>
          <w:rFonts w:ascii="Calibri" w:hAnsi="Calibri" w:cs="Times New Roman"/>
          <w:sz w:val="22"/>
          <w:szCs w:val="22"/>
          <w:lang w:val="en-GB"/>
        </w:rPr>
        <w:t xml:space="preserve">conomies of scale are quickly achieved with population and economic densities supported by larger tax bases, deployment through existing services and a history of operating large scale infrastructure. </w:t>
      </w:r>
      <w:r>
        <w:rPr>
          <w:rFonts w:ascii="Calibri" w:hAnsi="Calibri" w:cs="Times New Roman"/>
          <w:sz w:val="22"/>
          <w:szCs w:val="22"/>
          <w:lang w:val="en-GB"/>
        </w:rPr>
        <w:t xml:space="preserve">Density intensifies local environmental problems (particulates, NOx, noise etc.), which can in turn make it politically possible to introduce local regulation favouring low carbon </w:t>
      </w:r>
      <w:r w:rsidRPr="00120D58">
        <w:rPr>
          <w:rFonts w:ascii="Calibri" w:hAnsi="Calibri" w:cs="Times New Roman"/>
          <w:sz w:val="22"/>
          <w:szCs w:val="22"/>
          <w:lang w:val="en-GB"/>
        </w:rPr>
        <w:t>technologies. Resulting niches</w:t>
      </w:r>
      <w:r>
        <w:rPr>
          <w:rFonts w:ascii="Calibri" w:hAnsi="Calibri" w:cs="Times New Roman"/>
          <w:sz w:val="22"/>
          <w:szCs w:val="22"/>
          <w:lang w:val="en-GB"/>
        </w:rPr>
        <w:t xml:space="preserve"> and learning</w:t>
      </w:r>
      <w:r w:rsidRPr="00120D58">
        <w:rPr>
          <w:rFonts w:ascii="Calibri" w:hAnsi="Calibri" w:cs="Times New Roman"/>
          <w:sz w:val="22"/>
          <w:szCs w:val="22"/>
          <w:lang w:val="en-GB"/>
        </w:rPr>
        <w:t xml:space="preserve"> can </w:t>
      </w:r>
      <w:r>
        <w:rPr>
          <w:rFonts w:ascii="Calibri" w:hAnsi="Calibri" w:cs="Times New Roman"/>
          <w:sz w:val="22"/>
          <w:szCs w:val="22"/>
          <w:lang w:val="en-GB"/>
        </w:rPr>
        <w:t xml:space="preserve">then </w:t>
      </w:r>
      <w:r w:rsidRPr="00120D58">
        <w:rPr>
          <w:rFonts w:ascii="Calibri" w:hAnsi="Calibri" w:cs="Times New Roman"/>
          <w:sz w:val="22"/>
          <w:szCs w:val="22"/>
          <w:lang w:val="en-GB"/>
        </w:rPr>
        <w:t>accelerate the development</w:t>
      </w:r>
      <w:r>
        <w:rPr>
          <w:rFonts w:ascii="Calibri" w:hAnsi="Calibri" w:cs="Times New Roman"/>
          <w:sz w:val="22"/>
          <w:szCs w:val="22"/>
          <w:lang w:val="en-GB"/>
        </w:rPr>
        <w:t xml:space="preserve"> and wider deployment</w:t>
      </w:r>
      <w:r w:rsidRPr="00120D58">
        <w:rPr>
          <w:rFonts w:ascii="Calibri" w:hAnsi="Calibri" w:cs="Times New Roman"/>
          <w:sz w:val="22"/>
          <w:szCs w:val="22"/>
          <w:lang w:val="en-GB"/>
        </w:rPr>
        <w:t xml:space="preserve"> of key mitigation technologies.</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&lt;EndNote&gt;&lt;Cite&gt;&lt;Author&gt;Geels&lt;/Author&gt;&lt;Year&gt;2005&lt;/Year&gt;&lt;RecNum&gt;1509&lt;/RecNum&gt;&lt;DisplayText&gt;&lt;style face="superscript"&gt;241&lt;/style&gt;&lt;/DisplayText&gt;&lt;record&gt;&lt;rec-number&gt;1509&lt;/rec-number&gt;&lt;foreign-keys&gt;&lt;key app="EN" db-id="wtftd20rmszxx0ettxy5exwdf90wv22s2dsf" timestamp="1419315005"&gt;1509&lt;/key&gt;&lt;/foreign-keys&gt;&lt;ref-type name="Book"&gt;6&lt;/ref-type&gt;&lt;contributors&gt;&lt;authors&gt;&lt;author&gt;FW Geels&lt;/author&gt;&lt;/authors&gt;&lt;/contributors&gt;&lt;titles&gt;&lt;title&gt;Technological Transitions and System Innovations: A Co-evolutionary and Socio-Technical Analysis&lt;/title&gt;&lt;/titles&gt;&lt;dates&gt;&lt;year&gt;2005&lt;/year&gt;&lt;/dates&gt;&lt;pub-location&gt;Cheltenham&lt;/pub-location&gt;&lt;publisher&gt;Edward Elgar&lt;/publisher&gt;&lt;urls&gt;&lt;/urls&gt;&lt;/record&gt;&lt;/Cite&gt;&lt;/EndNote&gt;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241</w:t>
      </w:r>
      <w:r w:rsidR="00E13392">
        <w:rPr>
          <w:rFonts w:ascii="Calibri" w:hAnsi="Calibri" w:cs="Times New Roman"/>
          <w:sz w:val="22"/>
          <w:szCs w:val="22"/>
          <w:lang w:val="en-GB"/>
        </w:rPr>
        <w:fldChar w:fldCharType="end"/>
      </w:r>
    </w:p>
    <w:p w:rsidR="00051058" w:rsidRPr="0061532A" w:rsidRDefault="00051058" w:rsidP="00051058">
      <w:pPr>
        <w:jc w:val="both"/>
        <w:rPr>
          <w:rFonts w:ascii="Calibri" w:hAnsi="Calibri" w:cs="Times New Roman"/>
          <w:sz w:val="22"/>
          <w:szCs w:val="22"/>
          <w:lang w:val="en-GB"/>
        </w:rPr>
      </w:pPr>
    </w:p>
    <w:p w:rsidR="00051058" w:rsidRPr="0061532A" w:rsidRDefault="00051058" w:rsidP="00051058">
      <w:pPr>
        <w:jc w:val="both"/>
        <w:rPr>
          <w:rFonts w:ascii="Calibri" w:hAnsi="Calibri" w:cs="Times New Roman"/>
          <w:sz w:val="22"/>
          <w:szCs w:val="22"/>
          <w:lang w:val="en-GB"/>
        </w:rPr>
      </w:pPr>
      <w:r>
        <w:rPr>
          <w:rFonts w:ascii="Calibri" w:hAnsi="Calibri" w:cs="Times New Roman"/>
          <w:sz w:val="22"/>
          <w:szCs w:val="22"/>
          <w:lang w:val="en-GB"/>
        </w:rPr>
        <w:t>D</w:t>
      </w:r>
      <w:r w:rsidRPr="0061532A">
        <w:rPr>
          <w:rFonts w:ascii="Calibri" w:hAnsi="Calibri" w:cs="Times New Roman"/>
          <w:sz w:val="22"/>
          <w:szCs w:val="22"/>
          <w:lang w:val="en-GB"/>
        </w:rPr>
        <w:t>evelopment status is another important driver of deployment. The bulk of technology transfer occurs between developed countries</w:t>
      </w:r>
      <w:r>
        <w:rPr>
          <w:rFonts w:ascii="Calibri" w:hAnsi="Calibri" w:cs="Times New Roman"/>
          <w:sz w:val="22"/>
          <w:szCs w:val="22"/>
          <w:lang w:val="en-GB"/>
        </w:rPr>
        <w:t xml:space="preserve"> who</w:t>
      </w:r>
      <w:r w:rsidRPr="0061532A">
        <w:rPr>
          <w:rFonts w:ascii="Calibri" w:hAnsi="Calibri" w:cs="Times New Roman"/>
          <w:sz w:val="22"/>
          <w:szCs w:val="22"/>
          <w:lang w:val="en-GB"/>
        </w:rPr>
        <w:t xml:space="preserve"> dominate the invention of technologies for climate mitigation.</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&lt;EndNote&gt;&lt;Cite&gt;&lt;Author&gt;Dechezlepretre&lt;/Author&gt;&lt;Year&gt;2011&lt;/Year&gt;&lt;RecNum&gt;1510&lt;/RecNum&gt;&lt;DisplayText&gt;&lt;style face="superscript"&gt;242&lt;/style&gt;&lt;/DisplayText&gt;&lt;record&gt;&lt;rec-number&gt;1510&lt;/rec-number&gt;&lt;foreign-keys&gt;&lt;key app="EN" db-id="wtftd20rmszxx0ettxy5exwdf90wv22s2dsf" timestamp="1419315157"&gt;1510&lt;/key&gt;&lt;/foreign-keys&gt;&lt;ref-type name="Journal Article"&gt;17&lt;/ref-type&gt;&lt;contributors&gt;&lt;authors&gt;&lt;author&gt;A Dechezlepretre&lt;/author&gt;&lt;author&gt;M Glachant&lt;/author&gt;&lt;author&gt;I Hascic&lt;/author&gt;&lt;author&gt;N Johnstone&lt;/author&gt;&lt;author&gt;Y Meniere&lt;/author&gt;&lt;/authors&gt;&lt;/contributors&gt;&lt;titles&gt;&lt;title&gt;Invention and Transfer of Climate Change-Mitigation Technologies: A Global Analysis&lt;/title&gt;&lt;secondary-title&gt;Review of Environmental Economics and Policy&lt;/secondary-title&gt;&lt;/titles&gt;&lt;periodical&gt;&lt;full-title&gt;Review of Environmental Economics and Policy&lt;/full-title&gt;&lt;/periodical&gt;&lt;pages&gt;109-30&lt;/pages&gt;&lt;volume&gt;5&lt;/volume&gt;&lt;number&gt;1&lt;/number&gt;&lt;dates&gt;&lt;year&gt;2011&lt;/year&gt;&lt;/dates&gt;&lt;urls&gt;&lt;/urls&gt;&lt;/record&gt;&lt;/Cite&gt;&lt;/EndNote&gt;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242</w:t>
      </w:r>
      <w:r w:rsidR="00E13392">
        <w:rPr>
          <w:rFonts w:ascii="Calibri" w:hAnsi="Calibri" w:cs="Times New Roman"/>
          <w:sz w:val="22"/>
          <w:szCs w:val="22"/>
          <w:lang w:val="en-GB"/>
        </w:rPr>
        <w:fldChar w:fldCharType="end"/>
      </w:r>
      <w:r w:rsidRPr="0061532A">
        <w:rPr>
          <w:rFonts w:ascii="Calibri" w:hAnsi="Calibri" w:cs="Times New Roman"/>
          <w:sz w:val="22"/>
          <w:szCs w:val="22"/>
          <w:lang w:val="en-GB"/>
        </w:rPr>
        <w:t xml:space="preserve"> </w:t>
      </w:r>
      <w:r>
        <w:rPr>
          <w:rFonts w:ascii="Calibri" w:hAnsi="Calibri" w:cs="Times New Roman"/>
          <w:sz w:val="22"/>
          <w:szCs w:val="22"/>
          <w:lang w:val="en-GB"/>
        </w:rPr>
        <w:t>This does nothing to overcome</w:t>
      </w:r>
      <w:r w:rsidRPr="0061532A">
        <w:rPr>
          <w:rFonts w:ascii="Calibri" w:hAnsi="Calibri" w:cs="Times New Roman"/>
          <w:sz w:val="22"/>
          <w:szCs w:val="22"/>
          <w:lang w:val="en-GB"/>
        </w:rPr>
        <w:t xml:space="preserve"> the low availability of mitigation technologies in developing countries. Major barriers </w:t>
      </w:r>
      <w:r>
        <w:rPr>
          <w:rFonts w:ascii="Calibri" w:hAnsi="Calibri" w:cs="Times New Roman"/>
          <w:sz w:val="22"/>
          <w:szCs w:val="22"/>
          <w:lang w:val="en-GB"/>
        </w:rPr>
        <w:t>to</w:t>
      </w:r>
      <w:r w:rsidRPr="0061532A">
        <w:rPr>
          <w:rFonts w:ascii="Calibri" w:hAnsi="Calibri" w:cs="Times New Roman"/>
          <w:sz w:val="22"/>
          <w:szCs w:val="22"/>
          <w:lang w:val="en-GB"/>
        </w:rPr>
        <w:t xml:space="preserve"> technology transfer from developed </w:t>
      </w:r>
      <w:r>
        <w:rPr>
          <w:rFonts w:ascii="Calibri" w:hAnsi="Calibri" w:cs="Times New Roman"/>
          <w:sz w:val="22"/>
          <w:szCs w:val="22"/>
          <w:lang w:val="en-GB"/>
        </w:rPr>
        <w:t>to</w:t>
      </w:r>
      <w:r w:rsidRPr="0061532A">
        <w:rPr>
          <w:rFonts w:ascii="Calibri" w:hAnsi="Calibri" w:cs="Times New Roman"/>
          <w:sz w:val="22"/>
          <w:szCs w:val="22"/>
          <w:lang w:val="en-GB"/>
        </w:rPr>
        <w:t xml:space="preserve"> developing countries include insufficient</w:t>
      </w:r>
      <w:r>
        <w:rPr>
          <w:rFonts w:ascii="Calibri" w:hAnsi="Calibri" w:cs="Times New Roman"/>
          <w:sz w:val="22"/>
          <w:szCs w:val="22"/>
          <w:lang w:val="en-GB"/>
        </w:rPr>
        <w:t xml:space="preserve"> local human capital and</w:t>
      </w:r>
      <w:r w:rsidRPr="0061532A">
        <w:rPr>
          <w:rFonts w:ascii="Calibri" w:hAnsi="Calibri" w:cs="Times New Roman"/>
          <w:sz w:val="22"/>
          <w:szCs w:val="22"/>
          <w:lang w:val="en-GB"/>
        </w:rPr>
        <w:t xml:space="preserve"> technology </w:t>
      </w:r>
      <w:r>
        <w:rPr>
          <w:rFonts w:ascii="Calibri" w:hAnsi="Calibri" w:cs="Times New Roman"/>
          <w:sz w:val="22"/>
          <w:szCs w:val="22"/>
          <w:lang w:val="en-GB"/>
        </w:rPr>
        <w:t>support</w:t>
      </w:r>
      <w:r w:rsidRPr="0061532A">
        <w:rPr>
          <w:rFonts w:ascii="Calibri" w:hAnsi="Calibri" w:cs="Times New Roman"/>
          <w:sz w:val="22"/>
          <w:szCs w:val="22"/>
          <w:lang w:val="en-GB"/>
        </w:rPr>
        <w:t xml:space="preserve"> capabilities, lack of capital, trade and policy barriers, lax intellectual property regimes in developing countries and the potential lack of commercial viability of the technology itself.</w:t>
      </w:r>
      <w:r w:rsidR="00E13392">
        <w:rPr>
          <w:rFonts w:ascii="Calibri" w:hAnsi="Calibri" w:cs="Times New Roman"/>
          <w:sz w:val="22"/>
          <w:szCs w:val="22"/>
          <w:lang w:val="en-GB"/>
        </w:rPr>
        <w:fldChar w:fldCharType="begin"/>
      </w:r>
      <w:r w:rsidR="009F6910">
        <w:rPr>
          <w:rFonts w:ascii="Calibri" w:hAnsi="Calibri" w:cs="Times New Roman"/>
          <w:sz w:val="22"/>
          <w:szCs w:val="22"/>
          <w:lang w:val="en-GB"/>
        </w:rPr>
        <w:instrText xml:space="preserve"> ADDIN EN.CITE &lt;EndNote&gt;&lt;Cite&gt;&lt;Author&gt;Karakosta&lt;/Author&gt;&lt;Year&gt;2010&lt;/Year&gt;&lt;RecNum&gt;1511&lt;/RecNum&gt;&lt;DisplayText&gt;&lt;style face="superscript"&gt;243&lt;/style&gt;&lt;/DisplayText&gt;&lt;record&gt;&lt;rec-number&gt;1511&lt;/rec-number&gt;&lt;foreign-keys&gt;&lt;key app="EN" db-id="wtftd20rmszxx0ettxy5exwdf90wv22s2dsf" timestamp="1419315260"&gt;1511&lt;/key&gt;&lt;/foreign-keys&gt;&lt;ref-type name="Journal Article"&gt;17&lt;/ref-type&gt;&lt;contributors&gt;&lt;authors&gt;&lt;author&gt;C Karakosta&lt;/author&gt;&lt;author&gt;H Doukas&lt;/author&gt;&lt;author&gt;J Psarras&lt;/author&gt;&lt;/authors&gt;&lt;/contributors&gt;&lt;titles&gt;&lt;title&gt;Technology transfer through climate change: Setting a sustainable energy pattern&lt;/title&gt;&lt;secondary-title&gt;Renewable and Sustainable Energy Reviews&lt;/secondary-title&gt;&lt;/titles&gt;&lt;periodical&gt;&lt;full-title&gt;Renewable and Sustainable Energy Reviews&lt;/full-title&gt;&lt;/periodical&gt;&lt;pages&gt;1546-57&lt;/pages&gt;&lt;volume&gt;14&lt;/volume&gt;&lt;number&gt;6&lt;/number&gt;&lt;dates&gt;&lt;year&gt;2010&lt;/year&gt;&lt;/dates&gt;&lt;urls&gt;&lt;/urls&gt;&lt;/record&gt;&lt;/Cite&gt;&lt;/EndNote&gt;</w:instrText>
      </w:r>
      <w:r w:rsidR="00E13392">
        <w:rPr>
          <w:rFonts w:ascii="Calibri" w:hAnsi="Calibri" w:cs="Times New Roman"/>
          <w:sz w:val="22"/>
          <w:szCs w:val="22"/>
          <w:lang w:val="en-GB"/>
        </w:rPr>
        <w:fldChar w:fldCharType="separate"/>
      </w:r>
      <w:r w:rsidR="009F6910" w:rsidRPr="009F6910">
        <w:rPr>
          <w:rFonts w:ascii="Calibri" w:hAnsi="Calibri" w:cs="Times New Roman"/>
          <w:noProof/>
          <w:sz w:val="22"/>
          <w:szCs w:val="22"/>
          <w:vertAlign w:val="superscript"/>
          <w:lang w:val="en-GB"/>
        </w:rPr>
        <w:t>243</w:t>
      </w:r>
      <w:r w:rsidR="00E13392">
        <w:rPr>
          <w:rFonts w:ascii="Calibri" w:hAnsi="Calibri" w:cs="Times New Roman"/>
          <w:sz w:val="22"/>
          <w:szCs w:val="22"/>
          <w:lang w:val="en-GB"/>
        </w:rPr>
        <w:fldChar w:fldCharType="end"/>
      </w:r>
      <w:r w:rsidRPr="0061532A">
        <w:rPr>
          <w:rFonts w:ascii="Calibri" w:hAnsi="Calibri" w:cs="Times New Roman"/>
          <w:sz w:val="22"/>
          <w:szCs w:val="22"/>
          <w:lang w:val="en-GB"/>
        </w:rPr>
        <w:t xml:space="preserve"> </w:t>
      </w:r>
      <w:r>
        <w:rPr>
          <w:rFonts w:ascii="Calibri" w:hAnsi="Calibri" w:cs="Times New Roman"/>
          <w:sz w:val="22"/>
          <w:szCs w:val="22"/>
          <w:lang w:val="en-GB"/>
        </w:rPr>
        <w:t xml:space="preserve">These barriers need to be overcome to enable </w:t>
      </w:r>
      <w:r w:rsidRPr="0061532A">
        <w:rPr>
          <w:rFonts w:ascii="Calibri" w:hAnsi="Calibri" w:cs="Times New Roman"/>
          <w:sz w:val="22"/>
          <w:szCs w:val="22"/>
          <w:lang w:val="en-GB"/>
        </w:rPr>
        <w:t xml:space="preserve">countries seeking to achieve </w:t>
      </w:r>
      <w:r>
        <w:rPr>
          <w:rFonts w:ascii="Calibri" w:hAnsi="Calibri" w:cs="Times New Roman"/>
          <w:sz w:val="22"/>
          <w:szCs w:val="22"/>
          <w:lang w:val="en-GB"/>
        </w:rPr>
        <w:t xml:space="preserve">a </w:t>
      </w:r>
      <w:r w:rsidRPr="0061532A">
        <w:rPr>
          <w:rFonts w:ascii="Calibri" w:hAnsi="Calibri" w:cs="Times New Roman"/>
          <w:sz w:val="22"/>
          <w:szCs w:val="22"/>
          <w:lang w:val="en-GB"/>
        </w:rPr>
        <w:t>high quality of life to tunnel from ‘Stage 1’ to ‘Stage 3’</w:t>
      </w:r>
      <w:r>
        <w:rPr>
          <w:rFonts w:ascii="Calibri" w:hAnsi="Calibri" w:cs="Times New Roman"/>
          <w:sz w:val="22"/>
          <w:szCs w:val="22"/>
          <w:lang w:val="en-GB"/>
        </w:rPr>
        <w:t xml:space="preserve"> - see the Energy System Transition section</w:t>
      </w:r>
      <w:r w:rsidRPr="0061532A">
        <w:rPr>
          <w:rFonts w:ascii="Calibri" w:hAnsi="Calibri" w:cs="Times New Roman"/>
          <w:sz w:val="22"/>
          <w:szCs w:val="22"/>
          <w:lang w:val="en-GB"/>
        </w:rPr>
        <w:t>.</w:t>
      </w:r>
    </w:p>
    <w:p w:rsidR="00051058" w:rsidRPr="0061532A" w:rsidRDefault="00051058" w:rsidP="00051058">
      <w:pPr>
        <w:jc w:val="both"/>
        <w:rPr>
          <w:rFonts w:ascii="Calibri" w:hAnsi="Calibri" w:cs="Times New Roman"/>
          <w:sz w:val="22"/>
          <w:szCs w:val="22"/>
          <w:lang w:val="en-GB"/>
        </w:rPr>
      </w:pPr>
    </w:p>
    <w:p w:rsidR="00051058" w:rsidRPr="00024E43" w:rsidRDefault="00051058" w:rsidP="00051058">
      <w:pPr>
        <w:jc w:val="both"/>
        <w:rPr>
          <w:rFonts w:ascii="Calibri" w:hAnsi="Calibri"/>
          <w:sz w:val="22"/>
          <w:szCs w:val="22"/>
          <w:lang w:val="en-GB"/>
        </w:rPr>
      </w:pPr>
      <w:r>
        <w:rPr>
          <w:rFonts w:ascii="Calibri" w:hAnsi="Calibri" w:cs="Times New Roman"/>
          <w:sz w:val="22"/>
          <w:szCs w:val="22"/>
          <w:lang w:val="en-GB"/>
        </w:rPr>
        <w:t>M</w:t>
      </w:r>
      <w:r w:rsidRPr="0061532A">
        <w:rPr>
          <w:rFonts w:ascii="Calibri" w:hAnsi="Calibri" w:cs="Times New Roman"/>
          <w:sz w:val="22"/>
          <w:szCs w:val="22"/>
          <w:lang w:val="en-GB"/>
        </w:rPr>
        <w:t>echanism</w:t>
      </w:r>
      <w:r>
        <w:rPr>
          <w:rFonts w:ascii="Calibri" w:hAnsi="Calibri" w:cs="Times New Roman"/>
          <w:sz w:val="22"/>
          <w:szCs w:val="22"/>
          <w:lang w:val="en-GB"/>
        </w:rPr>
        <w:t>s</w:t>
      </w:r>
      <w:r w:rsidRPr="0061532A">
        <w:rPr>
          <w:rFonts w:ascii="Calibri" w:hAnsi="Calibri" w:cs="Times New Roman"/>
          <w:sz w:val="22"/>
          <w:szCs w:val="22"/>
          <w:lang w:val="en-GB"/>
        </w:rPr>
        <w:t xml:space="preserve"> to support low carbon technology uptake should include:</w:t>
      </w:r>
    </w:p>
    <w:p w:rsidR="00051058" w:rsidRPr="00024E43" w:rsidRDefault="00051058" w:rsidP="00051058">
      <w:pPr>
        <w:pStyle w:val="ListParagraph"/>
        <w:numPr>
          <w:ilvl w:val="0"/>
          <w:numId w:val="4"/>
        </w:numPr>
        <w:jc w:val="both"/>
        <w:rPr>
          <w:rFonts w:ascii="Calibri" w:hAnsi="Calibri"/>
          <w:sz w:val="22"/>
          <w:szCs w:val="22"/>
          <w:lang w:val="en-GB"/>
        </w:rPr>
      </w:pPr>
      <w:r w:rsidRPr="0061532A">
        <w:rPr>
          <w:rFonts w:ascii="Calibri" w:hAnsi="Calibri" w:cs="Times New Roman"/>
          <w:sz w:val="22"/>
          <w:szCs w:val="22"/>
          <w:lang w:val="en-GB"/>
        </w:rPr>
        <w:t>Enacting policy regulations to improve deployment of technologies (such as incremental minimum performance standards or delivery obligations).</w:t>
      </w:r>
    </w:p>
    <w:p w:rsidR="00051058" w:rsidRPr="00024E43" w:rsidRDefault="00051058" w:rsidP="00051058">
      <w:pPr>
        <w:pStyle w:val="ListParagraph"/>
        <w:numPr>
          <w:ilvl w:val="0"/>
          <w:numId w:val="4"/>
        </w:numPr>
        <w:jc w:val="both"/>
        <w:rPr>
          <w:rFonts w:ascii="Calibri" w:hAnsi="Calibri"/>
          <w:sz w:val="22"/>
          <w:szCs w:val="22"/>
          <w:lang w:val="en-GB"/>
        </w:rPr>
      </w:pPr>
      <w:r w:rsidRPr="0061532A">
        <w:rPr>
          <w:rFonts w:ascii="Calibri" w:hAnsi="Calibri" w:cs="Times New Roman"/>
          <w:sz w:val="22"/>
          <w:szCs w:val="22"/>
          <w:lang w:val="en-GB"/>
        </w:rPr>
        <w:lastRenderedPageBreak/>
        <w:t>Developing strong national-level commitments and sources of funds for investment in low-carbon infrastructure that is accessible to local delivery agents.</w:t>
      </w:r>
    </w:p>
    <w:p w:rsidR="00051058" w:rsidRPr="00024E43" w:rsidRDefault="00051058" w:rsidP="00051058">
      <w:pPr>
        <w:pStyle w:val="ListParagraph"/>
        <w:numPr>
          <w:ilvl w:val="0"/>
          <w:numId w:val="4"/>
        </w:numPr>
        <w:jc w:val="both"/>
        <w:rPr>
          <w:rFonts w:ascii="Calibri" w:hAnsi="Calibri"/>
          <w:sz w:val="22"/>
          <w:szCs w:val="22"/>
          <w:lang w:val="en-GB"/>
        </w:rPr>
      </w:pPr>
      <w:r w:rsidRPr="0061532A">
        <w:rPr>
          <w:rFonts w:ascii="Calibri" w:hAnsi="Calibri" w:cs="Times New Roman"/>
          <w:sz w:val="22"/>
          <w:szCs w:val="22"/>
          <w:lang w:val="en-GB"/>
        </w:rPr>
        <w:t>Targeting decision-makers who can achieve maximum ‘on the ground’ change and uptake of technologies and changes in practices (i.e. sector heads, mayors and councils).</w:t>
      </w:r>
    </w:p>
    <w:p w:rsidR="00051058" w:rsidRPr="004349AE" w:rsidRDefault="00051058" w:rsidP="004349AE">
      <w:pPr>
        <w:jc w:val="both"/>
        <w:rPr>
          <w:rFonts w:ascii="Calibri" w:hAnsi="Calibri"/>
          <w:sz w:val="22"/>
          <w:lang w:val="en-GB"/>
        </w:rPr>
      </w:pPr>
    </w:p>
    <w:p w:rsidR="00051058" w:rsidRPr="00F23B9E" w:rsidRDefault="00051058" w:rsidP="00051058">
      <w:pPr>
        <w:rPr>
          <w:rFonts w:ascii="Calibri" w:hAnsi="Calibri"/>
          <w:lang w:val="en-GB"/>
        </w:rPr>
      </w:pPr>
    </w:p>
    <w:p w:rsidR="00051058" w:rsidRPr="00D036C9" w:rsidRDefault="00051058" w:rsidP="00D036C9">
      <w:pPr>
        <w:pStyle w:val="Heading4"/>
        <w:rPr>
          <w:rFonts w:cs="Palatino"/>
          <w:lang w:val="en-GB"/>
        </w:rPr>
      </w:pPr>
      <w:bookmarkStart w:id="110" w:name="_Toc402956393"/>
      <w:r w:rsidRPr="00A56960">
        <w:rPr>
          <w:lang w:val="en-GB"/>
        </w:rPr>
        <w:t>Maximi</w:t>
      </w:r>
      <w:r>
        <w:rPr>
          <w:lang w:val="en-GB"/>
        </w:rPr>
        <w:t>s</w:t>
      </w:r>
      <w:r w:rsidRPr="00A56960">
        <w:rPr>
          <w:lang w:val="en-GB"/>
        </w:rPr>
        <w:t>ing co-benefits and avoiding unintended consequences</w:t>
      </w:r>
      <w:bookmarkEnd w:id="110"/>
      <w:r w:rsidRPr="00A56960">
        <w:rPr>
          <w:rFonts w:cs="Palatino"/>
          <w:lang w:val="en-GB"/>
        </w:rPr>
        <w:t xml:space="preserve"> </w:t>
      </w:r>
    </w:p>
    <w:p w:rsidR="00051058" w:rsidRPr="00024E43" w:rsidRDefault="00051058" w:rsidP="00051058">
      <w:pPr>
        <w:jc w:val="both"/>
        <w:rPr>
          <w:rFonts w:cs="Times New Roman"/>
          <w:sz w:val="22"/>
          <w:szCs w:val="22"/>
          <w:lang w:val="en-GB"/>
        </w:rPr>
      </w:pPr>
      <w:r>
        <w:rPr>
          <w:rFonts w:cs="Times New Roman"/>
          <w:sz w:val="22"/>
          <w:szCs w:val="22"/>
          <w:lang w:val="en-GB"/>
        </w:rPr>
        <w:t>Many low carbon technologies provide</w:t>
      </w:r>
      <w:r w:rsidRPr="00024E43">
        <w:rPr>
          <w:rFonts w:cs="Times New Roman"/>
          <w:sz w:val="22"/>
          <w:szCs w:val="22"/>
          <w:lang w:val="en-GB"/>
        </w:rPr>
        <w:t xml:space="preserve"> benefits </w:t>
      </w:r>
      <w:r>
        <w:rPr>
          <w:rFonts w:cs="Times New Roman"/>
          <w:sz w:val="22"/>
          <w:szCs w:val="22"/>
          <w:lang w:val="en-GB"/>
        </w:rPr>
        <w:t>other than</w:t>
      </w:r>
      <w:r w:rsidRPr="00024E43">
        <w:rPr>
          <w:rFonts w:cs="Times New Roman"/>
          <w:sz w:val="22"/>
          <w:szCs w:val="22"/>
          <w:lang w:val="en-GB"/>
        </w:rPr>
        <w:t xml:space="preserve"> reducing greenhouse gas emissions </w:t>
      </w:r>
      <w:r>
        <w:rPr>
          <w:rFonts w:cs="Times New Roman"/>
          <w:sz w:val="22"/>
          <w:szCs w:val="22"/>
          <w:lang w:val="en-GB"/>
        </w:rPr>
        <w:t>e.g. increased</w:t>
      </w:r>
      <w:r w:rsidRPr="00024E43">
        <w:rPr>
          <w:rFonts w:cs="Times New Roman"/>
          <w:sz w:val="22"/>
          <w:szCs w:val="22"/>
          <w:lang w:val="en-GB"/>
        </w:rPr>
        <w:t xml:space="preserve"> energy security, improved asset values, improved air </w:t>
      </w:r>
      <w:r>
        <w:rPr>
          <w:rFonts w:cs="Times New Roman"/>
          <w:sz w:val="22"/>
          <w:szCs w:val="22"/>
          <w:lang w:val="en-GB"/>
        </w:rPr>
        <w:t>quality</w:t>
      </w:r>
      <w:r w:rsidRPr="00024E43">
        <w:rPr>
          <w:rFonts w:cs="Times New Roman"/>
          <w:sz w:val="22"/>
          <w:szCs w:val="22"/>
          <w:lang w:val="en-GB"/>
        </w:rPr>
        <w:t xml:space="preserve">, greater disposable income, and improved health and </w:t>
      </w:r>
      <w:r>
        <w:rPr>
          <w:rFonts w:cs="Times New Roman"/>
          <w:sz w:val="22"/>
          <w:szCs w:val="22"/>
          <w:lang w:val="en-GB"/>
        </w:rPr>
        <w:t>comfort</w:t>
      </w:r>
      <w:r w:rsidRPr="00024E43">
        <w:rPr>
          <w:rFonts w:cs="Times New Roman"/>
          <w:sz w:val="22"/>
          <w:szCs w:val="22"/>
          <w:lang w:val="en-GB"/>
        </w:rPr>
        <w:t xml:space="preserve">. </w:t>
      </w:r>
      <w:r>
        <w:rPr>
          <w:rFonts w:cs="Times New Roman"/>
          <w:sz w:val="22"/>
          <w:szCs w:val="22"/>
          <w:lang w:val="en-GB"/>
        </w:rPr>
        <w:t>Some low</w:t>
      </w:r>
      <w:r w:rsidRPr="00024E43">
        <w:rPr>
          <w:rFonts w:cs="Times New Roman"/>
          <w:sz w:val="22"/>
          <w:szCs w:val="22"/>
          <w:lang w:val="en-GB"/>
        </w:rPr>
        <w:t xml:space="preserve"> carbon technologies </w:t>
      </w:r>
      <w:r>
        <w:rPr>
          <w:rFonts w:cs="Times New Roman"/>
          <w:sz w:val="22"/>
          <w:szCs w:val="22"/>
          <w:lang w:val="en-GB"/>
        </w:rPr>
        <w:t>are primarily deployed because of their co</w:t>
      </w:r>
      <w:r w:rsidRPr="00024E43">
        <w:rPr>
          <w:rFonts w:cs="Times New Roman"/>
          <w:sz w:val="22"/>
          <w:szCs w:val="22"/>
          <w:lang w:val="en-GB"/>
        </w:rPr>
        <w:t>-benefits</w:t>
      </w:r>
      <w:r>
        <w:rPr>
          <w:rFonts w:cs="Times New Roman"/>
          <w:sz w:val="22"/>
          <w:szCs w:val="22"/>
          <w:lang w:val="en-GB"/>
        </w:rPr>
        <w:t>.</w:t>
      </w:r>
    </w:p>
    <w:p w:rsidR="00051058" w:rsidRPr="00024E43" w:rsidRDefault="00051058" w:rsidP="00051058">
      <w:pPr>
        <w:rPr>
          <w:sz w:val="22"/>
          <w:szCs w:val="22"/>
          <w:lang w:val="en-GB"/>
        </w:rPr>
      </w:pPr>
    </w:p>
    <w:p w:rsidR="00051058" w:rsidRPr="00024E43" w:rsidRDefault="00051058" w:rsidP="00051058">
      <w:pPr>
        <w:jc w:val="both"/>
        <w:rPr>
          <w:rFonts w:cs="Times New Roman"/>
          <w:sz w:val="22"/>
          <w:szCs w:val="22"/>
          <w:lang w:val="en-GB"/>
        </w:rPr>
      </w:pPr>
      <w:r>
        <w:rPr>
          <w:rFonts w:cs="Times New Roman"/>
          <w:sz w:val="22"/>
          <w:szCs w:val="22"/>
          <w:lang w:val="en-GB"/>
        </w:rPr>
        <w:t xml:space="preserve">Low carbon </w:t>
      </w:r>
      <w:r w:rsidRPr="00024E43">
        <w:rPr>
          <w:rFonts w:cs="Times New Roman"/>
          <w:sz w:val="22"/>
          <w:szCs w:val="22"/>
          <w:lang w:val="en-GB"/>
        </w:rPr>
        <w:t xml:space="preserve">technologies </w:t>
      </w:r>
      <w:r>
        <w:rPr>
          <w:rFonts w:cs="Times New Roman"/>
          <w:sz w:val="22"/>
          <w:szCs w:val="22"/>
          <w:lang w:val="en-GB"/>
        </w:rPr>
        <w:t>inappropriately deployed can</w:t>
      </w:r>
      <w:r w:rsidRPr="00024E43">
        <w:rPr>
          <w:rFonts w:cs="Times New Roman"/>
          <w:sz w:val="22"/>
          <w:szCs w:val="22"/>
          <w:lang w:val="en-GB"/>
        </w:rPr>
        <w:t xml:space="preserve"> hurt the economic and social development of developing countries. </w:t>
      </w:r>
      <w:r>
        <w:rPr>
          <w:rFonts w:cs="Times New Roman"/>
          <w:sz w:val="22"/>
          <w:szCs w:val="22"/>
          <w:lang w:val="en-GB"/>
        </w:rPr>
        <w:t>T</w:t>
      </w:r>
      <w:r w:rsidRPr="00024E43">
        <w:rPr>
          <w:rFonts w:cs="Times New Roman"/>
          <w:sz w:val="22"/>
          <w:szCs w:val="22"/>
          <w:lang w:val="en-GB"/>
        </w:rPr>
        <w:t xml:space="preserve">he increased use of expensive low-carbon energy sources could delay </w:t>
      </w:r>
      <w:r>
        <w:rPr>
          <w:rFonts w:cs="Times New Roman"/>
          <w:sz w:val="22"/>
          <w:szCs w:val="22"/>
          <w:lang w:val="en-GB"/>
        </w:rPr>
        <w:t>essential</w:t>
      </w:r>
      <w:r w:rsidRPr="00024E43">
        <w:rPr>
          <w:rFonts w:cs="Times New Roman"/>
          <w:sz w:val="22"/>
          <w:szCs w:val="22"/>
          <w:lang w:val="en-GB"/>
        </w:rPr>
        <w:t xml:space="preserve"> structural changes and slow down the construction of much-needed infrastructure. </w:t>
      </w:r>
      <w:r>
        <w:rPr>
          <w:rFonts w:cs="Times New Roman"/>
          <w:sz w:val="22"/>
          <w:szCs w:val="22"/>
          <w:lang w:val="en-GB"/>
        </w:rPr>
        <w:t>H</w:t>
      </w:r>
      <w:r w:rsidRPr="00024E43">
        <w:rPr>
          <w:rFonts w:cs="Times New Roman"/>
          <w:sz w:val="22"/>
          <w:szCs w:val="22"/>
          <w:lang w:val="en-GB"/>
        </w:rPr>
        <w:t xml:space="preserve">igher energy prices can affect economic growth and </w:t>
      </w:r>
      <w:r>
        <w:rPr>
          <w:rFonts w:cs="Times New Roman"/>
          <w:sz w:val="22"/>
          <w:szCs w:val="22"/>
          <w:lang w:val="en-GB"/>
        </w:rPr>
        <w:t>exacerbate</w:t>
      </w:r>
      <w:r w:rsidRPr="00024E43">
        <w:rPr>
          <w:rFonts w:cs="Times New Roman"/>
          <w:sz w:val="22"/>
          <w:szCs w:val="22"/>
          <w:lang w:val="en-GB"/>
        </w:rPr>
        <w:t xml:space="preserve"> poverty and inequality. However, abstaining from mitigation technologies in developing countries carries the risk of lock-in into a high carbon intensity economy.</w:t>
      </w:r>
      <w:r w:rsidR="00E13392">
        <w:rPr>
          <w:rFonts w:cs="Times New Roman"/>
          <w:sz w:val="22"/>
          <w:szCs w:val="22"/>
          <w:lang w:val="en-GB"/>
        </w:rPr>
        <w:fldChar w:fldCharType="begin"/>
      </w:r>
      <w:r w:rsidR="009F6910">
        <w:rPr>
          <w:rFonts w:cs="Times New Roman"/>
          <w:sz w:val="22"/>
          <w:szCs w:val="22"/>
          <w:lang w:val="en-GB"/>
        </w:rPr>
        <w:instrText xml:space="preserve"> ADDIN EN.CITE &lt;EndNote&gt;&lt;Cite&gt;&lt;Author&gt;Jakob&lt;/Author&gt;&lt;Year&gt;2014&lt;/Year&gt;&lt;RecNum&gt;1514&lt;/RecNum&gt;&lt;DisplayText&gt;&lt;style face="superscript"&gt;244&lt;/style&gt;&lt;/DisplayText&gt;&lt;record&gt;&lt;rec-number&gt;1514&lt;/rec-number&gt;&lt;foreign-keys&gt;&lt;key app="EN" db-id="wtftd20rmszxx0ettxy5exwdf90wv22s2dsf" timestamp="1419315699"&gt;1514&lt;/key&gt;&lt;/foreign-keys&gt;&lt;ref-type name="Journal Article"&gt;17&lt;/ref-type&gt;&lt;contributors&gt;&lt;authors&gt;&lt;author&gt;M Jakob&lt;/author&gt;&lt;author&gt;JC Steckel&lt;/author&gt;&lt;/authors&gt;&lt;/contributors&gt;&lt;titles&gt;&lt;title&gt;How climate change mitigation could harm development in poor countries&lt;/title&gt;&lt;secondary-title&gt;Wiley Interdisciplinary Reviews: Climate Change&lt;/secondary-title&gt;&lt;/titles&gt;&lt;periodical&gt;&lt;full-title&gt;Wiley Interdisciplinary Reviews: Climate Change&lt;/full-title&gt;&lt;/periodical&gt;&lt;pages&gt;161-8&lt;/pages&gt;&lt;volume&gt;5&lt;/volume&gt;&lt;number&gt;2&lt;/number&gt;&lt;dates&gt;&lt;year&gt;2014&lt;/year&gt;&lt;/dates&gt;&lt;urls&gt;&lt;/urls&gt;&lt;/record&gt;&lt;/Cite&gt;&lt;/EndNote&gt;</w:instrText>
      </w:r>
      <w:r w:rsidR="00E13392">
        <w:rPr>
          <w:rFonts w:cs="Times New Roman"/>
          <w:sz w:val="22"/>
          <w:szCs w:val="22"/>
          <w:lang w:val="en-GB"/>
        </w:rPr>
        <w:fldChar w:fldCharType="separate"/>
      </w:r>
      <w:r w:rsidR="009F6910" w:rsidRPr="009F6910">
        <w:rPr>
          <w:rFonts w:cs="Times New Roman"/>
          <w:noProof/>
          <w:sz w:val="22"/>
          <w:szCs w:val="22"/>
          <w:vertAlign w:val="superscript"/>
          <w:lang w:val="en-GB"/>
        </w:rPr>
        <w:t>244</w:t>
      </w:r>
      <w:r w:rsidR="00E13392">
        <w:rPr>
          <w:rFonts w:cs="Times New Roman"/>
          <w:sz w:val="22"/>
          <w:szCs w:val="22"/>
          <w:lang w:val="en-GB"/>
        </w:rPr>
        <w:fldChar w:fldCharType="end"/>
      </w:r>
      <w:r w:rsidRPr="00024E43">
        <w:rPr>
          <w:rFonts w:cs="Times New Roman"/>
          <w:sz w:val="22"/>
          <w:szCs w:val="22"/>
          <w:lang w:val="en-GB"/>
        </w:rPr>
        <w:t xml:space="preserve"> In order to avoid </w:t>
      </w:r>
      <w:r>
        <w:rPr>
          <w:rFonts w:cs="Times New Roman"/>
          <w:sz w:val="22"/>
          <w:szCs w:val="22"/>
          <w:lang w:val="en-GB"/>
        </w:rPr>
        <w:t>such</w:t>
      </w:r>
      <w:r w:rsidRPr="00024E43">
        <w:rPr>
          <w:rFonts w:cs="Times New Roman"/>
          <w:sz w:val="22"/>
          <w:szCs w:val="22"/>
          <w:lang w:val="en-GB"/>
        </w:rPr>
        <w:t xml:space="preserve"> unintended consequences, a balanced strategy focusing on both human development and climate mitigation in developing countries </w:t>
      </w:r>
      <w:r>
        <w:rPr>
          <w:rFonts w:cs="Times New Roman"/>
          <w:sz w:val="22"/>
          <w:szCs w:val="22"/>
          <w:lang w:val="en-GB"/>
        </w:rPr>
        <w:t>is needed</w:t>
      </w:r>
      <w:r w:rsidRPr="00024E43">
        <w:rPr>
          <w:rFonts w:cs="Times New Roman"/>
          <w:sz w:val="22"/>
          <w:szCs w:val="22"/>
          <w:lang w:val="en-GB"/>
        </w:rPr>
        <w:t xml:space="preserve">. </w:t>
      </w:r>
    </w:p>
    <w:p w:rsidR="00051058" w:rsidRPr="00024E43" w:rsidRDefault="00051058" w:rsidP="00051058">
      <w:pPr>
        <w:rPr>
          <w:sz w:val="22"/>
          <w:szCs w:val="22"/>
          <w:lang w:val="en-GB"/>
        </w:rPr>
      </w:pPr>
    </w:p>
    <w:p w:rsidR="00051058" w:rsidRPr="00024E43" w:rsidRDefault="00051058" w:rsidP="00051058">
      <w:pPr>
        <w:rPr>
          <w:sz w:val="22"/>
          <w:szCs w:val="22"/>
          <w:lang w:val="en-GB"/>
        </w:rPr>
      </w:pPr>
      <w:r>
        <w:rPr>
          <w:rFonts w:cs="Times New Roman"/>
          <w:sz w:val="22"/>
          <w:szCs w:val="22"/>
          <w:lang w:val="en-GB"/>
        </w:rPr>
        <w:t>M</w:t>
      </w:r>
      <w:r w:rsidRPr="00024E43">
        <w:rPr>
          <w:rFonts w:cs="Times New Roman"/>
          <w:sz w:val="22"/>
          <w:szCs w:val="22"/>
          <w:lang w:val="en-GB"/>
        </w:rPr>
        <w:t>echanism</w:t>
      </w:r>
      <w:r>
        <w:rPr>
          <w:rFonts w:cs="Times New Roman"/>
          <w:sz w:val="22"/>
          <w:szCs w:val="22"/>
          <w:lang w:val="en-GB"/>
        </w:rPr>
        <w:t>s</w:t>
      </w:r>
      <w:r w:rsidRPr="00024E43">
        <w:rPr>
          <w:rFonts w:cs="Times New Roman"/>
          <w:sz w:val="22"/>
          <w:szCs w:val="22"/>
          <w:lang w:val="en-GB"/>
        </w:rPr>
        <w:t xml:space="preserve"> to maximis</w:t>
      </w:r>
      <w:r>
        <w:rPr>
          <w:rFonts w:cs="Times New Roman"/>
          <w:sz w:val="22"/>
          <w:szCs w:val="22"/>
          <w:lang w:val="en-GB"/>
        </w:rPr>
        <w:t>e</w:t>
      </w:r>
      <w:r w:rsidRPr="00024E43">
        <w:rPr>
          <w:rFonts w:cs="Times New Roman"/>
          <w:sz w:val="22"/>
          <w:szCs w:val="22"/>
          <w:lang w:val="en-GB"/>
        </w:rPr>
        <w:t xml:space="preserve"> co-benefits should include:</w:t>
      </w:r>
    </w:p>
    <w:p w:rsidR="00051058" w:rsidRPr="00024E43" w:rsidRDefault="00051058" w:rsidP="00051058">
      <w:pPr>
        <w:pStyle w:val="ListParagraph"/>
        <w:numPr>
          <w:ilvl w:val="0"/>
          <w:numId w:val="5"/>
        </w:numPr>
        <w:rPr>
          <w:sz w:val="22"/>
          <w:szCs w:val="22"/>
          <w:lang w:val="en-GB"/>
        </w:rPr>
      </w:pPr>
      <w:r w:rsidRPr="00024E43">
        <w:rPr>
          <w:rFonts w:cs="Times New Roman"/>
          <w:sz w:val="22"/>
          <w:szCs w:val="22"/>
          <w:lang w:val="en-GB"/>
        </w:rPr>
        <w:t xml:space="preserve">Developing compelling arguments for action that emphasise co-benefits (i.e. health, quality of life, air quality, </w:t>
      </w:r>
      <w:r>
        <w:rPr>
          <w:rFonts w:cs="Times New Roman"/>
          <w:sz w:val="22"/>
          <w:szCs w:val="22"/>
          <w:lang w:val="en-GB"/>
        </w:rPr>
        <w:t xml:space="preserve">a </w:t>
      </w:r>
      <w:r w:rsidRPr="00024E43">
        <w:rPr>
          <w:rFonts w:cs="Times New Roman"/>
          <w:sz w:val="22"/>
          <w:szCs w:val="22"/>
          <w:lang w:val="en-GB"/>
        </w:rPr>
        <w:t>creative and resilient economy).</w:t>
      </w:r>
    </w:p>
    <w:p w:rsidR="00051058" w:rsidRPr="00024E43" w:rsidRDefault="00051058" w:rsidP="00051058">
      <w:pPr>
        <w:pStyle w:val="ListParagraph"/>
        <w:numPr>
          <w:ilvl w:val="0"/>
          <w:numId w:val="5"/>
        </w:numPr>
        <w:rPr>
          <w:sz w:val="22"/>
          <w:szCs w:val="22"/>
          <w:lang w:val="en-GB"/>
        </w:rPr>
      </w:pPr>
      <w:r w:rsidRPr="00024E43">
        <w:rPr>
          <w:rFonts w:cs="Times New Roman"/>
          <w:sz w:val="22"/>
          <w:szCs w:val="22"/>
          <w:lang w:val="en-GB"/>
        </w:rPr>
        <w:t>Putting in place national and international level mechanism</w:t>
      </w:r>
      <w:r>
        <w:rPr>
          <w:rFonts w:cs="Times New Roman"/>
          <w:sz w:val="22"/>
          <w:szCs w:val="22"/>
          <w:lang w:val="en-GB"/>
        </w:rPr>
        <w:t>s</w:t>
      </w:r>
      <w:r w:rsidRPr="00024E43">
        <w:rPr>
          <w:rFonts w:cs="Times New Roman"/>
          <w:sz w:val="22"/>
          <w:szCs w:val="22"/>
          <w:lang w:val="en-GB"/>
        </w:rPr>
        <w:t xml:space="preserve"> to support and encourage technology adoption (i.e. carbon pricing).</w:t>
      </w:r>
    </w:p>
    <w:p w:rsidR="00051058" w:rsidRPr="004349AE" w:rsidRDefault="00051058" w:rsidP="00051058">
      <w:pPr>
        <w:pStyle w:val="ListParagraph"/>
        <w:numPr>
          <w:ilvl w:val="0"/>
          <w:numId w:val="5"/>
        </w:numPr>
        <w:rPr>
          <w:lang w:val="en-GB"/>
        </w:rPr>
      </w:pPr>
      <w:r w:rsidRPr="00024E43">
        <w:rPr>
          <w:rFonts w:cs="Times New Roman"/>
          <w:sz w:val="22"/>
          <w:szCs w:val="22"/>
          <w:lang w:val="en-GB"/>
        </w:rPr>
        <w:t>Putting in place policies and economic tools that can facilitate the technology transfer from developed countries to developing countries (i.e. the importance of the Green Climate Fund).</w:t>
      </w:r>
    </w:p>
    <w:p w:rsidR="00AA3995" w:rsidRPr="00FD2424" w:rsidRDefault="00AA3995" w:rsidP="00051058">
      <w:pPr>
        <w:rPr>
          <w:sz w:val="22"/>
          <w:szCs w:val="22"/>
          <w:lang w:val="en-GB"/>
        </w:rPr>
      </w:pPr>
    </w:p>
    <w:p w:rsidR="00051058" w:rsidRPr="00D036C9" w:rsidRDefault="00051058" w:rsidP="00D036C9">
      <w:pPr>
        <w:pStyle w:val="Heading2"/>
        <w:rPr>
          <w:lang w:val="en-GB"/>
        </w:rPr>
      </w:pPr>
      <w:bookmarkStart w:id="111" w:name="_Toc415931399"/>
      <w:bookmarkStart w:id="112" w:name="_Toc417502064"/>
      <w:bookmarkStart w:id="113" w:name="_Toc402956394"/>
      <w:r w:rsidRPr="001E5324">
        <w:rPr>
          <w:lang w:val="en-GB"/>
        </w:rPr>
        <w:t>Conclusions</w:t>
      </w:r>
      <w:bookmarkEnd w:id="111"/>
      <w:bookmarkEnd w:id="112"/>
    </w:p>
    <w:p w:rsidR="00051058" w:rsidRPr="00024E43" w:rsidRDefault="00051058" w:rsidP="00051058">
      <w:pPr>
        <w:jc w:val="both"/>
        <w:rPr>
          <w:rFonts w:cs="Times New Roman"/>
          <w:sz w:val="22"/>
          <w:szCs w:val="22"/>
          <w:lang w:val="en-GB"/>
        </w:rPr>
      </w:pPr>
      <w:r>
        <w:rPr>
          <w:rFonts w:cs="Times New Roman"/>
          <w:sz w:val="22"/>
          <w:szCs w:val="22"/>
          <w:lang w:val="en-GB"/>
        </w:rPr>
        <w:t>Energy</w:t>
      </w:r>
      <w:bookmarkEnd w:id="113"/>
      <w:r w:rsidRPr="00024E43">
        <w:rPr>
          <w:rFonts w:cs="Times New Roman"/>
          <w:sz w:val="22"/>
          <w:szCs w:val="22"/>
          <w:lang w:val="en-GB"/>
        </w:rPr>
        <w:t xml:space="preserve"> systems comprise some of the largest, most complex and enduring capital structures in modern economies. </w:t>
      </w:r>
      <w:r>
        <w:rPr>
          <w:rFonts w:cs="Times New Roman"/>
          <w:sz w:val="22"/>
          <w:szCs w:val="22"/>
          <w:lang w:val="en-GB"/>
        </w:rPr>
        <w:t>Decarbonisation and reducing energy demand</w:t>
      </w:r>
      <w:r w:rsidRPr="00024E43">
        <w:rPr>
          <w:rFonts w:cs="Times New Roman"/>
          <w:sz w:val="22"/>
          <w:szCs w:val="22"/>
          <w:lang w:val="en-GB"/>
        </w:rPr>
        <w:t xml:space="preserve"> is not a simple challenge of cleaning up pollutants, or installing new equipment; it </w:t>
      </w:r>
      <w:r>
        <w:rPr>
          <w:rFonts w:cs="Times New Roman"/>
          <w:sz w:val="22"/>
          <w:szCs w:val="22"/>
          <w:lang w:val="en-GB"/>
        </w:rPr>
        <w:t>requires</w:t>
      </w:r>
      <w:r w:rsidRPr="00024E43">
        <w:rPr>
          <w:rFonts w:cs="Times New Roman"/>
          <w:sz w:val="22"/>
          <w:szCs w:val="22"/>
          <w:lang w:val="en-GB"/>
        </w:rPr>
        <w:t xml:space="preserve"> </w:t>
      </w:r>
      <w:r>
        <w:rPr>
          <w:rFonts w:cs="Times New Roman"/>
          <w:sz w:val="22"/>
          <w:szCs w:val="22"/>
          <w:lang w:val="en-GB"/>
        </w:rPr>
        <w:t xml:space="preserve">systemic </w:t>
      </w:r>
      <w:r w:rsidRPr="00024E43">
        <w:rPr>
          <w:rFonts w:cs="Times New Roman"/>
          <w:sz w:val="22"/>
          <w:szCs w:val="22"/>
          <w:lang w:val="en-GB"/>
        </w:rPr>
        <w:t>transformation</w:t>
      </w:r>
      <w:r>
        <w:rPr>
          <w:rFonts w:cs="Times New Roman"/>
          <w:sz w:val="22"/>
          <w:szCs w:val="22"/>
          <w:lang w:val="en-GB"/>
        </w:rPr>
        <w:t>s</w:t>
      </w:r>
      <w:r w:rsidRPr="00024E43">
        <w:rPr>
          <w:rFonts w:cs="Times New Roman"/>
          <w:sz w:val="22"/>
          <w:szCs w:val="22"/>
          <w:lang w:val="en-GB"/>
        </w:rPr>
        <w:t xml:space="preserve"> of </w:t>
      </w:r>
      <w:r>
        <w:rPr>
          <w:rFonts w:cs="Times New Roman"/>
          <w:sz w:val="22"/>
          <w:szCs w:val="22"/>
          <w:lang w:val="en-GB"/>
        </w:rPr>
        <w:t>energy infrastructures and associated systems.</w:t>
      </w:r>
      <w:r w:rsidRPr="00024E43">
        <w:rPr>
          <w:rFonts w:cs="Times New Roman"/>
          <w:sz w:val="22"/>
          <w:szCs w:val="22"/>
          <w:lang w:val="en-GB"/>
        </w:rPr>
        <w:t xml:space="preserve"> We need to put in place mechanisms that support the uptake of technologies </w:t>
      </w:r>
      <w:r>
        <w:rPr>
          <w:rFonts w:cs="Times New Roman"/>
          <w:sz w:val="22"/>
          <w:szCs w:val="22"/>
          <w:lang w:val="en-GB"/>
        </w:rPr>
        <w:t xml:space="preserve">in an effective manner </w:t>
      </w:r>
      <w:r w:rsidRPr="00024E43">
        <w:rPr>
          <w:rFonts w:cs="Times New Roman"/>
          <w:sz w:val="22"/>
          <w:szCs w:val="22"/>
          <w:lang w:val="en-GB"/>
        </w:rPr>
        <w:t xml:space="preserve">(i.e. support pathways to impact pathways or pathways to pathways). </w:t>
      </w:r>
    </w:p>
    <w:p w:rsidR="00051058" w:rsidRPr="00024E43" w:rsidRDefault="00051058" w:rsidP="00051058">
      <w:pPr>
        <w:jc w:val="both"/>
        <w:rPr>
          <w:rFonts w:cs="Times New Roman"/>
          <w:sz w:val="22"/>
          <w:szCs w:val="22"/>
          <w:lang w:val="en-GB"/>
        </w:rPr>
      </w:pPr>
    </w:p>
    <w:p w:rsidR="00051058" w:rsidRPr="00024E43" w:rsidRDefault="00051058" w:rsidP="00051058">
      <w:pPr>
        <w:jc w:val="both"/>
        <w:rPr>
          <w:rFonts w:cs="Times New Roman"/>
          <w:sz w:val="22"/>
          <w:szCs w:val="22"/>
          <w:lang w:val="en-GB"/>
        </w:rPr>
      </w:pPr>
      <w:r w:rsidRPr="00024E43">
        <w:rPr>
          <w:rFonts w:cs="Times New Roman"/>
          <w:sz w:val="22"/>
          <w:szCs w:val="22"/>
          <w:lang w:val="en-GB"/>
        </w:rPr>
        <w:t>Finally, it should be noted that the full potential of mitigation technologies</w:t>
      </w:r>
      <w:r>
        <w:rPr>
          <w:rFonts w:cs="Times New Roman"/>
          <w:sz w:val="22"/>
          <w:szCs w:val="22"/>
          <w:lang w:val="en-GB"/>
        </w:rPr>
        <w:t xml:space="preserve"> will only be achieved if </w:t>
      </w:r>
      <w:r w:rsidRPr="00024E43">
        <w:rPr>
          <w:rFonts w:cs="Times New Roman"/>
          <w:sz w:val="22"/>
          <w:szCs w:val="22"/>
          <w:lang w:val="en-GB"/>
        </w:rPr>
        <w:t xml:space="preserve">the </w:t>
      </w:r>
      <w:r>
        <w:rPr>
          <w:rFonts w:cs="Times New Roman"/>
          <w:sz w:val="22"/>
          <w:szCs w:val="22"/>
          <w:lang w:val="en-GB"/>
        </w:rPr>
        <w:t>social</w:t>
      </w:r>
      <w:r w:rsidRPr="00024E43">
        <w:rPr>
          <w:rFonts w:cs="Times New Roman"/>
          <w:sz w:val="22"/>
          <w:szCs w:val="22"/>
          <w:lang w:val="en-GB"/>
        </w:rPr>
        <w:t xml:space="preserve"> and </w:t>
      </w:r>
      <w:r>
        <w:rPr>
          <w:rFonts w:cs="Times New Roman"/>
          <w:sz w:val="22"/>
          <w:szCs w:val="22"/>
          <w:lang w:val="en-GB"/>
        </w:rPr>
        <w:t>political systems around these technologies co-evolve</w:t>
      </w:r>
      <w:r w:rsidRPr="0083417D">
        <w:rPr>
          <w:rFonts w:cs="Times New Roman"/>
          <w:sz w:val="22"/>
          <w:szCs w:val="22"/>
          <w:lang w:val="en-GB"/>
        </w:rPr>
        <w:t xml:space="preserve"> </w:t>
      </w:r>
      <w:r>
        <w:rPr>
          <w:rFonts w:cs="Times New Roman"/>
          <w:sz w:val="22"/>
          <w:szCs w:val="22"/>
          <w:lang w:val="en-GB"/>
        </w:rPr>
        <w:t>to deliver carbon</w:t>
      </w:r>
      <w:r w:rsidRPr="00024E43">
        <w:rPr>
          <w:rFonts w:cs="Times New Roman"/>
          <w:sz w:val="22"/>
          <w:szCs w:val="22"/>
          <w:lang w:val="en-GB"/>
        </w:rPr>
        <w:t xml:space="preserve"> targets</w:t>
      </w:r>
      <w:r>
        <w:rPr>
          <w:rFonts w:cs="Times New Roman"/>
          <w:sz w:val="22"/>
          <w:szCs w:val="22"/>
          <w:lang w:val="en-GB"/>
        </w:rPr>
        <w:t>.</w:t>
      </w:r>
      <w:r w:rsidRPr="00024E43">
        <w:rPr>
          <w:rFonts w:cs="Times New Roman"/>
          <w:sz w:val="22"/>
          <w:szCs w:val="22"/>
          <w:lang w:val="en-GB"/>
        </w:rPr>
        <w:t xml:space="preserve"> </w:t>
      </w:r>
    </w:p>
    <w:p w:rsidR="00051058" w:rsidRPr="00024E43" w:rsidRDefault="00051058" w:rsidP="00051058">
      <w:pPr>
        <w:jc w:val="both"/>
        <w:rPr>
          <w:sz w:val="22"/>
          <w:szCs w:val="22"/>
          <w:lang w:val="en-GB"/>
        </w:rPr>
      </w:pPr>
    </w:p>
    <w:p w:rsidR="00051058" w:rsidRPr="00024E43" w:rsidRDefault="00051058" w:rsidP="00051058">
      <w:pPr>
        <w:jc w:val="both"/>
        <w:rPr>
          <w:rFonts w:cs="Times New Roman"/>
          <w:sz w:val="22"/>
          <w:szCs w:val="22"/>
          <w:lang w:val="en-GB"/>
        </w:rPr>
      </w:pPr>
      <w:r w:rsidRPr="00024E43">
        <w:rPr>
          <w:rFonts w:cs="Times New Roman"/>
          <w:sz w:val="22"/>
          <w:szCs w:val="22"/>
          <w:lang w:val="en-GB"/>
        </w:rPr>
        <w:t xml:space="preserve">There is a clear and compelling need for the industrialised world to achieve faster and much deeper emission reductions than </w:t>
      </w:r>
      <w:r>
        <w:rPr>
          <w:rFonts w:cs="Times New Roman" w:hint="eastAsia"/>
          <w:sz w:val="22"/>
          <w:szCs w:val="22"/>
          <w:lang w:val="en-GB"/>
        </w:rPr>
        <w:t>anything</w:t>
      </w:r>
      <w:r>
        <w:rPr>
          <w:rFonts w:cs="Times New Roman"/>
          <w:sz w:val="22"/>
          <w:szCs w:val="22"/>
          <w:lang w:val="en-GB"/>
        </w:rPr>
        <w:t xml:space="preserve"> </w:t>
      </w:r>
      <w:r w:rsidRPr="00024E43">
        <w:rPr>
          <w:rFonts w:cs="Times New Roman"/>
          <w:sz w:val="22"/>
          <w:szCs w:val="22"/>
          <w:lang w:val="en-GB"/>
        </w:rPr>
        <w:t>delivered to date. At the same time, industrialisation historically has been accompanied by rising greenhouse gas emissions (particularly CO</w:t>
      </w:r>
      <w:r w:rsidRPr="00024E43">
        <w:rPr>
          <w:rFonts w:cs="Times New Roman"/>
          <w:sz w:val="22"/>
          <w:szCs w:val="22"/>
          <w:vertAlign w:val="subscript"/>
          <w:lang w:val="en-GB"/>
        </w:rPr>
        <w:t>2</w:t>
      </w:r>
      <w:r w:rsidRPr="00024E43">
        <w:rPr>
          <w:rFonts w:cs="Times New Roman"/>
          <w:sz w:val="22"/>
          <w:szCs w:val="22"/>
          <w:lang w:val="en-GB"/>
        </w:rPr>
        <w:t>) up to income levels of $10-15,000 per capita. Some of the major emerging economies are already reaching such levels, with concomitant emissions; helping others to avoid doing so, or helping those (like India) still with huge challenges to lift hundreds of millions of people out of extreme poverty, will require international assistance.</w:t>
      </w:r>
    </w:p>
    <w:p w:rsidR="00051058" w:rsidRPr="00024E43" w:rsidRDefault="00051058" w:rsidP="00051058">
      <w:pPr>
        <w:jc w:val="both"/>
        <w:rPr>
          <w:rFonts w:cs="Times New Roman"/>
          <w:sz w:val="22"/>
          <w:szCs w:val="22"/>
          <w:lang w:val="en-GB"/>
        </w:rPr>
      </w:pPr>
    </w:p>
    <w:p w:rsidR="00DE2E29" w:rsidRDefault="00051058">
      <w:pPr>
        <w:spacing w:after="160" w:line="259" w:lineRule="auto"/>
        <w:rPr>
          <w:rFonts w:cs="Times New Roman"/>
          <w:sz w:val="22"/>
          <w:szCs w:val="22"/>
          <w:lang w:val="en-GB"/>
        </w:rPr>
      </w:pPr>
      <w:r w:rsidRPr="00024E43">
        <w:rPr>
          <w:rFonts w:cs="Times New Roman"/>
          <w:sz w:val="22"/>
          <w:szCs w:val="22"/>
          <w:lang w:val="en-GB"/>
        </w:rPr>
        <w:t>Through a multi-pronged approach that advocates co-benefits, targets decision-makers and put</w:t>
      </w:r>
      <w:r>
        <w:rPr>
          <w:rFonts w:cs="Times New Roman"/>
          <w:sz w:val="22"/>
          <w:szCs w:val="22"/>
          <w:lang w:val="en-GB"/>
        </w:rPr>
        <w:t>s</w:t>
      </w:r>
      <w:r w:rsidRPr="00024E43">
        <w:rPr>
          <w:rFonts w:cs="Times New Roman"/>
          <w:sz w:val="22"/>
          <w:szCs w:val="22"/>
          <w:lang w:val="en-GB"/>
        </w:rPr>
        <w:t xml:space="preserve"> in effective measures that are understood, it might be possible to make real progress towards meeting </w:t>
      </w:r>
      <w:r w:rsidRPr="00024E43">
        <w:rPr>
          <w:rFonts w:cs="Times New Roman"/>
          <w:sz w:val="22"/>
          <w:szCs w:val="22"/>
          <w:lang w:val="en-GB"/>
        </w:rPr>
        <w:lastRenderedPageBreak/>
        <w:t xml:space="preserve">our emission reduction goals. </w:t>
      </w:r>
      <w:r>
        <w:rPr>
          <w:rFonts w:cs="Times New Roman"/>
          <w:sz w:val="22"/>
          <w:szCs w:val="22"/>
          <w:lang w:val="en-GB"/>
        </w:rPr>
        <w:t>T</w:t>
      </w:r>
      <w:r w:rsidRPr="00024E43">
        <w:rPr>
          <w:rFonts w:cs="Times New Roman"/>
          <w:sz w:val="22"/>
          <w:szCs w:val="22"/>
          <w:lang w:val="en-GB"/>
        </w:rPr>
        <w:t xml:space="preserve">hese mechanisms </w:t>
      </w:r>
      <w:r>
        <w:rPr>
          <w:rFonts w:cs="Times New Roman"/>
          <w:sz w:val="22"/>
          <w:szCs w:val="22"/>
          <w:lang w:val="en-GB"/>
        </w:rPr>
        <w:t>represent a</w:t>
      </w:r>
      <w:r w:rsidRPr="00024E43">
        <w:rPr>
          <w:rFonts w:cs="Times New Roman"/>
          <w:sz w:val="22"/>
          <w:szCs w:val="22"/>
          <w:lang w:val="en-GB"/>
        </w:rPr>
        <w:t xml:space="preserve"> ‘public health’ style approach to developing and implementing mitigation strategies, with the end goal of many co-benefits.</w:t>
      </w:r>
    </w:p>
    <w:p w:rsidR="00DE2E29" w:rsidRDefault="00DE2E29">
      <w:pPr>
        <w:spacing w:after="160" w:line="259" w:lineRule="auto"/>
        <w:rPr>
          <w:rFonts w:cs="Times New Roman"/>
          <w:sz w:val="22"/>
          <w:szCs w:val="22"/>
          <w:lang w:val="en-GB"/>
        </w:rPr>
      </w:pPr>
      <w:r>
        <w:rPr>
          <w:rFonts w:cs="Times New Roman"/>
          <w:sz w:val="22"/>
          <w:szCs w:val="22"/>
          <w:lang w:val="en-GB"/>
        </w:rPr>
        <w:br w:type="page"/>
      </w:r>
    </w:p>
    <w:p w:rsidR="00DC4C4E" w:rsidRDefault="00DC4C4E">
      <w:pPr>
        <w:pStyle w:val="Heading1"/>
      </w:pPr>
      <w:bookmarkStart w:id="114" w:name="_Toc402956395"/>
      <w:bookmarkStart w:id="115" w:name="_Toc415931400"/>
      <w:bookmarkStart w:id="116" w:name="_Toc417502065"/>
      <w:r>
        <w:lastRenderedPageBreak/>
        <w:t>Section 4: Financial and Economic Action</w:t>
      </w:r>
      <w:bookmarkEnd w:id="114"/>
      <w:bookmarkEnd w:id="115"/>
      <w:bookmarkEnd w:id="116"/>
    </w:p>
    <w:p w:rsidR="00DC4C4E" w:rsidRDefault="00DC4C4E" w:rsidP="00DC4C4E">
      <w:pPr>
        <w:rPr>
          <w:rFonts w:ascii="Calibri" w:hAnsi="Calibri"/>
        </w:rPr>
      </w:pPr>
    </w:p>
    <w:p w:rsidR="00DC4C4E" w:rsidRPr="00D036C9" w:rsidRDefault="00DC4C4E" w:rsidP="00D036C9">
      <w:pPr>
        <w:pStyle w:val="Heading2"/>
      </w:pPr>
      <w:bookmarkStart w:id="117" w:name="_Toc415931401"/>
      <w:bookmarkStart w:id="118" w:name="_Toc417502066"/>
      <w:r>
        <w:t>The Total Economic Cost of Fossil Fuel Use</w:t>
      </w:r>
      <w:bookmarkEnd w:id="117"/>
      <w:bookmarkEnd w:id="118"/>
    </w:p>
    <w:p w:rsidR="00DC4C4E" w:rsidRDefault="00DC4C4E" w:rsidP="00DC4C4E">
      <w:pPr>
        <w:jc w:val="both"/>
        <w:rPr>
          <w:rFonts w:ascii="Calibri" w:hAnsi="Calibri" w:cs="Times New Roman"/>
          <w:sz w:val="22"/>
          <w:szCs w:val="22"/>
        </w:rPr>
      </w:pPr>
      <w:r>
        <w:rPr>
          <w:rFonts w:ascii="Calibri" w:hAnsi="Calibri" w:cs="Times New Roman"/>
          <w:sz w:val="22"/>
          <w:szCs w:val="22"/>
        </w:rPr>
        <w:t>Past failures to reduce GHG emissions mean that remaining within the required ‘carbon budget’ is becoming progressively challenging. We are increasingly committed to a certain level of climate disruption, requiring adaptation measures to reduce the impact this is likely to have. Given that the world is already committed to some degree of climate change, and given too that the combustion of fossil fuels also emits a variety of other pollutants, the total external costs of burning fossil fuels, (i.e. those costs that are not included in the price of fossil fuels) may be expressed as shown in Box 5.1.</w:t>
      </w:r>
    </w:p>
    <w:p w:rsidR="00DC4C4E" w:rsidRDefault="00DC4C4E" w:rsidP="00DC4C4E">
      <w:pPr>
        <w:jc w:val="both"/>
        <w:rPr>
          <w:rFonts w:ascii="Calibri" w:hAnsi="Calibri" w:cs="Times New Roman"/>
          <w:sz w:val="22"/>
          <w:szCs w:val="22"/>
        </w:rPr>
      </w:pPr>
    </w:p>
    <w:tbl>
      <w:tblPr>
        <w:tblW w:w="0" w:type="auto"/>
        <w:shd w:val="clear" w:color="auto" w:fill="F2F2F2" w:themeFill="background1" w:themeFillShade="F2"/>
        <w:tblLook w:val="04A0" w:firstRow="1" w:lastRow="0" w:firstColumn="1" w:lastColumn="0" w:noHBand="0" w:noVBand="1"/>
      </w:tblPr>
      <w:tblGrid>
        <w:gridCol w:w="9241"/>
      </w:tblGrid>
      <w:tr w:rsidR="00D022A9" w:rsidTr="00FE56B7">
        <w:tc>
          <w:tcPr>
            <w:tcW w:w="9241" w:type="dxa"/>
            <w:shd w:val="clear" w:color="auto" w:fill="F2F2F2" w:themeFill="background1" w:themeFillShade="F2"/>
          </w:tcPr>
          <w:p w:rsidR="00D022A9" w:rsidRDefault="00D022A9" w:rsidP="00FE56B7">
            <w:pPr>
              <w:spacing w:line="256" w:lineRule="auto"/>
              <w:jc w:val="center"/>
              <w:rPr>
                <w:rFonts w:ascii="Calibri" w:hAnsi="Calibri" w:cs="Times New Roman"/>
                <w:b/>
                <w:sz w:val="20"/>
              </w:rPr>
            </w:pPr>
          </w:p>
          <w:p w:rsidR="00D022A9" w:rsidRDefault="00D022A9" w:rsidP="00FE56B7">
            <w:pPr>
              <w:spacing w:line="256" w:lineRule="auto"/>
              <w:jc w:val="center"/>
            </w:pPr>
            <w:r>
              <w:rPr>
                <w:rFonts w:cs="Times New Roman"/>
                <w:b/>
                <w:sz w:val="20"/>
              </w:rPr>
              <w:t>Box 5.1: Total external costs of burning fossil fuels</w:t>
            </w:r>
          </w:p>
          <w:p w:rsidR="00D022A9" w:rsidRDefault="00D022A9" w:rsidP="00FE56B7">
            <w:pPr>
              <w:spacing w:line="256" w:lineRule="auto"/>
              <w:jc w:val="center"/>
            </w:pPr>
          </w:p>
          <w:p w:rsidR="00D022A9" w:rsidRDefault="00D022A9" w:rsidP="00FE56B7">
            <w:pPr>
              <w:spacing w:line="256" w:lineRule="auto"/>
              <w:rPr>
                <w:sz w:val="20"/>
                <w:szCs w:val="20"/>
              </w:rPr>
            </w:pPr>
            <w:r>
              <w:rPr>
                <w:sz w:val="20"/>
                <w:szCs w:val="20"/>
              </w:rPr>
              <w:t>The prices of fossil fuels routinely do not account for their global impacts related to climate change or their local impacts on human health and ecosystems. These ‘external’ costs of fossil fuels may be expressed in the following formula:</w:t>
            </w:r>
          </w:p>
          <w:p w:rsidR="00D022A9" w:rsidRDefault="00D022A9" w:rsidP="00FE56B7">
            <w:pPr>
              <w:spacing w:line="256" w:lineRule="auto"/>
            </w:pPr>
          </w:p>
          <w:p w:rsidR="00D022A9" w:rsidRDefault="00E010EE" w:rsidP="00FE56B7">
            <w:pPr>
              <w:spacing w:after="200" w:line="256" w:lineRule="auto"/>
              <w:jc w:val="both"/>
              <w:rPr>
                <w:rFonts w:cs="Times New Roman"/>
                <w:sz w:val="16"/>
                <w:szCs w:val="20"/>
                <w:highlight w:val="yellow"/>
              </w:rPr>
            </w:pPr>
            <m:oMathPara>
              <m:oMath>
                <m:sSub>
                  <m:sSubPr>
                    <m:ctrlPr>
                      <w:rPr>
                        <w:rFonts w:ascii="Cambria Math" w:hAnsi="Cambria Math"/>
                        <w:i/>
                      </w:rPr>
                    </m:ctrlPr>
                  </m:sSubPr>
                  <m:e>
                    <m:r>
                      <w:rPr>
                        <w:rFonts w:ascii="Cambria Math" w:hAnsi="Cambria Math"/>
                        <w:sz w:val="20"/>
                      </w:rPr>
                      <m:t>TEC</m:t>
                    </m:r>
                  </m:e>
                  <m:sub>
                    <m:r>
                      <w:rPr>
                        <w:rFonts w:ascii="Cambria Math" w:hAnsi="Cambria Math"/>
                        <w:sz w:val="20"/>
                      </w:rPr>
                      <m:t>ff</m:t>
                    </m:r>
                  </m:sub>
                </m:sSub>
                <m:r>
                  <w:rPr>
                    <w:rFonts w:ascii="Cambria Math"/>
                    <w:sz w:val="20"/>
                  </w:rPr>
                  <m:t xml:space="preserve">= </m:t>
                </m:r>
                <m:sSub>
                  <m:sSubPr>
                    <m:ctrlPr>
                      <w:rPr>
                        <w:rFonts w:ascii="Cambria Math" w:hAnsi="Cambria Math"/>
                        <w:i/>
                      </w:rPr>
                    </m:ctrlPr>
                  </m:sSubPr>
                  <m:e>
                    <m:r>
                      <w:rPr>
                        <w:rFonts w:ascii="Cambria Math" w:hAnsi="Cambria Math"/>
                        <w:sz w:val="20"/>
                      </w:rPr>
                      <m:t>C</m:t>
                    </m:r>
                  </m:e>
                  <m:sub>
                    <m:r>
                      <w:rPr>
                        <w:rFonts w:ascii="Cambria Math" w:hAnsi="Cambria Math"/>
                        <w:sz w:val="20"/>
                      </w:rPr>
                      <m:t>cc</m:t>
                    </m:r>
                  </m:sub>
                </m:sSub>
                <m:r>
                  <w:rPr>
                    <w:rFonts w:ascii="Cambria Math"/>
                    <w:sz w:val="20"/>
                  </w:rPr>
                  <m:t xml:space="preserve">+ </m:t>
                </m:r>
                <m:sSub>
                  <m:sSubPr>
                    <m:ctrlPr>
                      <w:rPr>
                        <w:rFonts w:ascii="Cambria Math" w:hAnsi="Cambria Math"/>
                        <w:i/>
                      </w:rPr>
                    </m:ctrlPr>
                  </m:sSubPr>
                  <m:e>
                    <m:r>
                      <w:rPr>
                        <w:rFonts w:ascii="Cambria Math" w:hAnsi="Cambria Math"/>
                        <w:sz w:val="20"/>
                      </w:rPr>
                      <m:t>C</m:t>
                    </m:r>
                  </m:e>
                  <m:sub>
                    <m:r>
                      <w:rPr>
                        <w:rFonts w:ascii="Cambria Math" w:hAnsi="Cambria Math"/>
                        <w:sz w:val="20"/>
                      </w:rPr>
                      <m:t>lap</m:t>
                    </m:r>
                  </m:sub>
                </m:sSub>
                <m:r>
                  <w:rPr>
                    <w:rFonts w:ascii="Cambria Math"/>
                    <w:sz w:val="20"/>
                  </w:rPr>
                  <m:t>=</m:t>
                </m:r>
                <m:d>
                  <m:dPr>
                    <m:ctrlPr>
                      <w:rPr>
                        <w:rFonts w:ascii="Cambria Math" w:hAnsi="Cambria Math"/>
                        <w:i/>
                      </w:rPr>
                    </m:ctrlPr>
                  </m:dPr>
                  <m:e>
                    <m:sSub>
                      <m:sSubPr>
                        <m:ctrlPr>
                          <w:rPr>
                            <w:rFonts w:ascii="Cambria Math" w:hAnsi="Cambria Math"/>
                            <w:i/>
                          </w:rPr>
                        </m:ctrlPr>
                      </m:sSubPr>
                      <m:e>
                        <m:r>
                          <w:rPr>
                            <w:rFonts w:ascii="Cambria Math" w:hAnsi="Cambria Math"/>
                            <w:sz w:val="20"/>
                          </w:rPr>
                          <m:t>C</m:t>
                        </m:r>
                      </m:e>
                      <m:sub>
                        <m:r>
                          <w:rPr>
                            <w:rFonts w:ascii="Cambria Math" w:hAnsi="Cambria Math"/>
                            <w:sz w:val="20"/>
                          </w:rPr>
                          <m:t>cd</m:t>
                        </m:r>
                      </m:sub>
                    </m:sSub>
                    <m:r>
                      <w:rPr>
                        <w:rFonts w:ascii="Cambria Math"/>
                        <w:sz w:val="20"/>
                      </w:rPr>
                      <m:t xml:space="preserve">+ </m:t>
                    </m:r>
                    <m:sSub>
                      <m:sSubPr>
                        <m:ctrlPr>
                          <w:rPr>
                            <w:rFonts w:ascii="Cambria Math" w:hAnsi="Cambria Math"/>
                            <w:i/>
                          </w:rPr>
                        </m:ctrlPr>
                      </m:sSubPr>
                      <m:e>
                        <m:r>
                          <w:rPr>
                            <w:rFonts w:ascii="Cambria Math" w:hAnsi="Cambria Math"/>
                            <w:sz w:val="20"/>
                          </w:rPr>
                          <m:t>C</m:t>
                        </m:r>
                      </m:e>
                      <m:sub>
                        <m:r>
                          <w:rPr>
                            <w:rFonts w:ascii="Cambria Math" w:hAnsi="Cambria Math"/>
                            <w:sz w:val="20"/>
                          </w:rPr>
                          <m:t>ad</m:t>
                        </m:r>
                      </m:sub>
                    </m:sSub>
                    <m:r>
                      <w:rPr>
                        <w:rFonts w:ascii="Cambria Math"/>
                        <w:sz w:val="20"/>
                      </w:rPr>
                      <m:t xml:space="preserve">+ </m:t>
                    </m:r>
                    <m:sSub>
                      <m:sSubPr>
                        <m:ctrlPr>
                          <w:rPr>
                            <w:rFonts w:ascii="Cambria Math" w:hAnsi="Cambria Math"/>
                            <w:i/>
                          </w:rPr>
                        </m:ctrlPr>
                      </m:sSubPr>
                      <m:e>
                        <m:r>
                          <w:rPr>
                            <w:rFonts w:ascii="Cambria Math" w:hAnsi="Cambria Math"/>
                            <w:sz w:val="20"/>
                          </w:rPr>
                          <m:t>C</m:t>
                        </m:r>
                      </m:e>
                      <m:sub>
                        <m:r>
                          <w:rPr>
                            <w:rFonts w:ascii="Cambria Math" w:hAnsi="Cambria Math"/>
                            <w:sz w:val="20"/>
                          </w:rPr>
                          <m:t>mg</m:t>
                        </m:r>
                      </m:sub>
                    </m:sSub>
                  </m:e>
                </m:d>
                <m:r>
                  <w:rPr>
                    <w:rFonts w:ascii="Cambria Math"/>
                    <w:sz w:val="20"/>
                  </w:rPr>
                  <m:t>+(</m:t>
                </m:r>
                <m:sSub>
                  <m:sSubPr>
                    <m:ctrlPr>
                      <w:rPr>
                        <w:rFonts w:ascii="Cambria Math" w:hAnsi="Cambria Math"/>
                        <w:i/>
                      </w:rPr>
                    </m:ctrlPr>
                  </m:sSubPr>
                  <m:e>
                    <m:r>
                      <w:rPr>
                        <w:rFonts w:ascii="Cambria Math" w:hAnsi="Cambria Math"/>
                        <w:sz w:val="20"/>
                      </w:rPr>
                      <m:t>C</m:t>
                    </m:r>
                  </m:e>
                  <m:sub>
                    <m:r>
                      <w:rPr>
                        <w:rFonts w:ascii="Cambria Math" w:hAnsi="Cambria Math"/>
                        <w:sz w:val="20"/>
                      </w:rPr>
                      <m:t>pd</m:t>
                    </m:r>
                  </m:sub>
                </m:sSub>
                <m:r>
                  <w:rPr>
                    <w:rFonts w:ascii="Cambria Math"/>
                    <w:sz w:val="20"/>
                  </w:rPr>
                  <m:t xml:space="preserve">+ </m:t>
                </m:r>
                <m:sSub>
                  <m:sSubPr>
                    <m:ctrlPr>
                      <w:rPr>
                        <w:rFonts w:ascii="Cambria Math" w:hAnsi="Cambria Math"/>
                        <w:i/>
                      </w:rPr>
                    </m:ctrlPr>
                  </m:sSubPr>
                  <m:e>
                    <m:r>
                      <w:rPr>
                        <w:rFonts w:ascii="Cambria Math" w:hAnsi="Cambria Math"/>
                        <w:sz w:val="20"/>
                      </w:rPr>
                      <m:t>C</m:t>
                    </m:r>
                  </m:e>
                  <m:sub>
                    <m:r>
                      <w:rPr>
                        <w:rFonts w:ascii="Cambria Math" w:hAnsi="Cambria Math"/>
                        <w:sz w:val="20"/>
                      </w:rPr>
                      <m:t>he</m:t>
                    </m:r>
                  </m:sub>
                </m:sSub>
                <m:r>
                  <w:rPr>
                    <w:rFonts w:ascii="Cambria Math"/>
                    <w:sz w:val="20"/>
                  </w:rPr>
                  <m:t xml:space="preserve">+ </m:t>
                </m:r>
                <m:sSub>
                  <m:sSubPr>
                    <m:ctrlPr>
                      <w:rPr>
                        <w:rFonts w:ascii="Cambria Math" w:hAnsi="Cambria Math"/>
                        <w:i/>
                      </w:rPr>
                    </m:ctrlPr>
                  </m:sSubPr>
                  <m:e>
                    <m:r>
                      <w:rPr>
                        <w:rFonts w:ascii="Cambria Math" w:hAnsi="Cambria Math"/>
                        <w:sz w:val="20"/>
                      </w:rPr>
                      <m:t>C</m:t>
                    </m:r>
                  </m:e>
                  <m:sub>
                    <m:r>
                      <w:rPr>
                        <w:rFonts w:ascii="Cambria Math" w:hAnsi="Cambria Math"/>
                        <w:sz w:val="20"/>
                      </w:rPr>
                      <m:t>pc</m:t>
                    </m:r>
                  </m:sub>
                </m:sSub>
                <m:r>
                  <w:rPr>
                    <w:rFonts w:ascii="Cambria Math"/>
                    <w:sz w:val="20"/>
                  </w:rPr>
                  <m:t>)</m:t>
                </m:r>
              </m:oMath>
            </m:oMathPara>
          </w:p>
          <w:p w:rsidR="00D022A9" w:rsidRDefault="00D022A9" w:rsidP="00FE56B7">
            <w:pPr>
              <w:spacing w:line="256" w:lineRule="auto"/>
              <w:jc w:val="both"/>
              <w:rPr>
                <w:sz w:val="20"/>
                <w:szCs w:val="20"/>
              </w:rPr>
            </w:pPr>
            <w:r>
              <w:rPr>
                <w:sz w:val="20"/>
                <w:szCs w:val="20"/>
              </w:rPr>
              <w:t xml:space="preserve">Where </w:t>
            </w:r>
            <m:oMath>
              <m:sSub>
                <m:sSubPr>
                  <m:ctrlPr>
                    <w:rPr>
                      <w:rFonts w:ascii="Cambria Math" w:hAnsi="Cambria Math"/>
                      <w:i/>
                    </w:rPr>
                  </m:ctrlPr>
                </m:sSubPr>
                <m:e>
                  <m:r>
                    <w:rPr>
                      <w:rFonts w:ascii="Cambria Math" w:hAnsi="Cambria Math"/>
                      <w:sz w:val="20"/>
                    </w:rPr>
                    <m:t>TEC</m:t>
                  </m:r>
                </m:e>
                <m:sub>
                  <m:r>
                    <w:rPr>
                      <w:rFonts w:ascii="Cambria Math" w:hAnsi="Cambria Math"/>
                      <w:sz w:val="20"/>
                    </w:rPr>
                    <m:t>ff</m:t>
                  </m:r>
                </m:sub>
              </m:sSub>
            </m:oMath>
            <w:r>
              <w:rPr>
                <w:sz w:val="20"/>
              </w:rPr>
              <w:t>are the total external economic costs of burning fossil fuels,</w:t>
            </w:r>
            <w:r>
              <w:rPr>
                <w:sz w:val="20"/>
                <w:szCs w:val="20"/>
              </w:rPr>
              <w:t xml:space="preserve">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cc</m:t>
                  </m:r>
                </m:sub>
              </m:sSub>
            </m:oMath>
            <w:r>
              <w:rPr>
                <w:sz w:val="20"/>
                <w:szCs w:val="20"/>
              </w:rPr>
              <w:t xml:space="preserve"> are the costs related to climate change, which can in turn be regarded as the sum of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cd</m:t>
                  </m:r>
                </m:sub>
              </m:sSub>
            </m:oMath>
            <w:r>
              <w:rPr>
                <w:sz w:val="20"/>
                <w:szCs w:val="20"/>
              </w:rPr>
              <w:t xml:space="preserve"> (the damage costs of unmitigated climate change),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ad</m:t>
                  </m:r>
                </m:sub>
              </m:sSub>
            </m:oMath>
            <w:r>
              <w:rPr>
                <w:sz w:val="20"/>
                <w:szCs w:val="20"/>
              </w:rPr>
              <w:t xml:space="preserve"> (the costs of adapting to climate change, either present or anticipated), and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mg</m:t>
                  </m:r>
                </m:sub>
              </m:sSub>
            </m:oMath>
            <w:r>
              <w:rPr>
                <w:sz w:val="20"/>
                <w:szCs w:val="20"/>
              </w:rPr>
              <w:t xml:space="preserve"> (the costs of mitigating climate change); along with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lap</m:t>
                  </m:r>
                </m:sub>
              </m:sSub>
            </m:oMath>
            <w:r>
              <w:rPr>
                <w:sz w:val="20"/>
                <w:szCs w:val="20"/>
              </w:rPr>
              <w:t xml:space="preserve"> - the costs of local air pollution - which can be regarded as the sum of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pd</m:t>
                  </m:r>
                </m:sub>
              </m:sSub>
            </m:oMath>
            <w:r>
              <w:rPr>
                <w:sz w:val="20"/>
                <w:szCs w:val="20"/>
              </w:rPr>
              <w:t xml:space="preserve"> (the pollution damages to buildings, crops and health of such pollution),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he</m:t>
                  </m:r>
                </m:sub>
              </m:sSub>
            </m:oMath>
            <w:r>
              <w:rPr>
                <w:sz w:val="20"/>
                <w:szCs w:val="20"/>
              </w:rPr>
              <w:t xml:space="preserve"> (the health and other expenditures to remedy this pollution damage) and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pc</m:t>
                  </m:r>
                </m:sub>
              </m:sSub>
            </m:oMath>
            <w:r>
              <w:rPr>
                <w:sz w:val="20"/>
                <w:szCs w:val="20"/>
              </w:rPr>
              <w:t xml:space="preserve"> (the costs of controlling this pollution). It may be seen that there is symmetry in these cost terms relating to climate change and local air pollution, between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cd</m:t>
                  </m:r>
                </m:sub>
              </m:sSub>
            </m:oMath>
            <w:r>
              <w:rPr>
                <w:sz w:val="20"/>
                <w:szCs w:val="20"/>
              </w:rPr>
              <w:t xml:space="preserve"> and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pd</m:t>
                  </m:r>
                </m:sub>
              </m:sSub>
            </m:oMath>
            <w:r>
              <w:rPr>
                <w:sz w:val="20"/>
                <w:szCs w:val="20"/>
              </w:rPr>
              <w:t xml:space="preserve"> (the estimated damage costs),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ad</m:t>
                  </m:r>
                </m:sub>
              </m:sSub>
            </m:oMath>
            <w:r>
              <w:rPr>
                <w:sz w:val="20"/>
                <w:szCs w:val="20"/>
              </w:rPr>
              <w:t xml:space="preserve"> and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he</m:t>
                  </m:r>
                </m:sub>
              </m:sSub>
            </m:oMath>
            <w:r>
              <w:rPr>
                <w:sz w:val="20"/>
                <w:szCs w:val="20"/>
              </w:rPr>
              <w:t xml:space="preserve"> (the actual expenditures in response to the pollution) and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mg</m:t>
                  </m:r>
                </m:sub>
              </m:sSub>
            </m:oMath>
            <w:r>
              <w:rPr>
                <w:sz w:val="20"/>
                <w:szCs w:val="20"/>
              </w:rPr>
              <w:t xml:space="preserve"> and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pc</m:t>
                  </m:r>
                </m:sub>
              </m:sSub>
            </m:oMath>
            <w:r>
              <w:rPr>
                <w:sz w:val="20"/>
                <w:szCs w:val="20"/>
              </w:rPr>
              <w:t xml:space="preserve"> (the costs of reducing the extent of the pollution). The components of this formula are also dependent on each other, in conceptually simple if often practically complex ways, as follows: </w:t>
            </w:r>
          </w:p>
          <w:p w:rsidR="00D022A9" w:rsidRDefault="00D022A9" w:rsidP="00FE56B7">
            <w:pPr>
              <w:spacing w:line="256" w:lineRule="auto"/>
              <w:jc w:val="both"/>
              <w:rPr>
                <w:sz w:val="20"/>
                <w:szCs w:val="20"/>
              </w:rPr>
            </w:pPr>
          </w:p>
          <w:p w:rsidR="00D022A9" w:rsidRDefault="00E010EE" w:rsidP="00FE56B7">
            <w:pPr>
              <w:spacing w:line="256" w:lineRule="auto"/>
              <w:jc w:val="both"/>
              <w:rPr>
                <w:sz w:val="20"/>
                <w:szCs w:val="20"/>
              </w:rPr>
            </w:pP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cd</m:t>
                  </m:r>
                </m:sub>
              </m:sSub>
            </m:oMath>
            <w:r w:rsidR="00D022A9">
              <w:rPr>
                <w:sz w:val="20"/>
                <w:szCs w:val="20"/>
              </w:rPr>
              <w:t xml:space="preserve"> is a function of </w:t>
            </w:r>
            <m:oMath>
              <m:sSub>
                <m:sSubPr>
                  <m:ctrlPr>
                    <w:rPr>
                      <w:rFonts w:ascii="Cambria Math" w:hAnsi="Cambria Math"/>
                      <w:i/>
                    </w:rPr>
                  </m:ctrlPr>
                </m:sSubPr>
                <m:e>
                  <m:r>
                    <w:rPr>
                      <w:rFonts w:ascii="Cambria Math" w:hAnsi="Cambria Math"/>
                      <w:sz w:val="20"/>
                    </w:rPr>
                    <m:t>C</m:t>
                  </m:r>
                </m:e>
                <m:sub>
                  <m:r>
                    <w:rPr>
                      <w:rFonts w:ascii="Cambria Math" w:hAnsi="Cambria Math"/>
                      <w:sz w:val="20"/>
                    </w:rPr>
                    <m:t>mg</m:t>
                  </m:r>
                </m:sub>
              </m:sSub>
            </m:oMath>
            <w:r w:rsidR="00D022A9">
              <w:rPr>
                <w:sz w:val="20"/>
              </w:rPr>
              <w:t xml:space="preserve">, such that </w:t>
            </w:r>
            <w:r w:rsidR="00D022A9">
              <w:rPr>
                <w:sz w:val="20"/>
                <w:szCs w:val="20"/>
              </w:rPr>
              <w:t xml:space="preserve">increased mitigation will reduce the costs of climate damage, with a similar relationship between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pd</m:t>
                  </m:r>
                </m:sub>
              </m:sSub>
            </m:oMath>
            <w:r w:rsidR="00D022A9">
              <w:rPr>
                <w:sz w:val="20"/>
                <w:szCs w:val="20"/>
              </w:rPr>
              <w:t xml:space="preserve"> and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pc</m:t>
                  </m:r>
                </m:sub>
              </m:sSub>
            </m:oMath>
            <w:r w:rsidR="00D022A9">
              <w:rPr>
                <w:sz w:val="20"/>
                <w:szCs w:val="20"/>
              </w:rPr>
              <w:t xml:space="preserve"> for local air pollution.</w:t>
            </w:r>
          </w:p>
          <w:p w:rsidR="00D022A9" w:rsidRDefault="00D022A9" w:rsidP="00FE56B7">
            <w:pPr>
              <w:spacing w:line="256" w:lineRule="auto"/>
              <w:jc w:val="both"/>
              <w:rPr>
                <w:sz w:val="20"/>
                <w:szCs w:val="20"/>
              </w:rPr>
            </w:pPr>
          </w:p>
          <w:p w:rsidR="00D022A9" w:rsidRDefault="00E010EE" w:rsidP="00FE56B7">
            <w:pPr>
              <w:spacing w:line="256" w:lineRule="auto"/>
              <w:jc w:val="both"/>
              <w:rPr>
                <w:sz w:val="20"/>
                <w:szCs w:val="20"/>
              </w:rPr>
            </w:pP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ad</m:t>
                  </m:r>
                </m:sub>
              </m:sSub>
            </m:oMath>
            <w:r w:rsidR="00D022A9">
              <w:rPr>
                <w:sz w:val="20"/>
              </w:rPr>
              <w:t xml:space="preserve"> is also </w:t>
            </w:r>
            <w:r w:rsidR="00D022A9">
              <w:rPr>
                <w:sz w:val="20"/>
                <w:szCs w:val="20"/>
              </w:rPr>
              <w:t xml:space="preserve">a function of </w:t>
            </w:r>
            <m:oMath>
              <m:sSub>
                <m:sSubPr>
                  <m:ctrlPr>
                    <w:rPr>
                      <w:rFonts w:ascii="Cambria Math" w:hAnsi="Cambria Math"/>
                      <w:i/>
                    </w:rPr>
                  </m:ctrlPr>
                </m:sSubPr>
                <m:e>
                  <m:r>
                    <w:rPr>
                      <w:rFonts w:ascii="Cambria Math" w:hAnsi="Cambria Math"/>
                      <w:sz w:val="20"/>
                    </w:rPr>
                    <m:t>C</m:t>
                  </m:r>
                </m:e>
                <m:sub>
                  <m:r>
                    <w:rPr>
                      <w:rFonts w:ascii="Cambria Math" w:hAnsi="Cambria Math"/>
                      <w:sz w:val="20"/>
                    </w:rPr>
                    <m:t>mg</m:t>
                  </m:r>
                </m:sub>
              </m:sSub>
            </m:oMath>
            <w:r w:rsidR="00D022A9">
              <w:rPr>
                <w:sz w:val="20"/>
              </w:rPr>
              <w:t xml:space="preserve">, such that </w:t>
            </w:r>
            <w:r w:rsidR="00D022A9">
              <w:rPr>
                <w:sz w:val="20"/>
                <w:szCs w:val="20"/>
              </w:rPr>
              <w:t xml:space="preserve">increased mitigation will reduce the costs of adaptation, with a similar relationship between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he</m:t>
                  </m:r>
                </m:sub>
              </m:sSub>
            </m:oMath>
            <w:r w:rsidR="00D022A9">
              <w:rPr>
                <w:sz w:val="20"/>
                <w:szCs w:val="20"/>
              </w:rPr>
              <w:t xml:space="preserve"> and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pc</m:t>
                  </m:r>
                </m:sub>
              </m:sSub>
            </m:oMath>
            <w:r w:rsidR="00D022A9">
              <w:rPr>
                <w:sz w:val="20"/>
                <w:szCs w:val="20"/>
              </w:rPr>
              <w:t xml:space="preserve"> for local air pollution.</w:t>
            </w:r>
          </w:p>
          <w:p w:rsidR="00D022A9" w:rsidRDefault="00D022A9" w:rsidP="00FE56B7">
            <w:pPr>
              <w:spacing w:line="256" w:lineRule="auto"/>
              <w:jc w:val="both"/>
              <w:rPr>
                <w:sz w:val="20"/>
                <w:szCs w:val="20"/>
              </w:rPr>
            </w:pPr>
          </w:p>
          <w:p w:rsidR="00D022A9" w:rsidRDefault="00E010EE" w:rsidP="00FE56B7">
            <w:pPr>
              <w:spacing w:line="256" w:lineRule="auto"/>
              <w:jc w:val="both"/>
              <w:rPr>
                <w:sz w:val="20"/>
                <w:szCs w:val="20"/>
              </w:rPr>
            </w:pP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lap</m:t>
                  </m:r>
                </m:sub>
              </m:sSub>
            </m:oMath>
            <w:r w:rsidR="00D022A9">
              <w:rPr>
                <w:sz w:val="20"/>
                <w:szCs w:val="20"/>
              </w:rPr>
              <w:t xml:space="preserve"> </w:t>
            </w:r>
            <w:r w:rsidR="00D022A9">
              <w:rPr>
                <w:sz w:val="20"/>
              </w:rPr>
              <w:t xml:space="preserve">is also </w:t>
            </w:r>
            <w:r w:rsidR="00D022A9">
              <w:rPr>
                <w:sz w:val="20"/>
                <w:szCs w:val="20"/>
              </w:rPr>
              <w:t xml:space="preserve">a function of </w:t>
            </w:r>
            <m:oMath>
              <m:sSub>
                <m:sSubPr>
                  <m:ctrlPr>
                    <w:rPr>
                      <w:rFonts w:ascii="Cambria Math" w:hAnsi="Cambria Math"/>
                      <w:i/>
                    </w:rPr>
                  </m:ctrlPr>
                </m:sSubPr>
                <m:e>
                  <m:r>
                    <w:rPr>
                      <w:rFonts w:ascii="Cambria Math" w:hAnsi="Cambria Math"/>
                      <w:sz w:val="20"/>
                    </w:rPr>
                    <m:t>C</m:t>
                  </m:r>
                </m:e>
                <m:sub>
                  <m:r>
                    <w:rPr>
                      <w:rFonts w:ascii="Cambria Math" w:hAnsi="Cambria Math"/>
                      <w:sz w:val="20"/>
                    </w:rPr>
                    <m:t>mg</m:t>
                  </m:r>
                </m:sub>
              </m:sSub>
            </m:oMath>
            <w:r w:rsidR="00D022A9">
              <w:rPr>
                <w:sz w:val="20"/>
              </w:rPr>
              <w:t>, such that</w:t>
            </w:r>
            <w:r w:rsidR="00D022A9">
              <w:rPr>
                <w:sz w:val="20"/>
                <w:szCs w:val="20"/>
              </w:rPr>
              <w:t xml:space="preserve"> increased mitigation will reduce the costs of air pollution.</w:t>
            </w:r>
          </w:p>
          <w:p w:rsidR="00D022A9" w:rsidRDefault="00D022A9" w:rsidP="00FE56B7">
            <w:pPr>
              <w:spacing w:line="256" w:lineRule="auto"/>
              <w:jc w:val="both"/>
              <w:rPr>
                <w:sz w:val="20"/>
                <w:szCs w:val="20"/>
              </w:rPr>
            </w:pPr>
          </w:p>
          <w:p w:rsidR="00D022A9" w:rsidRDefault="00E010EE" w:rsidP="00FE56B7">
            <w:pPr>
              <w:spacing w:line="256" w:lineRule="auto"/>
              <w:jc w:val="both"/>
              <w:rPr>
                <w:rFonts w:cs="Times New Roman"/>
                <w:sz w:val="20"/>
                <w:szCs w:val="20"/>
              </w:rPr>
            </w:pP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cd</m:t>
                  </m:r>
                </m:sub>
              </m:sSub>
            </m:oMath>
            <w:r w:rsidR="00D022A9">
              <w:rPr>
                <w:sz w:val="20"/>
                <w:szCs w:val="20"/>
              </w:rPr>
              <w:t xml:space="preserve"> is a function of </w:t>
            </w:r>
            <m:oMath>
              <m:sSub>
                <m:sSubPr>
                  <m:ctrlPr>
                    <w:rPr>
                      <w:rFonts w:ascii="Cambria Math" w:hAnsi="Cambria Math"/>
                      <w:i/>
                    </w:rPr>
                  </m:ctrlPr>
                </m:sSubPr>
                <m:e>
                  <m:r>
                    <w:rPr>
                      <w:rFonts w:ascii="Cambria Math" w:hAnsi="Cambria Math"/>
                      <w:sz w:val="20"/>
                    </w:rPr>
                    <m:t>C</m:t>
                  </m:r>
                </m:e>
                <m:sub>
                  <m:r>
                    <w:rPr>
                      <w:rFonts w:ascii="Cambria Math" w:hAnsi="Cambria Math"/>
                      <w:sz w:val="20"/>
                    </w:rPr>
                    <m:t>ad</m:t>
                  </m:r>
                </m:sub>
              </m:sSub>
            </m:oMath>
            <w:r w:rsidR="00D022A9">
              <w:rPr>
                <w:sz w:val="20"/>
              </w:rPr>
              <w:t xml:space="preserve">, such that </w:t>
            </w:r>
            <w:r w:rsidR="00D022A9">
              <w:rPr>
                <w:sz w:val="20"/>
                <w:szCs w:val="20"/>
              </w:rPr>
              <w:t xml:space="preserve">increased adaptation will reduce the costs of climate damage, with a similar relationship between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rPr>
                    <m:t>h</m:t>
                  </m:r>
                  <m:r>
                    <w:rPr>
                      <w:rFonts w:ascii="Cambria Math" w:hAnsi="Cambria Math"/>
                      <w:sz w:val="20"/>
                      <w:szCs w:val="20"/>
                    </w:rPr>
                    <m:t>e</m:t>
                  </m:r>
                </m:sub>
              </m:sSub>
            </m:oMath>
            <w:r w:rsidR="00D022A9">
              <w:rPr>
                <w:sz w:val="20"/>
                <w:szCs w:val="20"/>
              </w:rPr>
              <w:t xml:space="preserve"> and </w:t>
            </w:r>
            <m:oMath>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pd</m:t>
                  </m:r>
                </m:sub>
              </m:sSub>
            </m:oMath>
            <w:r w:rsidR="00D022A9">
              <w:rPr>
                <w:sz w:val="20"/>
                <w:szCs w:val="20"/>
              </w:rPr>
              <w:t xml:space="preserve"> for local air pollution</w:t>
            </w:r>
            <w:r w:rsidR="00D022A9">
              <w:rPr>
                <w:rFonts w:cs="Times New Roman"/>
                <w:sz w:val="20"/>
                <w:szCs w:val="20"/>
              </w:rPr>
              <w:t>.</w:t>
            </w:r>
          </w:p>
          <w:p w:rsidR="00D022A9" w:rsidRDefault="00D022A9" w:rsidP="00FE56B7">
            <w:pPr>
              <w:spacing w:line="256" w:lineRule="auto"/>
              <w:jc w:val="both"/>
              <w:rPr>
                <w:rFonts w:cs="Times New Roman"/>
                <w:sz w:val="20"/>
                <w:szCs w:val="20"/>
              </w:rPr>
            </w:pPr>
          </w:p>
          <w:p w:rsidR="00D022A9" w:rsidRDefault="00D022A9" w:rsidP="00FE56B7">
            <w:pPr>
              <w:spacing w:line="256" w:lineRule="auto"/>
              <w:jc w:val="both"/>
              <w:rPr>
                <w:rFonts w:cs="Times New Roman"/>
                <w:sz w:val="20"/>
                <w:szCs w:val="20"/>
              </w:rPr>
            </w:pPr>
            <w:r>
              <w:rPr>
                <w:rFonts w:cs="Times New Roman"/>
                <w:sz w:val="20"/>
                <w:szCs w:val="20"/>
              </w:rPr>
              <w:t>In each case it should be borne in mind that the effects of the different variables on each other may act over widely differing timescales.</w:t>
            </w:r>
          </w:p>
          <w:p w:rsidR="00D022A9" w:rsidRDefault="00D022A9" w:rsidP="00FE56B7">
            <w:pPr>
              <w:spacing w:line="256" w:lineRule="auto"/>
              <w:jc w:val="both"/>
              <w:rPr>
                <w:rFonts w:cs="Times New Roman"/>
                <w:sz w:val="20"/>
                <w:szCs w:val="20"/>
              </w:rPr>
            </w:pPr>
          </w:p>
          <w:p w:rsidR="00D022A9" w:rsidRDefault="00D022A9" w:rsidP="00FE56B7">
            <w:pPr>
              <w:spacing w:line="256" w:lineRule="auto"/>
              <w:jc w:val="both"/>
              <w:rPr>
                <w:sz w:val="20"/>
                <w:szCs w:val="20"/>
              </w:rPr>
            </w:pPr>
            <w:r>
              <w:rPr>
                <w:rFonts w:cs="Times New Roman"/>
                <w:sz w:val="20"/>
                <w:szCs w:val="20"/>
              </w:rPr>
              <w:t xml:space="preserve">It should also be noted that while the above equation has been discussed in terms of the combustion of fossil fuels, which make the major contribution to anthropogenic greenhouse gas (GHG) emissions, for full cost-effectiveness of climate mitigation it should be computed over the full range of GHGs, to ensure that relatively cheap abatement measures are not overlooked. </w:t>
            </w:r>
          </w:p>
        </w:tc>
      </w:tr>
    </w:tbl>
    <w:p w:rsidR="00DC4C4E" w:rsidRDefault="00DC4C4E" w:rsidP="00DC4C4E">
      <w:pPr>
        <w:jc w:val="both"/>
        <w:rPr>
          <w:rFonts w:ascii="Calibri" w:hAnsi="Calibri"/>
          <w:sz w:val="22"/>
          <w:szCs w:val="22"/>
        </w:rPr>
      </w:pPr>
    </w:p>
    <w:p w:rsidR="00DC4C4E" w:rsidRPr="00DC4C4E" w:rsidRDefault="00DC4C4E" w:rsidP="00DC4C4E">
      <w:pPr>
        <w:jc w:val="both"/>
        <w:rPr>
          <w:sz w:val="22"/>
        </w:rPr>
      </w:pPr>
      <w:r>
        <w:rPr>
          <w:rFonts w:ascii="Calibri" w:hAnsi="Calibri" w:cs="Times New Roman"/>
          <w:sz w:val="22"/>
        </w:rPr>
        <w:t xml:space="preserve">The optimal outcome of this formula is that which minimises </w:t>
      </w:r>
      <m:oMath>
        <m:sSub>
          <m:sSubPr>
            <m:ctrlPr>
              <w:rPr>
                <w:rFonts w:ascii="Cambria Math" w:hAnsi="Cambria Math"/>
                <w:i/>
              </w:rPr>
            </m:ctrlPr>
          </m:sSubPr>
          <m:e>
            <m:r>
              <w:rPr>
                <w:rFonts w:ascii="Cambria Math" w:hAnsi="Cambria Math"/>
              </w:rPr>
              <m:t>TEC</m:t>
            </m:r>
          </m:e>
          <m:sub>
            <m:r>
              <w:rPr>
                <w:rFonts w:ascii="Cambria Math" w:hAnsi="Cambria Math"/>
              </w:rPr>
              <m:t>ff</m:t>
            </m:r>
          </m:sub>
        </m:sSub>
      </m:oMath>
      <w:r>
        <w:rPr>
          <w:rFonts w:ascii="Calibri" w:hAnsi="Calibri" w:cs="Times New Roman"/>
        </w:rPr>
        <w:t xml:space="preserve"> </w:t>
      </w:r>
      <w:r>
        <w:rPr>
          <w:rFonts w:ascii="Calibri" w:hAnsi="Calibri" w:cs="Times New Roman"/>
          <w:sz w:val="22"/>
          <w:szCs w:val="22"/>
        </w:rPr>
        <w:t>computed over the time horizon of interest.</w:t>
      </w:r>
      <w:r w:rsidRPr="004349AE">
        <w:rPr>
          <w:rFonts w:ascii="Calibri" w:hAnsi="Calibri"/>
          <w:sz w:val="22"/>
        </w:rPr>
        <w:t xml:space="preserve"> </w:t>
      </w:r>
      <w:r>
        <w:rPr>
          <w:rFonts w:ascii="Calibri" w:hAnsi="Calibri" w:cs="Times New Roman"/>
          <w:sz w:val="22"/>
        </w:rPr>
        <w:t xml:space="preserve">Unfortunately the state of knowledge now, or at </w:t>
      </w:r>
      <w:r>
        <w:rPr>
          <w:rFonts w:ascii="Calibri" w:hAnsi="Calibri" w:cs="Times New Roman"/>
          <w:sz w:val="22"/>
          <w:szCs w:val="22"/>
        </w:rPr>
        <w:t>an</w:t>
      </w:r>
      <w:r>
        <w:rPr>
          <w:rFonts w:ascii="Calibri" w:hAnsi="Calibri" w:cs="Times New Roman"/>
          <w:sz w:val="22"/>
        </w:rPr>
        <w:t xml:space="preserve">y likely point in time in the future, does not permit such a dynamic optimum to be computed. The purpose of this section is to explore the estimates of these different cost categories that appear in the literature to draw conclusions regarding the extent of climate change </w:t>
      </w:r>
      <w:r w:rsidRPr="004349AE">
        <w:rPr>
          <w:sz w:val="22"/>
        </w:rPr>
        <w:t>adaptation and mitigation that should be attempted, and the policies that might be able to deliver it.</w:t>
      </w:r>
    </w:p>
    <w:p w:rsidR="00DC4C4E" w:rsidRPr="00DC4C4E" w:rsidRDefault="00DC4C4E" w:rsidP="00DC4C4E">
      <w:pPr>
        <w:jc w:val="both"/>
        <w:rPr>
          <w:sz w:val="22"/>
        </w:rPr>
      </w:pPr>
    </w:p>
    <w:p w:rsidR="00DC4C4E" w:rsidRDefault="00DC4C4E" w:rsidP="00DC4C4E">
      <w:pPr>
        <w:rPr>
          <w:rFonts w:cs="Arial"/>
          <w:color w:val="222222"/>
          <w:sz w:val="22"/>
          <w:szCs w:val="22"/>
          <w:shd w:val="clear" w:color="auto" w:fill="FFFFFF"/>
        </w:rPr>
      </w:pPr>
      <w:r>
        <w:rPr>
          <w:rFonts w:cs="Arial"/>
          <w:color w:val="222222"/>
          <w:sz w:val="22"/>
          <w:szCs w:val="22"/>
          <w:shd w:val="clear" w:color="auto" w:fill="FFFFFF"/>
        </w:rPr>
        <w:t>The question of what is optimal in economic terms in terms of GDP or welfare per head, for a given level of carbon emissions and discount rate, requires the computation of an optimal timepath. What is optimal today (without regard for the future) will not be optimal if the future is to be taken into account. And of course the relationship between ‘low prevention-costs-now means very high treatment-costs-later’, compared with ‘high prevention-costs-now means lower treatment-costs-later’ will be subject to very great uncertainty. Higher uncertainty may mean that high prevention costs would be wasted. On the other hand, with the higher uncertainty comes the increased probability that high prevention costs are not high enough.</w:t>
      </w:r>
      <w:r>
        <w:rPr>
          <w:rFonts w:cs="Arial"/>
          <w:color w:val="222222"/>
          <w:sz w:val="22"/>
          <w:szCs w:val="22"/>
        </w:rPr>
        <w:t xml:space="preserve"> However, </w:t>
      </w:r>
      <w:r>
        <w:rPr>
          <w:rFonts w:cs="Arial"/>
          <w:color w:val="222222"/>
          <w:sz w:val="22"/>
          <w:szCs w:val="22"/>
          <w:shd w:val="clear" w:color="auto" w:fill="FFFFFF"/>
        </w:rPr>
        <w:t>whatever the answers to these questions, models reviewed in the IPCC’s AR5 WGIII report indicate with sufficient certainty that more needs to be spent earlier rather than later if even a moderate value is given to the intermediate and long term future.</w:t>
      </w:r>
      <w:r w:rsidR="00E13392">
        <w:rPr>
          <w:rFonts w:cs="Arial"/>
          <w:color w:val="222222"/>
          <w:sz w:val="22"/>
          <w:szCs w:val="22"/>
          <w:shd w:val="clear" w:color="auto" w:fill="FFFFFF"/>
        </w:rPr>
        <w:fldChar w:fldCharType="begin"/>
      </w:r>
      <w:r w:rsidR="00A43B13">
        <w:rPr>
          <w:rFonts w:cs="Arial"/>
          <w:color w:val="222222"/>
          <w:sz w:val="22"/>
          <w:szCs w:val="22"/>
          <w:shd w:val="clear" w:color="auto" w:fill="FFFFFF"/>
        </w:rPr>
        <w:instrText xml:space="preserve"> ADDIN EN.CITE &lt;EndNote&gt;&lt;Cite&gt;&lt;RecNum&gt;1427&lt;/RecNum&gt;&lt;DisplayText&gt;&lt;style face="superscript"&gt;201&lt;/style&gt;&lt;/DisplayText&gt;&lt;record&gt;&lt;rec-number&gt;1427&lt;/rec-number&gt;&lt;foreign-keys&gt;&lt;key app="EN" db-id="wtftd20rmszxx0ettxy5exwdf90wv22s2dsf" timestamp="1419296207"&gt;1427&lt;/key&gt;&lt;/foreign-keys&gt;&lt;ref-type name="Book Section"&gt;5&lt;/ref-type&gt;&lt;contributors&gt;&lt;secondary-authors&gt;&lt;author&gt;O Edenhofer&lt;/author&gt;&lt;author&gt;R Pichs-Madruga&lt;/author&gt;&lt;author&gt;Y Sokona&lt;/author&gt;&lt;author&gt;E Farahani&lt;/author&gt;&lt;author&gt;S Kadner&lt;/author&gt;&lt;author&gt;K Seyboth&lt;/author&gt;&lt;author&gt;A Adler&lt;/author&gt;&lt;author&gt;I Baum&lt;/author&gt;&lt;author&gt;S Brunner&lt;/author&gt;&lt;author&gt;P Eickemeier&lt;/author&gt;&lt;author&gt;B Kriemann&lt;/author&gt;&lt;author&gt;J Savolainen&lt;/author&gt;&lt;author&gt;S Schlömer&lt;/author&gt;&lt;author&gt;C von Stechow&lt;/author&gt;&lt;author&gt;T Zwickel&lt;/author&gt;&lt;author&gt;JC Minx&lt;/author&gt;&lt;/secondary-authors&gt;&lt;/contributors&gt;&lt;titles&gt;&lt;title&gt;Summary for Policymakers&lt;/title&gt;&lt;secondary-title&gt;Climate Change 2014: Mitigation of Climate Change. Contribution of Working Group III to the Fifth Assessment Report of the Intergovernmental Panel on Climate Change&lt;/secondary-title&gt;&lt;/titles&gt;&lt;dates&gt;&lt;/dates&gt;&lt;pub-location&gt;Cambridge, United Kingdom and New York, NY, USA&lt;/pub-location&gt;&lt;publisher&gt;Cambridge University Press&lt;/publisher&gt;&lt;urls&gt;&lt;/urls&gt;&lt;/record&gt;&lt;/Cite&gt;&lt;/EndNote&gt;</w:instrText>
      </w:r>
      <w:r w:rsidR="00E13392">
        <w:rPr>
          <w:rFonts w:cs="Arial"/>
          <w:color w:val="222222"/>
          <w:sz w:val="22"/>
          <w:szCs w:val="22"/>
          <w:shd w:val="clear" w:color="auto" w:fill="FFFFFF"/>
        </w:rPr>
        <w:fldChar w:fldCharType="separate"/>
      </w:r>
      <w:r w:rsidR="00A43B13" w:rsidRPr="00A43B13">
        <w:rPr>
          <w:rFonts w:cs="Arial"/>
          <w:noProof/>
          <w:color w:val="222222"/>
          <w:sz w:val="22"/>
          <w:szCs w:val="22"/>
          <w:shd w:val="clear" w:color="auto" w:fill="FFFFFF"/>
          <w:vertAlign w:val="superscript"/>
        </w:rPr>
        <w:t>201</w:t>
      </w:r>
      <w:r w:rsidR="00E13392">
        <w:rPr>
          <w:rFonts w:cs="Arial"/>
          <w:color w:val="222222"/>
          <w:sz w:val="22"/>
          <w:szCs w:val="22"/>
          <w:shd w:val="clear" w:color="auto" w:fill="FFFFFF"/>
        </w:rPr>
        <w:fldChar w:fldCharType="end"/>
      </w:r>
    </w:p>
    <w:p w:rsidR="00DC4C4E" w:rsidRDefault="00DC4C4E" w:rsidP="00DC4C4E">
      <w:pPr>
        <w:jc w:val="both"/>
        <w:rPr>
          <w:sz w:val="22"/>
          <w:szCs w:val="22"/>
        </w:rPr>
      </w:pPr>
    </w:p>
    <w:p w:rsidR="00DC4C4E" w:rsidRPr="00DC4C4E" w:rsidRDefault="00DC4C4E" w:rsidP="00DC4C4E">
      <w:pPr>
        <w:rPr>
          <w:sz w:val="22"/>
        </w:rPr>
      </w:pPr>
    </w:p>
    <w:p w:rsidR="00DC4C4E" w:rsidRPr="00D036C9" w:rsidRDefault="00DC4C4E" w:rsidP="00D036C9">
      <w:pPr>
        <w:pStyle w:val="Heading2"/>
      </w:pPr>
      <w:bookmarkStart w:id="119" w:name="_Toc402956396"/>
      <w:bookmarkStart w:id="120" w:name="_Toc415931402"/>
      <w:bookmarkStart w:id="121" w:name="_Toc417502067"/>
      <w:r>
        <w:t xml:space="preserve">The Health and Related Economic Benefits of Climate Change </w:t>
      </w:r>
      <w:bookmarkEnd w:id="119"/>
      <w:r>
        <w:t>Adaptation</w:t>
      </w:r>
      <w:bookmarkEnd w:id="120"/>
      <w:bookmarkEnd w:id="121"/>
    </w:p>
    <w:p w:rsidR="00DC4C4E" w:rsidRDefault="00DC4C4E" w:rsidP="00DC4C4E">
      <w:pPr>
        <w:jc w:val="both"/>
        <w:rPr>
          <w:rFonts w:ascii="Calibri" w:hAnsi="Calibri" w:cs="Times New Roman"/>
          <w:sz w:val="22"/>
        </w:rPr>
      </w:pPr>
      <w:r>
        <w:rPr>
          <w:rFonts w:ascii="Calibri" w:hAnsi="Calibri" w:cs="Times New Roman"/>
          <w:sz w:val="22"/>
        </w:rPr>
        <w:t>There are significant research gaps regarding the scientific evaluation of the health benefits of climate change adaptation due to its highly diffuse and context-specific nature</w:t>
      </w:r>
      <w:r w:rsidR="004008E1" w:rsidRPr="004008E1">
        <w:rPr>
          <w:rFonts w:ascii="Calibri" w:hAnsi="Calibri" w:cs="Times New Roman"/>
          <w:sz w:val="22"/>
        </w:rPr>
        <w:t xml:space="preserve"> </w:t>
      </w:r>
      <w:r w:rsidR="004008E1">
        <w:rPr>
          <w:rFonts w:ascii="Calibri" w:hAnsi="Calibri" w:cs="Times New Roman"/>
          <w:sz w:val="22"/>
        </w:rPr>
        <w:t>with only scattered quantitative or semi-quantitative studies on the health costs and benefits of climate change adaptation options.</w:t>
      </w:r>
      <w:r w:rsidR="00E13392">
        <w:rPr>
          <w:rFonts w:ascii="Calibri" w:hAnsi="Calibri" w:cs="Times New Roman"/>
          <w:sz w:val="22"/>
        </w:rPr>
        <w:fldChar w:fldCharType="begin">
          <w:fldData xml:space="preserve">PEVuZE5vdGU+PENpdGU+PEF1dGhvcj5DaGFtYndlcmE8L0F1dGhvcj48WWVhcj4yMDE0PC9ZZWFy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</w:fldData>
        </w:fldChar>
      </w:r>
      <w:r w:rsidR="009F6910">
        <w:rPr>
          <w:rFonts w:ascii="Calibri" w:hAnsi="Calibri" w:cs="Times New Roman"/>
          <w:sz w:val="22"/>
        </w:rPr>
        <w:instrText xml:space="preserve"> ADDIN EN.CITE </w:instrText>
      </w:r>
      <w:r w:rsidR="00E13392">
        <w:rPr>
          <w:rFonts w:ascii="Calibri" w:hAnsi="Calibri" w:cs="Times New Roman"/>
          <w:sz w:val="22"/>
        </w:rPr>
        <w:fldChar w:fldCharType="begin">
          <w:fldData xml:space="preserve">PEVuZE5vdGU+PENpdGU+PEF1dGhvcj5DaGFtYndlcmE8L0F1dGhvcj48WWVhcj4yMDE0PC9ZZWFy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</w:fldData>
        </w:fldChar>
      </w:r>
      <w:r w:rsidR="009F6910">
        <w:rPr>
          <w:rFonts w:ascii="Calibri" w:hAnsi="Calibri" w:cs="Times New Roman"/>
          <w:sz w:val="22"/>
        </w:rPr>
        <w:instrText xml:space="preserve"> ADDIN EN.CITE.DATA </w:instrText>
      </w:r>
      <w:r w:rsidR="00E13392">
        <w:rPr>
          <w:rFonts w:ascii="Calibri" w:hAnsi="Calibri" w:cs="Times New Roman"/>
          <w:sz w:val="22"/>
        </w:rPr>
      </w:r>
      <w:r w:rsidR="00E13392">
        <w:rPr>
          <w:rFonts w:ascii="Calibri" w:hAnsi="Calibri" w:cs="Times New Roman"/>
          <w:sz w:val="22"/>
        </w:rPr>
        <w:fldChar w:fldCharType="end"/>
      </w:r>
      <w:r w:rsidR="00E13392">
        <w:rPr>
          <w:rFonts w:ascii="Calibri" w:hAnsi="Calibri" w:cs="Times New Roman"/>
          <w:sz w:val="22"/>
        </w:rPr>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245</w:t>
      </w:r>
      <w:r w:rsidR="00E13392">
        <w:rPr>
          <w:rFonts w:ascii="Calibri" w:hAnsi="Calibri" w:cs="Times New Roman"/>
          <w:sz w:val="22"/>
        </w:rPr>
        <w:fldChar w:fldCharType="end"/>
      </w:r>
      <w:r>
        <w:rPr>
          <w:rFonts w:ascii="Calibri" w:hAnsi="Calibri" w:cs="Times New Roman"/>
          <w:sz w:val="22"/>
        </w:rPr>
        <w:t xml:space="preserve"> Monetising these costs and benefits is an even more difficult task. However, the studies that do exist present a strong message. Seven out of the eight studies on the effectiveness of heat wave early warning systems reported fewer deaths after the systems were implemented. For example, in the summer of 2006, a heat wave in France produced around 2,000 excess deaths - 4,000 less than anticipated based on previous events.</w:t>
      </w:r>
      <w:r w:rsidR="00E13392">
        <w:rPr>
          <w:rFonts w:ascii="Calibri" w:hAnsi="Calibri" w:cs="Times New Roman"/>
          <w:sz w:val="22"/>
        </w:rPr>
        <w:fldChar w:fldCharType="begin">
          <w:fldData xml:space="preserve">PEVuZE5vdGU+PENpdGU+PEF1dGhvcj5TbWl0aCBLUjwvQXV0aG9yPjxZZWFyPjIwMTQ8L1llYXI+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</w:fldData>
        </w:fldChar>
      </w:r>
      <w:r w:rsidR="00303C0E">
        <w:rPr>
          <w:rFonts w:ascii="Calibri" w:hAnsi="Calibri" w:cs="Times New Roman"/>
          <w:sz w:val="22"/>
        </w:rPr>
        <w:instrText xml:space="preserve"> ADDIN EN.CITE </w:instrText>
      </w:r>
      <w:r w:rsidR="00E13392">
        <w:rPr>
          <w:rFonts w:ascii="Calibri" w:hAnsi="Calibri" w:cs="Times New Roman"/>
          <w:sz w:val="22"/>
        </w:rPr>
        <w:fldChar w:fldCharType="begin">
          <w:fldData xml:space="preserve">PEVuZE5vdGU+PENpdGU+PEF1dGhvcj5TbWl0aCBLUjwvQXV0aG9yPjxZZWFyPjIwMTQ8L1llYXI+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</w:fldData>
        </w:fldChar>
      </w:r>
      <w:r w:rsidR="00303C0E">
        <w:rPr>
          <w:rFonts w:ascii="Calibri" w:hAnsi="Calibri" w:cs="Times New Roman"/>
          <w:sz w:val="22"/>
        </w:rPr>
        <w:instrText xml:space="preserve"> ADDIN EN.CITE.DATA </w:instrText>
      </w:r>
      <w:r w:rsidR="00E13392">
        <w:rPr>
          <w:rFonts w:ascii="Calibri" w:hAnsi="Calibri" w:cs="Times New Roman"/>
          <w:sz w:val="22"/>
        </w:rPr>
      </w:r>
      <w:r w:rsidR="00E13392">
        <w:rPr>
          <w:rFonts w:ascii="Calibri" w:hAnsi="Calibri" w:cs="Times New Roman"/>
          <w:sz w:val="22"/>
        </w:rPr>
        <w:fldChar w:fldCharType="end"/>
      </w:r>
      <w:r w:rsidR="00E13392">
        <w:rPr>
          <w:rFonts w:ascii="Calibri" w:hAnsi="Calibri" w:cs="Times New Roman"/>
          <w:sz w:val="22"/>
        </w:rPr>
      </w:r>
      <w:r w:rsidR="00E13392">
        <w:rPr>
          <w:rFonts w:ascii="Calibri" w:hAnsi="Calibri" w:cs="Times New Roman"/>
          <w:sz w:val="22"/>
        </w:rPr>
        <w:fldChar w:fldCharType="separate"/>
      </w:r>
      <w:r w:rsidR="00303C0E" w:rsidRPr="00303C0E">
        <w:rPr>
          <w:rFonts w:ascii="Calibri" w:hAnsi="Calibri" w:cs="Times New Roman"/>
          <w:noProof/>
          <w:sz w:val="22"/>
          <w:vertAlign w:val="superscript"/>
        </w:rPr>
        <w:t>31</w:t>
      </w:r>
      <w:r w:rsidR="00E13392">
        <w:rPr>
          <w:rFonts w:ascii="Calibri" w:hAnsi="Calibri" w:cs="Times New Roman"/>
          <w:sz w:val="22"/>
        </w:rPr>
        <w:fldChar w:fldCharType="end"/>
      </w:r>
      <w:r>
        <w:rPr>
          <w:rFonts w:ascii="Calibri" w:hAnsi="Calibri" w:cs="Times New Roman"/>
          <w:sz w:val="22"/>
        </w:rPr>
        <w:t xml:space="preserve"> A national assessment attributed this to greater public awareness of the health risks of heat, improved health care facilities, and the introduction of a heat wave early warning system in 2004.</w:t>
      </w:r>
      <w:r w:rsidR="00E13392">
        <w:rPr>
          <w:rFonts w:ascii="Calibri" w:hAnsi="Calibri" w:cs="Times New Roman"/>
          <w:sz w:val="22"/>
        </w:rPr>
        <w:fldChar w:fldCharType="begin">
          <w:fldData xml:space="preserve">PEVuZE5vdGU+PENpdGU+PEF1dGhvcj5Gb3VpbGxldDwvQXV0aG9yPjxZZWFyPjIwMDg8L1llYXI+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</w:fldData>
        </w:fldChar>
      </w:r>
      <w:r w:rsidR="00723833">
        <w:rPr>
          <w:rFonts w:ascii="Calibri" w:hAnsi="Calibri" w:cs="Times New Roman"/>
          <w:sz w:val="22"/>
        </w:rPr>
        <w:instrText xml:space="preserve"> ADDIN EN.CITE </w:instrText>
      </w:r>
      <w:r w:rsidR="00E13392">
        <w:rPr>
          <w:rFonts w:ascii="Calibri" w:hAnsi="Calibri" w:cs="Times New Roman"/>
          <w:sz w:val="22"/>
        </w:rPr>
        <w:fldChar w:fldCharType="begin">
          <w:fldData xml:space="preserve">PEVuZE5vdGU+PENpdGU+PEF1dGhvcj5Gb3VpbGxldDwvQXV0aG9yPjxZZWFyPjIwMDg8L1llYXI+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</w:fldData>
        </w:fldChar>
      </w:r>
      <w:r w:rsidR="00723833">
        <w:rPr>
          <w:rFonts w:ascii="Calibri" w:hAnsi="Calibri" w:cs="Times New Roman"/>
          <w:sz w:val="22"/>
        </w:rPr>
        <w:instrText xml:space="preserve"> ADDIN EN.CITE.DATA </w:instrText>
      </w:r>
      <w:r w:rsidR="00E13392">
        <w:rPr>
          <w:rFonts w:ascii="Calibri" w:hAnsi="Calibri" w:cs="Times New Roman"/>
          <w:sz w:val="22"/>
        </w:rPr>
      </w:r>
      <w:r w:rsidR="00E13392">
        <w:rPr>
          <w:rFonts w:ascii="Calibri" w:hAnsi="Calibri" w:cs="Times New Roman"/>
          <w:sz w:val="22"/>
        </w:rPr>
        <w:fldChar w:fldCharType="end"/>
      </w:r>
      <w:r w:rsidR="00E13392">
        <w:rPr>
          <w:rFonts w:ascii="Calibri" w:hAnsi="Calibri" w:cs="Times New Roman"/>
          <w:sz w:val="22"/>
        </w:rPr>
      </w:r>
      <w:r w:rsidR="00E13392">
        <w:rPr>
          <w:rFonts w:ascii="Calibri" w:hAnsi="Calibri" w:cs="Times New Roman"/>
          <w:sz w:val="22"/>
        </w:rPr>
        <w:fldChar w:fldCharType="separate"/>
      </w:r>
      <w:r w:rsidR="00723833" w:rsidRPr="00723833">
        <w:rPr>
          <w:rFonts w:ascii="Calibri" w:hAnsi="Calibri" w:cs="Times New Roman"/>
          <w:noProof/>
          <w:sz w:val="22"/>
          <w:vertAlign w:val="superscript"/>
        </w:rPr>
        <w:t>112</w:t>
      </w:r>
      <w:r w:rsidR="00E13392">
        <w:rPr>
          <w:rFonts w:ascii="Calibri" w:hAnsi="Calibri" w:cs="Times New Roman"/>
          <w:sz w:val="22"/>
        </w:rPr>
        <w:fldChar w:fldCharType="end"/>
      </w:r>
      <w:r>
        <w:rPr>
          <w:rFonts w:ascii="Calibri" w:hAnsi="Calibri" w:cs="Times New Roman"/>
          <w:sz w:val="22"/>
        </w:rPr>
        <w:t xml:space="preserve"> A Climate Forecast Applications Network developed in the United States had successfully forecast three major floods in 2007 and 2008 in Bangladesh ten days in advance, allowing farmers to harvest crops, shelter animals, store clean water and secure food before the event.</w:t>
      </w:r>
      <w:r w:rsidR="00E13392">
        <w:rPr>
          <w:rFonts w:ascii="Calibri" w:hAnsi="Calibri" w:cs="Times New Roman"/>
          <w:sz w:val="22"/>
        </w:rPr>
        <w:fldChar w:fldCharType="begin">
          <w:fldData xml:space="preserve">PEVuZE5vdGU+PENpdGU+PEF1dGhvcj5XZWJzdGVyPC9BdXRob3I+PFllYXI+MjAxMzwvWWVhcj48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</w:fldData>
        </w:fldChar>
      </w:r>
      <w:r w:rsidR="009F6910">
        <w:rPr>
          <w:rFonts w:ascii="Calibri" w:hAnsi="Calibri" w:cs="Times New Roman"/>
          <w:sz w:val="22"/>
        </w:rPr>
        <w:instrText xml:space="preserve"> ADDIN EN.CITE </w:instrText>
      </w:r>
      <w:r w:rsidR="00E13392">
        <w:rPr>
          <w:rFonts w:ascii="Calibri" w:hAnsi="Calibri" w:cs="Times New Roman"/>
          <w:sz w:val="22"/>
        </w:rPr>
        <w:fldChar w:fldCharType="begin">
          <w:fldData xml:space="preserve">PEVuZE5vdGU+PENpdGU+PEF1dGhvcj5XZWJzdGVyPC9BdXRob3I+PFllYXI+MjAxMzwvWWVhcj48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</w:fldData>
        </w:fldChar>
      </w:r>
      <w:r w:rsidR="009F6910">
        <w:rPr>
          <w:rFonts w:ascii="Calibri" w:hAnsi="Calibri" w:cs="Times New Roman"/>
          <w:sz w:val="22"/>
        </w:rPr>
        <w:instrText xml:space="preserve"> ADDIN EN.CITE.DATA </w:instrText>
      </w:r>
      <w:r w:rsidR="00E13392">
        <w:rPr>
          <w:rFonts w:ascii="Calibri" w:hAnsi="Calibri" w:cs="Times New Roman"/>
          <w:sz w:val="22"/>
        </w:rPr>
      </w:r>
      <w:r w:rsidR="00E13392">
        <w:rPr>
          <w:rFonts w:ascii="Calibri" w:hAnsi="Calibri" w:cs="Times New Roman"/>
          <w:sz w:val="22"/>
        </w:rPr>
        <w:fldChar w:fldCharType="end"/>
      </w:r>
      <w:r w:rsidR="00E13392">
        <w:rPr>
          <w:rFonts w:ascii="Calibri" w:hAnsi="Calibri" w:cs="Times New Roman"/>
          <w:sz w:val="22"/>
        </w:rPr>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246</w:t>
      </w:r>
      <w:r w:rsidR="00E13392">
        <w:rPr>
          <w:rFonts w:ascii="Calibri" w:hAnsi="Calibri" w:cs="Times New Roman"/>
          <w:sz w:val="22"/>
        </w:rPr>
        <w:fldChar w:fldCharType="end"/>
      </w:r>
      <w:r>
        <w:rPr>
          <w:rFonts w:ascii="Calibri" w:hAnsi="Calibri" w:cs="Times New Roman"/>
          <w:sz w:val="22"/>
        </w:rPr>
        <w:t xml:space="preserve"> Webster (2013) also strongly advocates the establishment of a network between weather and climate forecasters in the developed world and research, governmental and non-governmental organisations in the less-developed world.</w:t>
      </w:r>
      <w:r w:rsidR="00E13392">
        <w:rPr>
          <w:rFonts w:ascii="Calibri" w:hAnsi="Calibri" w:cs="Times New Roman"/>
          <w:sz w:val="22"/>
        </w:rPr>
        <w:fldChar w:fldCharType="begin">
          <w:fldData xml:space="preserve">PEVuZE5vdGU+PENpdGU+PEF1dGhvcj5XZWJzdGVyPC9BdXRob3I+PFllYXI+MjAxMzwvWWVhcj48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</w:fldData>
        </w:fldChar>
      </w:r>
      <w:r w:rsidR="009F6910">
        <w:rPr>
          <w:rFonts w:ascii="Calibri" w:hAnsi="Calibri" w:cs="Times New Roman"/>
          <w:sz w:val="22"/>
        </w:rPr>
        <w:instrText xml:space="preserve"> ADDIN EN.CITE </w:instrText>
      </w:r>
      <w:r w:rsidR="00E13392">
        <w:rPr>
          <w:rFonts w:ascii="Calibri" w:hAnsi="Calibri" w:cs="Times New Roman"/>
          <w:sz w:val="22"/>
        </w:rPr>
        <w:fldChar w:fldCharType="begin">
          <w:fldData xml:space="preserve">PEVuZE5vdGU+PENpdGU+PEF1dGhvcj5XZWJzdGVyPC9BdXRob3I+PFllYXI+MjAxMzwvWWVhcj48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</w:fldData>
        </w:fldChar>
      </w:r>
      <w:r w:rsidR="009F6910">
        <w:rPr>
          <w:rFonts w:ascii="Calibri" w:hAnsi="Calibri" w:cs="Times New Roman"/>
          <w:sz w:val="22"/>
        </w:rPr>
        <w:instrText xml:space="preserve"> ADDIN EN.CITE.DATA </w:instrText>
      </w:r>
      <w:r w:rsidR="00E13392">
        <w:rPr>
          <w:rFonts w:ascii="Calibri" w:hAnsi="Calibri" w:cs="Times New Roman"/>
          <w:sz w:val="22"/>
        </w:rPr>
      </w:r>
      <w:r w:rsidR="00E13392">
        <w:rPr>
          <w:rFonts w:ascii="Calibri" w:hAnsi="Calibri" w:cs="Times New Roman"/>
          <w:sz w:val="22"/>
        </w:rPr>
        <w:fldChar w:fldCharType="end"/>
      </w:r>
      <w:r w:rsidR="00E13392">
        <w:rPr>
          <w:rFonts w:ascii="Calibri" w:hAnsi="Calibri" w:cs="Times New Roman"/>
          <w:sz w:val="22"/>
        </w:rPr>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246</w:t>
      </w:r>
      <w:r w:rsidR="00E13392">
        <w:rPr>
          <w:rFonts w:ascii="Calibri" w:hAnsi="Calibri" w:cs="Times New Roman"/>
          <w:sz w:val="22"/>
        </w:rPr>
        <w:fldChar w:fldCharType="end"/>
      </w:r>
      <w:r>
        <w:rPr>
          <w:rFonts w:ascii="Calibri" w:hAnsi="Calibri" w:cs="Times New Roman"/>
          <w:sz w:val="22"/>
        </w:rPr>
        <w:t xml:space="preserve"> According to his estimation, such a network could produce 10-15 day forecasts for South and East Asia for a wide range of hydro-meteorological hazards (including slow-rise monsoon floods, droughts and tropical cyclones) at an annual cost of around $1 million, but preventing ‘billions of dollars of damage and protecting thousands of lives’.</w:t>
      </w:r>
      <w:r w:rsidR="00A65509">
        <w:rPr>
          <w:rFonts w:ascii="Calibri" w:hAnsi="Calibri" w:cs="Times New Roman"/>
          <w:sz w:val="22"/>
        </w:rPr>
        <w:t xml:space="preserve"> To support assessments such as these, WHO Europe have prepared an economic analysis tool to enable health systems to calculate the health and adaptation costs of climate change, which was in turn tested in their study of seven European countries.</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&lt;EndNote&gt;&lt;Cite&gt;&lt;Author&gt;World Health Organization Regional Office for Europe&lt;/Author&gt;&lt;Year&gt;2013&lt;/Year&gt;&lt;RecNum&gt;1574&lt;/RecNum&gt;&lt;DisplayText&gt;&lt;style face="superscript"&gt;247,248&lt;/style&gt;&lt;/DisplayText&gt;&lt;record&gt;&lt;rec-number&gt;1574&lt;/rec-number&gt;&lt;foreign-keys&gt;&lt;key app="EN" db-id="wtftd20rmszxx0ettxy5exwdf90wv22s2dsf" timestamp="1428065313"&gt;1574&lt;/key&gt;&lt;/foreign-keys&gt;&lt;ref-type name="Report"&gt;27&lt;/ref-type&gt;&lt;contributors&gt;&lt;authors&gt;&lt;author&gt;World Health Organization Regional Office for Europe,&lt;/author&gt;&lt;/authors&gt;&lt;/contributors&gt;&lt;titles&gt;&lt;title&gt;Climate Change and Health: a tool to estimate health and adaptation costs&lt;/title&gt;&lt;/titles&gt;&lt;dates&gt;&lt;year&gt;2013&lt;/year&gt;&lt;/dates&gt;&lt;pub-location&gt;Copenhagen&lt;/pub-location&gt;&lt;urls&gt;&lt;/urls&gt;&lt;/record&gt;&lt;/Cite&gt;&lt;Cite&gt;&lt;Author&gt;World Health Organization Regional Office for Europe&lt;/Author&gt;&lt;Year&gt;2011&lt;/Year&gt;&lt;RecNum&gt;1575&lt;/RecNum&gt;&lt;record&gt;&lt;rec-number&gt;1575&lt;/rec-number&gt;&lt;foreign-keys&gt;&lt;key app="EN" db-id="wtftd20rmszxx0ettxy5exwdf90wv22s2dsf" timestamp="1428065584"&gt;1575&lt;/key&gt;&lt;/foreign-keys&gt;&lt;ref-type name="Report"&gt;27&lt;/ref-type&gt;&lt;contributors&gt;&lt;authors&gt;&lt;author&gt;World Health Organization Regional Office for Europe,&lt;/author&gt;&lt;/authors&gt;&lt;/contributors&gt;&lt;titles&gt;&lt;title&gt;Climate, Environment and Health Action Plan and Information System: Policy Monitoring and Assessment&lt;/title&gt;&lt;/titles&gt;&lt;dates&gt;&lt;year&gt;2011&lt;/year&gt;&lt;/dates&gt;&lt;pub-location&gt;Copenhagen&lt;/pub-location&gt;&lt;urls&gt;&lt;/urls&gt;&lt;/record&gt;&lt;/Cite&gt;&lt;/EndNote&gt;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247,248</w:t>
      </w:r>
      <w:r w:rsidR="00E13392">
        <w:rPr>
          <w:rFonts w:ascii="Calibri" w:hAnsi="Calibri" w:cs="Times New Roman"/>
          <w:sz w:val="22"/>
        </w:rPr>
        <w:fldChar w:fldCharType="end"/>
      </w:r>
    </w:p>
    <w:p w:rsidR="00DC4C4E" w:rsidRDefault="00DC4C4E" w:rsidP="00DC4C4E">
      <w:pPr>
        <w:jc w:val="both"/>
        <w:rPr>
          <w:rFonts w:ascii="Calibri" w:hAnsi="Calibri"/>
        </w:rPr>
      </w:pPr>
    </w:p>
    <w:p w:rsidR="00DC4C4E" w:rsidRPr="00D036C9" w:rsidRDefault="00DC4C4E" w:rsidP="00D036C9">
      <w:pPr>
        <w:pStyle w:val="Heading2"/>
      </w:pPr>
      <w:bookmarkStart w:id="122" w:name="_Toc402956397"/>
      <w:bookmarkStart w:id="123" w:name="_Toc415931403"/>
      <w:bookmarkStart w:id="124" w:name="_Toc417502068"/>
      <w:r>
        <w:t xml:space="preserve">The Health and Related Economic Benefits of Climate Change </w:t>
      </w:r>
      <w:bookmarkEnd w:id="122"/>
      <w:r>
        <w:t>Mitigation</w:t>
      </w:r>
      <w:bookmarkEnd w:id="123"/>
      <w:bookmarkEnd w:id="124"/>
    </w:p>
    <w:p w:rsidR="00DC4C4E" w:rsidRDefault="00DC4C4E" w:rsidP="00DC4C4E">
      <w:pPr>
        <w:jc w:val="both"/>
        <w:rPr>
          <w:rFonts w:ascii="Calibri" w:hAnsi="Calibri" w:cs="Times New Roman"/>
          <w:sz w:val="22"/>
        </w:rPr>
      </w:pPr>
      <w:r>
        <w:rPr>
          <w:rFonts w:ascii="Calibri" w:hAnsi="Calibri" w:cs="Times New Roman"/>
          <w:sz w:val="22"/>
        </w:rPr>
        <w:t xml:space="preserve">Unmitigated climate change presents serious health risks that could reach potentially catastrophic proportions. Mitigating climate change not only significantly reduces this risk, but can also yield substantial health co-benefits against contemporary circumstances. </w:t>
      </w:r>
    </w:p>
    <w:p w:rsidR="00DC4C4E" w:rsidRDefault="00DC4C4E" w:rsidP="00DC4C4E">
      <w:pPr>
        <w:jc w:val="both"/>
        <w:rPr>
          <w:rFonts w:ascii="Calibri" w:hAnsi="Calibri" w:cs="Times New Roman"/>
          <w:sz w:val="22"/>
        </w:rPr>
      </w:pPr>
    </w:p>
    <w:tbl>
      <w:tblPr>
        <w:tblW w:w="0" w:type="auto"/>
        <w:shd w:val="clear" w:color="auto" w:fill="F2F2F2" w:themeFill="background1" w:themeFillShade="F2"/>
        <w:tblLook w:val="04A0" w:firstRow="1" w:lastRow="0" w:firstColumn="1" w:lastColumn="0" w:noHBand="0" w:noVBand="1"/>
      </w:tblPr>
      <w:tblGrid>
        <w:gridCol w:w="9241"/>
      </w:tblGrid>
      <w:tr w:rsidR="00D022A9" w:rsidTr="00FE56B7">
        <w:tc>
          <w:tcPr>
            <w:tcW w:w="9241" w:type="dxa"/>
            <w:shd w:val="clear" w:color="auto" w:fill="F2F2F2" w:themeFill="background1" w:themeFillShade="F2"/>
          </w:tcPr>
          <w:p w:rsidR="00D022A9" w:rsidRDefault="00D022A9" w:rsidP="00FE56B7">
            <w:pPr>
              <w:spacing w:line="256" w:lineRule="auto"/>
              <w:rPr>
                <w:rFonts w:ascii="Calibri" w:hAnsi="Calibri"/>
              </w:rPr>
            </w:pPr>
          </w:p>
          <w:p w:rsidR="00D022A9" w:rsidRDefault="00D022A9" w:rsidP="00FE56B7">
            <w:pPr>
              <w:spacing w:line="256" w:lineRule="auto"/>
              <w:jc w:val="center"/>
              <w:rPr>
                <w:rFonts w:ascii="Calibri" w:hAnsi="Calibri" w:cs="Times New Roman"/>
                <w:b/>
                <w:sz w:val="20"/>
              </w:rPr>
            </w:pPr>
            <w:r>
              <w:rPr>
                <w:rFonts w:ascii="Calibri" w:hAnsi="Calibri" w:cs="Times New Roman"/>
                <w:b/>
                <w:sz w:val="20"/>
              </w:rPr>
              <w:t>Box 5.2 Global Expenditure on Healthcare</w:t>
            </w:r>
          </w:p>
          <w:p w:rsidR="00D022A9" w:rsidRDefault="00D022A9" w:rsidP="00FE56B7">
            <w:pPr>
              <w:spacing w:line="256" w:lineRule="auto"/>
              <w:jc w:val="center"/>
              <w:rPr>
                <w:rFonts w:ascii="Calibri" w:hAnsi="Calibri" w:cs="Times New Roman"/>
                <w:b/>
                <w:sz w:val="20"/>
              </w:rPr>
            </w:pPr>
          </w:p>
          <w:p w:rsidR="00D022A9" w:rsidRDefault="00D022A9" w:rsidP="00FE56B7">
            <w:pPr>
              <w:pStyle w:val="Caption"/>
              <w:spacing w:after="0" w:line="256" w:lineRule="auto"/>
              <w:rPr>
                <w:rFonts w:ascii="Calibri" w:hAnsi="Calibri"/>
                <w:b w:val="0"/>
                <w:color w:val="auto"/>
                <w:sz w:val="22"/>
                <w:szCs w:val="22"/>
              </w:rPr>
            </w:pPr>
            <w:r>
              <w:rPr>
                <w:noProof/>
                <w:lang w:eastAsia="en-GB"/>
              </w:rPr>
              <w:drawing>
                <wp:anchor distT="0" distB="0" distL="114300" distR="114300" simplePos="0" relativeHeight="251655680" behindDoc="0" locked="0" layoutInCell="1" allowOverlap="1">
                  <wp:simplePos x="0" y="0"/>
                  <wp:positionH relativeFrom="column">
                    <wp:posOffset>742950</wp:posOffset>
                  </wp:positionH>
                  <wp:positionV relativeFrom="paragraph">
                    <wp:posOffset>352425</wp:posOffset>
                  </wp:positionV>
                  <wp:extent cx="4225925" cy="2190750"/>
                  <wp:effectExtent l="0" t="0" r="3175" b="0"/>
                  <wp:wrapTopAndBottom/>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5925" cy="2190750"/>
                          </a:xfrm>
                          <a:prstGeom prst="rect">
                            <a:avLst/>
                          </a:prstGeom>
                          <a:noFill/>
                        </pic:spPr>
                      </pic:pic>
                    </a:graphicData>
                  </a:graphic>
                </wp:anchor>
              </w:drawing>
            </w:r>
            <w:r>
              <w:rPr>
                <w:noProof/>
                <w:lang w:eastAsia="en-GB"/>
              </w:rPr>
              <w:drawing>
                <wp:anchor distT="0" distB="0" distL="114300" distR="114300" simplePos="0" relativeHeight="251659776" behindDoc="0" locked="0" layoutInCell="1" allowOverlap="1">
                  <wp:simplePos x="0" y="0"/>
                  <wp:positionH relativeFrom="column">
                    <wp:posOffset>742950</wp:posOffset>
                  </wp:positionH>
                  <wp:positionV relativeFrom="paragraph">
                    <wp:posOffset>352425</wp:posOffset>
                  </wp:positionV>
                  <wp:extent cx="4225925" cy="2190750"/>
                  <wp:effectExtent l="0" t="0" r="3175" b="0"/>
                  <wp:wrapTopAndBottom/>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5925" cy="2190750"/>
                          </a:xfrm>
                          <a:prstGeom prst="rect">
                            <a:avLst/>
                          </a:prstGeom>
                          <a:noFill/>
                        </pic:spPr>
                      </pic:pic>
                    </a:graphicData>
                  </a:graphic>
                </wp:anchor>
              </w:drawing>
            </w:r>
            <w:bookmarkStart w:id="125" w:name="_Ref263946442"/>
            <w:r>
              <w:rPr>
                <w:rFonts w:ascii="Calibri" w:hAnsi="Calibri"/>
                <w:b w:val="0"/>
                <w:i/>
                <w:color w:val="auto"/>
                <w:sz w:val="22"/>
                <w:szCs w:val="22"/>
              </w:rPr>
              <w:t>Figure 5.</w:t>
            </w:r>
            <w:r w:rsidR="00E13392">
              <w:fldChar w:fldCharType="begin"/>
            </w:r>
            <w:r>
              <w:rPr>
                <w:rFonts w:ascii="Calibri" w:hAnsi="Calibri"/>
                <w:b w:val="0"/>
                <w:i/>
                <w:color w:val="auto"/>
                <w:sz w:val="22"/>
                <w:szCs w:val="22"/>
              </w:rPr>
              <w:instrText xml:space="preserve"> SEQ Figure \* ARABIC </w:instrText>
            </w:r>
            <w:r w:rsidR="00E13392">
              <w:fldChar w:fldCharType="separate"/>
            </w:r>
            <w:r w:rsidR="00022657">
              <w:rPr>
                <w:rFonts w:ascii="Calibri" w:hAnsi="Calibri"/>
                <w:b w:val="0"/>
                <w:i/>
                <w:noProof/>
                <w:color w:val="auto"/>
                <w:sz w:val="22"/>
                <w:szCs w:val="22"/>
              </w:rPr>
              <w:t>1</w:t>
            </w:r>
            <w:r w:rsidR="00E13392">
              <w:fldChar w:fldCharType="end"/>
            </w:r>
            <w:bookmarkEnd w:id="125"/>
            <w:r>
              <w:rPr>
                <w:rFonts w:ascii="Calibri" w:hAnsi="Calibri"/>
                <w:b w:val="0"/>
                <w:i/>
                <w:color w:val="auto"/>
                <w:sz w:val="22"/>
                <w:szCs w:val="22"/>
              </w:rPr>
              <w:t>: Total Expenditure on Health as Proportion of GDP (2011) (Source: WHO, 2014)</w:t>
            </w:r>
            <w:r w:rsidR="00E13392">
              <w:rPr>
                <w:rFonts w:ascii="Calibri" w:hAnsi="Calibri"/>
                <w:b w:val="0"/>
                <w:i/>
                <w:color w:val="auto"/>
                <w:sz w:val="22"/>
                <w:szCs w:val="22"/>
              </w:rPr>
              <w:fldChar w:fldCharType="begin"/>
            </w:r>
            <w:r w:rsidR="009F6910">
              <w:rPr>
                <w:rFonts w:ascii="Calibri" w:hAnsi="Calibri"/>
                <w:b w:val="0"/>
                <w:i/>
                <w:color w:val="auto"/>
                <w:sz w:val="22"/>
                <w:szCs w:val="22"/>
              </w:rPr>
              <w:instrText xml:space="preserve"> ADDIN EN.CITE &lt;EndNote&gt;&lt;Cite&gt;&lt;Author&gt;World Health Organization&lt;/Author&gt;&lt;Year&gt;2014&lt;/Year&gt;&lt;RecNum&gt;992&lt;/RecNum&gt;&lt;DisplayText&gt;&lt;style face="superscript"&gt;249&lt;/style&gt;&lt;/DisplayText&gt;&lt;record&gt;&lt;rec-number&gt;992&lt;/rec-number&gt;&lt;foreign-keys&gt;&lt;key app="EN" db-id="wtftd20rmszxx0ettxy5exwdf90wv22s2dsf" timestamp="1419212983"&gt;992&lt;/key&gt;&lt;/foreign-keys&gt;&lt;ref-type name="Electronic Article"&gt;43&lt;/ref-type&gt;&lt;contributors&gt;&lt;authors&gt;&lt;author&gt;World Health Organization,&lt;/author&gt;&lt;/authors&gt;&lt;/contributors&gt;&lt;titles&gt;&lt;title&gt;Global Health Expenditure Database. &lt;/title&gt;&lt;/titles&gt;&lt;dates&gt;&lt;year&gt;2014&lt;/year&gt;&lt;pub-dates&gt;&lt;date&gt;22 Dec 2014&lt;/date&gt;&lt;/pub-dates&gt;&lt;/dates&gt;&lt;urls&gt;&lt;related-urls&gt;&lt;url&gt;http://apps.who.int/nha/database/World_Map/Index/en?id=REPORT_4_WORLD_MAPS&amp;amp;mapType=3&amp;amp;ws=0&lt;/url&gt;&lt;/related-urls&gt;&lt;/urls&gt;&lt;/record&gt;&lt;/Cite&gt;&lt;/EndNote&gt;</w:instrText>
            </w:r>
            <w:r w:rsidR="00E13392">
              <w:rPr>
                <w:rFonts w:ascii="Calibri" w:hAnsi="Calibri"/>
                <w:b w:val="0"/>
                <w:i/>
                <w:color w:val="auto"/>
                <w:sz w:val="22"/>
                <w:szCs w:val="22"/>
              </w:rPr>
              <w:fldChar w:fldCharType="separate"/>
            </w:r>
            <w:r w:rsidR="009F6910" w:rsidRPr="009F6910">
              <w:rPr>
                <w:rFonts w:ascii="Calibri" w:hAnsi="Calibri"/>
                <w:b w:val="0"/>
                <w:i/>
                <w:noProof/>
                <w:color w:val="auto"/>
                <w:sz w:val="22"/>
                <w:szCs w:val="22"/>
                <w:vertAlign w:val="superscript"/>
              </w:rPr>
              <w:t>249</w:t>
            </w:r>
            <w:r w:rsidR="00E13392">
              <w:rPr>
                <w:rFonts w:ascii="Calibri" w:hAnsi="Calibri"/>
                <w:b w:val="0"/>
                <w:i/>
                <w:color w:val="auto"/>
                <w:sz w:val="22"/>
                <w:szCs w:val="22"/>
              </w:rPr>
              <w:fldChar w:fldCharType="end"/>
            </w:r>
          </w:p>
          <w:p w:rsidR="00D022A9" w:rsidRDefault="00D022A9" w:rsidP="00FE56B7">
            <w:pPr>
              <w:spacing w:line="256" w:lineRule="auto"/>
              <w:jc w:val="center"/>
              <w:rPr>
                <w:rFonts w:ascii="Calibri" w:hAnsi="Calibri" w:cs="Times New Roman"/>
                <w:b/>
                <w:sz w:val="20"/>
              </w:rPr>
            </w:pPr>
          </w:p>
          <w:p w:rsidR="00D022A9" w:rsidRDefault="00D022A9" w:rsidP="00FE56B7">
            <w:pPr>
              <w:spacing w:line="256" w:lineRule="auto"/>
              <w:jc w:val="both"/>
              <w:rPr>
                <w:rFonts w:ascii="Calibri" w:hAnsi="Calibri"/>
              </w:rPr>
            </w:pPr>
          </w:p>
          <w:p w:rsidR="00D022A9" w:rsidRDefault="00D022A9" w:rsidP="00FE56B7">
            <w:pPr>
              <w:spacing w:line="256" w:lineRule="auto"/>
              <w:jc w:val="both"/>
              <w:rPr>
                <w:rFonts w:ascii="Calibri" w:hAnsi="Calibri"/>
                <w:sz w:val="20"/>
                <w:szCs w:val="20"/>
              </w:rPr>
            </w:pPr>
            <w:r>
              <w:rPr>
                <w:rFonts w:ascii="Calibri" w:hAnsi="Calibri" w:cs="Times New Roman"/>
                <w:sz w:val="20"/>
                <w:szCs w:val="20"/>
              </w:rPr>
              <w:t>Figure 5.1 illustrates the global range of total expenditure on healthcare as a proportion of GDP in 2011. Total expenditure equals 9.1% gross world product (GWP) - around $6.8 trillion, with geographical variation ranging from 1.65% GDP in South Sudan, to 17.7% in the USA. At a global level, 59% of expenditure is sourced from government budgets (of which 60% is via social security mechanisms), accounting for over 15% of total expenditure by governments worldwide. The remaining 41% is sourced from the private sector (of which 38% is in the form of health insurance, with 50% ‘out-of-pocket’ expense). Total average global health expenditure per capita was $1,053, in purchasing power parity (PPP) terms.</w:t>
            </w:r>
            <w:r w:rsidR="00E13392">
              <w:rPr>
                <w:rFonts w:ascii="Calibri" w:hAnsi="Calibri" w:cs="Times New Roman"/>
                <w:sz w:val="20"/>
                <w:szCs w:val="20"/>
              </w:rPr>
              <w:fldChar w:fldCharType="begin"/>
            </w:r>
            <w:r w:rsidR="009F6910">
              <w:rPr>
                <w:rFonts w:ascii="Calibri" w:hAnsi="Calibri" w:cs="Times New Roman"/>
                <w:sz w:val="20"/>
                <w:szCs w:val="20"/>
              </w:rPr>
              <w:instrText xml:space="preserve"> ADDIN EN.CITE &lt;EndNote&gt;&lt;Cite&gt;&lt;Author&gt;World Health Organization&lt;/Author&gt;&lt;Year&gt;2014&lt;/Year&gt;&lt;RecNum&gt;991&lt;/RecNum&gt;&lt;DisplayText&gt;&lt;style face="superscript"&gt;250&lt;/style&gt;&lt;/DisplayText&gt;&lt;record&gt;&lt;rec-number&gt;991&lt;/rec-number&gt;&lt;foreign-keys&gt;&lt;key app="EN" db-id="wtftd20rmszxx0ettxy5exwdf90wv22s2dsf" timestamp="1419212983"&gt;991&lt;/key&gt;&lt;/foreign-keys&gt;&lt;ref-type name="Web Page"&gt;12&lt;/ref-type&gt;&lt;contributors&gt;&lt;authors&gt;&lt;author&gt;World Health Organization,&lt;/author&gt;&lt;/authors&gt;&lt;/contributors&gt;&lt;titles&gt;&lt;title&gt;World Health Statistics &lt;/title&gt;&lt;/titles&gt;&lt;volume&gt;2014&lt;/volume&gt;&lt;number&gt;7 Sept&lt;/number&gt;&lt;dates&gt;&lt;year&gt;2014&lt;/year&gt;&lt;/dates&gt;&lt;urls&gt;&lt;related-urls&gt;&lt;url&gt;http://www.who.int/mediacentre/news/releases/2014/world-health-statistics-2014/en/&lt;/url&gt;&lt;/related-urls&gt;&lt;/urls&gt;&lt;/record&gt;&lt;/Cite&gt;&lt;/EndNote&gt;</w:instrText>
            </w:r>
            <w:r w:rsidR="00E13392">
              <w:rPr>
                <w:rFonts w:ascii="Calibri" w:hAnsi="Calibri" w:cs="Times New Roman"/>
                <w:sz w:val="20"/>
                <w:szCs w:val="20"/>
              </w:rPr>
              <w:fldChar w:fldCharType="separate"/>
            </w:r>
            <w:r w:rsidR="009F6910" w:rsidRPr="009F6910">
              <w:rPr>
                <w:rFonts w:ascii="Calibri" w:hAnsi="Calibri" w:cs="Times New Roman"/>
                <w:noProof/>
                <w:sz w:val="20"/>
                <w:szCs w:val="20"/>
                <w:vertAlign w:val="superscript"/>
              </w:rPr>
              <w:t>250</w:t>
            </w:r>
            <w:r w:rsidR="00E13392">
              <w:rPr>
                <w:rFonts w:ascii="Calibri" w:hAnsi="Calibri" w:cs="Times New Roman"/>
                <w:sz w:val="20"/>
                <w:szCs w:val="20"/>
              </w:rPr>
              <w:fldChar w:fldCharType="end"/>
            </w:r>
            <w:r>
              <w:rPr>
                <w:rFonts w:ascii="Calibri" w:hAnsi="Calibri" w:cs="Times New Roman"/>
                <w:sz w:val="20"/>
                <w:szCs w:val="20"/>
              </w:rPr>
              <w:t xml:space="preserve"> Figure 5.2 illustrates the variation between the economies of different average income levels against these global totals.</w:t>
            </w:r>
          </w:p>
          <w:p w:rsidR="00D022A9" w:rsidRDefault="00D022A9" w:rsidP="00FE56B7">
            <w:pPr>
              <w:spacing w:line="256" w:lineRule="auto"/>
              <w:jc w:val="both"/>
              <w:rPr>
                <w:rFonts w:ascii="Calibri" w:hAnsi="Calibri"/>
              </w:rPr>
            </w:pPr>
          </w:p>
          <w:p w:rsidR="00D022A9" w:rsidRDefault="00D022A9" w:rsidP="00FE56B7">
            <w:pPr>
              <w:spacing w:line="256" w:lineRule="auto"/>
              <w:rPr>
                <w:rFonts w:ascii="Calibri" w:hAnsi="Calibri" w:cs="Times New Roman"/>
                <w:i/>
              </w:rPr>
            </w:pPr>
            <w:r>
              <w:rPr>
                <w:rFonts w:ascii="Calibri" w:hAnsi="Calibri" w:cs="Times New Roman"/>
                <w:i/>
              </w:rPr>
              <w:t>Figure 5.2: Global Healthcare Expenditure Profile (2011) (Data source: WHO, 2014)</w:t>
            </w:r>
            <w:r w:rsidR="00E13392">
              <w:rPr>
                <w:rFonts w:ascii="Calibri" w:hAnsi="Calibri" w:cs="Times New Roman"/>
                <w:i/>
              </w:rPr>
              <w:fldChar w:fldCharType="begin"/>
            </w:r>
            <w:r w:rsidR="009F6910">
              <w:rPr>
                <w:rFonts w:ascii="Calibri" w:hAnsi="Calibri" w:cs="Times New Roman"/>
                <w:i/>
              </w:rPr>
              <w:instrText xml:space="preserve"> ADDIN EN.CITE &lt;EndNote&gt;&lt;Cite&gt;&lt;Author&gt;World Health Organization&lt;/Author&gt;&lt;Year&gt;2014&lt;/Year&gt;&lt;RecNum&gt;991&lt;/RecNum&gt;&lt;DisplayText&gt;&lt;style face="superscript"&gt;250&lt;/style&gt;&lt;/DisplayText&gt;&lt;record&gt;&lt;rec-number&gt;991&lt;/rec-number&gt;&lt;foreign-keys&gt;&lt;key app="EN" db-id="wtftd20rmszxx0ettxy5exwdf90wv22s2dsf" timestamp="1419212983"&gt;991&lt;/key&gt;&lt;/foreign-keys&gt;&lt;ref-type name="Web Page"&gt;12&lt;/ref-type&gt;&lt;contributors&gt;&lt;authors&gt;&lt;author&gt;World Health Organization,&lt;/author&gt;&lt;/authors&gt;&lt;/contributors&gt;&lt;titles&gt;&lt;title&gt;World Health Statistics &lt;/title&gt;&lt;/titles&gt;&lt;volume&gt;2014&lt;/volume&gt;&lt;number&gt;7 Sept&lt;/number&gt;&lt;dates&gt;&lt;year&gt;2014&lt;/year&gt;&lt;/dates&gt;&lt;urls&gt;&lt;related-urls&gt;&lt;url&gt;http://www.who.int/mediacentre/news/releases/2014/world-health-statistics-2014/en/&lt;/url&gt;&lt;/related-urls&gt;&lt;/urls&gt;&lt;/record&gt;&lt;/Cite&gt;&lt;/EndNote&gt;</w:instrText>
            </w:r>
            <w:r w:rsidR="00E13392">
              <w:rPr>
                <w:rFonts w:ascii="Calibri" w:hAnsi="Calibri" w:cs="Times New Roman"/>
                <w:i/>
              </w:rPr>
              <w:fldChar w:fldCharType="separate"/>
            </w:r>
            <w:r w:rsidR="009F6910" w:rsidRPr="009F6910">
              <w:rPr>
                <w:rFonts w:ascii="Calibri" w:hAnsi="Calibri" w:cs="Times New Roman"/>
                <w:i/>
                <w:noProof/>
                <w:vertAlign w:val="superscript"/>
              </w:rPr>
              <w:t>250</w:t>
            </w:r>
            <w:r w:rsidR="00E13392">
              <w:rPr>
                <w:rFonts w:ascii="Calibri" w:hAnsi="Calibri" w:cs="Times New Roman"/>
                <w:i/>
              </w:rPr>
              <w:fldChar w:fldCharType="end"/>
            </w:r>
          </w:p>
          <w:p w:rsidR="00D022A9" w:rsidRDefault="00D022A9" w:rsidP="00FE56B7">
            <w:pPr>
              <w:spacing w:line="256" w:lineRule="auto"/>
              <w:rPr>
                <w:rFonts w:ascii="Calibri" w:hAnsi="Calibri" w:cs="Times New Roman"/>
                <w:i/>
              </w:rPr>
            </w:pPr>
            <w:r>
              <w:rPr>
                <w:noProof/>
                <w:lang w:val="en-GB" w:eastAsia="en-GB"/>
              </w:rPr>
              <w:drawing>
                <wp:anchor distT="0" distB="0" distL="114300" distR="114300" simplePos="0" relativeHeight="251660800" behindDoc="0" locked="0" layoutInCell="1" allowOverlap="1">
                  <wp:simplePos x="0" y="0"/>
                  <wp:positionH relativeFrom="column">
                    <wp:posOffset>344805</wp:posOffset>
                  </wp:positionH>
                  <wp:positionV relativeFrom="paragraph">
                    <wp:posOffset>158115</wp:posOffset>
                  </wp:positionV>
                  <wp:extent cx="5027295" cy="2225040"/>
                  <wp:effectExtent l="0" t="0" r="1905" b="381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7295" cy="2225040"/>
                          </a:xfrm>
                          <a:prstGeom prst="rect">
                            <a:avLst/>
                          </a:prstGeom>
                          <a:noFill/>
                        </pic:spPr>
                      </pic:pic>
                    </a:graphicData>
                  </a:graphic>
                </wp:anchor>
              </w:drawing>
            </w:r>
          </w:p>
          <w:p w:rsidR="00D022A9" w:rsidRDefault="00D022A9" w:rsidP="00FE56B7">
            <w:pPr>
              <w:spacing w:line="256" w:lineRule="auto"/>
              <w:jc w:val="both"/>
              <w:rPr>
                <w:rFonts w:ascii="Calibri" w:hAnsi="Calibri"/>
              </w:rPr>
            </w:pPr>
            <w:r>
              <w:rPr>
                <w:rFonts w:ascii="Calibri" w:hAnsi="Calibri" w:cs="Times New Roman"/>
                <w:sz w:val="20"/>
              </w:rPr>
              <w:t>Total expenditure per capita varies between an average of $64 to $4,319 in low and high-income countries in PPP terms, respectively. This increase in expenditure proportional to income is accompanied by the increasing use of insurance mechanisms (either private or social security), and decreased reliance on external (international) resources (principally development assistance and NGO funding), and private expenditure and out-of-pocket expenses (in proportional terms). Whilst the latter remains a significant component in all groups, external resources decrease rapidly, from 29% in low-income countries to 2.3% in lower middle-income states, 0.4% in upper middle-income countries, and zero in those of high income.</w:t>
            </w:r>
          </w:p>
          <w:p w:rsidR="00D022A9" w:rsidRDefault="00D022A9" w:rsidP="00FE56B7">
            <w:pPr>
              <w:spacing w:line="256" w:lineRule="auto"/>
              <w:jc w:val="both"/>
              <w:rPr>
                <w:rFonts w:ascii="Calibri" w:hAnsi="Calibri"/>
              </w:rPr>
            </w:pPr>
          </w:p>
        </w:tc>
      </w:tr>
    </w:tbl>
    <w:p w:rsidR="00DC4C4E" w:rsidRDefault="00DC4C4E" w:rsidP="00D036C9">
      <w:pPr>
        <w:rPr>
          <w:rFonts w:ascii="Calibri" w:hAnsi="Calibri" w:cs="Times New Roman"/>
          <w:b/>
          <w:sz w:val="20"/>
        </w:rPr>
      </w:pPr>
    </w:p>
    <w:p w:rsidR="00DC4C4E" w:rsidRPr="004008E1" w:rsidRDefault="00DC4C4E" w:rsidP="00DC4C4E">
      <w:pPr>
        <w:jc w:val="both"/>
        <w:rPr>
          <w:rFonts w:ascii="Calibri" w:hAnsi="Calibri" w:cs="Times New Roman"/>
          <w:sz w:val="22"/>
          <w:szCs w:val="22"/>
        </w:rPr>
      </w:pPr>
      <w:r w:rsidRPr="004008E1">
        <w:rPr>
          <w:rFonts w:ascii="Calibri" w:hAnsi="Calibri" w:cs="Times New Roman"/>
          <w:sz w:val="22"/>
          <w:szCs w:val="22"/>
        </w:rPr>
        <w:t xml:space="preserve">Box 5.2 illustrates the </w:t>
      </w:r>
      <w:r w:rsidRPr="00B50254">
        <w:rPr>
          <w:rFonts w:ascii="Calibri" w:hAnsi="Calibri" w:cs="Times New Roman"/>
          <w:sz w:val="22"/>
          <w:szCs w:val="22"/>
        </w:rPr>
        <w:t xml:space="preserve">proportion of national GDP directed to </w:t>
      </w:r>
      <w:r w:rsidRPr="004B2349">
        <w:rPr>
          <w:rFonts w:ascii="Calibri" w:hAnsi="Calibri" w:cs="Times New Roman"/>
          <w:sz w:val="22"/>
          <w:szCs w:val="22"/>
        </w:rPr>
        <w:t>heathcare increasing with wealth, along with the proportion accounted for by government expenditures. This suggests that governments of high and increasing income countries should give significant priority to mitigating climate change to prevent detrimental health impacts, which could result in the need for significant extra health expenditures, from</w:t>
      </w:r>
      <w:r>
        <w:rPr>
          <w:rFonts w:ascii="Calibri" w:hAnsi="Calibri" w:cs="Times New Roman"/>
          <w:sz w:val="22"/>
          <w:szCs w:val="22"/>
        </w:rPr>
        <w:t xml:space="preserve"> both governmental and personal finances. Indeed, the direct and indirect cost of existing pollution-induced illnesses alone is significant. The OECD estimates the cost of ambient air pollution in terms of the value of lives lost and ill health in OECD countries, plus India and China, to be over $3.5 trillion annually (~5% GWP), with India and China combined accounting for 54% of this total.</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&lt;EndNote&gt;&lt;Cite&gt;&lt;Author&gt;Organisation of Economic Co-operation and Development&lt;/Author&gt;&lt;Year&gt;2014&lt;/Year&gt;&lt;RecNum&gt;969&lt;/RecNum&gt;&lt;DisplayText&gt;&lt;style face="superscript"&gt;251&lt;/style&gt;&lt;/DisplayText&gt;&lt;record&gt;&lt;rec-number&gt;969&lt;/rec-number&gt;&lt;foreign-keys&gt;&lt;key app="EN" db-id="wtftd20rmszxx0ettxy5exwdf90wv22s2dsf" timestamp="1419212983"&gt;969&lt;/key&gt;&lt;/foreign-keys&gt;&lt;ref-type name="Report"&gt;27&lt;/ref-type&gt;&lt;contributors&gt;&lt;authors&gt;&lt;author&gt;Organisation of Economic Co-operation and Development,&lt;/author&gt;&lt;/authors&gt;&lt;/contributors&gt;&lt;titles&gt;&lt;title&gt;The Cost of Air Pollution: Health Impacts of Road Transport&lt;/title&gt;&lt;/titles&gt;&lt;dates&gt;&lt;year&gt;2014&lt;/year&gt;&lt;/dates&gt;&lt;pub-location&gt;Paris&lt;/pub-location&gt;&lt;urls&gt;&lt;/urls&gt;&lt;/record&gt;&lt;/Cite&gt;&lt;Cite&gt;&lt;Author&gt;Organisation of Economic Co-operation and Development&lt;/Author&gt;&lt;Year&gt;2014&lt;/Year&gt;&lt;RecNum&gt;969&lt;/RecNum&gt;&lt;record&gt;&lt;rec-number&gt;969&lt;/rec-number&gt;&lt;foreign-keys&gt;&lt;key app="EN" db-id="wtftd20rmszxx0ettxy5exwdf90wv22s2dsf" timestamp="1419212983"&gt;969&lt;/key&gt;&lt;/foreign-keys&gt;&lt;ref-type name="Report"&gt;27&lt;/ref-type&gt;&lt;contributors&gt;&lt;authors&gt;&lt;author&gt;Organisation of Economic Co-operation and Development,&lt;/author&gt;&lt;/authors&gt;&lt;/contributors&gt;&lt;titles&gt;&lt;title&gt;The Cost of Air Pollution: Health Impacts of Road Transport&lt;/title&gt;&lt;/titles&gt;&lt;dates&gt;&lt;year&gt;2014&lt;/year&gt;&lt;/dates&gt;&lt;pub-location&gt;Paris&lt;/pub-location&gt;&lt;urls&gt;&lt;/urls&gt;&lt;/record&gt;&lt;/Cite&gt;&lt;/EndNote&gt;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251</w:t>
      </w:r>
      <w:r w:rsidR="00E13392">
        <w:rPr>
          <w:rFonts w:ascii="Calibri" w:hAnsi="Calibri" w:cs="Times New Roman"/>
          <w:sz w:val="22"/>
          <w:szCs w:val="22"/>
        </w:rPr>
        <w:fldChar w:fldCharType="end"/>
      </w:r>
      <w:r>
        <w:rPr>
          <w:rFonts w:ascii="Calibri" w:hAnsi="Calibri" w:cs="Times New Roman"/>
          <w:sz w:val="22"/>
          <w:szCs w:val="22"/>
        </w:rPr>
        <w:t xml:space="preserve"> Globally, and with the addition of indoor air pollution, this value </w:t>
      </w:r>
      <w:r w:rsidRPr="004008E1">
        <w:rPr>
          <w:rFonts w:ascii="Calibri" w:hAnsi="Calibri" w:cs="Times New Roman"/>
          <w:sz w:val="22"/>
          <w:szCs w:val="22"/>
        </w:rPr>
        <w:t>is likely to be substantially higher (</w:t>
      </w:r>
      <w:r w:rsidR="007240BB" w:rsidRPr="004349AE">
        <w:rPr>
          <w:rFonts w:ascii="Calibri" w:hAnsi="Calibri"/>
          <w:sz w:val="22"/>
        </w:rPr>
        <w:t xml:space="preserve">Appendix </w:t>
      </w:r>
      <w:r w:rsidR="004B20AD" w:rsidRPr="004349AE">
        <w:rPr>
          <w:rFonts w:ascii="Calibri" w:hAnsi="Calibri"/>
          <w:sz w:val="22"/>
        </w:rPr>
        <w:t>3</w:t>
      </w:r>
      <w:r w:rsidRPr="004008E1">
        <w:rPr>
          <w:rFonts w:ascii="Calibri" w:hAnsi="Calibri" w:cs="Times New Roman"/>
          <w:sz w:val="22"/>
          <w:szCs w:val="22"/>
        </w:rPr>
        <w:t>)</w:t>
      </w:r>
    </w:p>
    <w:p w:rsidR="00DC4C4E" w:rsidRPr="00B50254" w:rsidRDefault="00DC4C4E" w:rsidP="00DC4C4E">
      <w:pPr>
        <w:jc w:val="both"/>
        <w:rPr>
          <w:rFonts w:ascii="Calibri" w:hAnsi="Calibri"/>
          <w:sz w:val="22"/>
          <w:szCs w:val="22"/>
        </w:rPr>
      </w:pPr>
    </w:p>
    <w:p w:rsidR="00DC4C4E" w:rsidRDefault="00DC4C4E" w:rsidP="00DC4C4E">
      <w:pPr>
        <w:jc w:val="both"/>
        <w:rPr>
          <w:rFonts w:ascii="Calibri" w:hAnsi="Calibri"/>
        </w:rPr>
      </w:pPr>
      <w:r w:rsidRPr="00B50254">
        <w:rPr>
          <w:rFonts w:ascii="Calibri" w:hAnsi="Calibri" w:cs="Times New Roman"/>
          <w:sz w:val="22"/>
          <w:szCs w:val="22"/>
        </w:rPr>
        <w:t>The European Commission has estimated that in the European Union alone, reduced air pollution from policies to mitigate climate change could deliver benefits valued at</w:t>
      </w:r>
      <w:r w:rsidRPr="004B20AD">
        <w:rPr>
          <w:rFonts w:ascii="Calibri" w:hAnsi="Calibri" w:cs="Times New Roman"/>
          <w:sz w:val="22"/>
          <w:szCs w:val="22"/>
        </w:rPr>
        <w:t xml:space="preserve"> €38 billion a year by 2050 through reduced mortality. From a broader perspective, the Commission estimates that moving to a low-carbon economy could reduce the control costs of non-CO</w:t>
      </w:r>
      <w:r w:rsidRPr="004B20AD">
        <w:rPr>
          <w:rFonts w:ascii="Calibri" w:hAnsi="Calibri" w:cs="Times New Roman"/>
          <w:sz w:val="22"/>
          <w:szCs w:val="22"/>
          <w:vertAlign w:val="subscript"/>
        </w:rPr>
        <w:t>2</w:t>
      </w:r>
      <w:r w:rsidRPr="004B20AD">
        <w:rPr>
          <w:rFonts w:ascii="Calibri" w:hAnsi="Calibri" w:cs="Times New Roman"/>
          <w:sz w:val="22"/>
          <w:szCs w:val="22"/>
        </w:rPr>
        <w:t xml:space="preserve"> air pollutants by €50 billion by 2050.</w:t>
      </w:r>
      <w:r w:rsidR="00E13392" w:rsidRPr="004008E1">
        <w:fldChar w:fldCharType="begin"/>
      </w:r>
      <w:r w:rsidR="009F6910">
        <w:instrText xml:space="preserve"> ADDIN EN.CITE &lt;EndNote&gt;&lt;Cite&gt;&lt;Author&gt;European Commission&lt;/Author&gt;&lt;Year&gt;2011&lt;/Year&gt;&lt;RecNum&gt;933&lt;/RecNum&gt;&lt;DisplayText&gt;&lt;style face="superscript"&gt;252&lt;/style&gt;&lt;/DisplayText&gt;&lt;record&gt;&lt;rec-number&gt;933&lt;/rec-number&gt;&lt;foreign-keys&gt;&lt;key app="EN" db-id="wtftd20rmszxx0ettxy5exwdf90wv22s2dsf" timestamp="1419212983"&gt;933&lt;/key&gt;&lt;/foreign-keys&gt;&lt;ref-type name="Government Document"&gt;46&lt;/ref-type&gt;&lt;contributors&gt;&lt;authors&gt;&lt;author&gt;European Commission,&lt;/author&gt;&lt;/authors&gt;&lt;/contributors&gt;&lt;titles&gt;&lt;title&gt;Communication from the Commission to the European Parliament, the Council, the European Economic and Social Committee and the Committee of the Regions: A Roadmap for Moving to a Competitive Low Carbon Economy in 2050&lt;/title&gt;&lt;/titles&gt;&lt;dates&gt;&lt;year&gt;2011&lt;/year&gt;&lt;/dates&gt;&lt;pub-location&gt;Brussels&lt;/pub-location&gt;&lt;urls&gt;&lt;/urls&gt;&lt;/record&gt;&lt;/Cite&gt;&lt;Cite&gt;&lt;Author&gt;European Commission&lt;/Author&gt;&lt;Year&gt;2011&lt;/Year&gt;&lt;RecNum&gt;933&lt;/RecNum&gt;&lt;record&gt;&lt;rec-number&gt;933&lt;/rec-number&gt;&lt;foreign-keys&gt;&lt;key app="EN" db-id="wtftd20rmszxx0ettxy5exwdf90wv22s2dsf" timestamp="1419212983"&gt;933&lt;/key&gt;&lt;/foreign-keys&gt;&lt;ref-type name="Government Document"&gt;46&lt;/ref-type&gt;&lt;contributors&gt;&lt;authors&gt;&lt;author&gt;European Commission,&lt;/author&gt;&lt;/authors&gt;&lt;/contributors&gt;&lt;titles&gt;&lt;title&gt;Communication from the Commission to the European Parliament, the Council, the European Economic and Social Committee and the Committee of the Regions: A Roadmap for Moving to a Competitive Low Carbon Economy in 2050&lt;/title&gt;&lt;/titles&gt;&lt;dates&gt;&lt;year&gt;2011&lt;/year&gt;&lt;/dates&gt;&lt;pub-location&gt;Brussels&lt;/pub-location&gt;&lt;urls&gt;&lt;/urls&gt;&lt;/record&gt;&lt;/Cite&gt;&lt;/EndNote&gt;</w:instrText>
      </w:r>
      <w:r w:rsidR="00E13392" w:rsidRPr="004008E1">
        <w:fldChar w:fldCharType="separate"/>
      </w:r>
      <w:r w:rsidR="009F6910" w:rsidRPr="009F6910">
        <w:rPr>
          <w:noProof/>
          <w:vertAlign w:val="superscript"/>
        </w:rPr>
        <w:t>252</w:t>
      </w:r>
      <w:r w:rsidR="00E13392" w:rsidRPr="004008E1">
        <w:fldChar w:fldCharType="end"/>
      </w:r>
      <w:r w:rsidRPr="004008E1">
        <w:rPr>
          <w:rFonts w:ascii="Calibri" w:hAnsi="Calibri" w:cs="Times New Roman"/>
          <w:sz w:val="22"/>
          <w:szCs w:val="22"/>
        </w:rPr>
        <w:t xml:space="preserve"> With an increase to 36% renewables in global final energy consumption by 2030 (from 18% in 2010), IRENA (2014) calculates</w:t>
      </w:r>
      <w:r w:rsidRPr="00B50254">
        <w:rPr>
          <w:rFonts w:ascii="Calibri" w:hAnsi="Calibri" w:cs="Times New Roman"/>
          <w:sz w:val="22"/>
          <w:szCs w:val="22"/>
        </w:rPr>
        <w:t xml:space="preserve"> up to $230 billion of avoided external health costs annually by 2030.</w:t>
      </w:r>
      <w:r w:rsidR="00E13392" w:rsidRPr="004008E1">
        <w:fldChar w:fldCharType="begin"/>
      </w:r>
      <w:r w:rsidR="009F6910">
        <w:instrText xml:space="preserve"> ADDIN EN.CITE &lt;EndNote&gt;&lt;Cite&gt;&lt;Author&gt;International Renewable Energy Agency&lt;/Author&gt;&lt;Year&gt;2014&lt;/Year&gt;&lt;RecNum&gt;955&lt;/RecNum&gt;&lt;DisplayText&gt;&lt;style face="superscript"&gt;253&lt;/style&gt;&lt;/DisplayText&gt;&lt;record&gt;&lt;rec-number&gt;955&lt;/rec-number&gt;&lt;foreign-keys&gt;&lt;key app="EN" db-id="wtftd20rmszxx0ettxy5exwdf90wv22s2dsf" timestamp="1419212983"&gt;955&lt;/key&gt;&lt;/foreign-keys&gt;&lt;ref-type name="Government Document"&gt;46&lt;/ref-type&gt;&lt;contributors&gt;&lt;authors&gt;&lt;author&gt;International Renewable Energy Agency,&lt;/author&gt;&lt;/authors&gt;&lt;/contributors&gt;&lt;titles&gt;&lt;title&gt;REmap 2030: A Renewable Energy Roadmap&lt;/title&gt;&lt;/titles&gt;&lt;dates&gt;&lt;year&gt;2014&lt;/year&gt;&lt;/dates&gt;&lt;pub-location&gt;Abu Dhabi&lt;/pub-location&gt;&lt;urls&gt;&lt;/urls&gt;&lt;/record&gt;&lt;/Cite&gt;&lt;/EndNote&gt;</w:instrText>
      </w:r>
      <w:r w:rsidR="00E13392" w:rsidRPr="004008E1">
        <w:fldChar w:fldCharType="separate"/>
      </w:r>
      <w:r w:rsidR="009F6910" w:rsidRPr="009F6910">
        <w:rPr>
          <w:noProof/>
          <w:vertAlign w:val="superscript"/>
        </w:rPr>
        <w:t>253</w:t>
      </w:r>
      <w:r w:rsidR="00E13392" w:rsidRPr="004008E1">
        <w:fldChar w:fldCharType="end"/>
      </w:r>
      <w:r w:rsidRPr="004008E1">
        <w:rPr>
          <w:rFonts w:ascii="Calibri" w:hAnsi="Calibri" w:cs="Times New Roman"/>
          <w:sz w:val="22"/>
          <w:szCs w:val="22"/>
        </w:rPr>
        <w:t xml:space="preserve"> In addition, West et al (2013) find that if the Representative Concentration Pathway 4.5 (RCP4.5) is achieved, </w:t>
      </w:r>
      <w:r w:rsidR="00DF6540">
        <w:rPr>
          <w:rFonts w:ascii="Calibri" w:hAnsi="Calibri" w:cs="Times New Roman"/>
          <w:sz w:val="22"/>
          <w:szCs w:val="22"/>
        </w:rPr>
        <w:t xml:space="preserve">annual </w:t>
      </w:r>
      <w:r w:rsidRPr="004008E1">
        <w:rPr>
          <w:rFonts w:ascii="Calibri" w:hAnsi="Calibri" w:cs="Times New Roman"/>
          <w:sz w:val="22"/>
          <w:szCs w:val="22"/>
        </w:rPr>
        <w:t>global premature deaths avoided reach 500,000 by 2030, 1.3 million by 2050 a</w:t>
      </w:r>
      <w:r w:rsidRPr="00B50254">
        <w:rPr>
          <w:rFonts w:ascii="Calibri" w:hAnsi="Calibri" w:cs="Times New Roman"/>
          <w:sz w:val="22"/>
          <w:szCs w:val="22"/>
        </w:rPr>
        <w:t>nd 2.2 million by 2100. Global average marginal benefits of avoided mortality are $50-380/tCO</w:t>
      </w:r>
      <w:r w:rsidRPr="00B50254">
        <w:rPr>
          <w:rFonts w:ascii="Calibri" w:hAnsi="Calibri" w:cs="Times New Roman"/>
          <w:sz w:val="22"/>
          <w:szCs w:val="22"/>
          <w:vertAlign w:val="subscript"/>
        </w:rPr>
        <w:t>2</w:t>
      </w:r>
      <w:r w:rsidRPr="004B20AD">
        <w:rPr>
          <w:rFonts w:ascii="Calibri" w:hAnsi="Calibri" w:cs="Times New Roman"/>
          <w:sz w:val="22"/>
          <w:szCs w:val="22"/>
        </w:rPr>
        <w:t>, exceeding marginal abatement costs in 2030 and 2050. The greatest benefit is projected for East Asia, with 220,000-470,000 premature deaths avoided per annum by 2030, with marginal benefits of $70-840/tCO</w:t>
      </w:r>
      <w:r w:rsidRPr="004B20AD">
        <w:rPr>
          <w:rFonts w:ascii="Calibri" w:hAnsi="Calibri" w:cs="Times New Roman"/>
          <w:sz w:val="22"/>
          <w:szCs w:val="22"/>
          <w:vertAlign w:val="subscript"/>
        </w:rPr>
        <w:t>2</w:t>
      </w:r>
      <w:r w:rsidRPr="004B20AD">
        <w:rPr>
          <w:rFonts w:ascii="Calibri" w:hAnsi="Calibri" w:cs="Times New Roman"/>
          <w:sz w:val="22"/>
          <w:szCs w:val="22"/>
        </w:rPr>
        <w:t xml:space="preserve"> - a range 10-70 times that of the projected marginal cost.</w:t>
      </w:r>
      <w:r w:rsidR="00E13392" w:rsidRPr="004008E1">
        <w:fldChar w:fldCharType="begin"/>
      </w:r>
      <w:r w:rsidR="009F6910">
        <w:instrText xml:space="preserve"> ADDIN EN.CITE &lt;EndNote&gt;&lt;Cite&gt;&lt;Author&gt;West&lt;/Author&gt;&lt;Year&gt;2013&lt;/Year&gt;&lt;RecNum&gt;1519&lt;/RecNum&gt;&lt;DisplayText&gt;&lt;style face="superscript"&gt;254&lt;/style&gt;&lt;/DisplayText&gt;&lt;record&gt;&lt;rec-number&gt;1519&lt;/rec-number&gt;&lt;foreign-keys&gt;&lt;key app="EN" db-id="wtftd20rmszxx0ettxy5exwdf90wv22s2dsf" timestamp="1419343964"&gt;1519&lt;/key&gt;&lt;/foreign-keys&gt;&lt;ref-type name="Journal Article"&gt;17&lt;/ref-type&gt;&lt;contributors&gt;&lt;authors&gt;&lt;author&gt;J West&lt;/author&gt;&lt;author&gt;S Smith&lt;/author&gt;&lt;author&gt;R Silva&lt;/author&gt;&lt;author&gt;V Naik&lt;/author&gt;&lt;author&gt;T Zhang&lt;/author&gt;&lt;author&gt;Z Adelman&lt;/author&gt;&lt;author&gt;M Fry&lt;/author&gt;&lt;author&gt;S Anenberg&lt;/author&gt;&lt;author&gt;L Horowitz&lt;/author&gt;&lt;author&gt;JF Lamarque&lt;/author&gt;&lt;/authors&gt;&lt;/contributors&gt;&lt;titles&gt;&lt;title&gt;Co-benefits of Global Greenhouse Gas Mitigation for Future Air Quality and Human Health&lt;/title&gt;&lt;secondary-title&gt;Nature Climate Change&lt;/secondary-title&gt;&lt;/titles&gt;&lt;periodical&gt;&lt;full-title&gt;Nature Climate Change&lt;/full-title&gt;&lt;/periodical&gt;&lt;pages&gt;885-9&lt;/pages&gt;&lt;volume&gt;3&lt;/volume&gt;&lt;number&gt;10&lt;/number&gt;&lt;dates&gt;&lt;year&gt;2013&lt;/year&gt;&lt;/dates&gt;&lt;urls&gt;&lt;/urls&gt;&lt;/record&gt;&lt;/Cite&gt;&lt;/EndNote&gt;</w:instrText>
      </w:r>
      <w:r w:rsidR="00E13392" w:rsidRPr="004008E1">
        <w:fldChar w:fldCharType="separate"/>
      </w:r>
      <w:r w:rsidR="009F6910" w:rsidRPr="009F6910">
        <w:rPr>
          <w:noProof/>
          <w:vertAlign w:val="superscript"/>
        </w:rPr>
        <w:t>254</w:t>
      </w:r>
      <w:r w:rsidR="00E13392" w:rsidRPr="004008E1">
        <w:fldChar w:fldCharType="end"/>
      </w:r>
      <w:r w:rsidRPr="004008E1">
        <w:rPr>
          <w:rFonts w:ascii="Calibri" w:hAnsi="Calibri" w:cs="Times New Roman"/>
          <w:sz w:val="22"/>
          <w:szCs w:val="22"/>
        </w:rPr>
        <w:t xml:space="preserve"> (see </w:t>
      </w:r>
      <w:r w:rsidRPr="004349AE">
        <w:rPr>
          <w:rFonts w:ascii="Calibri" w:hAnsi="Calibri" w:cs="Times New Roman"/>
          <w:sz w:val="22"/>
          <w:szCs w:val="22"/>
        </w:rPr>
        <w:t>Appendix</w:t>
      </w:r>
      <w:r w:rsidR="007240BB" w:rsidRPr="004349AE">
        <w:rPr>
          <w:rFonts w:ascii="Calibri" w:hAnsi="Calibri" w:cs="Times New Roman"/>
          <w:sz w:val="22"/>
          <w:szCs w:val="22"/>
        </w:rPr>
        <w:t xml:space="preserve"> </w:t>
      </w:r>
      <w:r w:rsidR="004B20AD" w:rsidRPr="004349AE">
        <w:rPr>
          <w:rFonts w:ascii="Calibri" w:hAnsi="Calibri" w:cs="Times New Roman"/>
          <w:sz w:val="22"/>
          <w:szCs w:val="22"/>
        </w:rPr>
        <w:t>3</w:t>
      </w:r>
      <w:r w:rsidR="004B20AD">
        <w:rPr>
          <w:rFonts w:ascii="Calibri" w:hAnsi="Calibri" w:cs="Times New Roman"/>
          <w:sz w:val="22"/>
          <w:szCs w:val="22"/>
        </w:rPr>
        <w:t xml:space="preserve"> </w:t>
      </w:r>
      <w:r>
        <w:rPr>
          <w:rFonts w:ascii="Calibri" w:hAnsi="Calibri" w:cs="Times New Roman"/>
          <w:sz w:val="22"/>
          <w:szCs w:val="22"/>
        </w:rPr>
        <w:t>for a discussion on the cost of ambient air pollution in China). In the USA, Thompson et al. (2014) estimate that human health benefits associated with air quality improvements driven by CO</w:t>
      </w:r>
      <w:r>
        <w:rPr>
          <w:rFonts w:ascii="Calibri" w:hAnsi="Calibri" w:cs="Times New Roman"/>
          <w:sz w:val="22"/>
          <w:szCs w:val="22"/>
          <w:vertAlign w:val="subscript"/>
        </w:rPr>
        <w:t>2</w:t>
      </w:r>
      <w:r>
        <w:rPr>
          <w:rFonts w:ascii="Calibri" w:hAnsi="Calibri" w:cs="Times New Roman"/>
          <w:sz w:val="22"/>
          <w:szCs w:val="22"/>
        </w:rPr>
        <w:t xml:space="preserve"> mitigation policies can offset the cost of the policies by up to ten times.</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&lt;EndNote&gt;&lt;Cite&gt;&lt;Author&gt;Thompson&lt;/Author&gt;&lt;Year&gt;2014&lt;/Year&gt;&lt;RecNum&gt;1580&lt;/RecNum&gt;&lt;DisplayText&gt;&lt;style face="superscript"&gt;255&lt;/style&gt;&lt;/DisplayText&gt;&lt;record&gt;&lt;rec-number&gt;1580&lt;/rec-number&gt;&lt;foreign-keys&gt;&lt;key app="EN" db-id="wtftd20rmszxx0ettxy5exwdf90wv22s2dsf" timestamp="1428166138"&gt;1580&lt;/key&gt;&lt;/foreign-keys&gt;&lt;ref-type name="Journal Article"&gt;17&lt;/ref-type&gt;&lt;contributors&gt;&lt;authors&gt;&lt;author&gt;Tammy Thompson&lt;/author&gt;&lt;author&gt;Sebastian Rausch&lt;/author&gt;&lt;author&gt;Rebecca Saari&lt;/author&gt;&lt;author&gt;Noelle Selin&lt;/author&gt;&lt;/authors&gt;&lt;/contributors&gt;&lt;titles&gt;&lt;title&gt;A systems approach to evaluating the air quality co-benefits of US carbon policies&lt;/title&gt;&lt;secondary-title&gt;Nature Clim. Change&lt;/secondary-title&gt;&lt;/titles&gt;&lt;periodical&gt;&lt;full-title&gt;Nature Clim. Change&lt;/full-title&gt;&lt;/periodical&gt;&lt;pages&gt;917-23&lt;/pages&gt;&lt;volume&gt;4&lt;/volume&gt;&lt;dates&gt;&lt;year&gt;2014&lt;/year&gt;&lt;/dates&gt;&lt;urls&gt;&lt;/urls&gt;&lt;/record&gt;&lt;/Cite&gt;&lt;/EndNote&gt;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255</w:t>
      </w:r>
      <w:r w:rsidR="00E13392">
        <w:rPr>
          <w:rFonts w:ascii="Calibri" w:hAnsi="Calibri" w:cs="Times New Roman"/>
          <w:sz w:val="22"/>
          <w:szCs w:val="22"/>
        </w:rPr>
        <w:fldChar w:fldCharType="end"/>
      </w:r>
    </w:p>
    <w:p w:rsidR="00DC4C4E" w:rsidRDefault="00DC4C4E" w:rsidP="00DC4C4E">
      <w:pPr>
        <w:jc w:val="both"/>
        <w:rPr>
          <w:rFonts w:ascii="Calibri" w:hAnsi="Calibri"/>
        </w:rPr>
      </w:pPr>
    </w:p>
    <w:p w:rsidR="00646CD5" w:rsidRDefault="00DC4C4E" w:rsidP="00DC4C4E">
      <w:pPr>
        <w:jc w:val="both"/>
        <w:rPr>
          <w:rFonts w:ascii="Calibri" w:hAnsi="Calibri" w:cs="Times New Roman"/>
          <w:sz w:val="22"/>
        </w:rPr>
      </w:pPr>
      <w:r>
        <w:rPr>
          <w:rFonts w:ascii="Calibri" w:hAnsi="Calibri" w:cs="Times New Roman"/>
          <w:sz w:val="22"/>
        </w:rPr>
        <w:t>Mitigation actions also have other health-related benefits. Policies in the transport sector that encourage active travel (e.g. walking and cycling) produce significant reductions in cardiovascular disease, dementia, diabetes and several cancers, along with reduced duration and severity of depressive episodes – all of which are linked to obesity and are costly to treat.</w:t>
      </w:r>
      <w:r w:rsidR="00E13392">
        <w:fldChar w:fldCharType="begin"/>
      </w:r>
      <w:r w:rsidR="00A43B13">
        <w:instrText xml:space="preserve"> ADDIN EN.CITE &lt;EndNote&gt;&lt;Cite&gt;&lt;Author&gt;Woodcock&lt;/Author&gt;&lt;Year&gt;2009&lt;/Year&gt;&lt;RecNum&gt;922&lt;/RecNum&gt;&lt;DisplayText&gt;&lt;style face="superscript"&gt;218&lt;/style&gt;&lt;/DisplayText&gt;&lt;record&gt;&lt;rec-number&gt;922&lt;/rec-number&gt;&lt;foreign-keys&gt;&lt;key app="EN" db-id="wtftd20rmszxx0ettxy5exwdf90wv22s2dsf" timestamp="1419212983"&gt;922&lt;/key&gt;&lt;/foreign-keys&gt;&lt;ref-type name="Journal Article"&gt;17&lt;/ref-type&gt;&lt;contributors&gt;&lt;authors&gt;&lt;author&gt;Woodcock, James&lt;/author&gt;&lt;author&gt;Edwards, Phil&lt;/author&gt;&lt;author&gt;Tonne, Cathryn&lt;/author&gt;&lt;author&gt;Armstrong, Ben G.&lt;/author&gt;&lt;author&gt;Ashiru, Olu&lt;/author&gt;&lt;author&gt;Banister, David&lt;/author&gt;&lt;author&gt;Beevers, Sean&lt;/author&gt;&lt;author&gt;Chalabi, Zaid&lt;/author&gt;&lt;author&gt;Chowdhury, Zohir&lt;/author&gt;&lt;author&gt;Cohen, Aaron&lt;/author&gt;&lt;author&gt;Franco, Oscar H.&lt;/author&gt;&lt;author&gt;Haines, Andy&lt;/author&gt;&lt;author&gt;Hickman, Robin&lt;/author&gt;&lt;author&gt;Lindsay, Graeme&lt;/author&gt;&lt;author&gt;Mittal, Ishaan&lt;/author&gt;&lt;author&gt;Mohan, Dinesh&lt;/author&gt;&lt;author&gt;Tiwari, Geetam&lt;/author&gt;&lt;author&gt;Woodward, Alistair&lt;/author&gt;&lt;author&gt;Roberts, Ian&lt;/author&gt;&lt;/authors&gt;&lt;/contributors&gt;&lt;titles&gt;&lt;title&gt;Public health benefits of strategies to reduce greenhouse-gas emissions: urban land transport&lt;/title&gt;&lt;secondary-title&gt;The Lancet&lt;/secondary-title&gt;&lt;/titles&gt;&lt;periodical&gt;&lt;full-title&gt;The Lancet&lt;/full-title&gt;&lt;/periodical&gt;&lt;pages&gt;1930-1943&lt;/pages&gt;&lt;volume&gt;374&lt;/volume&gt;&lt;number&gt;9705&lt;/number&gt;&lt;dates&gt;&lt;year&gt;2009&lt;/year&gt;&lt;/dates&gt;&lt;isbn&gt;0140-6736&lt;/isbn&gt;&lt;urls&gt;&lt;related-urls&gt;&lt;url&gt;http://linkinghub.elsevier.com/retrieve/pii/S0140673609617141&lt;/url&gt;&lt;/related-urls&gt;&lt;/urls&gt;&lt;/record&gt;&lt;/Cite&gt;&lt;/EndNote&gt;</w:instrText>
      </w:r>
      <w:r w:rsidR="00E13392">
        <w:fldChar w:fldCharType="separate"/>
      </w:r>
      <w:r w:rsidR="00A43B13" w:rsidRPr="00A43B13">
        <w:rPr>
          <w:noProof/>
          <w:vertAlign w:val="superscript"/>
        </w:rPr>
        <w:t>218</w:t>
      </w:r>
      <w:r w:rsidR="00E13392">
        <w:fldChar w:fldCharType="end"/>
      </w:r>
      <w:r>
        <w:rPr>
          <w:rFonts w:ascii="Calibri" w:hAnsi="Calibri" w:cs="Times New Roman"/>
          <w:sz w:val="22"/>
        </w:rPr>
        <w:t xml:space="preserve"> For example, increased levels of active travel coupled with increased fuel efficiency in the United Kingdom’s urban areas could lead to a net saving to public funds cumulatively exceeding £15 billion by 2030, whilst achieving GHG reductions of over 15% in the private transport sector by 2030.</w:t>
      </w:r>
      <w:r w:rsidR="00E13392">
        <w:fldChar w:fldCharType="begin"/>
      </w:r>
      <w:r w:rsidR="009F6910">
        <w:instrText xml:space="preserve"> ADDIN EN.CITE &lt;EndNote&gt;&lt;Cite&gt;&lt;Author&gt;Jensen&lt;/Author&gt;&lt;Year&gt;2013&lt;/Year&gt;&lt;RecNum&gt;903&lt;/RecNum&gt;&lt;DisplayText&gt;&lt;style face="superscript"&gt;227&lt;/style&gt;&lt;/DisplayText&gt;&lt;record&gt;&lt;rec-number&gt;903&lt;/rec-number&gt;&lt;foreign-keys&gt;&lt;key app="EN" db-id="wtftd20rmszxx0ettxy5exwdf90wv22s2dsf" timestamp="1419212983"&gt;903&lt;/key&gt;&lt;/foreign-keys&gt;&lt;ref-type name="Journal Article"&gt;17&lt;/ref-type&gt;&lt;contributors&gt;&lt;authors&gt;&lt;author&gt;Jensen, HenningTarp&lt;/author&gt;&lt;author&gt;Keogh-Brown, MarcusR&lt;/author&gt;&lt;author&gt;Smith, RichardD&lt;/author&gt;&lt;author&gt;Chalabi, Zaid&lt;/author&gt;&lt;author&gt;Dangour, AlanD&lt;/author&gt;&lt;author&gt;Davies, Mike&lt;/author&gt;&lt;author&gt;Edwards, Phil&lt;/author&gt;&lt;author&gt;Garnett, Tara&lt;/author&gt;&lt;author&gt;Givoni, Moshe&lt;/author&gt;&lt;author&gt;Griffiths, Ulla&lt;/author&gt;&lt;author&gt;Hamilton, Ian&lt;/author&gt;&lt;author&gt;Jarrett, James&lt;/author&gt;&lt;author&gt;Roberts, Ian&lt;/author&gt;&lt;author&gt;Wilkinson, Paul&lt;/author&gt;&lt;author&gt;Woodcock, James&lt;/author&gt;&lt;author&gt;Haines, Andy&lt;/author&gt;&lt;/authors&gt;&lt;/contributors&gt;&lt;titles&gt;&lt;title&gt;The importance of health co-benefits in macroeconomic assessments of UK Greenhouse Gas emission reduction strategies&lt;/title&gt;&lt;secondary-title&gt;Climatic Change&lt;/secondary-title&gt;&lt;alt-title&gt;Climatic Change&lt;/alt-title&gt;&lt;/titles&gt;&lt;periodical&gt;&lt;full-title&gt;Climatic Change&lt;/full-title&gt;&lt;/periodical&gt;&lt;alt-periodical&gt;&lt;full-title&gt;Climatic Change&lt;/full-title&gt;&lt;/alt-periodical&gt;&lt;pages&gt;223-237&lt;/pages&gt;&lt;volume&gt;121&lt;/volume&gt;&lt;number&gt;2&lt;/number&gt;&lt;dates&gt;&lt;year&gt;2013&lt;/year&gt;&lt;pub-dates&gt;&lt;date&gt;2013/11/01&lt;/date&gt;&lt;/pub-dates&gt;&lt;/dates&gt;&lt;publisher&gt;Springer Netherlands&lt;/publisher&gt;&lt;isbn&gt;0165-0009&lt;/isbn&gt;&lt;urls&gt;&lt;related-urls&gt;&lt;url&gt;http://dx.doi.org/10.1007/s10584-013-0881-6&lt;/url&gt;&lt;/related-urls&gt;&lt;/urls&gt;&lt;electronic-resource-num&gt;10.1007/s10584-013-0881-6&lt;/electronic-resource-num&gt;&lt;language&gt;English&lt;/language&gt;&lt;/record&gt;&lt;/Cite&gt;&lt;/EndNote&gt;</w:instrText>
      </w:r>
      <w:r w:rsidR="00E13392">
        <w:fldChar w:fldCharType="separate"/>
      </w:r>
      <w:r w:rsidR="009F6910" w:rsidRPr="009F6910">
        <w:rPr>
          <w:noProof/>
          <w:vertAlign w:val="superscript"/>
        </w:rPr>
        <w:t>227</w:t>
      </w:r>
      <w:r w:rsidR="00E13392">
        <w:fldChar w:fldCharType="end"/>
      </w:r>
      <w:r w:rsidR="00646CD5">
        <w:rPr>
          <w:rFonts w:ascii="Calibri" w:hAnsi="Calibri" w:cs="Times New Roman"/>
          <w:sz w:val="22"/>
        </w:rPr>
        <w:t xml:space="preserve"> </w:t>
      </w:r>
      <w:r>
        <w:rPr>
          <w:rFonts w:ascii="Calibri" w:hAnsi="Calibri" w:cs="Times New Roman"/>
          <w:sz w:val="22"/>
        </w:rPr>
        <w:t xml:space="preserve">Patz et al. (2014) </w:t>
      </w:r>
      <w:r w:rsidR="00646CD5">
        <w:rPr>
          <w:rFonts w:ascii="Calibri" w:hAnsi="Calibri" w:cs="Times New Roman"/>
          <w:sz w:val="22"/>
        </w:rPr>
        <w:t xml:space="preserve">have </w:t>
      </w:r>
      <w:r>
        <w:rPr>
          <w:rFonts w:ascii="Calibri" w:hAnsi="Calibri" w:cs="Times New Roman"/>
          <w:sz w:val="22"/>
        </w:rPr>
        <w:t>comprehensiv</w:t>
      </w:r>
      <w:r w:rsidR="00646CD5">
        <w:rPr>
          <w:rFonts w:ascii="Calibri" w:hAnsi="Calibri" w:cs="Times New Roman"/>
          <w:sz w:val="22"/>
        </w:rPr>
        <w:t>ely</w:t>
      </w:r>
      <w:r>
        <w:rPr>
          <w:rFonts w:ascii="Calibri" w:hAnsi="Calibri" w:cs="Times New Roman"/>
          <w:sz w:val="22"/>
        </w:rPr>
        <w:t xml:space="preserve"> review</w:t>
      </w:r>
      <w:r w:rsidR="00646CD5">
        <w:rPr>
          <w:rFonts w:ascii="Calibri" w:hAnsi="Calibri" w:cs="Times New Roman"/>
          <w:sz w:val="22"/>
        </w:rPr>
        <w:t xml:space="preserve">ed </w:t>
      </w:r>
      <w:r>
        <w:rPr>
          <w:rFonts w:ascii="Calibri" w:hAnsi="Calibri" w:cs="Times New Roman"/>
          <w:sz w:val="22"/>
        </w:rPr>
        <w:t>the heath, environmental and economic benefits of active travel.</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&lt;EndNote&gt;&lt;Cite&gt;&lt;Author&gt;Patz&lt;/Author&gt;&lt;Year&gt;2014&lt;/Year&gt;&lt;RecNum&gt;1573&lt;/RecNum&gt;&lt;DisplayText&gt;&lt;style face="superscript"&gt;256&lt;/style&gt;&lt;/DisplayText&gt;&lt;record&gt;&lt;rec-number&gt;1573&lt;/rec-number&gt;&lt;foreign-keys&gt;&lt;key app="EN" db-id="wtftd20rmszxx0ettxy5exwdf90wv22s2dsf" timestamp="1428060188"&gt;1573&lt;/key&gt;&lt;/foreign-keys&gt;&lt;ref-type name="Journal Article"&gt;17&lt;/ref-type&gt;&lt;contributors&gt;&lt;authors&gt;&lt;author&gt;J Patz&lt;/author&gt;&lt;author&gt;H Frumkin&lt;/author&gt;&lt;author&gt;T Holloway&lt;/author&gt;&lt;author&gt;D Vimont&lt;/author&gt;&lt;author&gt;A Haines&lt;/author&gt;&lt;/authors&gt;&lt;/contributors&gt;&lt;titles&gt;&lt;title&gt;Climate Change: Challenges and Opportunities for Global Health&lt;/title&gt;&lt;secondary-title&gt;Journal of the American Medical Association&lt;/secondary-title&gt;&lt;/titles&gt;&lt;periodical&gt;&lt;full-title&gt;Journal of the American Medical Association&lt;/full-title&gt;&lt;/periodical&gt;&lt;pages&gt;1565-80&lt;/pages&gt;&lt;volume&gt;312&lt;/volume&gt;&lt;number&gt;15&lt;/number&gt;&lt;dates&gt;&lt;year&gt;2014&lt;/year&gt;&lt;/dates&gt;&lt;urls&gt;&lt;/urls&gt;&lt;/record&gt;&lt;/Cite&gt;&lt;/EndNote&gt;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256</w:t>
      </w:r>
      <w:r w:rsidR="00E13392">
        <w:rPr>
          <w:rFonts w:ascii="Calibri" w:hAnsi="Calibri" w:cs="Times New Roman"/>
          <w:sz w:val="22"/>
        </w:rPr>
        <w:fldChar w:fldCharType="end"/>
      </w:r>
      <w:r>
        <w:rPr>
          <w:rFonts w:ascii="Calibri" w:hAnsi="Calibri" w:cs="Times New Roman"/>
          <w:sz w:val="22"/>
        </w:rPr>
        <w:t xml:space="preserve"> </w:t>
      </w:r>
    </w:p>
    <w:p w:rsidR="00646CD5" w:rsidRDefault="00646CD5" w:rsidP="00DC4C4E">
      <w:pPr>
        <w:jc w:val="both"/>
        <w:rPr>
          <w:rFonts w:ascii="Calibri" w:hAnsi="Calibri" w:cs="Times New Roman"/>
          <w:sz w:val="22"/>
        </w:rPr>
      </w:pPr>
    </w:p>
    <w:p w:rsidR="00DC4C4E" w:rsidRDefault="00DC4C4E" w:rsidP="00DC4C4E">
      <w:pPr>
        <w:jc w:val="both"/>
        <w:rPr>
          <w:rFonts w:ascii="Calibri" w:hAnsi="Calibri" w:cs="Times New Roman"/>
          <w:sz w:val="22"/>
        </w:rPr>
      </w:pPr>
      <w:r>
        <w:rPr>
          <w:rFonts w:ascii="Calibri" w:hAnsi="Calibri" w:cs="Times New Roman"/>
          <w:sz w:val="22"/>
        </w:rPr>
        <w:t>In many countries, climate change mitigation through increased energy efficiency will have the benefit of reducing ‘fuel poverty’ (a condition in which low-income households have to spend a high proportion of their income to keep warm or cool), and associated impacts on excess winter mortality, respiratory health of children and infants, and the mental health of adults.</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&lt;EndNote&gt;&lt;Cite&gt;&lt;Author&gt;Liddell&lt;/Author&gt;&lt;Year&gt;2010&lt;/Year&gt;&lt;RecNum&gt;904&lt;/RecNum&gt;&lt;DisplayText&gt;&lt;style face="superscript"&gt;257&lt;/style&gt;&lt;/DisplayText&gt;&lt;record&gt;&lt;rec-number&gt;904&lt;/rec-number&gt;&lt;foreign-keys&gt;&lt;key app="EN" db-id="wtftd20rmszxx0ettxy5exwdf90wv22s2dsf" timestamp="1419212983"&gt;904&lt;/key&gt;&lt;/foreign-keys&gt;&lt;ref-type name="Journal Article"&gt;17&lt;/ref-type&gt;&lt;contributors&gt;&lt;authors&gt;&lt;author&gt;Liddell, Christine&lt;/author&gt;&lt;author&gt;Morris, Chris&lt;/author&gt;&lt;/authors&gt;&lt;/contributors&gt;&lt;titles&gt;&lt;title&gt;Fuel poverty and human health: A review of recent evidence&lt;/title&gt;&lt;secondary-title&gt;Energy Policy&lt;/secondary-title&gt;&lt;/titles&gt;&lt;periodical&gt;&lt;full-title&gt;Energy Policy&lt;/full-title&gt;&lt;/periodical&gt;&lt;pages&gt;2987-2997&lt;/pages&gt;&lt;volume&gt;38&lt;/volume&gt;&lt;number&gt;6&lt;/number&gt;&lt;keywords&gt;&lt;keyword&gt;Fuel poverty&lt;/keyword&gt;&lt;keyword&gt;Health&lt;/keyword&gt;&lt;keyword&gt;Mental health&lt;/keyword&gt;&lt;/keywords&gt;&lt;dates&gt;&lt;year&gt;2010&lt;/year&gt;&lt;pub-dates&gt;&lt;date&gt;6//&lt;/date&gt;&lt;/pub-dates&gt;&lt;/dates&gt;&lt;isbn&gt;0301-4215&lt;/isbn&gt;&lt;urls&gt;&lt;related-urls&gt;&lt;url&gt;http://www.sciencedirect.com/science/article/pii/S0301421510000625&lt;/url&gt;&lt;/related-urls&gt;&lt;/urls&gt;&lt;electronic-resource-num&gt;http://dx.doi.org/10.1016/j.enpol.2010.01.037&lt;/electronic-resource-num&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257</w:t>
      </w:r>
      <w:r w:rsidR="00E13392">
        <w:rPr>
          <w:rFonts w:ascii="Calibri" w:hAnsi="Calibri" w:cs="Times New Roman"/>
          <w:sz w:val="22"/>
        </w:rPr>
        <w:fldChar w:fldCharType="end"/>
      </w:r>
      <w:r>
        <w:rPr>
          <w:rFonts w:ascii="Calibri" w:hAnsi="Calibri" w:cs="Times New Roman"/>
          <w:sz w:val="22"/>
        </w:rPr>
        <w:t xml:space="preserve"> Nicol et al. (2011) estimated that improved housing in England alone could save the UK National Health Service over €700 million per year in treatment no longer required.</w:t>
      </w:r>
      <w:r w:rsidR="00E13392">
        <w:rPr>
          <w:rFonts w:ascii="Calibri" w:hAnsi="Calibri" w:cs="Times New Roman"/>
          <w:sz w:val="22"/>
        </w:rPr>
        <w:fldChar w:fldCharType="begin">
          <w:fldData xml:space="preserve">PEVuZE5vdGU+PENpdGU+PEF1dGhvcj5OaWNvbDwvQXV0aG9yPjxZZWFyPjIwMTE8L1llYXI+PFJl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</w:fldData>
        </w:fldChar>
      </w:r>
      <w:r w:rsidR="009F6910">
        <w:rPr>
          <w:rFonts w:ascii="Calibri" w:hAnsi="Calibri" w:cs="Times New Roman"/>
          <w:sz w:val="22"/>
        </w:rPr>
        <w:instrText xml:space="preserve"> ADDIN EN.CITE </w:instrText>
      </w:r>
      <w:r w:rsidR="00E13392">
        <w:rPr>
          <w:rFonts w:ascii="Calibri" w:hAnsi="Calibri" w:cs="Times New Roman"/>
          <w:sz w:val="22"/>
        </w:rPr>
        <w:fldChar w:fldCharType="begin">
          <w:fldData xml:space="preserve">PEVuZE5vdGU+PENpdGU+PEF1dGhvcj5OaWNvbDwvQXV0aG9yPjxZZWFyPjIwMTE8L1llYXI+PFJl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</w:fldData>
        </w:fldChar>
      </w:r>
      <w:r w:rsidR="009F6910">
        <w:rPr>
          <w:rFonts w:ascii="Calibri" w:hAnsi="Calibri" w:cs="Times New Roman"/>
          <w:sz w:val="22"/>
        </w:rPr>
        <w:instrText xml:space="preserve"> ADDIN EN.CITE.DATA </w:instrText>
      </w:r>
      <w:r w:rsidR="00E13392">
        <w:rPr>
          <w:rFonts w:ascii="Calibri" w:hAnsi="Calibri" w:cs="Times New Roman"/>
          <w:sz w:val="22"/>
        </w:rPr>
      </w:r>
      <w:r w:rsidR="00E13392">
        <w:rPr>
          <w:rFonts w:ascii="Calibri" w:hAnsi="Calibri" w:cs="Times New Roman"/>
          <w:sz w:val="22"/>
        </w:rPr>
        <w:fldChar w:fldCharType="end"/>
      </w:r>
      <w:r w:rsidR="00E13392">
        <w:rPr>
          <w:rFonts w:ascii="Calibri" w:hAnsi="Calibri" w:cs="Times New Roman"/>
          <w:sz w:val="22"/>
        </w:rPr>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258</w:t>
      </w:r>
      <w:r w:rsidR="00E13392">
        <w:rPr>
          <w:rFonts w:ascii="Calibri" w:hAnsi="Calibri" w:cs="Times New Roman"/>
          <w:sz w:val="22"/>
        </w:rPr>
        <w:fldChar w:fldCharType="end"/>
      </w:r>
      <w:r>
        <w:rPr>
          <w:rFonts w:ascii="Calibri" w:hAnsi="Calibri" w:cs="Times New Roman"/>
          <w:sz w:val="22"/>
        </w:rPr>
        <w:t xml:space="preserve"> In addition, Copenhagen Economics (2012) estimates that improvements in housing energy </w:t>
      </w:r>
      <w:r w:rsidRPr="004008E1">
        <w:rPr>
          <w:rFonts w:ascii="Calibri" w:hAnsi="Calibri" w:cs="Times New Roman"/>
          <w:sz w:val="22"/>
        </w:rPr>
        <w:t>efficiency in Europe would, alongside the production of direct energy and healthcare savings, reduce public subsidies for energy consumption by €9-12 billion per year.</w:t>
      </w:r>
      <w:r w:rsidR="00E13392" w:rsidRPr="00B50254">
        <w:rPr>
          <w:rFonts w:ascii="Calibri" w:hAnsi="Calibri" w:cs="Times New Roman"/>
          <w:sz w:val="22"/>
        </w:rPr>
        <w:fldChar w:fldCharType="begin"/>
      </w:r>
      <w:r w:rsidR="009F6910">
        <w:rPr>
          <w:rFonts w:ascii="Calibri" w:hAnsi="Calibri" w:cs="Times New Roman"/>
          <w:sz w:val="22"/>
        </w:rPr>
        <w:instrText xml:space="preserve"> ADDIN EN.CITE &lt;EndNote&gt;&lt;Cite&gt;&lt;Author&gt;Copenhagen Economics&lt;/Author&gt;&lt;Year&gt;2012&lt;/Year&gt;&lt;RecNum&gt;929&lt;/RecNum&gt;&lt;DisplayText&gt;&lt;style face="superscript"&gt;259&lt;/style&gt;&lt;/DisplayText&gt;&lt;record&gt;&lt;rec-number&gt;929&lt;/rec-number&gt;&lt;foreign-keys&gt;&lt;key app="EN" db-id="wtftd20rmszxx0ettxy5exwdf90wv22s2dsf" timestamp="1419212983"&gt;929&lt;/key&gt;&lt;/foreign-keys&gt;&lt;ref-type name="Government Document"&gt;46&lt;/ref-type&gt;&lt;contributors&gt;&lt;authors&gt;&lt;author&gt;Copenhagen Economics,&lt;/author&gt;&lt;/authors&gt;&lt;/contributors&gt;&lt;titles&gt;&lt;title&gt;Multiple Benefits of Investing in Energy Efficient Renovation of Buildings: Impact on Public Finances&lt;/title&gt;&lt;/titles&gt;&lt;dates&gt;&lt;year&gt;2012&lt;/year&gt;&lt;/dates&gt;&lt;pub-location&gt;Copenhagen&lt;/pub-location&gt;&lt;urls&gt;&lt;/urls&gt;&lt;/record&gt;&lt;/Cite&gt;&lt;/EndNote&gt;</w:instrText>
      </w:r>
      <w:r w:rsidR="00E13392" w:rsidRPr="00B50254">
        <w:rPr>
          <w:rFonts w:ascii="Calibri" w:hAnsi="Calibri" w:cs="Times New Roman"/>
          <w:sz w:val="22"/>
        </w:rPr>
        <w:fldChar w:fldCharType="separate"/>
      </w:r>
      <w:r w:rsidR="009F6910" w:rsidRPr="009F6910">
        <w:rPr>
          <w:rFonts w:ascii="Calibri" w:hAnsi="Calibri" w:cs="Times New Roman"/>
          <w:noProof/>
          <w:sz w:val="22"/>
          <w:vertAlign w:val="superscript"/>
        </w:rPr>
        <w:t>259</w:t>
      </w:r>
      <w:r w:rsidR="00E13392" w:rsidRPr="00B50254">
        <w:rPr>
          <w:rFonts w:ascii="Calibri" w:hAnsi="Calibri" w:cs="Times New Roman"/>
          <w:sz w:val="22"/>
        </w:rPr>
        <w:fldChar w:fldCharType="end"/>
      </w:r>
      <w:r w:rsidRPr="004008E1">
        <w:rPr>
          <w:rFonts w:ascii="Calibri" w:hAnsi="Calibri" w:cs="Times New Roman"/>
          <w:sz w:val="22"/>
        </w:rPr>
        <w:t xml:space="preserve"> Various other health</w:t>
      </w:r>
      <w:r w:rsidRPr="004B20AD">
        <w:rPr>
          <w:rFonts w:ascii="Calibri" w:hAnsi="Calibri" w:cs="Times New Roman"/>
          <w:sz w:val="22"/>
        </w:rPr>
        <w:t xml:space="preserve"> and </w:t>
      </w:r>
      <w:r w:rsidR="004008E1">
        <w:rPr>
          <w:rFonts w:ascii="Calibri" w:hAnsi="Calibri" w:cs="Times New Roman"/>
          <w:sz w:val="22"/>
        </w:rPr>
        <w:t>ancillary</w:t>
      </w:r>
      <w:r w:rsidRPr="00B50254">
        <w:rPr>
          <w:rFonts w:ascii="Calibri" w:hAnsi="Calibri" w:cs="Times New Roman"/>
          <w:sz w:val="22"/>
        </w:rPr>
        <w:t xml:space="preserve"> benefits exist. See </w:t>
      </w:r>
      <w:r w:rsidRPr="004349AE">
        <w:rPr>
          <w:rFonts w:ascii="Calibri" w:hAnsi="Calibri" w:cs="Times New Roman"/>
          <w:sz w:val="22"/>
        </w:rPr>
        <w:t xml:space="preserve">Appendix </w:t>
      </w:r>
      <w:r w:rsidR="004B20AD" w:rsidRPr="004349AE">
        <w:rPr>
          <w:rFonts w:ascii="Calibri" w:hAnsi="Calibri" w:cs="Times New Roman"/>
          <w:sz w:val="22"/>
        </w:rPr>
        <w:t>4</w:t>
      </w:r>
      <w:r w:rsidRPr="004008E1">
        <w:rPr>
          <w:rFonts w:ascii="Calibri" w:hAnsi="Calibri" w:cs="Times New Roman"/>
          <w:sz w:val="22"/>
        </w:rPr>
        <w:t xml:space="preserve"> for discussion</w:t>
      </w:r>
      <w:r w:rsidRPr="00B50254">
        <w:rPr>
          <w:rFonts w:ascii="Calibri" w:hAnsi="Calibri" w:cs="Times New Roman"/>
          <w:sz w:val="22"/>
        </w:rPr>
        <w:t xml:space="preserve"> of a recently developed framework to quantity key co-benefits.</w:t>
      </w:r>
    </w:p>
    <w:p w:rsidR="00DC4C4E" w:rsidRDefault="00DC4C4E" w:rsidP="00DC4C4E">
      <w:pPr>
        <w:jc w:val="both"/>
        <w:rPr>
          <w:rFonts w:ascii="Calibri" w:hAnsi="Calibri"/>
        </w:rPr>
      </w:pPr>
    </w:p>
    <w:p w:rsidR="00DC4C4E" w:rsidRDefault="00DC4C4E" w:rsidP="00DC4C4E">
      <w:pPr>
        <w:jc w:val="both"/>
        <w:rPr>
          <w:rFonts w:ascii="Calibri" w:hAnsi="Calibri"/>
        </w:rPr>
      </w:pPr>
      <w:r>
        <w:rPr>
          <w:rFonts w:cs="Times New Roman"/>
          <w:sz w:val="22"/>
          <w:szCs w:val="22"/>
        </w:rPr>
        <w:t xml:space="preserve">It is apparent both that societies spend very large sums on healthcare, and that measures to mitigate climate change would both directly reduce existing and projected damages to health from the </w:t>
      </w:r>
      <w:r>
        <w:rPr>
          <w:rFonts w:cs="Times New Roman"/>
          <w:sz w:val="22"/>
          <w:szCs w:val="22"/>
        </w:rPr>
        <w:lastRenderedPageBreak/>
        <w:t>combustion of fossil fuels, and associated costs. In fact, Markandya et al. (2009) estimated that</w:t>
      </w:r>
      <w:r w:rsidR="00DF6540">
        <w:rPr>
          <w:rFonts w:cs="Times New Roman"/>
          <w:sz w:val="22"/>
          <w:szCs w:val="22"/>
        </w:rPr>
        <w:t>, for India,</w:t>
      </w:r>
      <w:r>
        <w:rPr>
          <w:rFonts w:cs="Times New Roman"/>
          <w:sz w:val="22"/>
          <w:szCs w:val="22"/>
        </w:rPr>
        <w:t xml:space="preserve"> if the health benefits of reduced PM</w:t>
      </w:r>
      <w:r w:rsidRPr="009F6910">
        <w:rPr>
          <w:rFonts w:cs="Times New Roman"/>
          <w:sz w:val="22"/>
          <w:szCs w:val="22"/>
          <w:vertAlign w:val="subscript"/>
        </w:rPr>
        <w:t>2.5</w:t>
      </w:r>
      <w:r>
        <w:rPr>
          <w:rFonts w:cs="Times New Roman"/>
          <w:sz w:val="22"/>
          <w:szCs w:val="22"/>
        </w:rPr>
        <w:t xml:space="preserve"> emissions alone, resulting from a 50% reduction in CO</w:t>
      </w:r>
      <w:r>
        <w:rPr>
          <w:rFonts w:cs="Times New Roman"/>
          <w:sz w:val="22"/>
          <w:szCs w:val="22"/>
          <w:vertAlign w:val="subscript"/>
        </w:rPr>
        <w:t>2</w:t>
      </w:r>
      <w:r>
        <w:rPr>
          <w:rFonts w:cs="Times New Roman"/>
          <w:sz w:val="22"/>
          <w:szCs w:val="22"/>
        </w:rPr>
        <w:t xml:space="preserve"> emissions by 2050 (from 1990 levels) from electricity generation, ‘were valued similarly to the approach used in the EU for air pollution’, then they offset the cost of GHG emissions reductions in full.</w:t>
      </w:r>
      <w:r w:rsidR="00E13392">
        <w:rPr>
          <w:rFonts w:cs="Times New Roman"/>
          <w:sz w:val="22"/>
          <w:szCs w:val="22"/>
        </w:rPr>
        <w:fldChar w:fldCharType="begin">
          <w:fldData xml:space="preserve">PEVuZE5vdGU+PENpdGU+PEF1dGhvcj5NYXJrYW5keWE8L0F1dGhvcj48WWVhcj4yMDA5PC9ZZWFy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</w:fldData>
        </w:fldChar>
      </w:r>
      <w:r w:rsidR="00A43B13">
        <w:rPr>
          <w:rFonts w:cs="Times New Roman"/>
          <w:sz w:val="22"/>
          <w:szCs w:val="22"/>
        </w:rPr>
        <w:instrText xml:space="preserve"> ADDIN EN.CITE </w:instrText>
      </w:r>
      <w:r w:rsidR="00E13392">
        <w:rPr>
          <w:rFonts w:cs="Times New Roman"/>
          <w:sz w:val="22"/>
          <w:szCs w:val="22"/>
        </w:rPr>
        <w:fldChar w:fldCharType="begin">
          <w:fldData xml:space="preserve">PEVuZE5vdGU+PENpdGU+PEF1dGhvcj5NYXJrYW5keWE8L0F1dGhvcj48WWVhcj4yMDA5PC9ZZWFy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</w:fldData>
        </w:fldChar>
      </w:r>
      <w:r w:rsidR="00A43B13">
        <w:rPr>
          <w:rFonts w:cs="Times New Roman"/>
          <w:sz w:val="22"/>
          <w:szCs w:val="22"/>
        </w:rPr>
        <w:instrText xml:space="preserve"> ADDIN EN.CITE.DATA </w:instrText>
      </w:r>
      <w:r w:rsidR="00E13392">
        <w:rPr>
          <w:rFonts w:cs="Times New Roman"/>
          <w:sz w:val="22"/>
          <w:szCs w:val="22"/>
        </w:rPr>
      </w:r>
      <w:r w:rsidR="00E13392">
        <w:rPr>
          <w:rFonts w:cs="Times New Roman"/>
          <w:sz w:val="22"/>
          <w:szCs w:val="22"/>
        </w:rPr>
        <w:fldChar w:fldCharType="end"/>
      </w:r>
      <w:r w:rsidR="00E13392">
        <w:rPr>
          <w:rFonts w:cs="Times New Roman"/>
          <w:sz w:val="22"/>
          <w:szCs w:val="22"/>
        </w:rPr>
      </w:r>
      <w:r w:rsidR="00E13392">
        <w:rPr>
          <w:rFonts w:cs="Times New Roman"/>
          <w:sz w:val="22"/>
          <w:szCs w:val="22"/>
        </w:rPr>
        <w:fldChar w:fldCharType="separate"/>
      </w:r>
      <w:r w:rsidR="00A43B13" w:rsidRPr="00A43B13">
        <w:rPr>
          <w:rFonts w:cs="Times New Roman"/>
          <w:noProof/>
          <w:sz w:val="22"/>
          <w:szCs w:val="22"/>
          <w:vertAlign w:val="superscript"/>
        </w:rPr>
        <w:t>215</w:t>
      </w:r>
      <w:r w:rsidR="00E13392">
        <w:rPr>
          <w:rFonts w:cs="Times New Roman"/>
          <w:sz w:val="22"/>
          <w:szCs w:val="22"/>
        </w:rPr>
        <w:fldChar w:fldCharType="end"/>
      </w:r>
      <w:r>
        <w:rPr>
          <w:rFonts w:cs="Times New Roman"/>
          <w:sz w:val="22"/>
          <w:szCs w:val="22"/>
        </w:rPr>
        <w:t xml:space="preserve"> As such, a significant proportion of expenditures for climate change mitigation (and adaptation) may legitimately be seen as offsetting health expenditures, existing or anticipated, or even put forward itself as expenditure on the treatment and prevention of ill-health. If a large part of the costs of climate change mitigation and adaptation is offset by improved health of the existing population, and if unabated climate change is itself a major health risk, investment in such actions is clearly an attractive and sensible proposition.</w:t>
      </w:r>
    </w:p>
    <w:p w:rsidR="002354AF" w:rsidRDefault="002354AF" w:rsidP="002354AF">
      <w:pPr>
        <w:rPr>
          <w:rFonts w:ascii="Calibri" w:hAnsi="Calibri" w:cs="Times New Roman"/>
          <w:b/>
          <w:sz w:val="20"/>
        </w:rPr>
      </w:pPr>
    </w:p>
    <w:p w:rsidR="002354AF" w:rsidRDefault="002354AF" w:rsidP="002354AF">
      <w:pPr>
        <w:rPr>
          <w:rFonts w:ascii="Calibri" w:hAnsi="Calibri" w:cs="Times New Roman"/>
          <w:b/>
          <w:sz w:val="20"/>
        </w:rPr>
      </w:pPr>
    </w:p>
    <w:p w:rsidR="002354AF" w:rsidRPr="00D036C9" w:rsidRDefault="002354AF" w:rsidP="00D036C9">
      <w:pPr>
        <w:pStyle w:val="Heading2"/>
      </w:pPr>
      <w:bookmarkStart w:id="126" w:name="_Toc402956399"/>
      <w:bookmarkStart w:id="127" w:name="_Toc415931404"/>
      <w:bookmarkStart w:id="128" w:name="_Toc417502069"/>
      <w:r w:rsidRPr="002925B8">
        <w:t>Investment required for mitigation and adaptation</w:t>
      </w:r>
      <w:bookmarkEnd w:id="126"/>
      <w:bookmarkEnd w:id="127"/>
      <w:bookmarkEnd w:id="128"/>
    </w:p>
    <w:p w:rsidR="00DC4C4E" w:rsidRDefault="00DC4C4E" w:rsidP="00DC4C4E">
      <w:pPr>
        <w:jc w:val="both"/>
        <w:rPr>
          <w:rFonts w:ascii="Calibri" w:hAnsi="Calibri" w:cs="Times New Roman"/>
          <w:sz w:val="22"/>
        </w:rPr>
      </w:pPr>
      <w:r>
        <w:rPr>
          <w:rFonts w:ascii="Calibri" w:hAnsi="Calibri" w:cs="Times New Roman"/>
          <w:sz w:val="22"/>
        </w:rPr>
        <w:t>In industrialised countries, large-scale investment in energy systems is required simply to maintain existing services, as infrastructures age and need to be replaced. Emerging and developing economies will require very large energy system investments to meet growing demand as they develop, and to provide increasing proportions of their populations with access to modern energy services. It is estimated that such ‘business as usual’ investments will total around $105 trillion between 2010 and 2050, with average annual investment requirements rising rapidly over time.</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&lt;EndNote&gt;&lt;Cite&gt;&lt;Author&gt;International Energy Agency&lt;/Author&gt;&lt;Year&gt;2012&lt;/Year&gt;&lt;RecNum&gt;1520&lt;/RecNum&gt;&lt;DisplayText&gt;&lt;style face="superscript"&gt;260&lt;/style&gt;&lt;/DisplayText&gt;&lt;record&gt;&lt;rec-number&gt;1520&lt;/rec-number&gt;&lt;foreign-keys&gt;&lt;key app="EN" db-id="wtftd20rmszxx0ettxy5exwdf90wv22s2dsf" timestamp="1419345397"&gt;1520&lt;/key&gt;&lt;/foreign-keys&gt;&lt;ref-type name="Report"&gt;27&lt;/ref-type&gt;&lt;contributors&gt;&lt;authors&gt;&lt;author&gt;International Energy Agency,&lt;/author&gt;&lt;/authors&gt;&lt;/contributors&gt;&lt;titles&gt;&lt;title&gt;World Energy Outlook&lt;/title&gt;&lt;/titles&gt;&lt;dates&gt;&lt;year&gt;2012&lt;/year&gt;&lt;/dates&gt;&lt;pub-location&gt;Paris&lt;/pub-location&gt;&lt;urls&gt;&lt;/urls&gt;&lt;/record&gt;&lt;/Cite&gt;&lt;/EndNote&gt;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260</w:t>
      </w:r>
      <w:r w:rsidR="00E13392">
        <w:rPr>
          <w:rFonts w:ascii="Calibri" w:hAnsi="Calibri" w:cs="Times New Roman"/>
          <w:sz w:val="22"/>
        </w:rPr>
        <w:fldChar w:fldCharType="end"/>
      </w:r>
      <w:r>
        <w:rPr>
          <w:rFonts w:ascii="Calibri" w:hAnsi="Calibri" w:cs="Times New Roman"/>
          <w:sz w:val="22"/>
        </w:rPr>
        <w:t xml:space="preserve"> However, this value excludes the costs of climate damage to the energy system, or resilience measures to reduce it. Such costs could be significant.</w:t>
      </w:r>
    </w:p>
    <w:p w:rsidR="00DC4C4E" w:rsidRDefault="00DC4C4E" w:rsidP="00DC4C4E">
      <w:pPr>
        <w:rPr>
          <w:rFonts w:ascii="Calibri" w:hAnsi="Calibri"/>
        </w:rPr>
      </w:pPr>
    </w:p>
    <w:p w:rsidR="00DC4C4E" w:rsidRDefault="00DC4C4E" w:rsidP="00DC4C4E">
      <w:pPr>
        <w:jc w:val="both"/>
        <w:rPr>
          <w:rFonts w:ascii="Calibri" w:hAnsi="Calibri" w:cs="Times New Roman"/>
          <w:sz w:val="22"/>
        </w:rPr>
      </w:pPr>
      <w:r>
        <w:rPr>
          <w:rFonts w:ascii="Calibri" w:hAnsi="Calibri" w:cs="Times New Roman"/>
          <w:sz w:val="22"/>
        </w:rPr>
        <w:t xml:space="preserve">The IEA (2012a) estimates that to achieve a trajectory that produces an 80% chance of remaining on a 2°C stabilisation pathway, additional cumulative investment of $36 trillion in the energy system is required by 2050 – approximately $1 trillion per year (in the order of 1% GWP under moderate growth assumptions, or around 10% of existing expenditure on healthcare), although recent estimates </w:t>
      </w:r>
      <w:r w:rsidR="004008E1">
        <w:rPr>
          <w:rFonts w:ascii="Calibri" w:hAnsi="Calibri" w:cs="Times New Roman"/>
          <w:sz w:val="22"/>
        </w:rPr>
        <w:t xml:space="preserve">from the New Climate Economy report </w:t>
      </w:r>
      <w:r>
        <w:rPr>
          <w:rFonts w:ascii="Calibri" w:hAnsi="Calibri" w:cs="Times New Roman"/>
          <w:sz w:val="22"/>
        </w:rPr>
        <w:t>suggest that this value may be a much reduced $270 billion per year.</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&lt;EndNote&gt;&lt;Cite&gt;&lt;Author&gt;International Energy Agency&lt;/Author&gt;&lt;Year&gt;2012&lt;/Year&gt;&lt;RecNum&gt;1520&lt;/RecNum&gt;&lt;DisplayText&gt;&lt;style face="superscript"&gt;260,261&lt;/style&gt;&lt;/DisplayText&gt;&lt;record&gt;&lt;rec-number&gt;1520&lt;/rec-number&gt;&lt;foreign-keys&gt;&lt;key app="EN" db-id="wtftd20rmszxx0ettxy5exwdf90wv22s2dsf" timestamp="1419345397"&gt;1520&lt;/key&gt;&lt;/foreign-keys&gt;&lt;ref-type name="Report"&gt;27&lt;/ref-type&gt;&lt;contributors&gt;&lt;authors&gt;&lt;author&gt;International Energy Agency,&lt;/author&gt;&lt;/authors&gt;&lt;/contributors&gt;&lt;titles&gt;&lt;title&gt;World Energy Outlook&lt;/title&gt;&lt;/titles&gt;&lt;dates&gt;&lt;year&gt;2012&lt;/year&gt;&lt;/dates&gt;&lt;pub-location&gt;Paris&lt;/pub-location&gt;&lt;urls&gt;&lt;/urls&gt;&lt;/record&gt;&lt;/Cite&gt;&lt;Cite&gt;&lt;Author&gt;New Climate Economy&lt;/Author&gt;&lt;Year&gt;2014&lt;/Year&gt;&lt;RecNum&gt;1521&lt;/RecNum&gt;&lt;record&gt;&lt;rec-number&gt;1521&lt;/rec-number&gt;&lt;foreign-keys&gt;&lt;key app="EN" db-id="wtftd20rmszxx0ettxy5exwdf90wv22s2dsf" timestamp="1419345795"&gt;1521&lt;/key&gt;&lt;/foreign-keys&gt;&lt;ref-type name="Report"&gt;27&lt;/ref-type&gt;&lt;contributors&gt;&lt;authors&gt;&lt;author&gt;New Climate Economy,&lt;/author&gt;&lt;/authors&gt;&lt;/contributors&gt;&lt;titles&gt;&lt;title&gt;Better Growth, Better Climate&lt;/title&gt;&lt;/titles&gt;&lt;dates&gt;&lt;year&gt;2014&lt;/year&gt;&lt;/dates&gt;&lt;pub-location&gt;New York&lt;/pub-location&gt;&lt;publisher&gt;The Global Commission on the Economy and Climate&lt;/publisher&gt;&lt;urls&gt;&lt;/urls&gt;&lt;/record&gt;&lt;/Cite&gt;&lt;/EndNote&gt;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260,261</w:t>
      </w:r>
      <w:r w:rsidR="00E13392">
        <w:rPr>
          <w:rFonts w:ascii="Calibri" w:hAnsi="Calibri" w:cs="Times New Roman"/>
          <w:sz w:val="22"/>
        </w:rPr>
        <w:fldChar w:fldCharType="end"/>
      </w:r>
      <w:r>
        <w:rPr>
          <w:rFonts w:ascii="Calibri" w:hAnsi="Calibri" w:cs="Times New Roman"/>
          <w:sz w:val="22"/>
        </w:rPr>
        <w:t xml:space="preserve"> The ‘insurance premium’ represented by this additional investment is very modest in relation to the potential costs that are being avoided, even without the offsetting health and other co-benefits such as those described above. To achieve both the requisite level of decarbonisation whilst meeting increasing global demand for energy, the IEA (2014a) estimates that investments in low-carbon technologies and energy efficiency must account for around 90% of energy system investment by 2035.</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&lt;EndNote&gt;&lt;Cite&gt;&lt;Author&gt;International Energy Agency&lt;/Author&gt;&lt;Year&gt;2014&lt;/Year&gt;&lt;RecNum&gt;950&lt;/RecNum&gt;&lt;DisplayText&gt;&lt;style face="superscript"&gt;262&lt;/style&gt;&lt;/DisplayText&gt;&lt;record&gt;&lt;rec-number&gt;950&lt;/rec-number&gt;&lt;foreign-keys&gt;&lt;key app="EN" db-id="wtftd20rmszxx0ettxy5exwdf90wv22s2dsf" timestamp="1419212983"&gt;950&lt;/key&gt;&lt;/foreign-keys&gt;&lt;ref-type name="Government Document"&gt;46&lt;/ref-type&gt;&lt;contributors&gt;&lt;authors&gt;&lt;author&gt;International Energy Agency,&lt;/author&gt;&lt;/authors&gt;&lt;/contributors&gt;&lt;titles&gt;&lt;title&gt;World Energy Investment Outlook&lt;/title&gt;&lt;/titles&gt;&lt;dates&gt;&lt;year&gt;2014&lt;/year&gt;&lt;/dates&gt;&lt;pub-location&gt;Paris&lt;/pub-location&gt;&lt;urls&gt;&lt;/urls&gt;&lt;/record&gt;&lt;/Cite&gt;&lt;/EndNote&gt;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262</w:t>
      </w:r>
      <w:r w:rsidR="00E13392">
        <w:rPr>
          <w:rFonts w:ascii="Calibri" w:hAnsi="Calibri" w:cs="Times New Roman"/>
          <w:sz w:val="22"/>
        </w:rPr>
        <w:fldChar w:fldCharType="end"/>
      </w:r>
      <w:r>
        <w:rPr>
          <w:rFonts w:ascii="Calibri" w:hAnsi="Calibri"/>
        </w:rPr>
        <w:t xml:space="preserve"> </w:t>
      </w:r>
      <w:r>
        <w:rPr>
          <w:rFonts w:ascii="Calibri" w:hAnsi="Calibri" w:cs="Times New Roman"/>
          <w:sz w:val="22"/>
        </w:rPr>
        <w:t>Currently, this value is around 23%.</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&lt;EndNote&gt;&lt;Cite&gt;&lt;Author&gt;International Energy Agency&lt;/Author&gt;&lt;Year&gt;2014&lt;/Year&gt;&lt;RecNum&gt;950&lt;/RecNum&gt;&lt;DisplayText&gt;&lt;style face="superscript"&gt;262&lt;/style&gt;&lt;/DisplayText&gt;&lt;record&gt;&lt;rec-number&gt;950&lt;/rec-number&gt;&lt;foreign-keys&gt;&lt;key app="EN" db-id="wtftd20rmszxx0ettxy5exwdf90wv22s2dsf" timestamp="1419212983"&gt;950&lt;/key&gt;&lt;/foreign-keys&gt;&lt;ref-type name="Government Document"&gt;46&lt;/ref-type&gt;&lt;contributors&gt;&lt;authors&gt;&lt;author&gt;International Energy Agency,&lt;/author&gt;&lt;/authors&gt;&lt;/contributors&gt;&lt;titles&gt;&lt;title&gt;World Energy Investment Outlook&lt;/title&gt;&lt;/titles&gt;&lt;dates&gt;&lt;year&gt;2014&lt;/year&gt;&lt;/dates&gt;&lt;pub-location&gt;Paris&lt;/pub-location&gt;&lt;urls&gt;&lt;/urls&gt;&lt;/record&gt;&lt;/Cite&gt;&lt;/EndNote&gt;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262</w:t>
      </w:r>
      <w:r w:rsidR="00E13392">
        <w:rPr>
          <w:rFonts w:ascii="Calibri" w:hAnsi="Calibri" w:cs="Times New Roman"/>
          <w:sz w:val="22"/>
        </w:rPr>
        <w:fldChar w:fldCharType="end"/>
      </w:r>
      <w:r>
        <w:rPr>
          <w:rFonts w:ascii="Calibri" w:hAnsi="Calibri" w:cs="Times New Roman"/>
          <w:sz w:val="22"/>
        </w:rPr>
        <w:t xml:space="preserve"> </w:t>
      </w:r>
    </w:p>
    <w:p w:rsidR="00DC4C4E" w:rsidRDefault="00DC4C4E" w:rsidP="00DC4C4E">
      <w:pPr>
        <w:rPr>
          <w:rFonts w:ascii="Calibri" w:hAnsi="Calibri"/>
        </w:rPr>
      </w:pPr>
    </w:p>
    <w:p w:rsidR="00DC4C4E" w:rsidRDefault="00DC4C4E" w:rsidP="00DC4C4E">
      <w:pPr>
        <w:jc w:val="both"/>
        <w:rPr>
          <w:rFonts w:ascii="Calibri" w:hAnsi="Calibri" w:cs="Times New Roman"/>
          <w:sz w:val="22"/>
        </w:rPr>
      </w:pPr>
      <w:r>
        <w:rPr>
          <w:rFonts w:ascii="Calibri" w:hAnsi="Calibri" w:cs="Times New Roman"/>
          <w:sz w:val="22"/>
        </w:rPr>
        <w:t>Estimates for the investment required for adaptation measures to protect against climate impacts to which the world is already committed are limited. The most comprehensive global estimate thus far was produced by the World Bank (2010), which estimates the annual global cost of adaptation even on a 2°C trajectory to be $70-100 billion by 2050.</w:t>
      </w:r>
      <w:r w:rsidR="00E13392">
        <w:rPr>
          <w:rFonts w:ascii="Calibri" w:hAnsi="Calibri" w:cs="Times New Roman"/>
          <w:sz w:val="22"/>
        </w:rPr>
        <w:fldChar w:fldCharType="begin"/>
      </w:r>
      <w:r w:rsidR="00723833">
        <w:rPr>
          <w:rFonts w:ascii="Calibri" w:hAnsi="Calibri" w:cs="Times New Roman"/>
          <w:sz w:val="22"/>
        </w:rPr>
        <w:instrText xml:space="preserve"> ADDIN EN.CITE &lt;EndNote&gt;&lt;Cite&gt;&lt;Author&gt;World Bank&lt;/Author&gt;&lt;Year&gt;2010&lt;/Year&gt;&lt;RecNum&gt;995&lt;/RecNum&gt;&lt;DisplayText&gt;&lt;style face="superscript"&gt;171&lt;/style&gt;&lt;/DisplayText&gt;&lt;record&gt;&lt;rec-number&gt;995&lt;/rec-number&gt;&lt;foreign-keys&gt;&lt;key app="EN" db-id="wtftd20rmszxx0ettxy5exwdf90wv22s2dsf" timestamp="1419212983"&gt;995&lt;/key&gt;&lt;/foreign-keys&gt;&lt;ref-type name="Report"&gt;27&lt;/ref-type&gt;&lt;contributors&gt;&lt;authors&gt;&lt;author&gt;World Bank,&lt;/author&gt;&lt;/authors&gt;&lt;/contributors&gt;&lt;titles&gt;&lt;title&gt;The Costs to Developing Countries of Adapting to Climate Change: New Methods and Estimates&lt;/title&gt;&lt;/titles&gt;&lt;dates&gt;&lt;year&gt;2010&lt;/year&gt;&lt;/dates&gt;&lt;pub-location&gt;Washington D.C.&lt;/pub-location&gt;&lt;urls&gt;&lt;/urls&gt;&lt;/record&gt;&lt;/Cite&gt;&lt;Cite&gt;&lt;Author&gt;World Bank&lt;/Author&gt;&lt;Year&gt;2010&lt;/Year&gt;&lt;RecNum&gt;995&lt;/RecNum&gt;&lt;record&gt;&lt;rec-number&gt;995&lt;/rec-number&gt;&lt;foreign-keys&gt;&lt;key app="EN" db-id="wtftd20rmszxx0ettxy5exwdf90wv22s2dsf" timestamp="1419212983"&gt;995&lt;/key&gt;&lt;/foreign-keys&gt;&lt;ref-type name="Report"&gt;27&lt;/ref-type&gt;&lt;contributors&gt;&lt;authors&gt;&lt;author&gt;World Bank,&lt;/author&gt;&lt;/authors&gt;&lt;/contributors&gt;&lt;titles&gt;&lt;title&gt;The Costs to Developing Countries of Adapting to Climate Change: New Methods and Estimates&lt;/title&gt;&lt;/titles&gt;&lt;dates&gt;&lt;year&gt;2010&lt;/year&gt;&lt;/dates&gt;&lt;pub-location&gt;Washington D.C.&lt;/pub-location&gt;&lt;urls&gt;&lt;/urls&gt;&lt;/record&gt;&lt;/Cite&gt;&lt;/EndNote&gt;</w:instrText>
      </w:r>
      <w:r w:rsidR="00E13392">
        <w:rPr>
          <w:rFonts w:ascii="Calibri" w:hAnsi="Calibri" w:cs="Times New Roman"/>
          <w:sz w:val="22"/>
        </w:rPr>
        <w:fldChar w:fldCharType="separate"/>
      </w:r>
      <w:r w:rsidR="00723833" w:rsidRPr="00723833">
        <w:rPr>
          <w:rFonts w:ascii="Calibri" w:hAnsi="Calibri" w:cs="Times New Roman"/>
          <w:noProof/>
          <w:sz w:val="22"/>
          <w:vertAlign w:val="superscript"/>
        </w:rPr>
        <w:t>171</w:t>
      </w:r>
      <w:r w:rsidR="00E13392">
        <w:rPr>
          <w:rFonts w:ascii="Calibri" w:hAnsi="Calibri" w:cs="Times New Roman"/>
          <w:sz w:val="22"/>
        </w:rPr>
        <w:fldChar w:fldCharType="end"/>
      </w:r>
      <w:r>
        <w:rPr>
          <w:rFonts w:ascii="Calibri" w:hAnsi="Calibri" w:cs="Times New Roman"/>
          <w:sz w:val="22"/>
        </w:rPr>
        <w:t xml:space="preserve"> </w:t>
      </w:r>
    </w:p>
    <w:p w:rsidR="00DC4C4E" w:rsidRDefault="00DC4C4E" w:rsidP="00DC4C4E">
      <w:pPr>
        <w:jc w:val="both"/>
        <w:rPr>
          <w:rFonts w:ascii="Calibri" w:hAnsi="Calibri" w:cs="Times New Roman"/>
          <w:sz w:val="22"/>
        </w:rPr>
      </w:pPr>
    </w:p>
    <w:p w:rsidR="00DC4C4E" w:rsidRDefault="00DC4C4E" w:rsidP="00DC4C4E">
      <w:pPr>
        <w:jc w:val="both"/>
        <w:rPr>
          <w:rFonts w:ascii="Calibri" w:hAnsi="Calibri"/>
        </w:rPr>
      </w:pPr>
      <w:r>
        <w:rPr>
          <w:rFonts w:ascii="Calibri" w:hAnsi="Calibri" w:cs="Times New Roman"/>
          <w:sz w:val="22"/>
        </w:rPr>
        <w:t>Estimating existing expenditure on adaptation actions is not much easier than estimating the possible future costs of adaptation. Buchner et al. (2013) estimate for 2012 around $22 billion was invested in activities with an explicit ‘adaptation’ objective.</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&lt;EndNote&gt;&lt;Cite&gt;&lt;Author&gt;Buchner&lt;/Author&gt;&lt;Year&gt;2013&lt;/Year&gt;&lt;RecNum&gt;923&lt;/RecNum&gt;&lt;DisplayText&gt;&lt;style face="superscript"&gt;263&lt;/style&gt;&lt;/DisplayText&gt;&lt;record&gt;&lt;rec-number&gt;923&lt;/rec-number&gt;&lt;foreign-keys&gt;&lt;key app="EN" db-id="wtftd20rmszxx0ettxy5exwdf90wv22s2dsf" timestamp="1419212983"&gt;923&lt;/key&gt;&lt;/foreign-keys&gt;&lt;ref-type name="Report"&gt;27&lt;/ref-type&gt;&lt;contributors&gt;&lt;authors&gt;&lt;author&gt;Buchner, B.&lt;/author&gt;&lt;author&gt;Herve-Mignucci, M.&lt;/author&gt;&lt;author&gt;Trabacchi, C.&lt;/author&gt;&lt;author&gt;Wilkinson, J.&lt;/author&gt;&lt;author&gt;Stadelmann, M.&lt;/author&gt;&lt;author&gt;Boyd, R. &lt;/author&gt;&lt;author&gt;Mazza, F. &lt;/author&gt;&lt;author&gt;Falconer, A. &lt;/author&gt;&lt;author&gt;Micale, V. &lt;/author&gt;&lt;/authors&gt;&lt;/contributors&gt;&lt;titles&gt;&lt;title&gt;The Global Landscape of Climate Finance&lt;/title&gt;&lt;/titles&gt;&lt;dates&gt;&lt;year&gt;2013&lt;/year&gt;&lt;/dates&gt;&lt;pub-location&gt;San Francisco&lt;/pub-location&gt;&lt;publisher&gt;Climate Policy Initiative&lt;/publisher&gt;&lt;urls&gt;&lt;/urls&gt;&lt;/record&gt;&lt;/Cite&gt;&lt;/EndNote&gt;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263</w:t>
      </w:r>
      <w:r w:rsidR="00E13392">
        <w:rPr>
          <w:rFonts w:ascii="Calibri" w:hAnsi="Calibri" w:cs="Times New Roman"/>
          <w:sz w:val="22"/>
        </w:rPr>
        <w:fldChar w:fldCharType="end"/>
      </w:r>
      <w:r>
        <w:rPr>
          <w:rFonts w:ascii="Calibri" w:hAnsi="Calibri" w:cs="Times New Roman"/>
          <w:sz w:val="22"/>
        </w:rPr>
        <w:t xml:space="preserve"> However, the lack of common agreement on what constitutes an ‘adaptation’ measure over other investment classifications and objectives mean understanding of existing financial flows to adaptation measures is poor. Even so, whilst the magnitude is difficult to determine, it is reasonable to conclude that existing financial flows for climate change adaptation are not sufficient to match long-term requirements, even for impacts resulting from current and past emissions.</w:t>
      </w:r>
    </w:p>
    <w:p w:rsidR="00DC4C4E" w:rsidRDefault="00DC4C4E" w:rsidP="00DC4C4E">
      <w:pPr>
        <w:spacing w:after="200"/>
        <w:ind w:left="720"/>
        <w:jc w:val="both"/>
        <w:rPr>
          <w:rFonts w:ascii="Calibri" w:hAnsi="Calibri"/>
        </w:rPr>
      </w:pPr>
    </w:p>
    <w:p w:rsidR="00DC4C4E" w:rsidRDefault="00DC4C4E" w:rsidP="00DC4C4E">
      <w:pPr>
        <w:pStyle w:val="Heading2"/>
      </w:pPr>
      <w:bookmarkStart w:id="129" w:name="_Toc402956400"/>
      <w:bookmarkStart w:id="130" w:name="_Toc415931405"/>
      <w:bookmarkStart w:id="131" w:name="_Toc417502070"/>
      <w:r>
        <w:t>Macroeconomic implications of climate change mitigation and adaptation</w:t>
      </w:r>
      <w:bookmarkEnd w:id="129"/>
      <w:bookmarkEnd w:id="130"/>
      <w:bookmarkEnd w:id="131"/>
    </w:p>
    <w:p w:rsidR="00DC4C4E" w:rsidRDefault="00DC4C4E" w:rsidP="00DC4C4E">
      <w:pPr>
        <w:rPr>
          <w:rFonts w:ascii="Calibri" w:hAnsi="Calibri" w:cs="Times New Roman"/>
          <w:i/>
          <w:sz w:val="22"/>
        </w:rPr>
      </w:pPr>
    </w:p>
    <w:p w:rsidR="00DC4C4E" w:rsidRDefault="00DC4C4E" w:rsidP="004349AE">
      <w:pPr>
        <w:pStyle w:val="Heading3"/>
      </w:pPr>
      <w:bookmarkStart w:id="132" w:name="_Toc402956401"/>
      <w:bookmarkStart w:id="133" w:name="_Toc415931406"/>
      <w:bookmarkStart w:id="134" w:name="_Toc417502071"/>
      <w:r>
        <w:lastRenderedPageBreak/>
        <w:t>The macroeconomic impacts of climate change</w:t>
      </w:r>
      <w:bookmarkEnd w:id="132"/>
      <w:bookmarkEnd w:id="133"/>
      <w:bookmarkEnd w:id="134"/>
    </w:p>
    <w:p w:rsidR="00DC4C4E" w:rsidRDefault="00DC4C4E" w:rsidP="00DC4C4E">
      <w:pPr>
        <w:jc w:val="both"/>
        <w:rPr>
          <w:rFonts w:ascii="Calibri" w:hAnsi="Calibri"/>
        </w:rPr>
      </w:pPr>
      <w:r>
        <w:rPr>
          <w:rFonts w:ascii="Calibri" w:hAnsi="Calibri" w:cs="Times New Roman"/>
          <w:sz w:val="22"/>
        </w:rPr>
        <w:t>Attempts to estimate the marginal ‘social cost’ of CO</w:t>
      </w:r>
      <w:r>
        <w:rPr>
          <w:rFonts w:ascii="Calibri" w:hAnsi="Calibri" w:cs="Times New Roman"/>
          <w:sz w:val="22"/>
          <w:vertAlign w:val="subscript"/>
        </w:rPr>
        <w:t>2</w:t>
      </w:r>
      <w:r>
        <w:rPr>
          <w:rFonts w:ascii="Calibri" w:hAnsi="Calibri" w:cs="Times New Roman"/>
          <w:sz w:val="22"/>
        </w:rPr>
        <w:t xml:space="preserve"> emissions in the absence of mitigation or adaptation measures have produced an extremely wide range of results, spanning at least three orders of magnitude.</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&lt;EndNote&gt;&lt;Cite&gt;&lt;Author&gt;Watkiss&lt;/Author&gt;&lt;Year&gt;2008&lt;/Year&gt;&lt;RecNum&gt;919&lt;/RecNum&gt;&lt;DisplayText&gt;&lt;style face="superscript"&gt;264&lt;/style&gt;&lt;/DisplayText&gt;&lt;record&gt;&lt;rec-number&gt;919&lt;/rec-number&gt;&lt;foreign-keys&gt;&lt;key app="EN" db-id="wtftd20rmszxx0ettxy5exwdf90wv22s2dsf" timestamp="1419212983"&gt;919&lt;/key&gt;&lt;/foreign-keys&gt;&lt;ref-type name="Journal Article"&gt;17&lt;/ref-type&gt;&lt;contributors&gt;&lt;authors&gt;&lt;author&gt;Watkiss, Paul.&lt;/author&gt;&lt;author&gt;Downing, Thomas.&lt;/author&gt;&lt;/authors&gt;&lt;/contributors&gt;&lt;titles&gt;&lt;title&gt;The social cost of carbon: Valuation estimates and their use in UK policy&lt;/title&gt;&lt;secondary-title&gt;The Integrated Assessment Journal&lt;/secondary-title&gt;&lt;/titles&gt;&lt;periodical&gt;&lt;full-title&gt;The Integrated Assessment Journal&lt;/full-title&gt;&lt;/periodical&gt;&lt;pages&gt;85-105&lt;/pages&gt;&lt;volume&gt;8&lt;/volume&gt;&lt;number&gt;1&lt;/number&gt;&lt;dates&gt;&lt;year&gt;2008&lt;/year&gt;&lt;/dates&gt;&lt;urls&gt;&lt;/urls&gt;&lt;/record&gt;&lt;/Cite&gt;&lt;Cite&gt;&lt;Author&gt;Watkiss&lt;/Author&gt;&lt;Year&gt;2008&lt;/Year&gt;&lt;RecNum&gt;919&lt;/RecNum&gt;&lt;record&gt;&lt;rec-number&gt;919&lt;/rec-number&gt;&lt;foreign-keys&gt;&lt;key app="EN" db-id="wtftd20rmszxx0ettxy5exwdf90wv22s2dsf" timestamp="1419212983"&gt;919&lt;/key&gt;&lt;/foreign-keys&gt;&lt;ref-type name="Journal Article"&gt;17&lt;/ref-type&gt;&lt;contributors&gt;&lt;authors&gt;&lt;author&gt;Watkiss, Paul.&lt;/author&gt;&lt;author&gt;Downing, Thomas.&lt;/author&gt;&lt;/authors&gt;&lt;/contributors&gt;&lt;titles&gt;&lt;title&gt;The social cost of carbon: Valuation estimates and their use in UK policy&lt;/title&gt;&lt;secondary-title&gt;The Integrated Assessment Journal&lt;/secondary-title&gt;&lt;/titles&gt;&lt;periodical&gt;&lt;full-title&gt;The Integrated Assessment Journal&lt;/full-title&gt;&lt;/periodical&gt;&lt;pages&gt;85-105&lt;/pages&gt;&lt;volume&gt;8&lt;/volume&gt;&lt;number&gt;1&lt;/number&gt;&lt;dates&gt;&lt;year&gt;2008&lt;/year&gt;&lt;/dates&gt;&lt;urls&gt;&lt;/urls&gt;&lt;/record&gt;&lt;/Cite&gt;&lt;/EndNote&gt;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264</w:t>
      </w:r>
      <w:r w:rsidR="00E13392">
        <w:rPr>
          <w:rFonts w:ascii="Calibri" w:hAnsi="Calibri" w:cs="Times New Roman"/>
          <w:sz w:val="22"/>
        </w:rPr>
        <w:fldChar w:fldCharType="end"/>
      </w:r>
      <w:r>
        <w:rPr>
          <w:rFonts w:ascii="Calibri" w:hAnsi="Calibri" w:cs="Times New Roman"/>
          <w:sz w:val="22"/>
        </w:rPr>
        <w:t xml:space="preserve"> Table 5.1 illustrates the multifaceted, diverse and potentially extreme nature of the impacts involved. </w:t>
      </w:r>
    </w:p>
    <w:p w:rsidR="00DC4C4E" w:rsidRDefault="00DC4C4E" w:rsidP="00DC4C4E">
      <w:pPr>
        <w:rPr>
          <w:rFonts w:ascii="Calibri" w:hAnsi="Calibri" w:cs="Times New Roman"/>
          <w:b/>
          <w:sz w:val="20"/>
        </w:rPr>
      </w:pPr>
    </w:p>
    <w:p w:rsidR="00D022A9" w:rsidRPr="00D022A9" w:rsidRDefault="00D022A9" w:rsidP="00D022A9">
      <w:pPr>
        <w:spacing w:after="160" w:line="259" w:lineRule="auto"/>
        <w:rPr>
          <w:rFonts w:ascii="Calibri" w:eastAsiaTheme="minorHAnsi" w:hAnsi="Calibri" w:cs="Times New Roman"/>
          <w:b/>
          <w:sz w:val="20"/>
          <w:szCs w:val="22"/>
          <w:lang w:val="en-AU" w:eastAsia="en-US"/>
        </w:rPr>
      </w:pPr>
      <w:r w:rsidRPr="00D022A9">
        <w:rPr>
          <w:rFonts w:ascii="Calibri" w:eastAsiaTheme="minorHAnsi" w:hAnsi="Calibri" w:cs="Times New Roman"/>
          <w:i/>
          <w:sz w:val="20"/>
          <w:szCs w:val="22"/>
          <w:lang w:val="en-AU" w:eastAsia="en-US"/>
        </w:rPr>
        <w:t>Table 5.1:</w:t>
      </w:r>
      <w:r w:rsidRPr="00D022A9">
        <w:rPr>
          <w:rFonts w:ascii="Calibri" w:eastAsiaTheme="minorHAnsi" w:hAnsi="Calibri" w:cs="Times New Roman"/>
          <w:sz w:val="20"/>
          <w:szCs w:val="22"/>
          <w:lang w:val="en-AU" w:eastAsia="en-US"/>
        </w:rPr>
        <w:t xml:space="preserve"> Social Cost of CO</w:t>
      </w:r>
      <w:r w:rsidRPr="00D022A9">
        <w:rPr>
          <w:rFonts w:ascii="Calibri" w:eastAsiaTheme="minorHAnsi" w:hAnsi="Calibri" w:cs="Times New Roman"/>
          <w:sz w:val="20"/>
          <w:szCs w:val="22"/>
          <w:vertAlign w:val="subscript"/>
          <w:lang w:val="en-AU" w:eastAsia="en-US"/>
        </w:rPr>
        <w:t>2</w:t>
      </w:r>
      <w:r w:rsidRPr="00D022A9">
        <w:rPr>
          <w:rFonts w:ascii="Calibri" w:eastAsiaTheme="minorHAnsi" w:hAnsi="Calibri" w:cs="Times New Roman"/>
          <w:sz w:val="20"/>
          <w:szCs w:val="22"/>
          <w:lang w:val="en-AU" w:eastAsia="en-US"/>
        </w:rPr>
        <w:t xml:space="preserve"> Emissions - Assessment Framework (Source: Grubb, 2014)</w:t>
      </w:r>
      <w:r w:rsidR="00E13392" w:rsidRPr="00D022A9">
        <w:rPr>
          <w:rFonts w:ascii="Calibri" w:eastAsiaTheme="minorHAnsi" w:hAnsi="Calibri" w:cs="Times New Roman"/>
          <w:b/>
          <w:sz w:val="20"/>
          <w:szCs w:val="22"/>
          <w:lang w:val="en-AU" w:eastAsia="en-US"/>
        </w:rPr>
        <w:fldChar w:fldCharType="begin"/>
      </w:r>
      <w:r w:rsidR="009F6910">
        <w:rPr>
          <w:rFonts w:ascii="Calibri" w:eastAsiaTheme="minorHAnsi" w:hAnsi="Calibri" w:cs="Times New Roman"/>
          <w:b/>
          <w:sz w:val="20"/>
          <w:szCs w:val="22"/>
          <w:lang w:val="en-AU" w:eastAsia="en-US"/>
        </w:rPr>
        <w:instrText xml:space="preserve"> ADDIN EN.CITE &lt;EndNote&gt;&lt;Cite&gt;&lt;Author&gt;Grubb&lt;/Author&gt;&lt;Year&gt;2014&lt;/Year&gt;&lt;RecNum&gt;936&lt;/RecNum&gt;&lt;DisplayText&gt;&lt;style face="superscript"&gt;265&lt;/style&gt;&lt;/DisplayText&gt;&lt;record&gt;&lt;rec-number&gt;936&lt;/rec-number&gt;&lt;foreign-keys&gt;&lt;key app="EN" db-id="wtftd20rmszxx0ettxy5exwdf90wv22s2dsf" timestamp="1419212983"&gt;936&lt;/key&gt;&lt;/foreign-keys&gt;&lt;ref-type name="Book"&gt;6&lt;/ref-type&gt;&lt;contributors&gt;&lt;authors&gt;&lt;author&gt;Grubb, M.&lt;/author&gt;&lt;/authors&gt;&lt;/contributors&gt;&lt;titles&gt;&lt;title&gt;Planetary Economics: Energy, Climate Change and the Three Domains of Sustainable Development&lt;/title&gt;&lt;/titles&gt;&lt;dates&gt;&lt;year&gt;2014&lt;/year&gt;&lt;/dates&gt;&lt;pub-location&gt;London&lt;/pub-location&gt;&lt;publisher&gt;Routledge&lt;/publisher&gt;&lt;urls&gt;&lt;/urls&gt;&lt;/record&gt;&lt;/Cite&gt;&lt;/EndNote&gt;</w:instrText>
      </w:r>
      <w:r w:rsidR="00E13392" w:rsidRPr="00D022A9">
        <w:rPr>
          <w:rFonts w:ascii="Calibri" w:eastAsiaTheme="minorHAnsi" w:hAnsi="Calibri" w:cs="Times New Roman"/>
          <w:b/>
          <w:sz w:val="20"/>
          <w:szCs w:val="22"/>
          <w:lang w:val="en-AU" w:eastAsia="en-US"/>
        </w:rPr>
        <w:fldChar w:fldCharType="separate"/>
      </w:r>
      <w:r w:rsidR="009F6910" w:rsidRPr="009F6910">
        <w:rPr>
          <w:rFonts w:ascii="Calibri" w:eastAsiaTheme="minorHAnsi" w:hAnsi="Calibri" w:cs="Times New Roman"/>
          <w:b/>
          <w:noProof/>
          <w:sz w:val="20"/>
          <w:szCs w:val="22"/>
          <w:vertAlign w:val="superscript"/>
          <w:lang w:val="en-AU" w:eastAsia="en-US"/>
        </w:rPr>
        <w:t>265</w:t>
      </w:r>
      <w:r w:rsidR="00E13392" w:rsidRPr="00D022A9">
        <w:rPr>
          <w:rFonts w:ascii="Calibri" w:eastAsiaTheme="minorHAnsi" w:hAnsi="Calibri" w:cs="Times New Roman"/>
          <w:b/>
          <w:sz w:val="20"/>
          <w:szCs w:val="22"/>
          <w:lang w:val="en-AU" w:eastAsia="en-US"/>
        </w:rPr>
        <w:fldChar w:fldCharType="end"/>
      </w:r>
    </w:p>
    <w:p w:rsidR="00D022A9" w:rsidRPr="00D022A9" w:rsidRDefault="00D022A9" w:rsidP="00D022A9">
      <w:pPr>
        <w:spacing w:after="160" w:line="259" w:lineRule="auto"/>
        <w:jc w:val="center"/>
        <w:rPr>
          <w:rFonts w:ascii="Calibri" w:eastAsiaTheme="minorHAnsi" w:hAnsi="Calibri" w:cs="Times New Roman"/>
          <w:b/>
          <w:sz w:val="20"/>
          <w:szCs w:val="22"/>
          <w:lang w:val="en-AU" w:eastAsia="en-US"/>
        </w:rPr>
      </w:pPr>
    </w:p>
    <w:tbl>
      <w:tblPr>
        <w:tblW w:w="0" w:type="auto"/>
        <w:tblLook w:val="04A0" w:firstRow="1" w:lastRow="0" w:firstColumn="1" w:lastColumn="0" w:noHBand="0" w:noVBand="1"/>
      </w:tblPr>
      <w:tblGrid>
        <w:gridCol w:w="643"/>
        <w:gridCol w:w="1679"/>
        <w:gridCol w:w="2363"/>
        <w:gridCol w:w="2534"/>
        <w:gridCol w:w="2023"/>
      </w:tblGrid>
      <w:tr w:rsidR="00D022A9" w:rsidRPr="00D022A9" w:rsidTr="00FE56B7">
        <w:trPr>
          <w:trHeight w:val="331"/>
        </w:trPr>
        <w:tc>
          <w:tcPr>
            <w:tcW w:w="2235" w:type="dxa"/>
            <w:gridSpan w:val="2"/>
            <w:vMerge w:val="restart"/>
            <w:tcBorders>
              <w:top w:val="nil"/>
              <w:left w:val="nil"/>
              <w:bottom w:val="single" w:sz="4" w:space="0" w:color="auto"/>
              <w:right w:val="single" w:sz="4" w:space="0" w:color="auto"/>
            </w:tcBorders>
            <w:vAlign w:val="center"/>
          </w:tcPr>
          <w:p w:rsidR="00D022A9" w:rsidRPr="00D022A9" w:rsidRDefault="00D022A9" w:rsidP="00D022A9">
            <w:pPr>
              <w:spacing w:after="160" w:line="256" w:lineRule="auto"/>
              <w:jc w:val="center"/>
              <w:rPr>
                <w:rFonts w:eastAsiaTheme="minorHAnsi"/>
                <w:sz w:val="20"/>
                <w:lang w:val="en-AU" w:eastAsia="en-US"/>
              </w:rPr>
            </w:pPr>
          </w:p>
        </w:tc>
        <w:tc>
          <w:tcPr>
            <w:tcW w:w="7007" w:type="dxa"/>
            <w:gridSpan w:val="3"/>
            <w:tcBorders>
              <w:top w:val="nil"/>
              <w:left w:val="single" w:sz="4" w:space="0" w:color="auto"/>
              <w:bottom w:val="nil"/>
              <w:right w:val="nil"/>
            </w:tcBorders>
            <w:vAlign w:val="center"/>
            <w:hideMark/>
          </w:tcPr>
          <w:p w:rsidR="00D022A9" w:rsidRPr="00D022A9" w:rsidRDefault="00D022A9" w:rsidP="00D022A9">
            <w:pPr>
              <w:spacing w:after="160" w:line="256" w:lineRule="auto"/>
              <w:jc w:val="center"/>
              <w:rPr>
                <w:rFonts w:ascii="Calibri" w:eastAsiaTheme="minorHAnsi" w:hAnsi="Calibri"/>
                <w:b/>
                <w:sz w:val="20"/>
                <w:lang w:val="en-AU" w:eastAsia="en-US"/>
              </w:rPr>
            </w:pPr>
            <w:r w:rsidRPr="00D022A9">
              <w:rPr>
                <w:rFonts w:ascii="Calibri" w:eastAsiaTheme="minorHAnsi" w:hAnsi="Calibri"/>
                <w:b/>
                <w:sz w:val="20"/>
                <w:szCs w:val="22"/>
                <w:lang w:val="en-AU" w:eastAsia="en-US"/>
              </w:rPr>
              <w:t>Which kind of impacts?</w:t>
            </w:r>
          </w:p>
        </w:tc>
      </w:tr>
      <w:tr w:rsidR="00D022A9" w:rsidRPr="00D022A9" w:rsidTr="00FE56B7">
        <w:tc>
          <w:tcPr>
            <w:tcW w:w="0" w:type="auto"/>
            <w:gridSpan w:val="2"/>
            <w:vMerge/>
            <w:tcBorders>
              <w:top w:val="nil"/>
              <w:left w:val="nil"/>
              <w:bottom w:val="single" w:sz="4" w:space="0" w:color="auto"/>
              <w:right w:val="single" w:sz="4" w:space="0" w:color="auto"/>
            </w:tcBorders>
            <w:vAlign w:val="center"/>
            <w:hideMark/>
          </w:tcPr>
          <w:p w:rsidR="00D022A9" w:rsidRPr="00D022A9" w:rsidRDefault="00D022A9" w:rsidP="00D022A9">
            <w:pPr>
              <w:spacing w:after="160" w:line="256" w:lineRule="auto"/>
              <w:rPr>
                <w:rFonts w:eastAsiaTheme="minorHAnsi"/>
                <w:sz w:val="20"/>
                <w:lang w:val="en-AU" w:eastAsia="en-US"/>
              </w:rPr>
            </w:pPr>
          </w:p>
        </w:tc>
        <w:tc>
          <w:tcPr>
            <w:tcW w:w="2409" w:type="dxa"/>
            <w:tcBorders>
              <w:top w:val="nil"/>
              <w:left w:val="single" w:sz="4" w:space="0" w:color="auto"/>
              <w:bottom w:val="nil"/>
              <w:right w:val="nil"/>
            </w:tcBorders>
            <w:shd w:val="clear" w:color="auto" w:fill="D9D9D9" w:themeFill="background1" w:themeFillShade="D9"/>
            <w:vAlign w:val="center"/>
            <w:hideMark/>
          </w:tcPr>
          <w:p w:rsidR="00D022A9" w:rsidRPr="00D022A9" w:rsidRDefault="00D022A9" w:rsidP="00D022A9">
            <w:pPr>
              <w:spacing w:after="160" w:line="256" w:lineRule="auto"/>
              <w:jc w:val="center"/>
              <w:rPr>
                <w:rFonts w:ascii="Calibri" w:eastAsiaTheme="minorHAnsi" w:hAnsi="Calibri"/>
                <w:b/>
                <w:sz w:val="20"/>
                <w:lang w:val="en-AU" w:eastAsia="en-US"/>
              </w:rPr>
            </w:pPr>
            <w:r w:rsidRPr="00D022A9">
              <w:rPr>
                <w:rFonts w:ascii="Calibri" w:eastAsiaTheme="minorHAnsi" w:hAnsi="Calibri"/>
                <w:b/>
                <w:sz w:val="20"/>
                <w:szCs w:val="22"/>
                <w:lang w:val="en-AU" w:eastAsia="en-US"/>
              </w:rPr>
              <w:t>Market</w:t>
            </w:r>
          </w:p>
        </w:tc>
        <w:tc>
          <w:tcPr>
            <w:tcW w:w="2552" w:type="dxa"/>
            <w:shd w:val="clear" w:color="auto" w:fill="D9D9D9" w:themeFill="background1" w:themeFillShade="D9"/>
            <w:vAlign w:val="center"/>
            <w:hideMark/>
          </w:tcPr>
          <w:p w:rsidR="00D022A9" w:rsidRPr="00D022A9" w:rsidRDefault="00D022A9" w:rsidP="00D022A9">
            <w:pPr>
              <w:spacing w:after="160" w:line="256" w:lineRule="auto"/>
              <w:jc w:val="center"/>
              <w:rPr>
                <w:rFonts w:ascii="Calibri" w:eastAsiaTheme="minorHAnsi" w:hAnsi="Calibri"/>
                <w:b/>
                <w:sz w:val="20"/>
                <w:lang w:val="en-AU" w:eastAsia="en-US"/>
              </w:rPr>
            </w:pPr>
            <w:r w:rsidRPr="00D022A9">
              <w:rPr>
                <w:rFonts w:ascii="Calibri" w:eastAsiaTheme="minorHAnsi" w:hAnsi="Calibri"/>
                <w:b/>
                <w:sz w:val="20"/>
                <w:szCs w:val="22"/>
                <w:lang w:val="en-AU" w:eastAsia="en-US"/>
              </w:rPr>
              <w:t>Non-market</w:t>
            </w:r>
          </w:p>
        </w:tc>
        <w:tc>
          <w:tcPr>
            <w:tcW w:w="2046" w:type="dxa"/>
            <w:shd w:val="clear" w:color="auto" w:fill="D9D9D9" w:themeFill="background1" w:themeFillShade="D9"/>
            <w:vAlign w:val="center"/>
            <w:hideMark/>
          </w:tcPr>
          <w:p w:rsidR="00D022A9" w:rsidRPr="00D022A9" w:rsidRDefault="00D022A9" w:rsidP="00D022A9">
            <w:pPr>
              <w:spacing w:after="160" w:line="256" w:lineRule="auto"/>
              <w:jc w:val="center"/>
              <w:rPr>
                <w:rFonts w:ascii="Calibri" w:eastAsiaTheme="minorHAnsi" w:hAnsi="Calibri"/>
                <w:b/>
                <w:sz w:val="20"/>
                <w:lang w:val="en-AU" w:eastAsia="en-US"/>
              </w:rPr>
            </w:pPr>
            <w:r w:rsidRPr="00D022A9">
              <w:rPr>
                <w:rFonts w:ascii="Calibri" w:eastAsiaTheme="minorHAnsi" w:hAnsi="Calibri"/>
                <w:b/>
                <w:sz w:val="20"/>
                <w:szCs w:val="22"/>
                <w:lang w:val="en-AU" w:eastAsia="en-US"/>
              </w:rPr>
              <w:t>Multiple stresses and socially contingent</w:t>
            </w:r>
          </w:p>
        </w:tc>
      </w:tr>
      <w:tr w:rsidR="00D022A9" w:rsidRPr="00D022A9" w:rsidTr="00FE56B7">
        <w:tc>
          <w:tcPr>
            <w:tcW w:w="534" w:type="dxa"/>
            <w:vMerge w:val="restart"/>
            <w:tcBorders>
              <w:top w:val="single" w:sz="4" w:space="0" w:color="auto"/>
              <w:left w:val="nil"/>
              <w:bottom w:val="nil"/>
              <w:right w:val="nil"/>
            </w:tcBorders>
            <w:textDirection w:val="btLr"/>
            <w:vAlign w:val="center"/>
            <w:hideMark/>
          </w:tcPr>
          <w:p w:rsidR="00D022A9" w:rsidRPr="00D022A9" w:rsidRDefault="00D022A9" w:rsidP="00D022A9">
            <w:pPr>
              <w:spacing w:after="160" w:line="256" w:lineRule="auto"/>
              <w:ind w:left="113" w:right="113"/>
              <w:jc w:val="center"/>
              <w:rPr>
                <w:rFonts w:ascii="Calibri" w:eastAsiaTheme="minorHAnsi" w:hAnsi="Calibri" w:cstheme="minorHAnsi"/>
                <w:b/>
                <w:sz w:val="20"/>
                <w:lang w:val="en-AU" w:eastAsia="en-US"/>
              </w:rPr>
            </w:pPr>
            <w:r w:rsidRPr="00D022A9">
              <w:rPr>
                <w:rFonts w:ascii="Calibri" w:eastAsiaTheme="minorHAnsi" w:hAnsi="Calibri" w:cstheme="minorHAnsi"/>
                <w:b/>
                <w:sz w:val="20"/>
                <w:szCs w:val="22"/>
                <w:lang w:val="en-AU" w:eastAsia="en-US"/>
              </w:rPr>
              <w:t>What kind of climate changes?</w:t>
            </w:r>
          </w:p>
        </w:tc>
        <w:tc>
          <w:tcPr>
            <w:tcW w:w="1701" w:type="dxa"/>
            <w:tcBorders>
              <w:top w:val="single" w:sz="4" w:space="0" w:color="auto"/>
              <w:left w:val="nil"/>
              <w:bottom w:val="nil"/>
              <w:right w:val="nil"/>
            </w:tcBorders>
            <w:shd w:val="clear" w:color="auto" w:fill="D9D9D9" w:themeFill="background1" w:themeFillShade="D9"/>
            <w:vAlign w:val="center"/>
            <w:hideMark/>
          </w:tcPr>
          <w:p w:rsidR="00D022A9" w:rsidRPr="00D022A9" w:rsidRDefault="00D022A9" w:rsidP="00D022A9">
            <w:pPr>
              <w:spacing w:after="160" w:line="256" w:lineRule="auto"/>
              <w:jc w:val="center"/>
              <w:rPr>
                <w:rFonts w:ascii="Calibri" w:eastAsiaTheme="minorHAnsi" w:hAnsi="Calibri"/>
                <w:b/>
                <w:sz w:val="20"/>
                <w:lang w:val="en-AU" w:eastAsia="en-US"/>
              </w:rPr>
            </w:pPr>
            <w:r w:rsidRPr="00D022A9">
              <w:rPr>
                <w:rFonts w:ascii="Calibri" w:eastAsiaTheme="minorHAnsi" w:hAnsi="Calibri"/>
                <w:b/>
                <w:sz w:val="20"/>
                <w:szCs w:val="22"/>
                <w:lang w:val="en-AU" w:eastAsia="en-US"/>
              </w:rPr>
              <w:t>Projection (trend)</w:t>
            </w:r>
          </w:p>
        </w:tc>
        <w:tc>
          <w:tcPr>
            <w:tcW w:w="2409" w:type="dxa"/>
            <w:shd w:val="clear" w:color="auto" w:fill="EDEDED" w:themeFill="accent3" w:themeFillTint="33"/>
            <w:vAlign w:val="center"/>
            <w:hideMark/>
          </w:tcPr>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Coastal protection</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Dryland loss</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Energy (heating &amp; cooling)</w:t>
            </w:r>
          </w:p>
        </w:tc>
        <w:tc>
          <w:tcPr>
            <w:tcW w:w="2552" w:type="dxa"/>
            <w:shd w:val="clear" w:color="auto" w:fill="E2EFD9" w:themeFill="accent6" w:themeFillTint="33"/>
            <w:vAlign w:val="center"/>
            <w:hideMark/>
          </w:tcPr>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Heat stress</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Wetland loss</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Ocean acidification</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Ecosystem migration/termination</w:t>
            </w:r>
          </w:p>
        </w:tc>
        <w:tc>
          <w:tcPr>
            <w:tcW w:w="2046" w:type="dxa"/>
            <w:shd w:val="clear" w:color="auto" w:fill="E69E90"/>
            <w:vAlign w:val="center"/>
            <w:hideMark/>
          </w:tcPr>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Displacement from coastal zones</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Regional systemic impacts</w:t>
            </w:r>
          </w:p>
        </w:tc>
      </w:tr>
      <w:tr w:rsidR="00D022A9" w:rsidRPr="00D022A9" w:rsidTr="00FE56B7">
        <w:tc>
          <w:tcPr>
            <w:tcW w:w="0" w:type="auto"/>
            <w:vMerge/>
            <w:tcBorders>
              <w:top w:val="single" w:sz="4" w:space="0" w:color="auto"/>
              <w:left w:val="nil"/>
              <w:bottom w:val="nil"/>
              <w:right w:val="nil"/>
            </w:tcBorders>
            <w:vAlign w:val="center"/>
            <w:hideMark/>
          </w:tcPr>
          <w:p w:rsidR="00D022A9" w:rsidRPr="00D022A9" w:rsidRDefault="00D022A9" w:rsidP="00D022A9">
            <w:pPr>
              <w:spacing w:after="160" w:line="256" w:lineRule="auto"/>
              <w:rPr>
                <w:rFonts w:ascii="Calibri" w:eastAsiaTheme="minorHAnsi" w:hAnsi="Calibri" w:cstheme="minorHAnsi"/>
                <w:b/>
                <w:sz w:val="20"/>
                <w:lang w:val="en-AU" w:eastAsia="en-US"/>
              </w:rPr>
            </w:pPr>
          </w:p>
        </w:tc>
        <w:tc>
          <w:tcPr>
            <w:tcW w:w="1701" w:type="dxa"/>
            <w:shd w:val="clear" w:color="auto" w:fill="D9D9D9" w:themeFill="background1" w:themeFillShade="D9"/>
            <w:vAlign w:val="center"/>
            <w:hideMark/>
          </w:tcPr>
          <w:p w:rsidR="00D022A9" w:rsidRPr="00D022A9" w:rsidRDefault="00D022A9" w:rsidP="00D022A9">
            <w:pPr>
              <w:spacing w:after="160" w:line="256" w:lineRule="auto"/>
              <w:jc w:val="center"/>
              <w:rPr>
                <w:rFonts w:ascii="Calibri" w:eastAsiaTheme="minorHAnsi" w:hAnsi="Calibri"/>
                <w:b/>
                <w:sz w:val="20"/>
                <w:lang w:val="en-AU" w:eastAsia="en-US"/>
              </w:rPr>
            </w:pPr>
            <w:r w:rsidRPr="00D022A9">
              <w:rPr>
                <w:rFonts w:ascii="Calibri" w:eastAsiaTheme="minorHAnsi" w:hAnsi="Calibri"/>
                <w:b/>
                <w:sz w:val="20"/>
                <w:szCs w:val="22"/>
                <w:lang w:val="en-AU" w:eastAsia="en-US"/>
              </w:rPr>
              <w:t>Climate variability and (bounded) extremes</w:t>
            </w:r>
          </w:p>
        </w:tc>
        <w:tc>
          <w:tcPr>
            <w:tcW w:w="2409" w:type="dxa"/>
            <w:shd w:val="clear" w:color="auto" w:fill="E2EFD9" w:themeFill="accent6" w:themeFillTint="33"/>
            <w:vAlign w:val="center"/>
            <w:hideMark/>
          </w:tcPr>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Agriculture</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Water</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Storms</w:t>
            </w:r>
          </w:p>
        </w:tc>
        <w:tc>
          <w:tcPr>
            <w:tcW w:w="2552" w:type="dxa"/>
            <w:shd w:val="clear" w:color="auto" w:fill="E2EFD9" w:themeFill="accent6" w:themeFillTint="33"/>
            <w:vAlign w:val="center"/>
            <w:hideMark/>
          </w:tcPr>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Loss of life</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Biodiversity</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Environmental services</w:t>
            </w:r>
          </w:p>
        </w:tc>
        <w:tc>
          <w:tcPr>
            <w:tcW w:w="2046" w:type="dxa"/>
            <w:shd w:val="clear" w:color="auto" w:fill="E69E90"/>
            <w:vAlign w:val="center"/>
            <w:hideMark/>
          </w:tcPr>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Cascading social effects</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Environmental migration</w:t>
            </w:r>
          </w:p>
        </w:tc>
      </w:tr>
      <w:tr w:rsidR="00D022A9" w:rsidRPr="00D022A9" w:rsidTr="00FE56B7">
        <w:tc>
          <w:tcPr>
            <w:tcW w:w="0" w:type="auto"/>
            <w:vMerge/>
            <w:tcBorders>
              <w:top w:val="single" w:sz="4" w:space="0" w:color="auto"/>
              <w:left w:val="nil"/>
              <w:bottom w:val="nil"/>
              <w:right w:val="nil"/>
            </w:tcBorders>
            <w:vAlign w:val="center"/>
            <w:hideMark/>
          </w:tcPr>
          <w:p w:rsidR="00D022A9" w:rsidRPr="00D022A9" w:rsidRDefault="00D022A9" w:rsidP="00D022A9">
            <w:pPr>
              <w:spacing w:after="160" w:line="256" w:lineRule="auto"/>
              <w:rPr>
                <w:rFonts w:ascii="Calibri" w:eastAsiaTheme="minorHAnsi" w:hAnsi="Calibri" w:cstheme="minorHAnsi"/>
                <w:b/>
                <w:sz w:val="20"/>
                <w:lang w:val="en-AU" w:eastAsia="en-US"/>
              </w:rPr>
            </w:pPr>
          </w:p>
        </w:tc>
        <w:tc>
          <w:tcPr>
            <w:tcW w:w="1701" w:type="dxa"/>
            <w:shd w:val="clear" w:color="auto" w:fill="D9D9D9" w:themeFill="background1" w:themeFillShade="D9"/>
            <w:vAlign w:val="center"/>
            <w:hideMark/>
          </w:tcPr>
          <w:p w:rsidR="00D022A9" w:rsidRPr="00D022A9" w:rsidRDefault="00D022A9" w:rsidP="00D022A9">
            <w:pPr>
              <w:spacing w:after="160" w:line="256" w:lineRule="auto"/>
              <w:jc w:val="center"/>
              <w:rPr>
                <w:rFonts w:ascii="Calibri" w:eastAsiaTheme="minorHAnsi" w:hAnsi="Calibri"/>
                <w:b/>
                <w:sz w:val="20"/>
                <w:lang w:val="en-AU" w:eastAsia="en-US"/>
              </w:rPr>
            </w:pPr>
            <w:r w:rsidRPr="00D022A9">
              <w:rPr>
                <w:rFonts w:ascii="Calibri" w:eastAsiaTheme="minorHAnsi" w:hAnsi="Calibri"/>
                <w:b/>
                <w:sz w:val="20"/>
                <w:szCs w:val="22"/>
                <w:lang w:val="en-AU" w:eastAsia="en-US"/>
              </w:rPr>
              <w:t>System changes and surprises</w:t>
            </w:r>
          </w:p>
        </w:tc>
        <w:tc>
          <w:tcPr>
            <w:tcW w:w="2409" w:type="dxa"/>
            <w:shd w:val="clear" w:color="auto" w:fill="E69E90"/>
            <w:vAlign w:val="center"/>
            <w:hideMark/>
          </w:tcPr>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w:t>
            </w:r>
            <w:r w:rsidRPr="00D022A9">
              <w:rPr>
                <w:rFonts w:ascii="Calibri" w:eastAsiaTheme="minorHAnsi" w:hAnsi="Calibri"/>
                <w:sz w:val="20"/>
                <w:szCs w:val="22"/>
                <w:shd w:val="clear" w:color="auto" w:fill="E69694"/>
                <w:lang w:val="en-AU" w:eastAsia="en-US"/>
              </w:rPr>
              <w:t>Tipping point’ effects on land, resources</w:t>
            </w:r>
          </w:p>
        </w:tc>
        <w:tc>
          <w:tcPr>
            <w:tcW w:w="2552" w:type="dxa"/>
            <w:shd w:val="clear" w:color="auto" w:fill="E69E90"/>
            <w:vAlign w:val="center"/>
            <w:hideMark/>
          </w:tcPr>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Higher order social effects</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Irreversible losses</w:t>
            </w:r>
          </w:p>
        </w:tc>
        <w:tc>
          <w:tcPr>
            <w:tcW w:w="2046" w:type="dxa"/>
            <w:shd w:val="clear" w:color="auto" w:fill="E69E90"/>
            <w:vAlign w:val="center"/>
            <w:hideMark/>
          </w:tcPr>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Regional collapse</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Famine</w:t>
            </w:r>
          </w:p>
          <w:p w:rsidR="00D022A9" w:rsidRPr="00D022A9" w:rsidRDefault="00D022A9" w:rsidP="00D022A9">
            <w:pPr>
              <w:spacing w:after="160" w:line="256" w:lineRule="auto"/>
              <w:jc w:val="center"/>
              <w:rPr>
                <w:rFonts w:ascii="Calibri" w:eastAsiaTheme="minorHAnsi" w:hAnsi="Calibri"/>
                <w:sz w:val="20"/>
                <w:lang w:val="en-AU" w:eastAsia="en-US"/>
              </w:rPr>
            </w:pPr>
            <w:r w:rsidRPr="00D022A9">
              <w:rPr>
                <w:rFonts w:ascii="Calibri" w:eastAsiaTheme="minorHAnsi" w:hAnsi="Calibri"/>
                <w:sz w:val="20"/>
                <w:szCs w:val="22"/>
                <w:lang w:val="en-AU" w:eastAsia="en-US"/>
              </w:rPr>
              <w:t>War</w:t>
            </w:r>
          </w:p>
        </w:tc>
      </w:tr>
    </w:tbl>
    <w:p w:rsidR="00DC4C4E" w:rsidRDefault="00DC4C4E" w:rsidP="00DC4C4E">
      <w:pPr>
        <w:spacing w:after="200"/>
        <w:jc w:val="both"/>
        <w:rPr>
          <w:rFonts w:ascii="Calibri" w:hAnsi="Calibri"/>
        </w:rPr>
      </w:pPr>
    </w:p>
    <w:p w:rsidR="00DC4C4E" w:rsidRPr="00DC4C4E" w:rsidRDefault="00DC4C4E" w:rsidP="00DC4C4E">
      <w:pPr>
        <w:jc w:val="both"/>
        <w:rPr>
          <w:rFonts w:ascii="Calibri" w:hAnsi="Calibri"/>
          <w:sz w:val="22"/>
        </w:rPr>
      </w:pPr>
      <w:r>
        <w:rPr>
          <w:rFonts w:ascii="Calibri" w:hAnsi="Calibri" w:cs="Times New Roman"/>
          <w:sz w:val="22"/>
        </w:rPr>
        <w:t>The IPCC’s Fifth Assessment Report (AR5) chapter on Impacts, Adaptation and Vulnerability estimates an aggregate loss of up to 2% GDP if global mean temperatures reach 2.5</w:t>
      </w:r>
      <w:r>
        <w:rPr>
          <w:rFonts w:ascii="Calibri" w:hAnsi="Calibri" w:cs="Times New Roman"/>
          <w:sz w:val="22"/>
          <w:vertAlign w:val="superscript"/>
        </w:rPr>
        <w:t>o</w:t>
      </w:r>
      <w:r>
        <w:rPr>
          <w:rFonts w:ascii="Calibri" w:hAnsi="Calibri" w:cs="Times New Roman"/>
          <w:sz w:val="22"/>
        </w:rPr>
        <w:t>C above pre-industrial levels.</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&lt;EndNote&gt;&lt;Cite&gt;&lt;Author&gt;Arent&lt;/Author&gt;&lt;Year&gt;2014&lt;/Year&gt;&lt;RecNum&gt;1311&lt;/RecNum&gt;&lt;DisplayText&gt;&lt;style face="superscript"&gt;266&lt;/style&gt;&lt;/DisplayText&gt;&lt;record&gt;&lt;rec-number&gt;1311&lt;/rec-number&gt;&lt;foreign-keys&gt;&lt;key app="EN" db-id="wtftd20rmszxx0ettxy5exwdf90wv22s2dsf" timestamp="1419249727"&gt;1311&lt;/key&gt;&lt;/foreign-keys&gt;&lt;ref-type name="Book Section"&gt;5&lt;/ref-type&gt;&lt;contributors&gt;&lt;authors&gt;&lt;author&gt;Arent, D. J.&lt;/author&gt;&lt;author&gt;Tol, R. S. J.&lt;/author&gt;&lt;author&gt;Faust, E.&lt;/author&gt;&lt;author&gt;Hella, J. P.&lt;/author&gt;&lt;author&gt;Kumar, S.&lt;/author&gt;&lt;author&gt;Strzepek, K. M.&lt;/author&gt;&lt;author&gt;Tóth, F. L.&lt;/author&gt;&lt;author&gt;Yan, D.&lt;/author&gt;&lt;/authors&gt;&lt;secondary-authors&gt;&lt;author&gt;Field, C. B.&lt;/author&gt;&lt;author&gt;Barros, V. R.&lt;/author&gt;&lt;author&gt;Dokken, D. J.&lt;/author&gt;&lt;author&gt;Mach, K. J.&lt;/author&gt;&lt;author&gt;Mastrandrea, M. D.&lt;/author&gt;&lt;author&gt;Bilir, T. E.&lt;/author&gt;&lt;author&gt;Chatterjee, M.&lt;/author&gt;&lt;author&gt;Ebi, K. L.&lt;/author&gt;&lt;author&gt;Estrada, Y. O.&lt;/author&gt;&lt;author&gt;Genova, R. C.&lt;/author&gt;&lt;author&gt;Girma, B.&lt;/author&gt;&lt;author&gt;Kissel, E. S.&lt;/author&gt;&lt;author&gt;Levy, A. N.&lt;/author&gt;&lt;author&gt;MacCracken, S.&lt;/author&gt;&lt;author&gt;Mastrandrea, P. R.&lt;/author&gt;&lt;author&gt;White, L. L.&lt;/author&gt;&lt;/secondary-authors&gt;&lt;/contributors&gt;&lt;titles&gt;&lt;title&gt;Key economic sectors and services&lt;/title&gt;&lt;secondary-title&gt;Climate Change 2014: Impacts, Adaptation, and Vulnerability. Part A: Global and Sectoral Aspects. Contribution of Working Group II to the Fifth Assessment Report of the Intergovernmental Panel of Climate Change&lt;/secondary-title&gt;&lt;short-title&gt;Key economic sectors and services&lt;/short-title&gt;&lt;/titles&gt;&lt;pages&gt;659-708&lt;/pages&gt;&lt;section&gt;10&lt;/section&gt;&lt;dates&gt;&lt;year&gt;2014&lt;/year&gt;&lt;/dates&gt;&lt;pub-location&gt;Cambridge, United Kingdom and New York, NY, USA&lt;/pub-location&gt;&lt;publisher&gt;Cambridge University Press&lt;/publisher&gt;&lt;urls&gt;&lt;/urls&gt;&lt;/record&gt;&lt;/Cite&gt;&lt;/EndNote&gt;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266</w:t>
      </w:r>
      <w:r w:rsidR="00E13392">
        <w:rPr>
          <w:rFonts w:ascii="Calibri" w:hAnsi="Calibri" w:cs="Times New Roman"/>
          <w:sz w:val="22"/>
        </w:rPr>
        <w:fldChar w:fldCharType="end"/>
      </w:r>
      <w:r>
        <w:rPr>
          <w:rFonts w:ascii="Calibri" w:hAnsi="Calibri" w:cs="Times New Roman"/>
          <w:sz w:val="22"/>
        </w:rPr>
        <w:t xml:space="preserve"> A world of unabated GHG emissions, what might be called a ‘business-as-usual’ pathway (in which a global mean temperature increase is likely to far exceed 2.5</w:t>
      </w:r>
      <w:r>
        <w:rPr>
          <w:rFonts w:ascii="Calibri" w:hAnsi="Calibri" w:cs="Times New Roman"/>
          <w:sz w:val="22"/>
          <w:vertAlign w:val="superscript"/>
        </w:rPr>
        <w:t>o</w:t>
      </w:r>
      <w:r>
        <w:rPr>
          <w:rFonts w:ascii="Calibri" w:hAnsi="Calibri" w:cs="Times New Roman"/>
          <w:sz w:val="22"/>
        </w:rPr>
        <w:t>C, and in which many of the kinds of impacts in the last row and column of Table 5.1 are likely to be experienced), could produce costs equivalent to reducing annual GDP by 5-20% ‘now, and forever’, compared to a world with no climate change, according to the Stern Review on the Economics of Climate Change.</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&lt;EndNote&gt;&lt;Cite&gt;&lt;Author&gt;Stern&lt;/Author&gt;&lt;Year&gt;2006&lt;/Year&gt;&lt;RecNum&gt;978&lt;/RecNum&gt;&lt;DisplayText&gt;&lt;style face="superscript"&gt;267&lt;/style&gt;&lt;/DisplayText&gt;&lt;record&gt;&lt;rec-number&gt;978&lt;/rec-number&gt;&lt;foreign-keys&gt;&lt;key app="EN" db-id="wtftd20rmszxx0ettxy5exwdf90wv22s2dsf" timestamp="1419212983"&gt;978&lt;/key&gt;&lt;/foreign-keys&gt;&lt;ref-type name="Report"&gt;27&lt;/ref-type&gt;&lt;contributors&gt;&lt;authors&gt;&lt;author&gt;Stern, N.&lt;/author&gt;&lt;/authors&gt;&lt;/contributors&gt;&lt;titles&gt;&lt;title&gt;Stern Review on the Economics of Climate Change&lt;/title&gt;&lt;/titles&gt;&lt;dates&gt;&lt;year&gt;2006&lt;/year&gt;&lt;/dates&gt;&lt;pub-location&gt;London&lt;/pub-location&gt;&lt;publisher&gt;HM Treasury&lt;/publisher&gt;&lt;urls&gt;&lt;/urls&gt;&lt;/record&gt;&lt;/Cite&gt;&lt;/EndNote&gt;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267</w:t>
      </w:r>
      <w:r w:rsidR="00E13392">
        <w:rPr>
          <w:rFonts w:ascii="Calibri" w:hAnsi="Calibri" w:cs="Times New Roman"/>
          <w:sz w:val="22"/>
        </w:rPr>
        <w:fldChar w:fldCharType="end"/>
      </w:r>
      <w:r>
        <w:rPr>
          <w:rFonts w:ascii="Calibri" w:hAnsi="Calibri" w:cs="Times New Roman"/>
          <w:sz w:val="22"/>
        </w:rPr>
        <w:t xml:space="preserve"> </w:t>
      </w:r>
    </w:p>
    <w:p w:rsidR="00DC4C4E" w:rsidRDefault="00DC4C4E" w:rsidP="00DC4C4E">
      <w:pPr>
        <w:jc w:val="both"/>
        <w:rPr>
          <w:rFonts w:ascii="Calibri" w:hAnsi="Calibri" w:cs="Times New Roman"/>
          <w:sz w:val="22"/>
        </w:rPr>
      </w:pPr>
      <w:r>
        <w:rPr>
          <w:rFonts w:ascii="Calibri" w:hAnsi="Calibri" w:cs="Times New Roman"/>
          <w:sz w:val="22"/>
        </w:rPr>
        <w:t>It may be noted that these costs are the result of a low discount rate, the validity of which has been questioned (e.g. Nordhaus 2007).</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&lt;EndNote&gt;&lt;Cite&gt;&lt;Author&gt;Nordhaus&lt;/Author&gt;&lt;Year&gt;2007&lt;/Year&gt;&lt;RecNum&gt;1565&lt;/RecNum&gt;&lt;DisplayText&gt;&lt;style face="superscript"&gt;268&lt;/style&gt;&lt;/DisplayText&gt;&lt;record&gt;&lt;rec-number&gt;1565&lt;/rec-number&gt;&lt;foreign-keys&gt;&lt;key app="EN" db-id="wtftd20rmszxx0ettxy5exwdf90wv22s2dsf" timestamp="1427477511"&gt;1565&lt;/key&gt;&lt;/foreign-keys&gt;&lt;ref-type name="Journal Article"&gt;17&lt;/ref-type&gt;&lt;contributors&gt;&lt;authors&gt;&lt;author&gt;W Nordhaus&lt;/author&gt;&lt;/authors&gt;&lt;/contributors&gt;&lt;titles&gt;&lt;title&gt;A Review of the Stern Review on the Economics of Climate Change&lt;/title&gt;&lt;secondary-title&gt;Journal of Economic Literature&lt;/secondary-title&gt;&lt;/titles&gt;&lt;periodical&gt;&lt;full-title&gt;Journal of Economic Literature&lt;/full-title&gt;&lt;/periodical&gt;&lt;pages&gt;686–702&lt;/pages&gt;&lt;volume&gt;XLV&lt;/volume&gt;&lt;dates&gt;&lt;year&gt;2007&lt;/year&gt;&lt;/dates&gt;&lt;work-type&gt;Nordhaus, W. 2007 ‘A Review of the Stern Review on the Economics of Climate Change’, Journal of Economic Literature Vol. XLV (September 2007), pp. 686–702&lt;/work-type&gt;&lt;urls&gt;&lt;/urls&gt;&lt;/record&gt;&lt;/Cite&gt;&lt;/EndNote&gt;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268</w:t>
      </w:r>
      <w:r w:rsidR="00E13392">
        <w:rPr>
          <w:rFonts w:ascii="Calibri" w:hAnsi="Calibri" w:cs="Times New Roman"/>
          <w:sz w:val="22"/>
        </w:rPr>
        <w:fldChar w:fldCharType="end"/>
      </w:r>
      <w:r>
        <w:rPr>
          <w:rFonts w:ascii="Calibri" w:hAnsi="Calibri" w:cs="Times New Roman"/>
          <w:sz w:val="22"/>
        </w:rPr>
        <w:t xml:space="preserve"> However, the relevant point here is that the physical impacts underlying the upper range of these costs represent a substantial risk to human societies – what Weitzmann (2011) has called the ‘fat tails’ of climate risk distributions.</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&lt;EndNote&gt;&lt;Cite&gt;&lt;Author&gt;Weitzmann&lt;/Author&gt;&lt;Year&gt;2011&lt;/Year&gt;&lt;RecNum&gt;1566&lt;/RecNum&gt;&lt;DisplayText&gt;&lt;style face="superscript"&gt;269&lt;/style&gt;&lt;/DisplayText&gt;&lt;record&gt;&lt;rec-number&gt;1566&lt;/rec-number&gt;&lt;foreign-keys&gt;&lt;key app="EN" db-id="wtftd20rmszxx0ettxy5exwdf90wv22s2dsf" timestamp="1427477633"&gt;1566&lt;/key&gt;&lt;/foreign-keys&gt;&lt;ref-type name="Journal Article"&gt;17&lt;/ref-type&gt;&lt;contributors&gt;&lt;authors&gt;&lt;author&gt;M Weitzmann&lt;/author&gt;&lt;/authors&gt;&lt;/contributors&gt;&lt;titles&gt;&lt;title&gt;Fat-Tailed Uncertainty in the Economics of Catastrophic Climate Change&lt;/title&gt;&lt;secondary-title&gt;Review of Environmental Economics and Policy&lt;/secondary-title&gt;&lt;/titles&gt;&lt;periodical&gt;&lt;full-title&gt;Review of Environmental Economics and Policy&lt;/full-title&gt;&lt;/periodical&gt;&lt;pages&gt;275-92&lt;/pages&gt;&lt;volume&gt;5&lt;/volume&gt;&lt;number&gt;2&lt;/number&gt;&lt;dates&gt;&lt;year&gt;2011&lt;/year&gt;&lt;/dates&gt;&lt;urls&gt;&lt;/urls&gt;&lt;/record&gt;&lt;/Cite&gt;&lt;/EndNote&gt;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269</w:t>
      </w:r>
      <w:r w:rsidR="00E13392">
        <w:rPr>
          <w:rFonts w:ascii="Calibri" w:hAnsi="Calibri" w:cs="Times New Roman"/>
          <w:sz w:val="22"/>
        </w:rPr>
        <w:fldChar w:fldCharType="end"/>
      </w:r>
      <w:r>
        <w:rPr>
          <w:rFonts w:ascii="Calibri" w:hAnsi="Calibri" w:cs="Times New Roman"/>
          <w:sz w:val="22"/>
        </w:rPr>
        <w:t xml:space="preserve"> The costs of mitigation may be seen to represent a premium paid to reduce these risks and, hopefully, avoid the worst climate outcomes entirely. In any case, even these large costs derive from economic models built upon climate science and impact models, which themselves necessarily cannot fully characterise all processes and interactions known to be of importance.</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&lt;EndNote&gt;&lt;Cite&gt;&lt;Author&gt;Stern&lt;/Author&gt;&lt;Year&gt;2013&lt;/Year&gt;&lt;RecNum&gt;916&lt;/RecNum&gt;&lt;DisplayText&gt;&lt;style face="superscript"&gt;270&lt;/style&gt;&lt;/DisplayText&gt;&lt;record&gt;&lt;rec-number&gt;916&lt;/rec-number&gt;&lt;foreign-keys&gt;&lt;key app="EN" db-id="wtftd20rmszxx0ettxy5exwdf90wv22s2dsf" timestamp="1419212983"&gt;916&lt;/key&gt;&lt;/foreign-keys&gt;&lt;ref-type name="Journal Article"&gt;17&lt;/ref-type&gt;&lt;contributors&gt;&lt;authors&gt;&lt;author&gt;Stern, Nicholas&lt;/author&gt;&lt;/authors&gt;&lt;/contributors&gt;&lt;titles&gt;&lt;title&gt;The Structure of Economic Modeling of the Potential Impacts of Climate Change: Grafting Gross Underestimation of Risk onto Already Narrow Science Models&lt;/title&gt;&lt;secondary-title&gt;Journal of Economic Literature&lt;/secondary-title&gt;&lt;/titles&gt;&lt;periodical&gt;&lt;full-title&gt;Journal of Economic Literature&lt;/full-title&gt;&lt;/periodical&gt;&lt;pages&gt;838-59&lt;/pages&gt;&lt;volume&gt;51&lt;/volume&gt;&lt;number&gt;3&lt;/number&gt;&lt;dates&gt;&lt;year&gt;2013&lt;/year&gt;&lt;/dates&gt;&lt;urls&gt;&lt;related-urls&gt;&lt;url&gt;http://www.aeaweb.org/articles.php?doi=10.1257/jel.51.3.838&lt;/url&gt;&lt;/related-urls&gt;&lt;/urls&gt;&lt;electronic-resource-num&gt;doi: 10.1257/jel.51.3.838&lt;/electronic-resource-num&gt;&lt;/record&gt;&lt;/Cite&gt;&lt;/EndNote&gt;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270</w:t>
      </w:r>
      <w:r w:rsidR="00E13392">
        <w:rPr>
          <w:rFonts w:ascii="Calibri" w:hAnsi="Calibri" w:cs="Times New Roman"/>
          <w:sz w:val="22"/>
        </w:rPr>
        <w:fldChar w:fldCharType="end"/>
      </w:r>
      <w:r>
        <w:rPr>
          <w:rFonts w:ascii="Calibri" w:hAnsi="Calibri" w:cs="Times New Roman"/>
          <w:sz w:val="22"/>
        </w:rPr>
        <w:t xml:space="preserve"> </w:t>
      </w:r>
    </w:p>
    <w:p w:rsidR="00DC4C4E" w:rsidRDefault="00DC4C4E" w:rsidP="00DC4C4E">
      <w:pPr>
        <w:rPr>
          <w:rFonts w:ascii="Calibri" w:hAnsi="Calibri"/>
        </w:rPr>
      </w:pPr>
    </w:p>
    <w:p w:rsidR="00DC4C4E" w:rsidRPr="00D036C9" w:rsidRDefault="00DC4C4E" w:rsidP="00D036C9">
      <w:pPr>
        <w:pStyle w:val="Heading3"/>
      </w:pPr>
      <w:bookmarkStart w:id="135" w:name="_Toc415931407"/>
      <w:bookmarkStart w:id="136" w:name="_Toc402956402"/>
      <w:bookmarkStart w:id="137" w:name="_Toc417502072"/>
      <w:r>
        <w:t>The macroeconomic impacts of</w:t>
      </w:r>
      <w:r w:rsidR="00C95CF4">
        <w:t xml:space="preserve"> responding to </w:t>
      </w:r>
      <w:r>
        <w:t>climate change</w:t>
      </w:r>
      <w:bookmarkEnd w:id="135"/>
      <w:bookmarkEnd w:id="136"/>
      <w:bookmarkEnd w:id="137"/>
    </w:p>
    <w:p w:rsidR="00DC4C4E" w:rsidRDefault="00DC4C4E" w:rsidP="00DC4C4E">
      <w:pPr>
        <w:jc w:val="both"/>
        <w:rPr>
          <w:rFonts w:ascii="Calibri" w:hAnsi="Calibri" w:cs="Times New Roman"/>
          <w:sz w:val="22"/>
        </w:rPr>
      </w:pPr>
      <w:r>
        <w:rPr>
          <w:rFonts w:ascii="Calibri" w:hAnsi="Calibri" w:cs="Times New Roman"/>
          <w:sz w:val="22"/>
          <w:szCs w:val="22"/>
        </w:rPr>
        <w:t xml:space="preserve">The theoretical microeconomics position on the balance to be struck between mitigation and adaptation is clear - there should be investment in mitigation up to the point where the marginal </w:t>
      </w:r>
      <w:r>
        <w:rPr>
          <w:rFonts w:ascii="Calibri" w:hAnsi="Calibri" w:cs="Times New Roman"/>
          <w:sz w:val="22"/>
          <w:szCs w:val="22"/>
        </w:rPr>
        <w:lastRenderedPageBreak/>
        <w:t>cost of further investment is higher than the marginal cost of adaptation plus that of remaining climate damages. In practice, the robust identification of this point is impossible, because of the uncertainty of the costs concerned and how they will develop over time, the difficulties of valuing non-market costs, and the lack of consensus over the appropriate discount rate for such costs, when they are incurred over long and varied time periods.</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&lt;EndNote&gt;&lt;Cite&gt;&lt;Author&gt;Goulder&lt;/Author&gt;&lt;Year&gt;2012&lt;/Year&gt;&lt;RecNum&gt;1297&lt;/RecNum&gt;&lt;DisplayText&gt;&lt;style face="superscript"&gt;271&lt;/style&gt;&lt;/DisplayText&gt;&lt;record&gt;&lt;rec-number&gt;1297&lt;/rec-number&gt;&lt;foreign-keys&gt;&lt;key app="EN" db-id="wtftd20rmszxx0ettxy5exwdf90wv22s2dsf" timestamp="1419212983"&gt;1297&lt;/key&gt;&lt;/foreign-keys&gt;&lt;ref-type name="Journal Article"&gt;17&lt;/ref-type&gt;&lt;contributors&gt;&lt;authors&gt;&lt;author&gt;Goulder, L.&lt;/author&gt;&lt;author&gt;Williams, R.&lt;/author&gt;&lt;/authors&gt;&lt;/contributors&gt;&lt;titles&gt;&lt;title&gt;The Choice of Discount Rate for Climate Change Policy Evaluation&lt;/title&gt;&lt;secondary-title&gt;Climate Change Economics&lt;/secondary-title&gt;&lt;/titles&gt;&lt;periodical&gt;&lt;full-title&gt;Climate Change Economics&lt;/full-title&gt;&lt;/periodical&gt;&lt;pages&gt;18&lt;/pages&gt;&lt;volume&gt;3&lt;/volume&gt;&lt;number&gt;4&lt;/number&gt;&lt;dates&gt;&lt;year&gt;2012&lt;/year&gt;&lt;/dates&gt;&lt;urls&gt;&lt;/urls&gt;&lt;/record&gt;&lt;/Cite&gt;&lt;Cite&gt;&lt;Author&gt;Goulder&lt;/Author&gt;&lt;Year&gt;2012&lt;/Year&gt;&lt;RecNum&gt;1297&lt;/RecNum&gt;&lt;record&gt;&lt;rec-number&gt;1297&lt;/rec-number&gt;&lt;foreign-keys&gt;&lt;key app="EN" db-id="wtftd20rmszxx0ettxy5exwdf90wv22s2dsf" timestamp="1419212983"&gt;1297&lt;/key&gt;&lt;/foreign-keys&gt;&lt;ref-type name="Journal Article"&gt;17&lt;/ref-type&gt;&lt;contributors&gt;&lt;authors&gt;&lt;author&gt;Goulder, L.&lt;/author&gt;&lt;author&gt;Williams, R.&lt;/author&gt;&lt;/authors&gt;&lt;/contributors&gt;&lt;titles&gt;&lt;title&gt;The Choice of Discount Rate for Climate Change Policy Evaluation&lt;/title&gt;&lt;secondary-title&gt;Climate Change Economics&lt;/secondary-title&gt;&lt;/titles&gt;&lt;periodical&gt;&lt;full-title&gt;Climate Change Economics&lt;/full-title&gt;&lt;/periodical&gt;&lt;pages&gt;18&lt;/pages&gt;&lt;volume&gt;3&lt;/volume&gt;&lt;number&gt;4&lt;/number&gt;&lt;dates&gt;&lt;year&gt;2012&lt;/year&gt;&lt;/dates&gt;&lt;urls&gt;&lt;/urls&gt;&lt;/record&gt;&lt;/Cite&gt;&lt;/EndNote&gt;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271</w:t>
      </w:r>
      <w:r w:rsidR="00E13392">
        <w:rPr>
          <w:rFonts w:ascii="Calibri" w:hAnsi="Calibri" w:cs="Times New Roman"/>
          <w:sz w:val="22"/>
          <w:szCs w:val="22"/>
        </w:rPr>
        <w:fldChar w:fldCharType="end"/>
      </w:r>
      <w:r>
        <w:rPr>
          <w:rFonts w:ascii="Calibri" w:hAnsi="Calibri" w:cs="Times New Roman"/>
          <w:sz w:val="22"/>
          <w:szCs w:val="22"/>
        </w:rPr>
        <w:t xml:space="preserve"> </w:t>
      </w:r>
      <w:r>
        <w:rPr>
          <w:rFonts w:ascii="Calibri" w:hAnsi="Calibri" w:cs="Times New Roman"/>
          <w:sz w:val="22"/>
        </w:rPr>
        <w:t>Given that some climate impacts (such as the phenomena in the bottom-right corner of Table 5.1) cannot be adapted to at any computable cost, mitigation-focused investment would seem to be the prudent priority at a global level. In a globally interdependent world, even regions that might be less negatively affected by climate change itself, could expect considerable economic and social disruption from those regions that were thus affected.</w:t>
      </w:r>
    </w:p>
    <w:p w:rsidR="00DC4C4E" w:rsidRDefault="00DC4C4E" w:rsidP="00DC4C4E">
      <w:pPr>
        <w:rPr>
          <w:rFonts w:ascii="Calibri" w:hAnsi="Calibri"/>
        </w:rPr>
      </w:pPr>
    </w:p>
    <w:p w:rsidR="00DC4C4E" w:rsidRDefault="00DC4C4E" w:rsidP="00DC4C4E">
      <w:pPr>
        <w:jc w:val="both"/>
        <w:rPr>
          <w:rFonts w:ascii="Calibri" w:hAnsi="Calibri" w:cs="Times New Roman"/>
          <w:sz w:val="22"/>
        </w:rPr>
      </w:pPr>
      <w:r>
        <w:rPr>
          <w:rFonts w:ascii="Calibri" w:hAnsi="Calibri" w:cs="Times New Roman"/>
          <w:sz w:val="22"/>
        </w:rPr>
        <w:t>The macroeconomic impacts of reducing CO</w:t>
      </w:r>
      <w:r>
        <w:rPr>
          <w:rFonts w:ascii="Calibri" w:hAnsi="Calibri" w:cs="Times New Roman"/>
          <w:sz w:val="22"/>
          <w:vertAlign w:val="subscript"/>
        </w:rPr>
        <w:t>2</w:t>
      </w:r>
      <w:r>
        <w:rPr>
          <w:rFonts w:ascii="Calibri" w:hAnsi="Calibri" w:cs="Times New Roman"/>
          <w:sz w:val="22"/>
        </w:rPr>
        <w:t xml:space="preserve"> emissions derive from several sources, all of which need to be taken into account if the overall impact is to be properly evaluated. First, there are the impacts of the various kinds of investments discussed above. Investments in energy efficiency measures and technologies are often cost-effective at prevailing energy prices, and there is substantial evidence that opportunities for such investments are considerable.</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&lt;EndNote&gt;&lt;Cite&gt;&lt;Author&gt;International Energy Agency&lt;/Author&gt;&lt;Year&gt;2007&lt;/Year&gt;&lt;RecNum&gt;945&lt;/RecNum&gt;&lt;DisplayText&gt;&lt;style face="superscript"&gt;272&lt;/style&gt;&lt;/DisplayText&gt;&lt;record&gt;&lt;rec-number&gt;945&lt;/rec-number&gt;&lt;foreign-keys&gt;&lt;key app="EN" db-id="wtftd20rmszxx0ettxy5exwdf90wv22s2dsf" timestamp="1419212983"&gt;945&lt;/key&gt;&lt;/foreign-keys&gt;&lt;ref-type name="Government Document"&gt;46&lt;/ref-type&gt;&lt;contributors&gt;&lt;authors&gt;&lt;author&gt;International Energy Agency,&lt;/author&gt;&lt;/authors&gt;&lt;/contributors&gt;&lt;titles&gt;&lt;title&gt;Mind the Gap: Quantifying Principal-Agent Problems in Energy Efficiency&lt;/title&gt;&lt;/titles&gt;&lt;dates&gt;&lt;year&gt;2007&lt;/year&gt;&lt;/dates&gt;&lt;pub-location&gt;Paris&lt;/pub-location&gt;&lt;urls&gt;&lt;/urls&gt;&lt;/record&gt;&lt;/Cite&gt;&lt;Cite&gt;&lt;Author&gt;International Energy Agency&lt;/Author&gt;&lt;Year&gt;2007&lt;/Year&gt;&lt;RecNum&gt;945&lt;/RecNum&gt;&lt;record&gt;&lt;rec-number&gt;945&lt;/rec-number&gt;&lt;foreign-keys&gt;&lt;key app="EN" db-id="wtftd20rmszxx0ettxy5exwdf90wv22s2dsf" timestamp="1419212983"&gt;945&lt;/key&gt;&lt;/foreign-keys&gt;&lt;ref-type name="Government Document"&gt;46&lt;/ref-type&gt;&lt;contributors&gt;&lt;authors&gt;&lt;author&gt;International Energy Agency,&lt;/author&gt;&lt;/authors&gt;&lt;/contributors&gt;&lt;titles&gt;&lt;title&gt;Mind the Gap: Quantifying Principal-Agent Problems in Energy Efficiency&lt;/title&gt;&lt;/titles&gt;&lt;dates&gt;&lt;year&gt;2007&lt;/year&gt;&lt;/dates&gt;&lt;pub-location&gt;Paris&lt;/pub-location&gt;&lt;urls&gt;&lt;/urls&gt;&lt;/record&gt;&lt;/Cite&gt;&lt;/EndNote&gt;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272</w:t>
      </w:r>
      <w:r w:rsidR="00E13392">
        <w:rPr>
          <w:rFonts w:ascii="Calibri" w:hAnsi="Calibri" w:cs="Times New Roman"/>
          <w:sz w:val="22"/>
        </w:rPr>
        <w:fldChar w:fldCharType="end"/>
      </w:r>
      <w:r>
        <w:rPr>
          <w:rFonts w:ascii="Calibri" w:hAnsi="Calibri" w:cs="Times New Roman"/>
          <w:sz w:val="22"/>
        </w:rPr>
        <w:t xml:space="preserve"> Such investments will of themselves tend to increase GDP. Investments in low-carbon energy that are redirected from fossil fuel investments will, where the low-carbon energy is more expensive than fossil fuels and leaving out considerations of avoided climate change and co-benefits, tend to reduce GDP.</w:t>
      </w:r>
      <w:r>
        <w:rPr>
          <w:rFonts w:ascii="Calibri" w:hAnsi="Calibri" w:cs="Times New Roman"/>
          <w:sz w:val="22"/>
          <w:szCs w:val="22"/>
        </w:rPr>
        <w:t xml:space="preserve"> However, if fossil fuel prices increase from  their currently relatively low levels and remain volatile, and the capital costs of renewables (especially solar and wind) continue to fall, then at some point renewable electricity may become economically preferable to fossil-fuel derived power, irrespective of other factors</w:t>
      </w:r>
      <w:r>
        <w:rPr>
          <w:rFonts w:ascii="Calibri" w:hAnsi="Calibri" w:cs="Times New Roman"/>
          <w:sz w:val="22"/>
        </w:rPr>
        <w:t>.</w:t>
      </w:r>
    </w:p>
    <w:p w:rsidR="00DC4C4E" w:rsidRDefault="00DC4C4E" w:rsidP="00DC4C4E">
      <w:pPr>
        <w:jc w:val="both"/>
        <w:rPr>
          <w:rFonts w:ascii="Calibri" w:hAnsi="Calibri" w:cs="Times New Roman"/>
          <w:sz w:val="22"/>
        </w:rPr>
      </w:pPr>
    </w:p>
    <w:p w:rsidR="00DC4C4E" w:rsidRDefault="00DC4C4E" w:rsidP="00DC4C4E">
      <w:pPr>
        <w:jc w:val="both"/>
        <w:rPr>
          <w:rFonts w:ascii="Calibri" w:hAnsi="Calibri" w:cs="Times New Roman"/>
          <w:sz w:val="22"/>
        </w:rPr>
      </w:pPr>
      <w:r>
        <w:rPr>
          <w:rFonts w:ascii="Calibri" w:hAnsi="Calibri" w:cs="Times New Roman"/>
          <w:sz w:val="22"/>
        </w:rPr>
        <w:t>Investments in low-carbon energy that are ‘additional’ – such as the extra $1 trillion required annually as identified above - may increase or reduce GDP depending on whether they employ unutilised resources or, in a situation of full employment, ‘crowd out’ more productive investment, and whether they can build domestic supply chains and new competitive industries that can substitute for imports. Whilst employment in fossil fuel-related and emission-intensive industries would decline over time, low-carbon technology industries would expand and increase employment. IRENA (2014) estimate a net global increase of 900,000 jobs in ‘core activities’ alone (i.e. not including supply chain activities), if the level of renewable energy in global final energy consumption doubles from 18% in 2010 to 36% of by 2030.</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&lt;EndNote&gt;&lt;Cite&gt;&lt;Author&gt;International Renewable Energy Agency&lt;/Author&gt;&lt;Year&gt;2014&lt;/Year&gt;&lt;RecNum&gt;955&lt;/RecNum&gt;&lt;DisplayText&gt;&lt;style face="superscript"&gt;253&lt;/style&gt;&lt;/DisplayText&gt;&lt;record&gt;&lt;rec-number&gt;955&lt;/rec-number&gt;&lt;foreign-keys&gt;&lt;key app="EN" db-id="wtftd20rmszxx0ettxy5exwdf90wv22s2dsf" timestamp="1419212983"&gt;955&lt;/key&gt;&lt;/foreign-keys&gt;&lt;ref-type name="Government Document"&gt;46&lt;/ref-type&gt;&lt;contributors&gt;&lt;authors&gt;&lt;author&gt;International Renewable Energy Agency,&lt;/author&gt;&lt;/authors&gt;&lt;/contributors&gt;&lt;titles&gt;&lt;title&gt;REmap 2030: A Renewable Energy Roadmap&lt;/title&gt;&lt;/titles&gt;&lt;dates&gt;&lt;year&gt;2014&lt;/year&gt;&lt;/dates&gt;&lt;pub-location&gt;Abu Dhabi&lt;/pub-location&gt;&lt;urls&gt;&lt;/urls&gt;&lt;/record&gt;&lt;/Cite&gt;&lt;/EndNote&gt;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253</w:t>
      </w:r>
      <w:r w:rsidR="00E13392">
        <w:rPr>
          <w:rFonts w:ascii="Calibri" w:hAnsi="Calibri" w:cs="Times New Roman"/>
          <w:sz w:val="22"/>
        </w:rPr>
        <w:fldChar w:fldCharType="end"/>
      </w:r>
      <w:r>
        <w:rPr>
          <w:rFonts w:ascii="Calibri" w:hAnsi="Calibri" w:cs="Times New Roman"/>
          <w:sz w:val="22"/>
        </w:rPr>
        <w:t xml:space="preserve"> Advantages may accrue to those countries or industries that begin investment in decarbonisation quickly, by gaining technological leadership through experience and innovation, affording the ‘first mover’ a competitive edge in a growing market. </w:t>
      </w:r>
    </w:p>
    <w:p w:rsidR="00DC4C4E" w:rsidRDefault="00DC4C4E" w:rsidP="00DC4C4E">
      <w:pPr>
        <w:rPr>
          <w:rFonts w:ascii="Calibri" w:hAnsi="Calibri"/>
          <w:sz w:val="22"/>
          <w:szCs w:val="22"/>
        </w:rPr>
      </w:pPr>
    </w:p>
    <w:p w:rsidR="00DC4C4E" w:rsidRDefault="00DC4C4E" w:rsidP="00DC4C4E">
      <w:pPr>
        <w:jc w:val="both"/>
        <w:rPr>
          <w:rFonts w:ascii="Calibri" w:hAnsi="Calibri" w:cs="Times New Roman"/>
          <w:sz w:val="22"/>
          <w:szCs w:val="22"/>
        </w:rPr>
      </w:pPr>
      <w:r>
        <w:rPr>
          <w:rFonts w:ascii="Calibri" w:hAnsi="Calibri" w:cs="Times New Roman"/>
          <w:sz w:val="22"/>
          <w:szCs w:val="22"/>
        </w:rPr>
        <w:t>For fossil fuel importing countries, investing in indigenous low-carbon energy sources will reduce the need to import fossil fuels. In the European Union the trade deficit in energy products in 2012 was €421 billion (3.3% EU GDP),</w:t>
      </w:r>
      <w:r w:rsidR="00E13392">
        <w:rPr>
          <w:rFonts w:ascii="Calibri" w:hAnsi="Calibri" w:cs="Times New Roman"/>
          <w:sz w:val="22"/>
          <w:szCs w:val="22"/>
        </w:rPr>
        <w:fldChar w:fldCharType="begin">
          <w:fldData xml:space="preserve">PEVuZE5vdGU+PENpdGU+PEF1dGhvcj5FdXJvcGVhbiBDb21taXNzaW9uPC9BdXRob3I+PFllYXI+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</w:fldData>
        </w:fldChar>
      </w:r>
      <w:r w:rsidR="009F6910">
        <w:rPr>
          <w:rFonts w:ascii="Calibri" w:hAnsi="Calibri" w:cs="Times New Roman"/>
          <w:sz w:val="22"/>
          <w:szCs w:val="22"/>
        </w:rPr>
        <w:instrText xml:space="preserve"> ADDIN EN.CITE </w:instrText>
      </w:r>
      <w:r w:rsidR="00E13392">
        <w:rPr>
          <w:rFonts w:ascii="Calibri" w:hAnsi="Calibri" w:cs="Times New Roman"/>
          <w:sz w:val="22"/>
          <w:szCs w:val="22"/>
        </w:rPr>
        <w:fldChar w:fldCharType="begin">
          <w:fldData xml:space="preserve">PEVuZE5vdGU+PENpdGU+PEF1dGhvcj5FdXJvcGVhbiBDb21taXNzaW9uPC9BdXRob3I+PFllYXI+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</w:fldData>
        </w:fldChar>
      </w:r>
      <w:r w:rsidR="009F6910">
        <w:rPr>
          <w:rFonts w:ascii="Calibri" w:hAnsi="Calibri" w:cs="Times New Roman"/>
          <w:sz w:val="22"/>
          <w:szCs w:val="22"/>
        </w:rPr>
        <w:instrText xml:space="preserve"> ADDIN EN.CITE.DATA </w:instrText>
      </w:r>
      <w:r w:rsidR="00E13392">
        <w:rPr>
          <w:rFonts w:ascii="Calibri" w:hAnsi="Calibri" w:cs="Times New Roman"/>
          <w:sz w:val="22"/>
          <w:szCs w:val="22"/>
        </w:rPr>
      </w:r>
      <w:r w:rsidR="00E13392">
        <w:rPr>
          <w:rFonts w:ascii="Calibri" w:hAnsi="Calibri" w:cs="Times New Roman"/>
          <w:sz w:val="22"/>
          <w:szCs w:val="22"/>
        </w:rPr>
        <w:fldChar w:fldCharType="end"/>
      </w:r>
      <w:r w:rsidR="00E13392">
        <w:rPr>
          <w:rFonts w:ascii="Calibri" w:hAnsi="Calibri" w:cs="Times New Roman"/>
          <w:sz w:val="22"/>
          <w:szCs w:val="22"/>
        </w:rPr>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273</w:t>
      </w:r>
      <w:r w:rsidR="00E13392">
        <w:rPr>
          <w:rFonts w:ascii="Calibri" w:hAnsi="Calibri" w:cs="Times New Roman"/>
          <w:sz w:val="22"/>
          <w:szCs w:val="22"/>
        </w:rPr>
        <w:fldChar w:fldCharType="end"/>
      </w:r>
      <w:r>
        <w:rPr>
          <w:rFonts w:ascii="Calibri" w:hAnsi="Calibri" w:cs="Times New Roman"/>
          <w:sz w:val="22"/>
          <w:szCs w:val="22"/>
        </w:rPr>
        <w:t xml:space="preserve"> and is projected to rise to €600 billion (in 2010 euros) by 2050, as the EU’s dependence on foreign fossil fuels increases.</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&lt;EndNote&gt;&lt;Cite&gt;&lt;Author&gt;Capros&lt;/Author&gt;&lt;Year&gt;2013&lt;/Year&gt;&lt;RecNum&gt;924&lt;/RecNum&gt;&lt;DisplayText&gt;&lt;style face="superscript"&gt;274&lt;/style&gt;&lt;/DisplayText&gt;&lt;record&gt;&lt;rec-number&gt;924&lt;/rec-number&gt;&lt;foreign-keys&gt;&lt;key app="EN" db-id="wtftd20rmszxx0ettxy5exwdf90wv22s2dsf" timestamp="1419212983"&gt;924&lt;/key&gt;&lt;/foreign-keys&gt;&lt;ref-type name="Report"&gt;27&lt;/ref-type&gt;&lt;contributors&gt;&lt;authors&gt;&lt;author&gt;Capros, P. &lt;/author&gt;&lt;author&gt;De Vita, A. &lt;/author&gt;&lt;author&gt;Tasios, D.&lt;/author&gt;&lt;author&gt;Papadopoulos, D.&lt;/author&gt;&lt;author&gt;Siskos, P.&lt;/author&gt;&lt;author&gt;Apostolaki, M.&lt;/author&gt;&lt;author&gt;Zampara, L.&lt;/author&gt;&lt;author&gt;Paroussos, K.&lt;/author&gt;&lt;author&gt;Fragiadakis, K.&lt;/author&gt;&lt;author&gt;Kouvaritakis, N.&lt;/author&gt;&lt;author&gt;Hoglund-Isaksson, L.&lt;/author&gt;&lt;author&gt;Winiwarter, W.&lt;/author&gt;&lt;author&gt;Purohit, P.&lt;/author&gt;&lt;author&gt;Bottcher, H.&lt;/author&gt;&lt;author&gt;Frank, S.&lt;/author&gt;&lt;author&gt;Havlik, P.&lt;/author&gt;&lt;author&gt;Gusti, M.&lt;/author&gt;&lt;author&gt;Witzke, H.P&lt;/author&gt;&lt;/authors&gt;&lt;/contributors&gt;&lt;titles&gt;&lt;title&gt;EU Energy, Transport and GHG Emissions: Trends to 2050 – Reference Scenario&lt;/title&gt;&lt;/titles&gt;&lt;dates&gt;&lt;year&gt;2013&lt;/year&gt;&lt;/dates&gt;&lt;publisher&gt;European Commission&lt;/publisher&gt;&lt;urls&gt;&lt;/urls&gt;&lt;/record&gt;&lt;/Cite&gt;&lt;/EndNote&gt;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274</w:t>
      </w:r>
      <w:r w:rsidR="00E13392">
        <w:rPr>
          <w:rFonts w:ascii="Calibri" w:hAnsi="Calibri" w:cs="Times New Roman"/>
          <w:sz w:val="22"/>
          <w:szCs w:val="22"/>
        </w:rPr>
        <w:fldChar w:fldCharType="end"/>
      </w:r>
      <w:r>
        <w:rPr>
          <w:rFonts w:ascii="Calibri" w:hAnsi="Calibri" w:cs="Times New Roman"/>
          <w:sz w:val="22"/>
          <w:szCs w:val="22"/>
        </w:rPr>
        <w:t xml:space="preserve"> Low-carbon investments that reduce the need to import fossil fuels are macro-economically beneficial, with the value of these trade effects in the future being uncertain and dependent on the price of oil and other fossil fuels. Such uncertainty is itself a cost, which is amplified when allied with price volatility - a common characteristic of fossil fuel markets.</w:t>
      </w:r>
    </w:p>
    <w:p w:rsidR="002354AF" w:rsidRPr="00024E43" w:rsidRDefault="002354AF" w:rsidP="002354AF">
      <w:pPr>
        <w:jc w:val="both"/>
        <w:rPr>
          <w:rFonts w:ascii="Calibri" w:hAnsi="Calibri"/>
          <w:sz w:val="22"/>
          <w:szCs w:val="22"/>
        </w:rPr>
      </w:pPr>
    </w:p>
    <w:p w:rsidR="002354AF" w:rsidRPr="001D39CF" w:rsidRDefault="002354AF" w:rsidP="002354AF">
      <w:pPr>
        <w:jc w:val="both"/>
        <w:rPr>
          <w:rFonts w:ascii="Calibri" w:hAnsi="Calibri"/>
        </w:rPr>
      </w:pPr>
    </w:p>
    <w:p w:rsidR="002354AF" w:rsidRPr="00D036C9" w:rsidRDefault="002354AF" w:rsidP="00D036C9">
      <w:pPr>
        <w:pStyle w:val="Heading2"/>
      </w:pPr>
      <w:bookmarkStart w:id="138" w:name="_Toc402956403"/>
      <w:bookmarkStart w:id="139" w:name="_Toc415931408"/>
      <w:bookmarkStart w:id="140" w:name="_Toc417502073"/>
      <w:r w:rsidRPr="002925B8">
        <w:t>Possible sources of finance</w:t>
      </w:r>
      <w:bookmarkEnd w:id="138"/>
      <w:bookmarkEnd w:id="139"/>
      <w:bookmarkEnd w:id="140"/>
    </w:p>
    <w:p w:rsidR="00DC4C4E" w:rsidRPr="00D036C9" w:rsidRDefault="00DC4C4E">
      <w:pPr>
        <w:jc w:val="both"/>
        <w:rPr>
          <w:rFonts w:ascii="Calibri" w:hAnsi="Calibri" w:cs="Times New Roman"/>
          <w:b/>
          <w:sz w:val="22"/>
        </w:rPr>
      </w:pPr>
      <w:r>
        <w:rPr>
          <w:rFonts w:ascii="Calibri" w:hAnsi="Calibri" w:cs="Times New Roman"/>
          <w:sz w:val="22"/>
          <w:szCs w:val="22"/>
        </w:rPr>
        <w:t>In the public sector (aside from the extensive resources to be found in local, regional, national and supranational government budgets), sovereign wealth funds, as of August 2014, held over $6.7 trillion in assets.</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&lt;EndNote&gt;&lt;Cite&gt;&lt;Author&gt;Sovereign Wealth Funds Institute&lt;/Author&gt;&lt;Year&gt; 2013&lt;/Year&gt;&lt;RecNum&gt;979&lt;/RecNum&gt;&lt;DisplayText&gt;&lt;style face="superscript"&gt;275&lt;/style&gt;&lt;/DisplayText&gt;&lt;record&gt;&lt;rec-number&gt;979&lt;/rec-number&gt;&lt;foreign-keys&gt;&lt;key app="EN" db-id="wtftd20rmszxx0ettxy5exwdf90wv22s2dsf" timestamp="1419212983"&gt;979&lt;/key&gt;&lt;/foreign-keys&gt;&lt;ref-type name="Electronic Article"&gt;43&lt;/ref-type&gt;&lt;contributors&gt;&lt;authors&gt;&lt;author&gt;Sovereign Wealth Funds Institute,&lt;/author&gt;&lt;/authors&gt;&lt;/contributors&gt;&lt;titles&gt;&lt;title&gt;Fund Rankings&lt;/title&gt;&lt;/titles&gt;&lt;dates&gt;&lt;year&gt; 2013&lt;/year&gt;&lt;pub-dates&gt;&lt;date&gt;25 Aug 2014&lt;/date&gt;&lt;/pub-dates&gt;&lt;/dates&gt;&lt;urls&gt;&lt;related-urls&gt;&lt;url&gt;http://www.swfinstitute.org/fund-rankings/ &lt;/url&gt;&lt;/related-urls&gt;&lt;/urls&gt;&lt;/record&gt;&lt;/Cite&gt;&lt;Cite&gt;&lt;Author&gt;Sovereign Wealth Funds Institute&lt;/Author&gt;&lt;Year&gt; 2013&lt;/Year&gt;&lt;RecNum&gt;979&lt;/RecNum&gt;&lt;record&gt;&lt;rec-number&gt;979&lt;/rec-number&gt;&lt;foreign-keys&gt;&lt;key app="EN" db-id="wtftd20rmszxx0ettxy5exwdf90wv22s2dsf" timestamp="1419212983"&gt;979&lt;/key&gt;&lt;/foreign-keys&gt;&lt;ref-type name="Electronic Article"&gt;43&lt;/ref-type&gt;&lt;contributors&gt;&lt;authors&gt;&lt;author&gt;Sovereign Wealth Funds Institute,&lt;/author&gt;&lt;/authors&gt;&lt;/contributors&gt;&lt;titles&gt;&lt;title&gt;Fund Rankings&lt;/title&gt;&lt;/titles&gt;&lt;dates&gt;&lt;year&gt; 2013&lt;/year&gt;&lt;pub-dates&gt;&lt;date&gt;25 Aug 2014&lt;/date&gt;&lt;/pub-dates&gt;&lt;/dates&gt;&lt;urls&gt;&lt;related-urls&gt;&lt;url&gt;http://www.swfinstitute.org/fund-rankings/ &lt;/url&gt;&lt;/related-urls&gt;&lt;/urls&gt;&lt;/record&gt;&lt;/Cite&gt;&lt;/EndNote&gt;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275</w:t>
      </w:r>
      <w:r w:rsidR="00E13392">
        <w:rPr>
          <w:rFonts w:ascii="Calibri" w:hAnsi="Calibri" w:cs="Times New Roman"/>
          <w:sz w:val="22"/>
          <w:szCs w:val="22"/>
        </w:rPr>
        <w:fldChar w:fldCharType="end"/>
      </w:r>
      <w:r>
        <w:rPr>
          <w:rFonts w:ascii="Calibri" w:hAnsi="Calibri" w:cs="Times New Roman"/>
          <w:sz w:val="22"/>
          <w:szCs w:val="22"/>
        </w:rPr>
        <w:t xml:space="preserve"> However, in the private sector, institutional investors held a global total of $75.9 </w:t>
      </w:r>
      <w:r>
        <w:rPr>
          <w:rFonts w:ascii="Calibri" w:hAnsi="Calibri" w:cs="Times New Roman"/>
          <w:sz w:val="22"/>
          <w:szCs w:val="22"/>
        </w:rPr>
        <w:lastRenderedPageBreak/>
        <w:t>trillion in assets under management in 2013</w:t>
      </w:r>
      <w:r w:rsidR="00C638DE">
        <w:rPr>
          <w:rFonts w:ascii="Calibri" w:hAnsi="Calibri" w:cs="Times New Roman"/>
          <w:sz w:val="22"/>
          <w:szCs w:val="22"/>
        </w:rPr>
        <w:t xml:space="preserve"> (this includes $22.8 trillion with pension funds, 24.6 trillion with insurance companies, and 1.5 trillion in foundations and endowments).</w:t>
      </w:r>
      <w:r w:rsidR="00E13392">
        <w:rPr>
          <w:rFonts w:ascii="Calibri" w:hAnsi="Calibri" w:cs="Times New Roman"/>
          <w:sz w:val="20"/>
        </w:rPr>
        <w:fldChar w:fldCharType="begin"/>
      </w:r>
      <w:r w:rsidR="009F6910">
        <w:rPr>
          <w:rFonts w:ascii="Calibri" w:hAnsi="Calibri" w:cs="Times New Roman"/>
          <w:sz w:val="20"/>
        </w:rPr>
        <w:instrText xml:space="preserve"> ADDIN EN.CITE &lt;EndNote&gt;&lt;Cite&gt;&lt;Author&gt;Fulton&lt;/Author&gt;&lt;Year&gt;2014&lt;/Year&gt;&lt;RecNum&gt;935&lt;/RecNum&gt;&lt;DisplayText&gt;&lt;style face="superscript"&gt;276&lt;/style&gt;&lt;/DisplayText&gt;&lt;record&gt;&lt;rec-number&gt;935&lt;/rec-number&gt;&lt;foreign-keys&gt;&lt;key app="EN" db-id="wtftd20rmszxx0ettxy5exwdf90wv22s2dsf" timestamp="1419212983"&gt;935&lt;/key&gt;&lt;/foreign-keys&gt;&lt;ref-type name="Book"&gt;6&lt;/ref-type&gt;&lt;contributors&gt;&lt;authors&gt;&lt;author&gt;Fulton, M.&lt;/author&gt;&lt;author&gt;Capalino, R.&lt;/author&gt;&lt;/authors&gt;&lt;/contributors&gt;&lt;titles&gt;&lt;title&gt;Investing in the Clean Trillion: Closing the Clean Energy Investment Gap&lt;/title&gt;&lt;/titles&gt;&lt;dates&gt;&lt;year&gt;2014&lt;/year&gt;&lt;/dates&gt;&lt;pub-location&gt;Boston&lt;/pub-location&gt;&lt;publisher&gt;Ceres&lt;/publisher&gt;&lt;urls&gt;&lt;/urls&gt;&lt;/record&gt;&lt;/Cite&gt;&lt;/EndNote&gt;</w:instrText>
      </w:r>
      <w:r w:rsidR="00E13392">
        <w:rPr>
          <w:rFonts w:ascii="Calibri" w:hAnsi="Calibri" w:cs="Times New Roman"/>
          <w:sz w:val="20"/>
        </w:rPr>
        <w:fldChar w:fldCharType="separate"/>
      </w:r>
      <w:r w:rsidR="009F6910" w:rsidRPr="009F6910">
        <w:rPr>
          <w:rFonts w:ascii="Calibri" w:hAnsi="Calibri" w:cs="Times New Roman"/>
          <w:noProof/>
          <w:sz w:val="20"/>
          <w:vertAlign w:val="superscript"/>
        </w:rPr>
        <w:t>276</w:t>
      </w:r>
      <w:r w:rsidR="00E13392">
        <w:rPr>
          <w:rFonts w:ascii="Calibri" w:hAnsi="Calibri" w:cs="Times New Roman"/>
          <w:sz w:val="20"/>
        </w:rPr>
        <w:fldChar w:fldCharType="end"/>
      </w:r>
    </w:p>
    <w:p w:rsidR="00DC4C4E" w:rsidRDefault="00DC4C4E" w:rsidP="00DC4C4E">
      <w:pPr>
        <w:jc w:val="both"/>
        <w:rPr>
          <w:rFonts w:ascii="Calibri" w:hAnsi="Calibri" w:cs="Times New Roman"/>
          <w:sz w:val="22"/>
        </w:rPr>
      </w:pPr>
    </w:p>
    <w:p w:rsidR="00DC4C4E" w:rsidRDefault="00DC4C4E" w:rsidP="00DC4C4E">
      <w:pPr>
        <w:jc w:val="both"/>
        <w:rPr>
          <w:rFonts w:ascii="Calibri" w:hAnsi="Calibri" w:cs="Times New Roman"/>
          <w:sz w:val="22"/>
        </w:rPr>
      </w:pPr>
      <w:r>
        <w:rPr>
          <w:rFonts w:ascii="Calibri" w:hAnsi="Calibri" w:cs="Times New Roman"/>
          <w:sz w:val="22"/>
        </w:rPr>
        <w:t>Institutional investors are likely to be critical sources of finance for mitigation and adaptation due to the scale of resources available and the presence of long-term investment obligations. However, only 0.1% of institutional investor assets (excluding sovereign wealth funds) are currently invested in low-carbon energy infrastructure projects ($75 billion),</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&lt;EndNote&gt;&lt;Cite&gt;&lt;Author&gt;Kaminker&lt;/Author&gt;&lt;Year&gt;2013&lt;/Year&gt;&lt;RecNum&gt;957&lt;/RecNum&gt;&lt;DisplayText&gt;&lt;style face="superscript"&gt;277&lt;/style&gt;&lt;/DisplayText&gt;&lt;record&gt;&lt;rec-number&gt;957&lt;/rec-number&gt;&lt;foreign-keys&gt;&lt;key app="EN" db-id="wtftd20rmszxx0ettxy5exwdf90wv22s2dsf" timestamp="1419212983"&gt;957&lt;/key&gt;&lt;/foreign-keys&gt;&lt;ref-type name="Report"&gt;27&lt;/ref-type&gt;&lt;contributors&gt;&lt;authors&gt;&lt;author&gt;Kaminker, C.&lt;/author&gt;&lt;author&gt;Kawanishi, O.&lt;/author&gt;&lt;author&gt;Stewart, F.&lt;/author&gt;&lt;author&gt;Caldecott, B.&lt;/author&gt;&lt;author&gt;Howarth, N.&lt;/author&gt;&lt;/authors&gt;&lt;/contributors&gt;&lt;titles&gt;&lt;title&gt; Institutional Investors and Green Infrastructure Investments: Selected Case Studies&lt;/title&gt;&lt;/titles&gt;&lt;dates&gt;&lt;year&gt;2013&lt;/year&gt;&lt;/dates&gt;&lt;pub-location&gt;Paris&lt;/pub-location&gt;&lt;publisher&gt;Organization for Economic Co-operation and Development&lt;/publisher&gt;&lt;urls&gt;&lt;/urls&gt;&lt;/record&gt;&lt;/Cite&gt;&lt;Cite&gt;&lt;Author&gt;Kaminker&lt;/Author&gt;&lt;Year&gt;2013&lt;/Year&gt;&lt;RecNum&gt;957&lt;/RecNum&gt;&lt;record&gt;&lt;rec-number&gt;957&lt;/rec-number&gt;&lt;foreign-keys&gt;&lt;key app="EN" db-id="wtftd20rmszxx0ettxy5exwdf90wv22s2dsf" timestamp="1419212983"&gt;957&lt;/key&gt;&lt;/foreign-keys&gt;&lt;ref-type name="Report"&gt;27&lt;/ref-type&gt;&lt;contributors&gt;&lt;authors&gt;&lt;author&gt;Kaminker, C.&lt;/author&gt;&lt;author&gt;Kawanishi, O.&lt;/author&gt;&lt;author&gt;Stewart, F.&lt;/author&gt;&lt;author&gt;Caldecott, B.&lt;/author&gt;&lt;author&gt;Howarth, N.&lt;/author&gt;&lt;/authors&gt;&lt;/contributors&gt;&lt;titles&gt;&lt;title&gt; Institutional Investors and Green Infrastructure Investments: Selected Case Studies&lt;/title&gt;&lt;/titles&gt;&lt;dates&gt;&lt;year&gt;2013&lt;/year&gt;&lt;/dates&gt;&lt;pub-location&gt;Paris&lt;/pub-location&gt;&lt;publisher&gt;Organization for Economic Co-operation and Development&lt;/publisher&gt;&lt;urls&gt;&lt;/urls&gt;&lt;/record&gt;&lt;/Cite&gt;&lt;/EndNote&gt;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277</w:t>
      </w:r>
      <w:r w:rsidR="00E13392">
        <w:rPr>
          <w:rFonts w:ascii="Calibri" w:hAnsi="Calibri" w:cs="Times New Roman"/>
          <w:sz w:val="22"/>
        </w:rPr>
        <w:fldChar w:fldCharType="end"/>
      </w:r>
      <w:r>
        <w:rPr>
          <w:rFonts w:ascii="Calibri" w:hAnsi="Calibri" w:cs="Times New Roman"/>
          <w:sz w:val="22"/>
        </w:rPr>
        <w:t xml:space="preserve"> Commercial banks are also a key source of finance, and are one of the main existing sources of renewable investment capital. The resources held by non-financial companies are also extensive, with the largest one thousand such companies estimated to hold $23 trillion in cash reserves.</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&lt;EndNote&gt;&lt;Cite&gt;&lt;Author&gt;Deloitte&lt;/Author&gt;&lt;Year&gt;2013&lt;/Year&gt;&lt;RecNum&gt;930&lt;/RecNum&gt;&lt;DisplayText&gt;&lt;style face="superscript"&gt;278&lt;/style&gt;&lt;/DisplayText&gt;&lt;record&gt;&lt;rec-number&gt;930&lt;/rec-number&gt;&lt;foreign-keys&gt;&lt;key app="EN" db-id="wtftd20rmszxx0ettxy5exwdf90wv22s2dsf" timestamp="1419212983"&gt;930&lt;/key&gt;&lt;/foreign-keys&gt;&lt;ref-type name="Electronic Article"&gt;43&lt;/ref-type&gt;&lt;contributors&gt;&lt;authors&gt;&lt;author&gt;Deloitte,&lt;/author&gt;&lt;/authors&gt;&lt;/contributors&gt;&lt;titles&gt;&lt;title&gt;The Cash Paradox: How Record Cash Reserves are Influencing Corporate Behaviour&lt;/title&gt;&lt;secondary-title&gt;M&amp;amp;A Perspectives&lt;/secondary-title&gt;&lt;/titles&gt;&lt;periodical&gt;&lt;full-title&gt;M&amp;amp;A Perspectives&lt;/full-title&gt;&lt;/periodical&gt;&lt;dates&gt;&lt;year&gt;2013&lt;/year&gt;&lt;pub-dates&gt;&lt;date&gt;20 Dec 2014&lt;/date&gt;&lt;/pub-dates&gt;&lt;/dates&gt;&lt;pub-location&gt;London&lt;/pub-location&gt;&lt;publisher&gt;Deloitte&lt;/publisher&gt;&lt;urls&gt;&lt;related-urls&gt;&lt;url&gt;http://www.deloitte.com/assets/Dcom-UnitedKingdom/Local%20Assets/Documents/Market%20insights/uk-insights-ma-perspectives-the-cas-paradox-2013-5.pdf&lt;/url&gt;&lt;/related-urls&gt;&lt;/urls&gt;&lt;/record&gt;&lt;/Cite&gt;&lt;Cite&gt;&lt;Author&gt;Deloitte&lt;/Author&gt;&lt;Year&gt;2013&lt;/Year&gt;&lt;RecNum&gt;930&lt;/RecNum&gt;&lt;record&gt;&lt;rec-number&gt;930&lt;/rec-number&gt;&lt;foreign-keys&gt;&lt;key app="EN" db-id="wtftd20rmszxx0ettxy5exwdf90wv22s2dsf" timestamp="1419212983"&gt;930&lt;/key&gt;&lt;/foreign-keys&gt;&lt;ref-type name="Electronic Article"&gt;43&lt;/ref-type&gt;&lt;contributors&gt;&lt;authors&gt;&lt;author&gt;Deloitte,&lt;/author&gt;&lt;/authors&gt;&lt;/contributors&gt;&lt;titles&gt;&lt;title&gt;The Cash Paradox: How Record Cash Reserves are Influencing Corporate Behaviour&lt;/title&gt;&lt;secondary-title&gt;M&amp;amp;A Perspectives&lt;/secondary-title&gt;&lt;/titles&gt;&lt;periodical&gt;&lt;full-title&gt;M&amp;amp;A Perspectives&lt;/full-title&gt;&lt;/periodical&gt;&lt;dates&gt;&lt;year&gt;2013&lt;/year&gt;&lt;pub-dates&gt;&lt;date&gt;20 Dec 2014&lt;/date&gt;&lt;/pub-dates&gt;&lt;/dates&gt;&lt;pub-location&gt;London&lt;/pub-location&gt;&lt;publisher&gt;Deloitte&lt;/publisher&gt;&lt;urls&gt;&lt;related-urls&gt;&lt;url&gt;http://www.deloitte.com/assets/Dcom-UnitedKingdom/Local%20Assets/Documents/Market%20insights/uk-insights-ma-perspectives-the-cas-paradox-2013-5.pdf&lt;/url&gt;&lt;/related-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278</w:t>
      </w:r>
      <w:r w:rsidR="00E13392">
        <w:rPr>
          <w:rFonts w:ascii="Calibri" w:hAnsi="Calibri" w:cs="Times New Roman"/>
          <w:sz w:val="22"/>
        </w:rPr>
        <w:fldChar w:fldCharType="end"/>
      </w:r>
      <w:r>
        <w:rPr>
          <w:rFonts w:ascii="Calibri" w:hAnsi="Calibri" w:cs="Times New Roman"/>
          <w:sz w:val="22"/>
        </w:rPr>
        <w:t xml:space="preserve"> </w:t>
      </w:r>
    </w:p>
    <w:p w:rsidR="00DC4C4E" w:rsidRDefault="00DC4C4E" w:rsidP="00DC4C4E">
      <w:pPr>
        <w:rPr>
          <w:rFonts w:ascii="Calibri" w:hAnsi="Calibri"/>
        </w:rPr>
      </w:pPr>
    </w:p>
    <w:p w:rsidR="00DE4524" w:rsidRDefault="00DC4C4E" w:rsidP="00DC4C4E">
      <w:pPr>
        <w:jc w:val="both"/>
        <w:rPr>
          <w:rFonts w:ascii="Calibri" w:hAnsi="Calibri" w:cs="Times New Roman"/>
          <w:sz w:val="22"/>
        </w:rPr>
      </w:pPr>
      <w:r>
        <w:rPr>
          <w:rFonts w:ascii="Calibri" w:hAnsi="Calibri" w:cs="Times New Roman"/>
          <w:sz w:val="22"/>
        </w:rPr>
        <w:t>International Financial Institutions (IFIs) such as the Bretton Woods institutions and other Multilateral Development Banks (MDBs), Multilateral Finance Institutions (MFIs) and Regional Investment Banks (RIBs), whilst not holding collective assets to match those above, are also leaders in existing mitigation and adaptation finance, and are likely to be key in building a low-carbon economy in developing countries; their mandates are explicitly focused on development and poverty reduction promoted through low-interest, long-term loans – suitable for large infrastructure projects. Existing dedicated funds for climate change mitigation and adaptation under the UNFCCC, such as the Green Climate Fund (GCF), are also important resources. The GCF, established by the UNFCCC in 2010 and launched in 2013, aims to raise $100 billion of ‘new and additional’ funding per annum from industrialised nations, by 2020 (from both public and private finance), to support mitigation and adaptation pathways in developing countries. In 2012, $125.9 billion of Official Development Assistance (ODA) was delivered by donor countries, equivalent to 0.29% of their combined GNI (Gross National Income). Were states to meet their ODA commitments of 0.7% of GNI, another $174.7 billion would be mobilised.</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&lt;EndNote&gt;&lt;Cite&gt;&lt;Author&gt;UN&lt;/Author&gt;&lt;Year&gt;2013&lt;/Year&gt;&lt;RecNum&gt;980&lt;/RecNum&gt;&lt;DisplayText&gt;&lt;style face="superscript"&gt;279&lt;/style&gt;&lt;/DisplayText&gt;&lt;record&gt;&lt;rec-number&gt;980&lt;/rec-number&gt;&lt;foreign-keys&gt;&lt;key app="EN" db-id="wtftd20rmszxx0ettxy5exwdf90wv22s2dsf" timestamp="1419212983"&gt;980&lt;/key&gt;&lt;/foreign-keys&gt;&lt;ref-type name="Report"&gt;27&lt;/ref-type&gt;&lt;contributors&gt;&lt;authors&gt;&lt;author&gt;United Nations,&lt;/author&gt;&lt;/authors&gt;&lt;/contributors&gt;&lt;titles&gt;&lt;title&gt;Millennium Development Goal 8, The Challenge We Face: MDG Gap Task Force Report 2013&lt;/title&gt;&lt;/titles&gt;&lt;dates&gt;&lt;year&gt;2013&lt;/year&gt;&lt;/dates&gt;&lt;pub-location&gt;New York&lt;/pub-location&gt;&lt;urls&gt;&lt;/urls&gt;&lt;/record&gt;&lt;/Cite&gt;&lt;Cite&gt;&lt;Author&gt;UN&lt;/Author&gt;&lt;Year&gt;2013&lt;/Year&gt;&lt;RecNum&gt;980&lt;/RecNum&gt;&lt;record&gt;&lt;rec-number&gt;980&lt;/rec-number&gt;&lt;foreign-keys&gt;&lt;key app="EN" db-id="wtftd20rmszxx0ettxy5exwdf90wv22s2dsf" timestamp="1419212983"&gt;980&lt;/key&gt;&lt;/foreign-keys&gt;&lt;ref-type name="Report"&gt;27&lt;/ref-type&gt;&lt;contributors&gt;&lt;authors&gt;&lt;author&gt;United Nations,&lt;/author&gt;&lt;/authors&gt;&lt;/contributors&gt;&lt;titles&gt;&lt;title&gt;Millennium Development Goal 8, The Challenge We Face: MDG Gap Task Force Report 2013&lt;/title&gt;&lt;/titles&gt;&lt;dates&gt;&lt;year&gt;2013&lt;/year&gt;&lt;/dates&gt;&lt;pub-location&gt;New York&lt;/pub-location&gt;&lt;urls&gt;&lt;/urls&gt;&lt;/record&gt;&lt;/Cite&gt;&lt;/EndNote&gt;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279</w:t>
      </w:r>
      <w:r w:rsidR="00E13392">
        <w:rPr>
          <w:rFonts w:ascii="Calibri" w:hAnsi="Calibri" w:cs="Times New Roman"/>
          <w:sz w:val="22"/>
        </w:rPr>
        <w:fldChar w:fldCharType="end"/>
      </w:r>
    </w:p>
    <w:p w:rsidR="00DC4C4E" w:rsidRDefault="00DE4524" w:rsidP="00DC4C4E">
      <w:pPr>
        <w:jc w:val="both"/>
        <w:rPr>
          <w:rFonts w:ascii="Calibri" w:hAnsi="Calibri"/>
        </w:rPr>
      </w:pPr>
      <w:r>
        <w:rPr>
          <w:rFonts w:ascii="Calibri" w:hAnsi="Calibri" w:cs="Times New Roman"/>
          <w:sz w:val="22"/>
        </w:rPr>
        <w:t>A reduction in the amount of ODA available for global public health</w:t>
      </w:r>
      <w:r w:rsidR="00CF6727">
        <w:rPr>
          <w:rFonts w:ascii="Calibri" w:hAnsi="Calibri" w:cs="Times New Roman"/>
          <w:sz w:val="22"/>
        </w:rPr>
        <w:t xml:space="preserve"> threatens</w:t>
      </w:r>
      <w:r>
        <w:rPr>
          <w:rFonts w:ascii="Calibri" w:hAnsi="Calibri" w:cs="Times New Roman"/>
          <w:sz w:val="22"/>
        </w:rPr>
        <w:t xml:space="preserve"> the viability of a number of institutions and programmes that have been in operation for the last decade. This could be compensated by accessing climate finance, made available by developing programmes aimed at promoting public health and responding to climate change simultaneously.</w:t>
      </w:r>
    </w:p>
    <w:p w:rsidR="00DC4C4E" w:rsidRDefault="00DC4C4E" w:rsidP="00DC4C4E">
      <w:pPr>
        <w:rPr>
          <w:rFonts w:ascii="Calibri" w:hAnsi="Calibri"/>
        </w:rPr>
      </w:pPr>
    </w:p>
    <w:p w:rsidR="00DC4C4E" w:rsidRPr="00D036C9" w:rsidRDefault="00DC4C4E" w:rsidP="00D036C9">
      <w:pPr>
        <w:pStyle w:val="Heading2"/>
      </w:pPr>
      <w:bookmarkStart w:id="141" w:name="_Toc402956404"/>
      <w:bookmarkStart w:id="142" w:name="_Toc415931409"/>
      <w:bookmarkStart w:id="143" w:name="_Toc417502074"/>
      <w:r>
        <w:t>Enabling architecture and policy instruments</w:t>
      </w:r>
      <w:bookmarkEnd w:id="141"/>
      <w:bookmarkEnd w:id="142"/>
      <w:bookmarkEnd w:id="143"/>
    </w:p>
    <w:p w:rsidR="00DC4C4E" w:rsidRDefault="00DC4C4E" w:rsidP="00DC4C4E">
      <w:pPr>
        <w:jc w:val="both"/>
        <w:rPr>
          <w:rFonts w:ascii="Calibri" w:hAnsi="Calibri" w:cs="Times New Roman"/>
          <w:sz w:val="22"/>
          <w:szCs w:val="22"/>
        </w:rPr>
      </w:pPr>
      <w:r>
        <w:rPr>
          <w:rFonts w:ascii="Calibri" w:hAnsi="Calibri" w:cs="Times New Roman"/>
          <w:sz w:val="22"/>
          <w:szCs w:val="22"/>
        </w:rPr>
        <w:t>The mobilisation of such financial resources requires robust policy-generated incentive frameworks, underpinned by credible political commitments. By the end of 2013, 66 countries had enacted 487 climate mitigation and adaptation-related laws (or policies of equivalent status), with a rich diversity of approaches.</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&lt;EndNote&gt;&lt;Cite&gt;&lt;Author&gt;Nachmany&lt;/Author&gt;&lt;Year&gt;2014&lt;/Year&gt;&lt;RecNum&gt;963&lt;/RecNum&gt;&lt;DisplayText&gt;&lt;style face="superscript"&gt;280&lt;/style&gt;&lt;/DisplayText&gt;&lt;record&gt;&lt;rec-number&gt;963&lt;/rec-number&gt;&lt;foreign-keys&gt;&lt;key app="EN" db-id="wtftd20rmszxx0ettxy5exwdf90wv22s2dsf" timestamp="1419212983"&gt;963&lt;/key&gt;&lt;/foreign-keys&gt;&lt;ref-type name="Report"&gt;27&lt;/ref-type&gt;&lt;contributors&gt;&lt;authors&gt;&lt;author&gt;Nachmany, M.&lt;/author&gt;&lt;author&gt;Fankhauser, S.&lt;/author&gt;&lt;author&gt;Townshend, T.&lt;/author&gt;&lt;author&gt;Collins, M.&lt;/author&gt;&lt;author&gt;Landesman, T.&lt;/author&gt;&lt;author&gt;Matthews, A.&lt;/author&gt;&lt;author&gt;Pavese, C.&lt;/author&gt;&lt;author&gt;Rietig, K.&lt;/author&gt;&lt;author&gt;Schleifer, P.&lt;/author&gt;&lt;author&gt;Setzer, J.&lt;/author&gt;&lt;/authors&gt;&lt;/contributors&gt;&lt;titles&gt;&lt;title&gt;The GLOBE Climate Legislation Study: A Review of Climate Legislation Study: A Review of Climate Change Legislation in 66 Countries&lt;/title&gt;&lt;/titles&gt;&lt;dates&gt;&lt;year&gt;2014&lt;/year&gt;&lt;/dates&gt;&lt;pub-location&gt;London&lt;/pub-location&gt;&lt;publisher&gt;GLOBE International and the Grantham Research Institute, London School of Economics&lt;/publisher&gt;&lt;urls&gt;&lt;/urls&gt;&lt;/record&gt;&lt;/Cite&gt;&lt;/EndNote&gt;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280</w:t>
      </w:r>
      <w:r w:rsidR="00E13392">
        <w:rPr>
          <w:rFonts w:ascii="Calibri" w:hAnsi="Calibri" w:cs="Times New Roman"/>
          <w:sz w:val="22"/>
          <w:szCs w:val="22"/>
        </w:rPr>
        <w:fldChar w:fldCharType="end"/>
      </w:r>
    </w:p>
    <w:p w:rsidR="00DC4C4E" w:rsidRDefault="00DC4C4E" w:rsidP="00DC4C4E">
      <w:pPr>
        <w:jc w:val="both"/>
        <w:rPr>
          <w:rFonts w:ascii="Calibri" w:hAnsi="Calibri"/>
          <w:sz w:val="22"/>
          <w:szCs w:val="22"/>
        </w:rPr>
      </w:pPr>
    </w:p>
    <w:p w:rsidR="00DC4C4E" w:rsidRDefault="00DC4C4E" w:rsidP="00DC4C4E">
      <w:pPr>
        <w:jc w:val="both"/>
        <w:rPr>
          <w:rFonts w:ascii="Calibri" w:hAnsi="Calibri" w:cs="Times New Roman"/>
          <w:sz w:val="22"/>
          <w:szCs w:val="22"/>
        </w:rPr>
      </w:pPr>
      <w:r>
        <w:rPr>
          <w:rFonts w:ascii="Calibri" w:hAnsi="Calibri" w:cs="Times New Roman"/>
          <w:sz w:val="22"/>
          <w:szCs w:val="22"/>
        </w:rPr>
        <w:t>The Stern Review considered that a policy framework for CO</w:t>
      </w:r>
      <w:r>
        <w:rPr>
          <w:rFonts w:ascii="Calibri" w:hAnsi="Calibri" w:cs="Times New Roman"/>
          <w:sz w:val="22"/>
          <w:szCs w:val="22"/>
          <w:vertAlign w:val="subscript"/>
        </w:rPr>
        <w:t>2</w:t>
      </w:r>
      <w:r>
        <w:rPr>
          <w:rFonts w:ascii="Calibri" w:hAnsi="Calibri" w:cs="Times New Roman"/>
          <w:sz w:val="22"/>
          <w:szCs w:val="22"/>
        </w:rPr>
        <w:t xml:space="preserve"> abatement should have three elements: carbon pricing; technology policy, and the removal of barriers to behaviour change </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&lt;EndNote&gt;&lt;Cite&gt;&lt;Author&gt;Stern&lt;/Author&gt;&lt;Year&gt;2006&lt;/Year&gt;&lt;RecNum&gt;978&lt;/RecNum&gt;&lt;DisplayText&gt;&lt;style face="superscript"&gt;267&lt;/style&gt;&lt;/DisplayText&gt;&lt;record&gt;&lt;rec-number&gt;978&lt;/rec-number&gt;&lt;foreign-keys&gt;&lt;key app="EN" db-id="wtftd20rmszxx0ettxy5exwdf90wv22s2dsf" timestamp="1419212983"&gt;978&lt;/key&gt;&lt;/foreign-keys&gt;&lt;ref-type name="Report"&gt;27&lt;/ref-type&gt;&lt;contributors&gt;&lt;authors&gt;&lt;author&gt;Stern, N.&lt;/author&gt;&lt;/authors&gt;&lt;/contributors&gt;&lt;titles&gt;&lt;title&gt;Stern Review on the Economics of Climate Change&lt;/title&gt;&lt;/titles&gt;&lt;dates&gt;&lt;year&gt;2006&lt;/year&gt;&lt;/dates&gt;&lt;pub-location&gt;London&lt;/pub-location&gt;&lt;publisher&gt;HM Treasury&lt;/publisher&gt;&lt;urls&gt;&lt;/urls&gt;&lt;/record&gt;&lt;/Cite&gt;&lt;/EndNote&gt;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267</w:t>
      </w:r>
      <w:r w:rsidR="00E13392">
        <w:rPr>
          <w:rFonts w:ascii="Calibri" w:hAnsi="Calibri" w:cs="Times New Roman"/>
          <w:sz w:val="22"/>
          <w:szCs w:val="22"/>
        </w:rPr>
        <w:fldChar w:fldCharType="end"/>
      </w:r>
      <w:r>
        <w:rPr>
          <w:rFonts w:ascii="Calibri" w:hAnsi="Calibri" w:cs="Times New Roman"/>
          <w:sz w:val="22"/>
          <w:szCs w:val="22"/>
        </w:rPr>
        <w:t xml:space="preserve"> This three-part classification maps closely to three policy ‘pillars’, which in turn correspond to three different ‘domains’ of change.</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&lt;EndNote&gt;&lt;Cite&gt;&lt;Author&gt;Grubb&lt;/Author&gt;&lt;Year&gt;2014&lt;/Year&gt;&lt;RecNum&gt;936&lt;/RecNum&gt;&lt;DisplayText&gt;&lt;style face="superscript"&gt;265&lt;/style&gt;&lt;/DisplayText&gt;&lt;record&gt;&lt;rec-number&gt;936&lt;/rec-number&gt;&lt;foreign-keys&gt;&lt;key app="EN" db-id="wtftd20rmszxx0ettxy5exwdf90wv22s2dsf" timestamp="1419212983"&gt;936&lt;/key&gt;&lt;/foreign-keys&gt;&lt;ref-type name="Book"&gt;6&lt;/ref-type&gt;&lt;contributors&gt;&lt;authors&gt;&lt;author&gt;Grubb, M.&lt;/author&gt;&lt;/authors&gt;&lt;/contributors&gt;&lt;titles&gt;&lt;title&gt;Planetary Economics: Energy, Climate Change and the Three Domains of Sustainable Development&lt;/title&gt;&lt;/titles&gt;&lt;dates&gt;&lt;year&gt;2014&lt;/year&gt;&lt;/dates&gt;&lt;pub-location&gt;London&lt;/pub-location&gt;&lt;publisher&gt;Routledge&lt;/publisher&gt;&lt;urls&gt;&lt;/urls&gt;&lt;/record&gt;&lt;/Cite&gt;&lt;Cite&gt;&lt;Author&gt;Grubb&lt;/Author&gt;&lt;Year&gt;2014&lt;/Year&gt;&lt;RecNum&gt;936&lt;/RecNum&gt;&lt;record&gt;&lt;rec-number&gt;936&lt;/rec-number&gt;&lt;foreign-keys&gt;&lt;key app="EN" db-id="wtftd20rmszxx0ettxy5exwdf90wv22s2dsf" timestamp="1419212983"&gt;936&lt;/key&gt;&lt;/foreign-keys&gt;&lt;ref-type name="Book"&gt;6&lt;/ref-type&gt;&lt;contributors&gt;&lt;authors&gt;&lt;author&gt;Grubb, M.&lt;/author&gt;&lt;/authors&gt;&lt;/contributors&gt;&lt;titles&gt;&lt;title&gt;Planetary Economics: Energy, Climate Change and the Three Domains of Sustainable Development&lt;/title&gt;&lt;/titles&gt;&lt;dates&gt;&lt;year&gt;2014&lt;/year&gt;&lt;/dates&gt;&lt;pub-location&gt;London&lt;/pub-location&gt;&lt;publisher&gt;Routledge&lt;/publisher&gt;&lt;urls&gt;&lt;/urls&gt;&lt;/record&gt;&lt;/Cite&gt;&lt;/EndNote&gt;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265</w:t>
      </w:r>
      <w:r w:rsidR="00E13392">
        <w:rPr>
          <w:rFonts w:ascii="Calibri" w:hAnsi="Calibri" w:cs="Times New Roman"/>
          <w:sz w:val="22"/>
          <w:szCs w:val="22"/>
        </w:rPr>
        <w:fldChar w:fldCharType="end"/>
      </w:r>
      <w:r>
        <w:rPr>
          <w:rFonts w:ascii="Calibri" w:hAnsi="Calibri" w:cs="Times New Roman"/>
          <w:sz w:val="22"/>
          <w:szCs w:val="22"/>
        </w:rPr>
        <w:t xml:space="preserve"> Figure 5.</w:t>
      </w:r>
      <w:r w:rsidR="00C638DE">
        <w:rPr>
          <w:rFonts w:ascii="Calibri" w:hAnsi="Calibri" w:cs="Times New Roman"/>
          <w:sz w:val="22"/>
          <w:szCs w:val="22"/>
        </w:rPr>
        <w:t>3</w:t>
      </w:r>
      <w:r>
        <w:rPr>
          <w:rFonts w:ascii="Calibri" w:hAnsi="Calibri" w:cs="Times New Roman"/>
          <w:sz w:val="22"/>
          <w:szCs w:val="22"/>
        </w:rPr>
        <w:t xml:space="preserve"> illustrates this framework, which can be applied to develop both mitigation and adaptation policy. </w:t>
      </w:r>
    </w:p>
    <w:p w:rsidR="00DC4C4E" w:rsidRDefault="00DC4C4E" w:rsidP="00DC4C4E">
      <w:pPr>
        <w:jc w:val="both"/>
        <w:rPr>
          <w:rFonts w:ascii="Calibri" w:hAnsi="Calibri"/>
        </w:rPr>
      </w:pPr>
    </w:p>
    <w:p w:rsidR="00D022A9" w:rsidRPr="00D022A9" w:rsidRDefault="00D022A9" w:rsidP="00D022A9">
      <w:pPr>
        <w:spacing w:after="160" w:line="259" w:lineRule="auto"/>
        <w:jc w:val="both"/>
        <w:rPr>
          <w:rFonts w:ascii="Calibri" w:eastAsiaTheme="minorHAnsi" w:hAnsi="Calibri"/>
          <w:sz w:val="22"/>
          <w:szCs w:val="22"/>
          <w:lang w:val="en-AU" w:eastAsia="en-US"/>
        </w:rPr>
      </w:pPr>
      <w:r w:rsidRPr="00D022A9">
        <w:rPr>
          <w:rFonts w:eastAsiaTheme="minorHAnsi"/>
          <w:noProof/>
          <w:sz w:val="22"/>
          <w:szCs w:val="22"/>
          <w:lang w:val="en-GB" w:eastAsia="en-GB"/>
        </w:rPr>
        <w:lastRenderedPageBreak/>
        <w:drawing>
          <wp:anchor distT="0" distB="0" distL="114300" distR="114300" simplePos="0" relativeHeight="251661824" behindDoc="0" locked="0" layoutInCell="1" allowOverlap="1">
            <wp:simplePos x="0" y="0"/>
            <wp:positionH relativeFrom="margin">
              <wp:align>center</wp:align>
            </wp:positionH>
            <wp:positionV relativeFrom="paragraph">
              <wp:posOffset>267335</wp:posOffset>
            </wp:positionV>
            <wp:extent cx="5428615" cy="2913380"/>
            <wp:effectExtent l="0" t="0" r="635" b="127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8615" cy="2913380"/>
                    </a:xfrm>
                    <a:prstGeom prst="rect">
                      <a:avLst/>
                    </a:prstGeom>
                    <a:noFill/>
                  </pic:spPr>
                </pic:pic>
              </a:graphicData>
            </a:graphic>
          </wp:anchor>
        </w:drawing>
      </w:r>
    </w:p>
    <w:p w:rsidR="00D022A9" w:rsidRPr="00D022A9" w:rsidRDefault="00D022A9" w:rsidP="00D022A9">
      <w:pPr>
        <w:spacing w:after="160" w:line="259" w:lineRule="auto"/>
        <w:jc w:val="both"/>
        <w:rPr>
          <w:rFonts w:ascii="Calibri" w:eastAsiaTheme="minorHAnsi" w:hAnsi="Calibri"/>
          <w:sz w:val="22"/>
          <w:szCs w:val="22"/>
          <w:lang w:val="en-AU" w:eastAsia="en-US"/>
        </w:rPr>
      </w:pPr>
    </w:p>
    <w:p w:rsidR="00D022A9" w:rsidRPr="00D022A9" w:rsidRDefault="00D022A9" w:rsidP="00D022A9">
      <w:pPr>
        <w:spacing w:after="160" w:line="259" w:lineRule="auto"/>
        <w:jc w:val="both"/>
        <w:rPr>
          <w:rFonts w:ascii="Calibri" w:eastAsiaTheme="minorHAnsi" w:hAnsi="Calibri" w:cs="Times New Roman"/>
          <w:i/>
          <w:sz w:val="20"/>
          <w:szCs w:val="20"/>
          <w:lang w:val="en-AU" w:eastAsia="en-US"/>
        </w:rPr>
      </w:pPr>
      <w:r w:rsidRPr="00D022A9">
        <w:rPr>
          <w:rFonts w:eastAsiaTheme="minorHAnsi"/>
          <w:i/>
          <w:sz w:val="20"/>
          <w:szCs w:val="20"/>
          <w:lang w:val="en-AU" w:eastAsia="en-US"/>
        </w:rPr>
        <w:t xml:space="preserve">Figure 5.3: </w:t>
      </w:r>
      <w:r w:rsidRPr="00D022A9">
        <w:rPr>
          <w:rFonts w:eastAsiaTheme="minorHAnsi"/>
          <w:sz w:val="20"/>
          <w:szCs w:val="20"/>
          <w:lang w:val="en-AU" w:eastAsia="en-US"/>
        </w:rPr>
        <w:t>Three 'Pillars of Policy' (Source: Grubb, 2014)</w:t>
      </w:r>
      <w:r w:rsidR="00E13392" w:rsidRPr="00D022A9">
        <w:rPr>
          <w:rFonts w:eastAsiaTheme="minorHAnsi"/>
          <w:i/>
          <w:sz w:val="20"/>
          <w:szCs w:val="20"/>
          <w:lang w:val="en-AU" w:eastAsia="en-US"/>
        </w:rPr>
        <w:fldChar w:fldCharType="begin"/>
      </w:r>
      <w:r w:rsidR="009F6910">
        <w:rPr>
          <w:rFonts w:eastAsiaTheme="minorHAnsi"/>
          <w:i/>
          <w:sz w:val="20"/>
          <w:szCs w:val="20"/>
          <w:lang w:val="en-AU" w:eastAsia="en-US"/>
        </w:rPr>
        <w:instrText xml:space="preserve"> ADDIN EN.CITE &lt;EndNote&gt;&lt;Cite&gt;&lt;Author&gt;Grubb&lt;/Author&gt;&lt;Year&gt;2014&lt;/Year&gt;&lt;RecNum&gt;936&lt;/RecNum&gt;&lt;DisplayText&gt;&lt;style face="superscript"&gt;265&lt;/style&gt;&lt;/DisplayText&gt;&lt;record&gt;&lt;rec-number&gt;936&lt;/rec-number&gt;&lt;foreign-keys&gt;&lt;key app="EN" db-id="wtftd20rmszxx0ettxy5exwdf90wv22s2dsf" timestamp="1419212983"&gt;936&lt;/key&gt;&lt;/foreign-keys&gt;&lt;ref-type name="Book"&gt;6&lt;/ref-type&gt;&lt;contributors&gt;&lt;authors&gt;&lt;author&gt;Grubb, M.&lt;/author&gt;&lt;/authors&gt;&lt;/contributors&gt;&lt;titles&gt;&lt;title&gt;Planetary Economics: Energy, Climate Change and the Three Domains of Sustainable Development&lt;/title&gt;&lt;/titles&gt;&lt;dates&gt;&lt;year&gt;2014&lt;/year&gt;&lt;/dates&gt;&lt;pub-location&gt;London&lt;/pub-location&gt;&lt;publisher&gt;Routledge&lt;/publisher&gt;&lt;urls&gt;&lt;/urls&gt;&lt;/record&gt;&lt;/Cite&gt;&lt;/EndNote&gt;</w:instrText>
      </w:r>
      <w:r w:rsidR="00E13392" w:rsidRPr="00D022A9">
        <w:rPr>
          <w:rFonts w:eastAsiaTheme="minorHAnsi"/>
          <w:i/>
          <w:sz w:val="20"/>
          <w:szCs w:val="20"/>
          <w:lang w:val="en-AU" w:eastAsia="en-US"/>
        </w:rPr>
        <w:fldChar w:fldCharType="separate"/>
      </w:r>
      <w:r w:rsidR="009F6910" w:rsidRPr="009F6910">
        <w:rPr>
          <w:rFonts w:eastAsiaTheme="minorHAnsi"/>
          <w:i/>
          <w:noProof/>
          <w:sz w:val="20"/>
          <w:szCs w:val="20"/>
          <w:vertAlign w:val="superscript"/>
          <w:lang w:val="en-AU" w:eastAsia="en-US"/>
        </w:rPr>
        <w:t>265</w:t>
      </w:r>
      <w:r w:rsidR="00E13392" w:rsidRPr="00D022A9">
        <w:rPr>
          <w:rFonts w:eastAsiaTheme="minorHAnsi"/>
          <w:i/>
          <w:sz w:val="20"/>
          <w:szCs w:val="20"/>
          <w:lang w:val="en-AU" w:eastAsia="en-US"/>
        </w:rPr>
        <w:fldChar w:fldCharType="end"/>
      </w:r>
    </w:p>
    <w:p w:rsidR="001975C3" w:rsidRDefault="001975C3" w:rsidP="00DC4C4E">
      <w:pPr>
        <w:jc w:val="both"/>
        <w:rPr>
          <w:rFonts w:ascii="Calibri" w:hAnsi="Calibri" w:cs="Times New Roman"/>
          <w:sz w:val="22"/>
        </w:rPr>
      </w:pPr>
    </w:p>
    <w:p w:rsidR="00DC4C4E" w:rsidRDefault="00DC4C4E" w:rsidP="00DC4C4E">
      <w:pPr>
        <w:jc w:val="both"/>
        <w:rPr>
          <w:rFonts w:ascii="Calibri" w:hAnsi="Calibri" w:cs="Times New Roman"/>
          <w:sz w:val="22"/>
        </w:rPr>
      </w:pPr>
      <w:r>
        <w:rPr>
          <w:rFonts w:ascii="Calibri" w:hAnsi="Calibri" w:cs="Times New Roman"/>
          <w:sz w:val="22"/>
        </w:rPr>
        <w:t>Each of the three domains reflects three distinct spheres of economic decision-making and development. The first, ‘satisficing’, describes the tendency of individuals and organisations to base decisions on habit, assumptions and ‘rules of thumb’, and to some extent the presence of psychological distancing (discussed in Section 5). Such phenomena are the subject matter of behavioural and organisational economics, which can explain the significant presence of unutilised opportunities for already cost-effective energy efficiency measures. The first pillar of policy, ‘standards and engagement’, seeks to address these issues, resulting in firms and individuals making ‘smarter choices’. The second domain, ‘optimising’, describes the ‘rational’ approach that reflects traditional assumptions around market behaviour and corresponding theories of neoclassical and welfare economics. The second pillar of policy, ‘markets and pricing’, seeks to harness markets, mainly acting through producers rather than consumers, to deliver cleaner products and processes. The final domain, ‘transformation’, uses insights from evolutionary and institutional economics to describe the ways in which complex systems develop over time under the influence of strategic choices made by large entities, particularly governments, multinational corporations and institutional investors. The third pillar of policy arising from such analysis seeks to deliver ‘strategic investment’ in low-carbon innovation and infrastructure.</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&lt;EndNote&gt;&lt;Cite&gt;&lt;Author&gt;Grubb&lt;/Author&gt;&lt;Year&gt;2014&lt;/Year&gt;&lt;RecNum&gt;936&lt;/RecNum&gt;&lt;DisplayText&gt;&lt;style face="superscript"&gt;265&lt;/style&gt;&lt;/DisplayText&gt;&lt;record&gt;&lt;rec-number&gt;936&lt;/rec-number&gt;&lt;foreign-keys&gt;&lt;key app="EN" db-id="wtftd20rmszxx0ettxy5exwdf90wv22s2dsf" timestamp="1419212983"&gt;936&lt;/key&gt;&lt;/foreign-keys&gt;&lt;ref-type name="Book"&gt;6&lt;/ref-type&gt;&lt;contributors&gt;&lt;authors&gt;&lt;author&gt;Grubb, M.&lt;/author&gt;&lt;/authors&gt;&lt;/contributors&gt;&lt;titles&gt;&lt;title&gt;Planetary Economics: Energy, Climate Change and the Three Domains of Sustainable Development&lt;/title&gt;&lt;/titles&gt;&lt;dates&gt;&lt;year&gt;2014&lt;/year&gt;&lt;/dates&gt;&lt;pub-location&gt;London&lt;/pub-location&gt;&lt;publisher&gt;Routledge&lt;/publisher&gt;&lt;urls&gt;&lt;/urls&gt;&lt;/record&gt;&lt;/Cite&gt;&lt;Cite&gt;&lt;Author&gt;Grubb&lt;/Author&gt;&lt;Year&gt;2014&lt;/Year&gt;&lt;RecNum&gt;936&lt;/RecNum&gt;&lt;record&gt;&lt;rec-number&gt;936&lt;/rec-number&gt;&lt;foreign-keys&gt;&lt;key app="EN" db-id="wtftd20rmszxx0ettxy5exwdf90wv22s2dsf" timestamp="1419212983"&gt;936&lt;/key&gt;&lt;/foreign-keys&gt;&lt;ref-type name="Book"&gt;6&lt;/ref-type&gt;&lt;contributors&gt;&lt;authors&gt;&lt;author&gt;Grubb, M.&lt;/author&gt;&lt;/authors&gt;&lt;/contributors&gt;&lt;titles&gt;&lt;title&gt;Planetary Economics: Energy, Climate Change and the Three Domains of Sustainable Development&lt;/title&gt;&lt;/titles&gt;&lt;dates&gt;&lt;year&gt;2014&lt;/year&gt;&lt;/dates&gt;&lt;pub-location&gt;London&lt;/pub-location&gt;&lt;publisher&gt;Routledge&lt;/publisher&gt;&lt;urls&gt;&lt;/urls&gt;&lt;/record&gt;&lt;/Cite&gt;&lt;/EndNote&gt;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265</w:t>
      </w:r>
      <w:r w:rsidR="00E13392">
        <w:rPr>
          <w:rFonts w:ascii="Calibri" w:hAnsi="Calibri" w:cs="Times New Roman"/>
          <w:sz w:val="22"/>
        </w:rPr>
        <w:fldChar w:fldCharType="end"/>
      </w:r>
      <w:r>
        <w:rPr>
          <w:rFonts w:ascii="Calibri" w:hAnsi="Calibri" w:cs="Times New Roman"/>
          <w:sz w:val="22"/>
        </w:rPr>
        <w:t xml:space="preserve"> </w:t>
      </w:r>
    </w:p>
    <w:p w:rsidR="00DC4C4E" w:rsidRDefault="00DC4C4E" w:rsidP="00DC4C4E">
      <w:pPr>
        <w:jc w:val="both"/>
        <w:rPr>
          <w:rFonts w:ascii="Calibri" w:hAnsi="Calibri"/>
        </w:rPr>
      </w:pPr>
    </w:p>
    <w:p w:rsidR="00DC4C4E" w:rsidRDefault="00DC4C4E" w:rsidP="00DC4C4E">
      <w:pPr>
        <w:jc w:val="both"/>
        <w:rPr>
          <w:rFonts w:ascii="Calibri" w:hAnsi="Calibri"/>
        </w:rPr>
      </w:pPr>
      <w:r>
        <w:rPr>
          <w:rFonts w:ascii="Calibri" w:hAnsi="Calibri" w:cs="Times New Roman"/>
          <w:sz w:val="22"/>
        </w:rPr>
        <w:t>Each of the three domains and policy pillars, whilst presented as conceptually distinct, interact through numerous channels. For example, as Figure 5.</w:t>
      </w:r>
      <w:r w:rsidR="00C638DE">
        <w:rPr>
          <w:rFonts w:ascii="Calibri" w:hAnsi="Calibri" w:cs="Times New Roman"/>
          <w:sz w:val="22"/>
        </w:rPr>
        <w:t>3</w:t>
      </w:r>
      <w:r>
        <w:rPr>
          <w:rFonts w:ascii="Calibri" w:hAnsi="Calibri" w:cs="Times New Roman"/>
          <w:sz w:val="22"/>
        </w:rPr>
        <w:t xml:space="preserve"> illustrates, whilst the impact of each policy pillar is strongest in one domain, each of the pillars of policy have at least some influence on all three domains. All three pillars of policy have an important role in producing a low-carbon global energy system.</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&lt;EndNote&gt;&lt;Cite&gt;&lt;Author&gt;Grubb&lt;/Author&gt;&lt;Year&gt;2014&lt;/Year&gt;&lt;RecNum&gt;936&lt;/RecNum&gt;&lt;DisplayText&gt;&lt;style face="superscript"&gt;265&lt;/style&gt;&lt;/DisplayText&gt;&lt;record&gt;&lt;rec-number&gt;936&lt;/rec-number&gt;&lt;foreign-keys&gt;&lt;key app="EN" db-id="wtftd20rmszxx0ettxy5exwdf90wv22s2dsf" timestamp="1419212983"&gt;936&lt;/key&gt;&lt;/foreign-keys&gt;&lt;ref-type name="Book"&gt;6&lt;/ref-type&gt;&lt;contributors&gt;&lt;authors&gt;&lt;author&gt;Grubb, M.&lt;/author&gt;&lt;/authors&gt;&lt;/contributors&gt;&lt;titles&gt;&lt;title&gt;Planetary Economics: Energy, Climate Change and the Three Domains of Sustainable Development&lt;/title&gt;&lt;/titles&gt;&lt;dates&gt;&lt;year&gt;2014&lt;/year&gt;&lt;/dates&gt;&lt;pub-location&gt;London&lt;/pub-location&gt;&lt;publisher&gt;Routledge&lt;/publisher&gt;&lt;urls&gt;&lt;/urls&gt;&lt;/record&gt;&lt;/Cite&gt;&lt;Cite&gt;&lt;Author&gt;Grubb&lt;/Author&gt;&lt;Year&gt;2014&lt;/Year&gt;&lt;RecNum&gt;936&lt;/RecNum&gt;&lt;record&gt;&lt;rec-number&gt;936&lt;/rec-number&gt;&lt;foreign-keys&gt;&lt;key app="EN" db-id="wtftd20rmszxx0ettxy5exwdf90wv22s2dsf" timestamp="1419212983"&gt;936&lt;/key&gt;&lt;/foreign-keys&gt;&lt;ref-type name="Book"&gt;6&lt;/ref-type&gt;&lt;contributors&gt;&lt;authors&gt;&lt;author&gt;Grubb, M.&lt;/author&gt;&lt;/authors&gt;&lt;/contributors&gt;&lt;titles&gt;&lt;title&gt;Planetary Economics: Energy, Climate Change and the Three Domains of Sustainable Development&lt;/title&gt;&lt;/titles&gt;&lt;dates&gt;&lt;year&gt;2014&lt;/year&gt;&lt;/dates&gt;&lt;pub-location&gt;London&lt;/pub-location&gt;&lt;publisher&gt;Routledge&lt;/publisher&gt;&lt;urls&gt;&lt;/urls&gt;&lt;/record&gt;&lt;/Cite&gt;&lt;/EndNote&gt;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265</w:t>
      </w:r>
      <w:r w:rsidR="00E13392">
        <w:rPr>
          <w:rFonts w:ascii="Calibri" w:hAnsi="Calibri" w:cs="Times New Roman"/>
          <w:sz w:val="22"/>
        </w:rPr>
        <w:fldChar w:fldCharType="end"/>
      </w:r>
    </w:p>
    <w:p w:rsidR="00DC4C4E" w:rsidRDefault="00DC4C4E" w:rsidP="00DC4C4E">
      <w:pPr>
        <w:rPr>
          <w:rFonts w:ascii="Calibri" w:hAnsi="Calibri"/>
        </w:rPr>
      </w:pPr>
    </w:p>
    <w:p w:rsidR="00DC4C4E" w:rsidRPr="00D036C9" w:rsidRDefault="00DC4C4E" w:rsidP="00D036C9">
      <w:pPr>
        <w:pStyle w:val="Heading2"/>
      </w:pPr>
      <w:bookmarkStart w:id="144" w:name="_Toc402956405"/>
      <w:bookmarkStart w:id="145" w:name="_Toc415931410"/>
      <w:bookmarkStart w:id="146" w:name="_Toc417502075"/>
      <w:r>
        <w:t>Standards and engagement</w:t>
      </w:r>
      <w:bookmarkEnd w:id="144"/>
      <w:bookmarkEnd w:id="145"/>
      <w:bookmarkEnd w:id="146"/>
    </w:p>
    <w:p w:rsidR="00DC4C4E" w:rsidRPr="00EC7098" w:rsidRDefault="00DC4C4E" w:rsidP="00DC4C4E">
      <w:pPr>
        <w:jc w:val="both"/>
        <w:rPr>
          <w:rFonts w:ascii="Calibri" w:hAnsi="Calibri"/>
          <w:sz w:val="22"/>
        </w:rPr>
      </w:pPr>
      <w:r>
        <w:rPr>
          <w:rFonts w:ascii="Calibri" w:hAnsi="Calibri" w:cs="Times New Roman"/>
          <w:sz w:val="22"/>
        </w:rPr>
        <w:t xml:space="preserve">Energy efficiency standards may take many forms. However, all act to ‘push’ a market, product or process to higher levels of efficiency (or lower levels of emission intensity), through regulation. Such </w:t>
      </w:r>
      <w:r>
        <w:rPr>
          <w:rFonts w:ascii="Calibri" w:hAnsi="Calibri" w:cs="Times New Roman"/>
          <w:sz w:val="22"/>
        </w:rPr>
        <w:lastRenderedPageBreak/>
        <w:t xml:space="preserve">regulations help to overcome market failures such as split incentives, a prominent example of which is the ‘landlord-tenant’ problem, when the interests of the landlord and tenants are misaligned. The problem arises because, whilst the installation of energy efficiency measures would benefit the energy bill-paying tenant, savings do not accrue to the landlord who therefore has no incentive to bear the cost of installing such measures. Instead, standards can require their installation, or other measures to induce the same effect. </w:t>
      </w:r>
    </w:p>
    <w:p w:rsidR="00DC4C4E" w:rsidRDefault="00DC4C4E" w:rsidP="00DC4C4E">
      <w:pPr>
        <w:jc w:val="both"/>
        <w:rPr>
          <w:rFonts w:ascii="Calibri" w:hAnsi="Calibri"/>
          <w:sz w:val="22"/>
        </w:rPr>
      </w:pPr>
    </w:p>
    <w:p w:rsidR="00DC4C4E" w:rsidRDefault="00DC4C4E" w:rsidP="00DC4C4E">
      <w:pPr>
        <w:jc w:val="both"/>
        <w:rPr>
          <w:rFonts w:ascii="Calibri" w:hAnsi="Calibri" w:cs="Times New Roman"/>
          <w:sz w:val="22"/>
        </w:rPr>
      </w:pPr>
      <w:bookmarkStart w:id="147" w:name="_Toc402956406"/>
      <w:r>
        <w:rPr>
          <w:rFonts w:ascii="Calibri" w:hAnsi="Calibri" w:cs="Times New Roman"/>
          <w:sz w:val="22"/>
        </w:rPr>
        <w:t xml:space="preserve">The main typologies of standards relating to mitigation are </w:t>
      </w:r>
      <w:r w:rsidRPr="004349AE">
        <w:rPr>
          <w:rFonts w:ascii="Calibri" w:eastAsiaTheme="majorEastAsia" w:hAnsi="Calibri" w:cstheme="majorBidi"/>
          <w:b/>
          <w:color w:val="1F4D78" w:themeColor="accent1" w:themeShade="7F"/>
          <w:sz w:val="22"/>
        </w:rPr>
        <w:t>CO</w:t>
      </w:r>
      <w:r w:rsidRPr="004349AE">
        <w:rPr>
          <w:rFonts w:ascii="Calibri" w:eastAsiaTheme="majorEastAsia" w:hAnsi="Calibri" w:cstheme="majorBidi"/>
          <w:b/>
          <w:color w:val="1F4D78" w:themeColor="accent1" w:themeShade="7F"/>
          <w:sz w:val="22"/>
          <w:vertAlign w:val="subscript"/>
        </w:rPr>
        <w:t>2</w:t>
      </w:r>
      <w:r w:rsidRPr="004349AE">
        <w:rPr>
          <w:rFonts w:ascii="Calibri" w:eastAsiaTheme="majorEastAsia" w:hAnsi="Calibri" w:cstheme="majorBidi"/>
          <w:b/>
          <w:color w:val="1F4D78" w:themeColor="accent1" w:themeShade="7F"/>
          <w:sz w:val="22"/>
        </w:rPr>
        <w:t xml:space="preserve"> intensity standards</w:t>
      </w:r>
      <w:bookmarkEnd w:id="147"/>
      <w:r>
        <w:rPr>
          <w:rFonts w:ascii="Calibri" w:hAnsi="Calibri" w:cs="Times New Roman"/>
          <w:b/>
          <w:sz w:val="22"/>
        </w:rPr>
        <w:t xml:space="preserve">, energy intensity standards </w:t>
      </w:r>
      <w:r>
        <w:rPr>
          <w:rFonts w:ascii="Calibri" w:hAnsi="Calibri" w:cs="Times New Roman"/>
          <w:sz w:val="22"/>
        </w:rPr>
        <w:t xml:space="preserve">and </w:t>
      </w:r>
      <w:r>
        <w:rPr>
          <w:rFonts w:ascii="Calibri" w:hAnsi="Calibri" w:cs="Times New Roman"/>
          <w:b/>
          <w:sz w:val="22"/>
        </w:rPr>
        <w:t>technology standards</w:t>
      </w:r>
      <w:r>
        <w:rPr>
          <w:rFonts w:ascii="Calibri" w:hAnsi="Calibri" w:cs="Times New Roman"/>
          <w:sz w:val="22"/>
        </w:rPr>
        <w:t>. The first two specify a target limit for specific CO</w:t>
      </w:r>
      <w:r>
        <w:rPr>
          <w:rFonts w:ascii="Calibri" w:hAnsi="Calibri" w:cs="Times New Roman"/>
          <w:sz w:val="22"/>
          <w:vertAlign w:val="subscript"/>
        </w:rPr>
        <w:t>2</w:t>
      </w:r>
      <w:r>
        <w:rPr>
          <w:rFonts w:ascii="Calibri" w:hAnsi="Calibri" w:cs="Times New Roman"/>
          <w:sz w:val="22"/>
        </w:rPr>
        <w:t xml:space="preserve"> emissions or energy consumption. Examples are a cap on CO</w:t>
      </w:r>
      <w:r>
        <w:rPr>
          <w:rFonts w:ascii="Calibri" w:hAnsi="Calibri" w:cs="Times New Roman"/>
          <w:sz w:val="22"/>
          <w:vertAlign w:val="subscript"/>
        </w:rPr>
        <w:t>2</w:t>
      </w:r>
      <w:r>
        <w:rPr>
          <w:rFonts w:ascii="Calibri" w:hAnsi="Calibri" w:cs="Times New Roman"/>
          <w:sz w:val="22"/>
        </w:rPr>
        <w:t xml:space="preserve"> emissions from passenger cars per kilometre driven (based on the average rating for all cars sold per manufacturer), or on the annual energy consumption of a new building per unit of floor area. Both such policies (and variants) have been successfully implemented in the EU and around the world, and have proven effective. </w:t>
      </w:r>
      <w:bookmarkStart w:id="148" w:name="_Toc402956408"/>
      <w:bookmarkEnd w:id="148"/>
      <w:r w:rsidRPr="004349AE">
        <w:rPr>
          <w:rFonts w:ascii="Calibri" w:hAnsi="Calibri" w:cs="Times New Roman"/>
          <w:sz w:val="22"/>
        </w:rPr>
        <w:t xml:space="preserve">Technology standards </w:t>
      </w:r>
      <w:r>
        <w:rPr>
          <w:rFonts w:ascii="Calibri" w:hAnsi="Calibri" w:cs="Times New Roman"/>
          <w:sz w:val="22"/>
        </w:rPr>
        <w:t>may act in a similar manner to CO</w:t>
      </w:r>
      <w:r>
        <w:rPr>
          <w:rFonts w:ascii="Calibri" w:hAnsi="Calibri" w:cs="Times New Roman"/>
          <w:sz w:val="22"/>
          <w:vertAlign w:val="subscript"/>
        </w:rPr>
        <w:t>2</w:t>
      </w:r>
      <w:r>
        <w:rPr>
          <w:rFonts w:ascii="Calibri" w:hAnsi="Calibri" w:cs="Times New Roman"/>
          <w:sz w:val="22"/>
        </w:rPr>
        <w:t xml:space="preserve"> or energy intensity standards, but may also proscribe the use of certain components in products, or prevent the sale of the least efficient models of a product type. Such standards may be applied with a legal basis, or through the use of voluntary agreements. Standards may also be applied to produce adaptation actions, for example by amending building codes to obligate developers to incorporate resilience measures in new construction. </w:t>
      </w:r>
    </w:p>
    <w:p w:rsidR="00DC4C4E" w:rsidRDefault="00DC4C4E" w:rsidP="00DC4C4E">
      <w:pPr>
        <w:jc w:val="both"/>
        <w:rPr>
          <w:rFonts w:ascii="Calibri" w:hAnsi="Calibri" w:cs="Times New Roman"/>
          <w:sz w:val="22"/>
        </w:rPr>
      </w:pPr>
    </w:p>
    <w:p w:rsidR="00DC4C4E" w:rsidRDefault="00DC4C4E" w:rsidP="00DC4C4E">
      <w:pPr>
        <w:jc w:val="both"/>
        <w:rPr>
          <w:rFonts w:ascii="Calibri" w:hAnsi="Calibri" w:cs="Times New Roman"/>
          <w:sz w:val="22"/>
        </w:rPr>
      </w:pPr>
      <w:r>
        <w:rPr>
          <w:rFonts w:ascii="Calibri" w:hAnsi="Calibri" w:cs="Times New Roman"/>
          <w:sz w:val="22"/>
        </w:rPr>
        <w:t>Processes and mechanisms for targeted communication and engagement between governments, businesses, other organisations, communities and individuals help to overcome issues of psychological distancing, motivational issues, split incentives and information asymmetry, and act to ‘pull’ the market towards higher efficiency, lower emissions and greater resilience. Such mechanisms can take many forms and include training and education campaigns, but also labelling and certification, public reporting and other information disclosure and transparency measures. All these approaches act to provide consumers and investors with information surrounding environmental performance of a product, service, process or organisation at the point of use, or across the product lifecycle or organisational operations and supply chain, in order to help them to make informed decisions regarding investments and purchases. This encourages organisations to mitigate risks by reducing organisational (and possibly supply chain) emissions and to invest in adaptation measures to improve resilience, ensuring they retain a strong customer base and remain a safe investment. The introduction of these instruments may also reveal opportunities for efficiency measures that have an economic rationale independent of environmental considerations.</w:t>
      </w:r>
    </w:p>
    <w:p w:rsidR="00DC4C4E" w:rsidRDefault="00DC4C4E" w:rsidP="00DC4C4E">
      <w:pPr>
        <w:jc w:val="both"/>
        <w:rPr>
          <w:rFonts w:ascii="Calibri" w:hAnsi="Calibri" w:cs="Times New Roman"/>
          <w:sz w:val="22"/>
        </w:rPr>
      </w:pPr>
    </w:p>
    <w:p w:rsidR="00DC4C4E" w:rsidRDefault="00DC4C4E" w:rsidP="00DC4C4E">
      <w:pPr>
        <w:jc w:val="both"/>
        <w:rPr>
          <w:rFonts w:ascii="Calibri" w:hAnsi="Calibri"/>
        </w:rPr>
      </w:pPr>
    </w:p>
    <w:p w:rsidR="00DC4C4E" w:rsidRPr="00D036C9" w:rsidRDefault="00DC4C4E" w:rsidP="00D036C9">
      <w:pPr>
        <w:pStyle w:val="Heading2"/>
      </w:pPr>
      <w:bookmarkStart w:id="149" w:name="_Toc402956409"/>
      <w:bookmarkStart w:id="150" w:name="_Toc415931411"/>
      <w:bookmarkStart w:id="151" w:name="_Toc417502076"/>
      <w:r>
        <w:t>Markets and prices</w:t>
      </w:r>
      <w:bookmarkEnd w:id="149"/>
      <w:bookmarkEnd w:id="150"/>
      <w:bookmarkEnd w:id="151"/>
    </w:p>
    <w:p w:rsidR="00DC4C4E" w:rsidRDefault="00DC4C4E" w:rsidP="00DC4C4E">
      <w:pPr>
        <w:jc w:val="both"/>
        <w:rPr>
          <w:rFonts w:ascii="Calibri" w:hAnsi="Calibri"/>
        </w:rPr>
      </w:pPr>
      <w:r>
        <w:rPr>
          <w:rFonts w:ascii="Calibri" w:hAnsi="Calibri" w:cs="Times New Roman"/>
          <w:sz w:val="22"/>
        </w:rPr>
        <w:t xml:space="preserve">The Stern Review </w:t>
      </w:r>
      <w:r w:rsidRPr="007240BB">
        <w:rPr>
          <w:rFonts w:ascii="Calibri" w:hAnsi="Calibri" w:cs="Times New Roman"/>
          <w:color w:val="000000" w:themeColor="text1"/>
          <w:sz w:val="22"/>
        </w:rPr>
        <w:t>called the market externality of GHG emissions in the global economy ‘the greatest and widest-ranging market failure ever seen’.</w:t>
      </w:r>
      <w:r w:rsidR="00E13392" w:rsidRPr="007240BB">
        <w:rPr>
          <w:rFonts w:ascii="Calibri" w:hAnsi="Calibri" w:cs="Times New Roman"/>
          <w:color w:val="000000" w:themeColor="text1"/>
          <w:sz w:val="22"/>
        </w:rPr>
        <w:fldChar w:fldCharType="begin"/>
      </w:r>
      <w:r w:rsidR="009F6910">
        <w:rPr>
          <w:rFonts w:ascii="Calibri" w:hAnsi="Calibri" w:cs="Times New Roman"/>
          <w:color w:val="000000" w:themeColor="text1"/>
          <w:sz w:val="22"/>
        </w:rPr>
        <w:instrText xml:space="preserve"> ADDIN EN.CITE &lt;EndNote&gt;&lt;Cite&gt;&lt;Author&gt;Stern&lt;/Author&gt;&lt;Year&gt;2006&lt;/Year&gt;&lt;RecNum&gt;978&lt;/RecNum&gt;&lt;DisplayText&gt;&lt;style face="superscript"&gt;267&lt;/style&gt;&lt;/DisplayText&gt;&lt;record&gt;&lt;rec-number&gt;978&lt;/rec-number&gt;&lt;foreign-keys&gt;&lt;key app="EN" db-id="wtftd20rmszxx0ettxy5exwdf90wv22s2dsf" timestamp="1419212983"&gt;978&lt;/key&gt;&lt;/foreign-keys&gt;&lt;ref-type name="Report"&gt;27&lt;/ref-type&gt;&lt;contributors&gt;&lt;authors&gt;&lt;author&gt;Stern, N.&lt;/author&gt;&lt;/authors&gt;&lt;/contributors&gt;&lt;titles&gt;&lt;title&gt;Stern Review on the Economics of Climate Change&lt;/title&gt;&lt;/titles&gt;&lt;dates&gt;&lt;year&gt;2006&lt;/year&gt;&lt;/dates&gt;&lt;pub-location&gt;London&lt;/pub-location&gt;&lt;publisher&gt;HM Treasury&lt;/publisher&gt;&lt;urls&gt;&lt;/urls&gt;&lt;/record&gt;&lt;/Cite&gt;&lt;/EndNote&gt;</w:instrText>
      </w:r>
      <w:r w:rsidR="00E13392" w:rsidRPr="007240BB">
        <w:rPr>
          <w:rFonts w:ascii="Calibri" w:hAnsi="Calibri" w:cs="Times New Roman"/>
          <w:color w:val="000000" w:themeColor="text1"/>
          <w:sz w:val="22"/>
        </w:rPr>
        <w:fldChar w:fldCharType="separate"/>
      </w:r>
      <w:r w:rsidR="009F6910" w:rsidRPr="009F6910">
        <w:rPr>
          <w:rFonts w:ascii="Calibri" w:hAnsi="Calibri" w:cs="Times New Roman"/>
          <w:noProof/>
          <w:color w:val="000000" w:themeColor="text1"/>
          <w:sz w:val="22"/>
          <w:vertAlign w:val="superscript"/>
        </w:rPr>
        <w:t>267</w:t>
      </w:r>
      <w:r w:rsidR="00E13392" w:rsidRPr="007240BB">
        <w:rPr>
          <w:rFonts w:ascii="Calibri" w:hAnsi="Calibri" w:cs="Times New Roman"/>
          <w:color w:val="000000" w:themeColor="text1"/>
          <w:sz w:val="22"/>
        </w:rPr>
        <w:fldChar w:fldCharType="end"/>
      </w:r>
      <w:r w:rsidRPr="007240BB">
        <w:rPr>
          <w:rFonts w:ascii="Calibri" w:hAnsi="Calibri" w:cs="Times New Roman"/>
          <w:color w:val="000000" w:themeColor="text1"/>
          <w:sz w:val="22"/>
        </w:rPr>
        <w:t xml:space="preserve"> Carbon pricing is the economist’s preferred means to address this externality. Such pricing may be achieved through national or regional explicit carbon taxes or cap-and trade emissions trading systems (ETS), which are increasingly present around the world. A carbon tax sets the carbon price </w:t>
      </w:r>
      <w:r>
        <w:rPr>
          <w:rFonts w:ascii="Calibri" w:hAnsi="Calibri" w:cs="Times New Roman"/>
          <w:sz w:val="22"/>
        </w:rPr>
        <w:t>directly, but not the level of abatement, whilst an ETS sets the level of abatement, but the price derives from the carbon market. Regardless of the pricing mechanism, market actors may be expected to factor the existing and expected carbon price into short-term operational and long-term investment decisions. Figure 5.</w:t>
      </w:r>
      <w:r w:rsidR="00C638DE">
        <w:rPr>
          <w:rFonts w:ascii="Calibri" w:hAnsi="Calibri" w:cs="Times New Roman"/>
          <w:sz w:val="22"/>
        </w:rPr>
        <w:t>4</w:t>
      </w:r>
      <w:r>
        <w:rPr>
          <w:rFonts w:ascii="Calibri" w:hAnsi="Calibri" w:cs="Times New Roman"/>
          <w:sz w:val="22"/>
        </w:rPr>
        <w:t xml:space="preserve"> summarises the state of pricing mechanisms around the world. As of June 2014 around 40 national and over 20 sub-national jurisdictions were engaged in carbon pricing of varied scope and instrument design, covering about 12% of annual global GHG emissions (the Australian ETS was discontinued in July 2014).</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&lt;EndNote&gt;&lt;Cite&gt;&lt;Author&gt;World Bank&lt;/Author&gt;&lt;Year&gt;2014&lt;/Year&gt;&lt;RecNum&gt;996&lt;/RecNum&gt;&lt;DisplayText&gt;&lt;style face="superscript"&gt;281&lt;/style&gt;&lt;/DisplayText&gt;&lt;record&gt;&lt;rec-number&gt;996&lt;/rec-number&gt;&lt;foreign-keys&gt;&lt;key app="EN" db-id="wtftd20rmszxx0ettxy5exwdf90wv22s2dsf" timestamp="1419212983"&gt;996&lt;/key&gt;&lt;/foreign-keys&gt;&lt;ref-type name="Report"&gt;27&lt;/ref-type&gt;&lt;contributors&gt;&lt;authors&gt;&lt;author&gt;World Bank Group,&lt;/author&gt;&lt;/authors&gt;&lt;/contributors&gt;&lt;titles&gt;&lt;title&gt;State and Trends of Carbon Pricing&lt;/title&gt;&lt;/titles&gt;&lt;dates&gt;&lt;year&gt;2014&lt;/year&gt;&lt;/dates&gt;&lt;pub-location&gt;Washington DC&lt;/pub-location&gt;&lt;urls&gt;&lt;/urls&gt;&lt;/record&gt;&lt;/Cite&gt;&lt;/EndNote&gt;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281</w:t>
      </w:r>
      <w:r w:rsidR="00E13392">
        <w:rPr>
          <w:rFonts w:ascii="Calibri" w:hAnsi="Calibri" w:cs="Times New Roman"/>
          <w:sz w:val="22"/>
        </w:rPr>
        <w:fldChar w:fldCharType="end"/>
      </w:r>
    </w:p>
    <w:p w:rsidR="00DC4C4E" w:rsidRDefault="00DC4C4E" w:rsidP="00DC4C4E">
      <w:pPr>
        <w:jc w:val="both"/>
        <w:rPr>
          <w:rFonts w:ascii="Calibri" w:hAnsi="Calibri" w:cs="Times New Roman"/>
          <w:sz w:val="22"/>
        </w:rPr>
      </w:pPr>
    </w:p>
    <w:p w:rsidR="00D022A9" w:rsidRPr="00D022A9" w:rsidRDefault="00D022A9" w:rsidP="00D022A9">
      <w:pPr>
        <w:spacing w:after="160" w:line="259" w:lineRule="auto"/>
        <w:jc w:val="both"/>
        <w:rPr>
          <w:rFonts w:ascii="Calibri" w:eastAsiaTheme="minorHAnsi" w:hAnsi="Calibri" w:cs="Times New Roman"/>
          <w:sz w:val="22"/>
          <w:szCs w:val="22"/>
          <w:lang w:val="en-AU" w:eastAsia="en-US"/>
        </w:rPr>
      </w:pPr>
      <w:r w:rsidRPr="00D022A9">
        <w:rPr>
          <w:rFonts w:ascii="Calibri" w:eastAsiaTheme="minorHAnsi" w:hAnsi="Calibri" w:cs="Times New Roman"/>
          <w:i/>
          <w:sz w:val="20"/>
          <w:szCs w:val="22"/>
          <w:lang w:val="en-AU" w:eastAsia="en-US"/>
        </w:rPr>
        <w:t>Figure 5.4:</w:t>
      </w:r>
      <w:r w:rsidRPr="00D022A9">
        <w:rPr>
          <w:rFonts w:ascii="Calibri" w:eastAsiaTheme="minorHAnsi" w:hAnsi="Calibri" w:cs="Times New Roman"/>
          <w:sz w:val="20"/>
          <w:szCs w:val="22"/>
          <w:lang w:val="en-AU" w:eastAsia="en-US"/>
        </w:rPr>
        <w:t xml:space="preserve"> Summary map of existing, emerging, and potential regional, national and sub-national carbon pricing instruments (ETS and Tax) (Source: World Bank, 2014)</w:t>
      </w:r>
      <w:r w:rsidR="00E13392" w:rsidRPr="00D022A9">
        <w:rPr>
          <w:rFonts w:ascii="Calibri" w:eastAsiaTheme="minorHAnsi" w:hAnsi="Calibri" w:cs="Times New Roman"/>
          <w:sz w:val="22"/>
          <w:szCs w:val="22"/>
          <w:lang w:val="en-AU" w:eastAsia="en-US"/>
        </w:rPr>
        <w:fldChar w:fldCharType="begin"/>
      </w:r>
      <w:r w:rsidR="009F6910">
        <w:rPr>
          <w:rFonts w:ascii="Calibri" w:eastAsiaTheme="minorHAnsi" w:hAnsi="Calibri" w:cs="Times New Roman"/>
          <w:sz w:val="22"/>
          <w:szCs w:val="22"/>
          <w:lang w:val="en-AU" w:eastAsia="en-US"/>
        </w:rPr>
        <w:instrText xml:space="preserve"> ADDIN EN.CITE &lt;EndNote&gt;&lt;Cite&gt;&lt;Author&gt;World Bank&lt;/Author&gt;&lt;Year&gt;2014&lt;/Year&gt;&lt;RecNum&gt;996&lt;/RecNum&gt;&lt;DisplayText&gt;&lt;style face="superscript"&gt;281&lt;/style&gt;&lt;/DisplayText&gt;&lt;record&gt;&lt;rec-number&gt;996&lt;/rec-number&gt;&lt;foreign-keys&gt;&lt;key app="EN" db-id="wtftd20rmszxx0ettxy5exwdf90wv22s2dsf" timestamp="1419212983"&gt;996&lt;/key&gt;&lt;/foreign-keys&gt;&lt;ref-type name="Report"&gt;27&lt;/ref-type&gt;&lt;contributors&gt;&lt;authors&gt;&lt;author&gt;World Bank Group,&lt;/author&gt;&lt;/authors&gt;&lt;/contributors&gt;&lt;titles&gt;&lt;title&gt;State and Trends of Carbon Pricing&lt;/title&gt;&lt;/titles&gt;&lt;dates&gt;&lt;year&gt;2014&lt;/year&gt;&lt;/dates&gt;&lt;pub-location&gt;Washington DC&lt;/pub-location&gt;&lt;urls&gt;&lt;/urls&gt;&lt;/record&gt;&lt;/Cite&gt;&lt;/EndNote&gt;</w:instrText>
      </w:r>
      <w:r w:rsidR="00E13392" w:rsidRPr="00D022A9">
        <w:rPr>
          <w:rFonts w:ascii="Calibri" w:eastAsiaTheme="minorHAnsi" w:hAnsi="Calibri" w:cs="Times New Roman"/>
          <w:sz w:val="22"/>
          <w:szCs w:val="22"/>
          <w:lang w:val="en-AU" w:eastAsia="en-US"/>
        </w:rPr>
        <w:fldChar w:fldCharType="separate"/>
      </w:r>
      <w:r w:rsidR="009F6910" w:rsidRPr="009F6910">
        <w:rPr>
          <w:rFonts w:ascii="Calibri" w:eastAsiaTheme="minorHAnsi" w:hAnsi="Calibri" w:cs="Times New Roman"/>
          <w:noProof/>
          <w:sz w:val="22"/>
          <w:szCs w:val="22"/>
          <w:vertAlign w:val="superscript"/>
          <w:lang w:val="en-AU" w:eastAsia="en-US"/>
        </w:rPr>
        <w:t>281</w:t>
      </w:r>
      <w:r w:rsidR="00E13392" w:rsidRPr="00D022A9">
        <w:rPr>
          <w:rFonts w:ascii="Calibri" w:eastAsiaTheme="minorHAnsi" w:hAnsi="Calibri" w:cs="Times New Roman"/>
          <w:sz w:val="22"/>
          <w:szCs w:val="22"/>
          <w:lang w:val="en-AU" w:eastAsia="en-US"/>
        </w:rPr>
        <w:fldChar w:fldCharType="end"/>
      </w:r>
    </w:p>
    <w:p w:rsidR="00D022A9" w:rsidRPr="00D022A9" w:rsidRDefault="00D022A9" w:rsidP="00D022A9">
      <w:pPr>
        <w:spacing w:after="160" w:line="259" w:lineRule="auto"/>
        <w:jc w:val="both"/>
        <w:rPr>
          <w:rFonts w:ascii="Calibri" w:eastAsiaTheme="minorHAnsi" w:hAnsi="Calibri" w:cs="Times New Roman"/>
          <w:sz w:val="22"/>
          <w:szCs w:val="22"/>
          <w:lang w:val="en-AU" w:eastAsia="en-US"/>
        </w:rPr>
      </w:pPr>
      <w:r w:rsidRPr="00D022A9">
        <w:rPr>
          <w:rFonts w:eastAsiaTheme="minorHAnsi"/>
          <w:noProof/>
          <w:sz w:val="22"/>
          <w:szCs w:val="22"/>
          <w:lang w:val="en-GB" w:eastAsia="en-GB"/>
        </w:rPr>
        <w:lastRenderedPageBreak/>
        <w:drawing>
          <wp:anchor distT="0" distB="0" distL="114300" distR="114300" simplePos="0" relativeHeight="251662848" behindDoc="0" locked="0" layoutInCell="1" allowOverlap="1">
            <wp:simplePos x="0" y="0"/>
            <wp:positionH relativeFrom="margin">
              <wp:align>center</wp:align>
            </wp:positionH>
            <wp:positionV relativeFrom="paragraph">
              <wp:posOffset>170815</wp:posOffset>
            </wp:positionV>
            <wp:extent cx="5797550" cy="345059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7550" cy="3450590"/>
                    </a:xfrm>
                    <a:prstGeom prst="rect">
                      <a:avLst/>
                    </a:prstGeom>
                    <a:noFill/>
                  </pic:spPr>
                </pic:pic>
              </a:graphicData>
            </a:graphic>
          </wp:anchor>
        </w:drawing>
      </w:r>
    </w:p>
    <w:p w:rsidR="008662EF" w:rsidRDefault="008662EF" w:rsidP="007240BB">
      <w:pPr>
        <w:jc w:val="both"/>
        <w:rPr>
          <w:rFonts w:ascii="Calibri" w:hAnsi="Calibri" w:cs="Times New Roman"/>
          <w:sz w:val="22"/>
        </w:rPr>
      </w:pPr>
    </w:p>
    <w:p w:rsidR="00DC4C4E" w:rsidRPr="004B20AD" w:rsidRDefault="00DC4C4E" w:rsidP="007240BB">
      <w:pPr>
        <w:jc w:val="both"/>
        <w:rPr>
          <w:rFonts w:ascii="Calibri" w:hAnsi="Calibri" w:cs="Times New Roman"/>
          <w:sz w:val="22"/>
        </w:rPr>
      </w:pPr>
      <w:r>
        <w:rPr>
          <w:rFonts w:ascii="Calibri" w:hAnsi="Calibri" w:cs="Times New Roman"/>
          <w:sz w:val="22"/>
        </w:rPr>
        <w:t xml:space="preserve">The largest ETS is the European ETS, established in 2005, and capping more than 40% of annual GHG emissions </w:t>
      </w:r>
      <w:r w:rsidRPr="00B50254">
        <w:rPr>
          <w:rFonts w:ascii="Calibri" w:hAnsi="Calibri" w:cs="Times New Roman"/>
          <w:sz w:val="22"/>
        </w:rPr>
        <w:t xml:space="preserve">from power generation and energy- and emission-intensive heavy industry across the EU28 (plus Norway, Iceland and Lichtenstein). This is followed in scale by the aggregate of the seven ETS pilot schemes in China, described in </w:t>
      </w:r>
      <w:r w:rsidRPr="004349AE">
        <w:rPr>
          <w:rFonts w:ascii="Calibri" w:hAnsi="Calibri" w:cs="Times New Roman"/>
          <w:sz w:val="22"/>
        </w:rPr>
        <w:t>Appendix</w:t>
      </w:r>
      <w:r w:rsidR="007240BB" w:rsidRPr="004349AE">
        <w:rPr>
          <w:rFonts w:ascii="Calibri" w:hAnsi="Calibri" w:cs="Times New Roman"/>
          <w:sz w:val="22"/>
        </w:rPr>
        <w:t xml:space="preserve"> </w:t>
      </w:r>
      <w:r w:rsidR="004B20AD" w:rsidRPr="004349AE">
        <w:rPr>
          <w:rFonts w:ascii="Calibri" w:hAnsi="Calibri" w:cs="Times New Roman"/>
          <w:sz w:val="22"/>
        </w:rPr>
        <w:t>5</w:t>
      </w:r>
      <w:r w:rsidRPr="00B50254">
        <w:rPr>
          <w:rFonts w:ascii="Calibri" w:hAnsi="Calibri" w:cs="Times New Roman"/>
          <w:sz w:val="22"/>
        </w:rPr>
        <w:t xml:space="preserve">. As of 2014, the total value of all explicit pricing mechanisms </w:t>
      </w:r>
      <w:r w:rsidR="007240BB" w:rsidRPr="00B50254">
        <w:rPr>
          <w:rFonts w:ascii="Calibri" w:hAnsi="Calibri" w:cs="Times New Roman"/>
          <w:sz w:val="22"/>
        </w:rPr>
        <w:t xml:space="preserve">was </w:t>
      </w:r>
      <w:r w:rsidRPr="004B20AD">
        <w:rPr>
          <w:rFonts w:ascii="Calibri" w:hAnsi="Calibri" w:cs="Times New Roman"/>
          <w:sz w:val="22"/>
        </w:rPr>
        <w:t>around $30 billion.</w:t>
      </w:r>
      <w:r w:rsidR="00E13392" w:rsidRPr="00B50254">
        <w:rPr>
          <w:rFonts w:ascii="Calibri" w:hAnsi="Calibri" w:cs="Times New Roman"/>
          <w:sz w:val="22"/>
        </w:rPr>
        <w:fldChar w:fldCharType="begin"/>
      </w:r>
      <w:r w:rsidR="009F6910">
        <w:rPr>
          <w:rFonts w:ascii="Calibri" w:hAnsi="Calibri" w:cs="Times New Roman"/>
          <w:sz w:val="22"/>
        </w:rPr>
        <w:instrText xml:space="preserve"> ADDIN EN.CITE &lt;EndNote&gt;&lt;Cite&gt;&lt;Author&gt;World Bank&lt;/Author&gt;&lt;Year&gt;2014&lt;/Year&gt;&lt;RecNum&gt;996&lt;/RecNum&gt;&lt;DisplayText&gt;&lt;style face="superscript"&gt;281&lt;/style&gt;&lt;/DisplayText&gt;&lt;record&gt;&lt;rec-number&gt;996&lt;/rec-number&gt;&lt;foreign-keys&gt;&lt;key app="EN" db-id="wtftd20rmszxx0ettxy5exwdf90wv22s2dsf" timestamp="1419212983"&gt;996&lt;/key&gt;&lt;/foreign-keys&gt;&lt;ref-type name="Report"&gt;27&lt;/ref-type&gt;&lt;contributors&gt;&lt;authors&gt;&lt;author&gt;World Bank Group,&lt;/author&gt;&lt;/authors&gt;&lt;/contributors&gt;&lt;titles&gt;&lt;title&gt;State and Trends of Carbon Pricing&lt;/title&gt;&lt;/titles&gt;&lt;dates&gt;&lt;year&gt;2014&lt;/year&gt;&lt;/dates&gt;&lt;pub-location&gt;Washington DC&lt;/pub-location&gt;&lt;urls&gt;&lt;/urls&gt;&lt;/record&gt;&lt;/Cite&gt;&lt;/EndNote&gt;</w:instrText>
      </w:r>
      <w:r w:rsidR="00E13392" w:rsidRPr="00B50254">
        <w:rPr>
          <w:rFonts w:ascii="Calibri" w:hAnsi="Calibri" w:cs="Times New Roman"/>
          <w:sz w:val="22"/>
        </w:rPr>
        <w:fldChar w:fldCharType="separate"/>
      </w:r>
      <w:r w:rsidR="009F6910" w:rsidRPr="009F6910">
        <w:rPr>
          <w:rFonts w:ascii="Calibri" w:hAnsi="Calibri" w:cs="Times New Roman"/>
          <w:noProof/>
          <w:sz w:val="22"/>
          <w:vertAlign w:val="superscript"/>
        </w:rPr>
        <w:t>281</w:t>
      </w:r>
      <w:r w:rsidR="00E13392" w:rsidRPr="00B50254">
        <w:rPr>
          <w:rFonts w:ascii="Calibri" w:hAnsi="Calibri" w:cs="Times New Roman"/>
          <w:sz w:val="22"/>
        </w:rPr>
        <w:fldChar w:fldCharType="end"/>
      </w:r>
      <w:r w:rsidRPr="00B50254">
        <w:rPr>
          <w:rFonts w:ascii="Calibri" w:hAnsi="Calibri" w:cs="Times New Roman"/>
          <w:sz w:val="22"/>
        </w:rPr>
        <w:t xml:space="preserve"> </w:t>
      </w:r>
    </w:p>
    <w:p w:rsidR="00DC4C4E" w:rsidRPr="004B20AD" w:rsidRDefault="00DC4C4E" w:rsidP="00DC4C4E">
      <w:pPr>
        <w:jc w:val="both"/>
        <w:rPr>
          <w:rFonts w:ascii="Calibri" w:hAnsi="Calibri"/>
          <w:sz w:val="22"/>
        </w:rPr>
      </w:pPr>
    </w:p>
    <w:p w:rsidR="00DC4C4E" w:rsidRDefault="00DC4C4E" w:rsidP="00DC4C4E">
      <w:pPr>
        <w:jc w:val="both"/>
        <w:rPr>
          <w:rFonts w:ascii="Calibri" w:hAnsi="Calibri" w:cs="Times New Roman"/>
          <w:sz w:val="22"/>
        </w:rPr>
      </w:pPr>
      <w:r w:rsidRPr="004B20AD">
        <w:rPr>
          <w:rFonts w:ascii="Calibri" w:hAnsi="Calibri" w:cs="Times New Roman"/>
          <w:sz w:val="22"/>
        </w:rPr>
        <w:t>For sectors of the economy for which explicit carbon</w:t>
      </w:r>
      <w:r>
        <w:rPr>
          <w:rFonts w:ascii="Calibri" w:hAnsi="Calibri" w:cs="Times New Roman"/>
          <w:sz w:val="22"/>
        </w:rPr>
        <w:t xml:space="preserve"> pricing is infeasible or administratively burdensome, taxes on energy products (such as transport fuels) could be realigned to reflect their carbon content (producing an ‘implicit’ carbon price) By implementing Environmental Tax Reform (ETR) principles, in which the burden of taxation increases on environmentally damaging activities and is reduced on desired inputs, such as labour, the increase in energy prices can be neutralised from a macroeconomic perspective. Parry et al. (2014) estimate that corrective taxation that internalises CO</w:t>
      </w:r>
      <w:r>
        <w:rPr>
          <w:rFonts w:ascii="Calibri" w:hAnsi="Calibri" w:cs="Times New Roman"/>
          <w:sz w:val="22"/>
          <w:vertAlign w:val="subscript"/>
        </w:rPr>
        <w:t>2</w:t>
      </w:r>
      <w:r>
        <w:rPr>
          <w:rFonts w:ascii="Calibri" w:hAnsi="Calibri" w:cs="Times New Roman"/>
          <w:sz w:val="22"/>
        </w:rPr>
        <w:t xml:space="preserve"> emissions, local air pollution and additional transport-related externalities (such as congestion and accidental injury) arising from coal, natural gas, gasoline and diesel, could raise additional revenues of 2.6% GDP globally, whilst simultaneously reducing CO</w:t>
      </w:r>
      <w:r>
        <w:rPr>
          <w:rFonts w:ascii="Calibri" w:hAnsi="Calibri" w:cs="Times New Roman"/>
          <w:sz w:val="22"/>
          <w:vertAlign w:val="subscript"/>
        </w:rPr>
        <w:t xml:space="preserve">2 </w:t>
      </w:r>
      <w:r>
        <w:rPr>
          <w:rFonts w:ascii="Calibri" w:hAnsi="Calibri" w:cs="Times New Roman"/>
          <w:sz w:val="22"/>
        </w:rPr>
        <w:t>emissions by 23% and pollution-related mortality by 63%.</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&lt;EndNote&gt;&lt;Cite&gt;&lt;Author&gt;Parry&lt;/Author&gt;&lt;Year&gt;2014&lt;/Year&gt;&lt;RecNum&gt;970&lt;/RecNum&gt;&lt;DisplayText&gt;&lt;style face="superscript"&gt;282&lt;/style&gt;&lt;/DisplayText&gt;&lt;record&gt;&lt;rec-number&gt;970&lt;/rec-number&gt;&lt;foreign-keys&gt;&lt;key app="EN" db-id="wtftd20rmszxx0ettxy5exwdf90wv22s2dsf" timestamp="1419212983"&gt;970&lt;/key&gt;&lt;/foreign-keys&gt;&lt;ref-type name="Report"&gt;27&lt;/ref-type&gt;&lt;contributors&gt;&lt;authors&gt;&lt;author&gt;Parry, I.W.H.&lt;/author&gt;&lt;author&gt;Heine, D.&lt;/author&gt;&lt;author&gt;Lis, E.&lt;/author&gt;&lt;/authors&gt;&lt;/contributors&gt;&lt;titles&gt;&lt;title&gt;Getting the Prices Right: From Principle to Practice&lt;/title&gt;&lt;/titles&gt;&lt;dates&gt;&lt;year&gt;2014&lt;/year&gt;&lt;/dates&gt;&lt;pub-location&gt;Washington D.C.&lt;/pub-location&gt;&lt;publisher&gt;International Monetary Fund&lt;/publisher&gt;&lt;urls&gt;&lt;/urls&gt;&lt;/record&gt;&lt;/Cite&gt;&lt;Cite&gt;&lt;Author&gt;Parry&lt;/Author&gt;&lt;Year&gt;2014&lt;/Year&gt;&lt;RecNum&gt;970&lt;/RecNum&gt;&lt;record&gt;&lt;rec-number&gt;970&lt;/rec-number&gt;&lt;foreign-keys&gt;&lt;key app="EN" db-id="wtftd20rmszxx0ettxy5exwdf90wv22s2dsf" timestamp="1419212983"&gt;970&lt;/key&gt;&lt;/foreign-keys&gt;&lt;ref-type name="Report"&gt;27&lt;/ref-type&gt;&lt;contributors&gt;&lt;authors&gt;&lt;author&gt;Parry, I.W.H.&lt;/author&gt;&lt;author&gt;Heine, D.&lt;/author&gt;&lt;author&gt;Lis, E.&lt;/author&gt;&lt;/authors&gt;&lt;/contributors&gt;&lt;titles&gt;&lt;title&gt;Getting the Prices Right: From Principle to Practice&lt;/title&gt;&lt;/titles&gt;&lt;dates&gt;&lt;year&gt;2014&lt;/year&gt;&lt;/dates&gt;&lt;pub-location&gt;Washington D.C.&lt;/pub-location&gt;&lt;publisher&gt;International Monetary Fund&lt;/publisher&gt;&lt;urls&gt;&lt;/urls&gt;&lt;/record&gt;&lt;/Cite&gt;&lt;/EndNote&gt;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282</w:t>
      </w:r>
      <w:r w:rsidR="00E13392">
        <w:rPr>
          <w:rFonts w:ascii="Calibri" w:hAnsi="Calibri" w:cs="Times New Roman"/>
          <w:sz w:val="22"/>
        </w:rPr>
        <w:fldChar w:fldCharType="end"/>
      </w:r>
      <w:r>
        <w:rPr>
          <w:rFonts w:ascii="Calibri" w:hAnsi="Calibri" w:cs="Times New Roman"/>
          <w:sz w:val="22"/>
        </w:rPr>
        <w:t xml:space="preserve"> If this revenue was used to offset labour taxation (for example by a reduction in payroll or other corporate taxation), revenue neutrality is achieved whilst producing a ‘double dividend’ effect of employment as well as environmental improvement.</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&lt;EndNote&gt;&lt;Cite&gt;&lt;Author&gt;Schöb&lt;/Author&gt;&lt;Year&gt;2003&lt;/Year&gt;&lt;RecNum&gt;977&lt;/RecNum&gt;&lt;DisplayText&gt;&lt;style face="superscript"&gt;283&lt;/style&gt;&lt;/DisplayText&gt;&lt;record&gt;&lt;rec-number&gt;977&lt;/rec-number&gt;&lt;foreign-keys&gt;&lt;key app="EN" db-id="wtftd20rmszxx0ettxy5exwdf90wv22s2dsf" timestamp="1419212983"&gt;977&lt;/key&gt;&lt;/foreign-keys&gt;&lt;ref-type name="Report"&gt;27&lt;/ref-type&gt;&lt;contributors&gt;&lt;authors&gt;&lt;author&gt;Schöb, R.&lt;/author&gt;&lt;/authors&gt;&lt;/contributors&gt;&lt;titles&gt;&lt;title&gt;The Double Dividend Hypothesis of Environmental Taxes. Working Paper no.946&lt;/title&gt;&lt;/titles&gt;&lt;dates&gt;&lt;year&gt;2003&lt;/year&gt;&lt;/dates&gt;&lt;pub-location&gt;Munich&lt;/pub-location&gt;&lt;publisher&gt;Centre for Economic Studies &amp;amp; the ifo Group&lt;/publisher&gt;&lt;urls&gt;&lt;/urls&gt;&lt;/record&gt;&lt;/Cite&gt;&lt;Cite&gt;&lt;Author&gt;Schöb&lt;/Author&gt;&lt;Year&gt;2003&lt;/Year&gt;&lt;RecNum&gt;977&lt;/RecNum&gt;&lt;record&gt;&lt;rec-number&gt;977&lt;/rec-number&gt;&lt;foreign-keys&gt;&lt;key app="EN" db-id="wtftd20rmszxx0ettxy5exwdf90wv22s2dsf" timestamp="1419212983"&gt;977&lt;/key&gt;&lt;/foreign-keys&gt;&lt;ref-type name="Report"&gt;27&lt;/ref-type&gt;&lt;contributors&gt;&lt;authors&gt;&lt;author&gt;Schöb, R.&lt;/author&gt;&lt;/authors&gt;&lt;/contributors&gt;&lt;titles&gt;&lt;title&gt;The Double Dividend Hypothesis of Environmental Taxes. Working Paper no.946&lt;/title&gt;&lt;/titles&gt;&lt;dates&gt;&lt;year&gt;2003&lt;/year&gt;&lt;/dates&gt;&lt;pub-location&gt;Munich&lt;/pub-location&gt;&lt;publisher&gt;Centre for Economic Studies &amp;amp; the ifo Group&lt;/publisher&gt;&lt;urls&gt;&lt;/urls&gt;&lt;/record&gt;&lt;/Cite&gt;&lt;/EndNote&gt;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283</w:t>
      </w:r>
      <w:r w:rsidR="00E13392">
        <w:rPr>
          <w:rFonts w:ascii="Calibri" w:hAnsi="Calibri" w:cs="Times New Roman"/>
          <w:sz w:val="22"/>
        </w:rPr>
        <w:fldChar w:fldCharType="end"/>
      </w:r>
      <w:r>
        <w:rPr>
          <w:rFonts w:ascii="Calibri" w:hAnsi="Calibri" w:cs="Times New Roman"/>
          <w:sz w:val="22"/>
        </w:rPr>
        <w:t xml:space="preserve"> Alternatively, carbon pricing mechanisms can be used to finance, subsidise or otherwise incentivise investments into other mitigation and adaptation measures, as discussed below.</w:t>
      </w:r>
    </w:p>
    <w:p w:rsidR="00DC4C4E" w:rsidRDefault="00DC4C4E" w:rsidP="00DC4C4E">
      <w:pPr>
        <w:rPr>
          <w:rFonts w:ascii="Calibri" w:hAnsi="Calibri"/>
        </w:rPr>
      </w:pPr>
    </w:p>
    <w:p w:rsidR="00DC4C4E" w:rsidRDefault="00DC4C4E" w:rsidP="00DC4C4E">
      <w:pPr>
        <w:jc w:val="both"/>
        <w:rPr>
          <w:rFonts w:ascii="Calibri" w:hAnsi="Calibri" w:cs="Times New Roman"/>
          <w:sz w:val="22"/>
        </w:rPr>
      </w:pPr>
      <w:r>
        <w:rPr>
          <w:rFonts w:ascii="Calibri" w:hAnsi="Calibri" w:cs="Times New Roman"/>
          <w:sz w:val="22"/>
        </w:rPr>
        <w:t>In addition to pricing pollution, distorting subsidies for the extraction and consumption of fossil fuels should be removed. For consumers, such subsidies (aimed at providing energy at below market price, and principally applied in developing countries) total around $400 billion annually,</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&lt;EndNote&gt;&lt;Cite&gt;&lt;Author&gt;International Energy Agency&lt;/Author&gt;&lt;Year&gt;2010&lt;/Year&gt;&lt;RecNum&gt;946&lt;/RecNum&gt;&lt;DisplayText&gt;&lt;style face="superscript"&gt;284&lt;/style&gt;&lt;/DisplayText&gt;&lt;record&gt;&lt;rec-number&gt;946&lt;/rec-number&gt;&lt;foreign-keys&gt;&lt;key app="EN" db-id="wtftd20rmszxx0ettxy5exwdf90wv22s2dsf" timestamp="1419212983"&gt;946&lt;/key&gt;&lt;/foreign-keys&gt;&lt;ref-type name="Government Document"&gt;46&lt;/ref-type&gt;&lt;contributors&gt;&lt;authors&gt;&lt;author&gt;International Energy Agency,&lt;/author&gt;&lt;/authors&gt;&lt;/contributors&gt;&lt;titles&gt;&lt;title&gt;World Energy Outlook&lt;/title&gt;&lt;/titles&gt;&lt;dates&gt;&lt;year&gt;2010&lt;/year&gt;&lt;/dates&gt;&lt;pub-location&gt;Paris&lt;/pub-location&gt;&lt;urls&gt;&lt;/urls&gt;&lt;/record&gt;&lt;/Cite&gt;&lt;Cite&gt;&lt;Author&gt;International Energy Agency&lt;/Author&gt;&lt;Year&gt;2010&lt;/Year&gt;&lt;RecNum&gt;946&lt;/RecNum&gt;&lt;record&gt;&lt;rec-number&gt;946&lt;/rec-number&gt;&lt;foreign-keys&gt;&lt;key app="EN" db-id="wtftd20rmszxx0ettxy5exwdf90wv22s2dsf" timestamp="1419212983"&gt;946&lt;/key&gt;&lt;/foreign-keys&gt;&lt;ref-type name="Government Document"&gt;46&lt;/ref-type&gt;&lt;contributors&gt;&lt;authors&gt;&lt;author&gt;International Energy Agency,&lt;/author&gt;&lt;/authors&gt;&lt;/contributors&gt;&lt;titles&gt;&lt;title&gt;World Energy Outlook&lt;/title&gt;&lt;/titles&gt;&lt;dates&gt;&lt;year&gt;2010&lt;/year&gt;&lt;/dates&gt;&lt;pub-location&gt;Paris&lt;/pub-location&gt;&lt;urls&gt;&lt;/urls&gt;&lt;/record&gt;&lt;/Cite&gt;&lt;/EndNote&gt;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284</w:t>
      </w:r>
      <w:r w:rsidR="00E13392">
        <w:rPr>
          <w:rFonts w:ascii="Calibri" w:hAnsi="Calibri" w:cs="Times New Roman"/>
          <w:sz w:val="22"/>
        </w:rPr>
        <w:fldChar w:fldCharType="end"/>
      </w:r>
      <w:r>
        <w:rPr>
          <w:rFonts w:ascii="Calibri" w:hAnsi="Calibri" w:cs="Times New Roman"/>
          <w:sz w:val="22"/>
        </w:rPr>
        <w:t xml:space="preserve"> whilst producer subsidies (aimed at sustaining otherwise uncompetitive production, principally applied in industrialised countries), are around $100 billion annually.</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&lt;EndNote&gt;&lt;Cite&gt;&lt;Author&gt;Victor&lt;/Author&gt;&lt;Year&gt;2009&lt;/Year&gt;&lt;RecNum&gt;937&lt;/RecNum&gt;&lt;DisplayText&gt;&lt;style face="superscript"&gt;285&lt;/style&gt;&lt;/DisplayText&gt;&lt;record&gt;&lt;rec-number&gt;937&lt;/rec-number&gt;&lt;foreign-keys&gt;&lt;key app="EN" db-id="wtftd20rmszxx0ettxy5exwdf90wv22s2dsf" timestamp="1419212983"&gt;937&lt;/key&gt;&lt;/foreign-keys&gt;&lt;ref-type name="Report"&gt;27&lt;/ref-type&gt;&lt;contributors&gt;&lt;authors&gt;&lt;author&gt;David Victor&lt;/author&gt;&lt;/authors&gt;&lt;/contributors&gt;&lt;titles&gt;&lt;title&gt;The Politics of Fossil-Fuel Subsidies&lt;/title&gt;&lt;/titles&gt;&lt;dates&gt;&lt;year&gt;2009&lt;/year&gt;&lt;/dates&gt;&lt;publisher&gt;Global Subsidies Initiative &amp;amp; the International Institute for Sustainable Development&lt;/publisher&gt;&lt;urls&gt;&lt;/urls&gt;&lt;/record&gt;&lt;/Cite&gt;&lt;/EndNote&gt;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285</w:t>
      </w:r>
      <w:r w:rsidR="00E13392">
        <w:rPr>
          <w:rFonts w:ascii="Calibri" w:hAnsi="Calibri" w:cs="Times New Roman"/>
          <w:sz w:val="22"/>
        </w:rPr>
        <w:fldChar w:fldCharType="end"/>
      </w:r>
      <w:r>
        <w:rPr>
          <w:rFonts w:ascii="Calibri" w:hAnsi="Calibri" w:cs="Times New Roman"/>
          <w:sz w:val="22"/>
        </w:rPr>
        <w:t xml:space="preserve"> </w:t>
      </w:r>
    </w:p>
    <w:p w:rsidR="00DC4C4E" w:rsidRDefault="00DC4C4E" w:rsidP="00DC4C4E">
      <w:pPr>
        <w:jc w:val="both"/>
        <w:rPr>
          <w:rFonts w:ascii="Calibri" w:hAnsi="Calibri" w:cs="Times New Roman"/>
          <w:sz w:val="22"/>
        </w:rPr>
      </w:pPr>
    </w:p>
    <w:p w:rsidR="00DC4C4E" w:rsidRDefault="00DC4C4E" w:rsidP="004349AE">
      <w:pPr>
        <w:jc w:val="both"/>
        <w:rPr>
          <w:rFonts w:ascii="Calibri" w:hAnsi="Calibri"/>
        </w:rPr>
      </w:pPr>
      <w:r>
        <w:rPr>
          <w:rFonts w:ascii="Calibri" w:hAnsi="Calibri" w:cs="Times New Roman"/>
          <w:sz w:val="22"/>
        </w:rPr>
        <w:lastRenderedPageBreak/>
        <w:t>Both fossil fuel subsidies and the presence of externalities tend disproportionately to benefit the wealthiest in society (in both national and international contexts), as energy consumption (and associated emissions) increases with prosperity, both directly (via additional travel demand, domestic heating and cooling requirements, etc.), and indirectly through additional consumption of energy embodied in products and services.</w:t>
      </w:r>
      <w:r w:rsidR="004008E1">
        <w:rPr>
          <w:rFonts w:ascii="Calibri" w:hAnsi="Calibri" w:cs="Times New Roman"/>
          <w:sz w:val="22"/>
        </w:rPr>
        <w:t xml:space="preserve"> </w:t>
      </w:r>
      <w:r>
        <w:rPr>
          <w:rFonts w:ascii="Calibri" w:hAnsi="Calibri" w:cs="Times New Roman"/>
          <w:sz w:val="22"/>
        </w:rPr>
        <w:t>Globally, an estimated 80% of such subsidies actually benefit the wealthiest 40% of the population.</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&lt;EndNote&gt;&lt;Cite&gt;&lt;Author&gt;International Monetary Fund&lt;/Author&gt;&lt;Year&gt;2010&lt;/Year&gt;&lt;RecNum&gt;952&lt;/RecNum&gt;&lt;DisplayText&gt;&lt;style face="superscript"&gt;286&lt;/style&gt;&lt;/DisplayText&gt;&lt;record&gt;&lt;rec-number&gt;952&lt;/rec-number&gt;&lt;foreign-keys&gt;&lt;key app="EN" db-id="wtftd20rmszxx0ettxy5exwdf90wv22s2dsf" timestamp="1419212983"&gt;952&lt;/key&gt;&lt;/foreign-keys&gt;&lt;ref-type name="Government Document"&gt;46&lt;/ref-type&gt;&lt;contributors&gt;&lt;authors&gt;&lt;author&gt;International Monetary Fund,&lt;/author&gt;&lt;/authors&gt;&lt;/contributors&gt;&lt;titles&gt;&lt;title&gt;World Economic Outlook&lt;/title&gt;&lt;/titles&gt;&lt;dates&gt;&lt;year&gt;2010&lt;/year&gt;&lt;/dates&gt;&lt;pub-location&gt;Washington D.C.&lt;/pub-location&gt;&lt;urls&gt;&lt;/urls&gt;&lt;/record&gt;&lt;/Cite&gt;&lt;Cite&gt;&lt;Author&gt;International Monetary Fund&lt;/Author&gt;&lt;Year&gt;2010&lt;/Year&gt;&lt;RecNum&gt;952&lt;/RecNum&gt;&lt;record&gt;&lt;rec-number&gt;952&lt;/rec-number&gt;&lt;foreign-keys&gt;&lt;key app="EN" db-id="wtftd20rmszxx0ettxy5exwdf90wv22s2dsf" timestamp="1419212983"&gt;952&lt;/key&gt;&lt;/foreign-keys&gt;&lt;ref-type name="Government Document"&gt;46&lt;/ref-type&gt;&lt;contributors&gt;&lt;authors&gt;&lt;author&gt;International Monetary Fund,&lt;/author&gt;&lt;/authors&gt;&lt;/contributors&gt;&lt;titles&gt;&lt;title&gt;World Economic Outlook&lt;/title&gt;&lt;/titles&gt;&lt;dates&gt;&lt;year&gt;2010&lt;/year&gt;&lt;/dates&gt;&lt;pub-location&gt;Washington D.C.&lt;/pub-location&gt;&lt;urls&gt;&lt;/urls&gt;&lt;/record&gt;&lt;/Cite&gt;&lt;/EndNote&gt;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286</w:t>
      </w:r>
      <w:r w:rsidR="00E13392">
        <w:rPr>
          <w:rFonts w:ascii="Calibri" w:hAnsi="Calibri" w:cs="Times New Roman"/>
          <w:sz w:val="22"/>
        </w:rPr>
        <w:fldChar w:fldCharType="end"/>
      </w:r>
      <w:r>
        <w:rPr>
          <w:rFonts w:ascii="Calibri" w:hAnsi="Calibri" w:cs="Times New Roman"/>
          <w:sz w:val="22"/>
        </w:rPr>
        <w:t xml:space="preserve"> However, the introduction of carbon pricing and the removal of fossil fuel subsidies may be regressive, as the poorest in society spend a greater proportion of their disposable income on energy. Reduced taxation of the low paid may partially offset this in industrialised economies, although further targeted support, such as the provision of energy efficiency measures for low-income or vulnerable households (funded by carbon price revenues and foregone subsidy), or the introduction of electricity tariffs differentiated by consumption level, is also likely to be required. In developing countries where most consumer fossil fuel subsidies are provided, and where a greater proportion of the population is not employed in the formal economy or have no access to electricity, more targeted interventions to remove disproportionate effects on low-income households, such as the expansion of social security, healthcare and education provision, will be required.</w:t>
      </w:r>
    </w:p>
    <w:p w:rsidR="00DC4C4E" w:rsidRDefault="00DC4C4E" w:rsidP="004349AE">
      <w:pPr>
        <w:jc w:val="both"/>
        <w:rPr>
          <w:rFonts w:ascii="Calibri" w:hAnsi="Calibri"/>
        </w:rPr>
      </w:pPr>
    </w:p>
    <w:p w:rsidR="00DC4C4E" w:rsidRPr="00D036C9" w:rsidRDefault="00DC4C4E" w:rsidP="00D036C9">
      <w:pPr>
        <w:pStyle w:val="Heading2"/>
      </w:pPr>
      <w:bookmarkStart w:id="152" w:name="_Toc402956410"/>
      <w:bookmarkStart w:id="153" w:name="_Toc415931412"/>
      <w:bookmarkStart w:id="154" w:name="_Toc417502077"/>
      <w:r>
        <w:t>Strategic Investment</w:t>
      </w:r>
      <w:bookmarkEnd w:id="152"/>
      <w:bookmarkEnd w:id="153"/>
      <w:bookmarkEnd w:id="154"/>
    </w:p>
    <w:p w:rsidR="00DC4C4E" w:rsidRDefault="00DC4C4E" w:rsidP="00DC4C4E">
      <w:pPr>
        <w:jc w:val="both"/>
        <w:rPr>
          <w:rFonts w:ascii="Calibri" w:hAnsi="Calibri" w:cs="Times New Roman"/>
          <w:sz w:val="22"/>
        </w:rPr>
      </w:pPr>
      <w:r>
        <w:rPr>
          <w:rFonts w:ascii="Calibri" w:hAnsi="Calibri" w:cs="Times New Roman"/>
          <w:sz w:val="22"/>
        </w:rPr>
        <w:t xml:space="preserve">Whilst a price on carbon is a key component for mitigation, it is technologically agnostic, and mainly encourages the adoption of mature low(er)-carbon technologies. To encourage deployment, improvement and cost-reduction of less mature technologies, direct investment is also required. Although </w:t>
      </w:r>
      <w:r w:rsidRPr="00B50254">
        <w:rPr>
          <w:rFonts w:ascii="Calibri" w:hAnsi="Calibri" w:cs="Times New Roman"/>
          <w:sz w:val="22"/>
        </w:rPr>
        <w:t xml:space="preserve">various options exist, Feed-in tariffs (FiTs), used in the electricity sector to provide a guaranteed rate of return to low-carbon generators, </w:t>
      </w:r>
      <w:r w:rsidRPr="004B20AD">
        <w:rPr>
          <w:rFonts w:ascii="Calibri" w:hAnsi="Calibri" w:cs="Times New Roman"/>
          <w:sz w:val="22"/>
        </w:rPr>
        <w:t xml:space="preserve"> have been the most effective policy instrument used for this purpose, and have been responsible for a significant majority of installed global renewable power capacity (see </w:t>
      </w:r>
      <w:r w:rsidRPr="004349AE">
        <w:rPr>
          <w:rFonts w:ascii="Calibri" w:hAnsi="Calibri" w:cs="Times New Roman"/>
          <w:sz w:val="22"/>
        </w:rPr>
        <w:t>Appendix</w:t>
      </w:r>
      <w:r w:rsidR="007240BB" w:rsidRPr="004349AE">
        <w:rPr>
          <w:rFonts w:ascii="Calibri" w:hAnsi="Calibri" w:cs="Times New Roman"/>
          <w:sz w:val="22"/>
        </w:rPr>
        <w:t xml:space="preserve"> </w:t>
      </w:r>
      <w:r w:rsidR="004B20AD" w:rsidRPr="004349AE">
        <w:rPr>
          <w:rFonts w:ascii="Calibri" w:hAnsi="Calibri" w:cs="Times New Roman"/>
          <w:sz w:val="22"/>
        </w:rPr>
        <w:t>6</w:t>
      </w:r>
      <w:r w:rsidRPr="00B50254">
        <w:rPr>
          <w:rFonts w:ascii="Calibri" w:hAnsi="Calibri" w:cs="Times New Roman"/>
          <w:sz w:val="22"/>
        </w:rPr>
        <w:t>). A FiT-style instrument may also be used to encourage the deployment of non-electric renewable technologies</w:t>
      </w:r>
      <w:r>
        <w:rPr>
          <w:rFonts w:ascii="Calibri" w:hAnsi="Calibri" w:cs="Times New Roman"/>
          <w:sz w:val="22"/>
        </w:rPr>
        <w:t xml:space="preserve">, including heating and cooling options. </w:t>
      </w:r>
    </w:p>
    <w:p w:rsidR="00DC4C4E" w:rsidRDefault="00DC4C4E" w:rsidP="00DC4C4E">
      <w:pPr>
        <w:jc w:val="both"/>
        <w:rPr>
          <w:rFonts w:ascii="Calibri" w:hAnsi="Calibri" w:cs="Times New Roman"/>
          <w:sz w:val="22"/>
        </w:rPr>
      </w:pPr>
    </w:p>
    <w:p w:rsidR="00DC4C4E" w:rsidRDefault="00DC4C4E" w:rsidP="00DC4C4E">
      <w:pPr>
        <w:jc w:val="both"/>
        <w:rPr>
          <w:rFonts w:ascii="Calibri" w:hAnsi="Calibri" w:cs="Times New Roman"/>
          <w:sz w:val="22"/>
        </w:rPr>
      </w:pPr>
      <w:r>
        <w:rPr>
          <w:rFonts w:ascii="Calibri" w:hAnsi="Calibri"/>
          <w:sz w:val="22"/>
          <w:szCs w:val="22"/>
        </w:rPr>
        <w:t xml:space="preserve">However, FiTs and comparable instruments only encourage diffusion and incremental improvements for technologies around the end of the innovation ‘chain’ (market accumulation and diffusion). For technologies in the earlier stages (applied research to demonstration and commercialisation), </w:t>
      </w:r>
      <w:r>
        <w:rPr>
          <w:rFonts w:ascii="Calibri" w:hAnsi="Calibri" w:cs="Times New Roman"/>
          <w:sz w:val="22"/>
          <w:szCs w:val="22"/>
        </w:rPr>
        <w:t>concerted R&amp;D efforts are required, comparable to public/private pharmaceutical research that has been shown to produce innovative new drugs.</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&lt;EndNote&gt;&lt;Cite&gt;&lt;Author&gt;Mazzucato&lt;/Author&gt;&lt;Year&gt;2013&lt;/Year&gt;&lt;RecNum&gt;960&lt;/RecNum&gt;&lt;DisplayText&gt;&lt;style face="superscript"&gt;287&lt;/style&gt;&lt;/DisplayText&gt;&lt;record&gt;&lt;rec-number&gt;960&lt;/rec-number&gt;&lt;foreign-keys&gt;&lt;key app="EN" db-id="wtftd20rmszxx0ettxy5exwdf90wv22s2dsf" timestamp="1419212983"&gt;960&lt;/key&gt;&lt;/foreign-keys&gt;&lt;ref-type name="Report"&gt;27&lt;/ref-type&gt;&lt;contributors&gt;&lt;authors&gt;&lt;author&gt;Mazzucato, M.&lt;/author&gt;&lt;/authors&gt;&lt;/contributors&gt;&lt;titles&gt;&lt;title&gt;The Entrepreneurial State: Debunking Public vs. Private Sector Myths&lt;/title&gt;&lt;/titles&gt;&lt;dates&gt;&lt;year&gt;2013&lt;/year&gt;&lt;/dates&gt;&lt;pub-location&gt;London&lt;/pub-location&gt;&lt;publisher&gt;Anthem Press&lt;/publisher&gt;&lt;urls&gt;&lt;/urls&gt;&lt;/record&gt;&lt;/Cite&gt;&lt;Cite&gt;&lt;Author&gt;Mazzucato&lt;/Author&gt;&lt;Year&gt;2013&lt;/Year&gt;&lt;RecNum&gt;960&lt;/RecNum&gt;&lt;record&gt;&lt;rec-number&gt;960&lt;/rec-number&gt;&lt;foreign-keys&gt;&lt;key app="EN" db-id="wtftd20rmszxx0ettxy5exwdf90wv22s2dsf" timestamp="1419212983"&gt;960&lt;/key&gt;&lt;/foreign-keys&gt;&lt;ref-type name="Report"&gt;27&lt;/ref-type&gt;&lt;contributors&gt;&lt;authors&gt;&lt;author&gt;Mazzucato, M.&lt;/author&gt;&lt;/authors&gt;&lt;/contributors&gt;&lt;titles&gt;&lt;title&gt;The Entrepreneurial State: Debunking Public vs. Private Sector Myths&lt;/title&gt;&lt;/titles&gt;&lt;dates&gt;&lt;year&gt;2013&lt;/year&gt;&lt;/dates&gt;&lt;pub-location&gt;London&lt;/pub-location&gt;&lt;publisher&gt;Anthem Press&lt;/publisher&gt;&lt;urls&gt;&lt;/urls&gt;&lt;/record&gt;&lt;/Cite&gt;&lt;/EndNote&gt;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287</w:t>
      </w:r>
      <w:r w:rsidR="00E13392">
        <w:rPr>
          <w:rFonts w:ascii="Calibri" w:hAnsi="Calibri" w:cs="Times New Roman"/>
          <w:sz w:val="22"/>
          <w:szCs w:val="22"/>
        </w:rPr>
        <w:fldChar w:fldCharType="end"/>
      </w:r>
      <w:r>
        <w:rPr>
          <w:rFonts w:ascii="Calibri" w:hAnsi="Calibri" w:cs="Times New Roman"/>
          <w:sz w:val="22"/>
          <w:szCs w:val="22"/>
        </w:rPr>
        <w:t xml:space="preserve"> Such efforts may be analogous to the Manhattan Project for nuclear</w:t>
      </w:r>
      <w:r>
        <w:rPr>
          <w:rFonts w:ascii="Calibri" w:hAnsi="Calibri" w:cs="Times New Roman"/>
          <w:sz w:val="22"/>
        </w:rPr>
        <w:t xml:space="preserve"> technology, or the Apollo Program for space flight – but focused perhaps on energy storage technologies, which are often seen as crucial for the effective decarbonisation of the global energy system.</w:t>
      </w:r>
    </w:p>
    <w:p w:rsidR="00DC4C4E" w:rsidRDefault="00DC4C4E" w:rsidP="00DC4C4E">
      <w:pPr>
        <w:rPr>
          <w:rFonts w:ascii="Calibri" w:hAnsi="Calibri"/>
        </w:rPr>
      </w:pPr>
    </w:p>
    <w:p w:rsidR="00DC4C4E" w:rsidRPr="007240BB" w:rsidRDefault="00DC4C4E" w:rsidP="007240BB">
      <w:pPr>
        <w:jc w:val="both"/>
        <w:rPr>
          <w:rFonts w:ascii="Calibri" w:hAnsi="Calibri" w:cs="Times New Roman"/>
          <w:b/>
          <w:sz w:val="22"/>
        </w:rPr>
      </w:pPr>
      <w:r>
        <w:rPr>
          <w:rFonts w:ascii="Calibri" w:hAnsi="Calibri" w:cs="Times New Roman"/>
          <w:sz w:val="22"/>
        </w:rPr>
        <w:t xml:space="preserve">Public-led strategic investment is also required in urban low-carbon travel infrastructure (e.g. segregated cycle lanes), along with investment in electric car charging points. This also applies to the electricity transmission network, which is under state ownership in most countries. Such investments may be financed in a number of ways, including directly by governments, multilateral organisations or other public </w:t>
      </w:r>
      <w:r w:rsidRPr="00B50254">
        <w:rPr>
          <w:rFonts w:ascii="Calibri" w:hAnsi="Calibri" w:cs="Times New Roman"/>
          <w:sz w:val="22"/>
        </w:rPr>
        <w:t>bodies, through the use of carbon pricing revenues, or by the issuance of specialised ‘climate bonds’</w:t>
      </w:r>
      <w:r w:rsidRPr="004B20AD">
        <w:rPr>
          <w:rFonts w:ascii="Calibri" w:hAnsi="Calibri" w:cs="Times New Roman"/>
          <w:b/>
          <w:sz w:val="22"/>
        </w:rPr>
        <w:t xml:space="preserve"> </w:t>
      </w:r>
      <w:r w:rsidRPr="004B20AD">
        <w:rPr>
          <w:rFonts w:ascii="Calibri" w:hAnsi="Calibri" w:cs="Times New Roman"/>
          <w:sz w:val="22"/>
        </w:rPr>
        <w:t xml:space="preserve">(see </w:t>
      </w:r>
      <w:r w:rsidRPr="004349AE">
        <w:rPr>
          <w:rFonts w:ascii="Calibri" w:hAnsi="Calibri" w:cs="Times New Roman"/>
          <w:sz w:val="22"/>
        </w:rPr>
        <w:t>Appendix</w:t>
      </w:r>
      <w:r w:rsidR="007240BB" w:rsidRPr="004349AE">
        <w:rPr>
          <w:rFonts w:ascii="Calibri" w:hAnsi="Calibri" w:cs="Times New Roman"/>
          <w:sz w:val="22"/>
        </w:rPr>
        <w:t xml:space="preserve"> </w:t>
      </w:r>
      <w:r w:rsidR="004B20AD" w:rsidRPr="004349AE">
        <w:rPr>
          <w:rFonts w:ascii="Calibri" w:hAnsi="Calibri" w:cs="Times New Roman"/>
          <w:sz w:val="22"/>
        </w:rPr>
        <w:t>7</w:t>
      </w:r>
      <w:r w:rsidRPr="00B50254">
        <w:rPr>
          <w:rFonts w:ascii="Calibri" w:hAnsi="Calibri" w:cs="Times New Roman"/>
          <w:sz w:val="22"/>
        </w:rPr>
        <w:t>).</w:t>
      </w:r>
    </w:p>
    <w:p w:rsidR="00DC4C4E" w:rsidRDefault="00DC4C4E" w:rsidP="00DC4C4E">
      <w:pPr>
        <w:rPr>
          <w:rFonts w:ascii="Calibri" w:hAnsi="Calibri"/>
        </w:rPr>
      </w:pPr>
    </w:p>
    <w:p w:rsidR="00DC4C4E" w:rsidRDefault="00DC4C4E" w:rsidP="00D036C9">
      <w:pPr>
        <w:pStyle w:val="Heading2"/>
        <w:rPr>
          <w:rFonts w:ascii="Calibri" w:hAnsi="Calibri" w:cs="Times New Roman"/>
          <w:sz w:val="22"/>
        </w:rPr>
      </w:pPr>
      <w:bookmarkStart w:id="155" w:name="_Toc415931413"/>
      <w:bookmarkStart w:id="156" w:name="_Toc417502078"/>
      <w:r>
        <w:t>Institutional</w:t>
      </w:r>
      <w:bookmarkStart w:id="157" w:name="_Toc402956411"/>
      <w:bookmarkEnd w:id="155"/>
      <w:r>
        <w:t xml:space="preserve"> </w:t>
      </w:r>
      <w:bookmarkStart w:id="158" w:name="_Toc415931414"/>
      <w:r w:rsidR="007240BB">
        <w:t>R</w:t>
      </w:r>
      <w:r>
        <w:t>eform and support</w:t>
      </w:r>
      <w:bookmarkEnd w:id="156"/>
      <w:bookmarkEnd w:id="157"/>
      <w:bookmarkEnd w:id="158"/>
    </w:p>
    <w:p w:rsidR="00DC4C4E" w:rsidRDefault="00DC4C4E" w:rsidP="00DC4C4E">
      <w:pPr>
        <w:jc w:val="both"/>
        <w:rPr>
          <w:rFonts w:ascii="Calibri" w:hAnsi="Calibri"/>
        </w:rPr>
      </w:pPr>
      <w:r>
        <w:rPr>
          <w:rFonts w:ascii="Calibri" w:hAnsi="Calibri" w:cs="Times New Roman"/>
          <w:sz w:val="22"/>
        </w:rPr>
        <w:t>Beyond the appropriate selection of policy instruments and timeframe for implementation, investments in decarbonisation and adaptation measures will depend on the existence of</w:t>
      </w:r>
      <w:r>
        <w:rPr>
          <w:rFonts w:ascii="Calibri" w:hAnsi="Calibri" w:cs="Times New Roman"/>
          <w:b/>
          <w:sz w:val="22"/>
        </w:rPr>
        <w:t xml:space="preserve"> effective and supportive governance and well-functioning markets</w:t>
      </w:r>
      <w:r>
        <w:rPr>
          <w:rFonts w:ascii="Calibri" w:hAnsi="Calibri" w:cs="Times New Roman"/>
          <w:sz w:val="22"/>
        </w:rPr>
        <w:t xml:space="preserve">. Good governance requires the well-defined division of responsibilities between government departments, agencies and hierarchies, enforcement of standards and regulations, transparency at key stages of the regulatory process and subsequent monitoring and reporting, and effective communication and stakeholder engagement. In addition, governments are often the largest consumer in the market, with public spending </w:t>
      </w:r>
      <w:r>
        <w:rPr>
          <w:rFonts w:ascii="Calibri" w:hAnsi="Calibri" w:cs="Times New Roman"/>
          <w:sz w:val="22"/>
        </w:rPr>
        <w:lastRenderedPageBreak/>
        <w:t>accounting for 15-30% of GDP in any given country.</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&lt;EndNote&gt;&lt;Cite&gt;&lt;Author&gt;Ravenel&lt;/Author&gt;&lt;Year&gt;2012&lt;/Year&gt;&lt;RecNum&gt;983&lt;/RecNum&gt;&lt;DisplayText&gt;&lt;style face="superscript"&gt;288&lt;/style&gt;&lt;/DisplayText&gt;&lt;record&gt;&lt;rec-number&gt;983&lt;/rec-number&gt;&lt;foreign-keys&gt;&lt;key app="EN" db-id="wtftd20rmszxx0ettxy5exwdf90wv22s2dsf" timestamp="1419212983"&gt;983&lt;/key&gt;&lt;/foreign-keys&gt;&lt;ref-type name="Report"&gt;27&lt;/ref-type&gt;&lt;contributors&gt;&lt;authors&gt;&lt;author&gt;Pierre Ravenel&lt;/author&gt;&lt;author&gt;Jorge Brites&lt;/author&gt;&lt;author&gt;Geraldine Dichamp&lt;/author&gt;&lt;author&gt;Christelle Monteillet&lt;/author&gt;&lt;author&gt;MM. Farid Yaker&lt;/author&gt;&lt;author&gt;Carlos Andres Enmanuel&lt;/author&gt;&lt;/authors&gt;&lt;/contributors&gt;&lt;titles&gt;&lt;title&gt;The Impacts of Sustainable Public Procurement: Eight Illustrative Case Studies&lt;/title&gt;&lt;/titles&gt;&lt;dates&gt;&lt;year&gt;2012&lt;/year&gt;&lt;/dates&gt;&lt;pub-location&gt;Paris&lt;/pub-location&gt;&lt;publisher&gt;UNEP Sustainable Consumption and Production Branch&lt;/publisher&gt;&lt;urls&gt;&lt;/urls&gt;&lt;/record&gt;&lt;/Cite&gt;&lt;/EndNote&gt;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288</w:t>
      </w:r>
      <w:r w:rsidR="00E13392">
        <w:rPr>
          <w:rFonts w:ascii="Calibri" w:hAnsi="Calibri" w:cs="Times New Roman"/>
          <w:sz w:val="22"/>
        </w:rPr>
        <w:fldChar w:fldCharType="end"/>
      </w:r>
      <w:r>
        <w:rPr>
          <w:rFonts w:ascii="Calibri" w:hAnsi="Calibri" w:cs="Times New Roman"/>
          <w:sz w:val="22"/>
        </w:rPr>
        <w:t xml:space="preserve"> Sustainable Public Procurement (SPP) policies act to provide a market for efficient, low-carbon goods and services. </w:t>
      </w:r>
    </w:p>
    <w:p w:rsidR="00DC4C4E" w:rsidRDefault="00DC4C4E" w:rsidP="00DC4C4E">
      <w:pPr>
        <w:jc w:val="both"/>
        <w:rPr>
          <w:rFonts w:ascii="Calibri" w:hAnsi="Calibri"/>
        </w:rPr>
      </w:pPr>
    </w:p>
    <w:p w:rsidR="00076B51" w:rsidRPr="00DC4C4E" w:rsidRDefault="00DC4C4E" w:rsidP="00DC4C4E">
      <w:pPr>
        <w:rPr>
          <w:rFonts w:ascii="Times New Roman" w:eastAsiaTheme="minorHAnsi" w:hAnsi="Times New Roman" w:cs="Times New Roman"/>
          <w:lang w:val="en-AU" w:eastAsia="en-AU"/>
        </w:rPr>
      </w:pPr>
      <w:r>
        <w:rPr>
          <w:rFonts w:ascii="Calibri" w:hAnsi="Calibri" w:cs="Times New Roman"/>
          <w:sz w:val="22"/>
        </w:rPr>
        <w:t>Governments may promote well-functioning markets through the kinds of policies described above, and by reducing institutional barriers to low-carbon investment and innovation. For example, many pension funds across the world are barred from investing in infrastructure, including all in China (except the National Social Security Fund) and many in the EU. Whilst these regulations aim to alleviate legitimate concerns (such as preventing pension funds from becoming an extension of government budgets), they are often excessive and increasingly irrelevant as funds gradually become independent of political interference.</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&lt;EndNote&gt;&lt;Cite&gt;&lt;Author&gt;Fulton&lt;/Author&gt;&lt;Year&gt;2014&lt;/Year&gt;&lt;RecNum&gt;935&lt;/RecNum&gt;&lt;DisplayText&gt;&lt;style face="superscript"&gt;276&lt;/style&gt;&lt;/DisplayText&gt;&lt;record&gt;&lt;rec-number&gt;935&lt;/rec-number&gt;&lt;foreign-keys&gt;&lt;key app="EN" db-id="wtftd20rmszxx0ettxy5exwdf90wv22s2dsf" timestamp="1419212983"&gt;935&lt;/key&gt;&lt;/foreign-keys&gt;&lt;ref-type name="Book"&gt;6&lt;/ref-type&gt;&lt;contributors&gt;&lt;authors&gt;&lt;author&gt;Fulton, M.&lt;/author&gt;&lt;author&gt;Capalino, R.&lt;/author&gt;&lt;/authors&gt;&lt;/contributors&gt;&lt;titles&gt;&lt;title&gt;Investing in the Clean Trillion: Closing the Clean Energy Investment Gap&lt;/title&gt;&lt;/titles&gt;&lt;dates&gt;&lt;year&gt;2014&lt;/year&gt;&lt;/dates&gt;&lt;pub-location&gt;Boston&lt;/pub-location&gt;&lt;publisher&gt;Ceres&lt;/publisher&gt;&lt;urls&gt;&lt;/urls&gt;&lt;/record&gt;&lt;/Cite&gt;&lt;/EndNote&gt;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276</w:t>
      </w:r>
      <w:r w:rsidR="00E13392">
        <w:rPr>
          <w:rFonts w:ascii="Calibri" w:hAnsi="Calibri" w:cs="Times New Roman"/>
          <w:sz w:val="22"/>
        </w:rPr>
        <w:fldChar w:fldCharType="end"/>
      </w:r>
      <w:r>
        <w:rPr>
          <w:rFonts w:ascii="Calibri" w:hAnsi="Calibri" w:cs="Times New Roman"/>
          <w:sz w:val="22"/>
        </w:rPr>
        <w:t xml:space="preserve"> Reform of such rules is essential in mobilising capital from institutional investors, regardless of the policy and incentive mechanisms in place to encourage investment in developing the low-carbon economy.</w:t>
      </w:r>
      <w:r w:rsidR="002354AF" w:rsidRPr="00B518F3">
        <w:rPr>
          <w:rFonts w:ascii="Calibri" w:hAnsi="Calibri" w:cs="Times New Roman"/>
          <w:sz w:val="22"/>
        </w:rPr>
        <w:t xml:space="preserve"> </w:t>
      </w:r>
      <w:r w:rsidR="00076B51">
        <w:br w:type="page"/>
      </w:r>
    </w:p>
    <w:p w:rsidR="00076B51" w:rsidRDefault="00024E43" w:rsidP="00076B51">
      <w:pPr>
        <w:pStyle w:val="Heading1"/>
      </w:pPr>
      <w:bookmarkStart w:id="159" w:name="_Toc415931415"/>
      <w:bookmarkStart w:id="160" w:name="_Toc417502079"/>
      <w:r>
        <w:lastRenderedPageBreak/>
        <w:t xml:space="preserve">Section </w:t>
      </w:r>
      <w:r w:rsidR="00076B51">
        <w:t>5: Delivering a Healthy Low-Carbon Future</w:t>
      </w:r>
      <w:bookmarkEnd w:id="159"/>
      <w:bookmarkEnd w:id="160"/>
      <w:r w:rsidR="00076B51">
        <w:t xml:space="preserve"> </w:t>
      </w:r>
      <w:bookmarkStart w:id="161" w:name="_Toc405103516"/>
    </w:p>
    <w:p w:rsidR="00AA67F8" w:rsidRDefault="00AA67F8" w:rsidP="00AA67F8">
      <w:pPr>
        <w:pStyle w:val="Heading2"/>
      </w:pPr>
      <w:bookmarkStart w:id="162" w:name="_Toc415931416"/>
      <w:bookmarkStart w:id="163" w:name="_Toc417502080"/>
      <w:bookmarkEnd w:id="161"/>
      <w:r>
        <w:t>Introduction</w:t>
      </w:r>
      <w:bookmarkEnd w:id="162"/>
      <w:bookmarkEnd w:id="163"/>
    </w:p>
    <w:p w:rsidR="00AA67F8" w:rsidRDefault="00AA67F8" w:rsidP="00AA67F8">
      <w:pPr>
        <w:shd w:val="clear" w:color="auto" w:fill="FFFFFF"/>
        <w:jc w:val="both"/>
        <w:rPr>
          <w:rFonts w:ascii="Calibri" w:hAnsi="Calibri" w:cs="Times New Roman"/>
          <w:sz w:val="22"/>
        </w:rPr>
      </w:pPr>
      <w:r>
        <w:rPr>
          <w:rFonts w:ascii="Calibri" w:hAnsi="Calibri" w:cs="Times New Roman"/>
          <w:sz w:val="22"/>
        </w:rPr>
        <w:t>Central to this Commission’s work is the question of whether human societies can deliver a healthy, low-carbon future. Sections 1 and 2 have explained the scientific basis for concern, the potential health dimensions of impacts, and the adaptation responses required. Sections 3 and 4 have demonstrated the technological and economic feasibility of tackling the problem.  Yet over the past decade, global emissions have still risen sharply.  The evidence to date of humanity’s ability to respond effectively is not encouraging.</w:t>
      </w:r>
    </w:p>
    <w:p w:rsidR="00AA67F8" w:rsidRDefault="00AA67F8" w:rsidP="00AA67F8">
      <w:pPr>
        <w:shd w:val="clear" w:color="auto" w:fill="FFFFFF"/>
        <w:jc w:val="both"/>
        <w:rPr>
          <w:rFonts w:ascii="Calibri" w:hAnsi="Calibri" w:cs="Times New Roman"/>
          <w:sz w:val="22"/>
        </w:rPr>
      </w:pPr>
      <w:r>
        <w:rPr>
          <w:rFonts w:ascii="Calibri" w:hAnsi="Calibri" w:cs="Times New Roman"/>
          <w:sz w:val="22"/>
        </w:rPr>
        <w:t>The difficulty, essentially, is ourselves: the tendency of humans to ignore or discount unpleasant facts or difficult choices (something familiar to doctors); the nature of companies and countries to defend their own rather than collective interests (something familiar to those working in global health); and the narrow, short-term horizons of most human institutions, which feed into the difficulties of global negotiations.</w:t>
      </w:r>
    </w:p>
    <w:p w:rsidR="00AA67F8" w:rsidRDefault="00AA67F8" w:rsidP="00AA67F8">
      <w:pPr>
        <w:shd w:val="clear" w:color="auto" w:fill="FFFFFF"/>
        <w:jc w:val="both"/>
        <w:rPr>
          <w:rFonts w:ascii="Calibri" w:hAnsi="Calibri" w:cs="Times New Roman"/>
          <w:sz w:val="22"/>
        </w:rPr>
      </w:pPr>
    </w:p>
    <w:p w:rsidR="00AA67F8" w:rsidRDefault="00AA67F8" w:rsidP="00AA67F8">
      <w:pPr>
        <w:shd w:val="clear" w:color="auto" w:fill="FFFFFF"/>
        <w:jc w:val="both"/>
        <w:rPr>
          <w:rFonts w:ascii="Calibri" w:hAnsi="Calibri" w:cs="Times New Roman"/>
          <w:sz w:val="22"/>
        </w:rPr>
      </w:pPr>
      <w:r>
        <w:rPr>
          <w:rFonts w:ascii="Calibri" w:hAnsi="Calibri" w:cs="Times New Roman"/>
          <w:sz w:val="22"/>
        </w:rPr>
        <w:t>Over the past century, the world has made enormous strides in overcoming similar obstacles in the field of health, with international cooperation on health challenges as a shining example. The problem of anthropogenic climate change is more recent, arguably more complex, and the efforts to tackle it more nascent.  But there are some promising developments, and a great deal can be learned by examining the history of efforts to date.</w:t>
      </w:r>
    </w:p>
    <w:p w:rsidR="00AA67F8" w:rsidRDefault="00AA67F8" w:rsidP="00AA67F8">
      <w:pPr>
        <w:jc w:val="both"/>
        <w:rPr>
          <w:rFonts w:ascii="Calibri" w:hAnsi="Calibri" w:cs="Times New Roman"/>
          <w:sz w:val="22"/>
        </w:rPr>
      </w:pPr>
    </w:p>
    <w:p w:rsidR="00AA67F8" w:rsidRDefault="00AA67F8" w:rsidP="00AA67F8">
      <w:pPr>
        <w:jc w:val="both"/>
        <w:rPr>
          <w:rFonts w:ascii="Calibri" w:hAnsi="Calibri" w:cs="Times New Roman"/>
          <w:sz w:val="22"/>
        </w:rPr>
      </w:pPr>
      <w:r>
        <w:rPr>
          <w:rFonts w:ascii="Calibri" w:hAnsi="Calibri" w:cs="Times New Roman"/>
          <w:sz w:val="22"/>
        </w:rPr>
        <w:t>One conclusion evident throughout our report is that much of the technical expertise, technology, and finance required to turn climate change from a public health threat into an opportunity is readily available, but politically restricted. In essence, whether we respond to “the biggest global health threat of the 21st century” is no longer a technical or economic question – it is political. This section analyses the politics of climate change, and provides suggestions for action. We examine the international regime (under the UN Framework Convention on Climate Change and its Kyoto Protocol); national policy responses; the role of sub-national governance processes, particularly in major cities; and the importance of individuals and public opinion. Importantly, we stress the need for better synergy between “top down” and “bottom up” approaches. We seek to draw lessons from global health governance mechanisms, and make suggestions for how health-related issues can inform the climate change negotiation process.</w:t>
      </w:r>
    </w:p>
    <w:p w:rsidR="00AA67F8" w:rsidRPr="004349AE" w:rsidRDefault="00AA67F8" w:rsidP="00AA67F8">
      <w:pPr>
        <w:shd w:val="clear" w:color="auto" w:fill="FFFFFF"/>
        <w:rPr>
          <w:rFonts w:ascii="Helvetica" w:hAnsi="Helvetica"/>
          <w:color w:val="222222"/>
        </w:rPr>
      </w:pPr>
      <w:r>
        <w:rPr>
          <w:rFonts w:ascii="Helvetica" w:hAnsi="Helvetica"/>
          <w:color w:val="222222"/>
        </w:rPr>
        <w:t> </w:t>
      </w:r>
    </w:p>
    <w:p w:rsidR="00AA67F8" w:rsidRDefault="00AA67F8" w:rsidP="00AA67F8">
      <w:pPr>
        <w:pStyle w:val="Heading2"/>
        <w:rPr>
          <w:rFonts w:ascii="Arial" w:hAnsi="Arial"/>
          <w:sz w:val="20"/>
          <w:szCs w:val="20"/>
        </w:rPr>
      </w:pPr>
      <w:bookmarkStart w:id="164" w:name="_Toc405103517"/>
      <w:bookmarkStart w:id="165" w:name="_Toc415931417"/>
      <w:bookmarkStart w:id="166" w:name="_Toc417502081"/>
      <w:r>
        <w:t>Three Phases of Response</w:t>
      </w:r>
      <w:bookmarkEnd w:id="164"/>
      <w:r>
        <w:t xml:space="preserve"> – T</w:t>
      </w:r>
      <w:r w:rsidR="00DE2E29">
        <w:t>h</w:t>
      </w:r>
      <w:r>
        <w:t>e International Regime</w:t>
      </w:r>
      <w:bookmarkEnd w:id="165"/>
      <w:bookmarkEnd w:id="166"/>
      <w:r>
        <w:t xml:space="preserve"> </w:t>
      </w:r>
    </w:p>
    <w:p w:rsidR="00AA67F8" w:rsidRDefault="00AA67F8" w:rsidP="004349AE">
      <w:pPr>
        <w:pStyle w:val="NormalWeb"/>
        <w:shd w:val="clear" w:color="auto" w:fill="FFFFFF"/>
        <w:spacing w:before="0" w:beforeAutospacing="0" w:after="0" w:afterAutospacing="0"/>
        <w:jc w:val="both"/>
        <w:rPr>
          <w:rFonts w:asciiTheme="minorHAnsi" w:eastAsiaTheme="minorEastAsia" w:hAnsiTheme="minorHAnsi"/>
          <w:sz w:val="22"/>
          <w:szCs w:val="22"/>
          <w:lang w:val="en-US" w:eastAsia="ja-JP"/>
        </w:rPr>
      </w:pPr>
      <w:r>
        <w:rPr>
          <w:rFonts w:asciiTheme="minorHAnsi" w:eastAsiaTheme="minorEastAsia" w:hAnsiTheme="minorHAnsi"/>
          <w:sz w:val="22"/>
          <w:szCs w:val="22"/>
          <w:lang w:val="en-US" w:eastAsia="ja-JP"/>
        </w:rPr>
        <w:t>It is almost thirty years since climate change emerged onto political agendas, with three phases of response, since then, of roughly a decade each.</w:t>
      </w:r>
    </w:p>
    <w:p w:rsidR="00AA67F8" w:rsidRDefault="00AA67F8" w:rsidP="00AA67F8">
      <w:pPr>
        <w:shd w:val="clear" w:color="auto" w:fill="FFFFFF"/>
        <w:jc w:val="both"/>
        <w:rPr>
          <w:color w:val="222222"/>
          <w:sz w:val="22"/>
          <w:szCs w:val="22"/>
        </w:rPr>
      </w:pPr>
    </w:p>
    <w:p w:rsidR="00AA67F8" w:rsidRPr="00D036C9" w:rsidRDefault="00AA67F8" w:rsidP="00D036C9">
      <w:pPr>
        <w:pStyle w:val="Heading3"/>
      </w:pPr>
      <w:bookmarkStart w:id="167" w:name="_Toc405103518"/>
      <w:bookmarkStart w:id="168" w:name="_Toc415931418"/>
      <w:bookmarkStart w:id="169" w:name="_Toc417502082"/>
      <w:r>
        <w:t xml:space="preserve">First Phase: Understanding the Evidence and Establishing Institutions and Broad </w:t>
      </w:r>
      <w:bookmarkEnd w:id="167"/>
      <w:r>
        <w:t>Goals</w:t>
      </w:r>
      <w:bookmarkEnd w:id="168"/>
      <w:bookmarkEnd w:id="169"/>
    </w:p>
    <w:p w:rsidR="00AA67F8" w:rsidRDefault="00AA67F8" w:rsidP="00AA67F8">
      <w:pPr>
        <w:shd w:val="clear" w:color="auto" w:fill="FFFFFF"/>
        <w:jc w:val="both"/>
        <w:rPr>
          <w:rFonts w:cs="Times New Roman"/>
          <w:sz w:val="22"/>
          <w:szCs w:val="22"/>
        </w:rPr>
      </w:pPr>
      <w:r>
        <w:rPr>
          <w:rFonts w:cs="Times New Roman"/>
          <w:sz w:val="22"/>
          <w:szCs w:val="22"/>
        </w:rPr>
        <w:t>The first phase established the institutional basis for responding to climate change, including for scientific input into policy processes. Building on long-held concerns of the scientific community, a series of international workshops in the mid-1980s, hosted by the World Meteorological Organisation and the UN Environment Programme, led governments to establish the Intergovernmental Panel on Climate Change (IPCC) in 1988 as the official channel of scientific advice to the international community.</w:t>
      </w:r>
    </w:p>
    <w:p w:rsidR="00AA67F8" w:rsidRDefault="00AA67F8" w:rsidP="00AA67F8">
      <w:pPr>
        <w:shd w:val="clear" w:color="auto" w:fill="FFFFFF"/>
        <w:jc w:val="both"/>
        <w:rPr>
          <w:rFonts w:cs="Times New Roman"/>
          <w:sz w:val="22"/>
          <w:szCs w:val="22"/>
        </w:rPr>
      </w:pPr>
      <w:r>
        <w:rPr>
          <w:rFonts w:cs="Times New Roman"/>
          <w:sz w:val="22"/>
          <w:szCs w:val="22"/>
        </w:rPr>
        <w:t> </w:t>
      </w:r>
    </w:p>
    <w:p w:rsidR="00AA67F8" w:rsidRDefault="00AA67F8" w:rsidP="004349AE">
      <w:pPr>
        <w:shd w:val="clear" w:color="auto" w:fill="FFFFFF"/>
        <w:jc w:val="both"/>
        <w:rPr>
          <w:rFonts w:ascii="Calibri" w:hAnsi="Calibri" w:cs="Times New Roman"/>
          <w:sz w:val="22"/>
        </w:rPr>
      </w:pPr>
      <w:r>
        <w:rPr>
          <w:rFonts w:cs="Times New Roman"/>
          <w:sz w:val="22"/>
          <w:szCs w:val="22"/>
        </w:rPr>
        <w:t>I</w:t>
      </w:r>
      <w:r w:rsidR="00D022A9">
        <w:rPr>
          <w:rFonts w:cs="Times New Roman"/>
          <w:sz w:val="22"/>
          <w:szCs w:val="22"/>
        </w:rPr>
        <w:t>n 1990, the IPCC’s first report</w:t>
      </w:r>
      <w:r>
        <w:rPr>
          <w:rFonts w:cs="Times New Roman"/>
          <w:sz w:val="22"/>
          <w:szCs w:val="22"/>
        </w:rPr>
        <w:t xml:space="preserve"> expressed enough concern for governments to formally launch international negotiations aimed at tackling the problem, and two years later to agree on the UN Framework Convention on Climate change (UNFCCC).  The UNFCCC now enjoys almost universal membership. </w:t>
      </w:r>
    </w:p>
    <w:p w:rsidR="00AA67F8" w:rsidRPr="004349AE" w:rsidRDefault="00AA67F8" w:rsidP="004349AE">
      <w:pPr>
        <w:shd w:val="clear" w:color="auto" w:fill="FFFFFF"/>
        <w:jc w:val="both"/>
        <w:rPr>
          <w:rFonts w:cs="Times New Roman"/>
          <w:sz w:val="22"/>
          <w:szCs w:val="22"/>
        </w:rPr>
      </w:pPr>
    </w:p>
    <w:p w:rsidR="00AA67F8" w:rsidRPr="004349AE" w:rsidRDefault="00AA67F8" w:rsidP="004349AE">
      <w:pPr>
        <w:shd w:val="clear" w:color="auto" w:fill="FFFFFF"/>
        <w:jc w:val="both"/>
        <w:rPr>
          <w:rFonts w:cs="Times New Roman"/>
          <w:sz w:val="22"/>
          <w:szCs w:val="22"/>
        </w:rPr>
      </w:pPr>
      <w:r w:rsidRPr="004349AE">
        <w:rPr>
          <w:rFonts w:cs="Times New Roman"/>
          <w:sz w:val="22"/>
          <w:szCs w:val="22"/>
        </w:rPr>
        <w:lastRenderedPageBreak/>
        <w:t>The UNFCCC established the “ultimate objective” of stabilising GHG concentrations at a level that would prevent “dangerous” human interference in the climate system (UNFCCC, Article 2). This objective has been recently interpreted as implying that global temperatures should not rise more than 2°C above pre-industrial levels, an aim reiterated in frequent statements under the UNFCCC and other international fora, such as the G8.   The 2°C goal implies a need to roughly halve global emissions by 2050; stabilising the atmosphere at any level ultimate</w:t>
      </w:r>
      <w:r w:rsidR="00D022A9">
        <w:rPr>
          <w:rFonts w:cs="Times New Roman"/>
          <w:sz w:val="22"/>
          <w:szCs w:val="22"/>
        </w:rPr>
        <w:t>ly means bringing net emissions</w:t>
      </w:r>
      <w:r w:rsidRPr="004349AE">
        <w:rPr>
          <w:rFonts w:cs="Times New Roman"/>
          <w:sz w:val="22"/>
          <w:szCs w:val="22"/>
        </w:rPr>
        <w:t xml:space="preserve"> (emissions minus removals from forests, oceans, and other carbon “sinks”) to zero.</w:t>
      </w:r>
    </w:p>
    <w:p w:rsidR="00AA67F8" w:rsidRPr="004349AE" w:rsidRDefault="00AA67F8" w:rsidP="004349AE">
      <w:pPr>
        <w:shd w:val="clear" w:color="auto" w:fill="FFFFFF"/>
        <w:jc w:val="both"/>
        <w:rPr>
          <w:rFonts w:cs="Times New Roman"/>
          <w:sz w:val="22"/>
          <w:szCs w:val="22"/>
        </w:rPr>
      </w:pPr>
    </w:p>
    <w:p w:rsidR="00AA67F8" w:rsidRDefault="00AA67F8" w:rsidP="00AA67F8">
      <w:pPr>
        <w:rPr>
          <w:rFonts w:ascii="Calibri" w:hAnsi="Calibri" w:cs="Times New Roman"/>
          <w:sz w:val="22"/>
        </w:rPr>
      </w:pPr>
      <w:r>
        <w:rPr>
          <w:rFonts w:ascii="Calibri" w:hAnsi="Calibri" w:cs="Times New Roman"/>
          <w:sz w:val="22"/>
        </w:rPr>
        <w:t>The UNFCCC established that industrialised countries would “take the lead” in curbing greenhouse gas (GHG) emissions, setting them a non-binding goal of returning their emissions to 1990 levels by 2000.   All Parties, including developing countries, were given general commitments to address climate change, as well as reporting obligations.  The UNFCCC also set up a raft of institutions to monitor implementation and pursue ongoing negotiations, under the auspices of the main decision-making body, the Conference of the Parties (COP).</w:t>
      </w:r>
    </w:p>
    <w:p w:rsidR="00AA67F8" w:rsidRDefault="00AA67F8" w:rsidP="00AA67F8">
      <w:pPr>
        <w:jc w:val="both"/>
        <w:rPr>
          <w:rFonts w:ascii="Calibri" w:hAnsi="Calibri" w:cs="Times New Roman"/>
          <w:sz w:val="22"/>
        </w:rPr>
      </w:pPr>
    </w:p>
    <w:p w:rsidR="00AA67F8" w:rsidRDefault="00AA67F8" w:rsidP="00AA67F8">
      <w:pPr>
        <w:jc w:val="both"/>
        <w:rPr>
          <w:rFonts w:ascii="Calibri" w:hAnsi="Calibri" w:cs="Times New Roman"/>
          <w:sz w:val="22"/>
        </w:rPr>
      </w:pPr>
      <w:r>
        <w:rPr>
          <w:rFonts w:ascii="Calibri" w:hAnsi="Calibri" w:cs="Times New Roman"/>
          <w:sz w:val="22"/>
        </w:rPr>
        <w:t>Health concerns feature, albeit in general terms, in the UNFCCC, which lists impacts on “human health and wellbeing” as part of the “adverse effects of climate change” (definitions, Article 1). The only other reference requires Parties to consider the broader implications of their mitigation and adaptation actions on human health.</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&lt;EndNote&gt;&lt;Cite&gt;&lt;Author&gt;United Nations Framework Convention on Climate Change (UNFCCC)&lt;/Author&gt;&lt;Year&gt;1992&lt;/Year&gt;&lt;RecNum&gt;293&lt;/RecNum&gt;&lt;DisplayText&gt;&lt;style face="superscript"&gt;289&lt;/style&gt;&lt;/DisplayText&gt;&lt;record&gt;&lt;rec-number&gt;293&lt;/rec-number&gt;&lt;foreign-keys&gt;&lt;key app="EN" db-id="wtftd20rmszxx0ettxy5exwdf90wv22s2dsf" timestamp="1357474615"&gt;293&lt;/key&gt;&lt;/foreign-keys&gt;&lt;ref-type name="Report"&gt;27&lt;/ref-type&gt;&lt;contributors&gt;&lt;authors&gt;&lt;author&gt;United Nations Framework Convention on Climate Change (UNFCCC),&lt;/author&gt;&lt;/authors&gt;&lt;/contributors&gt;&lt;titles&gt;&lt;title&gt;United Nations Framework Convention on Climate Change&lt;/title&gt;&lt;/titles&gt;&lt;dates&gt;&lt;year&gt;1992&lt;/year&gt;&lt;/dates&gt;&lt;pub-location&gt;Geneva&lt;/pub-location&gt;&lt;publisher&gt;IUCC&lt;/publisher&gt;&lt;urls&gt;&lt;/urls&gt;&lt;/record&gt;&lt;/Cite&gt;&lt;/EndNote&gt;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289</w:t>
      </w:r>
      <w:r w:rsidR="00E13392">
        <w:rPr>
          <w:rFonts w:ascii="Calibri" w:hAnsi="Calibri" w:cs="Times New Roman"/>
          <w:sz w:val="22"/>
        </w:rPr>
        <w:fldChar w:fldCharType="end"/>
      </w:r>
    </w:p>
    <w:p w:rsidR="00AA67F8" w:rsidRDefault="00AA67F8" w:rsidP="00AA67F8">
      <w:pPr>
        <w:jc w:val="both"/>
        <w:rPr>
          <w:rFonts w:ascii="Calibri" w:hAnsi="Calibri"/>
          <w:color w:val="222222"/>
        </w:rPr>
      </w:pPr>
    </w:p>
    <w:p w:rsidR="00AA67F8" w:rsidRDefault="00AA67F8" w:rsidP="00D036C9">
      <w:pPr>
        <w:pStyle w:val="Heading3"/>
      </w:pPr>
      <w:bookmarkStart w:id="170" w:name="_Toc405103519"/>
      <w:bookmarkStart w:id="171" w:name="_Toc415931419"/>
      <w:bookmarkStart w:id="172" w:name="_Toc417502083"/>
      <w:r>
        <w:t xml:space="preserve">Second Phase: Leading Through Top-Down International </w:t>
      </w:r>
      <w:bookmarkEnd w:id="170"/>
      <w:r>
        <w:t>Commitments</w:t>
      </w:r>
      <w:bookmarkEnd w:id="171"/>
      <w:bookmarkEnd w:id="172"/>
    </w:p>
    <w:p w:rsidR="00AA67F8" w:rsidRDefault="00AA67F8" w:rsidP="00AA67F8">
      <w:pPr>
        <w:shd w:val="clear" w:color="auto" w:fill="FFFFFF"/>
        <w:jc w:val="both"/>
        <w:rPr>
          <w:rFonts w:ascii="Calibri" w:hAnsi="Calibri" w:cs="Times New Roman"/>
          <w:sz w:val="22"/>
        </w:rPr>
      </w:pPr>
      <w:r>
        <w:rPr>
          <w:rFonts w:ascii="Calibri" w:hAnsi="Calibri" w:cs="Times New Roman"/>
          <w:sz w:val="22"/>
        </w:rPr>
        <w:t>In 1995 governments accepted the finding of the IPCC’s Second report and launched negotiations to strengthen the UNFCCC’s commitments.  The working assumption was that the international response would be led by specific, binding emission targets for industrialised countries, which would then be implemented at a national level.  This was the approach adopted in the Kyoto Protocol of 1997, which built mainly on designs proposed by the US under President Clinton.</w:t>
      </w:r>
    </w:p>
    <w:p w:rsidR="00AA67F8" w:rsidRDefault="00AA67F8" w:rsidP="00AA67F8">
      <w:pPr>
        <w:shd w:val="clear" w:color="auto" w:fill="FFFFFF"/>
        <w:jc w:val="both"/>
        <w:rPr>
          <w:rFonts w:ascii="Calibri" w:hAnsi="Calibri" w:cs="Times New Roman"/>
          <w:sz w:val="22"/>
        </w:rPr>
      </w:pPr>
    </w:p>
    <w:p w:rsidR="00AA67F8" w:rsidRDefault="00AA67F8" w:rsidP="00AA67F8">
      <w:pPr>
        <w:shd w:val="clear" w:color="auto" w:fill="FFFFFF"/>
        <w:jc w:val="both"/>
        <w:rPr>
          <w:rFonts w:ascii="Calibri" w:hAnsi="Calibri" w:cs="Times New Roman"/>
          <w:sz w:val="22"/>
        </w:rPr>
      </w:pPr>
      <w:r>
        <w:rPr>
          <w:rFonts w:ascii="Calibri" w:hAnsi="Calibri" w:cs="Times New Roman"/>
          <w:sz w:val="22"/>
        </w:rPr>
        <w:t>However, the fact that developing countries were not subject to any such specific commitments weakened the Protocol’s short-term impact and undermined its political viability, particularly in the US, where strong political forces were opposed to any robust action on climate change. The subsequent US repudiation of the Kyoto Protocol made it clear that the Kyoto-type top-down model was unworkable in these circumstances as the principal way forward. </w:t>
      </w:r>
    </w:p>
    <w:p w:rsidR="00AA67F8" w:rsidRDefault="00AA67F8" w:rsidP="00AA67F8">
      <w:pPr>
        <w:shd w:val="clear" w:color="auto" w:fill="FFFFFF"/>
        <w:rPr>
          <w:rFonts w:ascii="Calibri" w:hAnsi="Calibri" w:cs="Times New Roman"/>
          <w:sz w:val="22"/>
        </w:rPr>
      </w:pPr>
    </w:p>
    <w:p w:rsidR="00AA67F8" w:rsidRDefault="00AA67F8" w:rsidP="00AA67F8">
      <w:pPr>
        <w:shd w:val="clear" w:color="auto" w:fill="FFFFFF"/>
        <w:rPr>
          <w:rFonts w:ascii="Calibri" w:hAnsi="Calibri"/>
          <w:color w:val="222222"/>
        </w:rPr>
      </w:pPr>
      <w:r>
        <w:rPr>
          <w:rFonts w:ascii="Helvetica" w:hAnsi="Helvetica"/>
          <w:color w:val="222222"/>
        </w:rPr>
        <w:t> </w:t>
      </w:r>
    </w:p>
    <w:p w:rsidR="00AA67F8" w:rsidRDefault="00AA67F8" w:rsidP="00D036C9">
      <w:pPr>
        <w:pStyle w:val="Heading3"/>
      </w:pPr>
      <w:bookmarkStart w:id="173" w:name="_Toc405103520"/>
      <w:bookmarkStart w:id="174" w:name="_Toc415931420"/>
      <w:bookmarkStart w:id="175" w:name="_Toc417502084"/>
      <w:r>
        <w:t>Third Phase: Bottom-</w:t>
      </w:r>
      <w:bookmarkEnd w:id="173"/>
      <w:r>
        <w:t>Up Initiatives</w:t>
      </w:r>
      <w:bookmarkEnd w:id="174"/>
      <w:bookmarkEnd w:id="175"/>
    </w:p>
    <w:p w:rsidR="00AA67F8" w:rsidRDefault="00AA67F8" w:rsidP="00AA67F8">
      <w:pPr>
        <w:shd w:val="clear" w:color="auto" w:fill="FFFFFF"/>
        <w:jc w:val="both"/>
        <w:rPr>
          <w:rFonts w:ascii="Calibri" w:hAnsi="Calibri" w:cs="Times New Roman"/>
          <w:sz w:val="22"/>
        </w:rPr>
      </w:pPr>
      <w:r>
        <w:rPr>
          <w:rFonts w:ascii="Calibri" w:hAnsi="Calibri" w:cs="Times New Roman"/>
          <w:sz w:val="22"/>
        </w:rPr>
        <w:t>Global negotiations continued, but with widely varying objectives and perceptions. Whilst the EU and developing countries continued to support a Kyoto-style approach with specific targets, few others believed that to be feasible, or even appropriate. Academics and commentators increasingly argued that action happens “from the bottom up”, not in response to binding “top-down” commitments, and pointed to a wide range of initiatives, including at state level in the US, to argue that a fundamentally different approach was needed.</w:t>
      </w:r>
    </w:p>
    <w:p w:rsidR="00AA67F8" w:rsidRDefault="00AA67F8" w:rsidP="00AA67F8">
      <w:pPr>
        <w:shd w:val="clear" w:color="auto" w:fill="FFFFFF"/>
        <w:jc w:val="both"/>
        <w:rPr>
          <w:rFonts w:ascii="Calibri" w:hAnsi="Calibri" w:cs="Times New Roman"/>
          <w:sz w:val="22"/>
        </w:rPr>
      </w:pPr>
    </w:p>
    <w:p w:rsidR="00AA67F8" w:rsidRDefault="00AA67F8" w:rsidP="00AA67F8">
      <w:pPr>
        <w:shd w:val="clear" w:color="auto" w:fill="FFFFFF"/>
        <w:jc w:val="both"/>
        <w:rPr>
          <w:rFonts w:ascii="Calibri" w:hAnsi="Calibri" w:cs="Times New Roman"/>
          <w:sz w:val="22"/>
        </w:rPr>
      </w:pPr>
      <w:r>
        <w:rPr>
          <w:rFonts w:ascii="Calibri" w:hAnsi="Calibri" w:cs="Times New Roman"/>
          <w:sz w:val="22"/>
        </w:rPr>
        <w:t xml:space="preserve">These divergent views came to a head at a summit in Copenhagen in 2009, which collapsed in acrimony save for two pages of unofficial outline text hammered out as a fallback compromise, initially between the US and major emerging economies. The so-called “Copenhagen Accord” did register some landmark achievements, notably confirming the 2 °C goal, and a promise to raise $100bn per year of international finance by 2020 to help developing countries deal with climate change. In terms of emission commitments, however, there were no binding targets; instead, the Copenhagen Accord called on countries to declare domestically-generated voluntary ‘pledges’ of what they might deliver.  Since then, almost all major emitters have registered pledges, although based on varying indicators and with very different levels of precision and ambition.  </w:t>
      </w:r>
    </w:p>
    <w:p w:rsidR="00AA67F8" w:rsidRDefault="00AA67F8" w:rsidP="00AA67F8">
      <w:pPr>
        <w:shd w:val="clear" w:color="auto" w:fill="FFFFFF"/>
        <w:jc w:val="both"/>
        <w:rPr>
          <w:rFonts w:ascii="Calibri" w:hAnsi="Calibri" w:cs="Times New Roman"/>
          <w:sz w:val="22"/>
        </w:rPr>
      </w:pPr>
    </w:p>
    <w:p w:rsidR="00AA67F8" w:rsidRDefault="00AA67F8" w:rsidP="00AA67F8">
      <w:pPr>
        <w:shd w:val="clear" w:color="auto" w:fill="FFFFFF"/>
        <w:jc w:val="both"/>
        <w:rPr>
          <w:rFonts w:ascii="Calibri" w:hAnsi="Calibri" w:cs="Times New Roman"/>
          <w:sz w:val="22"/>
        </w:rPr>
      </w:pPr>
    </w:p>
    <w:p w:rsidR="00AA67F8" w:rsidRDefault="00AA67F8" w:rsidP="00AA67F8">
      <w:pPr>
        <w:shd w:val="clear" w:color="auto" w:fill="FFFFFF"/>
        <w:jc w:val="both"/>
        <w:rPr>
          <w:rFonts w:ascii="Calibri" w:hAnsi="Calibri" w:cs="Times New Roman"/>
          <w:sz w:val="22"/>
        </w:rPr>
      </w:pPr>
      <w:r>
        <w:rPr>
          <w:rFonts w:ascii="Calibri" w:hAnsi="Calibri" w:cs="Times New Roman"/>
          <w:sz w:val="22"/>
        </w:rPr>
        <w:t xml:space="preserve">Negotiations in Durban in 2011 saw the launch of a new round of talks aimed at agreeing a universal framework to deal with climate change from 2020.  According to the so-called “Durban Platform”, this new agreement should be applicable to all Parties, and “raise the ambition” of the international community.  </w:t>
      </w:r>
    </w:p>
    <w:p w:rsidR="00AA67F8" w:rsidRDefault="00AA67F8" w:rsidP="00AA67F8">
      <w:pPr>
        <w:shd w:val="clear" w:color="auto" w:fill="FFFFFF"/>
        <w:rPr>
          <w:rFonts w:ascii="Calibri" w:hAnsi="Calibri"/>
          <w:color w:val="222222"/>
        </w:rPr>
      </w:pPr>
    </w:p>
    <w:p w:rsidR="00AA67F8" w:rsidRDefault="00AA67F8" w:rsidP="00AA67F8">
      <w:pPr>
        <w:pStyle w:val="Heading2"/>
        <w:rPr>
          <w:rFonts w:ascii="Arial" w:hAnsi="Arial"/>
        </w:rPr>
      </w:pPr>
      <w:bookmarkStart w:id="176" w:name="_Toc405103521"/>
      <w:bookmarkStart w:id="177" w:name="_Toc415931421"/>
      <w:bookmarkStart w:id="178" w:name="_Toc417502085"/>
      <w:r>
        <w:t>Patchy Progress</w:t>
      </w:r>
      <w:bookmarkEnd w:id="176"/>
      <w:r>
        <w:t xml:space="preserve"> in the Negotiations</w:t>
      </w:r>
      <w:bookmarkEnd w:id="177"/>
      <w:bookmarkEnd w:id="178"/>
    </w:p>
    <w:p w:rsidR="00AA67F8" w:rsidRDefault="00AA67F8" w:rsidP="004349AE">
      <w:pPr>
        <w:pStyle w:val="NormalWeb"/>
        <w:shd w:val="clear" w:color="auto" w:fill="FFFFFF"/>
        <w:spacing w:before="0" w:beforeAutospacing="0" w:after="0" w:afterAutospacing="0"/>
        <w:jc w:val="both"/>
        <w:rPr>
          <w:rFonts w:ascii="Calibri" w:eastAsiaTheme="minorEastAsia" w:hAnsi="Calibri"/>
          <w:sz w:val="22"/>
          <w:lang w:val="en-US" w:eastAsia="ja-JP"/>
        </w:rPr>
      </w:pPr>
      <w:r>
        <w:rPr>
          <w:rFonts w:ascii="Calibri" w:eastAsiaTheme="minorEastAsia" w:hAnsi="Calibri"/>
          <w:sz w:val="22"/>
          <w:lang w:val="en-US" w:eastAsia="ja-JP"/>
        </w:rPr>
        <w:t>If global emission trends are the only indicator of progress, the results of the negotiations to date have been dismal.  The 2014 IPCC report warned that global emissions since 2000 have been rising ever faster at around 2%/yr, powered largely by spectacular growth in China, and other emerging economies.</w:t>
      </w:r>
      <w:r w:rsidR="00E13392">
        <w:rPr>
          <w:rFonts w:ascii="Calibri" w:eastAsiaTheme="minorEastAsia" w:hAnsi="Calibri"/>
          <w:sz w:val="22"/>
          <w:lang w:val="en-US" w:eastAsia="ja-JP"/>
        </w:rPr>
        <w:fldChar w:fldCharType="begin"/>
      </w:r>
      <w:r w:rsidR="00A43B13">
        <w:rPr>
          <w:rFonts w:ascii="Calibri" w:eastAsiaTheme="minorEastAsia" w:hAnsi="Calibri"/>
          <w:sz w:val="22"/>
          <w:lang w:val="en-US" w:eastAsia="ja-JP"/>
        </w:rPr>
        <w:instrText xml:space="preserve"> ADDIN EN.CITE &lt;EndNote&gt;&lt;Cite&gt;&lt;RecNum&gt;1427&lt;/RecNum&gt;&lt;DisplayText&gt;&lt;style face="superscript"&gt;201&lt;/style&gt;&lt;/DisplayText&gt;&lt;record&gt;&lt;rec-number&gt;1427&lt;/rec-number&gt;&lt;foreign-keys&gt;&lt;key app="EN" db-id="wtftd20rmszxx0ettxy5exwdf90wv22s2dsf" timestamp="1419296207"&gt;1427&lt;/key&gt;&lt;/foreign-keys&gt;&lt;ref-type name="Book Section"&gt;5&lt;/ref-type&gt;&lt;contributors&gt;&lt;secondary-authors&gt;&lt;author&gt;O Edenhofer&lt;/author&gt;&lt;author&gt;R Pichs-Madruga&lt;/author&gt;&lt;author&gt;Y Sokona&lt;/author&gt;&lt;author&gt;E Farahani&lt;/author&gt;&lt;author&gt;S Kadner&lt;/author&gt;&lt;author&gt;K Seyboth&lt;/author&gt;&lt;author&gt;A Adler&lt;/author&gt;&lt;author&gt;I Baum&lt;/author&gt;&lt;author&gt;S Brunner&lt;/author&gt;&lt;author&gt;P Eickemeier&lt;/author&gt;&lt;author&gt;B Kriemann&lt;/author&gt;&lt;author&gt;J Savolainen&lt;/author&gt;&lt;author&gt;S Schlömer&lt;/author&gt;&lt;author&gt;C von Stechow&lt;/author&gt;&lt;author&gt;T Zwickel&lt;/author&gt;&lt;author&gt;JC Minx&lt;/author&gt;&lt;/secondary-authors&gt;&lt;/contributors&gt;&lt;titles&gt;&lt;title&gt;Summary for Policymakers&lt;/title&gt;&lt;secondary-title&gt;Climate Change 2014: Mitigation of Climate Change. Contribution of Working Group III to the Fifth Assessment Report of the Intergovernmental Panel on Climate Change&lt;/secondary-title&gt;&lt;/titles&gt;&lt;dates&gt;&lt;/dates&gt;&lt;pub-location&gt;Cambridge, United Kingdom and New York, NY, USA&lt;/pub-location&gt;&lt;publisher&gt;Cambridge University Press&lt;/publisher&gt;&lt;urls&gt;&lt;/urls&gt;&lt;/record&gt;&lt;/Cite&gt;&lt;/EndNote&gt;</w:instrText>
      </w:r>
      <w:r w:rsidR="00E13392">
        <w:rPr>
          <w:rFonts w:ascii="Calibri" w:eastAsiaTheme="minorEastAsia" w:hAnsi="Calibri"/>
          <w:sz w:val="22"/>
          <w:lang w:val="en-US" w:eastAsia="ja-JP"/>
        </w:rPr>
        <w:fldChar w:fldCharType="separate"/>
      </w:r>
      <w:r w:rsidR="00A43B13" w:rsidRPr="00A43B13">
        <w:rPr>
          <w:rFonts w:ascii="Calibri" w:eastAsiaTheme="minorEastAsia" w:hAnsi="Calibri"/>
          <w:noProof/>
          <w:sz w:val="22"/>
          <w:vertAlign w:val="superscript"/>
          <w:lang w:val="en-US" w:eastAsia="ja-JP"/>
        </w:rPr>
        <w:t>201</w:t>
      </w:r>
      <w:r w:rsidR="00E13392">
        <w:rPr>
          <w:rFonts w:ascii="Calibri" w:eastAsiaTheme="minorEastAsia" w:hAnsi="Calibri"/>
          <w:sz w:val="22"/>
          <w:lang w:val="en-US" w:eastAsia="ja-JP"/>
        </w:rPr>
        <w:fldChar w:fldCharType="end"/>
      </w:r>
      <w:r>
        <w:rPr>
          <w:rFonts w:ascii="Calibri" w:eastAsiaTheme="minorEastAsia" w:hAnsi="Calibri"/>
          <w:sz w:val="22"/>
          <w:lang w:val="en-US" w:eastAsia="ja-JP"/>
        </w:rPr>
        <w:t> </w:t>
      </w:r>
    </w:p>
    <w:p w:rsidR="00AA67F8" w:rsidRDefault="00AA67F8" w:rsidP="00AA67F8">
      <w:pPr>
        <w:pStyle w:val="NormalWeb"/>
        <w:shd w:val="clear" w:color="auto" w:fill="FFFFFF"/>
        <w:spacing w:after="0" w:afterAutospacing="0"/>
        <w:jc w:val="both"/>
        <w:rPr>
          <w:rFonts w:ascii="Calibri" w:eastAsiaTheme="minorEastAsia" w:hAnsi="Calibri"/>
          <w:sz w:val="22"/>
          <w:lang w:val="en-US" w:eastAsia="ja-JP"/>
        </w:rPr>
      </w:pPr>
      <w:r>
        <w:rPr>
          <w:rFonts w:ascii="Calibri" w:eastAsiaTheme="minorEastAsia" w:hAnsi="Calibri"/>
          <w:sz w:val="22"/>
          <w:lang w:val="en-US" w:eastAsia="ja-JP"/>
        </w:rPr>
        <w:t xml:space="preserve">Viewed more closely, the picture is more nuanced. Taken together, the  industrialised countries did meet the UNFCCC’s goal of returning their emissions to 1990 levels by 2000 (helped by massive declines in the former Soviet Union and Eastern bloc). The industrialised countries that accepted targets under the Kyoto Protocol and remained Parties to that agreement also all achieved their official goals. There is no question that in the EU, the Protocol provided the legal framework and impetus for strengthening mitigation policies.  </w:t>
      </w:r>
    </w:p>
    <w:p w:rsidR="00AA67F8" w:rsidRDefault="00AA67F8" w:rsidP="00AA67F8">
      <w:pPr>
        <w:shd w:val="clear" w:color="auto" w:fill="FFFFFF"/>
        <w:jc w:val="both"/>
        <w:rPr>
          <w:rFonts w:ascii="Calibri" w:hAnsi="Calibri" w:cs="Times New Roman"/>
          <w:sz w:val="22"/>
        </w:rPr>
      </w:pPr>
    </w:p>
    <w:p w:rsidR="00AA67F8" w:rsidRDefault="00AA67F8" w:rsidP="00AA67F8">
      <w:pPr>
        <w:shd w:val="clear" w:color="auto" w:fill="FFFFFF"/>
        <w:jc w:val="both"/>
        <w:rPr>
          <w:rFonts w:ascii="Calibri" w:hAnsi="Calibri" w:cs="Times New Roman"/>
          <w:sz w:val="22"/>
        </w:rPr>
      </w:pPr>
      <w:r>
        <w:rPr>
          <w:rFonts w:ascii="Calibri" w:hAnsi="Calibri" w:cs="Times New Roman"/>
          <w:sz w:val="22"/>
        </w:rPr>
        <w:t>The international process has also had successes in other areas. Through the Kyoto Protocol’s Clean Development Mechanism (CDM), many developing countries came forward with new projects that generated cheap emission reductions (that could then be sold on to industrialised countries), and by most accounts contributed to the establishment of renewable energy industries and other low carbon technologies.  Through a levy on CDM transactions, the Kyoto Protocol also established a Fund to help finance adaptation measures in developing countries.</w:t>
      </w:r>
    </w:p>
    <w:p w:rsidR="00AA67F8" w:rsidRDefault="00AA67F8" w:rsidP="00AA67F8">
      <w:pPr>
        <w:shd w:val="clear" w:color="auto" w:fill="FFFFFF"/>
        <w:jc w:val="both"/>
        <w:rPr>
          <w:rFonts w:ascii="Calibri" w:hAnsi="Calibri" w:cs="Times New Roman"/>
          <w:sz w:val="22"/>
        </w:rPr>
      </w:pPr>
    </w:p>
    <w:p w:rsidR="00AA67F8" w:rsidRDefault="00AA67F8" w:rsidP="00AA67F8">
      <w:pPr>
        <w:shd w:val="clear" w:color="auto" w:fill="FFFFFF"/>
        <w:jc w:val="both"/>
        <w:rPr>
          <w:rFonts w:ascii="Calibri" w:hAnsi="Calibri" w:cs="Times New Roman"/>
          <w:sz w:val="22"/>
        </w:rPr>
      </w:pPr>
      <w:r>
        <w:rPr>
          <w:rFonts w:ascii="Calibri" w:hAnsi="Calibri" w:cs="Times New Roman"/>
          <w:sz w:val="22"/>
        </w:rPr>
        <w:t xml:space="preserve">The UNFCCC also provides a crucial ingredient of transparency.  A major achievement has been in establishing a robust system of reporting and review, for both national emissions data and broader policy actions. In 1992 when the UNFCCC was adopted, many countries had very little knowledge of their emissions profile – what GHGs they were emitting, and from what sources. The UNFCCC’s provisions, building on the IPCC’s methodological work, have been critical in filling that knowledge gap, which lays the foundation for an effective response to climate change. </w:t>
      </w:r>
    </w:p>
    <w:p w:rsidR="00AA67F8" w:rsidRDefault="00AA67F8" w:rsidP="00AA67F8">
      <w:pPr>
        <w:shd w:val="clear" w:color="auto" w:fill="FFFFFF"/>
        <w:jc w:val="both"/>
        <w:rPr>
          <w:rFonts w:ascii="Calibri" w:hAnsi="Calibri" w:cs="Times New Roman"/>
          <w:sz w:val="22"/>
        </w:rPr>
      </w:pPr>
    </w:p>
    <w:p w:rsidR="00AA67F8" w:rsidRDefault="00AA67F8" w:rsidP="00AA67F8">
      <w:pPr>
        <w:shd w:val="clear" w:color="auto" w:fill="FFFFFF"/>
        <w:jc w:val="both"/>
        <w:rPr>
          <w:rFonts w:ascii="Calibri" w:hAnsi="Calibri" w:cs="Times New Roman"/>
          <w:sz w:val="22"/>
        </w:rPr>
      </w:pPr>
      <w:r>
        <w:rPr>
          <w:rFonts w:ascii="Calibri" w:hAnsi="Calibri" w:cs="Times New Roman"/>
          <w:sz w:val="22"/>
        </w:rPr>
        <w:t>Despite patchy progress, the global negotiations continue, and indeed are regaining momentum. It is likely that the ‘hybrid’ course set out in the Copenhagen Accord</w:t>
      </w:r>
      <w:bookmarkStart w:id="179" w:name="149e123cf2f50173__ftnref1"/>
      <w:r>
        <w:rPr>
          <w:rFonts w:ascii="Calibri" w:hAnsi="Calibri" w:cs="Times New Roman"/>
          <w:sz w:val="22"/>
        </w:rPr>
        <w:t xml:space="preserve"> and Cancun Agreements</w:t>
      </w:r>
      <w:bookmarkEnd w:id="179"/>
      <w:r>
        <w:rPr>
          <w:rFonts w:ascii="Calibri" w:hAnsi="Calibri" w:cs="Times New Roman"/>
          <w:sz w:val="22"/>
        </w:rPr>
        <w:t> of domestic aspirations, policies, and objectives will define the primary ingredients of a future global agreement. Perhaps most importantly, it is also now clear that international agreements must run concurrent with (rather than precede) implementation efforts. The future of the international negotiations will inevitably have to combine elements of top-down and bottom-up policies within the global framework.</w:t>
      </w:r>
    </w:p>
    <w:p w:rsidR="00AA67F8" w:rsidRDefault="00AA67F8" w:rsidP="00AA67F8">
      <w:pPr>
        <w:shd w:val="clear" w:color="auto" w:fill="FFFFFF"/>
        <w:jc w:val="both"/>
        <w:rPr>
          <w:rFonts w:ascii="Calibri" w:hAnsi="Calibri" w:cs="Times New Roman"/>
          <w:sz w:val="22"/>
        </w:rPr>
      </w:pPr>
    </w:p>
    <w:p w:rsidR="00AA67F8" w:rsidRDefault="00AA67F8" w:rsidP="00AA67F8">
      <w:pPr>
        <w:shd w:val="clear" w:color="auto" w:fill="FFFFFF"/>
        <w:jc w:val="both"/>
        <w:rPr>
          <w:rFonts w:ascii="Calibri" w:hAnsi="Calibri" w:cs="Times New Roman"/>
          <w:sz w:val="22"/>
        </w:rPr>
      </w:pPr>
      <w:r>
        <w:rPr>
          <w:rFonts w:ascii="Calibri" w:hAnsi="Calibri" w:cs="Times New Roman"/>
          <w:sz w:val="22"/>
        </w:rPr>
        <w:t>One indication of both the opportunities and challenges is found in a joint US-China agreement of 2014, in which the US Administration pledged to reduce its emissions by 26-28% below 2005 levels by 2025, and China offered to cap its emissions growth by 2030 ‘or sooner if possible’. On the positive side, this is the first time that any major emerging economy has stated it is willing to cap its emission growth in absolute terms, and interactions between the US and China helped each to a new level of commitment. </w:t>
      </w:r>
    </w:p>
    <w:p w:rsidR="00AA67F8" w:rsidRDefault="00AA67F8" w:rsidP="00AA67F8">
      <w:pPr>
        <w:shd w:val="clear" w:color="auto" w:fill="FFFFFF"/>
        <w:jc w:val="both"/>
        <w:rPr>
          <w:rFonts w:ascii="Calibri" w:hAnsi="Calibri" w:cs="Times New Roman"/>
          <w:sz w:val="22"/>
        </w:rPr>
      </w:pPr>
    </w:p>
    <w:p w:rsidR="00AA67F8" w:rsidRDefault="00AA67F8" w:rsidP="00AA67F8">
      <w:pPr>
        <w:shd w:val="clear" w:color="auto" w:fill="FFFFFF"/>
        <w:jc w:val="both"/>
        <w:rPr>
          <w:rFonts w:ascii="Calibri" w:hAnsi="Calibri" w:cs="Times New Roman"/>
          <w:sz w:val="22"/>
        </w:rPr>
      </w:pPr>
      <w:r>
        <w:rPr>
          <w:rFonts w:ascii="Calibri" w:hAnsi="Calibri" w:cs="Times New Roman"/>
          <w:sz w:val="22"/>
        </w:rPr>
        <w:t xml:space="preserve">On the negative side, it illustrates the scale of the gap between science and action: if viewed in terms of per-capita emissions, it means that the US is planning to come down somewhat below 15 </w:t>
      </w:r>
      <w:r>
        <w:rPr>
          <w:rFonts w:ascii="Calibri" w:hAnsi="Calibri" w:cs="Times New Roman"/>
          <w:sz w:val="22"/>
        </w:rPr>
        <w:lastRenderedPageBreak/>
        <w:t>tCO</w:t>
      </w:r>
      <w:r>
        <w:rPr>
          <w:rFonts w:ascii="Calibri" w:hAnsi="Calibri" w:cs="Times New Roman"/>
          <w:sz w:val="22"/>
          <w:vertAlign w:val="subscript"/>
        </w:rPr>
        <w:t>2</w:t>
      </w:r>
      <w:r>
        <w:rPr>
          <w:rFonts w:ascii="Calibri" w:hAnsi="Calibri" w:cs="Times New Roman"/>
          <w:sz w:val="22"/>
        </w:rPr>
        <w:t>/capita, whilst China wants headroom to reach potentially 10 tCO</w:t>
      </w:r>
      <w:r>
        <w:rPr>
          <w:rFonts w:ascii="Calibri" w:hAnsi="Calibri" w:cs="Times New Roman"/>
          <w:sz w:val="22"/>
          <w:vertAlign w:val="subscript"/>
        </w:rPr>
        <w:t>2</w:t>
      </w:r>
      <w:r>
        <w:rPr>
          <w:rFonts w:ascii="Calibri" w:hAnsi="Calibri" w:cs="Times New Roman"/>
          <w:sz w:val="22"/>
        </w:rPr>
        <w:t xml:space="preserve"> per capita by 2030, before declining. This is a far cry from the scientific goals – a 2°C limit implies the need for a global average close to 2 tCO</w:t>
      </w:r>
      <w:r>
        <w:rPr>
          <w:rFonts w:ascii="Calibri" w:hAnsi="Calibri" w:cs="Times New Roman"/>
          <w:sz w:val="22"/>
          <w:vertAlign w:val="subscript"/>
        </w:rPr>
        <w:t>2</w:t>
      </w:r>
      <w:r>
        <w:rPr>
          <w:rFonts w:ascii="Calibri" w:hAnsi="Calibri" w:cs="Times New Roman"/>
          <w:sz w:val="22"/>
        </w:rPr>
        <w:t xml:space="preserve"> per capita by mid Century. It emphasises that in isolation, such decentralised policy action also seems unlikely in the aggregate to deliver the necessary global mitigation effort effectively, equitably, and efficiently – and points to the risks of abandoning any collective, science-led direction to the global effort. </w:t>
      </w:r>
    </w:p>
    <w:p w:rsidR="00AA67F8" w:rsidRDefault="00AA67F8" w:rsidP="00AA67F8">
      <w:pPr>
        <w:shd w:val="clear" w:color="auto" w:fill="FFFFFF"/>
        <w:jc w:val="both"/>
        <w:rPr>
          <w:rFonts w:ascii="Calibri" w:hAnsi="Calibri" w:cs="Times New Roman"/>
          <w:sz w:val="22"/>
        </w:rPr>
      </w:pPr>
    </w:p>
    <w:p w:rsidR="00AA67F8" w:rsidRDefault="00AA67F8" w:rsidP="00AA67F8">
      <w:pPr>
        <w:shd w:val="clear" w:color="auto" w:fill="FFFFFF"/>
        <w:jc w:val="both"/>
        <w:rPr>
          <w:rFonts w:ascii="Calibri" w:hAnsi="Calibri" w:cs="Times New Roman"/>
          <w:sz w:val="22"/>
        </w:rPr>
      </w:pPr>
      <w:r>
        <w:rPr>
          <w:rFonts w:ascii="Calibri" w:hAnsi="Calibri" w:cs="Times New Roman"/>
          <w:sz w:val="22"/>
        </w:rPr>
        <w:t>There are indeed reasons for concern regarding the international regime’s ability to deliver on its promise.</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&lt;EndNote&gt;&lt;Cite&gt;&lt;Author&gt;Depledge&lt;/Author&gt;&lt;Year&gt;2015, Forthcoming&lt;/Year&gt;&lt;RecNum&gt;1525&lt;/RecNum&gt;&lt;DisplayText&gt;&lt;style face="superscript"&gt;290&lt;/style&gt;&lt;/DisplayText&gt;&lt;record&gt;&lt;rec-number&gt;1525&lt;/rec-number&gt;&lt;foreign-keys&gt;&lt;key app="EN" db-id="wtftd20rmszxx0ettxy5exwdf90wv22s2dsf" timestamp="1419353018"&gt;1525&lt;/key&gt;&lt;/foreign-keys&gt;&lt;ref-type name="Book Section"&gt;5&lt;/ref-type&gt;&lt;contributors&gt;&lt;authors&gt;&lt;author&gt;J Depledge&lt;/author&gt;&lt;/authors&gt;&lt;secondary-authors&gt;&lt;author&gt;P Ekins&lt;/author&gt;&lt;author&gt;M Bradshaw&lt;/author&gt;&lt;author&gt;J Watson&lt;/author&gt;&lt;/secondary-authors&gt;&lt;/contributors&gt;&lt;titles&gt;&lt;title&gt;The global climate change regime&lt;/title&gt;&lt;secondary-title&gt;Global Energy: Issues, Potentials and Policy Implications&lt;/secondary-title&gt;&lt;/titles&gt;&lt;dates&gt;&lt;year&gt;2015, Forthcoming&lt;/year&gt;&lt;/dates&gt;&lt;pub-location&gt;Oxford, UK&lt;/pub-location&gt;&lt;publisher&gt;Oxford University Press&lt;/publisher&gt;&lt;urls&gt;&lt;/urls&gt;&lt;/record&gt;&lt;/Cite&gt;&lt;/EndNote&gt;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290</w:t>
      </w:r>
      <w:r w:rsidR="00E13392">
        <w:rPr>
          <w:rFonts w:ascii="Calibri" w:hAnsi="Calibri" w:cs="Times New Roman"/>
          <w:sz w:val="22"/>
        </w:rPr>
        <w:fldChar w:fldCharType="end"/>
      </w:r>
      <w:r>
        <w:rPr>
          <w:rFonts w:ascii="Calibri" w:hAnsi="Calibri" w:cs="Times New Roman"/>
          <w:sz w:val="22"/>
        </w:rPr>
        <w:t xml:space="preserve">  The international relations literature has tended to assume that regimes start off weak, but as scientific evidence hardens and political will increases, parties agree to ratchet up their commitments and the regime strengthens; this was clearly the assumption of the early climate change negotiators.</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&lt;EndNote&gt;&lt;Cite&gt;&lt;Author&gt;Bodansky&lt;/Author&gt;&lt;Year&gt;1993&lt;/Year&gt;&lt;RecNum&gt;1526&lt;/RecNum&gt;&lt;DisplayText&gt;&lt;style face="superscript"&gt;291,292&lt;/style&gt;&lt;/DisplayText&gt;&lt;record&gt;&lt;rec-number&gt;1526&lt;/rec-number&gt;&lt;foreign-keys&gt;&lt;key app="EN" db-id="wtftd20rmszxx0ettxy5exwdf90wv22s2dsf" timestamp="1419353191"&gt;1526&lt;/key&gt;&lt;/foreign-keys&gt;&lt;ref-type name="Journal Article"&gt;17&lt;/ref-type&gt;&lt;contributors&gt;&lt;authors&gt;&lt;author&gt;D Bodansky&lt;/author&gt;&lt;/authors&gt;&lt;/contributors&gt;&lt;titles&gt;&lt;title&gt;The United Nations Framework Convention on Climate Change: A Commentary&lt;/title&gt;&lt;secondary-title&gt;Yale Journal of International Law&lt;/secondary-title&gt;&lt;/titles&gt;&lt;periodical&gt;&lt;full-title&gt;Yale Journal of International Law&lt;/full-title&gt;&lt;/periodical&gt;&lt;pages&gt;451-558&lt;/pages&gt;&lt;volume&gt;18&lt;/volume&gt;&lt;dates&gt;&lt;year&gt;1993&lt;/year&gt;&lt;/dates&gt;&lt;urls&gt;&lt;/urls&gt;&lt;/record&gt;&lt;/Cite&gt;&lt;Cite&gt;&lt;Author&gt;Susskind&lt;/Author&gt;&lt;Year&gt;1994&lt;/Year&gt;&lt;RecNum&gt;1527&lt;/RecNum&gt;&lt;record&gt;&lt;rec-number&gt;1527&lt;/rec-number&gt;&lt;foreign-keys&gt;&lt;key app="EN" db-id="wtftd20rmszxx0ettxy5exwdf90wv22s2dsf" timestamp="1419353306"&gt;1527&lt;/key&gt;&lt;/foreign-keys&gt;&lt;ref-type name="Book"&gt;6&lt;/ref-type&gt;&lt;contributors&gt;&lt;authors&gt;&lt;author&gt;L Susskind&lt;/author&gt;&lt;/authors&gt;&lt;/contributors&gt;&lt;titles&gt;&lt;title&gt;Environmental Diplomacy, Negotiating More Effective Global Agreements&lt;/title&gt;&lt;/titles&gt;&lt;dates&gt;&lt;year&gt;1994&lt;/year&gt;&lt;/dates&gt;&lt;pub-location&gt;New York, NY&lt;/pub-location&gt;&lt;publisher&gt;Oxford University Press&lt;/publisher&gt;&lt;urls&gt;&lt;/urls&gt;&lt;/record&gt;&lt;/Cite&gt;&lt;/EndNote&gt;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291,292</w:t>
      </w:r>
      <w:r w:rsidR="00E13392">
        <w:rPr>
          <w:rFonts w:ascii="Calibri" w:hAnsi="Calibri" w:cs="Times New Roman"/>
          <w:sz w:val="22"/>
        </w:rPr>
        <w:fldChar w:fldCharType="end"/>
      </w:r>
      <w:r>
        <w:rPr>
          <w:rFonts w:ascii="Calibri" w:hAnsi="Calibri" w:cs="Times New Roman"/>
          <w:sz w:val="22"/>
        </w:rPr>
        <w:t xml:space="preserve">  It is difficult to say, however, whether the climate change regime is now getting stronger or weaker.  On the one hand, the regime’s coverage is expanding and deepening among the developing countries parties. The voluntary approach of the Copenhagen Accord and Cancun Agreements has engaged a much wider group of countries, including all major emitters, into national target-setting. At the same time, the Durban Platform mandate implies that all countries, not just the industrialised ones, are expected to raise their ambition in the new post-2020 regime.  On the other hand, the engagement of industrialised countries is weakening compared to the 1990s and early 2000s, with major emitters such as Canada, Japan, the Russian Federation and, of course, the US, now operating only under the Copenhagen Accord and Cancun Agreements, whose targets are voluntary and not subject to common metrics.  </w:t>
      </w:r>
    </w:p>
    <w:p w:rsidR="00AA67F8" w:rsidRDefault="00AA67F8" w:rsidP="00AA67F8">
      <w:pPr>
        <w:jc w:val="both"/>
        <w:rPr>
          <w:rFonts w:ascii="Calibri" w:hAnsi="Calibri" w:cs="Times New Roman"/>
          <w:sz w:val="22"/>
        </w:rPr>
      </w:pPr>
    </w:p>
    <w:p w:rsidR="00AA67F8" w:rsidRDefault="00AA67F8" w:rsidP="00AA67F8">
      <w:pPr>
        <w:shd w:val="clear" w:color="auto" w:fill="FFFFFF"/>
        <w:jc w:val="both"/>
        <w:rPr>
          <w:rFonts w:ascii="Calibri" w:hAnsi="Calibri" w:cs="Times New Roman"/>
          <w:sz w:val="22"/>
        </w:rPr>
      </w:pPr>
      <w:r>
        <w:rPr>
          <w:rFonts w:ascii="Calibri" w:hAnsi="Calibri" w:cs="Times New Roman"/>
          <w:sz w:val="22"/>
        </w:rPr>
        <w:t>The outlook for future international negotiations, then, is challenging, to say the least. The rest of this Section turns to consider reasons why progress on this issue is so difficult (from both a top-down, and bottom-up perspective), and what can be done to change this.</w:t>
      </w:r>
    </w:p>
    <w:p w:rsidR="00AA67F8" w:rsidRDefault="00AA67F8" w:rsidP="00AA67F8">
      <w:pPr>
        <w:rPr>
          <w:rFonts w:ascii="Helvetica" w:hAnsi="Helvetica"/>
          <w:b/>
        </w:rPr>
      </w:pPr>
    </w:p>
    <w:p w:rsidR="00AA67F8" w:rsidRDefault="00AA67F8" w:rsidP="00AA67F8">
      <w:pPr>
        <w:pStyle w:val="Heading2"/>
        <w:rPr>
          <w:rFonts w:ascii="Arial" w:hAnsi="Arial"/>
        </w:rPr>
      </w:pPr>
      <w:bookmarkStart w:id="180" w:name="_Toc405103522"/>
      <w:bookmarkStart w:id="181" w:name="_Toc415931422"/>
      <w:bookmarkStart w:id="182" w:name="_Toc417502086"/>
      <w:r>
        <w:t>The Generic Barriers</w:t>
      </w:r>
      <w:bookmarkEnd w:id="180"/>
      <w:bookmarkEnd w:id="181"/>
      <w:bookmarkEnd w:id="182"/>
    </w:p>
    <w:p w:rsidR="00AA67F8" w:rsidRDefault="00AA67F8" w:rsidP="00AA67F8">
      <w:pPr>
        <w:shd w:val="clear" w:color="auto" w:fill="FFFFFF"/>
        <w:jc w:val="both"/>
        <w:rPr>
          <w:rFonts w:ascii="Calibri" w:hAnsi="Calibri" w:cs="Times New Roman"/>
          <w:sz w:val="22"/>
        </w:rPr>
      </w:pPr>
      <w:r>
        <w:rPr>
          <w:rFonts w:ascii="Calibri" w:hAnsi="Calibri" w:cs="Times New Roman"/>
          <w:sz w:val="22"/>
        </w:rPr>
        <w:t xml:space="preserve">The technological, investment and behavioural changes needed to meet ambitious long-term goals, as illustrated in Sections 3 and 4, are in principle entirely feasible.  But they need to be accomplished in the face of highly diverse social, cultural, economic, and political contexts. Opposing national (and vested) interests, clashing views of what constitutes ‘fair’ distribution of effort, and a model of economic growth that is currently tied to fossil fuel use, can make progress fraught. </w:t>
      </w:r>
    </w:p>
    <w:p w:rsidR="00AA67F8" w:rsidRDefault="00AA67F8" w:rsidP="00AA67F8">
      <w:pPr>
        <w:shd w:val="clear" w:color="auto" w:fill="FFFFFF"/>
        <w:jc w:val="both"/>
        <w:rPr>
          <w:rFonts w:ascii="Calibri" w:hAnsi="Calibri" w:cs="Times New Roman"/>
          <w:sz w:val="22"/>
        </w:rPr>
      </w:pPr>
    </w:p>
    <w:p w:rsidR="00AA67F8" w:rsidRDefault="00AA67F8" w:rsidP="00AA67F8">
      <w:pPr>
        <w:jc w:val="both"/>
        <w:rPr>
          <w:rFonts w:ascii="Calibri" w:hAnsi="Calibri" w:cs="Times New Roman"/>
          <w:sz w:val="22"/>
        </w:rPr>
      </w:pPr>
      <w:r>
        <w:rPr>
          <w:rFonts w:ascii="Calibri" w:hAnsi="Calibri" w:cs="Times New Roman"/>
          <w:sz w:val="22"/>
        </w:rPr>
        <w:t xml:space="preserve"> Key issues</w:t>
      </w:r>
      <w:r w:rsidR="00B50254">
        <w:rPr>
          <w:rFonts w:ascii="Calibri" w:hAnsi="Calibri" w:cs="Times New Roman"/>
          <w:sz w:val="22"/>
        </w:rPr>
        <w:t xml:space="preserve"> (outlined by Hulme 2009):</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&lt;EndNote&gt;&lt;Cite&gt;&lt;Author&gt;Hulme&lt;/Author&gt;&lt;Year&gt;2009&lt;/Year&gt;&lt;RecNum&gt;944&lt;/RecNum&gt;&lt;DisplayText&gt;&lt;style face="superscript"&gt;293&lt;/style&gt;&lt;/DisplayText&gt;&lt;record&gt;&lt;rec-number&gt;944&lt;/rec-number&gt;&lt;foreign-keys&gt;&lt;key app="EN" db-id="wtftd20rmszxx0ettxy5exwdf90wv22s2dsf" timestamp="1419212983"&gt;944&lt;/key&gt;&lt;/foreign-keys&gt;&lt;ref-type name="Book"&gt;6&lt;/ref-type&gt;&lt;contributors&gt;&lt;authors&gt;&lt;author&gt;Hulme, M.&lt;/author&gt;&lt;/authors&gt;&lt;/contributors&gt;&lt;titles&gt;&lt;title&gt;Why We Disagree About Climate Change: Understanding Controversy, Inaction and Opportunity&lt;/title&gt;&lt;/titles&gt;&lt;dates&gt;&lt;year&gt;2009&lt;/year&gt;&lt;/dates&gt;&lt;pub-location&gt;Cambridge&lt;/pub-location&gt;&lt;publisher&gt;Cambridge University Press&lt;/publisher&gt;&lt;urls&gt;&lt;/urls&gt;&lt;/record&gt;&lt;/Cite&gt;&lt;/EndNote&gt;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293</w:t>
      </w:r>
      <w:r w:rsidR="00E13392">
        <w:rPr>
          <w:rFonts w:ascii="Calibri" w:hAnsi="Calibri" w:cs="Times New Roman"/>
          <w:sz w:val="22"/>
        </w:rPr>
        <w:fldChar w:fldCharType="end"/>
      </w:r>
    </w:p>
    <w:p w:rsidR="00AA67F8" w:rsidRPr="004349AE" w:rsidRDefault="00AA67F8" w:rsidP="004349AE">
      <w:pPr>
        <w:pStyle w:val="ListParagraph"/>
        <w:numPr>
          <w:ilvl w:val="0"/>
          <w:numId w:val="16"/>
        </w:numPr>
        <w:jc w:val="both"/>
        <w:rPr>
          <w:rFonts w:ascii="Calibri" w:hAnsi="Calibri" w:cs="Times New Roman"/>
          <w:sz w:val="22"/>
        </w:rPr>
      </w:pPr>
      <w:r>
        <w:rPr>
          <w:rFonts w:ascii="Calibri" w:hAnsi="Calibri" w:cs="Times New Roman"/>
          <w:sz w:val="22"/>
        </w:rPr>
        <w:t>Uncertainty and complexity. The climate is naturally variable and the science that has identified dangerous anthropogenic climate change to a very high level of probability is complex. This leaves considerable room for public ignorance or misunderstanding of the nature and severity of the issue. Moreover, climate scientists can be ineffective at communicating the issue to the  public.</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&lt;EndNote&gt;&lt;Cite&gt;&lt;Author&gt;Rapley&lt;/Author&gt;&lt;Year&gt;2014&lt;/Year&gt;&lt;RecNum&gt;975&lt;/RecNum&gt;&lt;DisplayText&gt;&lt;style face="superscript"&gt;294&lt;/style&gt;&lt;/DisplayText&gt;&lt;record&gt;&lt;rec-number&gt;975&lt;/rec-number&gt;&lt;foreign-keys&gt;&lt;key app="EN" db-id="wtftd20rmszxx0ettxy5exwdf90wv22s2dsf" timestamp="1419212983"&gt;975&lt;/key&gt;&lt;/foreign-keys&gt;&lt;ref-type name="Report"&gt;27&lt;/ref-type&gt;&lt;contributors&gt;&lt;authors&gt;&lt;author&gt;Rapley, C.G.&lt;/author&gt;&lt;author&gt;de Meyer, K.&lt;/author&gt;&lt;author&gt;Carney, J.&lt;/author&gt;&lt;author&gt;Clarke, R.&lt;/author&gt;&lt;author&gt;Howarth, C.&lt;/author&gt;&lt;author&gt;Smith, N.&lt;/author&gt;&lt;author&gt;Stilgoe, J.&lt;/author&gt;&lt;author&gt;Youngs, S.&lt;/author&gt;&lt;author&gt;Brierley, C.&lt;/author&gt;&lt;author&gt;Haugvaldstad, A.&lt;/author&gt;&lt;author&gt;Lotto, B.&lt;/author&gt;&lt;author&gt;Michie, S.&lt;/author&gt;&lt;author&gt;Shipworth, M.&lt;/author&gt;&lt;author&gt;Tuckett, D. , &lt;/author&gt;&lt;/authors&gt;&lt;/contributors&gt;&lt;titles&gt;&lt;title&gt;Time for Change? Climate Science Reconsidered&lt;/title&gt;&lt;/titles&gt;&lt;dates&gt;&lt;year&gt;2014&lt;/year&gt;&lt;/dates&gt;&lt;pub-location&gt;Report of the UCL Policy Commission on Communicating Climate Science&lt;/pub-location&gt;&lt;urls&gt;&lt;/urls&gt;&lt;/record&gt;&lt;/Cite&gt;&lt;/EndNote&gt;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294</w:t>
      </w:r>
      <w:r w:rsidR="00E13392">
        <w:rPr>
          <w:rFonts w:ascii="Calibri" w:hAnsi="Calibri" w:cs="Times New Roman"/>
          <w:sz w:val="22"/>
        </w:rPr>
        <w:fldChar w:fldCharType="end"/>
      </w:r>
    </w:p>
    <w:p w:rsidR="007F072F" w:rsidRPr="004349AE" w:rsidRDefault="00AA67F8" w:rsidP="004349AE">
      <w:pPr>
        <w:pStyle w:val="ListParagraph"/>
        <w:numPr>
          <w:ilvl w:val="0"/>
          <w:numId w:val="16"/>
        </w:numPr>
        <w:rPr>
          <w:rFonts w:ascii="Calibri" w:hAnsi="Calibri" w:cs="Times New Roman"/>
          <w:sz w:val="22"/>
        </w:rPr>
      </w:pPr>
      <w:r w:rsidRPr="00AA67F8">
        <w:rPr>
          <w:rFonts w:ascii="Calibri" w:hAnsi="Calibri" w:cs="Times New Roman"/>
          <w:sz w:val="22"/>
        </w:rPr>
        <w:t>Climate change is ‘psychologically distant’ along four dimensions – temporal, social, geographical and degree of uncertainty – whereas people tend to connect more easily with issues that are close in time, space and social group, and about which there is little uncertainty. These dimensions interact with each other, all tending to dampen concern  and willingness to act.</w:t>
      </w:r>
      <w:r w:rsidR="00E13392" w:rsidRPr="00AA67F8">
        <w:rPr>
          <w:rFonts w:ascii="Calibri" w:hAnsi="Calibri" w:cs="Times New Roman"/>
          <w:sz w:val="22"/>
        </w:rPr>
        <w:fldChar w:fldCharType="begin"/>
      </w:r>
      <w:r w:rsidR="009F6910">
        <w:rPr>
          <w:rFonts w:ascii="Calibri" w:hAnsi="Calibri" w:cs="Times New Roman"/>
          <w:sz w:val="22"/>
        </w:rPr>
        <w:instrText xml:space="preserve"> ADDIN EN.CITE &lt;EndNote&gt;&lt;Cite&gt;&lt;Author&gt;Spence&lt;/Author&gt;&lt;Year&gt;2012&lt;/Year&gt;&lt;RecNum&gt;914&lt;/RecNum&gt;&lt;DisplayText&gt;&lt;style face="superscript"&gt;295&lt;/style&gt;&lt;/DisplayText&gt;&lt;record&gt;&lt;rec-number&gt;914&lt;/rec-number&gt;&lt;foreign-keys&gt;&lt;key app="EN" db-id="wtftd20rmszxx0ettxy5exwdf90wv22s2dsf" timestamp="1419212983"&gt;914&lt;/key&gt;&lt;/foreign-keys&gt;&lt;ref-type name="Journal Article"&gt;17&lt;/ref-type&gt;&lt;contributors&gt;&lt;authors&gt;&lt;author&gt;Spence, Alexa&lt;/author&gt;&lt;author&gt;Poortinga, Wouter&lt;/author&gt;&lt;author&gt;Pidgeon, Nick&lt;/author&gt;&lt;/authors&gt;&lt;/contributors&gt;&lt;titles&gt;&lt;title&gt;The Psychological Distance of Climate Change&lt;/title&gt;&lt;secondary-title&gt;Risk Analysis&lt;/secondary-title&gt;&lt;/titles&gt;&lt;periodical&gt;&lt;full-title&gt;Risk Analysis&lt;/full-title&gt;&lt;/periodical&gt;&lt;pages&gt;957-972&lt;/pages&gt;&lt;volume&gt;32&lt;/volume&gt;&lt;number&gt;6&lt;/number&gt;&lt;keywords&gt;&lt;keyword&gt;climate change&lt;/keyword&gt;&lt;keyword&gt;global warming&lt;/keyword&gt;&lt;keyword&gt;psychological distance&lt;/keyword&gt;&lt;keyword&gt;risk perceptions&lt;/keyword&gt;&lt;keyword&gt;sustainable behavior&lt;/keyword&gt;&lt;/keywords&gt;&lt;dates&gt;&lt;year&gt;2012&lt;/year&gt;&lt;/dates&gt;&lt;publisher&gt;Blackwell Publishing Inc&lt;/publisher&gt;&lt;isbn&gt;1539-6924&lt;/isbn&gt;&lt;urls&gt;&lt;related-urls&gt;&lt;url&gt;http://dx.doi.org/10.1111/j.1539-6924.2011.01695.x&lt;/url&gt;&lt;/related-urls&gt;&lt;/urls&gt;&lt;electronic-resource-num&gt;10.1111/j.1539-6924.2011.01695.x&lt;/electronic-resource-num&gt;&lt;/record&gt;&lt;/Cite&gt;&lt;/EndNote&gt;</w:instrText>
      </w:r>
      <w:r w:rsidR="00E13392" w:rsidRPr="00AA67F8">
        <w:rPr>
          <w:rFonts w:ascii="Calibri" w:hAnsi="Calibri" w:cs="Times New Roman"/>
          <w:sz w:val="22"/>
        </w:rPr>
        <w:fldChar w:fldCharType="separate"/>
      </w:r>
      <w:r w:rsidR="009F6910" w:rsidRPr="009F6910">
        <w:rPr>
          <w:rFonts w:ascii="Calibri" w:hAnsi="Calibri" w:cs="Times New Roman"/>
          <w:noProof/>
          <w:sz w:val="22"/>
          <w:vertAlign w:val="superscript"/>
        </w:rPr>
        <w:t>295</w:t>
      </w:r>
      <w:r w:rsidR="00E13392" w:rsidRPr="00AA67F8">
        <w:rPr>
          <w:rFonts w:ascii="Calibri" w:hAnsi="Calibri" w:cs="Times New Roman"/>
          <w:sz w:val="22"/>
        </w:rPr>
        <w:fldChar w:fldCharType="end"/>
      </w:r>
      <w:r w:rsidR="007F072F" w:rsidRPr="004349AE">
        <w:rPr>
          <w:rFonts w:ascii="Calibri" w:hAnsi="Calibri" w:cs="Times New Roman"/>
          <w:sz w:val="22"/>
        </w:rPr>
        <w:t xml:space="preserve"> </w:t>
      </w:r>
    </w:p>
    <w:p w:rsidR="00AA67F8" w:rsidRPr="004B20AD" w:rsidRDefault="00AA67F8" w:rsidP="00AA67F8">
      <w:pPr>
        <w:pStyle w:val="ListParagraph"/>
        <w:numPr>
          <w:ilvl w:val="0"/>
          <w:numId w:val="16"/>
        </w:numPr>
        <w:jc w:val="both"/>
        <w:rPr>
          <w:rFonts w:ascii="Calibri" w:hAnsi="Calibri" w:cs="Times New Roman"/>
          <w:sz w:val="22"/>
        </w:rPr>
      </w:pPr>
      <w:r w:rsidRPr="00AA67F8">
        <w:rPr>
          <w:rFonts w:ascii="Calibri" w:hAnsi="Calibri" w:cs="Times New Roman"/>
          <w:sz w:val="22"/>
        </w:rPr>
        <w:t>There is enormous lock-in to current economic patterns.</w:t>
      </w:r>
      <w:r w:rsidR="00E13392" w:rsidRPr="00AA67F8">
        <w:rPr>
          <w:rFonts w:ascii="Calibri" w:hAnsi="Calibri" w:cs="Times New Roman"/>
          <w:sz w:val="22"/>
          <w:vertAlign w:val="superscript"/>
        </w:rPr>
        <w:fldChar w:fldCharType="begin"/>
      </w:r>
      <w:r w:rsidR="009F6910">
        <w:rPr>
          <w:rFonts w:ascii="Calibri" w:hAnsi="Calibri" w:cs="Times New Roman"/>
          <w:sz w:val="22"/>
          <w:vertAlign w:val="superscript"/>
        </w:rPr>
        <w:instrText xml:space="preserve"> ADDIN EN.CITE &lt;EndNote&gt;&lt;Cite&gt;&lt;Author&gt;Unruh&lt;/Author&gt;&lt;Year&gt;2000&lt;/Year&gt;&lt;RecNum&gt;918&lt;/RecNum&gt;&lt;DisplayText&gt;&lt;style face="superscript"&gt;296&lt;/style&gt;&lt;/DisplayText&gt;&lt;record&gt;&lt;rec-number&gt;918&lt;/rec-number&gt;&lt;foreign-keys&gt;&lt;key app="EN" db-id="wtftd20rmszxx0ettxy5exwdf90wv22s2dsf" timestamp="1419212983"&gt;918&lt;/key&gt;&lt;/foreign-keys&gt;&lt;ref-type name="Journal Article"&gt;17&lt;/ref-type&gt;&lt;contributors&gt;&lt;authors&gt;&lt;author&gt;Unruh, Gregory C.&lt;/author&gt;&lt;/authors&gt;&lt;/contributors&gt;&lt;titles&gt;&lt;title&gt;Understanding carbon lock-in&lt;/title&gt;&lt;secondary-title&gt;Energy Policy&lt;/secondary-title&gt;&lt;/titles&gt;&lt;periodical&gt;&lt;full-title&gt;Energy Policy&lt;/full-title&gt;&lt;/periodical&gt;&lt;pages&gt;817-830&lt;/pages&gt;&lt;volume&gt;28&lt;/volume&gt;&lt;number&gt;12&lt;/number&gt;&lt;keywords&gt;&lt;keyword&gt;Technological lock-in&lt;/keyword&gt;&lt;keyword&gt;Institutional evolution&lt;/keyword&gt;&lt;keyword&gt;Climate change&lt;/keyword&gt;&lt;/keywords&gt;&lt;dates&gt;&lt;year&gt;2000&lt;/year&gt;&lt;pub-dates&gt;&lt;date&gt;10/1/&lt;/date&gt;&lt;/pub-dates&gt;&lt;/dates&gt;&lt;isbn&gt;0301-4215&lt;/isbn&gt;&lt;urls&gt;&lt;related-urls&gt;&lt;url&gt;http://www.sciencedirect.com/science/article/pii/S0301421500000707&lt;/url&gt;&lt;/related-urls&gt;&lt;/urls&gt;&lt;electronic-resource-num&gt;http://dx.doi.org/10.1016/S0301-4215(00)00070-7&lt;/electronic-resource-num&gt;&lt;/record&gt;&lt;/Cite&gt;&lt;/EndNote&gt;</w:instrText>
      </w:r>
      <w:r w:rsidR="00E13392" w:rsidRPr="00AA67F8">
        <w:rPr>
          <w:rFonts w:ascii="Calibri" w:hAnsi="Calibri" w:cs="Times New Roman"/>
          <w:sz w:val="22"/>
          <w:vertAlign w:val="superscript"/>
        </w:rPr>
        <w:fldChar w:fldCharType="separate"/>
      </w:r>
      <w:r w:rsidR="009F6910">
        <w:rPr>
          <w:rFonts w:ascii="Calibri" w:hAnsi="Calibri" w:cs="Times New Roman"/>
          <w:noProof/>
          <w:sz w:val="22"/>
          <w:vertAlign w:val="superscript"/>
        </w:rPr>
        <w:t>296</w:t>
      </w:r>
      <w:r w:rsidR="00E13392" w:rsidRPr="00AA67F8">
        <w:rPr>
          <w:rFonts w:ascii="Calibri" w:hAnsi="Calibri" w:cs="Times New Roman"/>
          <w:sz w:val="22"/>
          <w:vertAlign w:val="superscript"/>
        </w:rPr>
        <w:fldChar w:fldCharType="end"/>
      </w:r>
      <w:r w:rsidRPr="00AA67F8">
        <w:rPr>
          <w:rFonts w:ascii="Calibri" w:hAnsi="Calibri" w:cs="Times New Roman"/>
          <w:sz w:val="22"/>
        </w:rPr>
        <w:t xml:space="preserve"> Fossil fuel use is at the heart of the industrial economy, often operating through long-lived infrastructure (roads, buildings, power plants, etc.) and enabling </w:t>
      </w:r>
      <w:r w:rsidRPr="00B50254">
        <w:rPr>
          <w:rFonts w:ascii="Calibri" w:hAnsi="Calibri" w:cs="Times New Roman"/>
          <w:sz w:val="22"/>
        </w:rPr>
        <w:t xml:space="preserve">valued dimensions of modern lifestyles (for example, travel and temperature control in buildings).  It is </w:t>
      </w:r>
      <w:r w:rsidRPr="004B20AD">
        <w:rPr>
          <w:rFonts w:ascii="Calibri" w:hAnsi="Calibri" w:cs="Times New Roman"/>
          <w:sz w:val="22"/>
        </w:rPr>
        <w:t>no exaggeration to say that human societies are ‘addicted’ to fossil fuels, or at least the services they provide. Providing these valued services through alternative, lower-carbon means, requires systemic change over a long period.</w:t>
      </w:r>
    </w:p>
    <w:p w:rsidR="00AA67F8" w:rsidRPr="00AA67F8" w:rsidRDefault="00AA67F8" w:rsidP="00AA67F8">
      <w:pPr>
        <w:pStyle w:val="ListParagraph"/>
        <w:numPr>
          <w:ilvl w:val="0"/>
          <w:numId w:val="16"/>
        </w:numPr>
        <w:jc w:val="both"/>
        <w:rPr>
          <w:rFonts w:ascii="Calibri" w:hAnsi="Calibri" w:cs="Times New Roman"/>
          <w:sz w:val="22"/>
        </w:rPr>
      </w:pPr>
      <w:r w:rsidRPr="004B20AD">
        <w:rPr>
          <w:rFonts w:ascii="Calibri" w:hAnsi="Calibri" w:cs="Times New Roman"/>
          <w:sz w:val="22"/>
        </w:rPr>
        <w:lastRenderedPageBreak/>
        <w:t xml:space="preserve">These </w:t>
      </w:r>
      <w:r w:rsidR="00E92360" w:rsidRPr="004B20AD">
        <w:rPr>
          <w:rFonts w:ascii="Calibri" w:hAnsi="Calibri" w:cs="Times New Roman"/>
          <w:sz w:val="22"/>
        </w:rPr>
        <w:t xml:space="preserve">three </w:t>
      </w:r>
      <w:r w:rsidRPr="004B20AD">
        <w:rPr>
          <w:rFonts w:ascii="Calibri" w:hAnsi="Calibri" w:cs="Times New Roman"/>
          <w:sz w:val="22"/>
        </w:rPr>
        <w:t xml:space="preserve">factors can all come together in a </w:t>
      </w:r>
      <w:r w:rsidR="00E92360" w:rsidRPr="004B20AD">
        <w:rPr>
          <w:rFonts w:ascii="Calibri" w:hAnsi="Calibri" w:cs="Times New Roman"/>
          <w:sz w:val="22"/>
        </w:rPr>
        <w:t>fourth</w:t>
      </w:r>
      <w:r w:rsidRPr="004B20AD">
        <w:rPr>
          <w:rFonts w:ascii="Calibri" w:hAnsi="Calibri" w:cs="Times New Roman"/>
          <w:sz w:val="22"/>
        </w:rPr>
        <w:t xml:space="preserve">: the active promotion of misinformation, motivated by either ideology or vested economic interests. </w:t>
      </w:r>
      <w:r w:rsidR="00E92360" w:rsidRPr="004B20AD">
        <w:rPr>
          <w:rFonts w:ascii="Calibri" w:hAnsi="Calibri" w:cs="Times New Roman"/>
          <w:sz w:val="22"/>
        </w:rPr>
        <w:t xml:space="preserve">Here, parallels can be drawn between public health efforts to reduce tobacco consumption (see Appendix </w:t>
      </w:r>
      <w:r w:rsidR="004B20AD" w:rsidRPr="004B20AD">
        <w:rPr>
          <w:rFonts w:ascii="Calibri" w:hAnsi="Calibri" w:cs="Times New Roman"/>
          <w:sz w:val="22"/>
        </w:rPr>
        <w:t>8</w:t>
      </w:r>
      <w:r w:rsidR="00E92360" w:rsidRPr="004B20AD">
        <w:rPr>
          <w:rFonts w:ascii="Calibri" w:hAnsi="Calibri" w:cs="Times New Roman"/>
          <w:sz w:val="22"/>
        </w:rPr>
        <w:t>).</w:t>
      </w:r>
      <w:r w:rsidRPr="004B20AD">
        <w:rPr>
          <w:rFonts w:ascii="Calibri" w:hAnsi="Calibri" w:cs="Times New Roman"/>
          <w:sz w:val="22"/>
        </w:rPr>
        <w:t xml:space="preserve">  It is estimated that US industry spent close to $500m in its (successful) campaign against the 2010</w:t>
      </w:r>
      <w:r w:rsidRPr="00AA67F8">
        <w:rPr>
          <w:rFonts w:ascii="Calibri" w:hAnsi="Calibri" w:cs="Times New Roman"/>
          <w:sz w:val="22"/>
        </w:rPr>
        <w:t xml:space="preserve"> House of Representatives proposal to cap US emissions. A major study of the ‘Climate Change Counter Movement’ in the US identifies funding of around $900m annually.</w:t>
      </w:r>
      <w:r w:rsidR="00E13392" w:rsidRPr="00AA67F8">
        <w:rPr>
          <w:rFonts w:ascii="Calibri" w:hAnsi="Calibri" w:cs="Times New Roman"/>
          <w:sz w:val="22"/>
          <w:vertAlign w:val="superscript"/>
        </w:rPr>
        <w:fldChar w:fldCharType="begin"/>
      </w:r>
      <w:r w:rsidR="009F6910">
        <w:rPr>
          <w:rFonts w:ascii="Calibri" w:hAnsi="Calibri" w:cs="Times New Roman"/>
          <w:sz w:val="22"/>
          <w:vertAlign w:val="superscript"/>
        </w:rPr>
        <w:instrText xml:space="preserve"> ADDIN EN.CITE &lt;EndNote&gt;&lt;Cite&gt;&lt;Author&gt;Brulle&lt;/Author&gt;&lt;Year&gt;2014&lt;/Year&gt;&lt;RecNum&gt;1523&lt;/RecNum&gt;&lt;DisplayText&gt;&lt;style face="superscript"&gt;297&lt;/style&gt;&lt;/DisplayText&gt;&lt;record&gt;&lt;rec-number&gt;1523&lt;/rec-number&gt;&lt;foreign-keys&gt;&lt;key app="EN" db-id="wtftd20rmszxx0ettxy5exwdf90wv22s2dsf" timestamp="1419352067"&gt;1523&lt;/key&gt;&lt;/foreign-keys&gt;&lt;ref-type name="Journal Article"&gt;17&lt;/ref-type&gt;&lt;contributors&gt;&lt;authors&gt;&lt;author&gt;R Brulle&lt;/author&gt;&lt;/authors&gt;&lt;/contributors&gt;&lt;titles&gt;&lt;title&gt;Institutionalizing delay: foundation funding and the creation of U.S. climate change counter-movement organizations&lt;/title&gt;&lt;secondary-title&gt;Climatic Change&lt;/secondary-title&gt;&lt;/titles&gt;&lt;periodical&gt;&lt;full-title&gt;Climatic Change&lt;/full-title&gt;&lt;/periodical&gt;&lt;pages&gt;681-94&lt;/pages&gt;&lt;volume&gt;122&lt;/volume&gt;&lt;number&gt;4&lt;/number&gt;&lt;dates&gt;&lt;year&gt;2014&lt;/year&gt;&lt;/dates&gt;&lt;urls&gt;&lt;/urls&gt;&lt;/record&gt;&lt;/Cite&gt;&lt;/EndNote&gt;</w:instrText>
      </w:r>
      <w:r w:rsidR="00E13392" w:rsidRPr="00AA67F8">
        <w:rPr>
          <w:rFonts w:ascii="Calibri" w:hAnsi="Calibri" w:cs="Times New Roman"/>
          <w:sz w:val="22"/>
          <w:vertAlign w:val="superscript"/>
        </w:rPr>
        <w:fldChar w:fldCharType="separate"/>
      </w:r>
      <w:r w:rsidR="009F6910">
        <w:rPr>
          <w:rFonts w:ascii="Calibri" w:hAnsi="Calibri" w:cs="Times New Roman"/>
          <w:noProof/>
          <w:sz w:val="22"/>
          <w:vertAlign w:val="superscript"/>
        </w:rPr>
        <w:t>297</w:t>
      </w:r>
      <w:r w:rsidR="00E13392" w:rsidRPr="00AA67F8">
        <w:rPr>
          <w:rFonts w:ascii="Calibri" w:hAnsi="Calibri" w:cs="Times New Roman"/>
          <w:sz w:val="22"/>
          <w:vertAlign w:val="superscript"/>
        </w:rPr>
        <w:fldChar w:fldCharType="end"/>
      </w:r>
    </w:p>
    <w:p w:rsidR="00AA67F8" w:rsidRDefault="00AA67F8" w:rsidP="00AA67F8">
      <w:pPr>
        <w:jc w:val="both"/>
        <w:rPr>
          <w:rFonts w:ascii="Calibri" w:hAnsi="Calibri" w:cs="Times New Roman"/>
          <w:sz w:val="22"/>
        </w:rPr>
      </w:pPr>
    </w:p>
    <w:p w:rsidR="00AA67F8" w:rsidRDefault="00AA67F8" w:rsidP="00AA67F8">
      <w:pPr>
        <w:jc w:val="both"/>
        <w:rPr>
          <w:rFonts w:ascii="Calibri" w:hAnsi="Calibri" w:cs="Times New Roman"/>
          <w:sz w:val="22"/>
        </w:rPr>
      </w:pPr>
      <w:r>
        <w:rPr>
          <w:rFonts w:ascii="Calibri" w:hAnsi="Calibri" w:cs="Times New Roman"/>
          <w:sz w:val="22"/>
        </w:rPr>
        <w:t xml:space="preserve">These obstacles are further compounded by the economic characteristics of responses. Low-carbon technologies are generally more capital-intensive than their fossil fuel alternatives, albeit with much lower running costs. Their implementation therefore requires more up-front investment and a longer time horizon - resulting initially either in higher energy prices, or higher taxes, or some combination of the two. The same is true of most adaptation measures – flood protection defences, for example, are capital-intensive investments with uncertain returns. </w:t>
      </w:r>
    </w:p>
    <w:p w:rsidR="00AA67F8" w:rsidRDefault="00AA67F8" w:rsidP="00AA67F8">
      <w:pPr>
        <w:jc w:val="both"/>
        <w:rPr>
          <w:rFonts w:ascii="Calibri" w:hAnsi="Calibri" w:cs="Times New Roman"/>
          <w:sz w:val="22"/>
        </w:rPr>
      </w:pPr>
      <w:r>
        <w:rPr>
          <w:rFonts w:ascii="Calibri" w:hAnsi="Calibri" w:cs="Times New Roman"/>
          <w:sz w:val="22"/>
        </w:rPr>
        <w:t>A large-scale shift to such technologies will require very large investments over a prolonged period of time. This shift in financial flows will need to be incentivised, in the early periods at least, by strong, consistent and credible public policies and a change in financial structures. Such policies are far from easy to introduce and sustain, given other political priorities that may be perceived as more pressing, and the political complexities indicated above.</w:t>
      </w:r>
    </w:p>
    <w:p w:rsidR="00AA67F8" w:rsidRDefault="00AA67F8" w:rsidP="00AA67F8">
      <w:pPr>
        <w:rPr>
          <w:rFonts w:ascii="Helvetica" w:hAnsi="Helvetica"/>
          <w:b/>
        </w:rPr>
      </w:pPr>
    </w:p>
    <w:p w:rsidR="00AA67F8" w:rsidRPr="00D036C9" w:rsidRDefault="00AA67F8" w:rsidP="00D036C9">
      <w:pPr>
        <w:pStyle w:val="Heading2"/>
      </w:pPr>
      <w:bookmarkStart w:id="183" w:name="_Toc405103523"/>
      <w:bookmarkStart w:id="184" w:name="_Toc415931423"/>
      <w:bookmarkStart w:id="185" w:name="_Toc417502087"/>
      <w:r>
        <w:t xml:space="preserve">Cities, States and Provinces: Progress at the Sub-National </w:t>
      </w:r>
      <w:bookmarkEnd w:id="183"/>
      <w:r>
        <w:t>Level</w:t>
      </w:r>
      <w:bookmarkEnd w:id="184"/>
      <w:bookmarkEnd w:id="185"/>
    </w:p>
    <w:p w:rsidR="00AA67F8" w:rsidRDefault="00AA67F8" w:rsidP="00AA67F8">
      <w:pPr>
        <w:widowControl w:val="0"/>
        <w:autoSpaceDE w:val="0"/>
        <w:autoSpaceDN w:val="0"/>
        <w:adjustRightInd w:val="0"/>
        <w:jc w:val="both"/>
        <w:rPr>
          <w:rFonts w:ascii="Calibri" w:hAnsi="Calibri" w:cs="Times New Roman"/>
          <w:sz w:val="22"/>
        </w:rPr>
      </w:pPr>
      <w:r>
        <w:rPr>
          <w:rFonts w:ascii="Calibri" w:hAnsi="Calibri" w:cs="Times New Roman"/>
          <w:sz w:val="22"/>
        </w:rPr>
        <w:t>Despite all these obstacles, action does continue in varied ways, at many levels. Local issues have long been part of the broader agenda of international environmental politics, and local governments have an increasingly well-documented track record in climate action.</w:t>
      </w:r>
      <w:r>
        <w:rPr>
          <w:rFonts w:ascii="Calibri" w:hAnsi="Calibri" w:cs="Times New Roman"/>
          <w:sz w:val="22"/>
          <w:vertAlign w:val="superscript"/>
        </w:rPr>
        <w:t xml:space="preserve"> </w:t>
      </w:r>
    </w:p>
    <w:p w:rsidR="00AA67F8" w:rsidRDefault="00AA67F8" w:rsidP="00AA67F8">
      <w:pPr>
        <w:widowControl w:val="0"/>
        <w:autoSpaceDE w:val="0"/>
        <w:autoSpaceDN w:val="0"/>
        <w:adjustRightInd w:val="0"/>
        <w:jc w:val="both"/>
        <w:rPr>
          <w:rFonts w:ascii="Calibri" w:hAnsi="Calibri" w:cs="Times New Roman"/>
          <w:sz w:val="22"/>
        </w:rPr>
      </w:pPr>
    </w:p>
    <w:p w:rsidR="00AA67F8" w:rsidRDefault="00AA67F8" w:rsidP="00AA67F8">
      <w:pPr>
        <w:widowControl w:val="0"/>
        <w:autoSpaceDE w:val="0"/>
        <w:autoSpaceDN w:val="0"/>
        <w:adjustRightInd w:val="0"/>
        <w:jc w:val="both"/>
        <w:rPr>
          <w:rFonts w:ascii="Calibri" w:hAnsi="Calibri" w:cs="Times New Roman"/>
          <w:sz w:val="22"/>
        </w:rPr>
      </w:pPr>
      <w:r>
        <w:rPr>
          <w:rFonts w:ascii="Calibri" w:hAnsi="Calibri" w:cs="Times New Roman"/>
          <w:sz w:val="22"/>
        </w:rPr>
        <w:t>In the past two decades, cities have been pivotal in producing multiple policymaking frameworks and advocacy coalitions. This has fostered a thick texture of para-diplomatic links and policy action around climate change and environmental health.</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&lt;EndNote&gt;&lt;Cite&gt;&lt;Author&gt;Bulkeley&lt;/Author&gt;&lt;Year&gt;2003&lt;/Year&gt;&lt;RecNum&gt;1237&lt;/RecNum&gt;&lt;DisplayText&gt;&lt;style face="superscript"&gt;298,299&lt;/style&gt;&lt;/DisplayText&gt;&lt;record&gt;&lt;rec-number&gt;1237&lt;/rec-number&gt;&lt;foreign-keys&gt;&lt;key app="EN" db-id="wtftd20rmszxx0ettxy5exwdf90wv22s2dsf" timestamp="1419212983"&gt;1237&lt;/key&gt;&lt;/foreign-keys&gt;&lt;ref-type name="Book"&gt;6&lt;/ref-type&gt;&lt;contributors&gt;&lt;authors&gt;&lt;author&gt;Bulkeley, H., &lt;/author&gt;&lt;author&gt;M. Betsill.&lt;/author&gt;&lt;/authors&gt;&lt;/contributors&gt;&lt;titles&gt;&lt;title&gt;Cities and Climate Change:  Urban Sustainability and Global Environmental Governance&lt;/title&gt;&lt;/titles&gt;&lt;dates&gt;&lt;year&gt;2003&lt;/year&gt;&lt;/dates&gt;&lt;pub-location&gt;New York&lt;/pub-location&gt;&lt;publisher&gt;Routledge&lt;/publisher&gt;&lt;urls&gt;&lt;/urls&gt;&lt;/record&gt;&lt;/Cite&gt;&lt;Cite&gt;&lt;Author&gt;Boutiligier&lt;/Author&gt;&lt;Year&gt;2013&lt;/Year&gt;&lt;RecNum&gt;1236&lt;/RecNum&gt;&lt;record&gt;&lt;rec-number&gt;1236&lt;/rec-number&gt;&lt;foreign-keys&gt;&lt;key app="EN" db-id="wtftd20rmszxx0ettxy5exwdf90wv22s2dsf" timestamp="1419212983"&gt;1236&lt;/key&gt;&lt;/foreign-keys&gt;&lt;ref-type name="Book"&gt;6&lt;/ref-type&gt;&lt;contributors&gt;&lt;authors&gt;&lt;author&gt;Boutiligier, S&lt;/author&gt;&lt;/authors&gt;&lt;/contributors&gt;&lt;titles&gt;&lt;title&gt;Cities, Networks, and Global Environmental Governance&lt;/title&gt;&lt;/titles&gt;&lt;dates&gt;&lt;year&gt;2013&lt;/year&gt;&lt;/dates&gt;&lt;pub-location&gt;London&lt;/pub-location&gt;&lt;publisher&gt;Routledge&lt;/publisher&gt;&lt;urls&gt;&lt;/urls&gt;&lt;/record&gt;&lt;/Cite&gt;&lt;/EndNote&gt;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298,299</w:t>
      </w:r>
      <w:r w:rsidR="00E13392">
        <w:rPr>
          <w:rFonts w:ascii="Calibri" w:hAnsi="Calibri" w:cs="Times New Roman"/>
          <w:sz w:val="22"/>
        </w:rPr>
        <w:fldChar w:fldCharType="end"/>
      </w:r>
      <w:r>
        <w:rPr>
          <w:rFonts w:ascii="Calibri" w:hAnsi="Calibri" w:cs="Times New Roman"/>
          <w:sz w:val="22"/>
        </w:rPr>
        <w:t xml:space="preserve"> The rise and cross-cutting international spread of cities as actors in climate action also evidences a more refined pattern of transnational connections that are not solely ‘bottom up’ but rather offer a level of governance “from the middle” that cuts horizontally across international and national frameworks, involving an expanding variety of public-private structures and offering a distinct variation on civil society models of climate action.</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&lt;EndNote&gt;&lt;Cite&gt;&lt;Author&gt;Roman&lt;/Author&gt;&lt;Year&gt;2010&lt;/Year&gt;&lt;RecNum&gt;1268&lt;/RecNum&gt;&lt;DisplayText&gt;&lt;style face="superscript"&gt;300,301&lt;/style&gt;&lt;/DisplayText&gt;&lt;record&gt;&lt;rec-number&gt;1268&lt;/rec-number&gt;&lt;foreign-keys&gt;&lt;key app="EN" db-id="wtftd20rmszxx0ettxy5exwdf90wv22s2dsf" timestamp="1419212983"&gt;1268&lt;/key&gt;&lt;/foreign-keys&gt;&lt;ref-type name="Journal Article"&gt;17&lt;/ref-type&gt;&lt;contributors&gt;&lt;authors&gt;&lt;author&gt;Roman, M.&lt;/author&gt;&lt;/authors&gt;&lt;/contributors&gt;&lt;titles&gt;&lt;title&gt;Governing from the middle: The C40 Cities Leadership Group&lt;/title&gt;&lt;secondary-title&gt;Corporate Governance &lt;/secondary-title&gt;&lt;/titles&gt;&lt;periodical&gt;&lt;full-title&gt;Corporate Governance&lt;/full-title&gt;&lt;/periodical&gt;&lt;pages&gt;73-84&lt;/pages&gt;&lt;volume&gt;10&lt;/volume&gt;&lt;number&gt;1&lt;/number&gt;&lt;dates&gt;&lt;year&gt;2010&lt;/year&gt;&lt;/dates&gt;&lt;urls&gt;&lt;/urls&gt;&lt;/record&gt;&lt;/Cite&gt;&lt;Cite&gt;&lt;Author&gt;Curtis&lt;/Author&gt;&lt;Year&gt;2011&lt;/Year&gt;&lt;RecNum&gt;1238&lt;/RecNum&gt;&lt;record&gt;&lt;rec-number&gt;1238&lt;/rec-number&gt;&lt;foreign-keys&gt;&lt;key app="EN" db-id="wtftd20rmszxx0ettxy5exwdf90wv22s2dsf" timestamp="1419212983"&gt;1238&lt;/key&gt;&lt;/foreign-keys&gt;&lt;ref-type name="Journal Article"&gt;17&lt;/ref-type&gt;&lt;contributors&gt;&lt;authors&gt;&lt;author&gt;Curtis, S.&lt;/author&gt;&lt;/authors&gt;&lt;/contributors&gt;&lt;titles&gt;&lt;title&gt;Global Cities and the Transformation of the International System&lt;/title&gt;&lt;secondary-title&gt;Review of International Studies &lt;/secondary-title&gt;&lt;/titles&gt;&lt;periodical&gt;&lt;full-title&gt;Review of International Studies&lt;/full-title&gt;&lt;/periodical&gt;&lt;pages&gt;1923-1947&lt;/pages&gt;&lt;volume&gt;37&lt;/volume&gt;&lt;number&gt;4&lt;/number&gt;&lt;dates&gt;&lt;year&gt;2011&lt;/year&gt;&lt;/dates&gt;&lt;urls&gt;&lt;/urls&gt;&lt;/record&gt;&lt;/Cite&gt;&lt;/EndNote&gt;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300,301</w:t>
      </w:r>
      <w:r w:rsidR="00E13392">
        <w:rPr>
          <w:rFonts w:ascii="Calibri" w:hAnsi="Calibri" w:cs="Times New Roman"/>
          <w:sz w:val="22"/>
        </w:rPr>
        <w:fldChar w:fldCharType="end"/>
      </w:r>
      <w:r>
        <w:rPr>
          <w:rFonts w:ascii="Calibri" w:hAnsi="Calibri" w:cs="Times New Roman"/>
          <w:sz w:val="22"/>
        </w:rPr>
        <w:t xml:space="preserve"> </w:t>
      </w:r>
    </w:p>
    <w:p w:rsidR="00AA67F8" w:rsidRDefault="00AA67F8" w:rsidP="00AA67F8">
      <w:pPr>
        <w:widowControl w:val="0"/>
        <w:autoSpaceDE w:val="0"/>
        <w:autoSpaceDN w:val="0"/>
        <w:adjustRightInd w:val="0"/>
        <w:rPr>
          <w:rFonts w:ascii="Calibri" w:hAnsi="Calibri" w:cs="Times New Roman"/>
          <w:sz w:val="22"/>
        </w:rPr>
      </w:pPr>
    </w:p>
    <w:p w:rsidR="00AA67F8" w:rsidRDefault="00AA67F8" w:rsidP="00AA67F8">
      <w:pPr>
        <w:widowControl w:val="0"/>
        <w:autoSpaceDE w:val="0"/>
        <w:autoSpaceDN w:val="0"/>
        <w:adjustRightInd w:val="0"/>
        <w:jc w:val="both"/>
        <w:rPr>
          <w:rFonts w:ascii="Calibri" w:hAnsi="Calibri" w:cs="Times New Roman"/>
          <w:sz w:val="22"/>
        </w:rPr>
      </w:pPr>
      <w:r>
        <w:rPr>
          <w:rFonts w:ascii="Calibri" w:hAnsi="Calibri" w:cs="Times New Roman"/>
          <w:sz w:val="22"/>
        </w:rPr>
        <w:t>The leaders of cities around the world, from major metropolitan hubs like New York and Sao Paolo, to smaller centres like Rabat or Medellin, are increasingly using the networked reach of their municipal governments to address climate change in ways that are often more flexible and more directly applied than those of the national or international levels. Evermore city leaders have been leveraging their “network power” through international networks such as the United Cities and Local Governments (UCLG), ICLEI Local Governments for Sustainability, the World Mayors Council on Climate Change</w:t>
      </w:r>
      <w:r>
        <w:rPr>
          <w:rFonts w:ascii="Calibri" w:hAnsi="Calibri" w:cs="Times New Roman"/>
          <w:sz w:val="22"/>
          <w:vertAlign w:val="superscript"/>
        </w:rPr>
        <w:t xml:space="preserve"> </w:t>
      </w:r>
      <w:r>
        <w:rPr>
          <w:rFonts w:ascii="Calibri" w:hAnsi="Calibri" w:cs="Times New Roman"/>
          <w:sz w:val="22"/>
        </w:rPr>
        <w:t>and the Climate Leadership Group (or C40).</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&lt;EndNote&gt;&lt;Cite&gt;&lt;Author&gt;Boutiligier&lt;/Author&gt;&lt;Year&gt;2013&lt;/Year&gt;&lt;RecNum&gt;1236&lt;/RecNum&gt;&lt;DisplayText&gt;&lt;style face="superscript"&gt;299&lt;/style&gt;&lt;/DisplayText&gt;&lt;record&gt;&lt;rec-number&gt;1236&lt;/rec-number&gt;&lt;foreign-keys&gt;&lt;key app="EN" db-id="wtftd20rmszxx0ettxy5exwdf90wv22s2dsf" timestamp="1419212983"&gt;1236&lt;/key&gt;&lt;/foreign-keys&gt;&lt;ref-type name="Book"&gt;6&lt;/ref-type&gt;&lt;contributors&gt;&lt;authors&gt;&lt;author&gt;Boutiligier, S&lt;/author&gt;&lt;/authors&gt;&lt;/contributors&gt;&lt;titles&gt;&lt;title&gt;Cities, Networks, and Global Environmental Governance&lt;/title&gt;&lt;/titles&gt;&lt;dates&gt;&lt;year&gt;2013&lt;/year&gt;&lt;/dates&gt;&lt;pub-location&gt;London&lt;/pub-location&gt;&lt;publisher&gt;Routledge&lt;/publisher&gt;&lt;urls&gt;&lt;/urls&gt;&lt;/record&gt;&lt;/Cite&gt;&lt;/EndNote&gt;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299</w:t>
      </w:r>
      <w:r w:rsidR="00E13392">
        <w:rPr>
          <w:rFonts w:ascii="Calibri" w:hAnsi="Calibri" w:cs="Times New Roman"/>
          <w:sz w:val="22"/>
        </w:rPr>
        <w:fldChar w:fldCharType="end"/>
      </w:r>
    </w:p>
    <w:p w:rsidR="00AA67F8" w:rsidRDefault="00AA67F8" w:rsidP="00AA67F8">
      <w:pPr>
        <w:widowControl w:val="0"/>
        <w:autoSpaceDE w:val="0"/>
        <w:autoSpaceDN w:val="0"/>
        <w:adjustRightInd w:val="0"/>
        <w:jc w:val="both"/>
        <w:rPr>
          <w:rFonts w:ascii="Calibri" w:hAnsi="Calibri" w:cs="Times New Roman"/>
          <w:sz w:val="22"/>
        </w:rPr>
      </w:pPr>
    </w:p>
    <w:p w:rsidR="00AA67F8" w:rsidRDefault="00AA67F8" w:rsidP="00AA67F8">
      <w:pPr>
        <w:widowControl w:val="0"/>
        <w:autoSpaceDE w:val="0"/>
        <w:autoSpaceDN w:val="0"/>
        <w:adjustRightInd w:val="0"/>
        <w:jc w:val="both"/>
        <w:rPr>
          <w:rFonts w:ascii="Calibri" w:hAnsi="Calibri" w:cs="Times New Roman"/>
          <w:sz w:val="22"/>
        </w:rPr>
      </w:pPr>
      <w:r>
        <w:rPr>
          <w:rFonts w:ascii="Calibri" w:hAnsi="Calibri" w:cs="Times New Roman"/>
          <w:sz w:val="22"/>
        </w:rPr>
        <w:t>These groups are now a well-established presence in the international climate change arena,</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&lt;EndNote&gt;&lt;Cite&gt;&lt;Author&gt;Gordon&lt;/Author&gt;&lt;Year&gt;2013&lt;/Year&gt;&lt;RecNum&gt;1234&lt;/RecNum&gt;&lt;DisplayText&gt;&lt;style face="superscript"&gt;302&lt;/style&gt;&lt;/DisplayText&gt;&lt;record&gt;&lt;rec-number&gt;1234&lt;/rec-number&gt;&lt;foreign-keys&gt;&lt;key app="EN" db-id="wtftd20rmszxx0ettxy5exwdf90wv22s2dsf" timestamp="1419212983"&gt;1234&lt;/key&gt;&lt;/foreign-keys&gt;&lt;ref-type name="Journal Article"&gt;17&lt;/ref-type&gt;&lt;contributors&gt;&lt;authors&gt;&lt;author&gt;Gordon, David J.&lt;/author&gt;&lt;/authors&gt;&lt;/contributors&gt;&lt;titles&gt;&lt;title&gt;Between local innovation and global impact: cities, networks, and the governance of climate change&lt;/title&gt;&lt;secondary-title&gt;Canadian Foreign Policy Journal&lt;/secondary-title&gt;&lt;/titles&gt;&lt;periodical&gt;&lt;full-title&gt;Canadian Foreign Policy Journal&lt;/full-title&gt;&lt;/periodical&gt;&lt;pages&gt;288-307&lt;/pages&gt;&lt;volume&gt;19&lt;/volume&gt;&lt;number&gt;3&lt;/number&gt;&lt;dates&gt;&lt;year&gt;2013&lt;/year&gt;&lt;pub-dates&gt;&lt;date&gt;2013/09/01&lt;/date&gt;&lt;/pub-dates&gt;&lt;/dates&gt;&lt;publisher&gt;Routledge&lt;/publisher&gt;&lt;isbn&gt;1192-6422&lt;/isbn&gt;&lt;urls&gt;&lt;related-urls&gt;&lt;url&gt;http://dx.doi.org/10.1080/11926422.2013.844186&lt;/url&gt;&lt;/related-urls&gt;&lt;/urls&gt;&lt;electronic-resource-num&gt;10.1080/11926422.2013.844186&lt;/electronic-resource-num&gt;&lt;access-date&gt;2014/12/11&lt;/access-date&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302</w:t>
      </w:r>
      <w:r w:rsidR="00E13392">
        <w:rPr>
          <w:rFonts w:ascii="Calibri" w:hAnsi="Calibri" w:cs="Times New Roman"/>
          <w:sz w:val="22"/>
        </w:rPr>
        <w:fldChar w:fldCharType="end"/>
      </w:r>
      <w:r>
        <w:rPr>
          <w:rFonts w:ascii="Calibri" w:hAnsi="Calibri" w:cs="Times New Roman"/>
          <w:sz w:val="22"/>
        </w:rPr>
        <w:t xml:space="preserve"> pointing to the emerging imprint on global environmental governance by city leaders.</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&lt;EndNote&gt;&lt;Cite&gt;&lt;Author&gt;Pluijm&lt;/Author&gt;&lt;Year&gt;2007&lt;/Year&gt;&lt;RecNum&gt;1528&lt;/RecNum&gt;&lt;DisplayText&gt;&lt;style face="superscript"&gt;303&lt;/style&gt;&lt;/DisplayText&gt;&lt;record&gt;&lt;rec-number&gt;1528&lt;/rec-number&gt;&lt;foreign-keys&gt;&lt;key app="EN" db-id="wtftd20rmszxx0ettxy5exwdf90wv22s2dsf" timestamp="1419354387"&gt;1528&lt;/key&gt;&lt;/foreign-keys&gt;&lt;ref-type name="Report"&gt;27&lt;/ref-type&gt;&lt;contributors&gt;&lt;authors&gt;&lt;author&gt;R van der Pluijm&lt;/author&gt;&lt;author&gt;J Melissen&lt;/author&gt;&lt;/authors&gt;&lt;/contributors&gt;&lt;titles&gt;&lt;title&gt;City Diplomacy: The Expanding Role of Cities in International Politics&lt;/title&gt;&lt;/titles&gt;&lt;dates&gt;&lt;year&gt;2007&lt;/year&gt;&lt;/dates&gt;&lt;pub-location&gt;The Hague&lt;/pub-location&gt;&lt;publisher&gt;Netherlands Institute of International Relations&lt;/publisher&gt;&lt;urls&gt;&lt;/urls&gt;&lt;/record&gt;&lt;/Cite&gt;&lt;/EndNote&gt;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303</w:t>
      </w:r>
      <w:r w:rsidR="00E13392">
        <w:rPr>
          <w:rFonts w:ascii="Calibri" w:hAnsi="Calibri" w:cs="Times New Roman"/>
          <w:sz w:val="22"/>
        </w:rPr>
        <w:fldChar w:fldCharType="end"/>
      </w:r>
      <w:r>
        <w:rPr>
          <w:rFonts w:ascii="Calibri" w:hAnsi="Calibri" w:cs="Times New Roman"/>
          <w:sz w:val="22"/>
        </w:rPr>
        <w:t xml:space="preserve"> Their most crucial contribution to climate action is that of leveraging “city diplomacy” to implement specific actions on the ground via municipal management and multi-city initiatives. In practice, this governance ‘from the middle’ is about taking advantage of the pooled networked connections of cities to implement a plethora of initiatives aimed at direct and quick implementation, which then injects urban elements in wider international processes.</w:t>
      </w:r>
      <w:r>
        <w:rPr>
          <w:rFonts w:ascii="Calibri" w:hAnsi="Calibri" w:cs="Times New Roman"/>
          <w:sz w:val="22"/>
          <w:vertAlign w:val="superscript"/>
        </w:rPr>
        <w:t xml:space="preserve"> </w:t>
      </w:r>
    </w:p>
    <w:p w:rsidR="00AA67F8" w:rsidRDefault="00AA67F8" w:rsidP="00AA67F8">
      <w:pPr>
        <w:widowControl w:val="0"/>
        <w:autoSpaceDE w:val="0"/>
        <w:autoSpaceDN w:val="0"/>
        <w:adjustRightInd w:val="0"/>
        <w:jc w:val="both"/>
        <w:rPr>
          <w:rFonts w:ascii="Calibri" w:hAnsi="Calibri" w:cs="Times New Roman"/>
          <w:sz w:val="22"/>
        </w:rPr>
      </w:pPr>
    </w:p>
    <w:p w:rsidR="00AA67F8" w:rsidRDefault="00AA67F8" w:rsidP="00AA67F8">
      <w:pPr>
        <w:jc w:val="both"/>
        <w:rPr>
          <w:rFonts w:ascii="Calibri" w:hAnsi="Calibri" w:cs="Times New Roman"/>
          <w:sz w:val="22"/>
        </w:rPr>
      </w:pPr>
      <w:r>
        <w:rPr>
          <w:rFonts w:ascii="Calibri" w:hAnsi="Calibri" w:cs="Times New Roman"/>
          <w:sz w:val="22"/>
        </w:rPr>
        <w:lastRenderedPageBreak/>
        <w:t>Among the networks of larger cities, there is an emerging pattern of their local policy priorities becoming aggregated under a single strategic issue, as seen in integrated planning, climate and sustainability plans such as Sustainable Sydney 2030. Concurrently, climate action has taken place on municipal purview areas such as energy regulation, transport and mobility, building retrofit, or waste management. Major centres like New York or Tokyo, for instance, have implemented building energy retrofit schemes across their city infrastructures.</w:t>
      </w:r>
    </w:p>
    <w:p w:rsidR="00AA67F8" w:rsidRDefault="00AA67F8" w:rsidP="00AA67F8">
      <w:pPr>
        <w:jc w:val="both"/>
        <w:rPr>
          <w:rFonts w:ascii="Calibri" w:hAnsi="Calibri" w:cs="Times New Roman"/>
          <w:sz w:val="22"/>
        </w:rPr>
      </w:pPr>
    </w:p>
    <w:p w:rsidR="00AA67F8" w:rsidRDefault="00AA67F8" w:rsidP="00AA67F8">
      <w:pPr>
        <w:jc w:val="both"/>
        <w:rPr>
          <w:rFonts w:ascii="Calibri" w:hAnsi="Calibri" w:cs="Times New Roman"/>
          <w:sz w:val="22"/>
        </w:rPr>
      </w:pPr>
      <w:r>
        <w:rPr>
          <w:rFonts w:ascii="Calibri" w:hAnsi="Calibri" w:cs="Times New Roman"/>
          <w:sz w:val="22"/>
        </w:rPr>
        <w:t>Taken together, such a two-headed agency can enable cities to collectively attract and therefore release investment capital to execute wide-ranging policy programmes (such as C40’s Energy Efficiency Building Retrofit programme). This ability to leverage global capital by effectively generating a large ‘single market’ can be highly influential insofar as the cities are able to act quickly – often within the space of a year – and increasingly represent a significant proportion of the world’s population and energy generation. This stands in contrast to national governments,</w:t>
      </w:r>
      <w:r>
        <w:rPr>
          <w:rFonts w:ascii="Helvetica" w:hAnsi="Helvetica"/>
        </w:rPr>
        <w:t xml:space="preserve"> </w:t>
      </w:r>
      <w:r>
        <w:rPr>
          <w:rFonts w:ascii="Calibri" w:hAnsi="Calibri" w:cs="Times New Roman"/>
          <w:sz w:val="22"/>
        </w:rPr>
        <w:t xml:space="preserve">where climate policy is often subsumed within other priorities rather than as an organising aim across government. </w:t>
      </w:r>
    </w:p>
    <w:p w:rsidR="00AA67F8" w:rsidRDefault="00AA67F8" w:rsidP="00AA67F8">
      <w:pPr>
        <w:jc w:val="both"/>
        <w:rPr>
          <w:rFonts w:ascii="Calibri" w:hAnsi="Calibri" w:cs="Times New Roman"/>
          <w:sz w:val="22"/>
        </w:rPr>
      </w:pPr>
    </w:p>
    <w:p w:rsidR="00AA67F8" w:rsidRDefault="00AA67F8" w:rsidP="00AA67F8">
      <w:pPr>
        <w:jc w:val="both"/>
        <w:rPr>
          <w:rFonts w:ascii="Calibri" w:hAnsi="Calibri" w:cs="Times New Roman"/>
          <w:sz w:val="22"/>
        </w:rPr>
      </w:pPr>
      <w:r>
        <w:rPr>
          <w:rFonts w:ascii="Calibri" w:hAnsi="Calibri" w:cs="Times New Roman"/>
          <w:sz w:val="22"/>
        </w:rPr>
        <w:t>City-level governance may also provide the flexibility and scope to include health in actions on climate change, with city leaders becoming key actors in recognising and responding to the health co-benefits of doing so. It is important that the UN-led international negotiations process takes account of this dimension of multi-level governance, which operates in both formal and informal ways.</w:t>
      </w:r>
    </w:p>
    <w:p w:rsidR="00E62A9C" w:rsidRPr="00B95AFF" w:rsidRDefault="00E62A9C" w:rsidP="00AA67F8">
      <w:pPr>
        <w:pStyle w:val="Heading2"/>
        <w:rPr>
          <w:rFonts w:ascii="Helvetica" w:hAnsi="Helvetica"/>
        </w:rPr>
      </w:pPr>
    </w:p>
    <w:p w:rsidR="009A71E9" w:rsidRPr="00D036C9" w:rsidRDefault="00076B51" w:rsidP="009A71E9">
      <w:pPr>
        <w:pStyle w:val="Heading2"/>
      </w:pPr>
      <w:bookmarkStart w:id="186" w:name="_Toc405103528"/>
      <w:bookmarkStart w:id="187" w:name="_Toc415931424"/>
      <w:bookmarkStart w:id="188" w:name="_Toc417502088"/>
      <w:r>
        <w:t>P</w:t>
      </w:r>
      <w:r w:rsidRPr="00B95AFF">
        <w:t xml:space="preserve">ublic </w:t>
      </w:r>
      <w:r w:rsidR="001F2033">
        <w:t>O</w:t>
      </w:r>
      <w:r>
        <w:t xml:space="preserve">pinion and </w:t>
      </w:r>
      <w:bookmarkEnd w:id="186"/>
      <w:r w:rsidR="001F2033">
        <w:t>Behavior</w:t>
      </w:r>
      <w:bookmarkEnd w:id="187"/>
      <w:bookmarkEnd w:id="188"/>
      <w:r w:rsidR="001F2033">
        <w:t xml:space="preserve"> </w:t>
      </w:r>
    </w:p>
    <w:p w:rsidR="009A71E9" w:rsidRDefault="009A71E9" w:rsidP="009A71E9">
      <w:pPr>
        <w:jc w:val="both"/>
        <w:rPr>
          <w:rFonts w:ascii="Calibri" w:hAnsi="Calibri" w:cs="Times New Roman"/>
          <w:sz w:val="22"/>
        </w:rPr>
      </w:pPr>
      <w:r>
        <w:rPr>
          <w:rFonts w:ascii="Calibri" w:hAnsi="Calibri" w:cs="Times New Roman"/>
          <w:sz w:val="22"/>
        </w:rPr>
        <w:t>Ultimately, effective actions by local and national governments, and by business, are unsustainable without supportive public opinion.  Public support for stronger action on climate change is a necessary, though far from sufficient, factor; and is essential if behavioural change is to contribute to solving the problem. In this respect, the evidence is somewhat mixed. Cross-national studies, such as the 2013 survey presented in figure 6.</w:t>
      </w:r>
      <w:r w:rsidR="008662EF">
        <w:rPr>
          <w:rFonts w:ascii="Calibri" w:hAnsi="Calibri" w:cs="Times New Roman"/>
          <w:sz w:val="22"/>
        </w:rPr>
        <w:t>1</w:t>
      </w:r>
      <w:r>
        <w:rPr>
          <w:rFonts w:ascii="Calibri" w:hAnsi="Calibri" w:cs="Times New Roman"/>
          <w:sz w:val="22"/>
        </w:rPr>
        <w:t xml:space="preserve"> below, suggest that most people view climate change as a threat, although with some significant variation within regions.</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&lt;EndNote&gt;&lt;Cite&gt;&lt;Author&gt;Center&lt;/Author&gt;&lt;Year&gt;2013&lt;/Year&gt;&lt;RecNum&gt;1262&lt;/RecNum&gt;&lt;DisplayText&gt;&lt;style face="superscript"&gt;304&lt;/style&gt;&lt;/DisplayText&gt;&lt;record&gt;&lt;rec-number&gt;1262&lt;/rec-number&gt;&lt;foreign-keys&gt;&lt;key app="EN" db-id="wtftd20rmszxx0ettxy5exwdf90wv22s2dsf" timestamp="1419212983"&gt;1262&lt;/key&gt;&lt;/foreign-keys&gt;&lt;ref-type name="Report"&gt;27&lt;/ref-type&gt;&lt;contributors&gt;&lt;authors&gt;&lt;author&gt;Pew Research Center&lt;/author&gt;&lt;/authors&gt;&lt;/contributors&gt;&lt;titles&gt;&lt;title&gt;Climate Change and Financial Instability Seen as Top Global Threats &lt;/title&gt;&lt;/titles&gt;&lt;dates&gt;&lt;year&gt;2013&lt;/year&gt;&lt;/dates&gt;&lt;pub-location&gt;Washington DC&lt;/pub-location&gt;&lt;publisher&gt;Pew Research Center&lt;/publisher&gt;&lt;urls&gt;&lt;/urls&gt;&lt;/record&gt;&lt;/Cite&gt;&lt;/EndNote&gt;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304</w:t>
      </w:r>
      <w:r w:rsidR="00E13392">
        <w:rPr>
          <w:rFonts w:ascii="Calibri" w:hAnsi="Calibri" w:cs="Times New Roman"/>
          <w:sz w:val="22"/>
        </w:rPr>
        <w:fldChar w:fldCharType="end"/>
      </w:r>
      <w:r>
        <w:rPr>
          <w:rFonts w:ascii="Calibri" w:hAnsi="Calibri" w:cs="Times New Roman"/>
          <w:sz w:val="22"/>
        </w:rPr>
        <w:t xml:space="preserve"> </w:t>
      </w:r>
    </w:p>
    <w:p w:rsidR="009A71E9" w:rsidRPr="009A71E9" w:rsidRDefault="009A71E9" w:rsidP="009A71E9">
      <w:pPr>
        <w:jc w:val="both"/>
        <w:rPr>
          <w:rFonts w:ascii="Calibri" w:hAnsi="Calibri" w:cs="Times New Roman"/>
          <w:sz w:val="22"/>
        </w:rPr>
      </w:pPr>
    </w:p>
    <w:p w:rsidR="00D022A9" w:rsidRPr="00D022A9" w:rsidRDefault="00D022A9" w:rsidP="00D022A9">
      <w:pPr>
        <w:spacing w:after="160" w:line="259" w:lineRule="auto"/>
        <w:rPr>
          <w:rFonts w:ascii="Helvetica" w:eastAsiaTheme="minorHAnsi" w:hAnsi="Helvetica"/>
          <w:sz w:val="22"/>
          <w:szCs w:val="22"/>
          <w:lang w:val="en-AU" w:eastAsia="en-US"/>
        </w:rPr>
      </w:pPr>
      <w:r w:rsidRPr="00D022A9">
        <w:rPr>
          <w:rFonts w:ascii="Helvetica" w:eastAsiaTheme="minorHAnsi" w:hAnsi="Helvetica"/>
          <w:noProof/>
          <w:sz w:val="22"/>
          <w:szCs w:val="22"/>
          <w:lang w:val="en-GB" w:eastAsia="en-GB"/>
        </w:rPr>
        <w:lastRenderedPageBreak/>
        <w:drawing>
          <wp:inline distT="0" distB="0" distL="0" distR="0">
            <wp:extent cx="5987415" cy="7028815"/>
            <wp:effectExtent l="0" t="0" r="13335" b="6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022A9" w:rsidRPr="00D022A9" w:rsidRDefault="00D022A9" w:rsidP="00D022A9">
      <w:pPr>
        <w:spacing w:after="160" w:line="259" w:lineRule="auto"/>
        <w:rPr>
          <w:rFonts w:ascii="Calibri" w:eastAsiaTheme="minorHAnsi" w:hAnsi="Calibri" w:cs="Times New Roman"/>
          <w:i/>
          <w:sz w:val="20"/>
          <w:szCs w:val="22"/>
          <w:lang w:val="en-AU" w:eastAsia="en-US"/>
        </w:rPr>
      </w:pPr>
    </w:p>
    <w:p w:rsidR="00D022A9" w:rsidRPr="00D022A9" w:rsidRDefault="00D022A9" w:rsidP="00D022A9">
      <w:pPr>
        <w:spacing w:after="160" w:line="259" w:lineRule="auto"/>
        <w:rPr>
          <w:rFonts w:ascii="Calibri" w:eastAsiaTheme="minorHAnsi" w:hAnsi="Calibri" w:cs="Times New Roman"/>
          <w:sz w:val="20"/>
          <w:szCs w:val="22"/>
          <w:lang w:val="en-AU" w:eastAsia="en-US"/>
        </w:rPr>
      </w:pPr>
      <w:r w:rsidRPr="00D022A9">
        <w:rPr>
          <w:rFonts w:ascii="Calibri" w:eastAsiaTheme="minorHAnsi" w:hAnsi="Calibri" w:cs="Times New Roman"/>
          <w:i/>
          <w:sz w:val="20"/>
          <w:szCs w:val="22"/>
          <w:lang w:val="en-AU" w:eastAsia="en-US"/>
        </w:rPr>
        <w:t>Figure 6.1:</w:t>
      </w:r>
      <w:r w:rsidRPr="00D022A9">
        <w:rPr>
          <w:rFonts w:ascii="Calibri" w:eastAsiaTheme="minorHAnsi" w:hAnsi="Calibri" w:cs="Times New Roman"/>
          <w:sz w:val="20"/>
          <w:szCs w:val="22"/>
          <w:lang w:val="en-AU" w:eastAsia="en-US"/>
        </w:rPr>
        <w:t xml:space="preserve"> Perceptions of the threat of climate change, 2013 </w:t>
      </w:r>
      <w:r w:rsidRPr="00D022A9">
        <w:rPr>
          <w:rFonts w:ascii="Calibri" w:eastAsiaTheme="minorHAnsi" w:hAnsi="Calibri" w:cs="Times New Roman"/>
          <w:sz w:val="18"/>
          <w:szCs w:val="22"/>
          <w:lang w:val="en-AU" w:eastAsia="en-US"/>
        </w:rPr>
        <w:t>(</w:t>
      </w:r>
      <w:r w:rsidRPr="00D022A9">
        <w:rPr>
          <w:rFonts w:ascii="Calibri" w:eastAsiaTheme="minorHAnsi" w:hAnsi="Calibri" w:cs="Times New Roman"/>
          <w:sz w:val="20"/>
          <w:szCs w:val="22"/>
          <w:lang w:val="en-AU" w:eastAsia="en-US"/>
        </w:rPr>
        <w:t>Source: Pew Research Center 2013 Q11g table)</w:t>
      </w:r>
      <w:r w:rsidR="00E13392" w:rsidRPr="00D022A9">
        <w:rPr>
          <w:rFonts w:ascii="Calibri" w:eastAsiaTheme="minorHAnsi" w:hAnsi="Calibri" w:cs="Times New Roman"/>
          <w:sz w:val="22"/>
          <w:szCs w:val="22"/>
          <w:lang w:val="en-AU" w:eastAsia="en-US"/>
        </w:rPr>
        <w:fldChar w:fldCharType="begin"/>
      </w:r>
      <w:r w:rsidR="009F6910">
        <w:rPr>
          <w:rFonts w:ascii="Calibri" w:eastAsiaTheme="minorHAnsi" w:hAnsi="Calibri" w:cs="Times New Roman"/>
          <w:sz w:val="22"/>
          <w:szCs w:val="22"/>
          <w:lang w:val="en-AU" w:eastAsia="en-US"/>
        </w:rPr>
        <w:instrText xml:space="preserve"> ADDIN EN.CITE &lt;EndNote&gt;&lt;Cite&gt;&lt;Author&gt;Center&lt;/Author&gt;&lt;Year&gt;2013&lt;/Year&gt;&lt;RecNum&gt;1262&lt;/RecNum&gt;&lt;DisplayText&gt;&lt;style face="superscript"&gt;304&lt;/style&gt;&lt;/DisplayText&gt;&lt;record&gt;&lt;rec-number&gt;1262&lt;/rec-number&gt;&lt;foreign-keys&gt;&lt;key app="EN" db-id="wtftd20rmszxx0ettxy5exwdf90wv22s2dsf" timestamp="1419212983"&gt;1262&lt;/key&gt;&lt;/foreign-keys&gt;&lt;ref-type name="Report"&gt;27&lt;/ref-type&gt;&lt;contributors&gt;&lt;authors&gt;&lt;author&gt;Pew Research Center&lt;/author&gt;&lt;/authors&gt;&lt;/contributors&gt;&lt;titles&gt;&lt;title&gt;Climate Change and Financial Instability Seen as Top Global Threats &lt;/title&gt;&lt;/titles&gt;&lt;dates&gt;&lt;year&gt;2013&lt;/year&gt;&lt;/dates&gt;&lt;pub-location&gt;Washington DC&lt;/pub-location&gt;&lt;publisher&gt;Pew Research Center&lt;/publisher&gt;&lt;urls&gt;&lt;/urls&gt;&lt;/record&gt;&lt;/Cite&gt;&lt;/EndNote&gt;</w:instrText>
      </w:r>
      <w:r w:rsidR="00E13392" w:rsidRPr="00D022A9">
        <w:rPr>
          <w:rFonts w:ascii="Calibri" w:eastAsiaTheme="minorHAnsi" w:hAnsi="Calibri" w:cs="Times New Roman"/>
          <w:sz w:val="22"/>
          <w:szCs w:val="22"/>
          <w:lang w:val="en-AU" w:eastAsia="en-US"/>
        </w:rPr>
        <w:fldChar w:fldCharType="separate"/>
      </w:r>
      <w:r w:rsidR="009F6910" w:rsidRPr="009F6910">
        <w:rPr>
          <w:rFonts w:ascii="Calibri" w:eastAsiaTheme="minorHAnsi" w:hAnsi="Calibri" w:cs="Times New Roman"/>
          <w:noProof/>
          <w:sz w:val="22"/>
          <w:szCs w:val="22"/>
          <w:vertAlign w:val="superscript"/>
          <w:lang w:val="en-AU" w:eastAsia="en-US"/>
        </w:rPr>
        <w:t>304</w:t>
      </w:r>
      <w:r w:rsidR="00E13392" w:rsidRPr="00D022A9">
        <w:rPr>
          <w:rFonts w:ascii="Calibri" w:eastAsiaTheme="minorHAnsi" w:hAnsi="Calibri" w:cs="Times New Roman"/>
          <w:sz w:val="22"/>
          <w:szCs w:val="22"/>
          <w:lang w:val="en-AU" w:eastAsia="en-US"/>
        </w:rPr>
        <w:fldChar w:fldCharType="end"/>
      </w:r>
    </w:p>
    <w:p w:rsidR="009A71E9" w:rsidRDefault="009A71E9" w:rsidP="009A71E9">
      <w:pPr>
        <w:rPr>
          <w:rFonts w:ascii="Helvetica" w:hAnsi="Helvetica" w:cs="Arial"/>
        </w:rPr>
      </w:pPr>
    </w:p>
    <w:p w:rsidR="009A71E9" w:rsidRDefault="009A71E9" w:rsidP="009A71E9">
      <w:pPr>
        <w:jc w:val="both"/>
        <w:rPr>
          <w:rFonts w:ascii="Calibri" w:hAnsi="Calibri" w:cs="Times New Roman"/>
          <w:sz w:val="22"/>
          <w:szCs w:val="22"/>
        </w:rPr>
      </w:pPr>
      <w:r>
        <w:rPr>
          <w:rFonts w:ascii="Calibri" w:hAnsi="Calibri" w:cs="Times New Roman"/>
          <w:sz w:val="22"/>
          <w:szCs w:val="22"/>
        </w:rPr>
        <w:t>Public understandings of climate change are shaped by broader knowledge and belief systems, including religious convictions, and political beliefs.</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&lt;EndNote&gt;&lt;Cite&gt;&lt;Author&gt;Rapley&lt;/Author&gt;&lt;Year&gt;2014&lt;/Year&gt;&lt;RecNum&gt;975&lt;/RecNum&gt;&lt;DisplayText&gt;&lt;style face="superscript"&gt;294&lt;/style&gt;&lt;/DisplayText&gt;&lt;record&gt;&lt;rec-number&gt;975&lt;/rec-number&gt;&lt;foreign-keys&gt;&lt;key app="EN" db-id="wtftd20rmszxx0ettxy5exwdf90wv22s2dsf" timestamp="1419212983"&gt;975&lt;/key&gt;&lt;/foreign-keys&gt;&lt;ref-type name="Report"&gt;27&lt;/ref-type&gt;&lt;contributors&gt;&lt;authors&gt;&lt;author&gt;Rapley, C.G.&lt;/author&gt;&lt;author&gt;de Meyer, K.&lt;/author&gt;&lt;author&gt;Carney, J.&lt;/author&gt;&lt;author&gt;Clarke, R.&lt;/author&gt;&lt;author&gt;Howarth, C.&lt;/author&gt;&lt;author&gt;Smith, N.&lt;/author&gt;&lt;author&gt;Stilgoe, J.&lt;/author&gt;&lt;author&gt;Youngs, S.&lt;/author&gt;&lt;author&gt;Brierley, C.&lt;/author&gt;&lt;author&gt;Haugvaldstad, A.&lt;/author&gt;&lt;author&gt;Lotto, B.&lt;/author&gt;&lt;author&gt;Michie, S.&lt;/author&gt;&lt;author&gt;Shipworth, M.&lt;/author&gt;&lt;author&gt;Tuckett, D. , &lt;/author&gt;&lt;/authors&gt;&lt;/contributors&gt;&lt;titles&gt;&lt;title&gt;Time for Change? Climate Science Reconsidered&lt;/title&gt;&lt;/titles&gt;&lt;dates&gt;&lt;year&gt;2014&lt;/year&gt;&lt;/dates&gt;&lt;pub-location&gt;Report of the UCL Policy Commission on Communicating Climate Science&lt;/pub-location&gt;&lt;urls&gt;&lt;/urls&gt;&lt;/record&gt;&lt;/Cite&gt;&lt;/EndNote&gt;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294</w:t>
      </w:r>
      <w:r w:rsidR="00E13392">
        <w:rPr>
          <w:rFonts w:ascii="Calibri" w:hAnsi="Calibri" w:cs="Times New Roman"/>
          <w:sz w:val="22"/>
          <w:szCs w:val="22"/>
        </w:rPr>
        <w:fldChar w:fldCharType="end"/>
      </w:r>
      <w:r>
        <w:rPr>
          <w:rFonts w:ascii="Calibri" w:hAnsi="Calibri" w:cs="Times New Roman"/>
          <w:sz w:val="22"/>
          <w:szCs w:val="22"/>
        </w:rPr>
        <w:t xml:space="preserve"> There is evidence that the public recognises that climate change is complex, and inter-connected with other environmental and social challenges.</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&lt;EndNote&gt;&lt;Cite&gt;&lt;Author&gt;Darier&lt;/Author&gt;&lt;Year&gt;1999&lt;/Year&gt;&lt;RecNum&gt;1232&lt;/RecNum&gt;&lt;DisplayText&gt;&lt;style face="superscript"&gt;305&lt;/style&gt;&lt;/DisplayText&gt;&lt;record&gt;&lt;rec-number&gt;1232&lt;/rec-number&gt;&lt;foreign-keys&gt;&lt;key app="EN" db-id="wtftd20rmszxx0ettxy5exwdf90wv22s2dsf" timestamp="1419212983"&gt;1232&lt;/key&gt;&lt;/foreign-keys&gt;&lt;ref-type name="Journal Article"&gt;17&lt;/ref-type&gt;&lt;contributors&gt;&lt;authors&gt;&lt;author&gt;Darier, Éric&lt;/author&gt;&lt;author&gt;Schüle, Ralf&lt;/author&gt;&lt;/authors&gt;&lt;/contributors&gt;&lt;titles&gt;&lt;title&gt;&amp;apos;Think globally, act locally&amp;apos;? Climate change and public participation in Manchester and Frankfurt&lt;/title&gt;&lt;secondary-title&gt;Local Environment&lt;/secondary-title&gt;&lt;/titles&gt;&lt;periodical&gt;&lt;full-title&gt;Local Environment&lt;/full-title&gt;&lt;/periodical&gt;&lt;pages&gt;317-329&lt;/pages&gt;&lt;volume&gt;4&lt;/volume&gt;&lt;number&gt;3&lt;/number&gt;&lt;dates&gt;&lt;year&gt;1999&lt;/year&gt;&lt;pub-dates&gt;&lt;date&gt;1999/10/01&lt;/date&gt;&lt;/pub-dates&gt;&lt;/dates&gt;&lt;publisher&gt;Routledge&lt;/publisher&gt;&lt;isbn&gt;1354-9839&lt;/isbn&gt;&lt;urls&gt;&lt;related-urls&gt;&lt;url&gt;http://dx.doi.org/10.1080/13549839908725602&lt;/url&gt;&lt;/related-urls&gt;&lt;/urls&gt;&lt;electronic-resource-num&gt;10.1080/13549839908725602&lt;/electronic-resource-num&gt;&lt;access-date&gt;2014/12/11&lt;/access-date&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305</w:t>
      </w:r>
      <w:r w:rsidR="00E13392">
        <w:rPr>
          <w:rFonts w:ascii="Calibri" w:hAnsi="Calibri" w:cs="Times New Roman"/>
          <w:sz w:val="22"/>
          <w:szCs w:val="22"/>
        </w:rPr>
        <w:fldChar w:fldCharType="end"/>
      </w:r>
    </w:p>
    <w:p w:rsidR="009A71E9" w:rsidRDefault="009A71E9" w:rsidP="009A71E9">
      <w:pPr>
        <w:jc w:val="both"/>
        <w:rPr>
          <w:rFonts w:ascii="Calibri" w:hAnsi="Calibri" w:cs="Times New Roman"/>
          <w:sz w:val="22"/>
        </w:rPr>
      </w:pPr>
    </w:p>
    <w:p w:rsidR="009A71E9" w:rsidRDefault="009A71E9" w:rsidP="009A71E9">
      <w:pPr>
        <w:jc w:val="both"/>
        <w:rPr>
          <w:rFonts w:ascii="Calibri" w:hAnsi="Calibri" w:cs="Times New Roman"/>
          <w:sz w:val="22"/>
        </w:rPr>
      </w:pPr>
      <w:r>
        <w:rPr>
          <w:rFonts w:ascii="Calibri" w:hAnsi="Calibri" w:cs="Times New Roman"/>
          <w:sz w:val="22"/>
        </w:rPr>
        <w:t>Effective communication about climate change requires trust.</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&lt;EndNote&gt;&lt;Cite&gt;&lt;Author&gt;Poortinga&lt;/Author&gt;&lt;Year&gt;2003&lt;/Year&gt;&lt;RecNum&gt;1265&lt;/RecNum&gt;&lt;DisplayText&gt;&lt;style face="superscript"&gt;306&lt;/style&gt;&lt;/DisplayText&gt;&lt;record&gt;&lt;rec-number&gt;1265&lt;/rec-number&gt;&lt;foreign-keys&gt;&lt;key app="EN" db-id="wtftd20rmszxx0ettxy5exwdf90wv22s2dsf" timestamp="1419212983"&gt;1265&lt;/key&gt;&lt;/foreign-keys&gt;&lt;ref-type name="Journal Article"&gt;17&lt;/ref-type&gt;&lt;contributors&gt;&lt;authors&gt;&lt;author&gt;Poortinga, Wouter&lt;/author&gt;&lt;author&gt;Pidgeon, Nick F.&lt;/author&gt;&lt;/authors&gt;&lt;/contributors&gt;&lt;titles&gt;&lt;title&gt;Exploring the Dimensionality of Trust in Risk Regulation&lt;/title&gt;&lt;secondary-title&gt;Risk Analysis&lt;/secondary-title&gt;&lt;/titles&gt;&lt;periodical&gt;&lt;full-title&gt;Risk Analysis&lt;/full-title&gt;&lt;/periodical&gt;&lt;pages&gt;961-972&lt;/pages&gt;&lt;volume&gt;23&lt;/volume&gt;&lt;number&gt;5&lt;/number&gt;&lt;keywords&gt;&lt;keyword&gt;Risk perception&lt;/keyword&gt;&lt;keyword&gt;risk regulation&lt;/keyword&gt;&lt;keyword&gt;trust&lt;/keyword&gt;&lt;/keywords&gt;&lt;dates&gt;&lt;year&gt;2003&lt;/year&gt;&lt;/dates&gt;&lt;publisher&gt;Blackwell Publishing, Inc.&lt;/publisher&gt;&lt;isbn&gt;1539-6924&lt;/isbn&gt;&lt;urls&gt;&lt;related-urls&gt;&lt;url&gt;http://dx.doi.org/10.1111/1539-6924.00373&lt;/url&gt;&lt;/related-urls&gt;&lt;/urls&gt;&lt;electronic-resource-num&gt;10.1111/1539-6924.00373&lt;/electronic-resource-num&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306</w:t>
      </w:r>
      <w:r w:rsidR="00E13392">
        <w:rPr>
          <w:rFonts w:ascii="Calibri" w:hAnsi="Calibri" w:cs="Times New Roman"/>
          <w:sz w:val="22"/>
        </w:rPr>
        <w:fldChar w:fldCharType="end"/>
      </w:r>
      <w:r>
        <w:rPr>
          <w:rFonts w:ascii="Calibri" w:hAnsi="Calibri" w:cs="Times New Roman"/>
          <w:sz w:val="22"/>
        </w:rPr>
        <w:t xml:space="preserve"> The most trusted sources vary across time and place, and can include family and friends, environmental groups, scientists and the media; local and city-level authorities may provide an important conduit for communicating information from trusted sources. For scientists to engage effectively with the public, however, they need to seek a greater understanding of prior knowledge and belief systems, and communication skills radically different from those of academia. They must move beyond traditional scientific discourse to convey a ‘big picture’ of climate change with which members of the public can engage – this can then provide a context and framing for the discussion of new scientific results and their consequences.</w:t>
      </w:r>
      <w:r w:rsidR="00E13392">
        <w:rPr>
          <w:rFonts w:ascii="Calibri" w:hAnsi="Calibri" w:cs="Times New Roman"/>
          <w:sz w:val="22"/>
        </w:rPr>
        <w:fldChar w:fldCharType="begin"/>
      </w:r>
      <w:r w:rsidR="009F6910">
        <w:rPr>
          <w:rFonts w:ascii="Calibri" w:hAnsi="Calibri" w:cs="Times New Roman"/>
          <w:sz w:val="22"/>
        </w:rPr>
        <w:instrText xml:space="preserve"> ADDIN EN.CITE &lt;EndNote&gt;&lt;Cite&gt;&lt;Author&gt;Rapley&lt;/Author&gt;&lt;Year&gt;2014&lt;/Year&gt;&lt;RecNum&gt;975&lt;/RecNum&gt;&lt;DisplayText&gt;&lt;style face="superscript"&gt;294&lt;/style&gt;&lt;/DisplayText&gt;&lt;record&gt;&lt;rec-number&gt;975&lt;/rec-number&gt;&lt;foreign-keys&gt;&lt;key app="EN" db-id="wtftd20rmszxx0ettxy5exwdf90wv22s2dsf" timestamp="1419212983"&gt;975&lt;/key&gt;&lt;/foreign-keys&gt;&lt;ref-type name="Report"&gt;27&lt;/ref-type&gt;&lt;contributors&gt;&lt;authors&gt;&lt;author&gt;Rapley, C.G.&lt;/author&gt;&lt;author&gt;de Meyer, K.&lt;/author&gt;&lt;author&gt;Carney, J.&lt;/author&gt;&lt;author&gt;Clarke, R.&lt;/author&gt;&lt;author&gt;Howarth, C.&lt;/author&gt;&lt;author&gt;Smith, N.&lt;/author&gt;&lt;author&gt;Stilgoe, J.&lt;/author&gt;&lt;author&gt;Youngs, S.&lt;/author&gt;&lt;author&gt;Brierley, C.&lt;/author&gt;&lt;author&gt;Haugvaldstad, A.&lt;/author&gt;&lt;author&gt;Lotto, B.&lt;/author&gt;&lt;author&gt;Michie, S.&lt;/author&gt;&lt;author&gt;Shipworth, M.&lt;/author&gt;&lt;author&gt;Tuckett, D. , &lt;/author&gt;&lt;/authors&gt;&lt;/contributors&gt;&lt;titles&gt;&lt;title&gt;Time for Change? Climate Science Reconsidered&lt;/title&gt;&lt;/titles&gt;&lt;dates&gt;&lt;year&gt;2014&lt;/year&gt;&lt;/dates&gt;&lt;pub-location&gt;Report of the UCL Policy Commission on Communicating Climate Science&lt;/pub-location&gt;&lt;urls&gt;&lt;/urls&gt;&lt;/record&gt;&lt;/Cite&gt;&lt;/EndNote&gt;</w:instrText>
      </w:r>
      <w:r w:rsidR="00E13392">
        <w:rPr>
          <w:rFonts w:ascii="Calibri" w:hAnsi="Calibri" w:cs="Times New Roman"/>
          <w:sz w:val="22"/>
        </w:rPr>
        <w:fldChar w:fldCharType="separate"/>
      </w:r>
      <w:r w:rsidR="009F6910" w:rsidRPr="009F6910">
        <w:rPr>
          <w:rFonts w:ascii="Calibri" w:hAnsi="Calibri" w:cs="Times New Roman"/>
          <w:noProof/>
          <w:sz w:val="22"/>
          <w:vertAlign w:val="superscript"/>
        </w:rPr>
        <w:t>294</w:t>
      </w:r>
      <w:r w:rsidR="00E13392">
        <w:rPr>
          <w:rFonts w:ascii="Calibri" w:hAnsi="Calibri" w:cs="Times New Roman"/>
          <w:sz w:val="22"/>
        </w:rPr>
        <w:fldChar w:fldCharType="end"/>
      </w:r>
    </w:p>
    <w:p w:rsidR="009A71E9" w:rsidRDefault="009A71E9" w:rsidP="009A71E9">
      <w:pPr>
        <w:jc w:val="both"/>
        <w:rPr>
          <w:rFonts w:ascii="Calibri" w:hAnsi="Calibri" w:cs="Times New Roman"/>
          <w:sz w:val="22"/>
        </w:rPr>
      </w:pPr>
    </w:p>
    <w:p w:rsidR="009A71E9" w:rsidRDefault="009A71E9" w:rsidP="009A71E9">
      <w:pPr>
        <w:pStyle w:val="NormalWeb"/>
        <w:spacing w:before="0" w:beforeAutospacing="0" w:after="0" w:afterAutospacing="0"/>
        <w:rPr>
          <w:rFonts w:ascii="Helvetica" w:hAnsi="Helvetica" w:cs="Arial"/>
          <w:b/>
          <w:sz w:val="22"/>
          <w:szCs w:val="22"/>
        </w:rPr>
      </w:pPr>
    </w:p>
    <w:p w:rsidR="009A71E9" w:rsidRPr="00D036C9" w:rsidRDefault="009A71E9" w:rsidP="00D036C9">
      <w:pPr>
        <w:pStyle w:val="Heading3"/>
      </w:pPr>
      <w:bookmarkStart w:id="189" w:name="_Toc405103531"/>
      <w:bookmarkStart w:id="190" w:name="_Toc415931425"/>
      <w:bookmarkStart w:id="191" w:name="_Toc417502089"/>
      <w:r>
        <w:t xml:space="preserve">Public Responses to Climate </w:t>
      </w:r>
      <w:bookmarkEnd w:id="189"/>
      <w:r>
        <w:t>Change</w:t>
      </w:r>
      <w:bookmarkEnd w:id="190"/>
      <w:bookmarkEnd w:id="191"/>
    </w:p>
    <w:p w:rsidR="009A71E9" w:rsidRDefault="009A71E9" w:rsidP="009A71E9">
      <w:pPr>
        <w:jc w:val="both"/>
        <w:rPr>
          <w:rFonts w:ascii="Calibri" w:hAnsi="Calibri" w:cs="Times New Roman"/>
          <w:sz w:val="22"/>
          <w:szCs w:val="22"/>
        </w:rPr>
      </w:pPr>
      <w:r>
        <w:rPr>
          <w:rFonts w:ascii="Calibri" w:hAnsi="Calibri" w:cs="Times New Roman"/>
          <w:sz w:val="22"/>
          <w:szCs w:val="22"/>
        </w:rPr>
        <w:t xml:space="preserve">The causes of climate change lie ultimately in human behaviour, in particular in the economies and lifestyles of rich societies. </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&lt;EndNote&gt;&lt;Cite&gt;&lt;Author&gt;Pretty&lt;/Author&gt;&lt;Year&gt;2013&lt;/Year&gt;&lt;RecNum&gt;1266&lt;/RecNum&gt;&lt;DisplayText&gt;&lt;style face="superscript"&gt;307&lt;/style&gt;&lt;/DisplayText&gt;&lt;record&gt;&lt;rec-number&gt;1266&lt;/rec-number&gt;&lt;foreign-keys&gt;&lt;key app="EN" db-id="wtftd20rmszxx0ettxy5exwdf90wv22s2dsf" timestamp="1419212983"&gt;1266&lt;/key&gt;&lt;/foreign-keys&gt;&lt;ref-type name="Journal Article"&gt;17&lt;/ref-type&gt;&lt;contributors&gt;&lt;authors&gt;&lt;author&gt;Pretty, Jules&lt;/author&gt;&lt;/authors&gt;&lt;/contributors&gt;&lt;titles&gt;&lt;title&gt;The Consumption of a Finite Planet: Well-Being, Convergence, Divergence and the Nascent Green Economy&lt;/title&gt;&lt;secondary-title&gt;Environmental and Resource Economics&lt;/secondary-title&gt;&lt;alt-title&gt;Environ Resource Econ&lt;/alt-title&gt;&lt;/titles&gt;&lt;periodical&gt;&lt;full-title&gt;Environmental and Resource Economics&lt;/full-title&gt;&lt;/periodical&gt;&lt;pages&gt;475-499&lt;/pages&gt;&lt;volume&gt;55&lt;/volume&gt;&lt;number&gt;4&lt;/number&gt;&lt;keywords&gt;&lt;keyword&gt;Consumption&lt;/keyword&gt;&lt;keyword&gt;Ecosystem services&lt;/keyword&gt;&lt;keyword&gt;Green economies&lt;/keyword&gt;&lt;keyword&gt;Possessions and places&lt;/keyword&gt;&lt;keyword&gt;Well-being&lt;/keyword&gt;&lt;/keywords&gt;&lt;dates&gt;&lt;year&gt;2013&lt;/year&gt;&lt;pub-dates&gt;&lt;date&gt;2013/08/01&lt;/date&gt;&lt;/pub-dates&gt;&lt;/dates&gt;&lt;publisher&gt;Springer Netherlands&lt;/publisher&gt;&lt;isbn&gt;0924-6460&lt;/isbn&gt;&lt;urls&gt;&lt;related-urls&gt;&lt;url&gt;http://dx.doi.org/10.1007/s10640-013-9680-9&lt;/url&gt;&lt;/related-urls&gt;&lt;/urls&gt;&lt;electronic-resource-num&gt;10.1007/s10640-013-9680-9&lt;/electronic-resource-num&gt;&lt;language&gt;English&lt;/language&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307</w:t>
      </w:r>
      <w:r w:rsidR="00E13392">
        <w:rPr>
          <w:rFonts w:ascii="Calibri" w:hAnsi="Calibri" w:cs="Times New Roman"/>
          <w:sz w:val="22"/>
          <w:szCs w:val="22"/>
        </w:rPr>
        <w:fldChar w:fldCharType="end"/>
      </w:r>
      <w:r>
        <w:rPr>
          <w:rFonts w:ascii="Calibri" w:hAnsi="Calibri" w:cs="Times New Roman"/>
          <w:sz w:val="22"/>
          <w:szCs w:val="22"/>
        </w:rPr>
        <w:t xml:space="preserve"> However, it has been science, rather than social science, that has underpinned climate change communication and policy development.</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&lt;EndNote&gt;&lt;Cite&gt;&lt;Author&gt;Hulme&lt;/Author&gt;&lt;Year&gt;2011a&lt;/Year&gt;&lt;RecNum&gt;230&lt;/RecNum&gt;&lt;DisplayText&gt;&lt;style face="superscript"&gt;308&lt;/style&gt;&lt;/DisplayText&gt;&lt;record&gt;&lt;rec-number&gt;230&lt;/rec-number&gt;&lt;foreign-keys&gt;&lt;key app="EN" db-id="aexz05etatpr98e9r0pvrw9nepeva0z2vzrp"&gt;230&lt;/key&gt;&lt;/foreign-keys&gt;&lt;ref-type name="Journal Article"&gt;17&lt;/ref-type&gt;&lt;contributors&gt;&lt;authors&gt;&lt;author&gt;Hulme, Mike&lt;/author&gt;&lt;/authors&gt;&lt;/contributors&gt;&lt;titles&gt;&lt;title&gt;Reducing the future to climate: A story of climate determinism and reductionism&lt;/title&gt;&lt;secondary-title&gt;Osiris&lt;/secondary-title&gt;&lt;/titles&gt;&lt;periodical&gt;&lt;full-title&gt;Osiris&lt;/full-title&gt;&lt;/periodical&gt;&lt;pages&gt;245-266&lt;/pages&gt;&lt;volume&gt;26&lt;/volume&gt;&lt;number&gt;1&lt;/number&gt;&lt;dates&gt;&lt;year&gt;2011a&lt;/year&gt;&lt;/dates&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308</w:t>
      </w:r>
      <w:r w:rsidR="00E13392">
        <w:rPr>
          <w:rFonts w:ascii="Calibri" w:hAnsi="Calibri" w:cs="Times New Roman"/>
          <w:sz w:val="22"/>
          <w:szCs w:val="22"/>
        </w:rPr>
        <w:fldChar w:fldCharType="end"/>
      </w:r>
      <w:r>
        <w:rPr>
          <w:rFonts w:ascii="Calibri" w:hAnsi="Calibri" w:cs="Times New Roman"/>
          <w:sz w:val="22"/>
          <w:szCs w:val="22"/>
        </w:rPr>
        <w:t xml:space="preserve"> There is as yet little evidence on how to change behaviours that contribute to climate change,</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&lt;EndNote&gt;&lt;Cite&gt;&lt;Author&gt;Webb&lt;/Author&gt;&lt;Year&gt;2012&lt;/Year&gt;&lt;RecNum&gt;235&lt;/RecNum&gt;&lt;DisplayText&gt;&lt;style face="superscript"&gt;309&lt;/style&gt;&lt;/DisplayText&gt;&lt;record&gt;&lt;rec-number&gt;235&lt;/rec-number&gt;&lt;foreign-keys&gt;&lt;key app="EN" db-id="aexz05etatpr98e9r0pvrw9nepeva0z2vzrp"&gt;235&lt;/key&gt;&lt;/foreign-keys&gt;&lt;ref-type name="Journal Article"&gt;17&lt;/ref-type&gt;&lt;contributors&gt;&lt;authors&gt;&lt;author&gt;Webb, Janette&lt;/author&gt;&lt;/authors&gt;&lt;/contributors&gt;&lt;titles&gt;&lt;title&gt;Climate change and society: The chimera of behaviour change technologies&lt;/title&gt;&lt;secondary-title&gt;Sociology&lt;/secondary-title&gt;&lt;/titles&gt;&lt;periodical&gt;&lt;full-title&gt;Sociology&lt;/full-title&gt;&lt;/periodical&gt;&lt;pages&gt;0038038511419196&lt;/pages&gt;&lt;dates&gt;&lt;year&gt;2012&lt;/year&gt;&lt;/dates&gt;&lt;isbn&gt;0038-0385&lt;/isbn&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309</w:t>
      </w:r>
      <w:r w:rsidR="00E13392">
        <w:rPr>
          <w:rFonts w:ascii="Calibri" w:hAnsi="Calibri" w:cs="Times New Roman"/>
          <w:sz w:val="22"/>
          <w:szCs w:val="22"/>
        </w:rPr>
        <w:fldChar w:fldCharType="end"/>
      </w:r>
      <w:r>
        <w:rPr>
          <w:rFonts w:ascii="Calibri" w:hAnsi="Calibri" w:cs="Times New Roman"/>
          <w:sz w:val="22"/>
          <w:szCs w:val="22"/>
        </w:rPr>
        <w:t xml:space="preserve"> but taking broader evidence on the determinants of behaviour and behavioural change, four themes stand out.  </w:t>
      </w:r>
    </w:p>
    <w:p w:rsidR="009A71E9" w:rsidRDefault="009A71E9" w:rsidP="009A71E9">
      <w:pPr>
        <w:jc w:val="both"/>
        <w:rPr>
          <w:rFonts w:ascii="Calibri" w:hAnsi="Calibri" w:cs="Times New Roman"/>
          <w:sz w:val="22"/>
          <w:szCs w:val="22"/>
        </w:rPr>
      </w:pPr>
    </w:p>
    <w:p w:rsidR="009A71E9" w:rsidRDefault="009A71E9" w:rsidP="009A71E9">
      <w:pPr>
        <w:jc w:val="both"/>
        <w:rPr>
          <w:rFonts w:ascii="Calibri" w:hAnsi="Calibri" w:cs="Times New Roman"/>
          <w:sz w:val="22"/>
          <w:szCs w:val="22"/>
        </w:rPr>
      </w:pPr>
      <w:r>
        <w:rPr>
          <w:rFonts w:ascii="Calibri" w:hAnsi="Calibri" w:cs="Times New Roman"/>
          <w:sz w:val="22"/>
          <w:szCs w:val="22"/>
        </w:rPr>
        <w:t>Firstly, knowledge deficits are not the primary barrier to action; knowing about the causes and consequences of climate change does not, on its own, motivate people to change their ifestyles.</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&lt;EndNote&gt;&lt;Cite&gt;&lt;Author&gt;Wolf&lt;/Author&gt;&lt;Year&gt;2011&lt;/Year&gt;&lt;RecNum&gt;226&lt;/RecNum&gt;&lt;DisplayText&gt;&lt;style face="superscript"&gt;310&lt;/style&gt;&lt;/DisplayText&gt;&lt;record&gt;&lt;rec-number&gt;226&lt;/rec-number&gt;&lt;foreign-keys&gt;&lt;key app="EN" db-id="aexz05etatpr98e9r0pvrw9nepeva0z2vzrp"&gt;226&lt;/key&gt;&lt;/foreign-keys&gt;&lt;ref-type name="Journal Article"&gt;17&lt;/ref-type&gt;&lt;contributors&gt;&lt;authors&gt;&lt;author&gt;Wolf, Johanna&lt;/author&gt;&lt;author&gt;Moser, Susanne C&lt;/author&gt;&lt;/authors&gt;&lt;/contributors&gt;&lt;titles&gt;&lt;title&gt;Individual understandings, perceptions, and engagement with climate change: insights from in‐depth studies across the world&lt;/title&gt;&lt;secondary-title&gt;Wiley Interdisciplinary Reviews: Climate Change&lt;/secondary-title&gt;&lt;/titles&gt;&lt;periodical&gt;&lt;full-title&gt;Wiley Interdisciplinary Reviews: Climate Change&lt;/full-title&gt;&lt;/periodical&gt;&lt;pages&gt;547-569&lt;/pages&gt;&lt;volume&gt;2&lt;/volume&gt;&lt;number&gt;4&lt;/number&gt;&lt;dates&gt;&lt;year&gt;2011&lt;/year&gt;&lt;/dates&gt;&lt;isbn&gt;1757-7799&lt;/isbn&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310</w:t>
      </w:r>
      <w:r w:rsidR="00E13392">
        <w:rPr>
          <w:rFonts w:ascii="Calibri" w:hAnsi="Calibri" w:cs="Times New Roman"/>
          <w:sz w:val="22"/>
          <w:szCs w:val="22"/>
        </w:rPr>
        <w:fldChar w:fldCharType="end"/>
      </w:r>
      <w:r>
        <w:rPr>
          <w:rFonts w:ascii="Calibri" w:hAnsi="Calibri" w:cs="Times New Roman"/>
          <w:sz w:val="22"/>
          <w:szCs w:val="22"/>
        </w:rPr>
        <w:t xml:space="preserve"> Instead, it is emotions - the feelings that accompany thinking- that are central.</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&lt;EndNote&gt;&lt;Cite&gt;&lt;Author&gt;Hoijer&lt;/Author&gt;&lt;Year&gt;2010&lt;/Year&gt;&lt;RecNum&gt;1243&lt;/RecNum&gt;&lt;DisplayText&gt;&lt;style face="superscript"&gt;311&lt;/style&gt;&lt;/DisplayText&gt;&lt;record&gt;&lt;rec-number&gt;1243&lt;/rec-number&gt;&lt;foreign-keys&gt;&lt;key app="EN" db-id="wtftd20rmszxx0ettxy5exwdf90wv22s2dsf" timestamp="1419212983"&gt;1243&lt;/key&gt;&lt;/foreign-keys&gt;&lt;ref-type name="Journal Article"&gt;17&lt;/ref-type&gt;&lt;contributors&gt;&lt;authors&gt;&lt;author&gt;Hoijer, B.&lt;/author&gt;&lt;/authors&gt;&lt;/contributors&gt;&lt;auth-address&gt;Media and Communication Studies, Orebro University, Sweden. birgitta.hoijer@oru.se&lt;/auth-address&gt;&lt;titles&gt;&lt;title&gt;Emotional anchoring and objectification in the media reporting on climate change&lt;/title&gt;&lt;secondary-title&gt;Public Underst Sci&lt;/secondary-title&gt;&lt;alt-title&gt;Public understanding of science (Bristol, England)&lt;/alt-title&gt;&lt;/titles&gt;&lt;periodical&gt;&lt;full-title&gt;Public Underst Sci&lt;/full-title&gt;&lt;abbr-1&gt;Public understanding of science (Bristol, England)&lt;/abbr-1&gt;&lt;/periodical&gt;&lt;alt-periodical&gt;&lt;full-title&gt;Public Underst Sci&lt;/full-title&gt;&lt;abbr-1&gt;Public understanding of science (Bristol, England)&lt;/abbr-1&gt;&lt;/alt-periodical&gt;&lt;pages&gt;717-31&lt;/pages&gt;&lt;volume&gt;19&lt;/volume&gt;&lt;number&gt;6&lt;/number&gt;&lt;edition&gt;2011/05/13&lt;/edition&gt;&lt;keywords&gt;&lt;keyword&gt;*Climate Change&lt;/keyword&gt;&lt;keyword&gt;Communication&lt;/keyword&gt;&lt;keyword&gt;*Emotions&lt;/keyword&gt;&lt;keyword&gt;Empathy&lt;/keyword&gt;&lt;keyword&gt;Fear&lt;/keyword&gt;&lt;keyword&gt;Guilt&lt;/keyword&gt;&lt;keyword&gt;Humans&lt;/keyword&gt;&lt;keyword&gt;Mass Media&lt;/keyword&gt;&lt;/keywords&gt;&lt;dates&gt;&lt;year&gt;2010&lt;/year&gt;&lt;pub-dates&gt;&lt;date&gt;Nov&lt;/date&gt;&lt;/pub-dates&gt;&lt;/dates&gt;&lt;isbn&gt;0963-6625 (Print)&amp;#xD;0963-6625&lt;/isbn&gt;&lt;accession-num&gt;21560545&lt;/accession-num&gt;&lt;urls&gt;&lt;/urls&gt;&lt;remote-database-provider&gt;NLM&lt;/remote-database-provider&gt;&lt;language&gt;eng&lt;/language&gt;&lt;/record&gt;&lt;/Cite&gt;&lt;/EndNote&gt;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311</w:t>
      </w:r>
      <w:r w:rsidR="00E13392">
        <w:rPr>
          <w:rFonts w:ascii="Calibri" w:hAnsi="Calibri" w:cs="Times New Roman"/>
          <w:sz w:val="22"/>
          <w:szCs w:val="22"/>
        </w:rPr>
        <w:fldChar w:fldCharType="end"/>
      </w:r>
      <w:r>
        <w:rPr>
          <w:rFonts w:ascii="Calibri" w:hAnsi="Calibri" w:cs="Times New Roman"/>
          <w:sz w:val="22"/>
          <w:szCs w:val="22"/>
        </w:rPr>
        <w:t xml:space="preserve"> Negative emotions, including fear, pessimism and guilt, can produce passive and defensive responses, and do little to encourage individuals to change their behaviour and to press for wider social action. ‘Fear appeals’ only work if accompanied by equally strong messages about how to address the problem.</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&lt;EndNote&gt;&lt;Cite&gt;&lt;Author&gt;Witte&lt;/Author&gt;&lt;Year&gt;2000&lt;/Year&gt;&lt;RecNum&gt;1274&lt;/RecNum&gt;&lt;DisplayText&gt;&lt;style face="superscript"&gt;312&lt;/style&gt;&lt;/DisplayText&gt;&lt;record&gt;&lt;rec-number&gt;1274&lt;/rec-number&gt;&lt;foreign-keys&gt;&lt;key app="EN" db-id="wtftd20rmszxx0ettxy5exwdf90wv22s2dsf" timestamp="1419212983"&gt;1274&lt;/key&gt;&lt;/foreign-keys&gt;&lt;ref-type name="Journal Article"&gt;17&lt;/ref-type&gt;&lt;contributors&gt;&lt;authors&gt;&lt;author&gt;Witte, Kim&lt;/author&gt;&lt;author&gt;Allen, Mike&lt;/author&gt;&lt;/authors&gt;&lt;/contributors&gt;&lt;titles&gt;&lt;title&gt;A Meta-Analysis of Fear Appeals: Implications for Effective Public Health Campaigns&lt;/title&gt;&lt;secondary-title&gt;Health Education &amp;amp; Behavior&lt;/secondary-title&gt;&lt;/titles&gt;&lt;periodical&gt;&lt;full-title&gt;Health Education &amp;amp; Behavior&lt;/full-title&gt;&lt;/periodical&gt;&lt;pages&gt;591-615&lt;/pages&gt;&lt;volume&gt;27&lt;/volume&gt;&lt;number&gt;5&lt;/number&gt;&lt;dates&gt;&lt;year&gt;2000&lt;/year&gt;&lt;pub-dates&gt;&lt;date&gt;October 1, 2000&lt;/date&gt;&lt;/pub-dates&gt;&lt;/dates&gt;&lt;urls&gt;&lt;related-urls&gt;&lt;url&gt;http://heb.sagepub.com/content/27/5/591.abstract&lt;/url&gt;&lt;/related-urls&gt;&lt;/urls&gt;&lt;electronic-resource-num&gt;10.1177/109019810002700506&lt;/electronic-resource-num&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312</w:t>
      </w:r>
      <w:r w:rsidR="00E13392">
        <w:rPr>
          <w:rFonts w:ascii="Calibri" w:hAnsi="Calibri" w:cs="Times New Roman"/>
          <w:sz w:val="22"/>
          <w:szCs w:val="22"/>
        </w:rPr>
        <w:fldChar w:fldCharType="end"/>
      </w:r>
      <w:r>
        <w:rPr>
          <w:rFonts w:ascii="Calibri" w:hAnsi="Calibri" w:cs="Times New Roman"/>
          <w:sz w:val="22"/>
          <w:szCs w:val="22"/>
        </w:rPr>
        <w:t xml:space="preserve"> Representations of climate change as inexorably heading for catastrophe close off the possibility that individual and collective action can make a difference.</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&lt;EndNote&gt;&lt;Cite&gt;&lt;Author&gt;Rapley&lt;/Author&gt;&lt;Year&gt;2014&lt;/Year&gt;&lt;RecNum&gt;975&lt;/RecNum&gt;&lt;DisplayText&gt;&lt;style face="superscript"&gt;294&lt;/style&gt;&lt;/DisplayText&gt;&lt;record&gt;&lt;rec-number&gt;975&lt;/rec-number&gt;&lt;foreign-keys&gt;&lt;key app="EN" db-id="wtftd20rmszxx0ettxy5exwdf90wv22s2dsf" timestamp="1419212983"&gt;975&lt;/key&gt;&lt;/foreign-keys&gt;&lt;ref-type name="Report"&gt;27&lt;/ref-type&gt;&lt;contributors&gt;&lt;authors&gt;&lt;author&gt;Rapley, C.G.&lt;/author&gt;&lt;author&gt;de Meyer, K.&lt;/author&gt;&lt;author&gt;Carney, J.&lt;/author&gt;&lt;author&gt;Clarke, R.&lt;/author&gt;&lt;author&gt;Howarth, C.&lt;/author&gt;&lt;author&gt;Smith, N.&lt;/author&gt;&lt;author&gt;Stilgoe, J.&lt;/author&gt;&lt;author&gt;Youngs, S.&lt;/author&gt;&lt;author&gt;Brierley, C.&lt;/author&gt;&lt;author&gt;Haugvaldstad, A.&lt;/author&gt;&lt;author&gt;Lotto, B.&lt;/author&gt;&lt;author&gt;Michie, S.&lt;/author&gt;&lt;author&gt;Shipworth, M.&lt;/author&gt;&lt;author&gt;Tuckett, D. , &lt;/author&gt;&lt;/authors&gt;&lt;/contributors&gt;&lt;titles&gt;&lt;title&gt;Time for Change? Climate Science Reconsidered&lt;/title&gt;&lt;/titles&gt;&lt;dates&gt;&lt;year&gt;2014&lt;/year&gt;&lt;/dates&gt;&lt;pub-location&gt;Report of the UCL Policy Commission on Communicating Climate Science&lt;/pub-location&gt;&lt;urls&gt;&lt;/urls&gt;&lt;/record&gt;&lt;/Cite&gt;&lt;/EndNote&gt;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294</w:t>
      </w:r>
      <w:r w:rsidR="00E13392">
        <w:rPr>
          <w:rFonts w:ascii="Calibri" w:hAnsi="Calibri" w:cs="Times New Roman"/>
          <w:sz w:val="22"/>
          <w:szCs w:val="22"/>
        </w:rPr>
        <w:fldChar w:fldCharType="end"/>
      </w:r>
    </w:p>
    <w:p w:rsidR="009A71E9" w:rsidRDefault="009A71E9" w:rsidP="009A71E9">
      <w:pPr>
        <w:jc w:val="both"/>
        <w:rPr>
          <w:rFonts w:ascii="Calibri" w:hAnsi="Calibri" w:cs="Times New Roman"/>
          <w:sz w:val="22"/>
          <w:szCs w:val="22"/>
        </w:rPr>
      </w:pPr>
    </w:p>
    <w:p w:rsidR="009A71E9" w:rsidRDefault="009A71E9" w:rsidP="009A71E9">
      <w:pPr>
        <w:jc w:val="both"/>
        <w:rPr>
          <w:rFonts w:ascii="Calibri" w:hAnsi="Calibri" w:cs="Times New Roman"/>
          <w:sz w:val="22"/>
          <w:szCs w:val="22"/>
        </w:rPr>
      </w:pPr>
      <w:r>
        <w:rPr>
          <w:rFonts w:ascii="Calibri" w:hAnsi="Calibri" w:cs="Times New Roman"/>
          <w:sz w:val="22"/>
          <w:szCs w:val="22"/>
        </w:rPr>
        <w:t>Secondly, climate change is best represented in ways that anchor it in positive emotions,</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&lt;EndNote&gt;&lt;Cite&gt;&lt;Author&gt;Markowitz&lt;/Author&gt;&lt;Year&gt;2012&lt;/Year&gt;&lt;RecNum&gt;188&lt;/RecNum&gt;&lt;DisplayText&gt;&lt;style face="superscript"&gt;313&lt;/style&gt;&lt;/DisplayText&gt;&lt;record&gt;&lt;rec-number&gt;188&lt;/rec-number&gt;&lt;foreign-keys&gt;&lt;key app="EN" db-id="aexz05etatpr98e9r0pvrw9nepeva0z2vzrp"&gt;188&lt;/key&gt;&lt;/foreign-keys&gt;&lt;ref-type name="Journal Article"&gt;17&lt;/ref-type&gt;&lt;contributors&gt;&lt;authors&gt;&lt;author&gt;Markowitz, Ezra M&lt;/author&gt;&lt;author&gt;Shariff, Azim F&lt;/author&gt;&lt;/authors&gt;&lt;/contributors&gt;&lt;titles&gt;&lt;title&gt;Climate change and moral judgement&lt;/title&gt;&lt;secondary-title&gt;Nature Climate Change&lt;/secondary-title&gt;&lt;/titles&gt;&lt;periodical&gt;&lt;full-title&gt;Nature Climate Change&lt;/full-title&gt;&lt;/periodical&gt;&lt;pages&gt;243-247&lt;/pages&gt;&lt;volume&gt;2&lt;/volume&gt;&lt;number&gt;4&lt;/number&gt;&lt;dates&gt;&lt;year&gt;2012&lt;/year&gt;&lt;/dates&gt;&lt;isbn&gt;1758-678X&lt;/isbn&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313</w:t>
      </w:r>
      <w:r w:rsidR="00E13392">
        <w:rPr>
          <w:rFonts w:ascii="Calibri" w:hAnsi="Calibri" w:cs="Times New Roman"/>
          <w:sz w:val="22"/>
          <w:szCs w:val="22"/>
        </w:rPr>
        <w:fldChar w:fldCharType="end"/>
      </w:r>
      <w:r>
        <w:rPr>
          <w:rFonts w:ascii="Calibri" w:hAnsi="Calibri" w:cs="Times New Roman"/>
          <w:sz w:val="22"/>
          <w:szCs w:val="22"/>
        </w:rPr>
        <w:t xml:space="preserve"> by framing action in ways that connect with people’s core values and identities. Examples include framing climate change as: an ethical and intergenerational issue; about safeguarding ancestral lands and the sanctity of the natural world; or an appreciation of the global injustice of anthropogenic climate change driven by rich countries but paid for by poorer ones.</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&lt;EndNote&gt;&lt;Cite&gt;&lt;Author&gt;Patz&lt;/Author&gt;&lt;Year&gt;2007&lt;/Year&gt;&lt;RecNum&gt;234&lt;/RecNum&gt;&lt;DisplayText&gt;&lt;style face="superscript"&gt;314,315&lt;/style&gt;&lt;/DisplayText&gt;&lt;record&gt;&lt;rec-number&gt;234&lt;/rec-number&gt;&lt;foreign-keys&gt;&lt;key app="EN" db-id="aexz05etatpr98e9r0pvrw9nepeva0z2vzrp"&gt;234&lt;/key&gt;&lt;/foreign-keys&gt;&lt;ref-type name="Journal Article"&gt;17&lt;/ref-type&gt;&lt;contributors&gt;&lt;authors&gt;&lt;author&gt;Patz, Jonathan A&lt;/author&gt;&lt;author&gt;Gibbs, Holly K&lt;/author&gt;&lt;author&gt;Foley, Jonathan A&lt;/author&gt;&lt;author&gt;Rogers, Jamesine V&lt;/author&gt;&lt;author&gt;Smith, Kirk R&lt;/author&gt;&lt;/authors&gt;&lt;/contributors&gt;&lt;titles&gt;&lt;title&gt;Climate change and global health: quantifying a growing ethical crisis&lt;/title&gt;&lt;secondary-title&gt;EcoHealth&lt;/secondary-title&gt;&lt;/titles&gt;&lt;periodical&gt;&lt;full-title&gt;EcoHealth&lt;/full-title&gt;&lt;/periodical&gt;&lt;pages&gt;397-405&lt;/pages&gt;&lt;volume&gt;4&lt;/volume&gt;&lt;number&gt;4&lt;/number&gt;&lt;dates&gt;&lt;year&gt;2007&lt;/year&gt;&lt;/dates&gt;&lt;isbn&gt;1612-9202&lt;/isbn&gt;&lt;urls&gt;&lt;/urls&gt;&lt;/record&gt;&lt;/Cite&gt;&lt;Cite&gt;&lt;Author&gt;Green&lt;/Author&gt;&lt;Year&gt;2010&lt;/Year&gt;&lt;RecNum&gt;242&lt;/RecNum&gt;&lt;record&gt;&lt;rec-number&gt;242&lt;/rec-number&gt;&lt;foreign-keys&gt;&lt;key app="EN" db-id="aexz05etatpr98e9r0pvrw9nepeva0z2vzrp"&gt;242&lt;/key&gt;&lt;/foreign-keys&gt;&lt;ref-type name="Journal Article"&gt;17&lt;/ref-type&gt;&lt;contributors&gt;&lt;authors&gt;&lt;author&gt;Green, Donna&lt;/author&gt;&lt;author&gt;Billy, Jack&lt;/author&gt;&lt;author&gt;Tapim, Alo&lt;/author&gt;&lt;/authors&gt;&lt;/contributors&gt;&lt;titles&gt;&lt;title&gt;Indigenous Australians’ knowledge of weather and climate&lt;/title&gt;&lt;secondary-title&gt;Climatic Change&lt;/secondary-title&gt;&lt;/titles&gt;&lt;periodical&gt;&lt;full-title&gt;Climatic change&lt;/full-title&gt;&lt;/periodical&gt;&lt;pages&gt;337-354&lt;/pages&gt;&lt;volume&gt;100&lt;/volume&gt;&lt;number&gt;2&lt;/number&gt;&lt;dates&gt;&lt;year&gt;2010&lt;/year&gt;&lt;/dates&gt;&lt;isbn&gt;0165-0009&lt;/isbn&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314,315</w:t>
      </w:r>
      <w:r w:rsidR="00E13392">
        <w:rPr>
          <w:rFonts w:ascii="Calibri" w:hAnsi="Calibri" w:cs="Times New Roman"/>
          <w:sz w:val="22"/>
          <w:szCs w:val="22"/>
        </w:rPr>
        <w:fldChar w:fldCharType="end"/>
      </w:r>
      <w:r>
        <w:rPr>
          <w:rFonts w:ascii="Calibri" w:hAnsi="Calibri" w:cs="Times New Roman"/>
          <w:sz w:val="22"/>
          <w:szCs w:val="22"/>
        </w:rPr>
        <w:t xml:space="preserve"> Aligning climate change to a range of ethical positions and a core set of identities can offer a way of appealing to diverse social groups, and thus securing a broad and inclusive platform of public support for action. This could be facilitated by avoiding the rhetoric of climate catastrophe, and emphasising, instead, human capacity to steer a way to a sustainable future, including lifting the burdens that unmitigated climate change would otherwise impose on future generations.</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&lt;EndNote&gt;&lt;Cite&gt;&lt;Author&gt;Giddens&lt;/Author&gt;&lt;Year&gt;2009&lt;/Year&gt;&lt;RecNum&gt;1241&lt;/RecNum&gt;&lt;DisplayText&gt;&lt;style face="superscript"&gt;316,317&lt;/style&gt;&lt;/DisplayText&gt;&lt;record&gt;&lt;rec-number&gt;1241&lt;/rec-number&gt;&lt;foreign-keys&gt;&lt;key app="EN" db-id="wtftd20rmszxx0ettxy5exwdf90wv22s2dsf" timestamp="1419212983"&gt;1241&lt;/key&gt;&lt;/foreign-keys&gt;&lt;ref-type name="Book"&gt;6&lt;/ref-type&gt;&lt;contributors&gt;&lt;authors&gt;&lt;author&gt;Giddens, A.&lt;/author&gt;&lt;/authors&gt;&lt;/contributors&gt;&lt;titles&gt;&lt;title&gt;The Politics of Climate Change&lt;/title&gt;&lt;/titles&gt;&lt;dates&gt;&lt;year&gt;2009&lt;/year&gt;&lt;/dates&gt;&lt;pub-location&gt;Cambridge, UK&lt;/pub-location&gt;&lt;publisher&gt;John Wiley and Sons&lt;/publisher&gt;&lt;urls&gt;&lt;/urls&gt;&lt;/record&gt;&lt;/Cite&gt;&lt;Cite&gt;&lt;Author&gt;Markowitz&lt;/Author&gt;&lt;Year&gt;2012&lt;/Year&gt;&lt;RecNum&gt;1252&lt;/RecNum&gt;&lt;record&gt;&lt;rec-number&gt;1252&lt;/rec-number&gt;&lt;foreign-keys&gt;&lt;key app="EN" db-id="wtftd20rmszxx0ettxy5exwdf90wv22s2dsf" timestamp="1419212983"&gt;1252&lt;/key&gt;&lt;/foreign-keys&gt;&lt;ref-type name="Journal Article"&gt;17&lt;/ref-type&gt;&lt;contributors&gt;&lt;authors&gt;&lt;author&gt;Markowitz, E. M.&lt;/author&gt;&lt;author&gt;Shariff, A. F.&lt;/author&gt;&lt;/authors&gt;&lt;/contributors&gt;&lt;titles&gt;&lt;title&gt;Climate change and moral judgement&lt;/title&gt;&lt;secondary-title&gt;Nature Climate Change&lt;/secondary-title&gt;&lt;/titles&gt;&lt;periodical&gt;&lt;full-title&gt;Nature Climate Change&lt;/full-title&gt;&lt;/periodical&gt;&lt;pages&gt;243-247&lt;/pages&gt;&lt;volume&gt;2&lt;/volume&gt;&lt;dates&gt;&lt;year&gt;2012&lt;/year&gt;&lt;/dates&gt;&lt;urls&gt;&lt;/urls&gt;&lt;/record&gt;&lt;/Cite&gt;&lt;/EndNote&gt;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316,317</w:t>
      </w:r>
      <w:r w:rsidR="00E13392">
        <w:rPr>
          <w:rFonts w:ascii="Calibri" w:hAnsi="Calibri" w:cs="Times New Roman"/>
          <w:sz w:val="22"/>
          <w:szCs w:val="22"/>
        </w:rPr>
        <w:fldChar w:fldCharType="end"/>
      </w:r>
    </w:p>
    <w:p w:rsidR="009A71E9" w:rsidRDefault="009A71E9" w:rsidP="009A71E9">
      <w:pPr>
        <w:jc w:val="both"/>
        <w:rPr>
          <w:rFonts w:ascii="Helvetica" w:hAnsi="Helvetica" w:cs="TimesNewRomanPSMT"/>
          <w:sz w:val="22"/>
          <w:szCs w:val="22"/>
        </w:rPr>
      </w:pPr>
    </w:p>
    <w:p w:rsidR="009A71E9" w:rsidRDefault="009A71E9" w:rsidP="009A71E9">
      <w:pPr>
        <w:jc w:val="both"/>
        <w:rPr>
          <w:rFonts w:ascii="Calibri" w:hAnsi="Calibri" w:cs="Times New Roman"/>
          <w:sz w:val="22"/>
          <w:szCs w:val="22"/>
        </w:rPr>
      </w:pPr>
      <w:r>
        <w:rPr>
          <w:rFonts w:ascii="Calibri" w:hAnsi="Calibri" w:cs="Times New Roman"/>
          <w:sz w:val="22"/>
          <w:szCs w:val="22"/>
        </w:rPr>
        <w:t>Thirdly, integral to such an ethical framing of climate change is the implied duty on national and international organisations to take action. A recurrent finding is that the public sees the main responsibility for action lying with governments and other powerful institutions, not least because the options open to individuals to take radical action to cut their own GHG emissions are often sorely limited by cost or availability (eg poor public transport provision).  Public willingness to take action is also contingent on those considered responsible for climate change taking action themselves.</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&lt;EndNote&gt;&lt;Cite&gt;&lt;Author&gt;Vignola&lt;/Author&gt;&lt;Year&gt;2013&lt;/Year&gt;&lt;RecNum&gt;193&lt;/RecNum&gt;&lt;DisplayText&gt;&lt;style face="superscript"&gt;318&lt;/style&gt;&lt;/DisplayText&gt;&lt;record&gt;&lt;rec-number&gt;193&lt;/rec-number&gt;&lt;foreign-keys&gt;&lt;key app="EN" db-id="aexz05etatpr98e9r0pvrw9nepeva0z2vzrp"&gt;193&lt;/key&gt;&lt;/foreign-keys&gt;&lt;ref-type name="Journal Article"&gt;17&lt;/ref-type&gt;&lt;contributors&gt;&lt;authors&gt;&lt;author&gt;Vignola, R&lt;/author&gt;&lt;author&gt;Klinsky, S&lt;/author&gt;&lt;author&gt;Tam, J&lt;/author&gt;&lt;author&gt;McDaniels, T&lt;/author&gt;&lt;/authors&gt;&lt;/contributors&gt;&lt;titles&gt;&lt;title&gt;Public perception, knowledge and policy support for mitigation and adaption to Climate Change in Costa Rica: Comparisons with North American and European studies&lt;/title&gt;&lt;secondary-title&gt;Mitigation and Adaptation Strategies for Global Change&lt;/secondary-title&gt;&lt;/titles&gt;&lt;periodical&gt;&lt;full-title&gt;Mitigation and Adaptation Strategies for Global Change&lt;/full-title&gt;&lt;/periodical&gt;&lt;pages&gt;303-323&lt;/pages&gt;&lt;volume&gt;18&lt;/volume&gt;&lt;number&gt;3&lt;/number&gt;&lt;dates&gt;&lt;year&gt;2013&lt;/year&gt;&lt;/dates&gt;&lt;isbn&gt;1381-2386&lt;/isbn&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318</w:t>
      </w:r>
      <w:r w:rsidR="00E13392">
        <w:rPr>
          <w:rFonts w:ascii="Calibri" w:hAnsi="Calibri" w:cs="Times New Roman"/>
          <w:sz w:val="22"/>
          <w:szCs w:val="22"/>
        </w:rPr>
        <w:fldChar w:fldCharType="end"/>
      </w:r>
      <w:r>
        <w:rPr>
          <w:rFonts w:ascii="Calibri" w:hAnsi="Calibri" w:cs="Times New Roman"/>
          <w:sz w:val="22"/>
          <w:szCs w:val="22"/>
        </w:rPr>
        <w:t xml:space="preserve">  The majority of the public in cross-national surveys believe that their country has a responsibility to take action on climate change, and that their government is not doing enough.</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&lt;EndNote&gt;&lt;Cite&gt;&lt;Author&gt;Bank&lt;/Author&gt;&lt;Year&gt;2009&lt;/Year&gt;&lt;RecNum&gt;1277&lt;/RecNum&gt;&lt;DisplayText&gt;&lt;style face="superscript"&gt;319&lt;/style&gt;&lt;/DisplayText&gt;&lt;record&gt;&lt;rec-number&gt;1277&lt;/rec-number&gt;&lt;foreign-keys&gt;&lt;key app="EN" db-id="wtftd20rmszxx0ettxy5exwdf90wv22s2dsf" timestamp="1419212983"&gt;1277&lt;/key&gt;&lt;/foreign-keys&gt;&lt;ref-type name="Report"&gt;27&lt;/ref-type&gt;&lt;contributors&gt;&lt;authors&gt;&lt;author&gt;World Bank Group,&lt;/author&gt;&lt;/authors&gt;&lt;/contributors&gt;&lt;titles&gt;&lt;title&gt;Public attitudes toward climate change: findings from a multi-country poll. Background note to the world development report 2010&lt;/title&gt;&lt;/titles&gt;&lt;dates&gt;&lt;year&gt;2009&lt;/year&gt;&lt;/dates&gt;&lt;pub-location&gt;Washington, D.C.&lt;/pub-location&gt;&lt;urls&gt;&lt;/urls&gt;&lt;/record&gt;&lt;/Cite&gt;&lt;/EndNote&gt;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319</w:t>
      </w:r>
      <w:r w:rsidR="00E13392">
        <w:rPr>
          <w:rFonts w:ascii="Calibri" w:hAnsi="Calibri" w:cs="Times New Roman"/>
          <w:sz w:val="22"/>
          <w:szCs w:val="22"/>
        </w:rPr>
        <w:fldChar w:fldCharType="end"/>
      </w:r>
    </w:p>
    <w:p w:rsidR="009A71E9" w:rsidRDefault="009A71E9" w:rsidP="009A71E9">
      <w:pPr>
        <w:jc w:val="both"/>
        <w:rPr>
          <w:rFonts w:ascii="Helvetica" w:hAnsi="Helvetica" w:cs="Arial"/>
          <w:sz w:val="22"/>
          <w:szCs w:val="22"/>
        </w:rPr>
      </w:pPr>
    </w:p>
    <w:p w:rsidR="009A71E9" w:rsidRDefault="009A71E9" w:rsidP="009A71E9">
      <w:pPr>
        <w:jc w:val="both"/>
        <w:rPr>
          <w:rFonts w:ascii="Calibri" w:hAnsi="Calibri" w:cs="Times New Roman"/>
          <w:sz w:val="22"/>
        </w:rPr>
      </w:pPr>
      <w:r>
        <w:rPr>
          <w:rFonts w:ascii="Calibri" w:hAnsi="Calibri" w:cs="Times New Roman"/>
          <w:sz w:val="22"/>
          <w:szCs w:val="22"/>
        </w:rPr>
        <w:t xml:space="preserve">Fourthly, </w:t>
      </w:r>
      <w:r>
        <w:rPr>
          <w:rFonts w:ascii="Calibri" w:hAnsi="Calibri" w:cs="Times New Roman"/>
          <w:i/>
          <w:sz w:val="22"/>
          <w:szCs w:val="22"/>
        </w:rPr>
        <w:t>many climate-affecting behaviours are habitual and resistant to change</w:t>
      </w:r>
      <w:r>
        <w:rPr>
          <w:rFonts w:ascii="Calibri" w:hAnsi="Calibri" w:cs="Times New Roman"/>
          <w:sz w:val="22"/>
          <w:szCs w:val="22"/>
        </w:rPr>
        <w:t xml:space="preserve">. Everyday domestic energy use (cooking, heating the home), travel behaviour and eating patterns are undertaken as part of a daily routine and without conscious thought.  Such behaviours are resistant to change, even if </w:t>
      </w:r>
      <w:r>
        <w:rPr>
          <w:rFonts w:ascii="Calibri" w:hAnsi="Calibri" w:cs="Times New Roman"/>
          <w:sz w:val="22"/>
          <w:szCs w:val="22"/>
        </w:rPr>
        <w:lastRenderedPageBreak/>
        <w:t>alternative options are available, and interventions relying on increasing knowledge have limited effect.</w:t>
      </w:r>
      <w:r w:rsidR="00E13392">
        <w:rPr>
          <w:rFonts w:ascii="Calibri" w:hAnsi="Calibri" w:cs="Times New Roman"/>
          <w:sz w:val="22"/>
          <w:szCs w:val="22"/>
        </w:rPr>
        <w:fldChar w:fldCharType="begin"/>
      </w:r>
      <w:r w:rsidR="009F6910">
        <w:rPr>
          <w:rFonts w:ascii="Calibri" w:hAnsi="Calibri" w:cs="Times New Roman"/>
          <w:sz w:val="22"/>
          <w:szCs w:val="22"/>
        </w:rPr>
        <w:instrText xml:space="preserve"> ADDIN EN.CITE &lt;EndNote&gt;&lt;Cite&gt;&lt;Author&gt;Marteau&lt;/Author&gt;&lt;Year&gt;2012&lt;/Year&gt;&lt;RecNum&gt;172&lt;/RecNum&gt;&lt;DisplayText&gt;&lt;style face="superscript"&gt;320&lt;/style&gt;&lt;/DisplayText&gt;&lt;record&gt;&lt;rec-number&gt;172&lt;/rec-number&gt;&lt;foreign-keys&gt;&lt;key app="EN" db-id="aexz05etatpr98e9r0pvrw9nepeva0z2vzrp"&gt;172&lt;/key&gt;&lt;/foreign-keys&gt;&lt;ref-type name="Journal Article"&gt;17&lt;/ref-type&gt;&lt;contributors&gt;&lt;authors&gt;&lt;author&gt;Marteau, Theresa M&lt;/author&gt;&lt;author&gt;Hollands, Gareth J&lt;/author&gt;&lt;author&gt;Fletcher, Paul C&lt;/author&gt;&lt;/authors&gt;&lt;/contributors&gt;&lt;titles&gt;&lt;title&gt;Changing human behavior to prevent disease: the importance of targeting automatic processes&lt;/title&gt;&lt;secondary-title&gt;Science&lt;/secondary-title&gt;&lt;/titles&gt;&lt;periodical&gt;&lt;full-title&gt;science&lt;/full-title&gt;&lt;/periodical&gt;&lt;pages&gt;1492-1495&lt;/pages&gt;&lt;volume&gt;337&lt;/volume&gt;&lt;number&gt;6101&lt;/number&gt;&lt;dates&gt;&lt;year&gt;2012&lt;/year&gt;&lt;/dates&gt;&lt;isbn&gt;0036-8075&lt;/isbn&gt;&lt;urls&gt;&lt;/urls&gt;&lt;/record&gt;&lt;/Cite&gt;&lt;/EndNote&gt;</w:instrText>
      </w:r>
      <w:r w:rsidR="00E13392">
        <w:rPr>
          <w:rFonts w:ascii="Calibri" w:hAnsi="Calibri" w:cs="Times New Roman"/>
          <w:sz w:val="22"/>
          <w:szCs w:val="22"/>
        </w:rPr>
        <w:fldChar w:fldCharType="separate"/>
      </w:r>
      <w:r w:rsidR="009F6910" w:rsidRPr="009F6910">
        <w:rPr>
          <w:rFonts w:ascii="Calibri" w:hAnsi="Calibri" w:cs="Times New Roman"/>
          <w:noProof/>
          <w:sz w:val="22"/>
          <w:szCs w:val="22"/>
          <w:vertAlign w:val="superscript"/>
        </w:rPr>
        <w:t>320</w:t>
      </w:r>
      <w:r w:rsidR="00E13392">
        <w:rPr>
          <w:rFonts w:ascii="Calibri" w:hAnsi="Calibri" w:cs="Times New Roman"/>
          <w:sz w:val="22"/>
          <w:szCs w:val="22"/>
        </w:rPr>
        <w:fldChar w:fldCharType="end"/>
      </w:r>
      <w:r>
        <w:rPr>
          <w:rFonts w:ascii="Calibri" w:hAnsi="Calibri" w:cs="Times New Roman"/>
          <w:sz w:val="22"/>
          <w:szCs w:val="22"/>
        </w:rPr>
        <w:t xml:space="preserve"> </w:t>
      </w:r>
    </w:p>
    <w:p w:rsidR="009A71E9" w:rsidRDefault="009A71E9" w:rsidP="009A71E9">
      <w:pPr>
        <w:jc w:val="both"/>
        <w:rPr>
          <w:rFonts w:ascii="Calibri" w:hAnsi="Calibri" w:cs="Times New Roman"/>
          <w:sz w:val="22"/>
        </w:rPr>
      </w:pPr>
    </w:p>
    <w:p w:rsidR="009A71E9" w:rsidRPr="00D036C9" w:rsidRDefault="009A71E9" w:rsidP="00D036C9">
      <w:pPr>
        <w:pStyle w:val="Heading2"/>
      </w:pPr>
      <w:bookmarkStart w:id="192" w:name="_Toc405103532"/>
      <w:bookmarkStart w:id="193" w:name="_Toc415931426"/>
      <w:bookmarkStart w:id="194" w:name="_Toc417502090"/>
      <w:r>
        <w:t>Conclusions</w:t>
      </w:r>
      <w:bookmarkEnd w:id="192"/>
      <w:bookmarkEnd w:id="193"/>
      <w:bookmarkEnd w:id="194"/>
    </w:p>
    <w:p w:rsidR="009A71E9" w:rsidRDefault="009A71E9" w:rsidP="009A71E9">
      <w:pPr>
        <w:jc w:val="both"/>
        <w:rPr>
          <w:rFonts w:ascii="Calibri" w:hAnsi="Calibri" w:cs="Times New Roman"/>
          <w:sz w:val="22"/>
          <w:szCs w:val="22"/>
        </w:rPr>
      </w:pPr>
      <w:r>
        <w:rPr>
          <w:rFonts w:ascii="Calibri" w:hAnsi="Calibri" w:cs="Times New Roman"/>
          <w:sz w:val="22"/>
          <w:szCs w:val="22"/>
        </w:rPr>
        <w:t>It is clear that in isolation, a top-down approach (international agreement, followed by national legislation with which individuals and business must comply) to managing climate change is no longer a sufficient response. Other actors are already taking steps independent of any agreement to reduce their emissions, and a “voluntary” transformation to a low-carbon economy may already be underway.</w:t>
      </w:r>
    </w:p>
    <w:p w:rsidR="009A71E9" w:rsidRDefault="009A71E9" w:rsidP="009A71E9">
      <w:pPr>
        <w:jc w:val="both"/>
        <w:rPr>
          <w:rFonts w:ascii="Calibri" w:hAnsi="Calibri" w:cs="Times New Roman"/>
          <w:sz w:val="22"/>
          <w:szCs w:val="22"/>
        </w:rPr>
      </w:pPr>
    </w:p>
    <w:p w:rsidR="009A71E9" w:rsidRDefault="009A71E9" w:rsidP="009A71E9">
      <w:pPr>
        <w:jc w:val="both"/>
        <w:rPr>
          <w:rFonts w:ascii="Calibri" w:hAnsi="Calibri" w:cs="Times New Roman"/>
          <w:sz w:val="22"/>
          <w:szCs w:val="22"/>
        </w:rPr>
      </w:pPr>
      <w:r>
        <w:rPr>
          <w:rFonts w:ascii="Calibri" w:hAnsi="Calibri" w:cs="Times New Roman"/>
          <w:sz w:val="22"/>
          <w:szCs w:val="22"/>
        </w:rPr>
        <w:t xml:space="preserve">At the same time, as indicated throughout this report, these “bottom up” initiatives have hardly, as yet, taken us any closer to the scale of global action required to protect human health against the risks of climate change, than has the decade of targets under the Kyoto Protocol. Section 1 has underlined the way in which the continued acceleration of GHG emissions and atmospheric concentrations, mapped on to changing global demographics, is making climate change an increasingly severe risk to global health. Despite the threat that climate change poses to human development, it remains but one of many factors influencing decision-makers, and rarely the most important one. Precautionary adaptation is clearly inadequate and prevailing patterns of energy production and consumption are still driving the world towards a dangerous climatic future. Current economic drivers of growth lock communities into patterns of energy use which no amount of reframing can change unless co-ordinated realignment of these drivers take place. And the argument that “others” should be doing more to tackle climate change, because they are more to blame, remains one of the most politically potent excuses for inadequate action.   </w:t>
      </w:r>
    </w:p>
    <w:p w:rsidR="009A71E9" w:rsidRDefault="009A71E9" w:rsidP="009A71E9">
      <w:pPr>
        <w:jc w:val="both"/>
        <w:rPr>
          <w:rFonts w:ascii="Calibri" w:hAnsi="Calibri" w:cs="Times New Roman"/>
          <w:sz w:val="22"/>
          <w:szCs w:val="22"/>
        </w:rPr>
      </w:pPr>
    </w:p>
    <w:p w:rsidR="009A71E9" w:rsidRDefault="009A71E9" w:rsidP="009A71E9">
      <w:pPr>
        <w:rPr>
          <w:rFonts w:ascii="Times New Roman" w:eastAsiaTheme="minorHAnsi" w:hAnsi="Times New Roman" w:cs="Times New Roman"/>
          <w:lang w:val="en-AU" w:eastAsia="en-AU"/>
        </w:rPr>
      </w:pPr>
      <w:r>
        <w:rPr>
          <w:rFonts w:ascii="Calibri" w:hAnsi="Calibri" w:cs="Times New Roman"/>
          <w:sz w:val="22"/>
          <w:szCs w:val="22"/>
        </w:rPr>
        <w:t xml:space="preserve">Thus the challenge - and the crucial test of the international process – will be finding a synthesis of “top-down” and “bottom up” forces.  An effective international agreement will be one that supports stronger efforts everywhere and at every level. The diverse worlds of bottom-up initiatives in cities, companies and many others should in turn help overcome the obstacles that impede the ability or willingness of national governments to commit to stronger national actions. To be truly effective, any future agreement will thus need not only to agree goals and aspirations, but also identify what is necessary at the international and national levels to achieve them. This may also require a mechanism, such as a ‘feedback loop’, that will motivate increased national ambitions over time.  A system of review will be a crucial component, with regular assessments of the effectiveness of national policies, actions, and targets. </w:t>
      </w:r>
    </w:p>
    <w:p w:rsidR="009A57B0" w:rsidRDefault="009A57B0">
      <w:pPr>
        <w:spacing w:after="160" w:line="259" w:lineRule="auto"/>
      </w:pPr>
      <w:r>
        <w:br w:type="page"/>
      </w:r>
    </w:p>
    <w:p w:rsidR="000340EE" w:rsidRDefault="00024E43" w:rsidP="00D036C9">
      <w:pPr>
        <w:pStyle w:val="Heading1"/>
      </w:pPr>
      <w:bookmarkStart w:id="195" w:name="_Toc415931427"/>
      <w:bookmarkStart w:id="196" w:name="_Toc417502091"/>
      <w:r>
        <w:lastRenderedPageBreak/>
        <w:t xml:space="preserve">Section </w:t>
      </w:r>
      <w:r w:rsidR="009A57B0">
        <w:t xml:space="preserve">6: Bringing the </w:t>
      </w:r>
      <w:r w:rsidR="001F2033">
        <w:t>H</w:t>
      </w:r>
      <w:r w:rsidR="000D36CB">
        <w:t xml:space="preserve">ealth </w:t>
      </w:r>
      <w:r w:rsidR="001F2033">
        <w:t xml:space="preserve">Voice </w:t>
      </w:r>
      <w:r w:rsidR="000D36CB">
        <w:t xml:space="preserve">to </w:t>
      </w:r>
      <w:r w:rsidR="001F2033">
        <w:t>Climate Change</w:t>
      </w:r>
      <w:bookmarkEnd w:id="195"/>
      <w:bookmarkEnd w:id="196"/>
    </w:p>
    <w:p w:rsidR="000340EE" w:rsidRDefault="000340EE" w:rsidP="000340EE">
      <w:pPr>
        <w:pStyle w:val="Heading2"/>
      </w:pPr>
    </w:p>
    <w:p w:rsidR="000340EE" w:rsidRPr="008E7BFA" w:rsidRDefault="000340EE" w:rsidP="000340EE">
      <w:pPr>
        <w:jc w:val="both"/>
        <w:rPr>
          <w:rFonts w:ascii="Calibri" w:hAnsi="Calibri" w:cs="Times New Roman"/>
          <w:sz w:val="22"/>
          <w:szCs w:val="22"/>
        </w:rPr>
      </w:pPr>
      <w:r w:rsidRPr="008E7BFA">
        <w:rPr>
          <w:rFonts w:ascii="Calibri" w:hAnsi="Calibri" w:cs="Times New Roman"/>
          <w:sz w:val="22"/>
          <w:szCs w:val="22"/>
        </w:rPr>
        <w:t xml:space="preserve">Our studies point to multiple ways in which the health agenda may </w:t>
      </w:r>
      <w:r>
        <w:rPr>
          <w:rFonts w:ascii="Calibri" w:hAnsi="Calibri" w:cs="Times New Roman"/>
          <w:sz w:val="22"/>
          <w:szCs w:val="22"/>
        </w:rPr>
        <w:t>help accelerate the response to climate change.</w:t>
      </w:r>
    </w:p>
    <w:p w:rsidR="000340EE" w:rsidRPr="008E7BFA" w:rsidRDefault="000340EE" w:rsidP="000340EE">
      <w:pPr>
        <w:jc w:val="both"/>
        <w:rPr>
          <w:rFonts w:ascii="Calibri" w:hAnsi="Calibri" w:cs="Times New Roman"/>
          <w:sz w:val="22"/>
          <w:szCs w:val="22"/>
        </w:rPr>
      </w:pPr>
    </w:p>
    <w:p w:rsidR="000340EE" w:rsidRDefault="000340EE" w:rsidP="000340EE">
      <w:pPr>
        <w:jc w:val="both"/>
        <w:rPr>
          <w:rFonts w:ascii="Calibri" w:hAnsi="Calibri" w:cs="Times New Roman"/>
          <w:sz w:val="22"/>
          <w:szCs w:val="22"/>
        </w:rPr>
      </w:pPr>
      <w:r w:rsidRPr="008E7BFA">
        <w:rPr>
          <w:rFonts w:ascii="Calibri" w:hAnsi="Calibri" w:cs="Times New Roman"/>
          <w:sz w:val="22"/>
          <w:szCs w:val="22"/>
        </w:rPr>
        <w:t xml:space="preserve">First are the </w:t>
      </w:r>
      <w:r w:rsidRPr="008E7BFA">
        <w:rPr>
          <w:rFonts w:ascii="Calibri" w:hAnsi="Calibri" w:cs="Times New Roman"/>
          <w:b/>
          <w:sz w:val="22"/>
          <w:szCs w:val="22"/>
        </w:rPr>
        <w:t>positive lessons for international cooperation</w:t>
      </w:r>
      <w:r w:rsidRPr="008E7BFA">
        <w:rPr>
          <w:rFonts w:ascii="Calibri" w:hAnsi="Calibri" w:cs="Times New Roman"/>
          <w:sz w:val="22"/>
          <w:szCs w:val="22"/>
        </w:rPr>
        <w:t>. No-one would suggest that national action to protect health should depend on a global, all-encompassing Treaty.  Yet few would deny that the WHO and numerous other fora of international cooperation are important in accelerating, coordinating and deepening responses to health challenges – particularly, but not exclusively, those with transboundary dimensions.  The health experience neatly illustrates the falsity of the dichotomy between “top-down” and “bottom-up”: one measure of success is how each can reinforce the other. Learning from the health experience may illuminate the most effective actions at a particular level or levels of governance, and how the multi-level governance framework and international negotiation process can mutually reinforce actions at different levels.</w:t>
      </w:r>
    </w:p>
    <w:p w:rsidR="000340EE" w:rsidRPr="008E7BFA" w:rsidRDefault="000340EE" w:rsidP="000340EE">
      <w:pPr>
        <w:jc w:val="both"/>
        <w:rPr>
          <w:rFonts w:ascii="Calibri" w:hAnsi="Calibri" w:cs="Times New Roman"/>
          <w:sz w:val="22"/>
          <w:szCs w:val="22"/>
        </w:rPr>
      </w:pPr>
    </w:p>
    <w:p w:rsidR="000340EE" w:rsidRPr="008E7BFA" w:rsidRDefault="000340EE" w:rsidP="000340EE">
      <w:pPr>
        <w:jc w:val="both"/>
        <w:rPr>
          <w:rFonts w:ascii="Calibri" w:hAnsi="Calibri" w:cs="Times New Roman"/>
          <w:sz w:val="22"/>
          <w:szCs w:val="22"/>
        </w:rPr>
      </w:pPr>
      <w:r w:rsidRPr="008E7BFA">
        <w:rPr>
          <w:rFonts w:ascii="Calibri" w:hAnsi="Calibri" w:cs="Times New Roman"/>
          <w:sz w:val="22"/>
          <w:szCs w:val="22"/>
        </w:rPr>
        <w:t xml:space="preserve">Second, </w:t>
      </w:r>
      <w:r w:rsidRPr="008E7BFA">
        <w:rPr>
          <w:rFonts w:ascii="Calibri" w:hAnsi="Calibri" w:cs="Times New Roman"/>
          <w:b/>
          <w:sz w:val="22"/>
          <w:szCs w:val="22"/>
        </w:rPr>
        <w:t>political lessons from health</w:t>
      </w:r>
      <w:r w:rsidRPr="008E7BFA">
        <w:rPr>
          <w:rFonts w:ascii="Calibri" w:hAnsi="Calibri" w:cs="Times New Roman"/>
          <w:sz w:val="22"/>
          <w:szCs w:val="22"/>
        </w:rPr>
        <w:t xml:space="preserve"> have particular, and largely encouraging, resonance for a climate dialogue increasingly characterised by pessimism about the ability to control the problem. The denialism of HIV, responsible for perhaps a million deaths, did eventually give way to global acceptance of the science. Fifty years of tobacco industry resistance and obfuscation of the science on lung cancer has to a large extent been overcome, including with recognition embodied in the WHO Framework Convention on Tobacco Control, that governments have a duty to resist such lobbying forces. </w:t>
      </w:r>
    </w:p>
    <w:p w:rsidR="000340EE" w:rsidRPr="008E7BFA" w:rsidRDefault="000340EE" w:rsidP="000340EE">
      <w:pPr>
        <w:jc w:val="both"/>
        <w:rPr>
          <w:rFonts w:ascii="Calibri" w:hAnsi="Calibri" w:cs="Times New Roman"/>
          <w:sz w:val="22"/>
          <w:szCs w:val="22"/>
        </w:rPr>
      </w:pPr>
    </w:p>
    <w:p w:rsidR="000340EE" w:rsidRPr="008E7BFA" w:rsidRDefault="000340EE" w:rsidP="000340EE">
      <w:pPr>
        <w:jc w:val="both"/>
        <w:rPr>
          <w:rFonts w:ascii="Calibri" w:hAnsi="Calibri" w:cs="Times New Roman"/>
          <w:sz w:val="22"/>
          <w:szCs w:val="22"/>
        </w:rPr>
      </w:pPr>
      <w:r w:rsidRPr="008E7BFA">
        <w:rPr>
          <w:rFonts w:ascii="Calibri" w:hAnsi="Calibri" w:cs="Times New Roman"/>
          <w:sz w:val="22"/>
          <w:szCs w:val="22"/>
        </w:rPr>
        <w:t xml:space="preserve">Third, </w:t>
      </w:r>
      <w:r w:rsidRPr="008E7BFA">
        <w:rPr>
          <w:rFonts w:ascii="Calibri" w:hAnsi="Calibri" w:cs="Times New Roman"/>
          <w:b/>
          <w:sz w:val="22"/>
          <w:szCs w:val="22"/>
        </w:rPr>
        <w:t>the health implications could and should be more effectively harnessed</w:t>
      </w:r>
      <w:r w:rsidRPr="008E7BFA">
        <w:rPr>
          <w:rFonts w:ascii="Calibri" w:hAnsi="Calibri" w:cs="Times New Roman"/>
          <w:sz w:val="22"/>
          <w:szCs w:val="22"/>
        </w:rPr>
        <w:t xml:space="preserve"> in efforts to build support for a stronger response to climate change.  The health impacts of climate change discussed in this Commission are not well represented in global negotiations, but they are a critical factor to be considered in mitigation and adaptation actions. A better understanding of the health impacts of climate change can help to drive top-down negotiations and bottom-up action in many realms. A sophisticated approach is needed, which draws on the universal desire to tackle threats to health and wellbeing (without any particular philosophical slant), in order to motivate rapid action, and a policy framing that is more human than purely environment, technology or economy focused. </w:t>
      </w:r>
    </w:p>
    <w:p w:rsidR="000340EE" w:rsidRPr="008E7BFA" w:rsidRDefault="000340EE" w:rsidP="000340EE">
      <w:pPr>
        <w:jc w:val="both"/>
        <w:rPr>
          <w:rFonts w:ascii="Calibri" w:hAnsi="Calibri" w:cs="Times New Roman"/>
          <w:sz w:val="22"/>
          <w:szCs w:val="22"/>
        </w:rPr>
      </w:pPr>
    </w:p>
    <w:p w:rsidR="000340EE" w:rsidRPr="008E7BFA" w:rsidRDefault="000340EE" w:rsidP="000340EE">
      <w:pPr>
        <w:jc w:val="both"/>
        <w:rPr>
          <w:rFonts w:ascii="Calibri" w:hAnsi="Calibri" w:cs="Times New Roman"/>
          <w:sz w:val="22"/>
          <w:szCs w:val="22"/>
        </w:rPr>
      </w:pPr>
      <w:r w:rsidRPr="008E7BFA">
        <w:rPr>
          <w:rFonts w:ascii="Calibri" w:hAnsi="Calibri" w:cs="Times New Roman"/>
          <w:sz w:val="22"/>
          <w:szCs w:val="22"/>
        </w:rPr>
        <w:t>This requires making the impact of climate change on people</w:t>
      </w:r>
      <w:r w:rsidR="00F974C3">
        <w:rPr>
          <w:rFonts w:ascii="Calibri" w:hAnsi="Calibri" w:cs="Times New Roman"/>
          <w:sz w:val="22"/>
          <w:szCs w:val="22"/>
        </w:rPr>
        <w:t xml:space="preserve"> explicit, rather than implicit.</w:t>
      </w:r>
      <w:r w:rsidRPr="008E7BFA">
        <w:rPr>
          <w:rFonts w:ascii="Calibri" w:hAnsi="Calibri" w:cs="Times New Roman"/>
          <w:sz w:val="22"/>
          <w:szCs w:val="22"/>
        </w:rPr>
        <w:t xml:space="preserve"> By considering directly how climate change will impact on human health, we are naturally drawn to the human component of climate impacts, rather than the environmental (flooding, forest fires) or more abstract effects (the economy, the climate).  This supports a ‘human framing’ of climate change, putting it in terms that may be more readily understood by the public. Fostering such public resonance can act as a powerful policy driver: public pressure is, of course, a critical factor motivating both national governments and their negotiators in the international arena.  </w:t>
      </w:r>
    </w:p>
    <w:p w:rsidR="000340EE" w:rsidRPr="008E7BFA" w:rsidRDefault="000340EE" w:rsidP="000340EE">
      <w:pPr>
        <w:jc w:val="both"/>
        <w:rPr>
          <w:rFonts w:ascii="Calibri" w:hAnsi="Calibri" w:cs="Times New Roman"/>
          <w:sz w:val="22"/>
          <w:szCs w:val="22"/>
        </w:rPr>
      </w:pPr>
    </w:p>
    <w:p w:rsidR="000340EE" w:rsidRPr="008E7BFA" w:rsidRDefault="000340EE" w:rsidP="000340EE">
      <w:pPr>
        <w:jc w:val="both"/>
        <w:rPr>
          <w:rFonts w:ascii="Calibri" w:hAnsi="Calibri" w:cs="Times New Roman"/>
          <w:sz w:val="22"/>
          <w:szCs w:val="22"/>
        </w:rPr>
      </w:pPr>
      <w:r w:rsidRPr="008E7BFA">
        <w:rPr>
          <w:rFonts w:ascii="Calibri" w:hAnsi="Calibri" w:cs="Times New Roman"/>
          <w:sz w:val="22"/>
          <w:szCs w:val="22"/>
        </w:rPr>
        <w:t xml:space="preserve">Fourth, </w:t>
      </w:r>
      <w:r w:rsidRPr="008E7BFA">
        <w:rPr>
          <w:rFonts w:ascii="Calibri" w:hAnsi="Calibri" w:cs="Times New Roman"/>
          <w:b/>
          <w:sz w:val="22"/>
          <w:szCs w:val="22"/>
        </w:rPr>
        <w:t>local health benefits could in themselves help to drive key adaptation and mitigation actions</w:t>
      </w:r>
      <w:r w:rsidRPr="008E7BFA">
        <w:rPr>
          <w:rFonts w:ascii="Calibri" w:hAnsi="Calibri" w:cs="Times New Roman"/>
          <w:sz w:val="22"/>
          <w:szCs w:val="22"/>
        </w:rPr>
        <w:t xml:space="preserve">. The numerous health co-benefits of many adaptation measures were emphasised in </w:t>
      </w:r>
      <w:r>
        <w:rPr>
          <w:rFonts w:ascii="Calibri" w:hAnsi="Calibri" w:cs="Times New Roman"/>
          <w:sz w:val="22"/>
          <w:szCs w:val="22"/>
        </w:rPr>
        <w:t>Section</w:t>
      </w:r>
      <w:r w:rsidRPr="008E7BFA">
        <w:rPr>
          <w:rFonts w:ascii="Calibri" w:hAnsi="Calibri" w:cs="Times New Roman"/>
          <w:sz w:val="22"/>
          <w:szCs w:val="22"/>
        </w:rPr>
        <w:t xml:space="preserve"> 2, whilst </w:t>
      </w:r>
      <w:r>
        <w:rPr>
          <w:rFonts w:ascii="Calibri" w:hAnsi="Calibri" w:cs="Times New Roman"/>
          <w:sz w:val="22"/>
          <w:szCs w:val="22"/>
        </w:rPr>
        <w:t>Section</w:t>
      </w:r>
      <w:r w:rsidRPr="008E7BFA">
        <w:rPr>
          <w:rFonts w:ascii="Calibri" w:hAnsi="Calibri" w:cs="Times New Roman"/>
          <w:sz w:val="22"/>
          <w:szCs w:val="22"/>
        </w:rPr>
        <w:t xml:space="preserve"> 3 noted substantial health co-benefits of many mitigation measures.  Examples of the latter include the reduced health risks and costs when populations live in well-insulated buildings, and the reduction in air pollution (and other health) damages associated with fossil fuel use – which as noted, even in strictly economic terms typically amount to several per cent of GDP, as well as adding directly to the strain on limited healthcare resources. With the direct costs of deep cuts in emissions estimated at around 10% of global expenditure on health, both the direct and indirect health dimensions should be a major driver for mitigation efforts.</w:t>
      </w:r>
      <w:r w:rsidR="00EC3AAF">
        <w:rPr>
          <w:rFonts w:ascii="Calibri" w:hAnsi="Calibri" w:cs="Times New Roman"/>
          <w:sz w:val="22"/>
          <w:szCs w:val="22"/>
        </w:rPr>
        <w:t xml:space="preserve"> It is also commonly seen that responding to climate change from a public health perspective brings together both mitigation and adaptation interventions, yielding powerful synergies.</w:t>
      </w:r>
    </w:p>
    <w:p w:rsidR="000340EE" w:rsidRPr="008E7BFA" w:rsidRDefault="000340EE" w:rsidP="000340EE">
      <w:pPr>
        <w:jc w:val="both"/>
        <w:rPr>
          <w:rFonts w:ascii="Calibri" w:hAnsi="Calibri" w:cs="Times New Roman"/>
          <w:sz w:val="22"/>
          <w:szCs w:val="22"/>
        </w:rPr>
      </w:pPr>
    </w:p>
    <w:p w:rsidR="000340EE" w:rsidRPr="008E7BFA" w:rsidRDefault="000340EE" w:rsidP="000340EE">
      <w:pPr>
        <w:jc w:val="both"/>
        <w:rPr>
          <w:rFonts w:ascii="Calibri" w:hAnsi="Calibri" w:cs="Times New Roman"/>
          <w:sz w:val="22"/>
          <w:szCs w:val="22"/>
        </w:rPr>
      </w:pPr>
      <w:r w:rsidRPr="008E7BFA">
        <w:rPr>
          <w:rFonts w:ascii="Calibri" w:hAnsi="Calibri" w:cs="Times New Roman"/>
          <w:sz w:val="22"/>
          <w:szCs w:val="22"/>
        </w:rPr>
        <w:t xml:space="preserve">Fifth, </w:t>
      </w:r>
      <w:r w:rsidRPr="008E7BFA">
        <w:rPr>
          <w:rFonts w:ascii="Calibri" w:hAnsi="Calibri" w:cs="Times New Roman"/>
          <w:b/>
          <w:sz w:val="22"/>
          <w:szCs w:val="22"/>
        </w:rPr>
        <w:t>analogies in health responses</w:t>
      </w:r>
      <w:r w:rsidRPr="008E7BFA">
        <w:rPr>
          <w:rFonts w:ascii="Calibri" w:hAnsi="Calibri" w:cs="Times New Roman"/>
          <w:sz w:val="22"/>
          <w:szCs w:val="22"/>
        </w:rPr>
        <w:t xml:space="preserve"> can also help to underline that there is rarely a single solution to complex problems: different and complementary measures are required to tackle different dimensions, and pursuing both prevention (mitigation) and treatment (adaptation) is crucial:</w:t>
      </w:r>
    </w:p>
    <w:p w:rsidR="000340EE" w:rsidRDefault="000340EE" w:rsidP="000340EE">
      <w:pPr>
        <w:pStyle w:val="ListParagraph"/>
        <w:numPr>
          <w:ilvl w:val="0"/>
          <w:numId w:val="10"/>
        </w:numPr>
        <w:jc w:val="both"/>
        <w:rPr>
          <w:rFonts w:ascii="Calibri" w:hAnsi="Calibri" w:cs="Times New Roman"/>
          <w:sz w:val="22"/>
          <w:szCs w:val="22"/>
        </w:rPr>
      </w:pPr>
      <w:r w:rsidRPr="008E7BFA">
        <w:rPr>
          <w:rFonts w:ascii="Calibri" w:hAnsi="Calibri" w:cs="Times New Roman"/>
          <w:sz w:val="22"/>
          <w:szCs w:val="22"/>
        </w:rPr>
        <w:t xml:space="preserve">With severely ill or vulnerable patients, the first step is to </w:t>
      </w:r>
      <w:r w:rsidR="00F974C3">
        <w:rPr>
          <w:rFonts w:ascii="Calibri" w:hAnsi="Calibri" w:cs="Times New Roman"/>
          <w:sz w:val="22"/>
          <w:szCs w:val="22"/>
        </w:rPr>
        <w:t>stabilise</w:t>
      </w:r>
      <w:r w:rsidRPr="008E7BFA">
        <w:rPr>
          <w:rFonts w:ascii="Calibri" w:hAnsi="Calibri" w:cs="Times New Roman"/>
          <w:sz w:val="22"/>
          <w:szCs w:val="22"/>
        </w:rPr>
        <w:t xml:space="preserve"> the patient and tackle the immediate symptoms.  Helping poor countries in particular to adapt to the impacts of climate change is similarly a priority. But as noted in </w:t>
      </w:r>
      <w:r>
        <w:rPr>
          <w:rFonts w:ascii="Calibri" w:hAnsi="Calibri" w:cs="Times New Roman"/>
          <w:sz w:val="22"/>
          <w:szCs w:val="22"/>
        </w:rPr>
        <w:t>Section</w:t>
      </w:r>
      <w:r w:rsidRPr="008E7BFA">
        <w:rPr>
          <w:rFonts w:ascii="Calibri" w:hAnsi="Calibri" w:cs="Times New Roman"/>
          <w:sz w:val="22"/>
          <w:szCs w:val="22"/>
        </w:rPr>
        <w:t xml:space="preserve"> 2, adaptation cannot indefinitely protect human health in the face of continuing and accumulating degrees of climate change, any more than tackling the symptoms will cure a serious underlying disease. </w:t>
      </w:r>
    </w:p>
    <w:p w:rsidR="000340EE" w:rsidRPr="008E7BFA" w:rsidRDefault="000340EE" w:rsidP="000340EE">
      <w:pPr>
        <w:pStyle w:val="ListParagraph"/>
        <w:jc w:val="both"/>
        <w:rPr>
          <w:rFonts w:ascii="Calibri" w:hAnsi="Calibri" w:cs="Times New Roman"/>
          <w:sz w:val="22"/>
          <w:szCs w:val="22"/>
        </w:rPr>
      </w:pPr>
    </w:p>
    <w:p w:rsidR="000340EE" w:rsidRDefault="000340EE" w:rsidP="000340EE">
      <w:pPr>
        <w:pStyle w:val="ListParagraph"/>
        <w:numPr>
          <w:ilvl w:val="0"/>
          <w:numId w:val="10"/>
        </w:numPr>
        <w:jc w:val="both"/>
        <w:rPr>
          <w:rFonts w:ascii="Calibri" w:hAnsi="Calibri" w:cs="Times New Roman"/>
          <w:sz w:val="22"/>
          <w:szCs w:val="22"/>
        </w:rPr>
      </w:pPr>
      <w:r w:rsidRPr="008E7BFA">
        <w:rPr>
          <w:rFonts w:ascii="Calibri" w:hAnsi="Calibri" w:cs="Times New Roman"/>
          <w:sz w:val="22"/>
          <w:szCs w:val="22"/>
        </w:rPr>
        <w:t xml:space="preserve">For infectious diseases, antimicrobials and a functioning health system to produce, distribute and administer drugs effectively are essential components. The obvious analogy here is with specific greenhouse gas mitigation policies, like energy efficiency programmes and technology programmes that span the full spectrum from R&amp;D through to policies to support industrial scale deployment and related infrastructure. </w:t>
      </w:r>
    </w:p>
    <w:p w:rsidR="000340EE" w:rsidRPr="008E7BFA" w:rsidRDefault="000340EE" w:rsidP="000340EE">
      <w:pPr>
        <w:pStyle w:val="ListParagraph"/>
        <w:jc w:val="both"/>
        <w:rPr>
          <w:rFonts w:ascii="Calibri" w:hAnsi="Calibri" w:cs="Times New Roman"/>
          <w:sz w:val="22"/>
          <w:szCs w:val="22"/>
        </w:rPr>
      </w:pPr>
    </w:p>
    <w:p w:rsidR="000340EE" w:rsidRDefault="000340EE" w:rsidP="000340EE">
      <w:pPr>
        <w:pStyle w:val="ListParagraph"/>
        <w:numPr>
          <w:ilvl w:val="0"/>
          <w:numId w:val="10"/>
        </w:numPr>
        <w:jc w:val="both"/>
        <w:rPr>
          <w:rFonts w:ascii="Calibri" w:hAnsi="Calibri" w:cs="Times New Roman"/>
          <w:sz w:val="22"/>
          <w:szCs w:val="22"/>
        </w:rPr>
      </w:pPr>
      <w:r w:rsidRPr="008E7BFA">
        <w:rPr>
          <w:rFonts w:ascii="Calibri" w:hAnsi="Calibri" w:cs="Times New Roman"/>
          <w:sz w:val="22"/>
          <w:szCs w:val="22"/>
        </w:rPr>
        <w:t>Deeply-ingrained patterns of behaviour are best addressed by comprehensive approaches and the use of multiple policy levers. Evidence from studies of health behaviour change suggests that, to be sustained, changes in the individual’s everyday environments are required.  Structural levers are also important for addressing social inequalities in harmful behaviours.  Such evidence could be harnessed to inform policies to address climate change: for example, the behaviour change checklists developed to guid</w:t>
      </w:r>
      <w:r w:rsidR="00724C71">
        <w:rPr>
          <w:rFonts w:ascii="Calibri" w:hAnsi="Calibri" w:cs="Times New Roman"/>
          <w:sz w:val="22"/>
          <w:szCs w:val="22"/>
        </w:rPr>
        <w:t xml:space="preserve">e policy to reduce tobacco use </w:t>
      </w:r>
      <w:r w:rsidRPr="008E7BFA">
        <w:rPr>
          <w:rFonts w:ascii="Calibri" w:hAnsi="Calibri" w:cs="Times New Roman"/>
          <w:sz w:val="22"/>
          <w:szCs w:val="22"/>
        </w:rPr>
        <w:t>and tackle harmful alcohol consumption may be particularly useful.  Applying lessons from health behaviour change may help to accelerate policy development, building an evidence platform for interventions to promote mitigative and adaptive behaviours.</w:t>
      </w:r>
    </w:p>
    <w:p w:rsidR="000340EE" w:rsidRPr="008E7BFA" w:rsidRDefault="000340EE" w:rsidP="000340EE">
      <w:pPr>
        <w:pStyle w:val="ListParagraph"/>
        <w:jc w:val="both"/>
        <w:rPr>
          <w:rFonts w:ascii="Calibri" w:hAnsi="Calibri" w:cs="Times New Roman"/>
          <w:sz w:val="22"/>
          <w:szCs w:val="22"/>
        </w:rPr>
      </w:pPr>
    </w:p>
    <w:p w:rsidR="000340EE" w:rsidRPr="008E7BFA" w:rsidRDefault="000340EE" w:rsidP="000340EE">
      <w:pPr>
        <w:pStyle w:val="ListParagraph"/>
        <w:numPr>
          <w:ilvl w:val="0"/>
          <w:numId w:val="10"/>
        </w:numPr>
        <w:jc w:val="both"/>
        <w:rPr>
          <w:rFonts w:ascii="Calibri" w:hAnsi="Calibri" w:cs="Times New Roman"/>
          <w:sz w:val="22"/>
          <w:szCs w:val="22"/>
        </w:rPr>
      </w:pPr>
      <w:r w:rsidRPr="008E7BFA">
        <w:rPr>
          <w:rFonts w:ascii="Calibri" w:hAnsi="Calibri" w:cs="Times New Roman"/>
          <w:sz w:val="22"/>
          <w:szCs w:val="22"/>
        </w:rPr>
        <w:t xml:space="preserve">As with the evolution of drug-resistant bacteria, the challenges of drug addiction, or the rising health problems of obesity, medical fixes cannot solve all health problems. Similarly, in our energy systems, specific mitigation policies and projects are constantly faced with the ingenuity of the fossil fuel industry in finding and driving down the costs of extracting new fossil fuel resources and marketing them. The long-term antidote is more analogous to programmes of sustained </w:t>
      </w:r>
      <w:r w:rsidR="0004392F">
        <w:rPr>
          <w:rFonts w:ascii="Calibri" w:hAnsi="Calibri" w:cs="Times New Roman"/>
          <w:sz w:val="22"/>
          <w:szCs w:val="22"/>
        </w:rPr>
        <w:t>immunization</w:t>
      </w:r>
      <w:r w:rsidRPr="008E7BFA">
        <w:rPr>
          <w:rFonts w:ascii="Calibri" w:hAnsi="Calibri" w:cs="Times New Roman"/>
          <w:sz w:val="22"/>
          <w:szCs w:val="22"/>
        </w:rPr>
        <w:t xml:space="preserve">, education, incentives and enforcement, all oriented towards supporting healthier lives.  Likewise, avoiding dangerous climate change may ultimately require more fundamental shifts in human notions of wellbeing and prosperity, away from consumption and material wealth as the principal human aspirations, towards a simpler life that is both environmentally sustainable, and ultimately more fulfilling too. </w:t>
      </w:r>
    </w:p>
    <w:p w:rsidR="000340EE" w:rsidRPr="00024E43" w:rsidRDefault="000340EE" w:rsidP="000340EE">
      <w:pPr>
        <w:tabs>
          <w:tab w:val="left" w:pos="3060"/>
        </w:tabs>
        <w:jc w:val="both"/>
        <w:rPr>
          <w:sz w:val="22"/>
          <w:szCs w:val="22"/>
        </w:rPr>
      </w:pPr>
    </w:p>
    <w:p w:rsidR="000340EE" w:rsidRPr="00024E43" w:rsidRDefault="000340EE" w:rsidP="000340EE">
      <w:pPr>
        <w:tabs>
          <w:tab w:val="left" w:pos="3060"/>
        </w:tabs>
        <w:jc w:val="both"/>
        <w:rPr>
          <w:sz w:val="22"/>
          <w:szCs w:val="22"/>
        </w:rPr>
      </w:pPr>
    </w:p>
    <w:p w:rsidR="000340EE" w:rsidRPr="008E7BFA" w:rsidRDefault="000340EE" w:rsidP="000340EE">
      <w:pPr>
        <w:jc w:val="both"/>
        <w:rPr>
          <w:rFonts w:ascii="Calibri" w:hAnsi="Calibri" w:cs="Times New Roman"/>
          <w:sz w:val="22"/>
          <w:szCs w:val="22"/>
        </w:rPr>
      </w:pPr>
      <w:r w:rsidRPr="008E7BFA">
        <w:rPr>
          <w:rFonts w:ascii="Calibri" w:hAnsi="Calibri" w:cs="Times New Roman"/>
          <w:sz w:val="22"/>
          <w:szCs w:val="22"/>
        </w:rPr>
        <w:t>The single most powerful strategic instrument to inoculate human health against the risks of climate change would be for governments to introduce strong and sustained carbon pricing, in ways pledged to strengthen over time until the problem is brought under control. Like tobacco taxation, it would send powerful signals throughout the system – to producers and users – that the time has come to wean our economies off fossil fuels, starting with the most carbon intensive and damaging</w:t>
      </w:r>
      <w:r w:rsidR="00A30AB5">
        <w:rPr>
          <w:rFonts w:ascii="Calibri" w:hAnsi="Calibri" w:cs="Times New Roman"/>
          <w:sz w:val="22"/>
          <w:szCs w:val="22"/>
        </w:rPr>
        <w:t xml:space="preserve"> like coal</w:t>
      </w:r>
      <w:r w:rsidRPr="008E7BFA">
        <w:rPr>
          <w:rFonts w:ascii="Calibri" w:hAnsi="Calibri" w:cs="Times New Roman"/>
          <w:sz w:val="22"/>
          <w:szCs w:val="22"/>
        </w:rPr>
        <w:t xml:space="preserve">. In addition to the direct incentives, the revenues could be directed to measures across the spectrum of adaptation, low-carbon innovation, and the global diffusion of better technologies and practices. As outlined in </w:t>
      </w:r>
      <w:r>
        <w:rPr>
          <w:rFonts w:ascii="Calibri" w:hAnsi="Calibri" w:cs="Times New Roman"/>
          <w:sz w:val="22"/>
          <w:szCs w:val="22"/>
        </w:rPr>
        <w:t>Section</w:t>
      </w:r>
      <w:r w:rsidRPr="008E7BFA">
        <w:rPr>
          <w:rFonts w:ascii="Calibri" w:hAnsi="Calibri" w:cs="Times New Roman"/>
          <w:sz w:val="22"/>
          <w:szCs w:val="22"/>
        </w:rPr>
        <w:t xml:space="preserve"> 4, carbon pricing thus has immense potential, particularly when embedded in comprehensive policy packages.  This most powerful antidote, however, still faces many political obstacles.  </w:t>
      </w:r>
    </w:p>
    <w:p w:rsidR="000340EE" w:rsidRPr="008E7BFA" w:rsidRDefault="000340EE" w:rsidP="000340EE">
      <w:pPr>
        <w:jc w:val="both"/>
        <w:rPr>
          <w:rFonts w:ascii="Calibri" w:hAnsi="Calibri" w:cs="Times New Roman"/>
          <w:sz w:val="22"/>
          <w:szCs w:val="22"/>
        </w:rPr>
      </w:pPr>
    </w:p>
    <w:p w:rsidR="000340EE" w:rsidRPr="008E7BFA" w:rsidRDefault="000340EE" w:rsidP="000340EE">
      <w:pPr>
        <w:jc w:val="both"/>
        <w:rPr>
          <w:rFonts w:ascii="Calibri" w:hAnsi="Calibri" w:cs="Times New Roman"/>
          <w:sz w:val="22"/>
          <w:szCs w:val="22"/>
        </w:rPr>
      </w:pPr>
      <w:r w:rsidRPr="008E7BFA">
        <w:rPr>
          <w:rFonts w:ascii="Calibri" w:hAnsi="Calibri" w:cs="Times New Roman"/>
          <w:sz w:val="22"/>
          <w:szCs w:val="22"/>
        </w:rPr>
        <w:t xml:space="preserve">The crux of the matter is that stabilising the atmosphere at any level ultimately requires reducing net emissions to zero.  A healthy patient cannot continue with indefinitely rising levels of a toxin in the </w:t>
      </w:r>
      <w:r w:rsidRPr="008E7BFA">
        <w:rPr>
          <w:rFonts w:ascii="Calibri" w:hAnsi="Calibri" w:cs="Times New Roman"/>
          <w:sz w:val="22"/>
          <w:szCs w:val="22"/>
        </w:rPr>
        <w:lastRenderedPageBreak/>
        <w:t>blood; even nutrients essential to a healthy body (like salt) can become damaging if not stabilised. The climate change analogy is obvious and focuses global attention on the need to stabilise atmospheric concentrations, which in climate terms, means getting net emissions (that is, emissions minus removals by forests, oceans and other sinks) to zero. On most scientific indicators, it means getting to zero during the second half of this century.</w:t>
      </w:r>
    </w:p>
    <w:p w:rsidR="000340EE" w:rsidRPr="008E7BFA" w:rsidRDefault="000340EE" w:rsidP="000340EE">
      <w:pPr>
        <w:pStyle w:val="ListParagraph"/>
        <w:jc w:val="both"/>
        <w:rPr>
          <w:rFonts w:ascii="Calibri" w:hAnsi="Calibri" w:cs="Times New Roman"/>
          <w:sz w:val="22"/>
          <w:szCs w:val="22"/>
        </w:rPr>
      </w:pPr>
    </w:p>
    <w:p w:rsidR="000340EE" w:rsidRPr="002912E8" w:rsidRDefault="000340EE" w:rsidP="004349AE">
      <w:pPr>
        <w:jc w:val="both"/>
      </w:pPr>
      <w:r w:rsidRPr="008E7BFA">
        <w:rPr>
          <w:rFonts w:ascii="Calibri" w:hAnsi="Calibri" w:cs="Times New Roman"/>
          <w:sz w:val="22"/>
          <w:szCs w:val="22"/>
        </w:rPr>
        <w:t>A unifying goal</w:t>
      </w:r>
      <w:r>
        <w:rPr>
          <w:rFonts w:ascii="Calibri" w:hAnsi="Calibri" w:cs="Times New Roman"/>
          <w:sz w:val="22"/>
          <w:szCs w:val="22"/>
        </w:rPr>
        <w:t>,</w:t>
      </w:r>
      <w:r w:rsidRPr="008E7BFA">
        <w:rPr>
          <w:rFonts w:ascii="Calibri" w:hAnsi="Calibri" w:cs="Times New Roman"/>
          <w:sz w:val="22"/>
          <w:szCs w:val="22"/>
        </w:rPr>
        <w:t xml:space="preserve"> therefore may be a commitment to achieve zero emissions based on multiple partnerships involving different actors. If any region can achieve ‘net zero’, there is no fundamental reason why that should not become global.  Getting to net zero also focuses us on a common task – how to get there – which is potentially harder for the societies that have become more dependent on fossil fuels, whilst </w:t>
      </w:r>
      <w:r>
        <w:rPr>
          <w:rFonts w:ascii="Calibri" w:hAnsi="Calibri" w:cs="Times New Roman"/>
          <w:sz w:val="22"/>
          <w:szCs w:val="22"/>
        </w:rPr>
        <w:t>in</w:t>
      </w:r>
      <w:r w:rsidRPr="008E7BFA">
        <w:rPr>
          <w:rFonts w:ascii="Calibri" w:hAnsi="Calibri" w:cs="Times New Roman"/>
          <w:sz w:val="22"/>
          <w:szCs w:val="22"/>
        </w:rPr>
        <w:t xml:space="preserve"> developing countries</w:t>
      </w:r>
      <w:r>
        <w:rPr>
          <w:rFonts w:ascii="Calibri" w:hAnsi="Calibri" w:cs="Times New Roman"/>
          <w:sz w:val="22"/>
          <w:szCs w:val="22"/>
        </w:rPr>
        <w:t>,</w:t>
      </w:r>
      <w:r w:rsidRPr="008E7BFA">
        <w:rPr>
          <w:rFonts w:ascii="Calibri" w:hAnsi="Calibri" w:cs="Times New Roman"/>
          <w:sz w:val="22"/>
          <w:szCs w:val="22"/>
        </w:rPr>
        <w:t xml:space="preserve"> it sends a clear signal that the sooner their emissions can peak, the better for their own path towards that common goal.  If the goal is ‘net zero’, all actors in all societies have a sense of the direction of the international framework for action in order to protect everyone’s health against the risks posed by continual increases in the global concentration of heat-trapping gases.  </w:t>
      </w:r>
    </w:p>
    <w:p w:rsidR="00F72F76" w:rsidRPr="001D39CF" w:rsidRDefault="00F72F76" w:rsidP="00FD2424">
      <w:pPr>
        <w:pStyle w:val="Heading1"/>
      </w:pPr>
    </w:p>
    <w:p w:rsidR="00F72F76" w:rsidRPr="001D39CF" w:rsidRDefault="00C95CF4" w:rsidP="00D036C9">
      <w:pPr>
        <w:pStyle w:val="Heading2"/>
        <w:rPr>
          <w:rFonts w:ascii="Calibri" w:hAnsi="Calibri"/>
        </w:rPr>
      </w:pPr>
      <w:bookmarkStart w:id="197" w:name="_Toc415931428"/>
      <w:bookmarkStart w:id="198" w:name="_Toc402956414"/>
      <w:bookmarkStart w:id="199" w:name="_Toc417502092"/>
      <w:r>
        <w:t>A Countdown to 2030</w:t>
      </w:r>
      <w:r w:rsidR="00341FD1">
        <w:t>:</w:t>
      </w:r>
      <w:r w:rsidR="00341FD1" w:rsidRPr="009F6910">
        <w:t xml:space="preserve"> Global Health and Climate Action</w:t>
      </w:r>
      <w:bookmarkEnd w:id="197"/>
      <w:bookmarkEnd w:id="198"/>
      <w:bookmarkEnd w:id="199"/>
    </w:p>
    <w:p w:rsidR="00F72F76" w:rsidRPr="00BD2C53" w:rsidRDefault="00F72F76" w:rsidP="00F72F76">
      <w:pPr>
        <w:jc w:val="both"/>
        <w:rPr>
          <w:rFonts w:ascii="Calibri" w:hAnsi="Calibri" w:cs="Times New Roman"/>
          <w:sz w:val="22"/>
          <w:szCs w:val="22"/>
        </w:rPr>
      </w:pPr>
      <w:r w:rsidRPr="00BD2C53">
        <w:rPr>
          <w:rFonts w:ascii="Calibri" w:hAnsi="Calibri" w:cs="Times New Roman"/>
          <w:sz w:val="22"/>
          <w:szCs w:val="22"/>
        </w:rPr>
        <w:t>If we are to minimise the health impacts of climate change, we must monitor and hold governments accountable for progress and action on emissions reduction and adaptation. One might argue that action on climate change is already effectively addressed by the IPCC, World Bank, Conference of the Parties, UNFCCC, WHO and the G20. We believe, however, that the health dimension of the climate change crisis has been neglected. There are four reasons why an independent accountability and review process is warranted:</w:t>
      </w:r>
    </w:p>
    <w:p w:rsidR="00F72F76" w:rsidRPr="00024E43" w:rsidRDefault="00F72F76" w:rsidP="00F72F76">
      <w:pPr>
        <w:jc w:val="both"/>
        <w:rPr>
          <w:rFonts w:ascii="Calibri" w:hAnsi="Calibri"/>
          <w:sz w:val="22"/>
          <w:szCs w:val="22"/>
        </w:rPr>
      </w:pPr>
    </w:p>
    <w:p w:rsidR="00F72F76" w:rsidRPr="00024E43" w:rsidRDefault="00F72F76" w:rsidP="004521E5">
      <w:pPr>
        <w:pStyle w:val="ListParagraph"/>
        <w:numPr>
          <w:ilvl w:val="0"/>
          <w:numId w:val="8"/>
        </w:numPr>
        <w:jc w:val="both"/>
        <w:rPr>
          <w:rFonts w:ascii="Calibri" w:hAnsi="Calibri"/>
          <w:sz w:val="22"/>
          <w:szCs w:val="22"/>
        </w:rPr>
      </w:pPr>
      <w:r w:rsidRPr="00BD2C53">
        <w:rPr>
          <w:rFonts w:ascii="Calibri" w:hAnsi="Calibri" w:cs="Times New Roman"/>
          <w:sz w:val="22"/>
          <w:szCs w:val="22"/>
        </w:rPr>
        <w:t>The size of the health threat from climate change is on a scale quite different from localised epidemics or specific diseases. On current emissions trajectories there could be serious population health impacts in every region of the world within the next fifty years.</w:t>
      </w:r>
    </w:p>
    <w:p w:rsidR="00F72F76" w:rsidRPr="00024E43" w:rsidRDefault="00F72F76" w:rsidP="004521E5">
      <w:pPr>
        <w:pStyle w:val="ListParagraph"/>
        <w:numPr>
          <w:ilvl w:val="0"/>
          <w:numId w:val="8"/>
        </w:numPr>
        <w:jc w:val="both"/>
        <w:rPr>
          <w:rFonts w:ascii="Calibri" w:hAnsi="Calibri"/>
          <w:sz w:val="22"/>
          <w:szCs w:val="22"/>
        </w:rPr>
      </w:pPr>
      <w:r w:rsidRPr="00BD2C53">
        <w:rPr>
          <w:rFonts w:ascii="Calibri" w:hAnsi="Calibri" w:cs="Times New Roman"/>
          <w:sz w:val="22"/>
          <w:szCs w:val="22"/>
        </w:rPr>
        <w:t>There is a widespread lack of awareness of climate change as a health issue.</w:t>
      </w:r>
      <w:r w:rsidR="00E13392">
        <w:rPr>
          <w:rFonts w:ascii="Calibri" w:hAnsi="Calibri" w:cs="Times New Roman"/>
          <w:sz w:val="22"/>
          <w:szCs w:val="22"/>
        </w:rPr>
        <w:fldChar w:fldCharType="begin"/>
      </w:r>
      <w:r w:rsidR="00A43B13">
        <w:rPr>
          <w:rFonts w:ascii="Calibri" w:hAnsi="Calibri" w:cs="Times New Roman"/>
          <w:sz w:val="22"/>
          <w:szCs w:val="22"/>
        </w:rPr>
        <w:instrText xml:space="preserve"> ADDIN EN.CITE &lt;EndNote&gt;&lt;Cite&gt;&lt;Author&gt;Leiserowitz&lt;/Author&gt;&lt;Year&gt;2014&lt;/Year&gt;&lt;RecNum&gt;1426&lt;/RecNum&gt;&lt;DisplayText&gt;&lt;style face="superscript"&gt;191&lt;/style&gt;&lt;/DisplayText&gt;&lt;record&gt;&lt;rec-number&gt;1426&lt;/rec-number&gt;&lt;foreign-keys&gt;&lt;key app="EN" db-id="wtftd20rmszxx0ettxy5exwdf90wv22s2dsf" timestamp="1419295325"&gt;1426&lt;/key&gt;&lt;/foreign-keys&gt;&lt;ref-type name="Report"&gt;27&lt;/ref-type&gt;&lt;contributors&gt;&lt;authors&gt;&lt;author&gt;A Leiserowitz&lt;/author&gt;&lt;author&gt;E Maibach&lt;/author&gt;&lt;author&gt;C Roser-Renouf&lt;/author&gt;&lt;author&gt;G Feinberg&lt;/author&gt;&lt;author&gt;S Rosenthal&lt;/author&gt;&lt;author&gt;J Marlon&lt;/author&gt;&lt;/authors&gt;&lt;/contributors&gt;&lt;titles&gt;&lt;title&gt;Public Perceptions of the Health Consequences of Global Warming&lt;/title&gt;&lt;/titles&gt;&lt;dates&gt;&lt;year&gt;2014&lt;/year&gt;&lt;/dates&gt;&lt;pub-location&gt;New Haven, CT&lt;/pub-location&gt;&lt;publisher&gt; Yale University and George Mason University&lt;/publisher&gt;&lt;urls&gt;&lt;/urls&gt;&lt;/record&gt;&lt;/Cite&gt;&lt;/EndNote&gt;</w:instrText>
      </w:r>
      <w:r w:rsidR="00E13392">
        <w:rPr>
          <w:rFonts w:ascii="Calibri" w:hAnsi="Calibri" w:cs="Times New Roman"/>
          <w:sz w:val="22"/>
          <w:szCs w:val="22"/>
        </w:rPr>
        <w:fldChar w:fldCharType="separate"/>
      </w:r>
      <w:r w:rsidR="00A43B13" w:rsidRPr="00A43B13">
        <w:rPr>
          <w:rFonts w:ascii="Calibri" w:hAnsi="Calibri" w:cs="Times New Roman"/>
          <w:noProof/>
          <w:sz w:val="22"/>
          <w:szCs w:val="22"/>
          <w:vertAlign w:val="superscript"/>
        </w:rPr>
        <w:t>191</w:t>
      </w:r>
      <w:r w:rsidR="00E13392">
        <w:rPr>
          <w:rFonts w:ascii="Calibri" w:hAnsi="Calibri" w:cs="Times New Roman"/>
          <w:sz w:val="22"/>
          <w:szCs w:val="22"/>
        </w:rPr>
        <w:fldChar w:fldCharType="end"/>
      </w:r>
      <w:r w:rsidRPr="00024E43">
        <w:rPr>
          <w:rFonts w:ascii="Calibri" w:hAnsi="Calibri" w:cs="Times"/>
          <w:sz w:val="22"/>
          <w:szCs w:val="22"/>
        </w:rPr>
        <w:t xml:space="preserve"> </w:t>
      </w:r>
    </w:p>
    <w:p w:rsidR="00F72F76" w:rsidRPr="00024E43" w:rsidRDefault="00F72F76" w:rsidP="004521E5">
      <w:pPr>
        <w:pStyle w:val="ListParagraph"/>
        <w:numPr>
          <w:ilvl w:val="0"/>
          <w:numId w:val="8"/>
        </w:numPr>
        <w:jc w:val="both"/>
        <w:rPr>
          <w:rFonts w:ascii="Calibri" w:hAnsi="Calibri"/>
          <w:sz w:val="22"/>
          <w:szCs w:val="22"/>
        </w:rPr>
      </w:pPr>
      <w:r w:rsidRPr="00BD2C53">
        <w:rPr>
          <w:rFonts w:ascii="Calibri" w:hAnsi="Calibri" w:cs="Times New Roman"/>
          <w:sz w:val="22"/>
          <w:szCs w:val="22"/>
        </w:rPr>
        <w:t>Several independent accountability groups have brought energy, new ideas and advocacy to other global health issues. For example, the Institute of Health Metrics and Evaluation in Seattle have led analyses of the Global Burden of Disease, the Countdown to</w:t>
      </w:r>
      <w:r w:rsidR="00F974C3">
        <w:rPr>
          <w:rFonts w:ascii="Calibri" w:hAnsi="Calibri" w:cs="Times New Roman"/>
          <w:sz w:val="22"/>
          <w:szCs w:val="22"/>
        </w:rPr>
        <w:t xml:space="preserve"> 2015</w:t>
      </w:r>
      <w:r w:rsidRPr="00BD2C53">
        <w:rPr>
          <w:rFonts w:ascii="Calibri" w:hAnsi="Calibri" w:cs="Times New Roman"/>
          <w:sz w:val="22"/>
          <w:szCs w:val="22"/>
        </w:rPr>
        <w:t xml:space="preserve"> child survival group has monitored global progress since 2003, and the Global</w:t>
      </w:r>
      <w:r w:rsidR="00F974C3">
        <w:rPr>
          <w:rFonts w:ascii="Calibri" w:hAnsi="Calibri" w:cs="Times New Roman"/>
          <w:sz w:val="22"/>
          <w:szCs w:val="22"/>
        </w:rPr>
        <w:t xml:space="preserve"> Health</w:t>
      </w:r>
      <w:r w:rsidRPr="00BD2C53">
        <w:rPr>
          <w:rFonts w:ascii="Calibri" w:hAnsi="Calibri" w:cs="Times New Roman"/>
          <w:sz w:val="22"/>
          <w:szCs w:val="22"/>
        </w:rPr>
        <w:t xml:space="preserve"> 2035 group have stimulated new ideas about global health financin</w:t>
      </w:r>
      <w:r w:rsidR="001F779B">
        <w:rPr>
          <w:rFonts w:ascii="Calibri" w:hAnsi="Calibri" w:cs="Times New Roman"/>
          <w:sz w:val="22"/>
          <w:szCs w:val="22"/>
        </w:rPr>
        <w:t>g.</w:t>
      </w:r>
      <w:r w:rsidR="00B50254" w:rsidDel="00B50254">
        <w:rPr>
          <w:rFonts w:ascii="Calibri" w:hAnsi="Calibri" w:cs="Times New Roman"/>
          <w:sz w:val="22"/>
          <w:szCs w:val="22"/>
        </w:rPr>
        <w:t xml:space="preserve"> </w:t>
      </w:r>
    </w:p>
    <w:p w:rsidR="00F72F76" w:rsidRPr="00024E43" w:rsidRDefault="00F72F76" w:rsidP="004521E5">
      <w:pPr>
        <w:pStyle w:val="ListParagraph"/>
        <w:numPr>
          <w:ilvl w:val="0"/>
          <w:numId w:val="8"/>
        </w:numPr>
        <w:jc w:val="both"/>
        <w:rPr>
          <w:rFonts w:ascii="Calibri" w:hAnsi="Calibri"/>
          <w:sz w:val="22"/>
          <w:szCs w:val="22"/>
        </w:rPr>
      </w:pPr>
      <w:r w:rsidRPr="00BD2C53">
        <w:rPr>
          <w:rFonts w:ascii="Calibri" w:hAnsi="Calibri" w:cs="Times New Roman"/>
          <w:sz w:val="22"/>
          <w:szCs w:val="22"/>
        </w:rPr>
        <w:t>Perhaps the paramount reason for an independent review is the authority of health professional voices with policy-makers and communities. Doctors and nurses may be trusted more than environmentalists. They also bring experience of collating evidence and conducting advocacy to cut deaths as a result of tobacco, road traffic accidents, infectious disease and lifestyle related NCDs.</w:t>
      </w:r>
    </w:p>
    <w:p w:rsidR="00F72F76" w:rsidRPr="00024E43" w:rsidRDefault="00F72F76" w:rsidP="00F72F76">
      <w:pPr>
        <w:pStyle w:val="ListParagraph"/>
        <w:jc w:val="both"/>
        <w:rPr>
          <w:rFonts w:ascii="Calibri" w:hAnsi="Calibri"/>
          <w:sz w:val="22"/>
          <w:szCs w:val="22"/>
        </w:rPr>
      </w:pPr>
    </w:p>
    <w:p w:rsidR="00F72F76" w:rsidRPr="001D39CF" w:rsidRDefault="00F72F76" w:rsidP="00F72F76">
      <w:pPr>
        <w:rPr>
          <w:rFonts w:ascii="Calibri" w:hAnsi="Calibri"/>
        </w:rPr>
      </w:pPr>
    </w:p>
    <w:p w:rsidR="00F72F76" w:rsidRDefault="00244AA9" w:rsidP="00F72F76">
      <w:pPr>
        <w:jc w:val="both"/>
        <w:rPr>
          <w:rFonts w:ascii="Calibri" w:hAnsi="Calibri" w:cs="Times New Roman"/>
          <w:sz w:val="22"/>
        </w:rPr>
      </w:pPr>
      <w:r>
        <w:rPr>
          <w:rFonts w:ascii="Calibri" w:hAnsi="Calibri" w:cs="Times New Roman"/>
          <w:sz w:val="22"/>
        </w:rPr>
        <w:t>W</w:t>
      </w:r>
      <w:r w:rsidR="00F72F76" w:rsidRPr="0077135C">
        <w:rPr>
          <w:rFonts w:ascii="Calibri" w:hAnsi="Calibri" w:cs="Times New Roman"/>
          <w:sz w:val="22"/>
        </w:rPr>
        <w:t>e propose the formation of an independent int</w:t>
      </w:r>
      <w:r w:rsidR="00F72F76">
        <w:rPr>
          <w:rFonts w:ascii="Calibri" w:hAnsi="Calibri" w:cs="Times New Roman"/>
          <w:sz w:val="22"/>
        </w:rPr>
        <w:t>ernational ‘Countdown to 203</w:t>
      </w:r>
      <w:r w:rsidR="005B11FF">
        <w:rPr>
          <w:rFonts w:ascii="Calibri" w:hAnsi="Calibri" w:cs="Times New Roman"/>
          <w:sz w:val="22"/>
        </w:rPr>
        <w:t>0</w:t>
      </w:r>
      <w:r w:rsidR="00F72F76">
        <w:rPr>
          <w:rFonts w:ascii="Calibri" w:hAnsi="Calibri" w:cs="Times New Roman"/>
          <w:sz w:val="22"/>
        </w:rPr>
        <w:t xml:space="preserve">: </w:t>
      </w:r>
      <w:r w:rsidR="00341FD1">
        <w:rPr>
          <w:rFonts w:ascii="Calibri" w:hAnsi="Calibri" w:cs="Times New Roman"/>
          <w:sz w:val="22"/>
        </w:rPr>
        <w:t>Global Health and Climate Action</w:t>
      </w:r>
      <w:r w:rsidR="00F72F76">
        <w:rPr>
          <w:rFonts w:ascii="Calibri" w:hAnsi="Calibri" w:cs="Times New Roman"/>
          <w:sz w:val="22"/>
        </w:rPr>
        <w:t xml:space="preserve"> coalition, </w:t>
      </w:r>
      <w:r w:rsidR="00F72F76" w:rsidRPr="0077135C">
        <w:rPr>
          <w:rFonts w:ascii="Calibri" w:hAnsi="Calibri" w:cs="Times New Roman"/>
          <w:sz w:val="22"/>
        </w:rPr>
        <w:t xml:space="preserve">along the same lines as other successful global health monitoring groups. We recommend that a broad international coalition of experts across disciplines from health to </w:t>
      </w:r>
      <w:r w:rsidR="00F72F76">
        <w:rPr>
          <w:rFonts w:ascii="Calibri" w:hAnsi="Calibri" w:cs="Times New Roman"/>
          <w:sz w:val="22"/>
        </w:rPr>
        <w:t xml:space="preserve">the </w:t>
      </w:r>
      <w:r w:rsidR="00F72F76" w:rsidRPr="0077135C">
        <w:rPr>
          <w:rFonts w:ascii="Calibri" w:hAnsi="Calibri" w:cs="Times New Roman"/>
          <w:sz w:val="22"/>
        </w:rPr>
        <w:t xml:space="preserve">environment, energy, economics and policy, together with lay observers, drawn from every region of the world, should monitor and report every </w:t>
      </w:r>
      <w:r w:rsidR="00F974C3">
        <w:rPr>
          <w:rFonts w:ascii="Calibri" w:hAnsi="Calibri" w:cs="Times New Roman"/>
          <w:sz w:val="22"/>
        </w:rPr>
        <w:t>2</w:t>
      </w:r>
      <w:r w:rsidR="00F72F76" w:rsidRPr="0077135C">
        <w:rPr>
          <w:rFonts w:ascii="Calibri" w:hAnsi="Calibri" w:cs="Times New Roman"/>
          <w:sz w:val="22"/>
        </w:rPr>
        <w:t xml:space="preserve"> years. The report would provide a summary of evidence on (i) the health impacts of climate change (ii) progress </w:t>
      </w:r>
      <w:r>
        <w:rPr>
          <w:rFonts w:ascii="Calibri" w:hAnsi="Calibri" w:cs="Times New Roman"/>
          <w:sz w:val="22"/>
        </w:rPr>
        <w:t>in mitigation policies and the extent to which they consider and take advantage of the health co-benefits</w:t>
      </w:r>
      <w:r w:rsidR="00F72F76" w:rsidRPr="0077135C">
        <w:rPr>
          <w:rFonts w:ascii="Calibri" w:hAnsi="Calibri" w:cs="Times New Roman"/>
          <w:sz w:val="22"/>
        </w:rPr>
        <w:t>, and (iii) progress with broader adaptation action to reduce population vul</w:t>
      </w:r>
      <w:r w:rsidR="00F72F76">
        <w:rPr>
          <w:rFonts w:ascii="Calibri" w:hAnsi="Calibri" w:cs="Times New Roman"/>
          <w:sz w:val="22"/>
        </w:rPr>
        <w:t xml:space="preserve">nerability and to build climate </w:t>
      </w:r>
      <w:r w:rsidR="00F72F76" w:rsidRPr="0077135C">
        <w:rPr>
          <w:rFonts w:ascii="Calibri" w:hAnsi="Calibri" w:cs="Times New Roman"/>
          <w:sz w:val="22"/>
        </w:rPr>
        <w:t xml:space="preserve">resilience and to implement low carbon, sustainable health systems.  </w:t>
      </w:r>
    </w:p>
    <w:p w:rsidR="00F72F76" w:rsidRPr="001D39CF" w:rsidRDefault="00F72F76" w:rsidP="00F72F76">
      <w:pPr>
        <w:jc w:val="both"/>
        <w:rPr>
          <w:rFonts w:ascii="Calibri" w:hAnsi="Calibri"/>
        </w:rPr>
      </w:pPr>
    </w:p>
    <w:p w:rsidR="00F72F76" w:rsidRDefault="00F72F76" w:rsidP="00F72F76">
      <w:pPr>
        <w:jc w:val="both"/>
        <w:rPr>
          <w:rFonts w:ascii="Calibri" w:hAnsi="Calibri" w:cs="Times New Roman"/>
          <w:sz w:val="22"/>
        </w:rPr>
      </w:pPr>
      <w:r>
        <w:rPr>
          <w:rFonts w:ascii="Calibri" w:hAnsi="Calibri" w:cs="Times New Roman"/>
          <w:sz w:val="22"/>
        </w:rPr>
        <w:lastRenderedPageBreak/>
        <w:t>A c</w:t>
      </w:r>
      <w:r w:rsidRPr="0077135C">
        <w:rPr>
          <w:rFonts w:ascii="Calibri" w:hAnsi="Calibri" w:cs="Times New Roman"/>
          <w:sz w:val="22"/>
        </w:rPr>
        <w:t>ountdown process would complement rather than replace existing IPCC and UN reports. UN reports understandably seek cautious consensus. An independent review of progress would add the full weight and voice of the health community and valuable metrics to this critical population health challenge.</w:t>
      </w:r>
    </w:p>
    <w:p w:rsidR="00F72F76" w:rsidRPr="001D39CF" w:rsidRDefault="00F72F76" w:rsidP="00F72F76">
      <w:pPr>
        <w:jc w:val="both"/>
        <w:rPr>
          <w:rFonts w:ascii="Calibri" w:hAnsi="Calibri"/>
        </w:rPr>
      </w:pPr>
    </w:p>
    <w:p w:rsidR="00F72F76" w:rsidRDefault="00F72F76" w:rsidP="006A7DE4">
      <w:pPr>
        <w:jc w:val="both"/>
        <w:rPr>
          <w:rFonts w:ascii="Calibri" w:hAnsi="Calibri" w:cs="Times New Roman"/>
          <w:sz w:val="22"/>
        </w:rPr>
      </w:pPr>
      <w:r>
        <w:rPr>
          <w:rFonts w:ascii="Calibri" w:hAnsi="Calibri" w:cs="Times New Roman"/>
          <w:sz w:val="22"/>
        </w:rPr>
        <w:t>A ‘Countdown to 203</w:t>
      </w:r>
      <w:r w:rsidR="005B11FF">
        <w:rPr>
          <w:rFonts w:ascii="Calibri" w:hAnsi="Calibri" w:cs="Times New Roman"/>
          <w:sz w:val="22"/>
        </w:rPr>
        <w:t>0</w:t>
      </w:r>
      <w:r>
        <w:rPr>
          <w:rFonts w:ascii="Calibri" w:hAnsi="Calibri" w:cs="Times New Roman"/>
          <w:sz w:val="22"/>
        </w:rPr>
        <w:t xml:space="preserve">: </w:t>
      </w:r>
      <w:r w:rsidR="00341FD1">
        <w:rPr>
          <w:rFonts w:ascii="Calibri" w:hAnsi="Calibri" w:cs="Times New Roman"/>
          <w:sz w:val="22"/>
        </w:rPr>
        <w:t>Global Health and Climate Action</w:t>
      </w:r>
      <w:r w:rsidRPr="0077135C">
        <w:rPr>
          <w:rFonts w:ascii="Calibri" w:hAnsi="Calibri" w:cs="Times New Roman"/>
          <w:sz w:val="22"/>
        </w:rPr>
        <w:t>’ coalition would independently decide the structure of their reports and the sentinel indicators they would choose to monitor progress towards key outcomes, policies and practice.</w:t>
      </w:r>
      <w:r w:rsidR="00683D83">
        <w:rPr>
          <w:rFonts w:ascii="Calibri" w:hAnsi="Calibri" w:cs="Times New Roman"/>
          <w:sz w:val="22"/>
        </w:rPr>
        <w:t xml:space="preserve"> Table 7.1</w:t>
      </w:r>
      <w:r w:rsidRPr="0077135C">
        <w:rPr>
          <w:rFonts w:ascii="Calibri" w:hAnsi="Calibri" w:cs="Times New Roman"/>
          <w:sz w:val="22"/>
        </w:rPr>
        <w:t xml:space="preserve"> outlines one possible framework for monitoring progress in three critical areas: health impacts, progress with action to reduce greenhouse gas emissions, and progress with actions to support adaptation,</w:t>
      </w:r>
      <w:r w:rsidR="000340EE">
        <w:rPr>
          <w:rFonts w:ascii="Calibri" w:hAnsi="Calibri" w:cs="Times New Roman"/>
          <w:sz w:val="22"/>
        </w:rPr>
        <w:t xml:space="preserve"> and the resilience of both populations and health systems, to climate change.</w:t>
      </w:r>
      <w:r w:rsidR="000340EE" w:rsidRPr="0077135C" w:rsidDel="000340EE">
        <w:rPr>
          <w:rFonts w:ascii="Calibri" w:hAnsi="Calibri" w:cs="Times New Roman"/>
          <w:sz w:val="22"/>
        </w:rPr>
        <w:t xml:space="preserve"> </w:t>
      </w:r>
    </w:p>
    <w:p w:rsidR="00683D83" w:rsidRDefault="00683D83" w:rsidP="006A7DE4">
      <w:pPr>
        <w:jc w:val="both"/>
        <w:rPr>
          <w:rFonts w:ascii="Calibri" w:hAnsi="Calibri" w:cs="Times New Roman"/>
          <w:sz w:val="22"/>
        </w:rPr>
      </w:pPr>
    </w:p>
    <w:tbl>
      <w:tblPr>
        <w:tblStyle w:val="TableGrid"/>
        <w:tblW w:w="0" w:type="auto"/>
        <w:tblLook w:val="04A0" w:firstRow="1" w:lastRow="0" w:firstColumn="1" w:lastColumn="0" w:noHBand="0" w:noVBand="1"/>
      </w:tblPr>
      <w:tblGrid>
        <w:gridCol w:w="3062"/>
        <w:gridCol w:w="3062"/>
        <w:gridCol w:w="3062"/>
      </w:tblGrid>
      <w:tr w:rsidR="00683D83" w:rsidTr="006657F3">
        <w:trPr>
          <w:trHeight w:val="612"/>
        </w:trPr>
        <w:tc>
          <w:tcPr>
            <w:tcW w:w="3062" w:type="dxa"/>
          </w:tcPr>
          <w:p w:rsidR="00683D83" w:rsidRPr="00F72F76" w:rsidRDefault="00683D83" w:rsidP="006657F3">
            <w:pPr>
              <w:rPr>
                <w:rFonts w:ascii="Calibri" w:hAnsi="Calibri"/>
                <w:b/>
                <w:sz w:val="20"/>
                <w:szCs w:val="20"/>
              </w:rPr>
            </w:pPr>
            <w:r w:rsidRPr="00F72F76">
              <w:rPr>
                <w:rFonts w:ascii="Calibri" w:hAnsi="Calibri"/>
                <w:b/>
                <w:sz w:val="20"/>
                <w:szCs w:val="20"/>
              </w:rPr>
              <w:t>Health Impacts</w:t>
            </w:r>
          </w:p>
        </w:tc>
        <w:tc>
          <w:tcPr>
            <w:tcW w:w="3062" w:type="dxa"/>
          </w:tcPr>
          <w:p w:rsidR="00683D83" w:rsidRPr="00F72F76" w:rsidRDefault="00683D83" w:rsidP="006657F3">
            <w:pPr>
              <w:rPr>
                <w:rFonts w:ascii="Calibri" w:hAnsi="Calibri"/>
                <w:b/>
                <w:sz w:val="20"/>
                <w:szCs w:val="20"/>
              </w:rPr>
            </w:pPr>
            <w:r w:rsidRPr="00F72F76">
              <w:rPr>
                <w:rFonts w:ascii="Calibri" w:hAnsi="Calibri" w:cs="Times New Roman"/>
                <w:b/>
                <w:sz w:val="20"/>
                <w:szCs w:val="20"/>
              </w:rPr>
              <w:t>Action</w:t>
            </w:r>
            <w:r>
              <w:rPr>
                <w:rFonts w:ascii="Calibri" w:hAnsi="Calibri" w:cs="Times New Roman"/>
                <w:b/>
                <w:sz w:val="20"/>
                <w:szCs w:val="20"/>
              </w:rPr>
              <w:t>s</w:t>
            </w:r>
            <w:r w:rsidRPr="00F72F76">
              <w:rPr>
                <w:rFonts w:ascii="Calibri" w:hAnsi="Calibri" w:cs="Times New Roman"/>
                <w:b/>
                <w:sz w:val="20"/>
                <w:szCs w:val="20"/>
              </w:rPr>
              <w:t xml:space="preserve"> to reduce </w:t>
            </w:r>
            <w:r>
              <w:rPr>
                <w:rFonts w:ascii="Calibri" w:hAnsi="Calibri" w:cs="Times New Roman"/>
                <w:b/>
                <w:sz w:val="20"/>
                <w:szCs w:val="20"/>
              </w:rPr>
              <w:t>GHG emissions that improve public health</w:t>
            </w:r>
          </w:p>
        </w:tc>
        <w:tc>
          <w:tcPr>
            <w:tcW w:w="3062" w:type="dxa"/>
          </w:tcPr>
          <w:p w:rsidR="00683D83" w:rsidRPr="00813534" w:rsidRDefault="00683D83" w:rsidP="006657F3">
            <w:pPr>
              <w:rPr>
                <w:rFonts w:ascii="Calibri" w:hAnsi="Calibri"/>
              </w:rPr>
            </w:pPr>
            <w:r w:rsidRPr="00F72F76">
              <w:rPr>
                <w:rFonts w:ascii="Calibri" w:hAnsi="Calibri" w:cs="Times New Roman"/>
                <w:b/>
                <w:sz w:val="20"/>
              </w:rPr>
              <w:t>Adaptation, resilience and climate smart health systems</w:t>
            </w:r>
          </w:p>
        </w:tc>
      </w:tr>
      <w:tr w:rsidR="00683D83" w:rsidTr="006657F3">
        <w:trPr>
          <w:trHeight w:val="812"/>
        </w:trPr>
        <w:tc>
          <w:tcPr>
            <w:tcW w:w="3062" w:type="dxa"/>
          </w:tcPr>
          <w:p w:rsidR="00683D83" w:rsidRDefault="00683D83" w:rsidP="006657F3">
            <w:pPr>
              <w:rPr>
                <w:rFonts w:ascii="Calibri" w:hAnsi="Calibri"/>
              </w:rPr>
            </w:pPr>
            <w:r w:rsidRPr="0077135C">
              <w:rPr>
                <w:rFonts w:ascii="Calibri" w:hAnsi="Calibri" w:cs="Times New Roman"/>
                <w:i/>
                <w:sz w:val="20"/>
              </w:rPr>
              <w:t xml:space="preserve">An updated review of evidence on the health impacts of climate change: </w:t>
            </w:r>
          </w:p>
        </w:tc>
        <w:tc>
          <w:tcPr>
            <w:tcW w:w="3062" w:type="dxa"/>
          </w:tcPr>
          <w:p w:rsidR="00683D83" w:rsidRDefault="00683D83" w:rsidP="006657F3">
            <w:pPr>
              <w:rPr>
                <w:rFonts w:ascii="Calibri" w:hAnsi="Calibri"/>
              </w:rPr>
            </w:pPr>
            <w:r w:rsidRPr="0077135C">
              <w:rPr>
                <w:rFonts w:ascii="Calibri" w:hAnsi="Calibri" w:cs="Times New Roman"/>
                <w:i/>
                <w:sz w:val="20"/>
              </w:rPr>
              <w:t>Sentinel indicators to be chosen and collated from international sources for each of the following:</w:t>
            </w:r>
          </w:p>
        </w:tc>
        <w:tc>
          <w:tcPr>
            <w:tcW w:w="3062" w:type="dxa"/>
          </w:tcPr>
          <w:p w:rsidR="00683D83" w:rsidRPr="001D39CF" w:rsidRDefault="00683D83" w:rsidP="006657F3">
            <w:pPr>
              <w:rPr>
                <w:rFonts w:ascii="Calibri" w:hAnsi="Calibri"/>
              </w:rPr>
            </w:pPr>
            <w:r w:rsidRPr="0077135C">
              <w:rPr>
                <w:rFonts w:ascii="Calibri" w:hAnsi="Calibri" w:cs="Times New Roman"/>
                <w:i/>
                <w:sz w:val="20"/>
              </w:rPr>
              <w:t>Progress and successes with:</w:t>
            </w:r>
          </w:p>
          <w:p w:rsidR="00683D83" w:rsidRDefault="00683D83" w:rsidP="006657F3">
            <w:pPr>
              <w:rPr>
                <w:rFonts w:ascii="Calibri" w:hAnsi="Calibri"/>
              </w:rPr>
            </w:pPr>
          </w:p>
        </w:tc>
      </w:tr>
      <w:tr w:rsidR="00683D83" w:rsidTr="006657F3">
        <w:trPr>
          <w:trHeight w:val="3048"/>
        </w:trPr>
        <w:tc>
          <w:tcPr>
            <w:tcW w:w="3062" w:type="dxa"/>
          </w:tcPr>
          <w:p w:rsidR="00683D83" w:rsidRDefault="00683D83" w:rsidP="006657F3">
            <w:pPr>
              <w:rPr>
                <w:rFonts w:ascii="Calibri" w:hAnsi="Calibri" w:cs="Times New Roman"/>
                <w:sz w:val="20"/>
              </w:rPr>
            </w:pPr>
            <w:r w:rsidRPr="0077135C">
              <w:rPr>
                <w:rFonts w:ascii="Calibri" w:hAnsi="Calibri" w:cs="Times New Roman"/>
                <w:sz w:val="20"/>
              </w:rPr>
              <w:t>Heat stress and heatwaves</w:t>
            </w:r>
          </w:p>
          <w:p w:rsidR="00683D83" w:rsidRDefault="00683D83" w:rsidP="006657F3">
            <w:pPr>
              <w:rPr>
                <w:rFonts w:ascii="Calibri" w:hAnsi="Calibri" w:cs="Times New Roman"/>
                <w:sz w:val="20"/>
              </w:rPr>
            </w:pPr>
          </w:p>
          <w:p w:rsidR="00683D83" w:rsidRPr="001D39CF" w:rsidRDefault="00683D83" w:rsidP="006657F3">
            <w:pPr>
              <w:rPr>
                <w:rFonts w:ascii="Calibri" w:hAnsi="Calibri"/>
              </w:rPr>
            </w:pPr>
            <w:r w:rsidRPr="0077135C">
              <w:rPr>
                <w:rFonts w:ascii="Calibri" w:hAnsi="Calibri" w:cs="Times New Roman"/>
                <w:sz w:val="20"/>
              </w:rPr>
              <w:t>Climate sensitive dynamic infectious diseases</w:t>
            </w:r>
          </w:p>
          <w:p w:rsidR="00683D83" w:rsidRDefault="00683D83" w:rsidP="006657F3">
            <w:pPr>
              <w:rPr>
                <w:rFonts w:ascii="Calibri" w:hAnsi="Calibri" w:cs="Times New Roman"/>
                <w:sz w:val="20"/>
              </w:rPr>
            </w:pPr>
          </w:p>
          <w:p w:rsidR="00683D83" w:rsidRPr="001D39CF" w:rsidRDefault="00683D83" w:rsidP="006657F3">
            <w:pPr>
              <w:rPr>
                <w:rFonts w:ascii="Calibri" w:hAnsi="Calibri"/>
              </w:rPr>
            </w:pPr>
            <w:r w:rsidRPr="0077135C">
              <w:rPr>
                <w:rFonts w:ascii="Calibri" w:hAnsi="Calibri" w:cs="Times New Roman"/>
                <w:sz w:val="20"/>
              </w:rPr>
              <w:t>Air pollution and allergy</w:t>
            </w:r>
          </w:p>
          <w:p w:rsidR="00683D83" w:rsidRDefault="00683D83" w:rsidP="006657F3">
            <w:pPr>
              <w:rPr>
                <w:rFonts w:ascii="Calibri" w:hAnsi="Calibri" w:cs="Times New Roman"/>
                <w:sz w:val="20"/>
              </w:rPr>
            </w:pPr>
          </w:p>
          <w:p w:rsidR="00683D83" w:rsidRPr="001D39CF" w:rsidRDefault="00683D83" w:rsidP="006657F3">
            <w:pPr>
              <w:rPr>
                <w:rFonts w:ascii="Calibri" w:hAnsi="Calibri"/>
              </w:rPr>
            </w:pPr>
            <w:r w:rsidRPr="0077135C">
              <w:rPr>
                <w:rFonts w:ascii="Calibri" w:hAnsi="Calibri" w:cs="Times New Roman"/>
                <w:sz w:val="20"/>
              </w:rPr>
              <w:t>Climate-related migration</w:t>
            </w:r>
          </w:p>
          <w:p w:rsidR="00683D83" w:rsidRDefault="00683D83" w:rsidP="006657F3">
            <w:pPr>
              <w:rPr>
                <w:rFonts w:ascii="Calibri" w:hAnsi="Calibri" w:cs="Times New Roman"/>
                <w:sz w:val="20"/>
              </w:rPr>
            </w:pPr>
          </w:p>
          <w:p w:rsidR="00683D83" w:rsidRPr="001D39CF" w:rsidRDefault="00683D83" w:rsidP="006657F3">
            <w:pPr>
              <w:rPr>
                <w:rFonts w:ascii="Calibri" w:hAnsi="Calibri"/>
              </w:rPr>
            </w:pPr>
            <w:r w:rsidRPr="0077135C">
              <w:rPr>
                <w:rFonts w:ascii="Calibri" w:hAnsi="Calibri" w:cs="Times New Roman"/>
                <w:sz w:val="20"/>
              </w:rPr>
              <w:t>Food insecurity and crop yields</w:t>
            </w:r>
          </w:p>
          <w:p w:rsidR="00683D83" w:rsidRDefault="00683D83" w:rsidP="006657F3">
            <w:pPr>
              <w:rPr>
                <w:rFonts w:ascii="Calibri" w:hAnsi="Calibri" w:cs="Times New Roman"/>
                <w:sz w:val="20"/>
              </w:rPr>
            </w:pPr>
          </w:p>
          <w:p w:rsidR="00683D83" w:rsidRPr="001D39CF" w:rsidRDefault="00683D83" w:rsidP="006657F3">
            <w:pPr>
              <w:rPr>
                <w:rFonts w:ascii="Calibri" w:hAnsi="Calibri"/>
              </w:rPr>
            </w:pPr>
            <w:r w:rsidRPr="0077135C">
              <w:rPr>
                <w:rFonts w:ascii="Calibri" w:hAnsi="Calibri" w:cs="Times New Roman"/>
                <w:sz w:val="20"/>
              </w:rPr>
              <w:t>Extreme weather events</w:t>
            </w:r>
          </w:p>
          <w:p w:rsidR="00683D83" w:rsidRDefault="00683D83" w:rsidP="006657F3">
            <w:pPr>
              <w:rPr>
                <w:rFonts w:ascii="Calibri" w:hAnsi="Calibri" w:cs="Times New Roman"/>
                <w:sz w:val="20"/>
              </w:rPr>
            </w:pPr>
          </w:p>
          <w:p w:rsidR="00683D83" w:rsidRPr="001D39CF" w:rsidRDefault="00683D83" w:rsidP="006657F3">
            <w:pPr>
              <w:rPr>
                <w:rFonts w:ascii="Calibri" w:hAnsi="Calibri"/>
              </w:rPr>
            </w:pPr>
            <w:r w:rsidRPr="0077135C">
              <w:rPr>
                <w:rFonts w:ascii="Calibri" w:hAnsi="Calibri" w:cs="Times New Roman"/>
                <w:sz w:val="20"/>
              </w:rPr>
              <w:t>Ecosystem service damage</w:t>
            </w:r>
          </w:p>
          <w:p w:rsidR="00683D83" w:rsidRDefault="00683D83" w:rsidP="006657F3">
            <w:pPr>
              <w:rPr>
                <w:rFonts w:ascii="Calibri" w:hAnsi="Calibri"/>
              </w:rPr>
            </w:pPr>
          </w:p>
        </w:tc>
        <w:tc>
          <w:tcPr>
            <w:tcW w:w="3062" w:type="dxa"/>
          </w:tcPr>
          <w:p w:rsidR="00683D83" w:rsidRPr="001D39CF" w:rsidRDefault="00683D83" w:rsidP="006657F3">
            <w:pPr>
              <w:rPr>
                <w:rFonts w:ascii="Calibri" w:hAnsi="Calibri"/>
              </w:rPr>
            </w:pPr>
            <w:r w:rsidRPr="0077135C">
              <w:rPr>
                <w:rFonts w:ascii="Calibri" w:hAnsi="Calibri" w:cs="Times New Roman"/>
                <w:sz w:val="20"/>
                <w:u w:val="single" w:color="000000"/>
              </w:rPr>
              <w:t>International</w:t>
            </w:r>
            <w:r w:rsidRPr="0077135C">
              <w:rPr>
                <w:rFonts w:ascii="Calibri" w:hAnsi="Calibri" w:cs="Times New Roman"/>
                <w:sz w:val="20"/>
              </w:rPr>
              <w:t xml:space="preserve"> </w:t>
            </w:r>
          </w:p>
          <w:p w:rsidR="00683D83" w:rsidRPr="001D39CF" w:rsidRDefault="00683D83" w:rsidP="006657F3">
            <w:pPr>
              <w:rPr>
                <w:rFonts w:ascii="Calibri" w:hAnsi="Calibri"/>
              </w:rPr>
            </w:pPr>
            <w:r w:rsidRPr="0077135C">
              <w:rPr>
                <w:rFonts w:ascii="Calibri" w:hAnsi="Calibri" w:cs="Times New Roman"/>
                <w:i/>
                <w:sz w:val="20"/>
              </w:rPr>
              <w:t>Progress and compliance with:</w:t>
            </w:r>
          </w:p>
          <w:p w:rsidR="00683D83" w:rsidRPr="001D39CF" w:rsidRDefault="00683D83" w:rsidP="006657F3">
            <w:pPr>
              <w:rPr>
                <w:rFonts w:ascii="Calibri" w:hAnsi="Calibri"/>
              </w:rPr>
            </w:pPr>
            <w:r w:rsidRPr="0077135C">
              <w:rPr>
                <w:rFonts w:ascii="Calibri" w:hAnsi="Calibri" w:cs="Times New Roman"/>
                <w:sz w:val="20"/>
              </w:rPr>
              <w:t>A strong and equitable international agreement</w:t>
            </w:r>
          </w:p>
          <w:p w:rsidR="00683D83" w:rsidRDefault="00683D83" w:rsidP="006657F3">
            <w:pPr>
              <w:rPr>
                <w:rFonts w:ascii="Calibri" w:hAnsi="Calibri" w:cs="Times New Roman"/>
                <w:sz w:val="20"/>
              </w:rPr>
            </w:pPr>
          </w:p>
          <w:p w:rsidR="00683D83" w:rsidRPr="001D39CF" w:rsidRDefault="00683D83" w:rsidP="006657F3">
            <w:pPr>
              <w:rPr>
                <w:rFonts w:ascii="Calibri" w:hAnsi="Calibri"/>
              </w:rPr>
            </w:pPr>
            <w:r w:rsidRPr="0077135C">
              <w:rPr>
                <w:rFonts w:ascii="Calibri" w:hAnsi="Calibri" w:cs="Times New Roman"/>
                <w:sz w:val="20"/>
              </w:rPr>
              <w:t>Low carbon and climate resilient technology innovation and investment.</w:t>
            </w:r>
          </w:p>
          <w:p w:rsidR="00683D83" w:rsidRDefault="00683D83" w:rsidP="006657F3">
            <w:pPr>
              <w:rPr>
                <w:rFonts w:ascii="Calibri" w:hAnsi="Calibri" w:cs="Times New Roman"/>
                <w:sz w:val="20"/>
              </w:rPr>
            </w:pPr>
          </w:p>
          <w:p w:rsidR="00683D83" w:rsidRDefault="00683D83" w:rsidP="006657F3">
            <w:pPr>
              <w:rPr>
                <w:rFonts w:ascii="Calibri" w:hAnsi="Calibri" w:cs="Times New Roman"/>
                <w:sz w:val="20"/>
              </w:rPr>
            </w:pPr>
            <w:r w:rsidRPr="0077135C">
              <w:rPr>
                <w:rFonts w:ascii="Calibri" w:hAnsi="Calibri" w:cs="Times New Roman"/>
                <w:sz w:val="20"/>
              </w:rPr>
              <w:t>Climate governance (finance, decision-making, co-ordination, legislation).</w:t>
            </w:r>
          </w:p>
          <w:p w:rsidR="00683D83" w:rsidRPr="001D39CF" w:rsidRDefault="00683D83" w:rsidP="006657F3">
            <w:pPr>
              <w:rPr>
                <w:rFonts w:ascii="Calibri" w:hAnsi="Calibri"/>
              </w:rPr>
            </w:pPr>
          </w:p>
          <w:p w:rsidR="00683D83" w:rsidRPr="001D39CF" w:rsidRDefault="00683D83" w:rsidP="006657F3">
            <w:pPr>
              <w:rPr>
                <w:rFonts w:ascii="Calibri" w:hAnsi="Calibri"/>
              </w:rPr>
            </w:pPr>
            <w:r w:rsidRPr="0077135C">
              <w:rPr>
                <w:rFonts w:ascii="Calibri" w:hAnsi="Calibri" w:cs="Times New Roman"/>
                <w:sz w:val="20"/>
                <w:u w:val="single" w:color="000000"/>
              </w:rPr>
              <w:t xml:space="preserve">Regional/national </w:t>
            </w:r>
          </w:p>
          <w:p w:rsidR="00683D83" w:rsidRPr="001D39CF" w:rsidRDefault="00683D83" w:rsidP="006657F3">
            <w:pPr>
              <w:rPr>
                <w:rFonts w:ascii="Calibri" w:hAnsi="Calibri"/>
              </w:rPr>
            </w:pPr>
            <w:r w:rsidRPr="0077135C">
              <w:rPr>
                <w:rFonts w:ascii="Calibri" w:hAnsi="Calibri" w:cs="Times New Roman"/>
                <w:i/>
                <w:sz w:val="20"/>
              </w:rPr>
              <w:t>Progress and successes with:</w:t>
            </w:r>
            <w:r w:rsidRPr="0077135C">
              <w:rPr>
                <w:rFonts w:ascii="Calibri" w:hAnsi="Calibri" w:cs="Times New Roman"/>
                <w:sz w:val="20"/>
                <w:u w:val="single" w:color="000000"/>
              </w:rPr>
              <w:t xml:space="preserve"> </w:t>
            </w:r>
          </w:p>
          <w:p w:rsidR="00683D83" w:rsidRDefault="00683D83" w:rsidP="006657F3">
            <w:pPr>
              <w:rPr>
                <w:rFonts w:ascii="Calibri" w:hAnsi="Calibri" w:cs="Times New Roman"/>
                <w:sz w:val="20"/>
              </w:rPr>
            </w:pPr>
          </w:p>
          <w:p w:rsidR="00683D83" w:rsidRPr="001D39CF" w:rsidRDefault="00683D83" w:rsidP="006657F3">
            <w:pPr>
              <w:rPr>
                <w:rFonts w:ascii="Calibri" w:hAnsi="Calibri"/>
              </w:rPr>
            </w:pPr>
            <w:r w:rsidRPr="0077135C">
              <w:rPr>
                <w:rFonts w:ascii="Calibri" w:hAnsi="Calibri" w:cs="Times New Roman"/>
                <w:sz w:val="20"/>
              </w:rPr>
              <w:t>Phasing out of coal-fired power generation</w:t>
            </w:r>
            <w:r>
              <w:rPr>
                <w:rFonts w:ascii="Calibri" w:hAnsi="Calibri" w:cs="Times New Roman"/>
                <w:sz w:val="20"/>
              </w:rPr>
              <w:t xml:space="preserve"> and r</w:t>
            </w:r>
            <w:r w:rsidRPr="0077135C">
              <w:rPr>
                <w:rFonts w:ascii="Calibri" w:hAnsi="Calibri" w:cs="Times New Roman"/>
                <w:sz w:val="20"/>
              </w:rPr>
              <w:t>emoval of fossil fuel subsidies</w:t>
            </w:r>
          </w:p>
          <w:p w:rsidR="00683D83" w:rsidRDefault="00683D83" w:rsidP="006657F3">
            <w:pPr>
              <w:rPr>
                <w:rFonts w:ascii="Calibri" w:hAnsi="Calibri" w:cs="Times New Roman"/>
                <w:sz w:val="20"/>
              </w:rPr>
            </w:pPr>
          </w:p>
          <w:p w:rsidR="00683D83" w:rsidRPr="00971EB6" w:rsidRDefault="00683D83" w:rsidP="006657F3">
            <w:pPr>
              <w:rPr>
                <w:rFonts w:ascii="Calibri" w:hAnsi="Calibri" w:cs="Times New Roman"/>
                <w:sz w:val="20"/>
              </w:rPr>
            </w:pPr>
            <w:r w:rsidRPr="0077135C">
              <w:rPr>
                <w:rFonts w:ascii="Calibri" w:hAnsi="Calibri" w:cs="Times New Roman"/>
                <w:sz w:val="20"/>
              </w:rPr>
              <w:t xml:space="preserve">Urban planning </w:t>
            </w:r>
          </w:p>
          <w:p w:rsidR="00683D83" w:rsidRDefault="00683D83" w:rsidP="006657F3">
            <w:pPr>
              <w:rPr>
                <w:rFonts w:ascii="Calibri" w:hAnsi="Calibri" w:cs="Times New Roman"/>
                <w:sz w:val="20"/>
              </w:rPr>
            </w:pPr>
          </w:p>
          <w:p w:rsidR="00683D83" w:rsidRDefault="00683D83" w:rsidP="006657F3">
            <w:pPr>
              <w:rPr>
                <w:rFonts w:ascii="Calibri" w:hAnsi="Calibri"/>
              </w:rPr>
            </w:pPr>
            <w:r w:rsidRPr="0077135C">
              <w:rPr>
                <w:rFonts w:ascii="Calibri" w:hAnsi="Calibri" w:cs="Times New Roman"/>
                <w:sz w:val="20"/>
              </w:rPr>
              <w:t>Government incentives capital for low carbon, resilient  buildings and infrastructure</w:t>
            </w:r>
          </w:p>
        </w:tc>
        <w:tc>
          <w:tcPr>
            <w:tcW w:w="3062" w:type="dxa"/>
          </w:tcPr>
          <w:p w:rsidR="00683D83" w:rsidRPr="001D39CF" w:rsidRDefault="00683D83" w:rsidP="006657F3">
            <w:pPr>
              <w:rPr>
                <w:rFonts w:ascii="Calibri" w:hAnsi="Calibri"/>
              </w:rPr>
            </w:pPr>
            <w:r w:rsidRPr="0077135C">
              <w:rPr>
                <w:rFonts w:ascii="Calibri" w:hAnsi="Calibri" w:cs="Times New Roman"/>
                <w:sz w:val="20"/>
              </w:rPr>
              <w:t>Poverty reduction and reductions in inequities</w:t>
            </w:r>
          </w:p>
          <w:p w:rsidR="00683D83" w:rsidRDefault="00683D83" w:rsidP="006657F3">
            <w:pPr>
              <w:rPr>
                <w:rFonts w:ascii="Calibri" w:hAnsi="Calibri" w:cs="Times New Roman"/>
                <w:sz w:val="20"/>
              </w:rPr>
            </w:pPr>
          </w:p>
          <w:p w:rsidR="00683D83" w:rsidRPr="001D39CF" w:rsidRDefault="00683D83" w:rsidP="006657F3">
            <w:pPr>
              <w:rPr>
                <w:rFonts w:ascii="Calibri" w:hAnsi="Calibri"/>
              </w:rPr>
            </w:pPr>
            <w:r w:rsidRPr="0077135C">
              <w:rPr>
                <w:rFonts w:ascii="Calibri" w:hAnsi="Calibri" w:cs="Times New Roman"/>
                <w:sz w:val="20"/>
              </w:rPr>
              <w:t>Vulnerability and exposure reduction in high risk populations</w:t>
            </w:r>
          </w:p>
          <w:p w:rsidR="00683D83" w:rsidRDefault="00683D83" w:rsidP="006657F3">
            <w:pPr>
              <w:rPr>
                <w:rFonts w:ascii="Calibri" w:hAnsi="Calibri" w:cs="Times New Roman"/>
                <w:sz w:val="20"/>
              </w:rPr>
            </w:pPr>
          </w:p>
          <w:p w:rsidR="00683D83" w:rsidRPr="001D39CF" w:rsidRDefault="00683D83" w:rsidP="006657F3">
            <w:pPr>
              <w:rPr>
                <w:rFonts w:ascii="Calibri" w:hAnsi="Calibri"/>
              </w:rPr>
            </w:pPr>
            <w:r>
              <w:rPr>
                <w:rFonts w:ascii="Calibri" w:hAnsi="Calibri" w:cs="Times New Roman"/>
                <w:sz w:val="20"/>
              </w:rPr>
              <w:t>F</w:t>
            </w:r>
            <w:r w:rsidRPr="0077135C">
              <w:rPr>
                <w:rFonts w:ascii="Calibri" w:hAnsi="Calibri" w:cs="Times New Roman"/>
                <w:sz w:val="20"/>
              </w:rPr>
              <w:t>ood security in poor countries</w:t>
            </w:r>
          </w:p>
          <w:p w:rsidR="00683D83" w:rsidRDefault="00683D83" w:rsidP="006657F3">
            <w:pPr>
              <w:rPr>
                <w:rFonts w:ascii="Calibri" w:hAnsi="Calibri" w:cs="Times New Roman"/>
                <w:sz w:val="20"/>
              </w:rPr>
            </w:pPr>
          </w:p>
          <w:p w:rsidR="00683D83" w:rsidRDefault="00683D83" w:rsidP="006657F3">
            <w:pPr>
              <w:rPr>
                <w:rFonts w:ascii="Calibri" w:hAnsi="Calibri" w:cs="Times New Roman"/>
                <w:sz w:val="20"/>
              </w:rPr>
            </w:pPr>
            <w:r w:rsidRPr="0077135C">
              <w:rPr>
                <w:rFonts w:ascii="Calibri" w:hAnsi="Calibri" w:cs="Times New Roman"/>
                <w:sz w:val="20"/>
              </w:rPr>
              <w:t>Communication of climate risks and community engagement for local solutions</w:t>
            </w:r>
          </w:p>
          <w:p w:rsidR="00683D83" w:rsidRPr="001D39CF" w:rsidRDefault="00683D83" w:rsidP="006657F3">
            <w:pPr>
              <w:rPr>
                <w:rFonts w:ascii="Calibri" w:hAnsi="Calibri"/>
              </w:rPr>
            </w:pPr>
          </w:p>
          <w:p w:rsidR="00683D83" w:rsidRPr="001D39CF" w:rsidRDefault="00683D83" w:rsidP="006657F3">
            <w:pPr>
              <w:rPr>
                <w:rFonts w:ascii="Calibri" w:hAnsi="Calibri"/>
              </w:rPr>
            </w:pPr>
            <w:r>
              <w:rPr>
                <w:rFonts w:ascii="Calibri" w:hAnsi="Calibri" w:cs="Times New Roman"/>
                <w:sz w:val="20"/>
              </w:rPr>
              <w:t>The development of c</w:t>
            </w:r>
            <w:r w:rsidRPr="0077135C">
              <w:rPr>
                <w:rFonts w:ascii="Calibri" w:hAnsi="Calibri" w:cs="Times New Roman"/>
                <w:sz w:val="20"/>
              </w:rPr>
              <w:t>limate resilient</w:t>
            </w:r>
            <w:r>
              <w:rPr>
                <w:rFonts w:ascii="Calibri" w:hAnsi="Calibri" w:cs="Times New Roman"/>
                <w:sz w:val="20"/>
              </w:rPr>
              <w:t>, low-carbon</w:t>
            </w:r>
            <w:r w:rsidRPr="0077135C">
              <w:rPr>
                <w:rFonts w:ascii="Calibri" w:hAnsi="Calibri" w:cs="Times New Roman"/>
                <w:sz w:val="20"/>
              </w:rPr>
              <w:t xml:space="preserve"> health systems: </w:t>
            </w:r>
            <w:r>
              <w:rPr>
                <w:rFonts w:ascii="Calibri" w:hAnsi="Calibri" w:cs="Times New Roman"/>
                <w:sz w:val="20"/>
              </w:rPr>
              <w:t xml:space="preserve">the </w:t>
            </w:r>
            <w:r w:rsidRPr="0077135C">
              <w:rPr>
                <w:rFonts w:ascii="Calibri" w:hAnsi="Calibri" w:cs="Times New Roman"/>
                <w:sz w:val="20"/>
              </w:rPr>
              <w:t>scale up of renewables and  combined heat and power generation in health facilities, use of climate finance for health infrastructure, decentralisation of care</w:t>
            </w:r>
          </w:p>
          <w:p w:rsidR="00683D83" w:rsidRDefault="00683D83" w:rsidP="006657F3">
            <w:pPr>
              <w:rPr>
                <w:rFonts w:ascii="Calibri" w:hAnsi="Calibri"/>
              </w:rPr>
            </w:pPr>
          </w:p>
        </w:tc>
      </w:tr>
    </w:tbl>
    <w:p w:rsidR="00683D83" w:rsidRDefault="00683D83" w:rsidP="006A7DE4">
      <w:pPr>
        <w:jc w:val="both"/>
        <w:rPr>
          <w:rFonts w:ascii="Calibri" w:hAnsi="Calibri" w:cs="Times New Roman"/>
          <w:sz w:val="22"/>
        </w:rPr>
      </w:pPr>
    </w:p>
    <w:p w:rsidR="00F72F76" w:rsidRDefault="00F72F76" w:rsidP="00F72F76">
      <w:pPr>
        <w:rPr>
          <w:rFonts w:ascii="Calibri" w:hAnsi="Calibri"/>
        </w:rPr>
      </w:pPr>
    </w:p>
    <w:p w:rsidR="00F72F76" w:rsidRPr="00D036C9" w:rsidRDefault="00F72F76" w:rsidP="00D036C9">
      <w:pPr>
        <w:pStyle w:val="Heading2"/>
      </w:pPr>
      <w:bookmarkStart w:id="200" w:name="_Toc402956416"/>
      <w:bookmarkStart w:id="201" w:name="_Toc415931429"/>
      <w:bookmarkStart w:id="202" w:name="_Toc417502093"/>
      <w:r w:rsidRPr="0077135C">
        <w:t>Optimism</w:t>
      </w:r>
      <w:bookmarkEnd w:id="200"/>
      <w:bookmarkEnd w:id="201"/>
      <w:bookmarkEnd w:id="202"/>
      <w:r w:rsidRPr="0077135C">
        <w:t xml:space="preserve"> </w:t>
      </w:r>
    </w:p>
    <w:p w:rsidR="00F72F76" w:rsidRDefault="000340EE" w:rsidP="00F72F76">
      <w:pPr>
        <w:jc w:val="both"/>
        <w:rPr>
          <w:rFonts w:ascii="Calibri" w:hAnsi="Calibri" w:cs="Times New Roman"/>
          <w:sz w:val="22"/>
        </w:rPr>
      </w:pPr>
      <w:r>
        <w:rPr>
          <w:rFonts w:ascii="Calibri" w:hAnsi="Calibri" w:cs="Times New Roman"/>
          <w:sz w:val="22"/>
        </w:rPr>
        <w:t>We should draw considerable strength in the face of the challenges of climate change from the way in which the global community has addressed numerous other threats to health in the recent past</w:t>
      </w:r>
      <w:r w:rsidR="00A30AB5">
        <w:rPr>
          <w:rFonts w:ascii="Calibri" w:hAnsi="Calibri" w:cs="Times New Roman"/>
          <w:sz w:val="22"/>
        </w:rPr>
        <w:t xml:space="preserve">. </w:t>
      </w:r>
      <w:r w:rsidR="00F72F76" w:rsidRPr="0077135C">
        <w:rPr>
          <w:rFonts w:ascii="Calibri" w:hAnsi="Calibri" w:cs="Times New Roman"/>
          <w:sz w:val="22"/>
        </w:rPr>
        <w:t>Although</w:t>
      </w:r>
      <w:r w:rsidR="00F72F76">
        <w:rPr>
          <w:rFonts w:ascii="Calibri" w:hAnsi="Calibri" w:cs="Times New Roman"/>
          <w:sz w:val="22"/>
        </w:rPr>
        <w:t xml:space="preserve"> the</w:t>
      </w:r>
      <w:r w:rsidR="00F72F76" w:rsidRPr="0077135C">
        <w:rPr>
          <w:rFonts w:ascii="Calibri" w:hAnsi="Calibri" w:cs="Times New Roman"/>
          <w:sz w:val="22"/>
        </w:rPr>
        <w:t xml:space="preserve"> threats are great and time is shor</w:t>
      </w:r>
      <w:r w:rsidR="00F72F76">
        <w:rPr>
          <w:rFonts w:ascii="Calibri" w:hAnsi="Calibri" w:cs="Times New Roman"/>
          <w:sz w:val="22"/>
        </w:rPr>
        <w:t>t</w:t>
      </w:r>
      <w:r>
        <w:rPr>
          <w:rFonts w:ascii="Calibri" w:hAnsi="Calibri" w:cs="Times New Roman"/>
          <w:sz w:val="22"/>
        </w:rPr>
        <w:t>,</w:t>
      </w:r>
      <w:r w:rsidR="00F72F76" w:rsidRPr="0077135C">
        <w:rPr>
          <w:rFonts w:ascii="Calibri" w:hAnsi="Calibri" w:cs="Times New Roman"/>
          <w:sz w:val="22"/>
        </w:rPr>
        <w:t xml:space="preserve"> we have an opportunity for social transformation which will link solutions to climate change with a progressive green global economy, reductions in social inequalities, the end of poverty and a reversal of the pandemic of non-communicable disease.</w:t>
      </w:r>
    </w:p>
    <w:p w:rsidR="00F72F76" w:rsidRPr="001D39CF" w:rsidRDefault="00F72F76" w:rsidP="00F72F76">
      <w:pPr>
        <w:jc w:val="both"/>
        <w:rPr>
          <w:rFonts w:ascii="Calibri" w:hAnsi="Calibri"/>
        </w:rPr>
      </w:pPr>
    </w:p>
    <w:p w:rsidR="00BD2C53" w:rsidRDefault="00F72F76" w:rsidP="004349AE">
      <w:pPr>
        <w:jc w:val="both"/>
        <w:rPr>
          <w:rFonts w:ascii="Calibri" w:hAnsi="Calibri" w:cs="Times New Roman"/>
          <w:sz w:val="22"/>
        </w:rPr>
      </w:pPr>
      <w:r w:rsidRPr="0077135C">
        <w:rPr>
          <w:rFonts w:ascii="Calibri" w:hAnsi="Calibri" w:cs="Times New Roman"/>
          <w:sz w:val="22"/>
        </w:rPr>
        <w:t>There are huge opportunities for social and technological innovation. We have modern communications to sh</w:t>
      </w:r>
      <w:r>
        <w:rPr>
          <w:rFonts w:ascii="Calibri" w:hAnsi="Calibri" w:cs="Times New Roman"/>
          <w:sz w:val="22"/>
        </w:rPr>
        <w:t xml:space="preserve">are successful local learning. </w:t>
      </w:r>
      <w:r w:rsidRPr="0077135C">
        <w:rPr>
          <w:rFonts w:ascii="Calibri" w:hAnsi="Calibri" w:cs="Times New Roman"/>
          <w:sz w:val="22"/>
        </w:rPr>
        <w:t>At the highest levels of state</w:t>
      </w:r>
      <w:r>
        <w:rPr>
          <w:rFonts w:ascii="Calibri" w:hAnsi="Calibri" w:cs="Times New Roman"/>
          <w:sz w:val="22"/>
        </w:rPr>
        <w:t>,</w:t>
      </w:r>
      <w:r w:rsidRPr="0077135C">
        <w:rPr>
          <w:rFonts w:ascii="Calibri" w:hAnsi="Calibri" w:cs="Times New Roman"/>
          <w:sz w:val="22"/>
        </w:rPr>
        <w:t xml:space="preserve"> there are </w:t>
      </w:r>
      <w:r w:rsidRPr="0077135C">
        <w:rPr>
          <w:rFonts w:ascii="Calibri" w:hAnsi="Calibri" w:cs="Times New Roman"/>
          <w:sz w:val="22"/>
        </w:rPr>
        <w:lastRenderedPageBreak/>
        <w:t>opportunities for political leaders to grasp the global challenge with transformative climate initiatives of a scale and ambition to match the Marshall plan, the Apollo and Soyuz space programmes, and the</w:t>
      </w:r>
      <w:r w:rsidR="00A30AB5">
        <w:rPr>
          <w:rFonts w:ascii="Calibri" w:hAnsi="Calibri" w:cs="Times New Roman"/>
          <w:sz w:val="22"/>
        </w:rPr>
        <w:t xml:space="preserve"> commercial success of mobile telephony</w:t>
      </w:r>
      <w:r w:rsidRPr="0077135C">
        <w:rPr>
          <w:rFonts w:ascii="Calibri" w:hAnsi="Calibri" w:cs="Times New Roman"/>
          <w:sz w:val="22"/>
        </w:rPr>
        <w:t>. Scaleable</w:t>
      </w:r>
      <w:r>
        <w:rPr>
          <w:rFonts w:ascii="Calibri" w:hAnsi="Calibri" w:cs="Times New Roman"/>
          <w:sz w:val="22"/>
        </w:rPr>
        <w:t>,</w:t>
      </w:r>
      <w:r w:rsidRPr="0077135C">
        <w:rPr>
          <w:rFonts w:ascii="Calibri" w:hAnsi="Calibri" w:cs="Times New Roman"/>
          <w:sz w:val="22"/>
        </w:rPr>
        <w:t xml:space="preserve"> low carbon and renewable energy technologies require billions of dollars of new investment and ideas. In cities, municipal governments are already bringing energy and innovation to create connected, compact urban communities, better buildings, managed growth and more efficient transport systems. In local communities transf</w:t>
      </w:r>
      <w:r>
        <w:rPr>
          <w:rFonts w:ascii="Calibri" w:hAnsi="Calibri" w:cs="Times New Roman"/>
          <w:sz w:val="22"/>
        </w:rPr>
        <w:t xml:space="preserve">ormative action creates greater </w:t>
      </w:r>
      <w:r w:rsidRPr="0077135C">
        <w:rPr>
          <w:rFonts w:ascii="Calibri" w:hAnsi="Calibri" w:cs="Times New Roman"/>
          <w:sz w:val="22"/>
        </w:rPr>
        <w:t>environmental awareness and facilitates low carbon transition. And within local government, civil society and business, many people aim to bring about social and economic transformation. All of us can help cut greenhouse gas emissions and reduce the threat of climate change to our environment and health. At every level, health must find its voice. In health systems we can set an example with scale up of renewables, combined heat and power generation in health facilities, decentralis</w:t>
      </w:r>
      <w:r>
        <w:rPr>
          <w:rFonts w:ascii="Calibri" w:hAnsi="Calibri" w:cs="Times New Roman"/>
          <w:sz w:val="22"/>
        </w:rPr>
        <w:t xml:space="preserve">ation of care and promotion of </w:t>
      </w:r>
      <w:r w:rsidRPr="0077135C">
        <w:rPr>
          <w:rFonts w:ascii="Calibri" w:hAnsi="Calibri" w:cs="Times New Roman"/>
          <w:sz w:val="22"/>
        </w:rPr>
        <w:t>active transport and low carbon healthy lifestyles. But time is limite</w:t>
      </w:r>
      <w:r>
        <w:rPr>
          <w:rFonts w:ascii="Calibri" w:hAnsi="Calibri" w:cs="Times New Roman"/>
          <w:sz w:val="22"/>
        </w:rPr>
        <w:t>d. Immediate action is needed.</w:t>
      </w:r>
      <w:r w:rsidR="000340EE">
        <w:rPr>
          <w:rFonts w:ascii="Calibri" w:hAnsi="Calibri" w:cs="Times New Roman"/>
          <w:sz w:val="22"/>
        </w:rPr>
        <w:t xml:space="preserve"> The Countdown to 2030 Coalition must begin its work immediately.</w:t>
      </w:r>
    </w:p>
    <w:p w:rsidR="000616F9" w:rsidRDefault="000616F9" w:rsidP="004349AE">
      <w:pPr>
        <w:jc w:val="both"/>
      </w:pPr>
    </w:p>
    <w:p w:rsidR="000616F9" w:rsidRDefault="000616F9">
      <w:pPr>
        <w:spacing w:after="160" w:line="259" w:lineRule="auto"/>
      </w:pPr>
      <w:r>
        <w:br w:type="page"/>
      </w:r>
    </w:p>
    <w:p w:rsidR="00257226" w:rsidRPr="006A7DE4" w:rsidRDefault="00257226" w:rsidP="006A7DE4">
      <w:pPr>
        <w:pStyle w:val="Heading1"/>
      </w:pPr>
      <w:bookmarkStart w:id="203" w:name="_Toc417502094"/>
      <w:r w:rsidRPr="003604C8">
        <w:lastRenderedPageBreak/>
        <w:t>Contributors</w:t>
      </w:r>
      <w:bookmarkEnd w:id="203"/>
    </w:p>
    <w:p w:rsidR="00257226" w:rsidRPr="006A7DE4" w:rsidRDefault="00257226" w:rsidP="006A7DE4">
      <w:pPr>
        <w:spacing w:after="160" w:line="259" w:lineRule="auto"/>
        <w:rPr>
          <w:sz w:val="20"/>
          <w:szCs w:val="20"/>
        </w:rPr>
      </w:pPr>
      <w:r w:rsidRPr="006A7DE4">
        <w:rPr>
          <w:sz w:val="20"/>
          <w:szCs w:val="20"/>
        </w:rPr>
        <w:t>The</w:t>
      </w:r>
      <w:r>
        <w:rPr>
          <w:sz w:val="20"/>
          <w:szCs w:val="20"/>
        </w:rPr>
        <w:t xml:space="preserve"> 2015</w:t>
      </w:r>
      <w:r w:rsidRPr="006A7DE4">
        <w:rPr>
          <w:sz w:val="20"/>
          <w:szCs w:val="20"/>
        </w:rPr>
        <w:t xml:space="preserve"> Lancet Commission on Health and Climate Change is an international collaboration lead by University College London, Tsinghua University, the University of Exeter, the Stockholm Resilience Centre, and Umeå </w:t>
      </w:r>
      <w:r w:rsidRPr="00F27A28">
        <w:rPr>
          <w:sz w:val="20"/>
          <w:szCs w:val="20"/>
        </w:rPr>
        <w:t>University.</w:t>
      </w:r>
    </w:p>
    <w:p w:rsidR="00257226" w:rsidRDefault="00257226">
      <w:pPr>
        <w:spacing w:after="160" w:line="259" w:lineRule="auto"/>
        <w:rPr>
          <w:sz w:val="20"/>
          <w:szCs w:val="20"/>
        </w:rPr>
      </w:pPr>
      <w:r>
        <w:rPr>
          <w:sz w:val="20"/>
          <w:szCs w:val="20"/>
        </w:rPr>
        <w:t>The Commission conducted its work within five central working groups, which were responsible for the design, drafting, and review of their individual sections. All Commissioners contributed to the overall report structure and concepts, and provided input and expertise in facilitating integration between the five core sections.</w:t>
      </w:r>
    </w:p>
    <w:p w:rsidR="00257226" w:rsidRDefault="00257226">
      <w:pPr>
        <w:spacing w:after="160" w:line="259" w:lineRule="auto"/>
        <w:rPr>
          <w:sz w:val="20"/>
          <w:szCs w:val="20"/>
        </w:rPr>
      </w:pPr>
      <w:r>
        <w:rPr>
          <w:sz w:val="20"/>
          <w:szCs w:val="20"/>
        </w:rPr>
        <w:t>Members of Working Group 1 (Climate Change and Exposure to Health Risks): W. Neil Adger; Mat Collins; Peter M. Cox; Andy Haines; Alasdair Hunter;</w:t>
      </w:r>
      <w:r w:rsidR="000616F9" w:rsidRPr="000616F9">
        <w:rPr>
          <w:sz w:val="20"/>
          <w:szCs w:val="20"/>
        </w:rPr>
        <w:t xml:space="preserve"> </w:t>
      </w:r>
      <w:r w:rsidR="000616F9">
        <w:rPr>
          <w:sz w:val="20"/>
          <w:szCs w:val="20"/>
        </w:rPr>
        <w:t>Xujia Jiang;</w:t>
      </w:r>
      <w:r>
        <w:rPr>
          <w:sz w:val="20"/>
          <w:szCs w:val="20"/>
        </w:rPr>
        <w:t xml:space="preserve"> Mark Maslin; Tara Quinn; Sergey Venevsky; Qiang Zhang</w:t>
      </w:r>
      <w:r w:rsidR="000616F9">
        <w:rPr>
          <w:sz w:val="20"/>
          <w:szCs w:val="20"/>
        </w:rPr>
        <w:t>.</w:t>
      </w:r>
    </w:p>
    <w:p w:rsidR="00257226" w:rsidRDefault="00257226">
      <w:pPr>
        <w:spacing w:after="160" w:line="259" w:lineRule="auto"/>
        <w:rPr>
          <w:sz w:val="20"/>
          <w:szCs w:val="20"/>
        </w:rPr>
      </w:pPr>
      <w:r>
        <w:rPr>
          <w:sz w:val="20"/>
          <w:szCs w:val="20"/>
        </w:rPr>
        <w:t>Members of Working Group 2 (Action for Resilience and Adaptation): Victor Galaz; Delia Grace;</w:t>
      </w:r>
      <w:r w:rsidR="00F27A28">
        <w:rPr>
          <w:sz w:val="20"/>
          <w:szCs w:val="20"/>
        </w:rPr>
        <w:t xml:space="preserve"> Moxuan Li;</w:t>
      </w:r>
      <w:r>
        <w:rPr>
          <w:sz w:val="20"/>
          <w:szCs w:val="20"/>
        </w:rPr>
        <w:t xml:space="preserve"> Georgina Mace; My Svensdotter; Koko Warner; Yongyuan Yin</w:t>
      </w:r>
      <w:r w:rsidR="000616F9">
        <w:rPr>
          <w:sz w:val="20"/>
          <w:szCs w:val="20"/>
        </w:rPr>
        <w:t>; Chaoqing Yu; Bing Xu.</w:t>
      </w:r>
    </w:p>
    <w:p w:rsidR="00257226" w:rsidRDefault="00257226">
      <w:pPr>
        <w:spacing w:after="160" w:line="259" w:lineRule="auto"/>
        <w:rPr>
          <w:sz w:val="20"/>
          <w:szCs w:val="20"/>
        </w:rPr>
      </w:pPr>
      <w:r>
        <w:rPr>
          <w:sz w:val="20"/>
          <w:szCs w:val="20"/>
        </w:rPr>
        <w:t xml:space="preserve">Members of Working Group 3 (Transition to a Low-Carbon Energy Infrastructure): Ian Hamilton; Lu Liang; Robert Lowe; </w:t>
      </w:r>
      <w:r w:rsidRPr="006A7DE4">
        <w:rPr>
          <w:sz w:val="20"/>
          <w:szCs w:val="20"/>
        </w:rPr>
        <w:t>Tadj Oreszczyn</w:t>
      </w:r>
      <w:r>
        <w:rPr>
          <w:sz w:val="20"/>
          <w:szCs w:val="20"/>
        </w:rPr>
        <w:t>;</w:t>
      </w:r>
      <w:r w:rsidR="00F27A28">
        <w:rPr>
          <w:sz w:val="20"/>
          <w:szCs w:val="20"/>
        </w:rPr>
        <w:t xml:space="preserve"> Steve Pye;</w:t>
      </w:r>
      <w:r>
        <w:rPr>
          <w:sz w:val="20"/>
          <w:szCs w:val="20"/>
        </w:rPr>
        <w:t xml:space="preserve"> Jun Yang</w:t>
      </w:r>
      <w:r w:rsidR="000616F9">
        <w:rPr>
          <w:sz w:val="20"/>
          <w:szCs w:val="20"/>
        </w:rPr>
        <w:t>.</w:t>
      </w:r>
    </w:p>
    <w:p w:rsidR="00257226" w:rsidRDefault="00257226">
      <w:pPr>
        <w:spacing w:after="160" w:line="259" w:lineRule="auto"/>
        <w:rPr>
          <w:sz w:val="20"/>
          <w:szCs w:val="20"/>
        </w:rPr>
      </w:pPr>
      <w:r>
        <w:rPr>
          <w:sz w:val="20"/>
          <w:szCs w:val="20"/>
        </w:rPr>
        <w:t xml:space="preserve">Members of Working Group 4 (Financial and Economic Action): Wenjia Cai; Paul Drummond; Paul Ekins; Paolo Agnolucci; </w:t>
      </w:r>
      <w:r w:rsidR="00F27A28">
        <w:rPr>
          <w:sz w:val="20"/>
          <w:szCs w:val="20"/>
        </w:rPr>
        <w:t>Melissa Lott</w:t>
      </w:r>
      <w:r w:rsidR="000616F9">
        <w:rPr>
          <w:sz w:val="20"/>
          <w:szCs w:val="20"/>
        </w:rPr>
        <w:t>.</w:t>
      </w:r>
    </w:p>
    <w:p w:rsidR="00257226" w:rsidRDefault="00257226">
      <w:pPr>
        <w:spacing w:after="160" w:line="259" w:lineRule="auto"/>
        <w:rPr>
          <w:sz w:val="20"/>
          <w:szCs w:val="20"/>
        </w:rPr>
      </w:pPr>
      <w:r>
        <w:rPr>
          <w:sz w:val="20"/>
          <w:szCs w:val="20"/>
        </w:rPr>
        <w:t>Members of Working Group 5 (Delivering a Healthy Low-Carbon Future): Jason Blackstock; Sarah Chaytor; Adam Cooper; Joanna Depledge; Hilary Graham; Michael Grubb; Yong Luo</w:t>
      </w:r>
      <w:r w:rsidR="000616F9">
        <w:rPr>
          <w:sz w:val="20"/>
          <w:szCs w:val="20"/>
        </w:rPr>
        <w:t>.</w:t>
      </w:r>
    </w:p>
    <w:p w:rsidR="00257226" w:rsidRDefault="00257226">
      <w:pPr>
        <w:spacing w:after="160" w:line="259" w:lineRule="auto"/>
        <w:rPr>
          <w:sz w:val="20"/>
          <w:szCs w:val="20"/>
        </w:rPr>
      </w:pPr>
      <w:r>
        <w:rPr>
          <w:sz w:val="20"/>
          <w:szCs w:val="20"/>
        </w:rPr>
        <w:t>In addition to this, Michael Grubb acted as the integrating editor for mitigation (working across working groups 3, 4, and 5), and Maria Nilsson acted as the integrating editor for health (working across all working groups). Peter Byass</w:t>
      </w:r>
      <w:r w:rsidR="009F3003">
        <w:rPr>
          <w:sz w:val="20"/>
          <w:szCs w:val="20"/>
        </w:rPr>
        <w:t>, Ilan Kelman,</w:t>
      </w:r>
      <w:r>
        <w:rPr>
          <w:sz w:val="20"/>
          <w:szCs w:val="20"/>
        </w:rPr>
        <w:t xml:space="preserve"> and Tim Colbourn provided global health expertise for a number of working groups, and contributed to the Commission’s overall direction.</w:t>
      </w:r>
    </w:p>
    <w:p w:rsidR="00257226" w:rsidRDefault="00257226">
      <w:pPr>
        <w:spacing w:after="160" w:line="259" w:lineRule="auto"/>
        <w:rPr>
          <w:sz w:val="20"/>
          <w:szCs w:val="20"/>
        </w:rPr>
      </w:pPr>
      <w:r>
        <w:rPr>
          <w:sz w:val="20"/>
          <w:szCs w:val="20"/>
        </w:rPr>
        <w:t>The report was prepared under the general direction of Anthony Costello (Co-Chair), Hugh Montgomery (Co-Chair), Peng Gong (Co-Chair) and Nick Watts (Head of Project).</w:t>
      </w:r>
    </w:p>
    <w:p w:rsidR="00257226" w:rsidRDefault="00257226" w:rsidP="00257226">
      <w:pPr>
        <w:spacing w:after="160" w:line="259" w:lineRule="auto"/>
        <w:rPr>
          <w:sz w:val="20"/>
          <w:szCs w:val="20"/>
        </w:rPr>
      </w:pPr>
    </w:p>
    <w:p w:rsidR="000616F9" w:rsidRDefault="000616F9" w:rsidP="00257226">
      <w:pPr>
        <w:spacing w:after="160" w:line="259" w:lineRule="auto"/>
        <w:rPr>
          <w:sz w:val="20"/>
          <w:szCs w:val="20"/>
        </w:rPr>
      </w:pPr>
    </w:p>
    <w:p w:rsidR="000616F9" w:rsidRDefault="000616F9">
      <w:pPr>
        <w:spacing w:after="160" w:line="259" w:lineRule="auto"/>
        <w:rPr>
          <w:sz w:val="20"/>
          <w:szCs w:val="20"/>
        </w:rPr>
      </w:pPr>
      <w:r>
        <w:rPr>
          <w:sz w:val="20"/>
          <w:szCs w:val="20"/>
        </w:rPr>
        <w:br w:type="page"/>
      </w:r>
    </w:p>
    <w:p w:rsidR="000616F9" w:rsidRDefault="000616F9" w:rsidP="006A7DE4">
      <w:pPr>
        <w:pStyle w:val="Heading1"/>
      </w:pPr>
      <w:bookmarkStart w:id="204" w:name="_Toc417502095"/>
      <w:r>
        <w:lastRenderedPageBreak/>
        <w:t>Conflicts of Interest</w:t>
      </w:r>
      <w:bookmarkEnd w:id="204"/>
    </w:p>
    <w:p w:rsidR="000616F9" w:rsidRDefault="00197226">
      <w:pPr>
        <w:spacing w:after="160" w:line="259" w:lineRule="auto"/>
        <w:rPr>
          <w:sz w:val="20"/>
          <w:szCs w:val="20"/>
        </w:rPr>
      </w:pPr>
      <w:r>
        <w:rPr>
          <w:sz w:val="20"/>
          <w:szCs w:val="20"/>
        </w:rPr>
        <w:t>All</w:t>
      </w:r>
      <w:r w:rsidR="009B41F5">
        <w:rPr>
          <w:sz w:val="20"/>
          <w:szCs w:val="20"/>
        </w:rPr>
        <w:t xml:space="preserve"> authors declare that the central funding for the Commission was provided by ClimateWorks Foundation, the European Climate Foundation,</w:t>
      </w:r>
      <w:r w:rsidR="001167EE">
        <w:rPr>
          <w:sz w:val="20"/>
          <w:szCs w:val="20"/>
        </w:rPr>
        <w:t xml:space="preserve"> Microsoft Research Asia,</w:t>
      </w:r>
      <w:r w:rsidR="009B41F5">
        <w:rPr>
          <w:sz w:val="20"/>
          <w:szCs w:val="20"/>
        </w:rPr>
        <w:t xml:space="preserve"> the Norwegian Agency for Development Cooperation (NORAD), the </w:t>
      </w:r>
      <w:r w:rsidR="009B41F5" w:rsidRPr="008B6A20">
        <w:rPr>
          <w:sz w:val="20"/>
          <w:szCs w:val="20"/>
        </w:rPr>
        <w:t>National Environment Research Council through an Impact Acceleration award to the University of Exeter (NE/L012782/1), Martin Rushton-Turner, the Stordalen Foundation</w:t>
      </w:r>
      <w:r w:rsidR="007065D4">
        <w:rPr>
          <w:sz w:val="20"/>
          <w:szCs w:val="20"/>
        </w:rPr>
        <w:t>, and University College London’s Grand Challenge for Global Health</w:t>
      </w:r>
      <w:r w:rsidR="009B41F5" w:rsidRPr="008B6A20">
        <w:rPr>
          <w:sz w:val="20"/>
          <w:szCs w:val="20"/>
        </w:rPr>
        <w:t>.</w:t>
      </w:r>
    </w:p>
    <w:p w:rsidR="00402F8B" w:rsidRPr="00402F8B" w:rsidRDefault="009B41F5" w:rsidP="00402F8B">
      <w:pPr>
        <w:shd w:val="clear" w:color="auto" w:fill="FFFFFF"/>
        <w:rPr>
          <w:sz w:val="20"/>
          <w:szCs w:val="20"/>
        </w:rPr>
      </w:pPr>
      <w:r>
        <w:rPr>
          <w:sz w:val="20"/>
          <w:szCs w:val="20"/>
        </w:rPr>
        <w:t>Five Commissioners (Paul Drummond, Michael Grubb, Moxuan Li, My Svensdotter, and Nick Watts) were compensated for their time whilst working in the Commission’s drafting and development. The Commission also covered meeting and travel costs for each author, helping to facilitate improved integration between working groups.</w:t>
      </w:r>
      <w:r w:rsidR="00402F8B" w:rsidRPr="00402F8B">
        <w:rPr>
          <w:sz w:val="20"/>
          <w:szCs w:val="20"/>
        </w:rPr>
        <w:t xml:space="preserve"> The contributions of Neil Adger and Peter Cox were supported by the National Institute for Health Research Health Protection Research Unit (NIHR HPRU) in</w:t>
      </w:r>
      <w:r w:rsidR="00402F8B">
        <w:rPr>
          <w:sz w:val="20"/>
          <w:szCs w:val="20"/>
        </w:rPr>
        <w:t xml:space="preserve"> </w:t>
      </w:r>
      <w:r w:rsidR="00402F8B" w:rsidRPr="00402F8B">
        <w:rPr>
          <w:sz w:val="20"/>
          <w:szCs w:val="20"/>
        </w:rPr>
        <w:t>Environmental Change and Health at the London School of Hygiene and Tropical Medicine in partnership with Public Health England (PHE), and in collaboration with the University of Exeter, University College London, and the Met Office.</w:t>
      </w:r>
    </w:p>
    <w:p w:rsidR="009B41F5" w:rsidRDefault="009B41F5">
      <w:pPr>
        <w:spacing w:after="160" w:line="259" w:lineRule="auto"/>
        <w:rPr>
          <w:sz w:val="20"/>
          <w:szCs w:val="20"/>
        </w:rPr>
      </w:pPr>
    </w:p>
    <w:p w:rsidR="00C43AD7" w:rsidRDefault="009B41F5" w:rsidP="00C43AD7">
      <w:pPr>
        <w:spacing w:after="160" w:line="259" w:lineRule="auto"/>
        <w:rPr>
          <w:sz w:val="20"/>
          <w:szCs w:val="20"/>
        </w:rPr>
      </w:pPr>
      <w:r>
        <w:rPr>
          <w:sz w:val="20"/>
          <w:szCs w:val="20"/>
        </w:rPr>
        <w:t>In addition to these grants for the Commission’s report, the following authors declared competing interests.</w:t>
      </w:r>
      <w:r w:rsidR="00C43AD7">
        <w:rPr>
          <w:sz w:val="20"/>
          <w:szCs w:val="20"/>
        </w:rPr>
        <w:t xml:space="preserve"> Neil Adger has received grants from the Natural Environment Research Council UK, during the conduct of the study. Hilary Graham has received an ESRC grant</w:t>
      </w:r>
      <w:r w:rsidR="00C43AD7" w:rsidRPr="006A7DE4">
        <w:rPr>
          <w:sz w:val="20"/>
          <w:szCs w:val="20"/>
        </w:rPr>
        <w:t xml:space="preserve"> ES/L003015/1 Health of Popu</w:t>
      </w:r>
      <w:r w:rsidR="00C43AD7" w:rsidRPr="00C43AD7">
        <w:rPr>
          <w:sz w:val="20"/>
          <w:szCs w:val="20"/>
        </w:rPr>
        <w:t>lations and Ecosystems (HOPE)</w:t>
      </w:r>
      <w:r w:rsidR="00C43AD7">
        <w:rPr>
          <w:sz w:val="20"/>
          <w:szCs w:val="20"/>
        </w:rPr>
        <w:t xml:space="preserve">, </w:t>
      </w:r>
      <w:r w:rsidR="00C43AD7" w:rsidRPr="006A7DE4">
        <w:rPr>
          <w:sz w:val="20"/>
          <w:szCs w:val="20"/>
        </w:rPr>
        <w:t>outside the submitted work</w:t>
      </w:r>
      <w:r w:rsidR="00C43AD7">
        <w:rPr>
          <w:sz w:val="20"/>
          <w:szCs w:val="20"/>
        </w:rPr>
        <w:t xml:space="preserve">. Mark Maslin is </w:t>
      </w:r>
      <w:r w:rsidR="00C43AD7" w:rsidRPr="008B6A20">
        <w:rPr>
          <w:sz w:val="20"/>
          <w:szCs w:val="20"/>
        </w:rPr>
        <w:t>Executive Director and co-founding shareholder of Rezatec Ltd. This company uses remote sensing and ground data to provide companies with data on the state of the environment.  It does not engage with global health or health related work.</w:t>
      </w:r>
      <w:r w:rsidR="00C43AD7">
        <w:rPr>
          <w:sz w:val="20"/>
          <w:szCs w:val="20"/>
        </w:rPr>
        <w:t xml:space="preserve"> Hugh Montgomery is a member of the Executive Committee of the UK Climate and Health Council. Nick Watts works as a consultant </w:t>
      </w:r>
      <w:r w:rsidR="00C43AD7" w:rsidRPr="006A7DE4">
        <w:rPr>
          <w:sz w:val="20"/>
          <w:szCs w:val="20"/>
        </w:rPr>
        <w:t xml:space="preserve">for the World Health Organization's Department of Public Health, Environmental and Social Determinants of Health, and </w:t>
      </w:r>
      <w:r w:rsidR="00C43AD7">
        <w:rPr>
          <w:sz w:val="20"/>
          <w:szCs w:val="20"/>
        </w:rPr>
        <w:t xml:space="preserve">is </w:t>
      </w:r>
      <w:r w:rsidR="00C43AD7" w:rsidRPr="006A7DE4">
        <w:rPr>
          <w:sz w:val="20"/>
          <w:szCs w:val="20"/>
        </w:rPr>
        <w:t>the Director of the Global Climate and Health Alliance.</w:t>
      </w:r>
      <w:r w:rsidR="00C43AD7" w:rsidRPr="00C43AD7">
        <w:rPr>
          <w:sz w:val="20"/>
          <w:szCs w:val="20"/>
        </w:rPr>
        <w:t xml:space="preserve"> </w:t>
      </w:r>
      <w:r w:rsidR="00C43AD7">
        <w:rPr>
          <w:sz w:val="20"/>
          <w:szCs w:val="20"/>
        </w:rPr>
        <w:t>The UCL Institute for Sustainable Resources receives funding from BHP Billiton, outside of the Commission’s work.</w:t>
      </w:r>
      <w:r w:rsidR="00683D83">
        <w:rPr>
          <w:sz w:val="20"/>
          <w:szCs w:val="20"/>
        </w:rPr>
        <w:t xml:space="preserve"> </w:t>
      </w:r>
    </w:p>
    <w:p w:rsidR="00C43AD7" w:rsidRDefault="00C43AD7">
      <w:pPr>
        <w:spacing w:after="160" w:line="259" w:lineRule="auto"/>
        <w:rPr>
          <w:sz w:val="20"/>
          <w:szCs w:val="20"/>
        </w:rPr>
      </w:pPr>
    </w:p>
    <w:p w:rsidR="009B41F5" w:rsidRDefault="009B41F5">
      <w:pPr>
        <w:spacing w:after="160" w:line="259" w:lineRule="auto"/>
        <w:rPr>
          <w:sz w:val="20"/>
          <w:szCs w:val="20"/>
        </w:rPr>
      </w:pPr>
      <w:r>
        <w:rPr>
          <w:sz w:val="20"/>
          <w:szCs w:val="20"/>
        </w:rPr>
        <w:br w:type="page"/>
      </w:r>
    </w:p>
    <w:p w:rsidR="000616F9" w:rsidRPr="006A7DE4" w:rsidRDefault="009B41F5" w:rsidP="006A7DE4">
      <w:pPr>
        <w:pStyle w:val="Heading1"/>
      </w:pPr>
      <w:bookmarkStart w:id="205" w:name="_Toc417502096"/>
      <w:r w:rsidRPr="006A7DE4">
        <w:lastRenderedPageBreak/>
        <w:t>Acknowledgements</w:t>
      </w:r>
      <w:bookmarkEnd w:id="205"/>
    </w:p>
    <w:p w:rsidR="009B41F5" w:rsidRPr="008B6A20" w:rsidRDefault="009B41F5" w:rsidP="009B41F5">
      <w:pPr>
        <w:spacing w:after="160" w:line="259" w:lineRule="auto"/>
        <w:rPr>
          <w:sz w:val="20"/>
          <w:szCs w:val="20"/>
        </w:rPr>
      </w:pPr>
      <w:r>
        <w:rPr>
          <w:sz w:val="20"/>
          <w:szCs w:val="20"/>
        </w:rPr>
        <w:t>The Commission is grateful for funding support from a number of institutions which provided unrestricted grants, including</w:t>
      </w:r>
      <w:r w:rsidRPr="008B6A20">
        <w:rPr>
          <w:sz w:val="20"/>
          <w:szCs w:val="20"/>
        </w:rPr>
        <w:t xml:space="preserve"> ClimateWorks Foundation, the European Climate Foundation,</w:t>
      </w:r>
      <w:r w:rsidR="001167EE">
        <w:rPr>
          <w:sz w:val="20"/>
          <w:szCs w:val="20"/>
        </w:rPr>
        <w:t xml:space="preserve"> Microsoft Research Asia,</w:t>
      </w:r>
      <w:r w:rsidRPr="008B6A20">
        <w:rPr>
          <w:sz w:val="20"/>
          <w:szCs w:val="20"/>
        </w:rPr>
        <w:t xml:space="preserve"> the Norwegian Agency for Development Cooperation (NORAD), the National Environment Research Council through an Impact Acceleration award to the University of Exeter (NE/L012782/1), Martin Rushton-Turner, the Stordalen Foundation</w:t>
      </w:r>
      <w:r w:rsidR="007065D4">
        <w:rPr>
          <w:sz w:val="20"/>
          <w:szCs w:val="20"/>
        </w:rPr>
        <w:t xml:space="preserve">, and University College London’s Grand Challenge for Global Health. </w:t>
      </w:r>
      <w:r w:rsidR="009F6910">
        <w:rPr>
          <w:sz w:val="20"/>
          <w:szCs w:val="20"/>
        </w:rPr>
        <w:t>In-kind support was also provided</w:t>
      </w:r>
      <w:r w:rsidR="00683D83">
        <w:rPr>
          <w:sz w:val="20"/>
          <w:szCs w:val="20"/>
        </w:rPr>
        <w:t xml:space="preserve"> from Tsinghua University,</w:t>
      </w:r>
      <w:r w:rsidRPr="008B6A20">
        <w:rPr>
          <w:sz w:val="20"/>
          <w:szCs w:val="20"/>
        </w:rPr>
        <w:t xml:space="preserve"> University College London</w:t>
      </w:r>
      <w:r w:rsidR="00683D83">
        <w:rPr>
          <w:sz w:val="20"/>
          <w:szCs w:val="20"/>
        </w:rPr>
        <w:t>, and the Stockholm Resilience Centre through the Dynamic Drivers of Disease in Africa Consortium (DDDAC)</w:t>
      </w:r>
      <w:r w:rsidRPr="008B6A20">
        <w:rPr>
          <w:sz w:val="20"/>
          <w:szCs w:val="20"/>
        </w:rPr>
        <w:t>. The funding bodies had no influence on the direction, progress, or writing of the report.</w:t>
      </w:r>
    </w:p>
    <w:p w:rsidR="009B41F5" w:rsidRPr="008B6A20" w:rsidRDefault="009B41F5" w:rsidP="009B41F5">
      <w:pPr>
        <w:spacing w:after="160" w:line="259" w:lineRule="auto"/>
        <w:rPr>
          <w:sz w:val="20"/>
          <w:szCs w:val="20"/>
        </w:rPr>
      </w:pPr>
      <w:r>
        <w:rPr>
          <w:sz w:val="20"/>
          <w:szCs w:val="20"/>
        </w:rPr>
        <w:t xml:space="preserve">Whilst carrying out its work, the Commission </w:t>
      </w:r>
      <w:r w:rsidRPr="008B6A20">
        <w:rPr>
          <w:sz w:val="20"/>
          <w:szCs w:val="20"/>
        </w:rPr>
        <w:t>received invaluable technical advice and input from a number of individuals including Michele Acuto (University College London), John Ashton (E3G), Sukaina Bharwani (Stockholm Environment Institute - Oxford), Isobel Braithwaite (Global Climate and Health Alliance),</w:t>
      </w:r>
      <w:r w:rsidR="00683D83">
        <w:rPr>
          <w:sz w:val="20"/>
          <w:szCs w:val="20"/>
        </w:rPr>
        <w:t xml:space="preserve"> Michael Depledge (University of Exeter)</w:t>
      </w:r>
      <w:r w:rsidRPr="008B6A20">
        <w:rPr>
          <w:sz w:val="20"/>
          <w:szCs w:val="20"/>
        </w:rPr>
        <w:t xml:space="preserve"> Helen Fry (University College London), Josh Karliner (Health Care Without Harm), and Duan Maosheng (Tsinsghua University). Neil Morisetti (University College London) provided ongoing guidance and strategic input throughout the Commission’s process. Elaine Fletcher and Marina Maiero from the World Health Organization’s Department of Public Health, Environmental and Social Determinants of Health, and Bettina Menne from the World Health Organization’s Regional Office for Europe provided both formal and informal advice and assistance to the Commission.</w:t>
      </w:r>
    </w:p>
    <w:p w:rsidR="009B41F5" w:rsidRPr="008B6A20" w:rsidRDefault="009B41F5" w:rsidP="009B41F5">
      <w:pPr>
        <w:spacing w:after="160" w:line="259" w:lineRule="auto"/>
        <w:rPr>
          <w:sz w:val="20"/>
          <w:szCs w:val="20"/>
        </w:rPr>
      </w:pPr>
      <w:r w:rsidRPr="008B6A20">
        <w:rPr>
          <w:sz w:val="20"/>
          <w:szCs w:val="20"/>
        </w:rPr>
        <w:t>The Commission also worked with a number of ‘Practitioner Commissioners’, who reviewed its progress independently, and provided policy insight and guidance on how the final report could be most useful to decision makers. The Practitioner Commissioners included Diarmid Campbell-Lendrum (World Health Organization), Matthew Pencharz (Greater London Authority), Virginia Murray (Public Health England), and Martin Frick (German Federal Foreign Office).</w:t>
      </w:r>
    </w:p>
    <w:p w:rsidR="009B41F5" w:rsidRPr="008B6A20" w:rsidRDefault="009B41F5" w:rsidP="009B41F5">
      <w:pPr>
        <w:spacing w:after="160" w:line="259" w:lineRule="auto"/>
        <w:rPr>
          <w:sz w:val="20"/>
          <w:szCs w:val="20"/>
        </w:rPr>
      </w:pPr>
      <w:r w:rsidRPr="008B6A20">
        <w:rPr>
          <w:sz w:val="20"/>
          <w:szCs w:val="20"/>
        </w:rPr>
        <w:t>Various experts in the fields of finance and economics provided invaluable guidance during the initial preparation stages for Section 4, for which the authors are most grateful. These include Bernie Bulkin (Ludgate Investment Limited), Mark Campanale (Carbon Tracker Initiative), Martin Rushton-Turner (Swiss Re), Michael Mainelli (Z/Yen), Andrew Scott (Overseas Development Institute), Adrian Gault (Committee on Climate Change), Paul Dickinson (</w:t>
      </w:r>
      <w:r w:rsidR="00E708A9">
        <w:rPr>
          <w:sz w:val="20"/>
          <w:szCs w:val="20"/>
        </w:rPr>
        <w:t xml:space="preserve">CDP, formerly </w:t>
      </w:r>
      <w:r w:rsidRPr="008B6A20">
        <w:rPr>
          <w:sz w:val="20"/>
          <w:szCs w:val="20"/>
        </w:rPr>
        <w:t>Carbon Disclosure Project), Jim Watson (UK Energy Research Centre), and Simon Buckle (Organization for Economic Cooperation and Development).</w:t>
      </w:r>
    </w:p>
    <w:p w:rsidR="009B41F5" w:rsidRDefault="009B41F5" w:rsidP="009B41F5">
      <w:pPr>
        <w:spacing w:after="160" w:line="259" w:lineRule="auto"/>
        <w:rPr>
          <w:sz w:val="20"/>
          <w:szCs w:val="20"/>
        </w:rPr>
      </w:pPr>
      <w:r w:rsidRPr="008B6A20">
        <w:rPr>
          <w:sz w:val="20"/>
          <w:szCs w:val="20"/>
        </w:rPr>
        <w:t>Administrative, communications and design support was provided by Ron Finaly, and a number of people at the University College London, including Ayesha Ally, Anila Babla, Faye Basset, Rosie Bartlett, Helen Hopkins, and Kate Hoyland.</w:t>
      </w:r>
    </w:p>
    <w:p w:rsidR="000616F9" w:rsidRDefault="000616F9">
      <w:pPr>
        <w:spacing w:after="160" w:line="259" w:lineRule="auto"/>
        <w:rPr>
          <w:sz w:val="20"/>
          <w:szCs w:val="20"/>
        </w:rPr>
      </w:pPr>
    </w:p>
    <w:p w:rsidR="000616F9" w:rsidRDefault="000616F9">
      <w:pPr>
        <w:spacing w:after="160" w:line="259" w:lineRule="auto"/>
        <w:rPr>
          <w:sz w:val="20"/>
          <w:szCs w:val="20"/>
        </w:rPr>
      </w:pPr>
    </w:p>
    <w:p w:rsidR="001A27B9" w:rsidRPr="006A7DE4" w:rsidRDefault="001A27B9">
      <w:pPr>
        <w:spacing w:after="160" w:line="259" w:lineRule="auto"/>
        <w:rPr>
          <w:sz w:val="20"/>
          <w:szCs w:val="20"/>
        </w:rPr>
      </w:pPr>
      <w:r w:rsidRPr="006A7DE4">
        <w:rPr>
          <w:sz w:val="20"/>
          <w:szCs w:val="20"/>
        </w:rPr>
        <w:br w:type="page"/>
      </w:r>
    </w:p>
    <w:p w:rsidR="001A27B9" w:rsidRDefault="001A27B9" w:rsidP="00FD2424">
      <w:pPr>
        <w:pStyle w:val="Heading1"/>
        <w:rPr>
          <w:lang w:val="en-GB"/>
        </w:rPr>
      </w:pPr>
      <w:bookmarkStart w:id="206" w:name="_Toc415931430"/>
      <w:bookmarkStart w:id="207" w:name="_Toc417502097"/>
      <w:r>
        <w:rPr>
          <w:lang w:val="en-GB"/>
        </w:rPr>
        <w:lastRenderedPageBreak/>
        <w:t>References</w:t>
      </w:r>
      <w:bookmarkEnd w:id="206"/>
      <w:bookmarkEnd w:id="207"/>
    </w:p>
    <w:p w:rsidR="001A27B9" w:rsidRDefault="001A27B9" w:rsidP="001A27B9">
      <w:pPr>
        <w:pStyle w:val="EndNoteBibliography"/>
        <w:spacing w:after="240"/>
        <w:rPr>
          <w:lang w:val="en-GB"/>
        </w:rPr>
      </w:pPr>
    </w:p>
    <w:p w:rsidR="009F6910" w:rsidRPr="009F6910" w:rsidRDefault="00E13392" w:rsidP="009F6910">
      <w:pPr>
        <w:pStyle w:val="EndNoteBibliography"/>
        <w:spacing w:after="240"/>
      </w:pPr>
      <w:r w:rsidRPr="00B95AFF">
        <w:rPr>
          <w:rFonts w:ascii="Helvetica" w:hAnsi="Helvetica" w:cs="Calibri"/>
          <w:color w:val="000000"/>
        </w:rPr>
        <w:fldChar w:fldCharType="begin"/>
      </w:r>
      <w:r w:rsidR="00076B51" w:rsidRPr="00B95AFF">
        <w:rPr>
          <w:rFonts w:ascii="Helvetica" w:hAnsi="Helvetica" w:cs="Calibri"/>
          <w:color w:val="000000"/>
        </w:rPr>
        <w:instrText xml:space="preserve"> ADDIN EN.REFLIST </w:instrText>
      </w:r>
      <w:r w:rsidRPr="00B95AFF">
        <w:rPr>
          <w:rFonts w:ascii="Helvetica" w:hAnsi="Helvetica" w:cs="Calibri"/>
          <w:color w:val="000000"/>
        </w:rPr>
        <w:fldChar w:fldCharType="separate"/>
      </w:r>
      <w:r w:rsidR="009F6910" w:rsidRPr="009F6910">
        <w:t>1.</w:t>
      </w:r>
      <w:r w:rsidR="009F6910" w:rsidRPr="009F6910">
        <w:tab/>
        <w:t xml:space="preserve">Costello A, Abbas M, Allen A, et al. Managing the health effects of climate change. </w:t>
      </w:r>
      <w:r w:rsidR="009F6910" w:rsidRPr="009F6910">
        <w:rPr>
          <w:i/>
        </w:rPr>
        <w:t>The Lancet</w:t>
      </w:r>
      <w:r w:rsidR="009F6910" w:rsidRPr="009F6910">
        <w:t xml:space="preserve"> 2009; </w:t>
      </w:r>
      <w:r w:rsidR="009F6910" w:rsidRPr="009F6910">
        <w:rPr>
          <w:b/>
        </w:rPr>
        <w:t>373</w:t>
      </w:r>
      <w:r w:rsidR="009F6910" w:rsidRPr="009F6910">
        <w:t>(9676): 1693-733.</w:t>
      </w:r>
    </w:p>
    <w:p w:rsidR="009F6910" w:rsidRPr="009F6910" w:rsidRDefault="009F6910" w:rsidP="009F6910">
      <w:pPr>
        <w:pStyle w:val="EndNoteBibliography"/>
        <w:spacing w:after="240"/>
      </w:pPr>
      <w:r w:rsidRPr="009F6910">
        <w:t>2.</w:t>
      </w:r>
      <w:r w:rsidRPr="009F6910">
        <w:tab/>
        <w:t>IPCC. Summary for Policymakers. In: Field CB, V.R. Barros, D.J. Dokken, K.J. Mach, M.D. Mastrandrea, T.E. Bilir, M. Chatterjee, K.L. Ebi, Y.O. Estrada, R.C. Genova, B. Girma, E.S. Kissel, A.N. Levy, S. MacCracken, P.R. Mastrandrea, and L.L. White ed. Climate Change 2014: Impacts, Adaptation, and Vulnerability Part A: Global and Sectoral Aspects Contribution of Working Group II to the Fifth Assessment Report of the Intergovernmental Panel on Climate Change. Cambridge, United Kingdom and New York, NY, USA: Cambridge University Press; 2014: 1-32.</w:t>
      </w:r>
    </w:p>
    <w:p w:rsidR="009F6910" w:rsidRPr="009F6910" w:rsidRDefault="009F6910" w:rsidP="009F6910">
      <w:pPr>
        <w:pStyle w:val="EndNoteBibliography"/>
        <w:spacing w:after="240"/>
      </w:pPr>
      <w:r w:rsidRPr="009F6910">
        <w:t>3.</w:t>
      </w:r>
      <w:r w:rsidRPr="009F6910">
        <w:tab/>
        <w:t>Cubasch U, Wuebbles D, Chen D, et al. Introduction. In: Stocker TF, Qin D, Plattner G-K, et al., eds. Climate Change 2013: The Physical Science Basis Contribution of Working Group I to the Fifth Assessment Report of the Intergovernmental Panel on Climate Change. Cambridge, United Kingdom and New York, NY, USA: Cambridge University Press; 2013: 119–58.</w:t>
      </w:r>
    </w:p>
    <w:p w:rsidR="009F6910" w:rsidRPr="009F6910" w:rsidRDefault="009F6910" w:rsidP="009F6910">
      <w:pPr>
        <w:pStyle w:val="EndNoteBibliography"/>
        <w:spacing w:after="240"/>
      </w:pPr>
      <w:r w:rsidRPr="009F6910">
        <w:t>4.</w:t>
      </w:r>
      <w:r w:rsidRPr="009F6910">
        <w:tab/>
        <w:t>British Petroleum. BP Statistical Review of World Energy. London, 2014.</w:t>
      </w:r>
    </w:p>
    <w:p w:rsidR="009F6910" w:rsidRPr="009F6910" w:rsidRDefault="009F6910" w:rsidP="009F6910">
      <w:pPr>
        <w:pStyle w:val="EndNoteBibliography"/>
        <w:spacing w:after="240"/>
      </w:pPr>
      <w:r w:rsidRPr="009F6910">
        <w:t>5.</w:t>
      </w:r>
      <w:r w:rsidRPr="009F6910">
        <w:tab/>
        <w:t>Ciais P, Sabine C, Bala G, et al. Carbon and Other Biogeochemical Cycles. In: Stocker TF, Qin D, Plattner G-K, et al., eds. Climate Change 2013: The Physical Science Basis Contribution of Working Group I to the Fifth Assessment Report of the Intergovernmental Panel on Climate Change. Cambridge, United Kingdom and New York, NY, USA: Cambridge University Press; 2013: 465–570.</w:t>
      </w:r>
    </w:p>
    <w:p w:rsidR="009F6910" w:rsidRPr="009F6910" w:rsidRDefault="009F6910" w:rsidP="009F6910">
      <w:pPr>
        <w:pStyle w:val="EndNoteBibliography"/>
        <w:spacing w:after="240"/>
      </w:pPr>
      <w:r w:rsidRPr="009F6910">
        <w:t>6.</w:t>
      </w:r>
      <w:r w:rsidRPr="009F6910">
        <w:tab/>
        <w:t xml:space="preserve">National Oceanic and Atmospheric Administration. Trends in Atmospheric Carbon Dioxide. 2014. </w:t>
      </w:r>
      <w:hyperlink r:id="rId29" w:history="1">
        <w:r w:rsidRPr="009F6910">
          <w:rPr>
            <w:rStyle w:val="Hyperlink"/>
          </w:rPr>
          <w:t>http://www.esrl.noaa.gov/gmd/ccgg/trends/weekly.html</w:t>
        </w:r>
      </w:hyperlink>
      <w:r w:rsidRPr="009F6910">
        <w:t xml:space="preserve"> (accessed 22 Dec 2014).</w:t>
      </w:r>
    </w:p>
    <w:p w:rsidR="009F6910" w:rsidRPr="009F6910" w:rsidRDefault="009F6910" w:rsidP="009F6910">
      <w:pPr>
        <w:pStyle w:val="EndNoteBibliography"/>
        <w:spacing w:after="240"/>
      </w:pPr>
      <w:r w:rsidRPr="009F6910">
        <w:t>7.</w:t>
      </w:r>
      <w:r w:rsidRPr="009F6910">
        <w:tab/>
        <w:t>Balla G. Digesting 400 ppm for global mean CO</w:t>
      </w:r>
      <w:r w:rsidRPr="009F6910">
        <w:rPr>
          <w:vertAlign w:val="subscript"/>
        </w:rPr>
        <w:t>2</w:t>
      </w:r>
      <w:r w:rsidRPr="009F6910">
        <w:t xml:space="preserve"> concentration. </w:t>
      </w:r>
      <w:r w:rsidRPr="009F6910">
        <w:rPr>
          <w:i/>
        </w:rPr>
        <w:t>Current Science</w:t>
      </w:r>
      <w:r w:rsidRPr="009F6910">
        <w:t xml:space="preserve"> 2013; </w:t>
      </w:r>
      <w:r w:rsidRPr="009F6910">
        <w:rPr>
          <w:b/>
        </w:rPr>
        <w:t>104</w:t>
      </w:r>
      <w:r w:rsidRPr="009F6910">
        <w:t>(11): 1471-2.</w:t>
      </w:r>
    </w:p>
    <w:p w:rsidR="009F6910" w:rsidRPr="009F6910" w:rsidRDefault="009F6910" w:rsidP="009F6910">
      <w:pPr>
        <w:pStyle w:val="EndNoteBibliography"/>
        <w:spacing w:after="240"/>
      </w:pPr>
      <w:r w:rsidRPr="009F6910">
        <w:t>8.</w:t>
      </w:r>
      <w:r w:rsidRPr="009F6910">
        <w:tab/>
        <w:t>IPCC. Summary for Policymakers. In: Stocker TF, Qin D, Plattner G-K, et al., eds. Climate Change 2013: The Physical Science Basis Contribution of Working Group I to the Fifth Assessment Report of the Intergovernmental Panel on Climate Change. Cambridge, United Kingdom and New York, NY, USA: Cambridge University Press; 2013: 1–30.</w:t>
      </w:r>
    </w:p>
    <w:p w:rsidR="009F6910" w:rsidRPr="009F6910" w:rsidRDefault="009F6910" w:rsidP="009F6910">
      <w:pPr>
        <w:pStyle w:val="EndNoteBibliography"/>
        <w:spacing w:after="240"/>
      </w:pPr>
      <w:r w:rsidRPr="009F6910">
        <w:t>9.</w:t>
      </w:r>
      <w:r w:rsidRPr="009F6910">
        <w:tab/>
        <w:t xml:space="preserve">McMillan M, Shepherd A, Sundal A, et al. Increased ice losses from Antarctica detected by CryoSat-2. </w:t>
      </w:r>
      <w:r w:rsidRPr="009F6910">
        <w:rPr>
          <w:i/>
        </w:rPr>
        <w:t>Geophysical Research Letters</w:t>
      </w:r>
      <w:r w:rsidRPr="009F6910">
        <w:t xml:space="preserve"> 2014; </w:t>
      </w:r>
      <w:r w:rsidRPr="009F6910">
        <w:rPr>
          <w:b/>
        </w:rPr>
        <w:t>41</w:t>
      </w:r>
      <w:r w:rsidRPr="009F6910">
        <w:t>(11): 3899-905.</w:t>
      </w:r>
    </w:p>
    <w:p w:rsidR="009F6910" w:rsidRPr="009F6910" w:rsidRDefault="009F6910" w:rsidP="009F6910">
      <w:pPr>
        <w:pStyle w:val="EndNoteBibliography"/>
        <w:spacing w:after="240"/>
      </w:pPr>
      <w:r w:rsidRPr="009F6910">
        <w:t>10.</w:t>
      </w:r>
      <w:r w:rsidRPr="009F6910">
        <w:tab/>
        <w:t xml:space="preserve">Riahi K, Rao S, Krey V, et al. RCP 8.5—A scenario of comparatively high greenhouse gas emissions. </w:t>
      </w:r>
      <w:r w:rsidRPr="009F6910">
        <w:rPr>
          <w:i/>
        </w:rPr>
        <w:t>Climate Change</w:t>
      </w:r>
      <w:r w:rsidRPr="009F6910">
        <w:t xml:space="preserve"> 2011; </w:t>
      </w:r>
      <w:r w:rsidRPr="009F6910">
        <w:rPr>
          <w:b/>
        </w:rPr>
        <w:t>109</w:t>
      </w:r>
      <w:r w:rsidRPr="009F6910">
        <w:t>(33-57).</w:t>
      </w:r>
    </w:p>
    <w:p w:rsidR="009F6910" w:rsidRPr="009F6910" w:rsidRDefault="009F6910" w:rsidP="009F6910">
      <w:pPr>
        <w:pStyle w:val="EndNoteBibliography"/>
        <w:spacing w:after="240"/>
      </w:pPr>
      <w:r w:rsidRPr="009F6910">
        <w:t>11.</w:t>
      </w:r>
      <w:r w:rsidRPr="009F6910">
        <w:tab/>
        <w:t xml:space="preserve">Stott PA, Stone DA, Allen MR. Human contribution to the European heatwave of 2003. </w:t>
      </w:r>
      <w:r w:rsidRPr="009F6910">
        <w:rPr>
          <w:i/>
        </w:rPr>
        <w:t>Nature</w:t>
      </w:r>
      <w:r w:rsidRPr="009F6910">
        <w:t xml:space="preserve"> 2004; </w:t>
      </w:r>
      <w:r w:rsidRPr="009F6910">
        <w:rPr>
          <w:b/>
        </w:rPr>
        <w:t>432</w:t>
      </w:r>
      <w:r w:rsidRPr="009F6910">
        <w:t>(7017): 610-4.</w:t>
      </w:r>
    </w:p>
    <w:p w:rsidR="009F6910" w:rsidRPr="009F6910" w:rsidRDefault="009F6910" w:rsidP="009F6910">
      <w:pPr>
        <w:pStyle w:val="EndNoteBibliography"/>
        <w:spacing w:after="240"/>
      </w:pPr>
      <w:r w:rsidRPr="009F6910">
        <w:t>12.</w:t>
      </w:r>
      <w:r w:rsidRPr="009F6910">
        <w:tab/>
        <w:t xml:space="preserve">Rahmstorf S, Coumou D. Increase of extreme events in a warming world. </w:t>
      </w:r>
      <w:r w:rsidRPr="009F6910">
        <w:rPr>
          <w:i/>
        </w:rPr>
        <w:t>Proc Natl Acad Sci USA</w:t>
      </w:r>
      <w:r w:rsidRPr="009F6910">
        <w:t xml:space="preserve"> 2011; </w:t>
      </w:r>
      <w:r w:rsidRPr="009F6910">
        <w:rPr>
          <w:b/>
        </w:rPr>
        <w:t>108</w:t>
      </w:r>
      <w:r w:rsidRPr="009F6910">
        <w:t>(44): 17905-9.</w:t>
      </w:r>
    </w:p>
    <w:p w:rsidR="009F6910" w:rsidRPr="009F6910" w:rsidRDefault="009F6910" w:rsidP="009F6910">
      <w:pPr>
        <w:pStyle w:val="EndNoteBibliography"/>
        <w:spacing w:after="240"/>
      </w:pPr>
      <w:r w:rsidRPr="009F6910">
        <w:t>13.</w:t>
      </w:r>
      <w:r w:rsidRPr="009F6910">
        <w:tab/>
        <w:t xml:space="preserve">Otto F, Massey N, Oldenborgh Gv, Jones R, Allen M. Reconciling two approaches to attribution of the 2010 Russian heat wave. </w:t>
      </w:r>
      <w:r w:rsidRPr="009F6910">
        <w:rPr>
          <w:i/>
        </w:rPr>
        <w:t>Geophysical Research Letters</w:t>
      </w:r>
      <w:r w:rsidRPr="009F6910">
        <w:t xml:space="preserve"> 2012; </w:t>
      </w:r>
      <w:r w:rsidRPr="009F6910">
        <w:rPr>
          <w:b/>
        </w:rPr>
        <w:t>39</w:t>
      </w:r>
      <w:r w:rsidRPr="009F6910">
        <w:t>(4).</w:t>
      </w:r>
    </w:p>
    <w:p w:rsidR="009F6910" w:rsidRPr="009F6910" w:rsidRDefault="009F6910" w:rsidP="009F6910">
      <w:pPr>
        <w:pStyle w:val="EndNoteBibliography"/>
        <w:spacing w:after="240"/>
      </w:pPr>
      <w:r w:rsidRPr="009F6910">
        <w:t>14.</w:t>
      </w:r>
      <w:r w:rsidRPr="009F6910">
        <w:tab/>
        <w:t xml:space="preserve">Peterson T, Hoerling M, Stott P, Herring S. Explaining Extreme Events of 2012 from a Climate Perspective. </w:t>
      </w:r>
      <w:r w:rsidRPr="009F6910">
        <w:rPr>
          <w:i/>
        </w:rPr>
        <w:t>Special Bulletin of the American Meteorological Society</w:t>
      </w:r>
      <w:r w:rsidRPr="009F6910">
        <w:t xml:space="preserve"> 2013; </w:t>
      </w:r>
      <w:r w:rsidRPr="009F6910">
        <w:rPr>
          <w:b/>
        </w:rPr>
        <w:t>94</w:t>
      </w:r>
      <w:r w:rsidRPr="009F6910">
        <w:t>(9): S1-S106.</w:t>
      </w:r>
    </w:p>
    <w:p w:rsidR="009F6910" w:rsidRPr="009F6910" w:rsidRDefault="009F6910" w:rsidP="009F6910">
      <w:pPr>
        <w:pStyle w:val="EndNoteBibliography"/>
        <w:spacing w:after="240"/>
      </w:pPr>
      <w:r w:rsidRPr="009F6910">
        <w:lastRenderedPageBreak/>
        <w:t>15.</w:t>
      </w:r>
      <w:r w:rsidRPr="009F6910">
        <w:tab/>
        <w:t xml:space="preserve">Herring S, Hoerling M, Peterson T, Stott P. Explaining Extreme Events of 2013 from a Climate Perspective. </w:t>
      </w:r>
      <w:r w:rsidRPr="009F6910">
        <w:rPr>
          <w:i/>
        </w:rPr>
        <w:t>Special Bulletin of the American Meteorological Society</w:t>
      </w:r>
      <w:r w:rsidRPr="009F6910">
        <w:t xml:space="preserve"> 2014; </w:t>
      </w:r>
      <w:r w:rsidRPr="009F6910">
        <w:rPr>
          <w:b/>
        </w:rPr>
        <w:t>95</w:t>
      </w:r>
      <w:r w:rsidRPr="009F6910">
        <w:t>(9): S1-S96.</w:t>
      </w:r>
    </w:p>
    <w:p w:rsidR="009F6910" w:rsidRPr="009F6910" w:rsidRDefault="009F6910" w:rsidP="009F6910">
      <w:pPr>
        <w:pStyle w:val="EndNoteBibliography"/>
        <w:spacing w:after="240"/>
      </w:pPr>
      <w:r w:rsidRPr="009F6910">
        <w:t>16.</w:t>
      </w:r>
      <w:r w:rsidRPr="009F6910">
        <w:tab/>
        <w:t xml:space="preserve">Peterson T, Stott P, Herring S. Explaining Extreme Events of 2011 from a Climate Perspective. </w:t>
      </w:r>
      <w:r w:rsidRPr="009F6910">
        <w:rPr>
          <w:i/>
        </w:rPr>
        <w:t>Special Supplement to the Bulletin of the American Meteorological Society</w:t>
      </w:r>
      <w:r w:rsidRPr="009F6910">
        <w:t xml:space="preserve"> 2012; </w:t>
      </w:r>
      <w:r w:rsidRPr="009F6910">
        <w:rPr>
          <w:b/>
        </w:rPr>
        <w:t>93</w:t>
      </w:r>
      <w:r w:rsidRPr="009F6910">
        <w:t>: 1041-67.</w:t>
      </w:r>
    </w:p>
    <w:p w:rsidR="009F6910" w:rsidRPr="009F6910" w:rsidRDefault="009F6910" w:rsidP="009F6910">
      <w:pPr>
        <w:pStyle w:val="EndNoteBibliography"/>
        <w:spacing w:after="240"/>
      </w:pPr>
      <w:r w:rsidRPr="009F6910">
        <w:t>17.</w:t>
      </w:r>
      <w:r w:rsidRPr="009F6910">
        <w:tab/>
        <w:t xml:space="preserve">Pall P, Aina T, Stone D, et al. Anthropogenic greenhouse gas contribution to flood risk in England and Wales in autumn 2000. </w:t>
      </w:r>
      <w:r w:rsidRPr="009F6910">
        <w:rPr>
          <w:i/>
        </w:rPr>
        <w:t>Nature</w:t>
      </w:r>
      <w:r w:rsidRPr="009F6910">
        <w:t xml:space="preserve"> 2011; </w:t>
      </w:r>
      <w:r w:rsidRPr="009F6910">
        <w:rPr>
          <w:b/>
        </w:rPr>
        <w:t>470</w:t>
      </w:r>
      <w:r w:rsidRPr="009F6910">
        <w:t>(7334): 382–5.</w:t>
      </w:r>
    </w:p>
    <w:p w:rsidR="009F6910" w:rsidRPr="009F6910" w:rsidRDefault="009F6910" w:rsidP="009F6910">
      <w:pPr>
        <w:pStyle w:val="EndNoteBibliography"/>
        <w:spacing w:after="240"/>
      </w:pPr>
      <w:r w:rsidRPr="009F6910">
        <w:t>18.</w:t>
      </w:r>
      <w:r w:rsidRPr="009F6910">
        <w:tab/>
        <w:t>World Bank. Turn down the heat: why a 4°C warmer world must be avoided. A Report for the World Bank by the Potsdam Institute for Climate Impact Research and Climate Analytics; 2012.</w:t>
      </w:r>
    </w:p>
    <w:p w:rsidR="009F6910" w:rsidRPr="009F6910" w:rsidRDefault="009F6910" w:rsidP="009F6910">
      <w:pPr>
        <w:pStyle w:val="EndNoteBibliography"/>
        <w:spacing w:after="240"/>
      </w:pPr>
      <w:r w:rsidRPr="009F6910">
        <w:t>19.</w:t>
      </w:r>
      <w:r w:rsidRPr="009F6910">
        <w:tab/>
        <w:t xml:space="preserve">Rockström J, Steffen W, Noone K, et al. Planetary boundaries:exploring the safe operating space for humanity. </w:t>
      </w:r>
      <w:r w:rsidRPr="009F6910">
        <w:rPr>
          <w:i/>
        </w:rPr>
        <w:t>Ecology and Society</w:t>
      </w:r>
      <w:r w:rsidRPr="009F6910">
        <w:t xml:space="preserve"> 2009; </w:t>
      </w:r>
      <w:r w:rsidRPr="009F6910">
        <w:rPr>
          <w:b/>
        </w:rPr>
        <w:t>14</w:t>
      </w:r>
      <w:r w:rsidRPr="009F6910">
        <w:t>(2).</w:t>
      </w:r>
    </w:p>
    <w:p w:rsidR="009F6910" w:rsidRPr="009F6910" w:rsidRDefault="009F6910" w:rsidP="009F6910">
      <w:pPr>
        <w:pStyle w:val="EndNoteBibliography"/>
        <w:spacing w:after="240"/>
      </w:pPr>
      <w:r w:rsidRPr="009F6910">
        <w:t>20.</w:t>
      </w:r>
      <w:r w:rsidRPr="009F6910">
        <w:tab/>
        <w:t xml:space="preserve">Lenton T, Held H, Kriegler E, et al. Tipping elements in the Earth's climate system. </w:t>
      </w:r>
      <w:r w:rsidRPr="009F6910">
        <w:rPr>
          <w:i/>
        </w:rPr>
        <w:t>Proceedings of the National Academy of Sciences of the United States of America</w:t>
      </w:r>
      <w:r w:rsidRPr="009F6910">
        <w:t xml:space="preserve"> 2007; </w:t>
      </w:r>
      <w:r w:rsidRPr="009F6910">
        <w:rPr>
          <w:b/>
        </w:rPr>
        <w:t>105</w:t>
      </w:r>
      <w:r w:rsidRPr="009F6910">
        <w:t>(6): 1786-93.</w:t>
      </w:r>
    </w:p>
    <w:p w:rsidR="009F6910" w:rsidRPr="009F6910" w:rsidRDefault="009F6910" w:rsidP="009F6910">
      <w:pPr>
        <w:pStyle w:val="EndNoteBibliography"/>
        <w:spacing w:after="240"/>
      </w:pPr>
      <w:r w:rsidRPr="009F6910">
        <w:t>21.</w:t>
      </w:r>
      <w:r w:rsidRPr="009F6910">
        <w:tab/>
        <w:t xml:space="preserve">Haines A, Ebi KL, Smith K, Woodward A. Health risks of climate change: act now or pay later. </w:t>
      </w:r>
      <w:r w:rsidRPr="009F6910">
        <w:rPr>
          <w:i/>
        </w:rPr>
        <w:t>The Lancet</w:t>
      </w:r>
      <w:r w:rsidRPr="009F6910">
        <w:t xml:space="preserve"> 2014; </w:t>
      </w:r>
      <w:r w:rsidRPr="009F6910">
        <w:rPr>
          <w:b/>
        </w:rPr>
        <w:t>384</w:t>
      </w:r>
      <w:r w:rsidRPr="009F6910">
        <w:t>(9948): 1073-5.</w:t>
      </w:r>
    </w:p>
    <w:p w:rsidR="009F6910" w:rsidRPr="009F6910" w:rsidRDefault="009F6910" w:rsidP="009F6910">
      <w:pPr>
        <w:pStyle w:val="EndNoteBibliography"/>
        <w:spacing w:after="240"/>
      </w:pPr>
      <w:r w:rsidRPr="009F6910">
        <w:t>22.</w:t>
      </w:r>
      <w:r w:rsidRPr="009F6910">
        <w:tab/>
        <w:t xml:space="preserve">Anderson K, Bows A. Beyond 'dangerous' climate change: emission scenarios for a new world. </w:t>
      </w:r>
      <w:r w:rsidRPr="009F6910">
        <w:rPr>
          <w:i/>
        </w:rPr>
        <w:t>Philos Trans A Math Phys Eng Sci</w:t>
      </w:r>
      <w:r w:rsidRPr="009F6910">
        <w:t xml:space="preserve"> 2011; </w:t>
      </w:r>
      <w:r w:rsidRPr="009F6910">
        <w:rPr>
          <w:b/>
        </w:rPr>
        <w:t>369</w:t>
      </w:r>
      <w:r w:rsidRPr="009F6910">
        <w:t>(1934): 20-44.</w:t>
      </w:r>
    </w:p>
    <w:p w:rsidR="009F6910" w:rsidRPr="009F6910" w:rsidRDefault="009F6910" w:rsidP="009F6910">
      <w:pPr>
        <w:pStyle w:val="EndNoteBibliography"/>
        <w:spacing w:after="240"/>
      </w:pPr>
      <w:r w:rsidRPr="009F6910">
        <w:t>23.</w:t>
      </w:r>
      <w:r w:rsidRPr="009F6910">
        <w:tab/>
        <w:t>Silver N. The Signal and the Noise: The Art and Science of Prediction. London: Penguin UK; 2012.</w:t>
      </w:r>
    </w:p>
    <w:p w:rsidR="009F6910" w:rsidRPr="009F6910" w:rsidRDefault="009F6910" w:rsidP="009F6910">
      <w:pPr>
        <w:pStyle w:val="EndNoteBibliography"/>
        <w:spacing w:after="240"/>
      </w:pPr>
      <w:r w:rsidRPr="009F6910">
        <w:t>24.</w:t>
      </w:r>
      <w:r w:rsidRPr="009F6910">
        <w:tab/>
        <w:t xml:space="preserve">McMaster R, Baber C. Multi-agency operations: Cooperation during flooding. </w:t>
      </w:r>
      <w:r w:rsidRPr="009F6910">
        <w:rPr>
          <w:i/>
        </w:rPr>
        <w:t>Applied Ergonomics</w:t>
      </w:r>
      <w:r w:rsidRPr="009F6910">
        <w:t xml:space="preserve"> 2011; </w:t>
      </w:r>
      <w:r w:rsidRPr="009F6910">
        <w:rPr>
          <w:b/>
        </w:rPr>
        <w:t>43</w:t>
      </w:r>
      <w:r w:rsidRPr="009F6910">
        <w:t>: 38-47.</w:t>
      </w:r>
    </w:p>
    <w:p w:rsidR="009F6910" w:rsidRPr="009F6910" w:rsidRDefault="009F6910" w:rsidP="009F6910">
      <w:pPr>
        <w:pStyle w:val="EndNoteBibliography"/>
        <w:spacing w:after="240"/>
      </w:pPr>
      <w:r w:rsidRPr="009F6910">
        <w:t>25.</w:t>
      </w:r>
      <w:r w:rsidRPr="009F6910">
        <w:tab/>
        <w:t>Overview and Scrutiny Management Committee. Scrutiny Inquiry into the Summery Emergency 2007. Gloucestershire: Gloucestershire County Council, 2007.</w:t>
      </w:r>
    </w:p>
    <w:p w:rsidR="009F6910" w:rsidRPr="009F6910" w:rsidRDefault="009F6910" w:rsidP="009F6910">
      <w:pPr>
        <w:pStyle w:val="EndNoteBibliography"/>
        <w:spacing w:after="240"/>
      </w:pPr>
      <w:r w:rsidRPr="009F6910">
        <w:t>26.</w:t>
      </w:r>
      <w:r w:rsidRPr="009F6910">
        <w:tab/>
        <w:t>World Health Organisation. Health in the Green Economy - Series. Geneva, 2011.</w:t>
      </w:r>
    </w:p>
    <w:p w:rsidR="009F6910" w:rsidRPr="009F6910" w:rsidRDefault="009F6910" w:rsidP="009F6910">
      <w:pPr>
        <w:pStyle w:val="EndNoteBibliography"/>
        <w:spacing w:after="240"/>
      </w:pPr>
      <w:r w:rsidRPr="009F6910">
        <w:t>27.</w:t>
      </w:r>
      <w:r w:rsidRPr="009F6910">
        <w:tab/>
        <w:t xml:space="preserve">A Haines, Armstrong B, Chalabi Z, et al. The health benefits of tackling climate change: An Executive Summary for the Lancet Series. </w:t>
      </w:r>
      <w:r w:rsidRPr="009F6910">
        <w:rPr>
          <w:i/>
        </w:rPr>
        <w:t>The Lancet</w:t>
      </w:r>
      <w:r w:rsidRPr="009F6910">
        <w:t xml:space="preserve"> 2009.</w:t>
      </w:r>
    </w:p>
    <w:p w:rsidR="009F6910" w:rsidRPr="009F6910" w:rsidRDefault="009F6910" w:rsidP="009F6910">
      <w:pPr>
        <w:pStyle w:val="EndNoteBibliography"/>
        <w:spacing w:after="240"/>
      </w:pPr>
      <w:r w:rsidRPr="009F6910">
        <w:t>28.</w:t>
      </w:r>
      <w:r w:rsidRPr="009F6910">
        <w:tab/>
        <w:t>Bhatia M, Angelou N, Soni R, et al. Access to Modern Energy Services for Health Facilities in Resource-Constrained Settings: The World Bank and World Health Organization, 2015.</w:t>
      </w:r>
    </w:p>
    <w:p w:rsidR="009F6910" w:rsidRPr="009F6910" w:rsidRDefault="009F6910" w:rsidP="009F6910">
      <w:pPr>
        <w:pStyle w:val="EndNoteBibliography"/>
        <w:spacing w:after="240"/>
      </w:pPr>
      <w:r w:rsidRPr="009F6910">
        <w:t>29.</w:t>
      </w:r>
      <w:r w:rsidRPr="009F6910">
        <w:tab/>
        <w:t xml:space="preserve">Haines A, McMichael AJ, Smith KR, et al. Public health benefits of strategies to reduce greenhouse-gas emissions: overview and implications for policy makers. </w:t>
      </w:r>
      <w:r w:rsidRPr="009F6910">
        <w:rPr>
          <w:i/>
        </w:rPr>
        <w:t>The Lancet</w:t>
      </w:r>
      <w:r w:rsidRPr="009F6910">
        <w:t xml:space="preserve"> 2009; </w:t>
      </w:r>
      <w:r w:rsidRPr="009F6910">
        <w:rPr>
          <w:b/>
        </w:rPr>
        <w:t>374</w:t>
      </w:r>
      <w:r w:rsidRPr="009F6910">
        <w:t>(9707): 2104-14.</w:t>
      </w:r>
    </w:p>
    <w:p w:rsidR="009F6910" w:rsidRPr="009F6910" w:rsidRDefault="009F6910" w:rsidP="009F6910">
      <w:pPr>
        <w:pStyle w:val="EndNoteBibliography"/>
        <w:spacing w:after="240"/>
      </w:pPr>
      <w:r w:rsidRPr="009F6910">
        <w:t>30.</w:t>
      </w:r>
      <w:r w:rsidRPr="009F6910">
        <w:tab/>
        <w:t xml:space="preserve">Walker BH, Gunderson LH, Kinzig AP, Folke C, Carpenter SR, Schultz L. A handful of heuristics and some propositions for understanding resilience in social-ecological systems. </w:t>
      </w:r>
      <w:r w:rsidRPr="009F6910">
        <w:rPr>
          <w:i/>
        </w:rPr>
        <w:t>Ecology and Society</w:t>
      </w:r>
      <w:r w:rsidRPr="009F6910">
        <w:t xml:space="preserve"> 2006; </w:t>
      </w:r>
      <w:r w:rsidRPr="009F6910">
        <w:rPr>
          <w:b/>
        </w:rPr>
        <w:t>11</w:t>
      </w:r>
      <w:r w:rsidRPr="009F6910">
        <w:t>(1): 13.</w:t>
      </w:r>
    </w:p>
    <w:p w:rsidR="009F6910" w:rsidRPr="009F6910" w:rsidRDefault="009F6910" w:rsidP="009F6910">
      <w:pPr>
        <w:pStyle w:val="EndNoteBibliography"/>
        <w:spacing w:after="240"/>
      </w:pPr>
      <w:r w:rsidRPr="009F6910">
        <w:t>31.</w:t>
      </w:r>
      <w:r w:rsidRPr="009F6910">
        <w:tab/>
        <w:t xml:space="preserve">Smith KR, Woodward A, Campell-Lendrum D, et al. Human Health - Impacts adaptation and co-benefits.  Climate Change 2014: Impacts, Adaptation, and Vulnerability Working Group II </w:t>
      </w:r>
      <w:r w:rsidRPr="009F6910">
        <w:lastRenderedPageBreak/>
        <w:t>Contribution to the IPCC 5th Assessment Report. Cambridge, UK and New York, NY, USA: Cambridge University Press; 2014.</w:t>
      </w:r>
    </w:p>
    <w:p w:rsidR="009F6910" w:rsidRPr="009F6910" w:rsidRDefault="009F6910" w:rsidP="009F6910">
      <w:pPr>
        <w:pStyle w:val="EndNoteBibliography"/>
        <w:spacing w:after="240"/>
      </w:pPr>
      <w:r w:rsidRPr="009F6910">
        <w:t>32.</w:t>
      </w:r>
      <w:r w:rsidRPr="009F6910">
        <w:tab/>
        <w:t>Hales S, Kovats S, Lloyd S, Campbell-Lendrum D. Quantitative risk assessment of the effects of climate change on selected causes of death, 2030s and 2050s. Geneva: World Health Organization, 2014.</w:t>
      </w:r>
    </w:p>
    <w:p w:rsidR="009F6910" w:rsidRPr="009F6910" w:rsidRDefault="009F6910" w:rsidP="009F6910">
      <w:pPr>
        <w:pStyle w:val="EndNoteBibliography"/>
        <w:spacing w:after="240"/>
      </w:pPr>
      <w:r w:rsidRPr="009F6910">
        <w:t>33.</w:t>
      </w:r>
      <w:r w:rsidRPr="009F6910">
        <w:tab/>
        <w:t>Adger WN, Pulhin JM, Barnett J, et al. Human security. In: Field CB, Barros VR, Dokken DJ, et al., eds. Climate Change 2014: Impacts, Adaptation, and Vulnerability Part A: Global and Sectoral Aspects Contribution of Working Group II to the Fifth Assessment Report of the Intergovernmental Panel of Climate Change. Cambridge, United Kingdom and New York, NY, USA: Cambridge University Press; 2014: 755-91.</w:t>
      </w:r>
    </w:p>
    <w:p w:rsidR="009F6910" w:rsidRPr="009F6910" w:rsidRDefault="009F6910" w:rsidP="009F6910">
      <w:pPr>
        <w:pStyle w:val="EndNoteBibliography"/>
        <w:spacing w:after="240"/>
      </w:pPr>
      <w:r w:rsidRPr="009F6910">
        <w:t>34.</w:t>
      </w:r>
      <w:r w:rsidRPr="009F6910">
        <w:tab/>
        <w:t>Barrett CB. Food Security and Sociopolitical Stability. Oxford: Oxford University Press; 2013.</w:t>
      </w:r>
    </w:p>
    <w:p w:rsidR="009F6910" w:rsidRPr="009F6910" w:rsidRDefault="009F6910" w:rsidP="009F6910">
      <w:pPr>
        <w:pStyle w:val="EndNoteBibliography"/>
        <w:spacing w:after="240"/>
      </w:pPr>
      <w:r w:rsidRPr="009F6910">
        <w:t>35.</w:t>
      </w:r>
      <w:r w:rsidRPr="009F6910">
        <w:tab/>
        <w:t>Bradshaw S, Fordham M. Women, Girls and Disasters: A Review for DFID. London: Department for International Development (DFID), 2013.</w:t>
      </w:r>
    </w:p>
    <w:p w:rsidR="009F6910" w:rsidRPr="009F6910" w:rsidRDefault="009F6910" w:rsidP="009F6910">
      <w:pPr>
        <w:pStyle w:val="EndNoteBibliography"/>
        <w:spacing w:after="240"/>
      </w:pPr>
      <w:r w:rsidRPr="009F6910">
        <w:t>36.</w:t>
      </w:r>
      <w:r w:rsidRPr="009F6910">
        <w:tab/>
        <w:t xml:space="preserve">Jonkman S, Kelman I. An analysis of the causes and circumstances of flood disaster deaths. </w:t>
      </w:r>
      <w:r w:rsidRPr="009F6910">
        <w:rPr>
          <w:i/>
        </w:rPr>
        <w:t>Disasters</w:t>
      </w:r>
      <w:r w:rsidRPr="009F6910">
        <w:t xml:space="preserve"> 2005; </w:t>
      </w:r>
      <w:r w:rsidRPr="009F6910">
        <w:rPr>
          <w:b/>
        </w:rPr>
        <w:t>29</w:t>
      </w:r>
      <w:r w:rsidRPr="009F6910">
        <w:t>(1): 75-97.</w:t>
      </w:r>
    </w:p>
    <w:p w:rsidR="009F6910" w:rsidRPr="009F6910" w:rsidRDefault="009F6910" w:rsidP="009F6910">
      <w:pPr>
        <w:pStyle w:val="EndNoteBibliography"/>
        <w:spacing w:after="240"/>
      </w:pPr>
      <w:r w:rsidRPr="009F6910">
        <w:t>37.</w:t>
      </w:r>
      <w:r w:rsidRPr="009F6910">
        <w:tab/>
        <w:t>World Health Organization. Gender, Climate Change and Health. Geneva, 2014.</w:t>
      </w:r>
    </w:p>
    <w:p w:rsidR="009F6910" w:rsidRPr="009F6910" w:rsidRDefault="009F6910" w:rsidP="009F6910">
      <w:pPr>
        <w:pStyle w:val="EndNoteBibliography"/>
        <w:spacing w:after="240"/>
      </w:pPr>
      <w:r w:rsidRPr="009F6910">
        <w:t>38.</w:t>
      </w:r>
      <w:r w:rsidRPr="009F6910">
        <w:tab/>
        <w:t xml:space="preserve">Patz JA, Campbell-Lendrum D, Holloway T, Foley JA. Impact of regional climate change on human health. </w:t>
      </w:r>
      <w:r w:rsidRPr="009F6910">
        <w:rPr>
          <w:i/>
        </w:rPr>
        <w:t>Nature</w:t>
      </w:r>
      <w:r w:rsidRPr="009F6910">
        <w:t xml:space="preserve"> 2005; </w:t>
      </w:r>
      <w:r w:rsidRPr="009F6910">
        <w:rPr>
          <w:b/>
        </w:rPr>
        <w:t>438</w:t>
      </w:r>
      <w:r w:rsidRPr="009F6910">
        <w:t>(7066): 310-7.</w:t>
      </w:r>
    </w:p>
    <w:p w:rsidR="009F6910" w:rsidRPr="009F6910" w:rsidRDefault="009F6910" w:rsidP="009F6910">
      <w:pPr>
        <w:pStyle w:val="EndNoteBibliography"/>
        <w:spacing w:after="240"/>
      </w:pPr>
      <w:r w:rsidRPr="009F6910">
        <w:t>39.</w:t>
      </w:r>
      <w:r w:rsidRPr="009F6910">
        <w:tab/>
        <w:t xml:space="preserve">Åström C, Orru H, Rocklöv J, Strandberg G, Ebi KL, Forsberg B. Heat-related respiratory hospital admissions in Europe in a changing climate: a health impact assessment. </w:t>
      </w:r>
      <w:r w:rsidRPr="009F6910">
        <w:rPr>
          <w:i/>
        </w:rPr>
        <w:t>BMJ Open</w:t>
      </w:r>
      <w:r w:rsidRPr="009F6910">
        <w:t xml:space="preserve"> 2013; </w:t>
      </w:r>
      <w:r w:rsidRPr="009F6910">
        <w:rPr>
          <w:b/>
        </w:rPr>
        <w:t>3</w:t>
      </w:r>
      <w:r w:rsidRPr="009F6910">
        <w:t>(1).</w:t>
      </w:r>
    </w:p>
    <w:p w:rsidR="009F6910" w:rsidRPr="009F6910" w:rsidRDefault="009F6910" w:rsidP="009F6910">
      <w:pPr>
        <w:pStyle w:val="EndNoteBibliography"/>
        <w:spacing w:after="240"/>
      </w:pPr>
      <w:r w:rsidRPr="009F6910">
        <w:t>40.</w:t>
      </w:r>
      <w:r w:rsidRPr="009F6910">
        <w:tab/>
        <w:t xml:space="preserve">Russo S, Dosio A, Graversen RG, et al. Magnitude of extreme heat waves in present climate and their projection in a warming world. </w:t>
      </w:r>
      <w:r w:rsidRPr="009F6910">
        <w:rPr>
          <w:i/>
        </w:rPr>
        <w:t>Journal of Geophysical Research: Atmospheres</w:t>
      </w:r>
      <w:r w:rsidRPr="009F6910">
        <w:t xml:space="preserve"> 2014.</w:t>
      </w:r>
    </w:p>
    <w:p w:rsidR="009F6910" w:rsidRPr="009F6910" w:rsidRDefault="009F6910" w:rsidP="009F6910">
      <w:pPr>
        <w:pStyle w:val="EndNoteBibliography"/>
        <w:spacing w:after="240"/>
      </w:pPr>
      <w:r w:rsidRPr="009F6910">
        <w:t>41.</w:t>
      </w:r>
      <w:r w:rsidRPr="009F6910">
        <w:tab/>
        <w:t xml:space="preserve">Coumou D, Robinson A. Historic and future increase in the global land area affected by monthly heat extremes. </w:t>
      </w:r>
      <w:r w:rsidRPr="009F6910">
        <w:rPr>
          <w:i/>
        </w:rPr>
        <w:t>Environmental Research Letters</w:t>
      </w:r>
      <w:r w:rsidRPr="009F6910">
        <w:t xml:space="preserve"> 2013; </w:t>
      </w:r>
      <w:r w:rsidRPr="009F6910">
        <w:rPr>
          <w:b/>
        </w:rPr>
        <w:t>8</w:t>
      </w:r>
      <w:r w:rsidRPr="009F6910">
        <w:t>(3).</w:t>
      </w:r>
    </w:p>
    <w:p w:rsidR="009F6910" w:rsidRPr="009F6910" w:rsidRDefault="009F6910" w:rsidP="009F6910">
      <w:pPr>
        <w:pStyle w:val="EndNoteBibliography"/>
        <w:spacing w:after="240"/>
      </w:pPr>
      <w:r w:rsidRPr="009F6910">
        <w:t>42.</w:t>
      </w:r>
      <w:r w:rsidRPr="009F6910">
        <w:tab/>
        <w:t xml:space="preserve">Ryazantzev S. Demographic and socio-economic consequences of heat wave and forest fires of 2010 in European Russia. </w:t>
      </w:r>
      <w:r w:rsidRPr="009F6910">
        <w:rPr>
          <w:i/>
        </w:rPr>
        <w:t>Ecology and Life</w:t>
      </w:r>
      <w:r w:rsidRPr="009F6910">
        <w:t xml:space="preserve"> 2011; </w:t>
      </w:r>
      <w:r w:rsidRPr="009F6910">
        <w:rPr>
          <w:b/>
        </w:rPr>
        <w:t>5</w:t>
      </w:r>
      <w:r w:rsidRPr="009F6910">
        <w:t>(80-85).</w:t>
      </w:r>
    </w:p>
    <w:p w:rsidR="009F6910" w:rsidRPr="009F6910" w:rsidRDefault="009F6910" w:rsidP="009F6910">
      <w:pPr>
        <w:pStyle w:val="EndNoteBibliography"/>
        <w:spacing w:after="240"/>
      </w:pPr>
      <w:r w:rsidRPr="009F6910">
        <w:t>43.</w:t>
      </w:r>
      <w:r w:rsidRPr="009F6910">
        <w:tab/>
        <w:t xml:space="preserve">van Donkelaar A, Martin RV, Levy RC, et al. Satellite-based estimates of ground-level fine particulate matter during extreme events: A case study of the Moscow fires in 2010. </w:t>
      </w:r>
      <w:r w:rsidRPr="009F6910">
        <w:rPr>
          <w:i/>
        </w:rPr>
        <w:t>Atmospheric Environment</w:t>
      </w:r>
      <w:r w:rsidRPr="009F6910">
        <w:t xml:space="preserve"> 2011; </w:t>
      </w:r>
      <w:r w:rsidRPr="009F6910">
        <w:rPr>
          <w:b/>
        </w:rPr>
        <w:t>45</w:t>
      </w:r>
      <w:r w:rsidRPr="009F6910">
        <w:t>(34): 6225-32.</w:t>
      </w:r>
    </w:p>
    <w:p w:rsidR="009F6910" w:rsidRPr="009F6910" w:rsidRDefault="009F6910" w:rsidP="009F6910">
      <w:pPr>
        <w:pStyle w:val="EndNoteBibliography"/>
        <w:spacing w:after="240"/>
      </w:pPr>
      <w:r w:rsidRPr="009F6910">
        <w:t>44.</w:t>
      </w:r>
      <w:r w:rsidRPr="009F6910">
        <w:tab/>
        <w:t xml:space="preserve">Revitch B, Shaposhnikov D. Climate change, heat and cold waves as risk factors of increased mortality in Russia. </w:t>
      </w:r>
      <w:r w:rsidRPr="009F6910">
        <w:rPr>
          <w:i/>
        </w:rPr>
        <w:t>Ecoforum</w:t>
      </w:r>
      <w:r w:rsidRPr="009F6910">
        <w:t xml:space="preserve"> 2012; </w:t>
      </w:r>
      <w:r w:rsidRPr="009F6910">
        <w:rPr>
          <w:b/>
        </w:rPr>
        <w:t>2</w:t>
      </w:r>
      <w:r w:rsidRPr="009F6910">
        <w:t>(10): 122-38.</w:t>
      </w:r>
    </w:p>
    <w:p w:rsidR="009F6910" w:rsidRPr="009F6910" w:rsidRDefault="009F6910" w:rsidP="009F6910">
      <w:pPr>
        <w:pStyle w:val="EndNoteBibliography"/>
        <w:spacing w:after="240"/>
      </w:pPr>
      <w:r w:rsidRPr="009F6910">
        <w:t>45.</w:t>
      </w:r>
      <w:r w:rsidRPr="009F6910">
        <w:tab/>
        <w:t xml:space="preserve">Barriopedro D, Fischer E, Luterbacher J, Trigo R, Garcia-Herrera R. The hot summer of 2010: redrawing the temperature record map of Europe. </w:t>
      </w:r>
      <w:r w:rsidRPr="009F6910">
        <w:rPr>
          <w:i/>
        </w:rPr>
        <w:t>Science</w:t>
      </w:r>
      <w:r w:rsidRPr="009F6910">
        <w:t xml:space="preserve"> 2011; </w:t>
      </w:r>
      <w:r w:rsidRPr="009F6910">
        <w:rPr>
          <w:b/>
        </w:rPr>
        <w:t>332</w:t>
      </w:r>
      <w:r w:rsidRPr="009F6910">
        <w:t>(6026): 220-4.</w:t>
      </w:r>
    </w:p>
    <w:p w:rsidR="009F6910" w:rsidRPr="009F6910" w:rsidRDefault="009F6910" w:rsidP="009F6910">
      <w:pPr>
        <w:pStyle w:val="EndNoteBibliography"/>
        <w:spacing w:after="240"/>
      </w:pPr>
      <w:r w:rsidRPr="009F6910">
        <w:t>46.</w:t>
      </w:r>
      <w:r w:rsidRPr="009F6910">
        <w:tab/>
        <w:t xml:space="preserve">Ebi K, Mills D. Winter mortality in a warming climate: a reassessment. </w:t>
      </w:r>
      <w:r w:rsidRPr="009F6910">
        <w:rPr>
          <w:i/>
        </w:rPr>
        <w:t>Wiley Interdisciplinary Reviews: Climate Change</w:t>
      </w:r>
      <w:r w:rsidRPr="009F6910">
        <w:t xml:space="preserve"> 2013; </w:t>
      </w:r>
      <w:r w:rsidRPr="009F6910">
        <w:rPr>
          <w:b/>
        </w:rPr>
        <w:t>4</w:t>
      </w:r>
      <w:r w:rsidRPr="009F6910">
        <w:t>(3): 203-12.</w:t>
      </w:r>
    </w:p>
    <w:p w:rsidR="009F6910" w:rsidRPr="009F6910" w:rsidRDefault="009F6910" w:rsidP="009F6910">
      <w:pPr>
        <w:pStyle w:val="EndNoteBibliography"/>
        <w:spacing w:after="240"/>
      </w:pPr>
      <w:r w:rsidRPr="009F6910">
        <w:lastRenderedPageBreak/>
        <w:t>47.</w:t>
      </w:r>
      <w:r w:rsidRPr="009F6910">
        <w:tab/>
        <w:t xml:space="preserve">Healy J. Excess winter mortality in Europe: a cross country analysis identifying key risk factors. </w:t>
      </w:r>
      <w:r w:rsidRPr="009F6910">
        <w:rPr>
          <w:i/>
        </w:rPr>
        <w:t>Journal of epidemiology and community health</w:t>
      </w:r>
      <w:r w:rsidRPr="009F6910">
        <w:t xml:space="preserve"> 2003; </w:t>
      </w:r>
      <w:r w:rsidRPr="009F6910">
        <w:rPr>
          <w:b/>
        </w:rPr>
        <w:t>57</w:t>
      </w:r>
      <w:r w:rsidRPr="009F6910">
        <w:t>(10): 784-9.</w:t>
      </w:r>
    </w:p>
    <w:p w:rsidR="009F6910" w:rsidRPr="009F6910" w:rsidRDefault="009F6910" w:rsidP="009F6910">
      <w:pPr>
        <w:pStyle w:val="EndNoteBibliography"/>
        <w:spacing w:after="240"/>
      </w:pPr>
      <w:r w:rsidRPr="009F6910">
        <w:t>48.</w:t>
      </w:r>
      <w:r w:rsidRPr="009F6910">
        <w:tab/>
        <w:t xml:space="preserve">Woodward A. Heat, cold and climate change. </w:t>
      </w:r>
      <w:r w:rsidRPr="009F6910">
        <w:rPr>
          <w:i/>
        </w:rPr>
        <w:t>Journal of Epidemiology and Community Health</w:t>
      </w:r>
      <w:r w:rsidRPr="009F6910">
        <w:t xml:space="preserve"> 2014; </w:t>
      </w:r>
      <w:r w:rsidRPr="009F6910">
        <w:rPr>
          <w:b/>
        </w:rPr>
        <w:t>68</w:t>
      </w:r>
      <w:r w:rsidRPr="009F6910">
        <w:t>(7): 595-6.</w:t>
      </w:r>
    </w:p>
    <w:p w:rsidR="009F6910" w:rsidRPr="009F6910" w:rsidRDefault="009F6910" w:rsidP="009F6910">
      <w:pPr>
        <w:pStyle w:val="EndNoteBibliography"/>
        <w:spacing w:after="240"/>
      </w:pPr>
      <w:r w:rsidRPr="009F6910">
        <w:t>49.</w:t>
      </w:r>
      <w:r w:rsidRPr="009F6910">
        <w:tab/>
        <w:t xml:space="preserve">Staddon P, Montgomery H, Depledge M. Climate warming will not decrease winter mortality. </w:t>
      </w:r>
      <w:r w:rsidRPr="009F6910">
        <w:rPr>
          <w:i/>
        </w:rPr>
        <w:t>Nature Clim Change</w:t>
      </w:r>
      <w:r w:rsidRPr="009F6910">
        <w:t xml:space="preserve"> 2014; </w:t>
      </w:r>
      <w:r w:rsidRPr="009F6910">
        <w:rPr>
          <w:b/>
        </w:rPr>
        <w:t>4</w:t>
      </w:r>
      <w:r w:rsidRPr="009F6910">
        <w:t>(3): 190-4.</w:t>
      </w:r>
    </w:p>
    <w:p w:rsidR="009F6910" w:rsidRPr="009F6910" w:rsidRDefault="009F6910" w:rsidP="009F6910">
      <w:pPr>
        <w:pStyle w:val="EndNoteBibliography"/>
        <w:spacing w:after="240"/>
      </w:pPr>
      <w:r w:rsidRPr="009F6910">
        <w:t>50.</w:t>
      </w:r>
      <w:r w:rsidRPr="009F6910">
        <w:tab/>
        <w:t xml:space="preserve">Seto KC, Güneralp B, Hutyra LR. Global forecasts of urban expansion to 2030 and direct impacts on biodiversity and carbon pools. </w:t>
      </w:r>
      <w:r w:rsidRPr="009F6910">
        <w:rPr>
          <w:i/>
        </w:rPr>
        <w:t>Proceedings of the National Academy of Sciences of the United States of America</w:t>
      </w:r>
      <w:r w:rsidRPr="009F6910">
        <w:t xml:space="preserve"> 2012; </w:t>
      </w:r>
      <w:r w:rsidRPr="009F6910">
        <w:rPr>
          <w:b/>
        </w:rPr>
        <w:t>109</w:t>
      </w:r>
      <w:r w:rsidRPr="009F6910">
        <w:t>(40): 16083-8.</w:t>
      </w:r>
    </w:p>
    <w:p w:rsidR="009F6910" w:rsidRPr="009F6910" w:rsidRDefault="009F6910" w:rsidP="009F6910">
      <w:pPr>
        <w:pStyle w:val="EndNoteBibliography"/>
        <w:spacing w:after="240"/>
      </w:pPr>
      <w:r w:rsidRPr="009F6910">
        <w:t>51.</w:t>
      </w:r>
      <w:r w:rsidRPr="009F6910">
        <w:tab/>
        <w:t xml:space="preserve">O’Neill B, Kriegler E, Ebi K, et al. The roads ahead: Narratives for shared socioeconomic pathways describing world futures in the 21st century. </w:t>
      </w:r>
      <w:r w:rsidRPr="009F6910">
        <w:rPr>
          <w:i/>
        </w:rPr>
        <w:t>Global Environmental Change</w:t>
      </w:r>
      <w:r w:rsidRPr="009F6910">
        <w:t xml:space="preserve"> 2015.</w:t>
      </w:r>
    </w:p>
    <w:p w:rsidR="009F6910" w:rsidRPr="009F6910" w:rsidRDefault="009F6910" w:rsidP="009F6910">
      <w:pPr>
        <w:pStyle w:val="EndNoteBibliography"/>
        <w:spacing w:after="240"/>
      </w:pPr>
      <w:r w:rsidRPr="009F6910">
        <w:t>52.</w:t>
      </w:r>
      <w:r w:rsidRPr="009F6910">
        <w:tab/>
        <w:t xml:space="preserve">Samir K, Lutz W. The human core of the shared socioeconomic pathways: Population scenarios by age, sex and level of education for all countries to 2100. </w:t>
      </w:r>
      <w:r w:rsidRPr="009F6910">
        <w:rPr>
          <w:i/>
        </w:rPr>
        <w:t>Global Environmental Change</w:t>
      </w:r>
      <w:r w:rsidRPr="009F6910">
        <w:t xml:space="preserve"> 2014.</w:t>
      </w:r>
    </w:p>
    <w:p w:rsidR="009F6910" w:rsidRPr="009F6910" w:rsidRDefault="009F6910" w:rsidP="009F6910">
      <w:pPr>
        <w:pStyle w:val="EndNoteBibliography"/>
        <w:spacing w:after="240"/>
      </w:pPr>
      <w:r w:rsidRPr="009F6910">
        <w:t>53.</w:t>
      </w:r>
      <w:r w:rsidRPr="009F6910">
        <w:tab/>
        <w:t xml:space="preserve">Kriegler E, O’Neill BC, Hallegatte S, et al. The need for and use of socio-economic scenarios for climate change analysis: A new approach based on shared socio-economic pathways. </w:t>
      </w:r>
      <w:r w:rsidRPr="009F6910">
        <w:rPr>
          <w:i/>
        </w:rPr>
        <w:t>Global Environmental Change</w:t>
      </w:r>
      <w:r w:rsidRPr="009F6910">
        <w:t xml:space="preserve"> 2012; </w:t>
      </w:r>
      <w:r w:rsidRPr="009F6910">
        <w:rPr>
          <w:b/>
        </w:rPr>
        <w:t>22</w:t>
      </w:r>
      <w:r w:rsidRPr="009F6910">
        <w:t>(4): 807-22.</w:t>
      </w:r>
    </w:p>
    <w:p w:rsidR="009F6910" w:rsidRPr="009F6910" w:rsidRDefault="009F6910" w:rsidP="009F6910">
      <w:pPr>
        <w:pStyle w:val="EndNoteBibliography"/>
        <w:spacing w:after="240"/>
      </w:pPr>
      <w:r w:rsidRPr="009F6910">
        <w:t>54.</w:t>
      </w:r>
      <w:r w:rsidRPr="009F6910">
        <w:tab/>
        <w:t xml:space="preserve">Bhatt S, Gething PW, Brady OJ, et al. The global distribution and burden of dengue. </w:t>
      </w:r>
      <w:r w:rsidRPr="009F6910">
        <w:rPr>
          <w:i/>
        </w:rPr>
        <w:t>Nature</w:t>
      </w:r>
      <w:r w:rsidRPr="009F6910">
        <w:t xml:space="preserve"> 2013; </w:t>
      </w:r>
      <w:r w:rsidRPr="009F6910">
        <w:rPr>
          <w:b/>
        </w:rPr>
        <w:t>496</w:t>
      </w:r>
      <w:r w:rsidRPr="009F6910">
        <w:t>(7446): 504-7.</w:t>
      </w:r>
    </w:p>
    <w:p w:rsidR="009F6910" w:rsidRPr="009F6910" w:rsidRDefault="009F6910" w:rsidP="009F6910">
      <w:pPr>
        <w:pStyle w:val="EndNoteBibliography"/>
        <w:spacing w:after="240"/>
      </w:pPr>
      <w:r w:rsidRPr="009F6910">
        <w:t>55.</w:t>
      </w:r>
      <w:r w:rsidRPr="009F6910">
        <w:tab/>
        <w:t xml:space="preserve">Kovats RS, Hajat S. Heat stress and public health: a critical review. </w:t>
      </w:r>
      <w:r w:rsidRPr="009F6910">
        <w:rPr>
          <w:i/>
        </w:rPr>
        <w:t>Annu Rev Public Health</w:t>
      </w:r>
      <w:r w:rsidRPr="009F6910">
        <w:t xml:space="preserve"> 2008; </w:t>
      </w:r>
      <w:r w:rsidRPr="009F6910">
        <w:rPr>
          <w:b/>
        </w:rPr>
        <w:t>29</w:t>
      </w:r>
      <w:r w:rsidRPr="009F6910">
        <w:t>: 41-55.</w:t>
      </w:r>
    </w:p>
    <w:p w:rsidR="009F6910" w:rsidRPr="009F6910" w:rsidRDefault="009F6910" w:rsidP="009F6910">
      <w:pPr>
        <w:pStyle w:val="EndNoteBibliography"/>
        <w:spacing w:after="240"/>
      </w:pPr>
      <w:r w:rsidRPr="009F6910">
        <w:t>56.</w:t>
      </w:r>
      <w:r w:rsidRPr="009F6910">
        <w:tab/>
        <w:t xml:space="preserve">Quinn T, Adger N. Climate change when you are getting on in life. </w:t>
      </w:r>
      <w:r w:rsidRPr="009F6910">
        <w:rPr>
          <w:i/>
        </w:rPr>
        <w:t>Environment and Planning A</w:t>
      </w:r>
      <w:r w:rsidRPr="009F6910">
        <w:t xml:space="preserve"> 2011; </w:t>
      </w:r>
      <w:r w:rsidRPr="009F6910">
        <w:rPr>
          <w:b/>
        </w:rPr>
        <w:t>43</w:t>
      </w:r>
      <w:r w:rsidRPr="009F6910">
        <w:t>(10): 2257-60.</w:t>
      </w:r>
    </w:p>
    <w:p w:rsidR="009F6910" w:rsidRPr="009F6910" w:rsidRDefault="009F6910" w:rsidP="009F6910">
      <w:pPr>
        <w:pStyle w:val="EndNoteBibliography"/>
        <w:spacing w:after="240"/>
      </w:pPr>
      <w:r w:rsidRPr="009F6910">
        <w:t>57.</w:t>
      </w:r>
      <w:r w:rsidRPr="009F6910">
        <w:tab/>
        <w:t xml:space="preserve">Lutz W, Muttarak R, Striessnig E. Universal education is key to enhanced climate adaptation. </w:t>
      </w:r>
      <w:r w:rsidRPr="009F6910">
        <w:rPr>
          <w:i/>
        </w:rPr>
        <w:t>Science</w:t>
      </w:r>
      <w:r w:rsidRPr="009F6910">
        <w:t xml:space="preserve"> 2014; </w:t>
      </w:r>
      <w:r w:rsidRPr="009F6910">
        <w:rPr>
          <w:b/>
        </w:rPr>
        <w:t>346</w:t>
      </w:r>
      <w:r w:rsidRPr="009F6910">
        <w:t>(6213): 1061-2.</w:t>
      </w:r>
    </w:p>
    <w:p w:rsidR="009F6910" w:rsidRPr="009F6910" w:rsidRDefault="009F6910" w:rsidP="009F6910">
      <w:pPr>
        <w:pStyle w:val="EndNoteBibliography"/>
        <w:spacing w:after="240"/>
      </w:pPr>
      <w:r w:rsidRPr="009F6910">
        <w:t>58.</w:t>
      </w:r>
      <w:r w:rsidRPr="009F6910">
        <w:tab/>
        <w:t xml:space="preserve">Kjellstrom T, Holmer I, Lemke B. Workplace heat stress, health and productivity – an increasing challenge for low and middle-income countries during climate change. </w:t>
      </w:r>
      <w:r w:rsidRPr="009F6910">
        <w:rPr>
          <w:i/>
        </w:rPr>
        <w:t>Global Health Action</w:t>
      </w:r>
      <w:r w:rsidRPr="009F6910">
        <w:t xml:space="preserve"> 2009; </w:t>
      </w:r>
      <w:r w:rsidRPr="009F6910">
        <w:rPr>
          <w:b/>
        </w:rPr>
        <w:t>2</w:t>
      </w:r>
      <w:r w:rsidRPr="009F6910">
        <w:t>.</w:t>
      </w:r>
    </w:p>
    <w:p w:rsidR="009F6910" w:rsidRPr="009F6910" w:rsidRDefault="009F6910" w:rsidP="009F6910">
      <w:pPr>
        <w:pStyle w:val="EndNoteBibliography"/>
        <w:spacing w:after="240"/>
      </w:pPr>
      <w:r w:rsidRPr="009F6910">
        <w:t>59.</w:t>
      </w:r>
      <w:r w:rsidRPr="009F6910">
        <w:tab/>
        <w:t>Parsons K. Human thermal environment: the effects of hot, moderate and cold temperatures on human health, comfort and performance. 3rd ed. New York: CRC Press; 2014.</w:t>
      </w:r>
    </w:p>
    <w:p w:rsidR="009F6910" w:rsidRPr="009F6910" w:rsidRDefault="009F6910" w:rsidP="009F6910">
      <w:pPr>
        <w:pStyle w:val="EndNoteBibliography"/>
        <w:spacing w:after="240"/>
      </w:pPr>
      <w:r w:rsidRPr="009F6910">
        <w:t>60.</w:t>
      </w:r>
      <w:r w:rsidRPr="009F6910">
        <w:tab/>
        <w:t>Hémon D, Jougla E. Surmortalité liée à la Canicule d’Août 2003: Rapport d’Étape. Estimation de la Surmortalite et Principales Caracteristiques Epidemiologiques. Rapport remis au Ministre de la Santé, de la Famille et des Personnes Handicapées. Paris: Institut National de la Santé et de la Recherche Médicale (INSERM), 2003.</w:t>
      </w:r>
    </w:p>
    <w:p w:rsidR="009F6910" w:rsidRPr="009F6910" w:rsidRDefault="009F6910" w:rsidP="009F6910">
      <w:pPr>
        <w:pStyle w:val="EndNoteBibliography"/>
        <w:spacing w:after="240"/>
      </w:pPr>
      <w:r w:rsidRPr="009F6910">
        <w:t>61.</w:t>
      </w:r>
      <w:r w:rsidRPr="009F6910">
        <w:tab/>
        <w:t xml:space="preserve">Center for Disease Control and Prevention (CDC). Heat-related deaths among crop workers - United States, 1992-2006. </w:t>
      </w:r>
      <w:r w:rsidRPr="009F6910">
        <w:rPr>
          <w:i/>
        </w:rPr>
        <w:t>MMWR Weekly</w:t>
      </w:r>
      <w:r w:rsidRPr="009F6910">
        <w:t xml:space="preserve"> 2008; </w:t>
      </w:r>
      <w:r w:rsidRPr="009F6910">
        <w:rPr>
          <w:b/>
        </w:rPr>
        <w:t>57</w:t>
      </w:r>
      <w:r w:rsidRPr="009F6910">
        <w:t>(24): 649-53.</w:t>
      </w:r>
    </w:p>
    <w:p w:rsidR="009F6910" w:rsidRPr="009F6910" w:rsidRDefault="009F6910" w:rsidP="009F6910">
      <w:pPr>
        <w:pStyle w:val="EndNoteBibliography"/>
        <w:spacing w:after="240"/>
      </w:pPr>
      <w:r w:rsidRPr="009F6910">
        <w:lastRenderedPageBreak/>
        <w:t>62.</w:t>
      </w:r>
      <w:r w:rsidRPr="009F6910">
        <w:tab/>
        <w:t xml:space="preserve">Wesseling C, Crowe J, Hogstedt C, Jacobsson K, Lucas R, Wegman D. Resolving the Enigma of the Mesoamerican Nephropathy: A Research Workshop Summary. </w:t>
      </w:r>
      <w:r w:rsidRPr="009F6910">
        <w:rPr>
          <w:i/>
        </w:rPr>
        <w:t>American Journal of Kidney Diseases</w:t>
      </w:r>
      <w:r w:rsidRPr="009F6910">
        <w:t xml:space="preserve"> 2013; </w:t>
      </w:r>
      <w:r w:rsidRPr="009F6910">
        <w:rPr>
          <w:b/>
        </w:rPr>
        <w:t>63</w:t>
      </w:r>
      <w:r w:rsidRPr="009F6910">
        <w:t>(3): 396-404.</w:t>
      </w:r>
    </w:p>
    <w:p w:rsidR="009F6910" w:rsidRPr="009F6910" w:rsidRDefault="009F6910" w:rsidP="009F6910">
      <w:pPr>
        <w:pStyle w:val="EndNoteBibliography"/>
        <w:spacing w:after="240"/>
      </w:pPr>
      <w:r w:rsidRPr="009F6910">
        <w:t>63.</w:t>
      </w:r>
      <w:r w:rsidRPr="009F6910">
        <w:tab/>
        <w:t>DARA and the Climate Vulnerability Forum. Climate vulnerability monitor 2012: A guide to the cold calculus of a hot planets. Barcelona: Fundacion DARA Internacional, 2012.</w:t>
      </w:r>
    </w:p>
    <w:p w:rsidR="009F6910" w:rsidRPr="009F6910" w:rsidRDefault="009F6910" w:rsidP="009F6910">
      <w:pPr>
        <w:pStyle w:val="EndNoteBibliography"/>
        <w:spacing w:after="240"/>
      </w:pPr>
      <w:r w:rsidRPr="009F6910">
        <w:t>64.</w:t>
      </w:r>
      <w:r w:rsidRPr="009F6910">
        <w:tab/>
        <w:t>United Nations Development Programme. Human Development Report 2011. Sustainability and Equity: A Better Future for All. London, 2011.</w:t>
      </w:r>
    </w:p>
    <w:p w:rsidR="009F6910" w:rsidRPr="009F6910" w:rsidRDefault="009F6910" w:rsidP="009F6910">
      <w:pPr>
        <w:pStyle w:val="EndNoteBibliography"/>
        <w:spacing w:after="240"/>
      </w:pPr>
      <w:r w:rsidRPr="009F6910">
        <w:t>65.</w:t>
      </w:r>
      <w:r w:rsidRPr="009F6910">
        <w:tab/>
        <w:t xml:space="preserve">Dunne JP, Stouffer RJ, John JG. Reductions in labour capacity from heat stress under climate warming. </w:t>
      </w:r>
      <w:r w:rsidRPr="009F6910">
        <w:rPr>
          <w:i/>
        </w:rPr>
        <w:t>Nature Clim Change</w:t>
      </w:r>
      <w:r w:rsidRPr="009F6910">
        <w:t xml:space="preserve"> 2013; </w:t>
      </w:r>
      <w:r w:rsidRPr="009F6910">
        <w:rPr>
          <w:b/>
        </w:rPr>
        <w:t>3</w:t>
      </w:r>
      <w:r w:rsidRPr="009F6910">
        <w:t>(6): 563-6.</w:t>
      </w:r>
    </w:p>
    <w:p w:rsidR="009F6910" w:rsidRPr="009F6910" w:rsidRDefault="009F6910" w:rsidP="009F6910">
      <w:pPr>
        <w:pStyle w:val="EndNoteBibliography"/>
        <w:spacing w:after="240"/>
      </w:pPr>
      <w:r w:rsidRPr="009F6910">
        <w:t>66.</w:t>
      </w:r>
      <w:r w:rsidRPr="009F6910">
        <w:tab/>
        <w:t>Porter JR, L. Xie, A.J. Challinor, et al. Food security and food production systems. In: Field CB, V.R. Barros, D.J. Dokken, K.J. Mach, M.D. Mastrandrea, T.E. Bilir, M. Chatterjee, K.L. Ebi, Y.O. Estrada, R.C. Genova, B. Girma, E.S. Kissel, A.N. Levy, S. MacCracken, P.R. Mastrandrea, and L.L. White, ed. Climate Change 2014: Impacts, Adaptation, and Vulnerability Part A: Global and Sectoral Aspects Contribution of Working Group II to the Fifth Assessment Report of the Intergovernmental Panel on Climate Change. Cambridge, United Kingdom and New York, NY, USA: Cambridge University Press; 2014: 485-533.</w:t>
      </w:r>
    </w:p>
    <w:p w:rsidR="009F6910" w:rsidRPr="009F6910" w:rsidRDefault="009F6910" w:rsidP="009F6910">
      <w:pPr>
        <w:pStyle w:val="EndNoteBibliography"/>
        <w:spacing w:after="240"/>
      </w:pPr>
      <w:r w:rsidRPr="009F6910">
        <w:t>67.</w:t>
      </w:r>
      <w:r w:rsidRPr="009F6910">
        <w:tab/>
        <w:t xml:space="preserve">Sherwood SC, Huber M. An adaptability limit to climate change due to heat stress. </w:t>
      </w:r>
      <w:r w:rsidRPr="009F6910">
        <w:rPr>
          <w:i/>
        </w:rPr>
        <w:t>Proceedings of the National Academy of Sciences</w:t>
      </w:r>
      <w:r w:rsidRPr="009F6910">
        <w:t xml:space="preserve"> 2010; </w:t>
      </w:r>
      <w:r w:rsidRPr="009F6910">
        <w:rPr>
          <w:b/>
        </w:rPr>
        <w:t>107</w:t>
      </w:r>
      <w:r w:rsidRPr="009F6910">
        <w:t>(21): 9552-5.</w:t>
      </w:r>
    </w:p>
    <w:p w:rsidR="009F6910" w:rsidRPr="009F6910" w:rsidRDefault="009F6910" w:rsidP="009F6910">
      <w:pPr>
        <w:pStyle w:val="EndNoteBibliography"/>
        <w:spacing w:after="240"/>
      </w:pPr>
      <w:r w:rsidRPr="009F6910">
        <w:t>68.</w:t>
      </w:r>
      <w:r w:rsidRPr="009F6910">
        <w:tab/>
        <w:t>World Health Organization. World Malaria Report. Geneva, 2012.</w:t>
      </w:r>
    </w:p>
    <w:p w:rsidR="009F6910" w:rsidRPr="009F6910" w:rsidRDefault="009F6910" w:rsidP="009F6910">
      <w:pPr>
        <w:pStyle w:val="EndNoteBibliography"/>
        <w:spacing w:after="240"/>
      </w:pPr>
      <w:r w:rsidRPr="009F6910">
        <w:t>69.</w:t>
      </w:r>
      <w:r w:rsidRPr="009F6910">
        <w:tab/>
        <w:t xml:space="preserve">Ndyomugyenyi R, Magnussen P. Trends in malaria-attributable morbidity and mortality among young children admitted to Ugandan hospitals, for the period 1990-2001. </w:t>
      </w:r>
      <w:r w:rsidRPr="009F6910">
        <w:rPr>
          <w:i/>
        </w:rPr>
        <w:t>Annals of tropical medicine and parasitology</w:t>
      </w:r>
      <w:r w:rsidRPr="009F6910">
        <w:t xml:space="preserve"> 2004; </w:t>
      </w:r>
      <w:r w:rsidRPr="009F6910">
        <w:rPr>
          <w:b/>
        </w:rPr>
        <w:t>98</w:t>
      </w:r>
      <w:r w:rsidRPr="009F6910">
        <w:t>(4): 315-27.</w:t>
      </w:r>
    </w:p>
    <w:p w:rsidR="009F6910" w:rsidRPr="009F6910" w:rsidRDefault="009F6910" w:rsidP="009F6910">
      <w:pPr>
        <w:pStyle w:val="EndNoteBibliography"/>
        <w:spacing w:after="240"/>
      </w:pPr>
      <w:r w:rsidRPr="009F6910">
        <w:t>70.</w:t>
      </w:r>
      <w:r w:rsidRPr="009F6910">
        <w:tab/>
        <w:t xml:space="preserve">Siraj A, Santos-Vega M, Bouma M, Yadeta D, Carrascal DR, Pascual M. Altitudinal Changes in Malaria Incidence in Highlands of Ethiopia and Colombia. </w:t>
      </w:r>
      <w:r w:rsidRPr="009F6910">
        <w:rPr>
          <w:i/>
        </w:rPr>
        <w:t>Science</w:t>
      </w:r>
      <w:r w:rsidRPr="009F6910">
        <w:t xml:space="preserve"> 2014; </w:t>
      </w:r>
      <w:r w:rsidRPr="009F6910">
        <w:rPr>
          <w:b/>
        </w:rPr>
        <w:t>343</w:t>
      </w:r>
      <w:r w:rsidRPr="009F6910">
        <w:t>(6175): 1154-8.</w:t>
      </w:r>
    </w:p>
    <w:p w:rsidR="009F6910" w:rsidRPr="009F6910" w:rsidRDefault="009F6910" w:rsidP="009F6910">
      <w:pPr>
        <w:pStyle w:val="EndNoteBibliography"/>
        <w:spacing w:after="240"/>
      </w:pPr>
      <w:r w:rsidRPr="009F6910">
        <w:t>71.</w:t>
      </w:r>
      <w:r w:rsidRPr="009F6910">
        <w:tab/>
        <w:t xml:space="preserve">Sutherst RW. Global Change and Human Vulnerability to Vector-Borne Diseases. </w:t>
      </w:r>
      <w:r w:rsidRPr="009F6910">
        <w:rPr>
          <w:i/>
        </w:rPr>
        <w:t>Clinical Microbiology Reviews</w:t>
      </w:r>
      <w:r w:rsidRPr="009F6910">
        <w:t xml:space="preserve"> 2004; </w:t>
      </w:r>
      <w:r w:rsidRPr="009F6910">
        <w:rPr>
          <w:b/>
        </w:rPr>
        <w:t>17</w:t>
      </w:r>
      <w:r w:rsidRPr="009F6910">
        <w:t>(1): 136-73.</w:t>
      </w:r>
    </w:p>
    <w:p w:rsidR="009F6910" w:rsidRPr="009F6910" w:rsidRDefault="009F6910" w:rsidP="009F6910">
      <w:pPr>
        <w:pStyle w:val="EndNoteBibliography"/>
        <w:spacing w:after="240"/>
      </w:pPr>
      <w:r w:rsidRPr="009F6910">
        <w:t>72.</w:t>
      </w:r>
      <w:r w:rsidRPr="009F6910">
        <w:tab/>
        <w:t>World Health Organization, World Meteorological Organisation. Atlas of health and climate. Geneva, 2012.</w:t>
      </w:r>
    </w:p>
    <w:p w:rsidR="009F6910" w:rsidRPr="009F6910" w:rsidRDefault="009F6910" w:rsidP="009F6910">
      <w:pPr>
        <w:pStyle w:val="EndNoteBibliography"/>
        <w:spacing w:after="240"/>
      </w:pPr>
      <w:r w:rsidRPr="009F6910">
        <w:t>73.</w:t>
      </w:r>
      <w:r w:rsidRPr="009F6910">
        <w:tab/>
        <w:t xml:space="preserve">Hopp J, Foley J. Worldwide fluctuations in dengue fever case related to climate variability. </w:t>
      </w:r>
      <w:r w:rsidRPr="009F6910">
        <w:rPr>
          <w:i/>
        </w:rPr>
        <w:t>Climate Research 25</w:t>
      </w:r>
      <w:r w:rsidRPr="009F6910">
        <w:t xml:space="preserve"> 2003; </w:t>
      </w:r>
      <w:r w:rsidRPr="009F6910">
        <w:rPr>
          <w:b/>
        </w:rPr>
        <w:t>1</w:t>
      </w:r>
      <w:r w:rsidRPr="009F6910">
        <w:t>: 85-94.</w:t>
      </w:r>
    </w:p>
    <w:p w:rsidR="009F6910" w:rsidRPr="009F6910" w:rsidRDefault="009F6910" w:rsidP="009F6910">
      <w:pPr>
        <w:pStyle w:val="EndNoteBibliography"/>
        <w:spacing w:after="240"/>
      </w:pPr>
      <w:r w:rsidRPr="009F6910">
        <w:t>74.</w:t>
      </w:r>
      <w:r w:rsidRPr="009F6910">
        <w:tab/>
        <w:t xml:space="preserve">Lipp EK, Huq A, Colwell RR. Effects of global climate on infectious disease: the cholera model. </w:t>
      </w:r>
      <w:r w:rsidRPr="009F6910">
        <w:rPr>
          <w:i/>
        </w:rPr>
        <w:t>Clinical microbiology reviews</w:t>
      </w:r>
      <w:r w:rsidRPr="009F6910">
        <w:t xml:space="preserve"> 2002; </w:t>
      </w:r>
      <w:r w:rsidRPr="009F6910">
        <w:rPr>
          <w:b/>
        </w:rPr>
        <w:t>15</w:t>
      </w:r>
      <w:r w:rsidRPr="009F6910">
        <w:t>(4): 757-70.</w:t>
      </w:r>
    </w:p>
    <w:p w:rsidR="009F6910" w:rsidRPr="009F6910" w:rsidRDefault="009F6910" w:rsidP="009F6910">
      <w:pPr>
        <w:pStyle w:val="EndNoteBibliography"/>
        <w:spacing w:after="240"/>
      </w:pPr>
      <w:r w:rsidRPr="009F6910">
        <w:t>75.</w:t>
      </w:r>
      <w:r w:rsidRPr="009F6910">
        <w:tab/>
        <w:t xml:space="preserve">World Health Organization. Burden on Disease from Air Pollution in 2012; 2014. </w:t>
      </w:r>
      <w:hyperlink r:id="rId30" w:history="1">
        <w:r w:rsidRPr="009F6910">
          <w:rPr>
            <w:rStyle w:val="Hyperlink"/>
          </w:rPr>
          <w:t>http://www.who.int/phe/health_topics/outdoorair/databases/FINAL_HAP_AAP_BoD_24March2014.pdf</w:t>
        </w:r>
      </w:hyperlink>
      <w:r w:rsidRPr="009F6910">
        <w:t xml:space="preserve"> (accessed 7 Oct 2014).</w:t>
      </w:r>
    </w:p>
    <w:p w:rsidR="009F6910" w:rsidRPr="009F6910" w:rsidRDefault="009F6910" w:rsidP="009F6910">
      <w:pPr>
        <w:pStyle w:val="EndNoteBibliography"/>
        <w:spacing w:after="240"/>
      </w:pPr>
      <w:r w:rsidRPr="009F6910">
        <w:t>76.</w:t>
      </w:r>
      <w:r w:rsidRPr="009F6910">
        <w:tab/>
        <w:t xml:space="preserve">Jacob DJ, Winner DA. Effect of climate change on air quality. </w:t>
      </w:r>
      <w:r w:rsidRPr="009F6910">
        <w:rPr>
          <w:i/>
        </w:rPr>
        <w:t>Atmospheric Environment</w:t>
      </w:r>
      <w:r w:rsidRPr="009F6910">
        <w:t xml:space="preserve"> 2009; </w:t>
      </w:r>
      <w:r w:rsidRPr="009F6910">
        <w:rPr>
          <w:b/>
        </w:rPr>
        <w:t>43</w:t>
      </w:r>
      <w:r w:rsidRPr="009F6910">
        <w:t>(1): 51-63.</w:t>
      </w:r>
    </w:p>
    <w:p w:rsidR="009F6910" w:rsidRPr="009F6910" w:rsidRDefault="009F6910" w:rsidP="009F6910">
      <w:pPr>
        <w:pStyle w:val="EndNoteBibliography"/>
        <w:spacing w:after="240"/>
      </w:pPr>
      <w:r w:rsidRPr="009F6910">
        <w:lastRenderedPageBreak/>
        <w:t>77.</w:t>
      </w:r>
      <w:r w:rsidRPr="009F6910">
        <w:tab/>
        <w:t xml:space="preserve">Giorgi F, Meleux F. Modelling the regional effects of climate change on air quality. </w:t>
      </w:r>
      <w:r w:rsidRPr="009F6910">
        <w:rPr>
          <w:i/>
        </w:rPr>
        <w:t>Comptes Rendus Geoscience</w:t>
      </w:r>
      <w:r w:rsidRPr="009F6910">
        <w:t xml:space="preserve"> 2007; </w:t>
      </w:r>
      <w:r w:rsidRPr="009F6910">
        <w:rPr>
          <w:b/>
        </w:rPr>
        <w:t>339</w:t>
      </w:r>
      <w:r w:rsidRPr="009F6910">
        <w:t>(11–12): 721-33.</w:t>
      </w:r>
    </w:p>
    <w:p w:rsidR="009F6910" w:rsidRPr="009F6910" w:rsidRDefault="009F6910" w:rsidP="009F6910">
      <w:pPr>
        <w:pStyle w:val="EndNoteBibliography"/>
        <w:spacing w:after="240"/>
      </w:pPr>
      <w:r w:rsidRPr="009F6910">
        <w:t>78.</w:t>
      </w:r>
      <w:r w:rsidRPr="009F6910">
        <w:tab/>
        <w:t xml:space="preserve">Schar C, Vidale PL, Luthi D, et al. The role of increasing temperature variability in European summer heatwaves. </w:t>
      </w:r>
      <w:r w:rsidRPr="009F6910">
        <w:rPr>
          <w:i/>
        </w:rPr>
        <w:t>Nature</w:t>
      </w:r>
      <w:r w:rsidRPr="009F6910">
        <w:t xml:space="preserve"> 2004; </w:t>
      </w:r>
      <w:r w:rsidRPr="009F6910">
        <w:rPr>
          <w:b/>
        </w:rPr>
        <w:t>427</w:t>
      </w:r>
      <w:r w:rsidRPr="009F6910">
        <w:t>(6972): 332-6.</w:t>
      </w:r>
    </w:p>
    <w:p w:rsidR="009F6910" w:rsidRPr="009F6910" w:rsidRDefault="009F6910" w:rsidP="009F6910">
      <w:pPr>
        <w:pStyle w:val="EndNoteBibliography"/>
        <w:spacing w:after="240"/>
      </w:pPr>
      <w:r w:rsidRPr="009F6910">
        <w:t>79.</w:t>
      </w:r>
      <w:r w:rsidRPr="009F6910">
        <w:tab/>
        <w:t xml:space="preserve">Wu S, Mickley LJ, Leibensperger EM, Jacob DJ, Rind D, Streets DG. Effects of 2000–2050 global change on ozone air quality in the United States. </w:t>
      </w:r>
      <w:r w:rsidRPr="009F6910">
        <w:rPr>
          <w:i/>
        </w:rPr>
        <w:t>Journal of Geophysical Research: Atmospheres</w:t>
      </w:r>
      <w:r w:rsidRPr="009F6910">
        <w:t xml:space="preserve"> 2008; </w:t>
      </w:r>
      <w:r w:rsidRPr="009F6910">
        <w:rPr>
          <w:b/>
        </w:rPr>
        <w:t>113</w:t>
      </w:r>
      <w:r w:rsidRPr="009F6910">
        <w:t>(D6): D06302.</w:t>
      </w:r>
    </w:p>
    <w:p w:rsidR="009F6910" w:rsidRPr="009F6910" w:rsidRDefault="009F6910" w:rsidP="009F6910">
      <w:pPr>
        <w:pStyle w:val="EndNoteBibliography"/>
        <w:spacing w:after="240"/>
      </w:pPr>
      <w:r w:rsidRPr="009F6910">
        <w:t>80.</w:t>
      </w:r>
      <w:r w:rsidRPr="009F6910">
        <w:tab/>
        <w:t xml:space="preserve">Tagaris E, Manomaiphiboon K, Liao K-J, et al. Impacts of global climate change and emissions on regional ozone and fine particulate matter concentrations over the United States. </w:t>
      </w:r>
      <w:r w:rsidRPr="009F6910">
        <w:rPr>
          <w:i/>
        </w:rPr>
        <w:t>Journal of Geophysical Research: Atmospheres</w:t>
      </w:r>
      <w:r w:rsidRPr="009F6910">
        <w:t xml:space="preserve"> 2007; </w:t>
      </w:r>
      <w:r w:rsidRPr="009F6910">
        <w:rPr>
          <w:b/>
        </w:rPr>
        <w:t>112</w:t>
      </w:r>
      <w:r w:rsidRPr="009F6910">
        <w:t>(D14): D14312.</w:t>
      </w:r>
    </w:p>
    <w:p w:rsidR="009F6910" w:rsidRPr="009F6910" w:rsidRDefault="009F6910" w:rsidP="009F6910">
      <w:pPr>
        <w:pStyle w:val="EndNoteBibliography"/>
        <w:spacing w:after="240"/>
      </w:pPr>
      <w:r w:rsidRPr="009F6910">
        <w:t>81.</w:t>
      </w:r>
      <w:r w:rsidRPr="009F6910">
        <w:tab/>
        <w:t xml:space="preserve">Murazaki K, Hess P. How does climate change contribute to surface ozone change over the United States? </w:t>
      </w:r>
      <w:r w:rsidRPr="009F6910">
        <w:rPr>
          <w:i/>
        </w:rPr>
        <w:t>Journal of Geophysical Research: Atmospheres</w:t>
      </w:r>
      <w:r w:rsidRPr="009F6910">
        <w:t xml:space="preserve"> 2006; </w:t>
      </w:r>
      <w:r w:rsidRPr="009F6910">
        <w:rPr>
          <w:b/>
        </w:rPr>
        <w:t>111</w:t>
      </w:r>
      <w:r w:rsidRPr="009F6910">
        <w:t>(D5): D05301.</w:t>
      </w:r>
    </w:p>
    <w:p w:rsidR="009F6910" w:rsidRPr="009F6910" w:rsidRDefault="009F6910" w:rsidP="009F6910">
      <w:pPr>
        <w:pStyle w:val="EndNoteBibliography"/>
        <w:spacing w:after="240"/>
      </w:pPr>
      <w:r w:rsidRPr="009F6910">
        <w:t>82.</w:t>
      </w:r>
      <w:r w:rsidRPr="009F6910">
        <w:tab/>
        <w:t xml:space="preserve">Mickley LJ, Jacob DJ, Field BD, Rind D. Effects of future climate change on regional air pollution episodes in the United States. </w:t>
      </w:r>
      <w:r w:rsidRPr="009F6910">
        <w:rPr>
          <w:i/>
        </w:rPr>
        <w:t>Geophysical Research Letters</w:t>
      </w:r>
      <w:r w:rsidRPr="009F6910">
        <w:t xml:space="preserve"> 2004; </w:t>
      </w:r>
      <w:r w:rsidRPr="009F6910">
        <w:rPr>
          <w:b/>
        </w:rPr>
        <w:t>31</w:t>
      </w:r>
      <w:r w:rsidRPr="009F6910">
        <w:t>(24): L24103.</w:t>
      </w:r>
    </w:p>
    <w:p w:rsidR="009F6910" w:rsidRPr="009F6910" w:rsidRDefault="009F6910" w:rsidP="009F6910">
      <w:pPr>
        <w:pStyle w:val="EndNoteBibliography"/>
        <w:spacing w:after="240"/>
      </w:pPr>
      <w:r w:rsidRPr="009F6910">
        <w:t>83.</w:t>
      </w:r>
      <w:r w:rsidRPr="009F6910">
        <w:tab/>
        <w:t xml:space="preserve">Knowlton K, Rosenthal JE, Hogrefe C, et al. Assessing Ozone-Related Health Impacts under a Changing Climate. </w:t>
      </w:r>
      <w:r w:rsidRPr="009F6910">
        <w:rPr>
          <w:i/>
        </w:rPr>
        <w:t>Environmental Health Perspectives</w:t>
      </w:r>
      <w:r w:rsidRPr="009F6910">
        <w:t xml:space="preserve"> 2004; </w:t>
      </w:r>
      <w:r w:rsidRPr="009F6910">
        <w:rPr>
          <w:b/>
        </w:rPr>
        <w:t>112</w:t>
      </w:r>
      <w:r w:rsidRPr="009F6910">
        <w:t>(15): 1557-63.</w:t>
      </w:r>
    </w:p>
    <w:p w:rsidR="009F6910" w:rsidRPr="009F6910" w:rsidRDefault="009F6910" w:rsidP="009F6910">
      <w:pPr>
        <w:pStyle w:val="EndNoteBibliography"/>
        <w:spacing w:after="240"/>
      </w:pPr>
      <w:r w:rsidRPr="009F6910">
        <w:t>84.</w:t>
      </w:r>
      <w:r w:rsidRPr="009F6910">
        <w:tab/>
        <w:t xml:space="preserve">Jiang H, Liao H, Pye HOT, et al. Projected effect of 2000–2050 changes in climate and emissions on aerosol levels in China and associated transboundary transport. </w:t>
      </w:r>
      <w:r w:rsidRPr="009F6910">
        <w:rPr>
          <w:i/>
        </w:rPr>
        <w:t>Atmos Chem Phys</w:t>
      </w:r>
      <w:r w:rsidRPr="009F6910">
        <w:t xml:space="preserve"> 2013; </w:t>
      </w:r>
      <w:r w:rsidRPr="009F6910">
        <w:rPr>
          <w:b/>
        </w:rPr>
        <w:t>13</w:t>
      </w:r>
      <w:r w:rsidRPr="009F6910">
        <w:t>(16): 7937-60.</w:t>
      </w:r>
    </w:p>
    <w:p w:rsidR="009F6910" w:rsidRPr="009F6910" w:rsidRDefault="009F6910" w:rsidP="009F6910">
      <w:pPr>
        <w:pStyle w:val="EndNoteBibliography"/>
        <w:spacing w:after="240"/>
      </w:pPr>
      <w:r w:rsidRPr="009F6910">
        <w:t>85.</w:t>
      </w:r>
      <w:r w:rsidRPr="009F6910">
        <w:tab/>
        <w:t xml:space="preserve">Wang Y, Shen L, Wu S, Mickley L, He J, Hao J. Sensitivity of surface ozone over China to 2000–2050 global changes of climate and emissions. </w:t>
      </w:r>
      <w:r w:rsidRPr="009F6910">
        <w:rPr>
          <w:i/>
        </w:rPr>
        <w:t>Atmospheric Environment</w:t>
      </w:r>
      <w:r w:rsidRPr="009F6910">
        <w:t xml:space="preserve"> 2013; </w:t>
      </w:r>
      <w:r w:rsidRPr="009F6910">
        <w:rPr>
          <w:b/>
        </w:rPr>
        <w:t>75</w:t>
      </w:r>
      <w:r w:rsidRPr="009F6910">
        <w:t>(0): 374-82.</w:t>
      </w:r>
    </w:p>
    <w:p w:rsidR="009F6910" w:rsidRPr="009F6910" w:rsidRDefault="009F6910" w:rsidP="009F6910">
      <w:pPr>
        <w:pStyle w:val="EndNoteBibliography"/>
        <w:spacing w:after="240"/>
      </w:pPr>
      <w:r w:rsidRPr="009F6910">
        <w:t>86.</w:t>
      </w:r>
      <w:r w:rsidRPr="009F6910">
        <w:tab/>
        <w:t xml:space="preserve">Jiang Z, Zhang X, Wang J. Projection of climate change in China in the 21st century by IPCC-AR4 Models </w:t>
      </w:r>
      <w:r w:rsidRPr="009F6910">
        <w:rPr>
          <w:i/>
        </w:rPr>
        <w:t>Geographical Research</w:t>
      </w:r>
      <w:r w:rsidRPr="009F6910">
        <w:t xml:space="preserve"> 2008; </w:t>
      </w:r>
      <w:r w:rsidRPr="009F6910">
        <w:rPr>
          <w:b/>
        </w:rPr>
        <w:t>27</w:t>
      </w:r>
      <w:r w:rsidRPr="009F6910">
        <w:t>: 787-99.</w:t>
      </w:r>
    </w:p>
    <w:p w:rsidR="009F6910" w:rsidRPr="009F6910" w:rsidRDefault="009F6910" w:rsidP="009F6910">
      <w:pPr>
        <w:pStyle w:val="EndNoteBibliography"/>
        <w:spacing w:after="240"/>
      </w:pPr>
      <w:r w:rsidRPr="009F6910">
        <w:t>87.</w:t>
      </w:r>
      <w:r w:rsidRPr="009F6910">
        <w:tab/>
        <w:t xml:space="preserve">Lim SS, Vos T, Flaxman AD, et al. A comparative risk assessment of burden of disease and injury attributable to 67 risk factors and risk factor clusters in 21 regions, 1990-2010: a systematic analysis for the Global Burden of Disease Study 2010. </w:t>
      </w:r>
      <w:r w:rsidRPr="009F6910">
        <w:rPr>
          <w:i/>
        </w:rPr>
        <w:t>The Lancet</w:t>
      </w:r>
      <w:r w:rsidRPr="009F6910">
        <w:t xml:space="preserve"> 2012; </w:t>
      </w:r>
      <w:r w:rsidRPr="009F6910">
        <w:rPr>
          <w:b/>
        </w:rPr>
        <w:t>380</w:t>
      </w:r>
      <w:r w:rsidRPr="009F6910">
        <w:t>(9859): 2224-60.</w:t>
      </w:r>
    </w:p>
    <w:p w:rsidR="009F6910" w:rsidRPr="009F6910" w:rsidRDefault="009F6910" w:rsidP="009F6910">
      <w:pPr>
        <w:pStyle w:val="EndNoteBibliography"/>
        <w:spacing w:after="240"/>
      </w:pPr>
      <w:r w:rsidRPr="009F6910">
        <w:t>88.</w:t>
      </w:r>
      <w:r w:rsidRPr="009F6910">
        <w:tab/>
        <w:t xml:space="preserve">Lobell DB, Banziger M, Magorokosho C, Vivek B. Nonlinear heat effects on African maize as evidenced by historical yield trials. </w:t>
      </w:r>
      <w:r w:rsidRPr="009F6910">
        <w:rPr>
          <w:i/>
        </w:rPr>
        <w:t>Nature Clim Change</w:t>
      </w:r>
      <w:r w:rsidRPr="009F6910">
        <w:t xml:space="preserve"> 2011; </w:t>
      </w:r>
      <w:r w:rsidRPr="009F6910">
        <w:rPr>
          <w:b/>
        </w:rPr>
        <w:t>1</w:t>
      </w:r>
      <w:r w:rsidRPr="009F6910">
        <w:t>(1): 42-5.</w:t>
      </w:r>
    </w:p>
    <w:p w:rsidR="009F6910" w:rsidRPr="009F6910" w:rsidRDefault="009F6910" w:rsidP="009F6910">
      <w:pPr>
        <w:pStyle w:val="EndNoteBibliography"/>
        <w:spacing w:after="240"/>
      </w:pPr>
      <w:r w:rsidRPr="009F6910">
        <w:t>89.</w:t>
      </w:r>
      <w:r w:rsidRPr="009F6910">
        <w:tab/>
        <w:t xml:space="preserve">Lobell DB, Schlenker W, Costa-Roberts J. Climate trends and global crop production since 1980. </w:t>
      </w:r>
      <w:r w:rsidRPr="009F6910">
        <w:rPr>
          <w:i/>
        </w:rPr>
        <w:t>Science</w:t>
      </w:r>
      <w:r w:rsidRPr="009F6910">
        <w:t xml:space="preserve"> 2011; </w:t>
      </w:r>
      <w:r w:rsidRPr="009F6910">
        <w:rPr>
          <w:b/>
        </w:rPr>
        <w:t>333</w:t>
      </w:r>
      <w:r w:rsidRPr="009F6910">
        <w:t>(6042): 616-20.</w:t>
      </w:r>
    </w:p>
    <w:p w:rsidR="009F6910" w:rsidRPr="009F6910" w:rsidRDefault="009F6910" w:rsidP="009F6910">
      <w:pPr>
        <w:pStyle w:val="EndNoteBibliography"/>
        <w:spacing w:after="240"/>
      </w:pPr>
      <w:r w:rsidRPr="009F6910">
        <w:t>90.</w:t>
      </w:r>
      <w:r w:rsidRPr="009F6910">
        <w:tab/>
        <w:t xml:space="preserve">Grace K, Davenport F, Funk C, Lerner AM. Child malnutrition and climate in Sub-Saharan Africa: An analysis of recent trends in Kenya. </w:t>
      </w:r>
      <w:r w:rsidRPr="009F6910">
        <w:rPr>
          <w:i/>
        </w:rPr>
        <w:t>Applied Geography</w:t>
      </w:r>
      <w:r w:rsidRPr="009F6910">
        <w:t xml:space="preserve"> 2012; </w:t>
      </w:r>
      <w:r w:rsidRPr="009F6910">
        <w:rPr>
          <w:b/>
        </w:rPr>
        <w:t>35</w:t>
      </w:r>
      <w:r w:rsidRPr="009F6910">
        <w:t>(1–2): 405-13.</w:t>
      </w:r>
    </w:p>
    <w:p w:rsidR="009F6910" w:rsidRPr="009F6910" w:rsidRDefault="009F6910" w:rsidP="009F6910">
      <w:pPr>
        <w:pStyle w:val="EndNoteBibliography"/>
        <w:spacing w:after="240"/>
      </w:pPr>
      <w:r w:rsidRPr="009F6910">
        <w:t>91.</w:t>
      </w:r>
      <w:r w:rsidRPr="009F6910">
        <w:tab/>
        <w:t xml:space="preserve">Taylor RG, Scanlon B, Doll P, et al. Ground water and climate change. </w:t>
      </w:r>
      <w:r w:rsidRPr="009F6910">
        <w:rPr>
          <w:i/>
        </w:rPr>
        <w:t>Nature Clim Change</w:t>
      </w:r>
      <w:r w:rsidRPr="009F6910">
        <w:t xml:space="preserve"> 2013; </w:t>
      </w:r>
      <w:r w:rsidRPr="009F6910">
        <w:rPr>
          <w:b/>
        </w:rPr>
        <w:t>3</w:t>
      </w:r>
      <w:r w:rsidRPr="009F6910">
        <w:t>(4): 322-9.</w:t>
      </w:r>
    </w:p>
    <w:p w:rsidR="009F6910" w:rsidRPr="009F6910" w:rsidRDefault="009F6910" w:rsidP="009F6910">
      <w:pPr>
        <w:pStyle w:val="EndNoteBibliography"/>
        <w:spacing w:after="240"/>
      </w:pPr>
      <w:r w:rsidRPr="009F6910">
        <w:t>92.</w:t>
      </w:r>
      <w:r w:rsidRPr="009F6910">
        <w:tab/>
        <w:t xml:space="preserve">Schewe J, Heinke J, Gerten D, et al. Multimodel assessment of water scarcity under climate change. </w:t>
      </w:r>
      <w:r w:rsidRPr="009F6910">
        <w:rPr>
          <w:i/>
        </w:rPr>
        <w:t>Proceedings of the National Academy of Sciences</w:t>
      </w:r>
      <w:r w:rsidRPr="009F6910">
        <w:t xml:space="preserve"> 2014; </w:t>
      </w:r>
      <w:r w:rsidRPr="009F6910">
        <w:rPr>
          <w:b/>
        </w:rPr>
        <w:t>111</w:t>
      </w:r>
      <w:r w:rsidRPr="009F6910">
        <w:t>(9): 3245-50.</w:t>
      </w:r>
    </w:p>
    <w:p w:rsidR="009F6910" w:rsidRPr="009F6910" w:rsidRDefault="009F6910" w:rsidP="009F6910">
      <w:pPr>
        <w:pStyle w:val="EndNoteBibliography"/>
        <w:spacing w:after="240"/>
      </w:pPr>
      <w:r w:rsidRPr="009F6910">
        <w:lastRenderedPageBreak/>
        <w:t>93.</w:t>
      </w:r>
      <w:r w:rsidRPr="009F6910">
        <w:tab/>
        <w:t xml:space="preserve">Ahern M, Kovats RS, Wilkinson P, Few R, Matthies F. Global Health Impacts of Floods: Epidemiologic Evidence. </w:t>
      </w:r>
      <w:r w:rsidRPr="009F6910">
        <w:rPr>
          <w:i/>
        </w:rPr>
        <w:t>Epidemiologic Reviews</w:t>
      </w:r>
      <w:r w:rsidRPr="009F6910">
        <w:t xml:space="preserve"> 2005; </w:t>
      </w:r>
      <w:r w:rsidRPr="009F6910">
        <w:rPr>
          <w:b/>
        </w:rPr>
        <w:t>27</w:t>
      </w:r>
      <w:r w:rsidRPr="009F6910">
        <w:t>(1): 36-46.</w:t>
      </w:r>
    </w:p>
    <w:p w:rsidR="009F6910" w:rsidRPr="009F6910" w:rsidRDefault="009F6910" w:rsidP="009F6910">
      <w:pPr>
        <w:pStyle w:val="EndNoteBibliography"/>
        <w:spacing w:after="240"/>
      </w:pPr>
      <w:r w:rsidRPr="009F6910">
        <w:t>94.</w:t>
      </w:r>
      <w:r w:rsidRPr="009F6910">
        <w:tab/>
        <w:t xml:space="preserve">Dasgupta S, Laplante B, Meisner C, Wheeler D, Yan J. The impact of sea level rise on developing countries: a comparative analysis. </w:t>
      </w:r>
      <w:r w:rsidRPr="009F6910">
        <w:rPr>
          <w:i/>
        </w:rPr>
        <w:t>Climatic Change</w:t>
      </w:r>
      <w:r w:rsidRPr="009F6910">
        <w:t xml:space="preserve"> 2009; </w:t>
      </w:r>
      <w:r w:rsidRPr="009F6910">
        <w:rPr>
          <w:b/>
        </w:rPr>
        <w:t>93</w:t>
      </w:r>
      <w:r w:rsidRPr="009F6910">
        <w:t>(3-4): 379-88.</w:t>
      </w:r>
    </w:p>
    <w:p w:rsidR="009F6910" w:rsidRPr="009F6910" w:rsidRDefault="009F6910" w:rsidP="009F6910">
      <w:pPr>
        <w:pStyle w:val="EndNoteBibliography"/>
        <w:spacing w:after="240"/>
      </w:pPr>
      <w:r w:rsidRPr="009F6910">
        <w:t>95.</w:t>
      </w:r>
      <w:r w:rsidRPr="009F6910">
        <w:tab/>
        <w:t xml:space="preserve">Nicholls R, Marinova N, Lowe J, et al. Sea-level rise and its possible impacts given a ‘beyond 4°C world’ in the twenty-first century. </w:t>
      </w:r>
      <w:r w:rsidRPr="009F6910">
        <w:rPr>
          <w:i/>
        </w:rPr>
        <w:t>Philosophical Transactions of the Royal Society A</w:t>
      </w:r>
      <w:r w:rsidRPr="009F6910">
        <w:t xml:space="preserve"> 2011; </w:t>
      </w:r>
      <w:r w:rsidRPr="009F6910">
        <w:rPr>
          <w:b/>
        </w:rPr>
        <w:t>369</w:t>
      </w:r>
      <w:r w:rsidRPr="009F6910">
        <w:t>(1934): 161-81.</w:t>
      </w:r>
    </w:p>
    <w:p w:rsidR="009F6910" w:rsidRPr="009F6910" w:rsidRDefault="009F6910" w:rsidP="009F6910">
      <w:pPr>
        <w:pStyle w:val="EndNoteBibliography"/>
        <w:spacing w:after="240"/>
      </w:pPr>
      <w:r w:rsidRPr="009F6910">
        <w:t>96.</w:t>
      </w:r>
      <w:r w:rsidRPr="009F6910">
        <w:tab/>
        <w:t xml:space="preserve">Paranjothy S, Gallacher J, Amlot R, et al. Psychosocial impact of the summer 2007 floods in England. </w:t>
      </w:r>
      <w:r w:rsidRPr="009F6910">
        <w:rPr>
          <w:i/>
        </w:rPr>
        <w:t>BMC Public Health</w:t>
      </w:r>
      <w:r w:rsidRPr="009F6910">
        <w:t xml:space="preserve"> 2011; </w:t>
      </w:r>
      <w:r w:rsidRPr="009F6910">
        <w:rPr>
          <w:b/>
        </w:rPr>
        <w:t>11</w:t>
      </w:r>
      <w:r w:rsidRPr="009F6910">
        <w:t>(1): 145.</w:t>
      </w:r>
    </w:p>
    <w:p w:rsidR="009F6910" w:rsidRPr="009F6910" w:rsidRDefault="009F6910" w:rsidP="009F6910">
      <w:pPr>
        <w:pStyle w:val="EndNoteBibliography"/>
        <w:spacing w:after="240"/>
      </w:pPr>
      <w:r w:rsidRPr="009F6910">
        <w:t>97.</w:t>
      </w:r>
      <w:r w:rsidRPr="009F6910">
        <w:tab/>
        <w:t xml:space="preserve">Jongman B, Ward PJ, Aerts JCJH. Global exposure to river and coastal flooding: Long term trends and changes. </w:t>
      </w:r>
      <w:r w:rsidRPr="009F6910">
        <w:rPr>
          <w:i/>
        </w:rPr>
        <w:t>Global Environmental Change</w:t>
      </w:r>
      <w:r w:rsidRPr="009F6910">
        <w:t xml:space="preserve"> 2012; </w:t>
      </w:r>
      <w:r w:rsidRPr="009F6910">
        <w:rPr>
          <w:b/>
        </w:rPr>
        <w:t>22</w:t>
      </w:r>
      <w:r w:rsidRPr="009F6910">
        <w:t>(4): 823-35.</w:t>
      </w:r>
    </w:p>
    <w:p w:rsidR="009F6910" w:rsidRPr="009F6910" w:rsidRDefault="009F6910" w:rsidP="009F6910">
      <w:pPr>
        <w:pStyle w:val="EndNoteBibliography"/>
        <w:spacing w:after="240"/>
      </w:pPr>
      <w:r w:rsidRPr="009F6910">
        <w:t>98.</w:t>
      </w:r>
      <w:r w:rsidRPr="009F6910">
        <w:tab/>
        <w:t>Olsson L, M. Opondo, P. Tschakert, et al. Livelihoods and poverty. In: Field CB, V.R. Barros, D.J. Dokken, K.J. Mach, M.D. Mastrandrea, T.E. Bilir, M. Chatterjee, K.L. Ebi, Y.O. Estrada, R.C. Genova, B. Girma, E.S. Kissel, A.N. Levy, S. MacCracken, P.R. Mastrandrea, and L.L. White ed. Climate Change 2014: Impacts, Adaptation, and Vulnerability Part A: Global and Sectoral Aspects Contribution of Working Group II to the Fifth Assessment Report of the Intergovernmental Panel on Climate Change Cambridge, United Kingdom and New York, NY, USA: Cambridge University Press; 2014: 793-832.</w:t>
      </w:r>
    </w:p>
    <w:p w:rsidR="009F6910" w:rsidRPr="009F6910" w:rsidRDefault="009F6910" w:rsidP="009F6910">
      <w:pPr>
        <w:pStyle w:val="EndNoteBibliography"/>
        <w:spacing w:after="240"/>
      </w:pPr>
      <w:r w:rsidRPr="009F6910">
        <w:t>99.</w:t>
      </w:r>
      <w:r w:rsidRPr="009F6910">
        <w:tab/>
        <w:t xml:space="preserve">Gleditsch NP. Whither the weather? Climate change and conflict. </w:t>
      </w:r>
      <w:r w:rsidRPr="009F6910">
        <w:rPr>
          <w:i/>
        </w:rPr>
        <w:t>Journal of Peace Research</w:t>
      </w:r>
      <w:r w:rsidRPr="009F6910">
        <w:t xml:space="preserve"> 2012; </w:t>
      </w:r>
      <w:r w:rsidRPr="009F6910">
        <w:rPr>
          <w:b/>
        </w:rPr>
        <w:t>49</w:t>
      </w:r>
      <w:r w:rsidRPr="009F6910">
        <w:t>(1): 3-9.</w:t>
      </w:r>
    </w:p>
    <w:p w:rsidR="009F6910" w:rsidRPr="009F6910" w:rsidRDefault="009F6910" w:rsidP="009F6910">
      <w:pPr>
        <w:pStyle w:val="EndNoteBibliography"/>
        <w:spacing w:after="240"/>
      </w:pPr>
      <w:r w:rsidRPr="009F6910">
        <w:t>100.</w:t>
      </w:r>
      <w:r w:rsidRPr="009F6910">
        <w:tab/>
        <w:t xml:space="preserve">McMichael C, Barnett J, McMichael AJ. An Ill Wind? Climate Change, Migration, and Health. </w:t>
      </w:r>
      <w:r w:rsidRPr="009F6910">
        <w:rPr>
          <w:i/>
        </w:rPr>
        <w:t>Environmental Health Perspectives</w:t>
      </w:r>
      <w:r w:rsidRPr="009F6910">
        <w:t xml:space="preserve"> 2012; </w:t>
      </w:r>
      <w:r w:rsidRPr="009F6910">
        <w:rPr>
          <w:b/>
        </w:rPr>
        <w:t>120</w:t>
      </w:r>
      <w:r w:rsidRPr="009F6910">
        <w:t>(5): 646-54.</w:t>
      </w:r>
    </w:p>
    <w:p w:rsidR="009F6910" w:rsidRPr="009F6910" w:rsidRDefault="009F6910" w:rsidP="009F6910">
      <w:pPr>
        <w:pStyle w:val="EndNoteBibliography"/>
        <w:spacing w:after="240"/>
      </w:pPr>
      <w:r w:rsidRPr="009F6910">
        <w:t>101.</w:t>
      </w:r>
      <w:r w:rsidRPr="009F6910">
        <w:tab/>
        <w:t xml:space="preserve">Black R, Arnell NW, Adger WN, Thomas D, Geddes A. Migration, immobility and displacement outcomes following extreme events. </w:t>
      </w:r>
      <w:r w:rsidRPr="009F6910">
        <w:rPr>
          <w:i/>
        </w:rPr>
        <w:t>Environmental Science &amp; Policy</w:t>
      </w:r>
      <w:r w:rsidRPr="009F6910">
        <w:t xml:space="preserve"> 2013; </w:t>
      </w:r>
      <w:r w:rsidRPr="009F6910">
        <w:rPr>
          <w:b/>
        </w:rPr>
        <w:t>27, Supplement 1</w:t>
      </w:r>
      <w:r w:rsidRPr="009F6910">
        <w:t>(0): S32-S43.</w:t>
      </w:r>
    </w:p>
    <w:p w:rsidR="009F6910" w:rsidRPr="009F6910" w:rsidRDefault="009F6910" w:rsidP="009F6910">
      <w:pPr>
        <w:pStyle w:val="EndNoteBibliography"/>
        <w:spacing w:after="240"/>
      </w:pPr>
      <w:r w:rsidRPr="009F6910">
        <w:t>102.</w:t>
      </w:r>
      <w:r w:rsidRPr="009F6910">
        <w:tab/>
        <w:t xml:space="preserve">Frumkin H, McMichael AJ. Climate change and public health: thinking, communicating, acting. </w:t>
      </w:r>
      <w:r w:rsidRPr="009F6910">
        <w:rPr>
          <w:i/>
        </w:rPr>
        <w:t>American journal of preventive medicine</w:t>
      </w:r>
      <w:r w:rsidRPr="009F6910">
        <w:t xml:space="preserve"> 2008; </w:t>
      </w:r>
      <w:r w:rsidRPr="009F6910">
        <w:rPr>
          <w:b/>
        </w:rPr>
        <w:t>35</w:t>
      </w:r>
      <w:r w:rsidRPr="009F6910">
        <w:t>(5): 403-10.</w:t>
      </w:r>
    </w:p>
    <w:p w:rsidR="009F6910" w:rsidRPr="009F6910" w:rsidRDefault="009F6910" w:rsidP="009F6910">
      <w:pPr>
        <w:pStyle w:val="EndNoteBibliography"/>
        <w:spacing w:after="240"/>
      </w:pPr>
      <w:r w:rsidRPr="009F6910">
        <w:t>103.</w:t>
      </w:r>
      <w:r w:rsidRPr="009F6910">
        <w:tab/>
        <w:t xml:space="preserve">Frumkin H, Hess J, Luber G, Malilay J, McGeehin M. Climate Change: The Public Health Response. </w:t>
      </w:r>
      <w:r w:rsidRPr="009F6910">
        <w:rPr>
          <w:i/>
        </w:rPr>
        <w:t>American Journal of Public Health</w:t>
      </w:r>
      <w:r w:rsidRPr="009F6910">
        <w:t xml:space="preserve"> 2008; </w:t>
      </w:r>
      <w:r w:rsidRPr="009F6910">
        <w:rPr>
          <w:b/>
        </w:rPr>
        <w:t>98</w:t>
      </w:r>
      <w:r w:rsidRPr="009F6910">
        <w:t>(3): 435-45.</w:t>
      </w:r>
    </w:p>
    <w:p w:rsidR="009F6910" w:rsidRPr="009F6910" w:rsidRDefault="009F6910" w:rsidP="009F6910">
      <w:pPr>
        <w:pStyle w:val="EndNoteBibliography"/>
        <w:spacing w:after="240"/>
      </w:pPr>
      <w:r w:rsidRPr="009F6910">
        <w:t>104.</w:t>
      </w:r>
      <w:r w:rsidRPr="009F6910">
        <w:tab/>
        <w:t xml:space="preserve">O'Brien K. Global environmental change II: From adaptation to deliberate transformation. </w:t>
      </w:r>
      <w:r w:rsidRPr="009F6910">
        <w:rPr>
          <w:i/>
        </w:rPr>
        <w:t>Progress in Human Geography</w:t>
      </w:r>
      <w:r w:rsidRPr="009F6910">
        <w:t xml:space="preserve"> 2011.</w:t>
      </w:r>
    </w:p>
    <w:p w:rsidR="009F6910" w:rsidRPr="009F6910" w:rsidRDefault="009F6910" w:rsidP="009F6910">
      <w:pPr>
        <w:pStyle w:val="EndNoteBibliography"/>
        <w:spacing w:after="240"/>
      </w:pPr>
      <w:r w:rsidRPr="009F6910">
        <w:t>105.</w:t>
      </w:r>
      <w:r w:rsidRPr="009F6910">
        <w:tab/>
        <w:t>Pelling M. Adaptation to climate change: from resilience to transformation. London, UK: Routledge; 2011.</w:t>
      </w:r>
    </w:p>
    <w:p w:rsidR="009F6910" w:rsidRPr="009F6910" w:rsidRDefault="009F6910" w:rsidP="009F6910">
      <w:pPr>
        <w:pStyle w:val="EndNoteBibliography"/>
        <w:spacing w:after="240"/>
      </w:pPr>
      <w:r w:rsidRPr="009F6910">
        <w:t>106.</w:t>
      </w:r>
      <w:r w:rsidRPr="009F6910">
        <w:tab/>
        <w:t xml:space="preserve">Adger WN. Vulnerability. </w:t>
      </w:r>
      <w:r w:rsidRPr="009F6910">
        <w:rPr>
          <w:i/>
        </w:rPr>
        <w:t>Global Environmental Change</w:t>
      </w:r>
      <w:r w:rsidRPr="009F6910">
        <w:t xml:space="preserve"> 2006; </w:t>
      </w:r>
      <w:r w:rsidRPr="009F6910">
        <w:rPr>
          <w:b/>
        </w:rPr>
        <w:t>16</w:t>
      </w:r>
      <w:r w:rsidRPr="009F6910">
        <w:t>(3): 268-81.</w:t>
      </w:r>
    </w:p>
    <w:p w:rsidR="009F6910" w:rsidRPr="009F6910" w:rsidRDefault="009F6910" w:rsidP="009F6910">
      <w:pPr>
        <w:pStyle w:val="EndNoteBibliography"/>
        <w:spacing w:after="240"/>
      </w:pPr>
      <w:r w:rsidRPr="009F6910">
        <w:t>107.</w:t>
      </w:r>
      <w:r w:rsidRPr="009F6910">
        <w:tab/>
        <w:t xml:space="preserve">Patz J, Gibbs H, Foley J, Rogers J, Smith K. Climate Change and Global Health: Quantifying a Growing Ethical Crisis. </w:t>
      </w:r>
      <w:r w:rsidRPr="009F6910">
        <w:rPr>
          <w:i/>
        </w:rPr>
        <w:t>EcoHealth</w:t>
      </w:r>
      <w:r w:rsidRPr="009F6910">
        <w:t xml:space="preserve"> 2007; </w:t>
      </w:r>
      <w:r w:rsidRPr="009F6910">
        <w:rPr>
          <w:b/>
        </w:rPr>
        <w:t>4</w:t>
      </w:r>
      <w:r w:rsidRPr="009F6910">
        <w:t>(4): 397-405.</w:t>
      </w:r>
    </w:p>
    <w:p w:rsidR="009F6910" w:rsidRPr="009F6910" w:rsidRDefault="009F6910" w:rsidP="009F6910">
      <w:pPr>
        <w:pStyle w:val="EndNoteBibliography"/>
        <w:spacing w:after="240"/>
      </w:pPr>
      <w:r w:rsidRPr="009F6910">
        <w:t>108.</w:t>
      </w:r>
      <w:r w:rsidRPr="009F6910">
        <w:tab/>
        <w:t xml:space="preserve">IPCC. Glossary of terms. In: Field CB BV, Stocker TF, Qin D, Dokken DJ, Ebi KL, Mastrandrea MD, Mach KJ, Plattner GK, Allen SK, Tignor M, Midgley PM, ed. Managing the Risks of Extreme </w:t>
      </w:r>
      <w:r w:rsidRPr="009F6910">
        <w:lastRenderedPageBreak/>
        <w:t>Events and Disasters to Advance Climate Change Adaptation A Special Report of Working Groups I and II of the Intergovernmental Panel on Climate Change. UK, USA: Cambridge University Press; 2012: 555-64.</w:t>
      </w:r>
    </w:p>
    <w:p w:rsidR="009F6910" w:rsidRPr="009F6910" w:rsidRDefault="009F6910" w:rsidP="009F6910">
      <w:pPr>
        <w:pStyle w:val="EndNoteBibliography"/>
        <w:spacing w:after="240"/>
      </w:pPr>
      <w:r w:rsidRPr="009F6910">
        <w:t>109.</w:t>
      </w:r>
      <w:r w:rsidRPr="009F6910">
        <w:tab/>
        <w:t xml:space="preserve">Adger WN. Social and ecological resilience: are they related? </w:t>
      </w:r>
      <w:r w:rsidRPr="009F6910">
        <w:rPr>
          <w:i/>
        </w:rPr>
        <w:t>Progress in Human Geography</w:t>
      </w:r>
      <w:r w:rsidRPr="009F6910">
        <w:t xml:space="preserve"> 2000; </w:t>
      </w:r>
      <w:r w:rsidRPr="009F6910">
        <w:rPr>
          <w:b/>
        </w:rPr>
        <w:t>24</w:t>
      </w:r>
      <w:r w:rsidRPr="009F6910">
        <w:t>(3): 347-64.</w:t>
      </w:r>
    </w:p>
    <w:p w:rsidR="009F6910" w:rsidRPr="009F6910" w:rsidRDefault="009F6910" w:rsidP="009F6910">
      <w:pPr>
        <w:pStyle w:val="EndNoteBibliography"/>
        <w:spacing w:after="240"/>
      </w:pPr>
      <w:r w:rsidRPr="009F6910">
        <w:t>110.</w:t>
      </w:r>
      <w:r w:rsidRPr="009F6910">
        <w:tab/>
        <w:t>Hackmann H, St. Clair A. Transformative Cornerstones of Social Science Research for Global Change. Paris: Report of the International Social Science Council, 2012.</w:t>
      </w:r>
    </w:p>
    <w:p w:rsidR="009F6910" w:rsidRPr="009F6910" w:rsidRDefault="009F6910" w:rsidP="009F6910">
      <w:pPr>
        <w:pStyle w:val="EndNoteBibliography"/>
        <w:spacing w:after="240"/>
      </w:pPr>
      <w:r w:rsidRPr="009F6910">
        <w:t>111.</w:t>
      </w:r>
      <w:r w:rsidRPr="009F6910">
        <w:tab/>
        <w:t xml:space="preserve">Pascal M, Laaidi K, Ledrans M, et al. France's heat health watch warning system. </w:t>
      </w:r>
      <w:r w:rsidRPr="009F6910">
        <w:rPr>
          <w:i/>
        </w:rPr>
        <w:t>International journal of biometeorology</w:t>
      </w:r>
      <w:r w:rsidRPr="009F6910">
        <w:t xml:space="preserve"> 2006; </w:t>
      </w:r>
      <w:r w:rsidRPr="009F6910">
        <w:rPr>
          <w:b/>
        </w:rPr>
        <w:t>50</w:t>
      </w:r>
      <w:r w:rsidRPr="009F6910">
        <w:t>(3): 144-53.</w:t>
      </w:r>
    </w:p>
    <w:p w:rsidR="009F6910" w:rsidRPr="009F6910" w:rsidRDefault="009F6910" w:rsidP="009F6910">
      <w:pPr>
        <w:pStyle w:val="EndNoteBibliography"/>
        <w:spacing w:after="240"/>
      </w:pPr>
      <w:r w:rsidRPr="009F6910">
        <w:t>112.</w:t>
      </w:r>
      <w:r w:rsidRPr="009F6910">
        <w:tab/>
        <w:t xml:space="preserve">Fouillet A, Rey G, Wagner V, et al. Has the impact of heat waves on mortality changed in France since the European heat wave of summer 2003? A study of the 2006 heat wave. </w:t>
      </w:r>
      <w:r w:rsidRPr="009F6910">
        <w:rPr>
          <w:i/>
        </w:rPr>
        <w:t>International Journal of Epidemiology</w:t>
      </w:r>
      <w:r w:rsidRPr="009F6910">
        <w:t xml:space="preserve"> 2008; </w:t>
      </w:r>
      <w:r w:rsidRPr="009F6910">
        <w:rPr>
          <w:b/>
        </w:rPr>
        <w:t>37</w:t>
      </w:r>
      <w:r w:rsidRPr="009F6910">
        <w:t>(2): 309-17.</w:t>
      </w:r>
    </w:p>
    <w:p w:rsidR="009F6910" w:rsidRPr="009F6910" w:rsidRDefault="009F6910" w:rsidP="009F6910">
      <w:pPr>
        <w:pStyle w:val="EndNoteBibliography"/>
        <w:spacing w:after="240"/>
      </w:pPr>
      <w:r w:rsidRPr="009F6910">
        <w:t>113.</w:t>
      </w:r>
      <w:r w:rsidRPr="009F6910">
        <w:tab/>
        <w:t xml:space="preserve">Ebi KL, Burton I. Identifying practical adaptation options: an approach to address climate change-related health risks. </w:t>
      </w:r>
      <w:r w:rsidRPr="009F6910">
        <w:rPr>
          <w:i/>
        </w:rPr>
        <w:t>Environmental Science &amp; Policy</w:t>
      </w:r>
      <w:r w:rsidRPr="009F6910">
        <w:t xml:space="preserve"> 2008; </w:t>
      </w:r>
      <w:r w:rsidRPr="009F6910">
        <w:rPr>
          <w:b/>
        </w:rPr>
        <w:t>11</w:t>
      </w:r>
      <w:r w:rsidRPr="009F6910">
        <w:t>(4): 359-69.</w:t>
      </w:r>
    </w:p>
    <w:p w:rsidR="009F6910" w:rsidRPr="009F6910" w:rsidRDefault="009F6910" w:rsidP="009F6910">
      <w:pPr>
        <w:pStyle w:val="EndNoteBibliography"/>
        <w:spacing w:after="240"/>
      </w:pPr>
      <w:r w:rsidRPr="009F6910">
        <w:t>114.</w:t>
      </w:r>
      <w:r w:rsidRPr="009F6910">
        <w:tab/>
        <w:t>Matthies F, Bickler G, Marin NC, Hales S. Heat-Health Action Plans: Guidance. Copenhagen: World Health Organisation Regional Office for Europe; 2008.</w:t>
      </w:r>
    </w:p>
    <w:p w:rsidR="009F6910" w:rsidRPr="009F6910" w:rsidRDefault="009F6910" w:rsidP="009F6910">
      <w:pPr>
        <w:pStyle w:val="EndNoteBibliography"/>
        <w:spacing w:after="240"/>
      </w:pPr>
      <w:r w:rsidRPr="009F6910">
        <w:t>115.</w:t>
      </w:r>
      <w:r w:rsidRPr="009F6910">
        <w:tab/>
        <w:t xml:space="preserve">Pugh TAM, MacKenzie AR, Whyatt JD, Hewitt CN. Effectiveness of Green Infrastructure for Improvement of Air Quality in Urban Street Canyons. </w:t>
      </w:r>
      <w:r w:rsidRPr="009F6910">
        <w:rPr>
          <w:i/>
        </w:rPr>
        <w:t>Environmental Science &amp; Technology</w:t>
      </w:r>
      <w:r w:rsidRPr="009F6910">
        <w:t xml:space="preserve"> 2012; </w:t>
      </w:r>
      <w:r w:rsidRPr="009F6910">
        <w:rPr>
          <w:b/>
        </w:rPr>
        <w:t>46</w:t>
      </w:r>
      <w:r w:rsidRPr="009F6910">
        <w:t>(14): 7692-9.</w:t>
      </w:r>
    </w:p>
    <w:p w:rsidR="009F6910" w:rsidRPr="009F6910" w:rsidRDefault="009F6910" w:rsidP="009F6910">
      <w:pPr>
        <w:pStyle w:val="EndNoteBibliography"/>
        <w:spacing w:after="240"/>
      </w:pPr>
      <w:r w:rsidRPr="009F6910">
        <w:t>116.</w:t>
      </w:r>
      <w:r w:rsidRPr="009F6910">
        <w:tab/>
        <w:t>UN Economic and Social Commission for Asia and the Pacific, UN Office for Disaster Risk Reduction. Reducing Vulnerability and Exposure to Disasters. The Asia-Pacific Disaster Report Bangkok, 2012.</w:t>
      </w:r>
    </w:p>
    <w:p w:rsidR="009F6910" w:rsidRPr="009F6910" w:rsidRDefault="009F6910" w:rsidP="009F6910">
      <w:pPr>
        <w:pStyle w:val="EndNoteBibliography"/>
        <w:spacing w:after="240"/>
      </w:pPr>
      <w:r w:rsidRPr="009F6910">
        <w:t>117.</w:t>
      </w:r>
      <w:r w:rsidRPr="009F6910">
        <w:tab/>
        <w:t xml:space="preserve">Michel-Kerjan E. Catastrophe Economics: The National Flood Insurance Program. </w:t>
      </w:r>
      <w:r w:rsidRPr="009F6910">
        <w:rPr>
          <w:i/>
        </w:rPr>
        <w:t>Journal of Economic Perspectives</w:t>
      </w:r>
      <w:r w:rsidRPr="009F6910">
        <w:t xml:space="preserve"> 2010; </w:t>
      </w:r>
      <w:r w:rsidRPr="009F6910">
        <w:rPr>
          <w:b/>
        </w:rPr>
        <w:t>24</w:t>
      </w:r>
      <w:r w:rsidRPr="009F6910">
        <w:t>(4): 165-86.</w:t>
      </w:r>
    </w:p>
    <w:p w:rsidR="009F6910" w:rsidRPr="009F6910" w:rsidRDefault="009F6910" w:rsidP="009F6910">
      <w:pPr>
        <w:pStyle w:val="EndNoteBibliography"/>
        <w:spacing w:after="240"/>
      </w:pPr>
      <w:r w:rsidRPr="009F6910">
        <w:t>118.</w:t>
      </w:r>
      <w:r w:rsidRPr="009F6910">
        <w:tab/>
        <w:t xml:space="preserve">Nicholls RJ, Lowe JA. Benefits of mitigation of climate change for coastal areas. </w:t>
      </w:r>
      <w:r w:rsidRPr="009F6910">
        <w:rPr>
          <w:i/>
        </w:rPr>
        <w:t>Global Environmental Change</w:t>
      </w:r>
      <w:r w:rsidRPr="009F6910">
        <w:t xml:space="preserve"> 2004; </w:t>
      </w:r>
      <w:r w:rsidRPr="009F6910">
        <w:rPr>
          <w:b/>
        </w:rPr>
        <w:t>14</w:t>
      </w:r>
      <w:r w:rsidRPr="009F6910">
        <w:t>(3): 229-44.</w:t>
      </w:r>
    </w:p>
    <w:p w:rsidR="009F6910" w:rsidRPr="009F6910" w:rsidRDefault="009F6910" w:rsidP="009F6910">
      <w:pPr>
        <w:pStyle w:val="EndNoteBibliography"/>
        <w:spacing w:after="240"/>
      </w:pPr>
      <w:r w:rsidRPr="009F6910">
        <w:t>119.</w:t>
      </w:r>
      <w:r w:rsidRPr="009F6910">
        <w:tab/>
        <w:t xml:space="preserve">Etzold B, Ahmed AU, Hassan SR, Neelormi S. Clouds gather in the sky, but no rain falls. Vulnerability to rainfall variability and food insecurity in Northern Bangladesh and its effects on migration. </w:t>
      </w:r>
      <w:r w:rsidRPr="009F6910">
        <w:rPr>
          <w:i/>
        </w:rPr>
        <w:t>Climate and Development</w:t>
      </w:r>
      <w:r w:rsidRPr="009F6910">
        <w:t xml:space="preserve"> 2013; </w:t>
      </w:r>
      <w:r w:rsidRPr="009F6910">
        <w:rPr>
          <w:b/>
        </w:rPr>
        <w:t>6</w:t>
      </w:r>
      <w:r w:rsidRPr="009F6910">
        <w:t>(1): 18-27.</w:t>
      </w:r>
    </w:p>
    <w:p w:rsidR="009F6910" w:rsidRPr="009F6910" w:rsidRDefault="009F6910" w:rsidP="009F6910">
      <w:pPr>
        <w:pStyle w:val="EndNoteBibliography"/>
        <w:spacing w:after="240"/>
      </w:pPr>
      <w:r w:rsidRPr="009F6910">
        <w:t>120.</w:t>
      </w:r>
      <w:r w:rsidRPr="009F6910">
        <w:tab/>
        <w:t xml:space="preserve">McGranahan G, Balk D, Anderson B. The rising tide: assessing the risks of climate change and human settlements in low elevation coastal zones. </w:t>
      </w:r>
      <w:r w:rsidRPr="009F6910">
        <w:rPr>
          <w:i/>
        </w:rPr>
        <w:t>Environment and Urbanization</w:t>
      </w:r>
      <w:r w:rsidRPr="009F6910">
        <w:t xml:space="preserve"> 2007; </w:t>
      </w:r>
      <w:r w:rsidRPr="009F6910">
        <w:rPr>
          <w:b/>
        </w:rPr>
        <w:t>19</w:t>
      </w:r>
      <w:r w:rsidRPr="009F6910">
        <w:t>(1): 17-37.</w:t>
      </w:r>
    </w:p>
    <w:p w:rsidR="009F6910" w:rsidRPr="009F6910" w:rsidRDefault="009F6910" w:rsidP="009F6910">
      <w:pPr>
        <w:pStyle w:val="EndNoteBibliography"/>
        <w:spacing w:after="240"/>
      </w:pPr>
      <w:r w:rsidRPr="009F6910">
        <w:t>121.</w:t>
      </w:r>
      <w:r w:rsidRPr="009F6910">
        <w:tab/>
        <w:t>Foresight. Migration and Global Environmental Change: Future Challenges and Opportunities. London: UK Government Office for Science, 2011.</w:t>
      </w:r>
    </w:p>
    <w:p w:rsidR="009F6910" w:rsidRPr="009F6910" w:rsidRDefault="009F6910" w:rsidP="009F6910">
      <w:pPr>
        <w:pStyle w:val="EndNoteBibliography"/>
        <w:spacing w:after="240"/>
      </w:pPr>
      <w:r w:rsidRPr="009F6910">
        <w:t>122.</w:t>
      </w:r>
      <w:r w:rsidRPr="009F6910">
        <w:tab/>
        <w:t xml:space="preserve">Lafferty KD. Calling for an ecological approach to studying climate change and infectious diseases. </w:t>
      </w:r>
      <w:r w:rsidRPr="009F6910">
        <w:rPr>
          <w:i/>
        </w:rPr>
        <w:t>Ecology</w:t>
      </w:r>
      <w:r w:rsidRPr="009F6910">
        <w:t xml:space="preserve"> 2009; </w:t>
      </w:r>
      <w:r w:rsidRPr="009F6910">
        <w:rPr>
          <w:b/>
        </w:rPr>
        <w:t>90</w:t>
      </w:r>
      <w:r w:rsidRPr="009F6910">
        <w:t>(4): 932-3.</w:t>
      </w:r>
    </w:p>
    <w:p w:rsidR="009F6910" w:rsidRPr="009F6910" w:rsidRDefault="009F6910" w:rsidP="009F6910">
      <w:pPr>
        <w:pStyle w:val="EndNoteBibliography"/>
        <w:spacing w:after="240"/>
      </w:pPr>
      <w:r w:rsidRPr="009F6910">
        <w:t>123.</w:t>
      </w:r>
      <w:r w:rsidRPr="009F6910">
        <w:tab/>
        <w:t xml:space="preserve">Zinsstag J, Schelling E, Wyss K, Mahamat MB. Potential of cooperation between human and animal health to strengthen health systems. </w:t>
      </w:r>
      <w:r w:rsidRPr="009F6910">
        <w:rPr>
          <w:i/>
        </w:rPr>
        <w:t>Lancet</w:t>
      </w:r>
      <w:r w:rsidRPr="009F6910">
        <w:t xml:space="preserve"> 2005; </w:t>
      </w:r>
      <w:r w:rsidRPr="009F6910">
        <w:rPr>
          <w:b/>
        </w:rPr>
        <w:t>366</w:t>
      </w:r>
      <w:r w:rsidRPr="009F6910">
        <w:t>(9503): 2142-5.</w:t>
      </w:r>
    </w:p>
    <w:p w:rsidR="009F6910" w:rsidRPr="009F6910" w:rsidRDefault="009F6910" w:rsidP="009F6910">
      <w:pPr>
        <w:pStyle w:val="EndNoteBibliography"/>
        <w:spacing w:after="240"/>
      </w:pPr>
      <w:r w:rsidRPr="009F6910">
        <w:lastRenderedPageBreak/>
        <w:t>124.</w:t>
      </w:r>
      <w:r w:rsidRPr="009F6910">
        <w:tab/>
        <w:t xml:space="preserve">Allison EH, Perry AL, Badjeck M-C, et al. Vulnerability of national economies to the impacts of climate change on fisheries. </w:t>
      </w:r>
      <w:r w:rsidRPr="009F6910">
        <w:rPr>
          <w:i/>
        </w:rPr>
        <w:t>Fish and Fisheries</w:t>
      </w:r>
      <w:r w:rsidRPr="009F6910">
        <w:t xml:space="preserve"> 2009; </w:t>
      </w:r>
      <w:r w:rsidRPr="009F6910">
        <w:rPr>
          <w:b/>
        </w:rPr>
        <w:t>10</w:t>
      </w:r>
      <w:r w:rsidRPr="009F6910">
        <w:t>(2): 173-96.</w:t>
      </w:r>
    </w:p>
    <w:p w:rsidR="009F6910" w:rsidRPr="009F6910" w:rsidRDefault="009F6910" w:rsidP="009F6910">
      <w:pPr>
        <w:pStyle w:val="EndNoteBibliography"/>
        <w:spacing w:after="240"/>
      </w:pPr>
      <w:r w:rsidRPr="009F6910">
        <w:t>125.</w:t>
      </w:r>
      <w:r w:rsidRPr="009F6910">
        <w:tab/>
        <w:t xml:space="preserve">Dulvy N, Allison E. A place at the table? </w:t>
      </w:r>
      <w:r w:rsidRPr="009F6910">
        <w:rPr>
          <w:i/>
        </w:rPr>
        <w:t>Nature Reports Climate Change</w:t>
      </w:r>
      <w:r w:rsidRPr="009F6910">
        <w:t xml:space="preserve"> 2009: 68-70.</w:t>
      </w:r>
    </w:p>
    <w:p w:rsidR="009F6910" w:rsidRPr="009F6910" w:rsidRDefault="009F6910" w:rsidP="009F6910">
      <w:pPr>
        <w:pStyle w:val="EndNoteBibliography"/>
        <w:spacing w:after="240"/>
      </w:pPr>
      <w:r w:rsidRPr="009F6910">
        <w:t>126.</w:t>
      </w:r>
      <w:r w:rsidRPr="009F6910">
        <w:tab/>
        <w:t xml:space="preserve">Gephart J, Pace M, D’Odorico P. Freshwater savings from marine protein consumption. </w:t>
      </w:r>
      <w:r w:rsidRPr="009F6910">
        <w:rPr>
          <w:i/>
        </w:rPr>
        <w:t>Environ Research Letters</w:t>
      </w:r>
      <w:r w:rsidRPr="009F6910">
        <w:t xml:space="preserve"> 2014; </w:t>
      </w:r>
      <w:r w:rsidRPr="009F6910">
        <w:rPr>
          <w:b/>
        </w:rPr>
        <w:t>9</w:t>
      </w:r>
      <w:r w:rsidRPr="009F6910">
        <w:t>: 014005.</w:t>
      </w:r>
    </w:p>
    <w:p w:rsidR="009F6910" w:rsidRPr="009F6910" w:rsidRDefault="009F6910" w:rsidP="009F6910">
      <w:pPr>
        <w:pStyle w:val="EndNoteBibliography"/>
        <w:spacing w:after="240"/>
      </w:pPr>
      <w:r w:rsidRPr="009F6910">
        <w:t>127.</w:t>
      </w:r>
      <w:r w:rsidRPr="009F6910">
        <w:tab/>
        <w:t xml:space="preserve">Foley JA, Ramankutty N, Brauman KA, et al. Solutions for a cultivated planet. </w:t>
      </w:r>
      <w:r w:rsidRPr="009F6910">
        <w:rPr>
          <w:i/>
        </w:rPr>
        <w:t>Nature</w:t>
      </w:r>
      <w:r w:rsidRPr="009F6910">
        <w:t xml:space="preserve"> 2011; </w:t>
      </w:r>
      <w:r w:rsidRPr="009F6910">
        <w:rPr>
          <w:b/>
        </w:rPr>
        <w:t>478</w:t>
      </w:r>
      <w:r w:rsidRPr="009F6910">
        <w:t>(7369): 337-42.</w:t>
      </w:r>
    </w:p>
    <w:p w:rsidR="009F6910" w:rsidRPr="009F6910" w:rsidRDefault="009F6910" w:rsidP="009F6910">
      <w:pPr>
        <w:pStyle w:val="EndNoteBibliography"/>
        <w:spacing w:after="240"/>
      </w:pPr>
      <w:r w:rsidRPr="009F6910">
        <w:t>128.</w:t>
      </w:r>
      <w:r w:rsidRPr="009F6910">
        <w:tab/>
        <w:t xml:space="preserve">Bajželj B, Richards K, Allwood J, et al. Importance of food-demand management for climate mitigation. </w:t>
      </w:r>
      <w:r w:rsidRPr="009F6910">
        <w:rPr>
          <w:i/>
        </w:rPr>
        <w:t>Nature Climate Change</w:t>
      </w:r>
      <w:r w:rsidRPr="009F6910">
        <w:t xml:space="preserve"> 2014; </w:t>
      </w:r>
      <w:r w:rsidRPr="009F6910">
        <w:rPr>
          <w:b/>
        </w:rPr>
        <w:t>4</w:t>
      </w:r>
      <w:r w:rsidRPr="009F6910">
        <w:t>: 924-9.</w:t>
      </w:r>
    </w:p>
    <w:p w:rsidR="009F6910" w:rsidRPr="009F6910" w:rsidRDefault="009F6910" w:rsidP="009F6910">
      <w:pPr>
        <w:pStyle w:val="EndNoteBibliography"/>
        <w:spacing w:after="240"/>
      </w:pPr>
      <w:r w:rsidRPr="009F6910">
        <w:t>129.</w:t>
      </w:r>
      <w:r w:rsidRPr="009F6910">
        <w:tab/>
        <w:t>United Nations Environment Programme. Avoiding Future Famines: Strengthening the Ecological Foundation of Food Security through Sustainable Food Systems. Nairobi, 2012.</w:t>
      </w:r>
    </w:p>
    <w:p w:rsidR="009F6910" w:rsidRPr="009F6910" w:rsidRDefault="009F6910" w:rsidP="009F6910">
      <w:pPr>
        <w:pStyle w:val="EndNoteBibliography"/>
        <w:spacing w:after="240"/>
      </w:pPr>
      <w:r w:rsidRPr="009F6910">
        <w:t>130.</w:t>
      </w:r>
      <w:r w:rsidRPr="009F6910">
        <w:tab/>
        <w:t>Food and Agricultural Organization, International Fund for Agricultural Development, World Food Programme. The State of Food Insecurity in the World: How does international price volatility affect domestic economies and food security? Rome, 2011.</w:t>
      </w:r>
    </w:p>
    <w:p w:rsidR="009F6910" w:rsidRPr="009F6910" w:rsidRDefault="009F6910" w:rsidP="009F6910">
      <w:pPr>
        <w:pStyle w:val="EndNoteBibliography"/>
        <w:spacing w:after="240"/>
      </w:pPr>
      <w:r w:rsidRPr="009F6910">
        <w:t>131.</w:t>
      </w:r>
      <w:r w:rsidRPr="009F6910">
        <w:tab/>
        <w:t>Food and Agricultural Organization, Organization for Economic Cooperation and Development. Price Volatility in Food and Agricultural Markets: Policy Responses. Rome, 2011.</w:t>
      </w:r>
    </w:p>
    <w:p w:rsidR="009F6910" w:rsidRPr="009F6910" w:rsidRDefault="009F6910" w:rsidP="009F6910">
      <w:pPr>
        <w:pStyle w:val="EndNoteBibliography"/>
        <w:spacing w:after="240"/>
      </w:pPr>
      <w:r w:rsidRPr="009F6910">
        <w:t>132.</w:t>
      </w:r>
      <w:r w:rsidRPr="009F6910">
        <w:tab/>
        <w:t xml:space="preserve">Gilbert CL, Morgan CW. Food price volatility. </w:t>
      </w:r>
      <w:r w:rsidRPr="009F6910">
        <w:rPr>
          <w:i/>
        </w:rPr>
        <w:t>Philosophical Transactions of the Royal Society B: Biological Sciences</w:t>
      </w:r>
      <w:r w:rsidRPr="009F6910">
        <w:t xml:space="preserve"> 2010; </w:t>
      </w:r>
      <w:r w:rsidRPr="009F6910">
        <w:rPr>
          <w:b/>
        </w:rPr>
        <w:t>365</w:t>
      </w:r>
      <w:r w:rsidRPr="009F6910">
        <w:t>(1554): 3023-34.</w:t>
      </w:r>
    </w:p>
    <w:p w:rsidR="009F6910" w:rsidRPr="009F6910" w:rsidRDefault="009F6910" w:rsidP="009F6910">
      <w:pPr>
        <w:pStyle w:val="EndNoteBibliography"/>
        <w:spacing w:after="240"/>
      </w:pPr>
      <w:r w:rsidRPr="009F6910">
        <w:t>133.</w:t>
      </w:r>
      <w:r w:rsidRPr="009F6910">
        <w:tab/>
        <w:t>UN Conference on Trade and Development. Promoting Low-Carbon Investment. New York and Geneva, 2013.</w:t>
      </w:r>
    </w:p>
    <w:p w:rsidR="009F6910" w:rsidRPr="009F6910" w:rsidRDefault="009F6910" w:rsidP="009F6910">
      <w:pPr>
        <w:pStyle w:val="EndNoteBibliography"/>
        <w:spacing w:after="240"/>
      </w:pPr>
      <w:r w:rsidRPr="009F6910">
        <w:t>134.</w:t>
      </w:r>
      <w:r w:rsidRPr="009F6910">
        <w:tab/>
        <w:t>Cochrane K, Young C, De Soto D, Bahri T. Climate change implications for fisheries and aquaculture - overview of current scientific knowledge. Rome: Food and Agricultural Organization, 2009.</w:t>
      </w:r>
    </w:p>
    <w:p w:rsidR="009F6910" w:rsidRPr="009F6910" w:rsidRDefault="009F6910" w:rsidP="009F6910">
      <w:pPr>
        <w:pStyle w:val="EndNoteBibliography"/>
        <w:spacing w:after="240"/>
      </w:pPr>
      <w:r w:rsidRPr="009F6910">
        <w:t>135.</w:t>
      </w:r>
      <w:r w:rsidRPr="009F6910">
        <w:tab/>
        <w:t xml:space="preserve">Alston J, Marra M, Pardey P, Wyatt T. Research returns redux: a meta-analysis of the returns to agricultural R&amp;D. </w:t>
      </w:r>
      <w:r w:rsidRPr="009F6910">
        <w:rPr>
          <w:i/>
        </w:rPr>
        <w:t>The Australian Journal of Agricultural and Resource Economics</w:t>
      </w:r>
      <w:r w:rsidRPr="009F6910">
        <w:t xml:space="preserve"> 2000; </w:t>
      </w:r>
      <w:r w:rsidRPr="009F6910">
        <w:rPr>
          <w:b/>
        </w:rPr>
        <w:t>44</w:t>
      </w:r>
      <w:r w:rsidRPr="009F6910">
        <w:t>(2): 185-215.</w:t>
      </w:r>
    </w:p>
    <w:p w:rsidR="009F6910" w:rsidRPr="009F6910" w:rsidRDefault="009F6910" w:rsidP="009F6910">
      <w:pPr>
        <w:pStyle w:val="EndNoteBibliography"/>
        <w:spacing w:after="240"/>
      </w:pPr>
      <w:r w:rsidRPr="009F6910">
        <w:t>136.</w:t>
      </w:r>
      <w:r w:rsidRPr="009F6910">
        <w:tab/>
        <w:t>von Braun J, Ahmed A, Asenso-Okyere K, et al. High Food Prices: The What, Who, and How of Proposed Policy Actions Washington D.C.: International Food Policy Research Institute (IFPRI), 2008.</w:t>
      </w:r>
    </w:p>
    <w:p w:rsidR="009F6910" w:rsidRPr="009F6910" w:rsidRDefault="009F6910" w:rsidP="009F6910">
      <w:pPr>
        <w:pStyle w:val="EndNoteBibliography"/>
        <w:spacing w:after="240"/>
      </w:pPr>
      <w:r w:rsidRPr="009F6910">
        <w:t>137.</w:t>
      </w:r>
      <w:r w:rsidRPr="009F6910">
        <w:tab/>
        <w:t xml:space="preserve">Rosegrant MW, Cline SA. Global food security: challenges and policies. </w:t>
      </w:r>
      <w:r w:rsidRPr="009F6910">
        <w:rPr>
          <w:i/>
        </w:rPr>
        <w:t>Science</w:t>
      </w:r>
      <w:r w:rsidRPr="009F6910">
        <w:t xml:space="preserve"> 2003; </w:t>
      </w:r>
      <w:r w:rsidRPr="009F6910">
        <w:rPr>
          <w:b/>
        </w:rPr>
        <w:t>302</w:t>
      </w:r>
      <w:r w:rsidRPr="009F6910">
        <w:t>(5652): 1917-9.</w:t>
      </w:r>
    </w:p>
    <w:p w:rsidR="009F6910" w:rsidRPr="009F6910" w:rsidRDefault="009F6910" w:rsidP="009F6910">
      <w:pPr>
        <w:pStyle w:val="EndNoteBibliography"/>
        <w:spacing w:after="240"/>
      </w:pPr>
      <w:r w:rsidRPr="009F6910">
        <w:t>138.</w:t>
      </w:r>
      <w:r w:rsidRPr="009F6910">
        <w:tab/>
        <w:t>UN High Level Task Force on the Global Food Security Crisis. Scaling Up Nutrition: a Framework for Action. 2010.</w:t>
      </w:r>
    </w:p>
    <w:p w:rsidR="009F6910" w:rsidRPr="009F6910" w:rsidRDefault="009F6910" w:rsidP="009F6910">
      <w:pPr>
        <w:pStyle w:val="EndNoteBibliography"/>
        <w:spacing w:after="240"/>
      </w:pPr>
      <w:r w:rsidRPr="009F6910">
        <w:t>139.</w:t>
      </w:r>
      <w:r w:rsidRPr="009F6910">
        <w:tab/>
        <w:t xml:space="preserve">Hugo G. Future demographic change and its interactions with migration and climate change. </w:t>
      </w:r>
      <w:r w:rsidRPr="009F6910">
        <w:rPr>
          <w:i/>
        </w:rPr>
        <w:t>Global Environmental Change</w:t>
      </w:r>
      <w:r w:rsidRPr="009F6910">
        <w:t xml:space="preserve"> 2011; </w:t>
      </w:r>
      <w:r w:rsidRPr="009F6910">
        <w:rPr>
          <w:b/>
        </w:rPr>
        <w:t>21</w:t>
      </w:r>
      <w:r w:rsidRPr="009F6910">
        <w:t>: S21-S33.</w:t>
      </w:r>
    </w:p>
    <w:p w:rsidR="009F6910" w:rsidRPr="009F6910" w:rsidRDefault="009F6910" w:rsidP="009F6910">
      <w:pPr>
        <w:pStyle w:val="EndNoteBibliography"/>
        <w:spacing w:after="240"/>
      </w:pPr>
      <w:r w:rsidRPr="009F6910">
        <w:t>140.</w:t>
      </w:r>
      <w:r w:rsidRPr="009F6910">
        <w:tab/>
        <w:t>Martin SF, Warner K. Climate Change, Migration and Development. In: Omelaniuk I, ed. Global Perspectives on Migration and Development New York: Springer Books; 2012.</w:t>
      </w:r>
    </w:p>
    <w:p w:rsidR="009F6910" w:rsidRPr="009F6910" w:rsidRDefault="009F6910" w:rsidP="009F6910">
      <w:pPr>
        <w:pStyle w:val="EndNoteBibliography"/>
        <w:spacing w:after="240"/>
      </w:pPr>
      <w:r w:rsidRPr="009F6910">
        <w:lastRenderedPageBreak/>
        <w:t>141.</w:t>
      </w:r>
      <w:r w:rsidRPr="009F6910">
        <w:tab/>
        <w:t>Collinson S. Developing Adequate Humanitarian Responses. Background Papers of the Study Team on Climate Change and Migration: German Marshall Fund, 2010.</w:t>
      </w:r>
    </w:p>
    <w:p w:rsidR="009F6910" w:rsidRPr="009F6910" w:rsidRDefault="009F6910" w:rsidP="009F6910">
      <w:pPr>
        <w:pStyle w:val="EndNoteBibliography"/>
        <w:spacing w:after="240"/>
      </w:pPr>
      <w:r w:rsidRPr="009F6910">
        <w:t>142.</w:t>
      </w:r>
      <w:r w:rsidRPr="009F6910">
        <w:tab/>
        <w:t>Oppenheimer M, Campos M, Warren R, et al. Emergent Risks and Key Vulnerabilities.  Climate Change 2014: Impacts, Adaptation, and Vulnerability Working Group II Contribution to the IPCC 5th Assessment Report. Cambridge, UK and New York, NY, USA: Cambridge University Press; 2014.</w:t>
      </w:r>
    </w:p>
    <w:p w:rsidR="009F6910" w:rsidRPr="009F6910" w:rsidRDefault="009F6910" w:rsidP="009F6910">
      <w:pPr>
        <w:pStyle w:val="EndNoteBibliography"/>
        <w:spacing w:after="240"/>
      </w:pPr>
      <w:r w:rsidRPr="009F6910">
        <w:t>143.</w:t>
      </w:r>
      <w:r w:rsidRPr="009F6910">
        <w:tab/>
        <w:t>Confalonieri U, Menne B, Akhtar R, et al. Human health. In: Parry MC, OF. Palutikof, JP. van der Linden, PJ. Hanson, CE., ed. Climate Change 2007: Impacts, Adaptation and VulnerabilityContribution of Working Group II to the Fourth Assessment Report of the Intergovernmental Panel on Climate Change. Cambridge, UK: Cambridge University Press; 2007: 391-431.</w:t>
      </w:r>
    </w:p>
    <w:p w:rsidR="009F6910" w:rsidRPr="009F6910" w:rsidRDefault="009F6910" w:rsidP="009F6910">
      <w:pPr>
        <w:pStyle w:val="EndNoteBibliography"/>
        <w:spacing w:after="240"/>
      </w:pPr>
      <w:r w:rsidRPr="009F6910">
        <w:t>144.</w:t>
      </w:r>
      <w:r w:rsidRPr="009F6910">
        <w:tab/>
        <w:t>Warner K, Afifi T, Kälin W, et al. Changing climate, moving people: framing migration, displacement and planned relocation. Policy brief no 8. Bonn: United Nations University Institute for Environment and Human Security, 2013.</w:t>
      </w:r>
    </w:p>
    <w:p w:rsidR="009F6910" w:rsidRPr="009F6910" w:rsidRDefault="009F6910" w:rsidP="009F6910">
      <w:pPr>
        <w:pStyle w:val="EndNoteBibliography"/>
        <w:spacing w:after="240"/>
      </w:pPr>
      <w:r w:rsidRPr="009F6910">
        <w:t>145.</w:t>
      </w:r>
      <w:r w:rsidRPr="009F6910">
        <w:tab/>
        <w:t xml:space="preserve">Raleigh C. The search for safety: The effects of conflict, poverty and ecological influences on migration in the developing world. </w:t>
      </w:r>
      <w:r w:rsidRPr="009F6910">
        <w:rPr>
          <w:i/>
        </w:rPr>
        <w:t>Global Environmental Change</w:t>
      </w:r>
      <w:r w:rsidRPr="009F6910">
        <w:t xml:space="preserve"> 2011; </w:t>
      </w:r>
      <w:r w:rsidRPr="009F6910">
        <w:rPr>
          <w:b/>
        </w:rPr>
        <w:t>21 (sup),</w:t>
      </w:r>
      <w:r w:rsidRPr="009F6910">
        <w:t>: S82-S93.</w:t>
      </w:r>
    </w:p>
    <w:p w:rsidR="009F6910" w:rsidRPr="009F6910" w:rsidRDefault="009F6910" w:rsidP="009F6910">
      <w:pPr>
        <w:pStyle w:val="EndNoteBibliography"/>
        <w:spacing w:after="240"/>
      </w:pPr>
      <w:r w:rsidRPr="009F6910">
        <w:t>146.</w:t>
      </w:r>
      <w:r w:rsidRPr="009F6910">
        <w:tab/>
        <w:t>O’Brien K, Pelling M, Patwardhan A, et al. Toward a sustainable and resilient future. In: Field CB BV, Stocker TF, Qin D, Dokken DJ, Ebi KL, Mastrandrea MD, Mach KJ, Plattner GK, Allen SK, Tignor M, Midgley PM, ed. Managing the Risks of Extreme Events and Disasters to Advance Climate Change Adaptation A Special Report of Working Groups I and II of the Intergovernmental Panel on Climate Change. Cambridge, UK and New York, NY, USA: Cambridge University Press,; 2012: 437-86.</w:t>
      </w:r>
    </w:p>
    <w:p w:rsidR="009F6910" w:rsidRPr="009F6910" w:rsidRDefault="009F6910" w:rsidP="009F6910">
      <w:pPr>
        <w:pStyle w:val="EndNoteBibliography"/>
        <w:spacing w:after="240"/>
      </w:pPr>
      <w:r w:rsidRPr="009F6910">
        <w:t>147.</w:t>
      </w:r>
      <w:r w:rsidRPr="009F6910">
        <w:tab/>
        <w:t xml:space="preserve">Berry HL, Bowen K, Kjellstrom T. Climate change and mental health: a causal pathways framework. </w:t>
      </w:r>
      <w:r w:rsidRPr="009F6910">
        <w:rPr>
          <w:i/>
        </w:rPr>
        <w:t>International journal of public health</w:t>
      </w:r>
      <w:r w:rsidRPr="009F6910">
        <w:t xml:space="preserve"> 2010; </w:t>
      </w:r>
      <w:r w:rsidRPr="009F6910">
        <w:rPr>
          <w:b/>
        </w:rPr>
        <w:t>55</w:t>
      </w:r>
      <w:r w:rsidRPr="009F6910">
        <w:t>(2): 123-32.</w:t>
      </w:r>
    </w:p>
    <w:p w:rsidR="009F6910" w:rsidRPr="009F6910" w:rsidRDefault="009F6910" w:rsidP="009F6910">
      <w:pPr>
        <w:pStyle w:val="EndNoteBibliography"/>
        <w:spacing w:after="240"/>
      </w:pPr>
      <w:r w:rsidRPr="009F6910">
        <w:t>148.</w:t>
      </w:r>
      <w:r w:rsidRPr="009F6910">
        <w:tab/>
        <w:t xml:space="preserve">Fritze JG, Blashki GA, Burke S, Wiseman J. Hope, despair and transformation: Climate change and the promotion of mental health and wellbeing. </w:t>
      </w:r>
      <w:r w:rsidRPr="009F6910">
        <w:rPr>
          <w:i/>
        </w:rPr>
        <w:t>International journal of mental health systems</w:t>
      </w:r>
      <w:r w:rsidRPr="009F6910">
        <w:t xml:space="preserve"> 2008; </w:t>
      </w:r>
      <w:r w:rsidRPr="009F6910">
        <w:rPr>
          <w:b/>
        </w:rPr>
        <w:t>2</w:t>
      </w:r>
      <w:r w:rsidRPr="009F6910">
        <w:t>(1): 13.</w:t>
      </w:r>
    </w:p>
    <w:p w:rsidR="009F6910" w:rsidRPr="009F6910" w:rsidRDefault="009F6910" w:rsidP="009F6910">
      <w:pPr>
        <w:pStyle w:val="EndNoteBibliography"/>
        <w:spacing w:after="240"/>
      </w:pPr>
      <w:r w:rsidRPr="009F6910">
        <w:t>149.</w:t>
      </w:r>
      <w:r w:rsidRPr="009F6910">
        <w:tab/>
        <w:t xml:space="preserve">Albrecht G, Sartore GM, Connor L, et al. Solastalgia: the distress caused by environmental change. </w:t>
      </w:r>
      <w:r w:rsidRPr="009F6910">
        <w:rPr>
          <w:i/>
        </w:rPr>
        <w:t>Australasian Psychiatry: bulletin of Royal Australian and New Zealand College of Psychiatrists</w:t>
      </w:r>
      <w:r w:rsidRPr="009F6910">
        <w:t xml:space="preserve"> 2007; </w:t>
      </w:r>
      <w:r w:rsidRPr="009F6910">
        <w:rPr>
          <w:b/>
        </w:rPr>
        <w:t>15</w:t>
      </w:r>
      <w:r w:rsidRPr="009F6910">
        <w:t>(1): S95 - S8.</w:t>
      </w:r>
    </w:p>
    <w:p w:rsidR="009F6910" w:rsidRPr="009F6910" w:rsidRDefault="009F6910" w:rsidP="009F6910">
      <w:pPr>
        <w:pStyle w:val="EndNoteBibliography"/>
        <w:spacing w:after="240"/>
      </w:pPr>
      <w:r w:rsidRPr="009F6910">
        <w:t>150.</w:t>
      </w:r>
      <w:r w:rsidRPr="009F6910">
        <w:tab/>
        <w:t xml:space="preserve">Hanigan IC, Butler CD, Kokic PN, Hutchinson MF. Suicide and drought in New South Wales, Australia, 1970-2007. </w:t>
      </w:r>
      <w:r w:rsidRPr="009F6910">
        <w:rPr>
          <w:i/>
        </w:rPr>
        <w:t>Proceedings of the National Academy of Sciences of the United States of America</w:t>
      </w:r>
      <w:r w:rsidRPr="009F6910">
        <w:t xml:space="preserve"> 2012; </w:t>
      </w:r>
      <w:r w:rsidRPr="009F6910">
        <w:rPr>
          <w:b/>
        </w:rPr>
        <w:t>109</w:t>
      </w:r>
      <w:r w:rsidRPr="009F6910">
        <w:t>(35): 13950-5.</w:t>
      </w:r>
    </w:p>
    <w:p w:rsidR="009F6910" w:rsidRPr="009F6910" w:rsidRDefault="009F6910" w:rsidP="009F6910">
      <w:pPr>
        <w:pStyle w:val="EndNoteBibliography"/>
        <w:spacing w:after="240"/>
      </w:pPr>
      <w:r w:rsidRPr="009F6910">
        <w:t>151.</w:t>
      </w:r>
      <w:r w:rsidRPr="009F6910">
        <w:tab/>
        <w:t xml:space="preserve">Keshavarz M, Karami E, Vanclay F. The social experience of drought in rural Iran. </w:t>
      </w:r>
      <w:r w:rsidRPr="009F6910">
        <w:rPr>
          <w:i/>
        </w:rPr>
        <w:t>Land Use Policy</w:t>
      </w:r>
      <w:r w:rsidRPr="009F6910">
        <w:t xml:space="preserve"> 2013; </w:t>
      </w:r>
      <w:r w:rsidRPr="009F6910">
        <w:rPr>
          <w:b/>
        </w:rPr>
        <w:t>30</w:t>
      </w:r>
      <w:r w:rsidRPr="009F6910">
        <w:t>(1): 120-9.</w:t>
      </w:r>
    </w:p>
    <w:p w:rsidR="009F6910" w:rsidRPr="009F6910" w:rsidRDefault="009F6910" w:rsidP="009F6910">
      <w:pPr>
        <w:pStyle w:val="EndNoteBibliography"/>
        <w:spacing w:after="240"/>
      </w:pPr>
      <w:r w:rsidRPr="009F6910">
        <w:t>152.</w:t>
      </w:r>
      <w:r w:rsidRPr="009F6910">
        <w:tab/>
        <w:t xml:space="preserve">Kessler RC, Galea S, Gruber MJ, Sampson NA, Ursano RJ, Wessely S. Trends in mental illness and suicidality after Hurricane Katrina. </w:t>
      </w:r>
      <w:r w:rsidRPr="009F6910">
        <w:rPr>
          <w:i/>
        </w:rPr>
        <w:t>Molecular psychiatry</w:t>
      </w:r>
      <w:r w:rsidRPr="009F6910">
        <w:t xml:space="preserve"> 2008; </w:t>
      </w:r>
      <w:r w:rsidRPr="009F6910">
        <w:rPr>
          <w:b/>
        </w:rPr>
        <w:t>13</w:t>
      </w:r>
      <w:r w:rsidRPr="009F6910">
        <w:t>(4): 374-84.</w:t>
      </w:r>
    </w:p>
    <w:p w:rsidR="009F6910" w:rsidRPr="009F6910" w:rsidRDefault="009F6910" w:rsidP="009F6910">
      <w:pPr>
        <w:pStyle w:val="EndNoteBibliography"/>
        <w:spacing w:after="240"/>
      </w:pPr>
      <w:r w:rsidRPr="009F6910">
        <w:t>153.</w:t>
      </w:r>
      <w:r w:rsidRPr="009F6910">
        <w:tab/>
        <w:t xml:space="preserve">Reser JP, Swim JK. Adapting to and coping with the threat and impacts of climate change. </w:t>
      </w:r>
      <w:r w:rsidRPr="009F6910">
        <w:rPr>
          <w:i/>
        </w:rPr>
        <w:t>The American psychologist</w:t>
      </w:r>
      <w:r w:rsidRPr="009F6910">
        <w:t xml:space="preserve"> 2011; </w:t>
      </w:r>
      <w:r w:rsidRPr="009F6910">
        <w:rPr>
          <w:b/>
        </w:rPr>
        <w:t>66</w:t>
      </w:r>
      <w:r w:rsidRPr="009F6910">
        <w:t>(4): 277-89.</w:t>
      </w:r>
    </w:p>
    <w:p w:rsidR="009F6910" w:rsidRPr="009F6910" w:rsidRDefault="009F6910" w:rsidP="009F6910">
      <w:pPr>
        <w:pStyle w:val="EndNoteBibliography"/>
        <w:spacing w:after="240"/>
      </w:pPr>
      <w:r w:rsidRPr="009F6910">
        <w:t>154.</w:t>
      </w:r>
      <w:r w:rsidRPr="009F6910">
        <w:tab/>
        <w:t xml:space="preserve">Johnson CA. Governing climate displacement: the ethics and politics of human resettlement. </w:t>
      </w:r>
      <w:r w:rsidRPr="009F6910">
        <w:rPr>
          <w:i/>
        </w:rPr>
        <w:t>Environmental Politics</w:t>
      </w:r>
      <w:r w:rsidRPr="009F6910">
        <w:t xml:space="preserve"> 2012; </w:t>
      </w:r>
      <w:r w:rsidRPr="009F6910">
        <w:rPr>
          <w:b/>
        </w:rPr>
        <w:t>21</w:t>
      </w:r>
      <w:r w:rsidRPr="009F6910">
        <w:t>(2): 308-28.</w:t>
      </w:r>
    </w:p>
    <w:p w:rsidR="009F6910" w:rsidRPr="009F6910" w:rsidRDefault="009F6910" w:rsidP="009F6910">
      <w:pPr>
        <w:pStyle w:val="EndNoteBibliography"/>
        <w:spacing w:after="240"/>
      </w:pPr>
      <w:r w:rsidRPr="009F6910">
        <w:lastRenderedPageBreak/>
        <w:t>155.</w:t>
      </w:r>
      <w:r w:rsidRPr="009F6910">
        <w:tab/>
        <w:t>Lal PN, Mitchell T, Aldunce P, et al. National systems for managing the risks from climate extremes and disasters. In: Field CB BV, Stocker TF, Qin D, Dokken DJ, Ebi KL, Mastrandrea MD, Mach KJ, Plattner GK, Allen SK, Tignor M, Midgley PM, ed. Managing the Risks of Extreme Events and Disasters to Advance Climate Change Adaptation A Special Report of Working Groups I and II of the Intergovernmental Panel on Climate Change UK, USA: Cambridge University Press; 2012: 339-92.</w:t>
      </w:r>
    </w:p>
    <w:p w:rsidR="009F6910" w:rsidRPr="009F6910" w:rsidRDefault="009F6910" w:rsidP="009F6910">
      <w:pPr>
        <w:pStyle w:val="EndNoteBibliography"/>
        <w:spacing w:after="240"/>
      </w:pPr>
      <w:r w:rsidRPr="009F6910">
        <w:t>156.</w:t>
      </w:r>
      <w:r w:rsidRPr="009F6910">
        <w:tab/>
        <w:t>Barnett J, Webber M. Migration as Adaptation: Opportunities and Limits. In: McAdam J, ed. Climate Change and Displacement: Multidisciplinary Perspectives. Oxford: Hart Publishing; 2010: 55.</w:t>
      </w:r>
    </w:p>
    <w:p w:rsidR="009F6910" w:rsidRPr="009F6910" w:rsidRDefault="009F6910" w:rsidP="009F6910">
      <w:pPr>
        <w:pStyle w:val="EndNoteBibliography"/>
        <w:spacing w:after="240"/>
      </w:pPr>
      <w:r w:rsidRPr="009F6910">
        <w:t>157.</w:t>
      </w:r>
      <w:r w:rsidRPr="009F6910">
        <w:tab/>
        <w:t xml:space="preserve">Warner K, Afifi T. Where the rain falls: Evidence from 8 countries on how vulnerable households use migration to manage the risk of rainfall variability and food insecurity. </w:t>
      </w:r>
      <w:r w:rsidRPr="009F6910">
        <w:rPr>
          <w:i/>
        </w:rPr>
        <w:t>Climate and Development</w:t>
      </w:r>
      <w:r w:rsidRPr="009F6910">
        <w:t xml:space="preserve"> 2014; </w:t>
      </w:r>
      <w:r w:rsidRPr="009F6910">
        <w:rPr>
          <w:b/>
        </w:rPr>
        <w:t>6</w:t>
      </w:r>
      <w:r w:rsidRPr="009F6910">
        <w:t>(1): 1-17.</w:t>
      </w:r>
    </w:p>
    <w:p w:rsidR="009F6910" w:rsidRPr="009F6910" w:rsidRDefault="009F6910" w:rsidP="009F6910">
      <w:pPr>
        <w:pStyle w:val="EndNoteBibliography"/>
        <w:spacing w:after="240"/>
      </w:pPr>
      <w:r w:rsidRPr="009F6910">
        <w:t>158.</w:t>
      </w:r>
      <w:r w:rsidRPr="009F6910">
        <w:tab/>
        <w:t xml:space="preserve">Bronen R, Chapin FS. Adaptive governance and institutional strategies for climate-induced community relocations in Alaska. </w:t>
      </w:r>
      <w:r w:rsidRPr="009F6910">
        <w:rPr>
          <w:i/>
        </w:rPr>
        <w:t>Proceedings of the National Academy of Sciences</w:t>
      </w:r>
      <w:r w:rsidRPr="009F6910">
        <w:t xml:space="preserve"> 2013; </w:t>
      </w:r>
      <w:r w:rsidRPr="009F6910">
        <w:rPr>
          <w:b/>
        </w:rPr>
        <w:t>110</w:t>
      </w:r>
      <w:r w:rsidRPr="009F6910">
        <w:t>(23): 9320-5.</w:t>
      </w:r>
    </w:p>
    <w:p w:rsidR="009F6910" w:rsidRPr="009F6910" w:rsidRDefault="009F6910" w:rsidP="009F6910">
      <w:pPr>
        <w:pStyle w:val="EndNoteBibliography"/>
        <w:spacing w:after="240"/>
      </w:pPr>
      <w:r w:rsidRPr="009F6910">
        <w:t>159.</w:t>
      </w:r>
      <w:r w:rsidRPr="009F6910">
        <w:tab/>
        <w:t xml:space="preserve">Shuman EK. Global Climate Change and Infectious Diseases. </w:t>
      </w:r>
      <w:r w:rsidRPr="009F6910">
        <w:rPr>
          <w:i/>
        </w:rPr>
        <w:t>New England Journal of Medicine</w:t>
      </w:r>
      <w:r w:rsidRPr="009F6910">
        <w:t xml:space="preserve"> 2010; </w:t>
      </w:r>
      <w:r w:rsidRPr="009F6910">
        <w:rPr>
          <w:b/>
        </w:rPr>
        <w:t>362</w:t>
      </w:r>
      <w:r w:rsidRPr="009F6910">
        <w:t>(12): 1061-3.</w:t>
      </w:r>
    </w:p>
    <w:p w:rsidR="009F6910" w:rsidRPr="009F6910" w:rsidRDefault="009F6910" w:rsidP="009F6910">
      <w:pPr>
        <w:pStyle w:val="EndNoteBibliography"/>
        <w:spacing w:after="240"/>
      </w:pPr>
      <w:r w:rsidRPr="009F6910">
        <w:t>160.</w:t>
      </w:r>
      <w:r w:rsidRPr="009F6910">
        <w:tab/>
        <w:t xml:space="preserve">Ramasamy R, Surendran S. Possible impact of rising sea levels on vector-borne infectious diseases. </w:t>
      </w:r>
      <w:r w:rsidRPr="009F6910">
        <w:rPr>
          <w:i/>
        </w:rPr>
        <w:t>BMC Infectious Diseases</w:t>
      </w:r>
      <w:r w:rsidRPr="009F6910">
        <w:t xml:space="preserve"> 2011; </w:t>
      </w:r>
      <w:r w:rsidRPr="009F6910">
        <w:rPr>
          <w:b/>
        </w:rPr>
        <w:t>11</w:t>
      </w:r>
      <w:r w:rsidRPr="009F6910">
        <w:t>(1): 18.</w:t>
      </w:r>
    </w:p>
    <w:p w:rsidR="009F6910" w:rsidRPr="009F6910" w:rsidRDefault="009F6910" w:rsidP="009F6910">
      <w:pPr>
        <w:pStyle w:val="EndNoteBibliography"/>
        <w:spacing w:after="240"/>
      </w:pPr>
      <w:r w:rsidRPr="009F6910">
        <w:t>161.</w:t>
      </w:r>
      <w:r w:rsidRPr="009F6910">
        <w:tab/>
        <w:t xml:space="preserve">Moore S, Shrestha S, Tomlinson KW, Vuong H. Predicting the effect of climate change on African trypanosomiasis: integrating epidemiology with parasite and vector biology. </w:t>
      </w:r>
      <w:r w:rsidRPr="009F6910">
        <w:rPr>
          <w:i/>
        </w:rPr>
        <w:t>Journal of the Royal Society, Interface / the Royal Society</w:t>
      </w:r>
      <w:r w:rsidRPr="009F6910">
        <w:t xml:space="preserve"> 2012; </w:t>
      </w:r>
      <w:r w:rsidRPr="009F6910">
        <w:rPr>
          <w:b/>
        </w:rPr>
        <w:t>9</w:t>
      </w:r>
      <w:r w:rsidRPr="009F6910">
        <w:t>(70): 817-30.</w:t>
      </w:r>
    </w:p>
    <w:p w:rsidR="009F6910" w:rsidRPr="009F6910" w:rsidRDefault="009F6910" w:rsidP="009F6910">
      <w:pPr>
        <w:pStyle w:val="EndNoteBibliography"/>
        <w:spacing w:after="240"/>
      </w:pPr>
      <w:r w:rsidRPr="009F6910">
        <w:t>162.</w:t>
      </w:r>
      <w:r w:rsidRPr="009F6910">
        <w:tab/>
        <w:t xml:space="preserve">Keesing F, Belden LK, Daszak P, et al. Impacts of biodiversity on the emergence and transmission of infectious diseases. </w:t>
      </w:r>
      <w:r w:rsidRPr="009F6910">
        <w:rPr>
          <w:i/>
        </w:rPr>
        <w:t>Nature</w:t>
      </w:r>
      <w:r w:rsidRPr="009F6910">
        <w:t xml:space="preserve"> 2010; </w:t>
      </w:r>
      <w:r w:rsidRPr="009F6910">
        <w:rPr>
          <w:b/>
        </w:rPr>
        <w:t>468</w:t>
      </w:r>
      <w:r w:rsidRPr="009F6910">
        <w:t>(7324): 647-52.</w:t>
      </w:r>
    </w:p>
    <w:p w:rsidR="009F6910" w:rsidRPr="009F6910" w:rsidRDefault="009F6910" w:rsidP="009F6910">
      <w:pPr>
        <w:pStyle w:val="EndNoteBibliography"/>
        <w:spacing w:after="240"/>
      </w:pPr>
      <w:r w:rsidRPr="009F6910">
        <w:t>163.</w:t>
      </w:r>
      <w:r w:rsidRPr="009F6910">
        <w:tab/>
        <w:t>Ebi K, Berry P, Campbell-Lendrum D, et al. Protecting health from climate change: vulnerability and adaptation assessment. Geneva: World Health Organization and Pan American Health Organization; 2012.</w:t>
      </w:r>
    </w:p>
    <w:p w:rsidR="009F6910" w:rsidRPr="009F6910" w:rsidRDefault="009F6910" w:rsidP="009F6910">
      <w:pPr>
        <w:pStyle w:val="EndNoteBibliography"/>
        <w:spacing w:after="240"/>
      </w:pPr>
      <w:r w:rsidRPr="009F6910">
        <w:t>164.</w:t>
      </w:r>
      <w:r w:rsidRPr="009F6910">
        <w:tab/>
        <w:t xml:space="preserve">Cheng JJ, Berry P. Health co-benefits and risks of public health adaptation strategies to climate change: a review of current literature. </w:t>
      </w:r>
      <w:r w:rsidRPr="009F6910">
        <w:rPr>
          <w:i/>
        </w:rPr>
        <w:t>International journal of public health</w:t>
      </w:r>
      <w:r w:rsidRPr="009F6910">
        <w:t xml:space="preserve"> 2013; </w:t>
      </w:r>
      <w:r w:rsidRPr="009F6910">
        <w:rPr>
          <w:b/>
        </w:rPr>
        <w:t>58</w:t>
      </w:r>
      <w:r w:rsidRPr="009F6910">
        <w:t>(2): 305-11.</w:t>
      </w:r>
    </w:p>
    <w:p w:rsidR="009F6910" w:rsidRPr="009F6910" w:rsidRDefault="009F6910" w:rsidP="009F6910">
      <w:pPr>
        <w:pStyle w:val="EndNoteBibliography"/>
        <w:spacing w:after="240"/>
      </w:pPr>
      <w:r w:rsidRPr="009F6910">
        <w:t>165.</w:t>
      </w:r>
      <w:r w:rsidRPr="009F6910">
        <w:tab/>
        <w:t xml:space="preserve">Heltberg R, Siegel PB, Jorgensen SL. Addressing human vulnerability to climate change: Toward a ‘no-regrets’ approach. </w:t>
      </w:r>
      <w:r w:rsidRPr="009F6910">
        <w:rPr>
          <w:i/>
        </w:rPr>
        <w:t>Global Environmental Change</w:t>
      </w:r>
      <w:r w:rsidRPr="009F6910">
        <w:t xml:space="preserve"> 2009; </w:t>
      </w:r>
      <w:r w:rsidRPr="009F6910">
        <w:rPr>
          <w:b/>
        </w:rPr>
        <w:t>19</w:t>
      </w:r>
      <w:r w:rsidRPr="009F6910">
        <w:t>(1): 89-99.</w:t>
      </w:r>
    </w:p>
    <w:p w:rsidR="009F6910" w:rsidRPr="009F6910" w:rsidRDefault="009F6910" w:rsidP="009F6910">
      <w:pPr>
        <w:pStyle w:val="EndNoteBibliography"/>
        <w:spacing w:after="240"/>
      </w:pPr>
      <w:r w:rsidRPr="009F6910">
        <w:t>166.</w:t>
      </w:r>
      <w:r w:rsidRPr="009F6910">
        <w:tab/>
        <w:t xml:space="preserve">Keim ME. Building human resilience: the role of public health preparedness and response as an adaptation to climate change. </w:t>
      </w:r>
      <w:r w:rsidRPr="009F6910">
        <w:rPr>
          <w:i/>
        </w:rPr>
        <w:t>American journal of preventive medicine</w:t>
      </w:r>
      <w:r w:rsidRPr="009F6910">
        <w:t xml:space="preserve"> 2008; </w:t>
      </w:r>
      <w:r w:rsidRPr="009F6910">
        <w:rPr>
          <w:b/>
        </w:rPr>
        <w:t>35</w:t>
      </w:r>
      <w:r w:rsidRPr="009F6910">
        <w:t>(5): 508-16.</w:t>
      </w:r>
    </w:p>
    <w:p w:rsidR="009F6910" w:rsidRPr="009F6910" w:rsidRDefault="009F6910" w:rsidP="009F6910">
      <w:pPr>
        <w:pStyle w:val="EndNoteBibliography"/>
        <w:spacing w:after="240"/>
      </w:pPr>
      <w:r w:rsidRPr="009F6910">
        <w:t>167.</w:t>
      </w:r>
      <w:r w:rsidRPr="009F6910">
        <w:tab/>
        <w:t xml:space="preserve">Jamison DT, Summers LH, Alleyne G, et al. Global health 2035: a world converging within a generation. </w:t>
      </w:r>
      <w:r w:rsidRPr="009F6910">
        <w:rPr>
          <w:i/>
        </w:rPr>
        <w:t>The Lancet</w:t>
      </w:r>
      <w:r w:rsidRPr="009F6910">
        <w:t xml:space="preserve"> 2013; </w:t>
      </w:r>
      <w:r w:rsidRPr="009F6910">
        <w:rPr>
          <w:b/>
        </w:rPr>
        <w:t>382</w:t>
      </w:r>
      <w:r w:rsidRPr="009F6910">
        <w:t>(9908): 1898-955.</w:t>
      </w:r>
    </w:p>
    <w:p w:rsidR="009F6910" w:rsidRPr="009F6910" w:rsidRDefault="009F6910" w:rsidP="009F6910">
      <w:pPr>
        <w:pStyle w:val="EndNoteBibliography"/>
        <w:spacing w:after="240"/>
      </w:pPr>
      <w:r w:rsidRPr="009F6910">
        <w:t>168.</w:t>
      </w:r>
      <w:r w:rsidRPr="009F6910">
        <w:tab/>
        <w:t>Parry M, Arnell N, Berry P, et al. Assessing the Costs of Adaptation to Climate Change: A Review of the UNFCCC and Other Recent Estimates. London: Imperial College London and International Institute for Environment and Development, 2009.</w:t>
      </w:r>
    </w:p>
    <w:p w:rsidR="009F6910" w:rsidRPr="009F6910" w:rsidRDefault="009F6910" w:rsidP="009F6910">
      <w:pPr>
        <w:pStyle w:val="EndNoteBibliography"/>
        <w:spacing w:after="240"/>
      </w:pPr>
      <w:r w:rsidRPr="009F6910">
        <w:t>169.</w:t>
      </w:r>
      <w:r w:rsidRPr="009F6910">
        <w:tab/>
        <w:t xml:space="preserve">Jones KE, Patel NG, Levy MA, et al. Global trends in emerging infectious diseases. </w:t>
      </w:r>
      <w:r w:rsidRPr="009F6910">
        <w:rPr>
          <w:i/>
        </w:rPr>
        <w:t>Nature</w:t>
      </w:r>
      <w:r w:rsidRPr="009F6910">
        <w:t xml:space="preserve"> 2008; </w:t>
      </w:r>
      <w:r w:rsidRPr="009F6910">
        <w:rPr>
          <w:b/>
        </w:rPr>
        <w:t>451</w:t>
      </w:r>
      <w:r w:rsidRPr="009F6910">
        <w:t>(7181): 990-3.</w:t>
      </w:r>
    </w:p>
    <w:p w:rsidR="009F6910" w:rsidRPr="009F6910" w:rsidRDefault="009F6910" w:rsidP="009F6910">
      <w:pPr>
        <w:pStyle w:val="EndNoteBibliography"/>
        <w:spacing w:after="240"/>
      </w:pPr>
      <w:r w:rsidRPr="009F6910">
        <w:lastRenderedPageBreak/>
        <w:t>170.</w:t>
      </w:r>
      <w:r w:rsidRPr="009F6910">
        <w:tab/>
        <w:t>Grace D, Mutua F, Ochungo P, Kruska R. Mapping of poverty and likely zoonoses hotspots. London: International Livestock Research Institute, 2012.</w:t>
      </w:r>
    </w:p>
    <w:p w:rsidR="009F6910" w:rsidRPr="009F6910" w:rsidRDefault="009F6910" w:rsidP="009F6910">
      <w:pPr>
        <w:pStyle w:val="EndNoteBibliography"/>
        <w:spacing w:after="240"/>
      </w:pPr>
      <w:r w:rsidRPr="009F6910">
        <w:t>171.</w:t>
      </w:r>
      <w:r w:rsidRPr="009F6910">
        <w:tab/>
        <w:t>World Bank. The Costs to Developing Countries of Adapting to Climate Change: New Methods and Estimates. Washington D.C., 2010.</w:t>
      </w:r>
    </w:p>
    <w:p w:rsidR="009F6910" w:rsidRPr="009F6910" w:rsidRDefault="009F6910" w:rsidP="009F6910">
      <w:pPr>
        <w:pStyle w:val="EndNoteBibliography"/>
        <w:spacing w:after="240"/>
      </w:pPr>
      <w:r w:rsidRPr="009F6910">
        <w:t>172.</w:t>
      </w:r>
      <w:r w:rsidRPr="009F6910">
        <w:tab/>
        <w:t xml:space="preserve">Dye C. After 2015: infectious diseases in a new era of health and development. </w:t>
      </w:r>
      <w:r w:rsidRPr="009F6910">
        <w:rPr>
          <w:i/>
        </w:rPr>
        <w:t>Philosophical Transactions of the Royal Society B: Biological Sciences</w:t>
      </w:r>
      <w:r w:rsidRPr="009F6910">
        <w:t xml:space="preserve"> 2014; </w:t>
      </w:r>
      <w:r w:rsidRPr="009F6910">
        <w:rPr>
          <w:b/>
        </w:rPr>
        <w:t>369</w:t>
      </w:r>
      <w:r w:rsidRPr="009F6910">
        <w:t>(1645).</w:t>
      </w:r>
    </w:p>
    <w:p w:rsidR="009F6910" w:rsidRPr="009F6910" w:rsidRDefault="009F6910" w:rsidP="009F6910">
      <w:pPr>
        <w:pStyle w:val="EndNoteBibliography"/>
        <w:spacing w:after="240"/>
      </w:pPr>
      <w:r w:rsidRPr="009F6910">
        <w:t>173.</w:t>
      </w:r>
      <w:r w:rsidRPr="009F6910">
        <w:tab/>
        <w:t>World Bank. People, Pathogens and Our Planet: The Economics of One Health. Washington, D.C., 2012.</w:t>
      </w:r>
    </w:p>
    <w:p w:rsidR="009F6910" w:rsidRPr="009F6910" w:rsidRDefault="009F6910" w:rsidP="009F6910">
      <w:pPr>
        <w:pStyle w:val="EndNoteBibliography"/>
        <w:spacing w:after="240"/>
      </w:pPr>
      <w:r w:rsidRPr="009F6910">
        <w:t>174.</w:t>
      </w:r>
      <w:r w:rsidRPr="009F6910">
        <w:tab/>
        <w:t xml:space="preserve">Semenza JC, Suk JE, Estevez V, Ebi KL, Lindgren E. Mapping climate change vulnerabilities to infectious diseases in Europe. </w:t>
      </w:r>
      <w:r w:rsidRPr="009F6910">
        <w:rPr>
          <w:i/>
        </w:rPr>
        <w:t>Environ Health Perspect</w:t>
      </w:r>
      <w:r w:rsidRPr="009F6910">
        <w:t xml:space="preserve"> 2012; </w:t>
      </w:r>
      <w:r w:rsidRPr="009F6910">
        <w:rPr>
          <w:b/>
        </w:rPr>
        <w:t>120</w:t>
      </w:r>
      <w:r w:rsidRPr="009F6910">
        <w:t>(3): 385-92.</w:t>
      </w:r>
    </w:p>
    <w:p w:rsidR="009F6910" w:rsidRPr="009F6910" w:rsidRDefault="009F6910" w:rsidP="009F6910">
      <w:pPr>
        <w:pStyle w:val="EndNoteBibliography"/>
        <w:spacing w:after="240"/>
      </w:pPr>
      <w:r w:rsidRPr="009F6910">
        <w:t>175.</w:t>
      </w:r>
      <w:r w:rsidRPr="009F6910">
        <w:tab/>
        <w:t>Teutsch SM, Churchill RE. Principles and Practice of Public Health Surveillance. 2nd ed. New York, NY: Oxford University Press; 2000.</w:t>
      </w:r>
    </w:p>
    <w:p w:rsidR="009F6910" w:rsidRPr="009F6910" w:rsidRDefault="009F6910" w:rsidP="009F6910">
      <w:pPr>
        <w:pStyle w:val="EndNoteBibliography"/>
        <w:spacing w:after="240"/>
      </w:pPr>
      <w:r w:rsidRPr="009F6910">
        <w:t>176.</w:t>
      </w:r>
      <w:r w:rsidRPr="009F6910">
        <w:tab/>
        <w:t>Colls A, Ash N, Ikkala N. Ecosystem-based Adaptation: A Natural Response to Climate Change. Switzerland: International Union for Conservation of Nature, 2009.</w:t>
      </w:r>
    </w:p>
    <w:p w:rsidR="009F6910" w:rsidRPr="009F6910" w:rsidRDefault="009F6910" w:rsidP="009F6910">
      <w:pPr>
        <w:pStyle w:val="EndNoteBibliography"/>
        <w:spacing w:after="240"/>
      </w:pPr>
      <w:r w:rsidRPr="009F6910">
        <w:t>177.</w:t>
      </w:r>
      <w:r w:rsidRPr="009F6910">
        <w:tab/>
        <w:t xml:space="preserve">Pramova E, Locatelli B, Brockhaus M, Fohlmeister S. Ecosystem services in the national adaptation programmes of action. </w:t>
      </w:r>
      <w:r w:rsidRPr="009F6910">
        <w:rPr>
          <w:i/>
        </w:rPr>
        <w:t>Climate Policy</w:t>
      </w:r>
      <w:r w:rsidRPr="009F6910">
        <w:t xml:space="preserve"> 2012; </w:t>
      </w:r>
      <w:r w:rsidRPr="009F6910">
        <w:rPr>
          <w:b/>
        </w:rPr>
        <w:t>12</w:t>
      </w:r>
      <w:r w:rsidRPr="009F6910">
        <w:t>(4): 393-409.</w:t>
      </w:r>
    </w:p>
    <w:p w:rsidR="009F6910" w:rsidRPr="009F6910" w:rsidRDefault="009F6910" w:rsidP="009F6910">
      <w:pPr>
        <w:pStyle w:val="EndNoteBibliography"/>
        <w:spacing w:after="240"/>
      </w:pPr>
      <w:r w:rsidRPr="009F6910">
        <w:t>178.</w:t>
      </w:r>
      <w:r w:rsidRPr="009F6910">
        <w:tab/>
        <w:t xml:space="preserve">Pramova E, Locatelli B, Djoudi H, Somorin OA. Forests and trees for social adaptation to climate variability and change. </w:t>
      </w:r>
      <w:r w:rsidRPr="009F6910">
        <w:rPr>
          <w:i/>
        </w:rPr>
        <w:t>Wiley Interdisciplinary Reviews: Climate Change</w:t>
      </w:r>
      <w:r w:rsidRPr="009F6910">
        <w:t xml:space="preserve"> 2012; </w:t>
      </w:r>
      <w:r w:rsidRPr="009F6910">
        <w:rPr>
          <w:b/>
        </w:rPr>
        <w:t>3</w:t>
      </w:r>
      <w:r w:rsidRPr="009F6910">
        <w:t>(6): 581-96.</w:t>
      </w:r>
    </w:p>
    <w:p w:rsidR="009F6910" w:rsidRPr="009F6910" w:rsidRDefault="009F6910" w:rsidP="009F6910">
      <w:pPr>
        <w:pStyle w:val="EndNoteBibliography"/>
        <w:spacing w:after="240"/>
      </w:pPr>
      <w:r w:rsidRPr="009F6910">
        <w:t>179.</w:t>
      </w:r>
      <w:r w:rsidRPr="009F6910">
        <w:tab/>
        <w:t xml:space="preserve">Spalding MD, Ruffo S, Lacambra C, et al. The role of ecosystems in coastal protection: Adapting to climate change and coastal hazards. </w:t>
      </w:r>
      <w:r w:rsidRPr="009F6910">
        <w:rPr>
          <w:i/>
        </w:rPr>
        <w:t>Ocean &amp; Coastal Management</w:t>
      </w:r>
      <w:r w:rsidRPr="009F6910">
        <w:t xml:space="preserve"> 2014; </w:t>
      </w:r>
      <w:r w:rsidRPr="009F6910">
        <w:rPr>
          <w:b/>
        </w:rPr>
        <w:t>90</w:t>
      </w:r>
      <w:r w:rsidRPr="009F6910">
        <w:t>(0): 50-7.</w:t>
      </w:r>
    </w:p>
    <w:p w:rsidR="009F6910" w:rsidRPr="009F6910" w:rsidRDefault="009F6910" w:rsidP="009F6910">
      <w:pPr>
        <w:pStyle w:val="EndNoteBibliography"/>
        <w:spacing w:after="240"/>
      </w:pPr>
      <w:r w:rsidRPr="009F6910">
        <w:t>180.</w:t>
      </w:r>
      <w:r w:rsidRPr="009F6910">
        <w:tab/>
        <w:t>Mimura N, Pulwarty R, Duc D, et al. Adaptation Planning and Implementation.  Climate Change 2014: Impacts, Adaptation, and Vulnerability Working Group II Contribution to the IPCC 5th Assessment Report. Cambridge, UK and New York, NY, USA: Cambridge University Press; 2014.</w:t>
      </w:r>
    </w:p>
    <w:p w:rsidR="009F6910" w:rsidRPr="009F6910" w:rsidRDefault="009F6910" w:rsidP="009F6910">
      <w:pPr>
        <w:pStyle w:val="EndNoteBibliography"/>
        <w:spacing w:after="240"/>
      </w:pPr>
      <w:r w:rsidRPr="009F6910">
        <w:t>181.</w:t>
      </w:r>
      <w:r w:rsidRPr="009F6910">
        <w:tab/>
        <w:t>The Royal Society. Resilience to extreme weather. London: The Royal Society Science Policy Centre, 2014.</w:t>
      </w:r>
    </w:p>
    <w:p w:rsidR="009F6910" w:rsidRPr="009F6910" w:rsidRDefault="009F6910" w:rsidP="009F6910">
      <w:pPr>
        <w:pStyle w:val="EndNoteBibliography"/>
        <w:spacing w:after="240"/>
      </w:pPr>
      <w:r w:rsidRPr="009F6910">
        <w:t>182.</w:t>
      </w:r>
      <w:r w:rsidRPr="009F6910">
        <w:tab/>
        <w:t xml:space="preserve">Gill SE, Handley JF, Ennos AR, Pauleit S. Adapting Cities for Climate Change: The Role of the Green Infrastructure. </w:t>
      </w:r>
      <w:r w:rsidRPr="009F6910">
        <w:rPr>
          <w:i/>
        </w:rPr>
        <w:t>Built Environ</w:t>
      </w:r>
      <w:r w:rsidRPr="009F6910">
        <w:t xml:space="preserve"> 2007; </w:t>
      </w:r>
      <w:r w:rsidRPr="009F6910">
        <w:rPr>
          <w:b/>
        </w:rPr>
        <w:t>33</w:t>
      </w:r>
      <w:r w:rsidRPr="009F6910">
        <w:t>(1): 115-33.</w:t>
      </w:r>
    </w:p>
    <w:p w:rsidR="009F6910" w:rsidRPr="009F6910" w:rsidRDefault="009F6910" w:rsidP="009F6910">
      <w:pPr>
        <w:pStyle w:val="EndNoteBibliography"/>
        <w:spacing w:after="240"/>
      </w:pPr>
      <w:r w:rsidRPr="009F6910">
        <w:t>183.</w:t>
      </w:r>
      <w:r w:rsidRPr="009F6910">
        <w:tab/>
        <w:t xml:space="preserve">Munang R, Thiaw I, Alverson K, Mumba M, Liu J, Rivington M. Climate change and Ecosystem-based Adaptation: a new pragmatic approach to buffering climate change impacts. </w:t>
      </w:r>
      <w:r w:rsidRPr="009F6910">
        <w:rPr>
          <w:i/>
        </w:rPr>
        <w:t>Current Opinion in Environmental Sustainability</w:t>
      </w:r>
      <w:r w:rsidRPr="009F6910">
        <w:t xml:space="preserve"> 2013; </w:t>
      </w:r>
      <w:r w:rsidRPr="009F6910">
        <w:rPr>
          <w:b/>
        </w:rPr>
        <w:t>5</w:t>
      </w:r>
      <w:r w:rsidRPr="009F6910">
        <w:t>(1): 67-71.</w:t>
      </w:r>
    </w:p>
    <w:p w:rsidR="009F6910" w:rsidRPr="009F6910" w:rsidRDefault="009F6910" w:rsidP="009F6910">
      <w:pPr>
        <w:pStyle w:val="EndNoteBibliography"/>
        <w:spacing w:after="240"/>
      </w:pPr>
      <w:r w:rsidRPr="009F6910">
        <w:t>184.</w:t>
      </w:r>
      <w:r w:rsidRPr="009F6910">
        <w:tab/>
        <w:t xml:space="preserve">Drewniak B, Snyder P, Steiner A, Twine T, Wuebbles D. Simulated changes in biogenic VOC emissions and ozone formation from habitat expansion of Acer Rubrum (red maple). </w:t>
      </w:r>
      <w:r w:rsidRPr="009F6910">
        <w:rPr>
          <w:i/>
        </w:rPr>
        <w:t>Environ Res Lett</w:t>
      </w:r>
      <w:r w:rsidRPr="009F6910">
        <w:t xml:space="preserve"> 2014; </w:t>
      </w:r>
      <w:r w:rsidRPr="009F6910">
        <w:rPr>
          <w:b/>
        </w:rPr>
        <w:t>9</w:t>
      </w:r>
      <w:r w:rsidRPr="009F6910">
        <w:t>(1).</w:t>
      </w:r>
    </w:p>
    <w:p w:rsidR="009F6910" w:rsidRPr="009F6910" w:rsidRDefault="009F6910" w:rsidP="009F6910">
      <w:pPr>
        <w:pStyle w:val="EndNoteBibliography"/>
        <w:spacing w:after="240"/>
      </w:pPr>
      <w:r w:rsidRPr="009F6910">
        <w:t>185.</w:t>
      </w:r>
      <w:r w:rsidRPr="009F6910">
        <w:tab/>
        <w:t xml:space="preserve">Stone BJ, Vargo J, Liu P, et al. Avoided Heat-Related Mortality through Climate Adaptation Strategies in Three US Cities. </w:t>
      </w:r>
      <w:r w:rsidRPr="009F6910">
        <w:rPr>
          <w:i/>
        </w:rPr>
        <w:t>PLoS ONE</w:t>
      </w:r>
      <w:r w:rsidRPr="009F6910">
        <w:t xml:space="preserve"> 2014; </w:t>
      </w:r>
      <w:r w:rsidRPr="009F6910">
        <w:rPr>
          <w:b/>
        </w:rPr>
        <w:t>9</w:t>
      </w:r>
      <w:r w:rsidRPr="009F6910">
        <w:t>(6).</w:t>
      </w:r>
    </w:p>
    <w:p w:rsidR="009F6910" w:rsidRPr="009F6910" w:rsidRDefault="009F6910" w:rsidP="009F6910">
      <w:pPr>
        <w:pStyle w:val="EndNoteBibliography"/>
        <w:spacing w:after="240"/>
      </w:pPr>
      <w:r w:rsidRPr="009F6910">
        <w:lastRenderedPageBreak/>
        <w:t>186.</w:t>
      </w:r>
      <w:r w:rsidRPr="009F6910">
        <w:tab/>
        <w:t xml:space="preserve">Huang C, Vaneckova P, Wang X, Fitzgerald G, Guo Y, Tong S. Constraints and barriers to public health adaptation to climate change: a review of the literature. </w:t>
      </w:r>
      <w:r w:rsidRPr="009F6910">
        <w:rPr>
          <w:i/>
        </w:rPr>
        <w:t>American journal of preventive medicine</w:t>
      </w:r>
      <w:r w:rsidRPr="009F6910">
        <w:t xml:space="preserve"> 2011; </w:t>
      </w:r>
      <w:r w:rsidRPr="009F6910">
        <w:rPr>
          <w:b/>
        </w:rPr>
        <w:t>40</w:t>
      </w:r>
      <w:r w:rsidRPr="009F6910">
        <w:t>(2): 183-90.</w:t>
      </w:r>
    </w:p>
    <w:p w:rsidR="009F6910" w:rsidRPr="009F6910" w:rsidRDefault="009F6910" w:rsidP="009F6910">
      <w:pPr>
        <w:pStyle w:val="EndNoteBibliography"/>
        <w:spacing w:after="240"/>
      </w:pPr>
      <w:r w:rsidRPr="009F6910">
        <w:t>187.</w:t>
      </w:r>
      <w:r w:rsidRPr="009F6910">
        <w:tab/>
        <w:t xml:space="preserve">Wilbanks T, Leiby P, Perlack R, Ensminger JT, Wright S. Toward an integrated analysis of mitigation and adaptation: some preliminary findings. </w:t>
      </w:r>
      <w:r w:rsidRPr="009F6910">
        <w:rPr>
          <w:i/>
        </w:rPr>
        <w:t>Mitig Adapt Strat Glob Change</w:t>
      </w:r>
      <w:r w:rsidRPr="009F6910">
        <w:t xml:space="preserve"> 2007; </w:t>
      </w:r>
      <w:r w:rsidRPr="009F6910">
        <w:rPr>
          <w:b/>
        </w:rPr>
        <w:t>12</w:t>
      </w:r>
      <w:r w:rsidRPr="009F6910">
        <w:t>(5): 713-25.</w:t>
      </w:r>
    </w:p>
    <w:p w:rsidR="009F6910" w:rsidRPr="009F6910" w:rsidRDefault="009F6910" w:rsidP="009F6910">
      <w:pPr>
        <w:pStyle w:val="EndNoteBibliography"/>
        <w:spacing w:after="240"/>
      </w:pPr>
      <w:r w:rsidRPr="009F6910">
        <w:t>188.</w:t>
      </w:r>
      <w:r w:rsidRPr="009F6910">
        <w:tab/>
        <w:t>California Natural Resources Agency. California Climate Adaptation Strategy: A Report to the Governor of the State of California in Response to Executive Order S-13-2008. 2009.</w:t>
      </w:r>
    </w:p>
    <w:p w:rsidR="009F6910" w:rsidRPr="009F6910" w:rsidRDefault="009F6910" w:rsidP="009F6910">
      <w:pPr>
        <w:pStyle w:val="EndNoteBibliography"/>
        <w:spacing w:after="240"/>
      </w:pPr>
      <w:r w:rsidRPr="009F6910">
        <w:t>189.</w:t>
      </w:r>
      <w:r w:rsidRPr="009F6910">
        <w:tab/>
        <w:t xml:space="preserve">Feiock RC. Metropolitan Governance and Institutional Collective Action. </w:t>
      </w:r>
      <w:r w:rsidRPr="009F6910">
        <w:rPr>
          <w:i/>
        </w:rPr>
        <w:t>Urban Affairs Review</w:t>
      </w:r>
      <w:r w:rsidRPr="009F6910">
        <w:t xml:space="preserve"> 2008; </w:t>
      </w:r>
      <w:r w:rsidRPr="009F6910">
        <w:rPr>
          <w:b/>
        </w:rPr>
        <w:t>44</w:t>
      </w:r>
      <w:r w:rsidRPr="009F6910">
        <w:t>(3): 356-77.</w:t>
      </w:r>
    </w:p>
    <w:p w:rsidR="009F6910" w:rsidRPr="009F6910" w:rsidRDefault="009F6910" w:rsidP="009F6910">
      <w:pPr>
        <w:pStyle w:val="EndNoteBibliography"/>
        <w:spacing w:after="240"/>
      </w:pPr>
      <w:r w:rsidRPr="009F6910">
        <w:t>190.</w:t>
      </w:r>
      <w:r w:rsidRPr="009F6910">
        <w:tab/>
        <w:t>UNFCCC. Third synthesis report on technology needs identified by Parties not included in Annex I to the Convention.  Document FCCC/SBSTA/2013/Inf7 Subsidiary Body for Scientific and Technological Advice, Thirty-ninth Session. Warsaw; 2013.</w:t>
      </w:r>
    </w:p>
    <w:p w:rsidR="009F6910" w:rsidRPr="009F6910" w:rsidRDefault="009F6910" w:rsidP="009F6910">
      <w:pPr>
        <w:pStyle w:val="EndNoteBibliography"/>
        <w:spacing w:after="240"/>
      </w:pPr>
      <w:r w:rsidRPr="009F6910">
        <w:t>191.</w:t>
      </w:r>
      <w:r w:rsidRPr="009F6910">
        <w:tab/>
        <w:t>Leiserowitz A, Maibach E, Roser-Renouf C, Feinberg G, Rosenthal S, Marlon J. Public Perceptions of the Health Consequences of Global Warming. New Haven, CT: Yale University and George Mason University, 2014.</w:t>
      </w:r>
    </w:p>
    <w:p w:rsidR="009F6910" w:rsidRPr="009F6910" w:rsidRDefault="009F6910" w:rsidP="009F6910">
      <w:pPr>
        <w:pStyle w:val="EndNoteBibliography"/>
        <w:spacing w:after="240"/>
      </w:pPr>
      <w:r w:rsidRPr="009F6910">
        <w:t>192.</w:t>
      </w:r>
      <w:r w:rsidRPr="009F6910">
        <w:tab/>
        <w:t>Moser SC, Dilling L. Creating a climate for change: communicating climate change and facilitating social change. Cambridge, UK: Cambridge University Press; 2007.</w:t>
      </w:r>
    </w:p>
    <w:p w:rsidR="009F6910" w:rsidRPr="009F6910" w:rsidRDefault="009F6910" w:rsidP="009F6910">
      <w:pPr>
        <w:pStyle w:val="EndNoteBibliography"/>
        <w:spacing w:after="240"/>
      </w:pPr>
      <w:r w:rsidRPr="009F6910">
        <w:t>193.</w:t>
      </w:r>
      <w:r w:rsidRPr="009F6910">
        <w:tab/>
        <w:t>Noble I, Huq S, Ayers J, et al. Adaptation Needs and Options.  Climate Change 2014: Impacts, Adaptation, and Vulnerability Working Group II Contribution to the IPCC 5th Assessment Report. Cambridge, UK and New York, NY, USA: Cambridge University Press; 2014.</w:t>
      </w:r>
    </w:p>
    <w:p w:rsidR="009F6910" w:rsidRPr="009F6910" w:rsidRDefault="009F6910" w:rsidP="009F6910">
      <w:pPr>
        <w:pStyle w:val="EndNoteBibliography"/>
        <w:spacing w:after="240"/>
      </w:pPr>
      <w:r w:rsidRPr="009F6910">
        <w:t>194.</w:t>
      </w:r>
      <w:r w:rsidRPr="009F6910">
        <w:tab/>
        <w:t>Scovronick N, Adair-Rohani H, Borgford-Parnell N, et al. Reducing Global Health Risks Through Mitigation of Short-Lived Climate Pollutants: Scoping Report For Policymakers. Geneva: World Health Organization &amp; Climate and Clean Air Coalition, 2015.</w:t>
      </w:r>
    </w:p>
    <w:p w:rsidR="009F6910" w:rsidRPr="009F6910" w:rsidRDefault="009F6910" w:rsidP="009F6910">
      <w:pPr>
        <w:pStyle w:val="EndNoteBibliography"/>
        <w:spacing w:after="240"/>
      </w:pPr>
      <w:r w:rsidRPr="009F6910">
        <w:t>195.</w:t>
      </w:r>
      <w:r w:rsidRPr="009F6910">
        <w:tab/>
        <w:t xml:space="preserve">Graus W, Blomen E, Worrell E. Global energy efficiency improvement in the long term: a demand-and supply-side perspective. </w:t>
      </w:r>
      <w:r w:rsidRPr="009F6910">
        <w:rPr>
          <w:i/>
        </w:rPr>
        <w:t>Energy Efficiency</w:t>
      </w:r>
      <w:r w:rsidRPr="009F6910">
        <w:t xml:space="preserve"> 2011; </w:t>
      </w:r>
      <w:r w:rsidRPr="009F6910">
        <w:rPr>
          <w:b/>
        </w:rPr>
        <w:t>4</w:t>
      </w:r>
      <w:r w:rsidRPr="009F6910">
        <w:t>: 435-63.</w:t>
      </w:r>
    </w:p>
    <w:p w:rsidR="009F6910" w:rsidRPr="009F6910" w:rsidRDefault="009F6910" w:rsidP="009F6910">
      <w:pPr>
        <w:pStyle w:val="EndNoteBibliography"/>
        <w:spacing w:after="240"/>
      </w:pPr>
      <w:r w:rsidRPr="009F6910">
        <w:t>196.</w:t>
      </w:r>
      <w:r w:rsidRPr="009F6910">
        <w:tab/>
        <w:t>International Energy Agency. Redrawing the energy-climate map. In, World energy outlook special report. Paris, 2013.</w:t>
      </w:r>
    </w:p>
    <w:p w:rsidR="009F6910" w:rsidRPr="009F6910" w:rsidRDefault="009F6910" w:rsidP="009F6910">
      <w:pPr>
        <w:pStyle w:val="EndNoteBibliography"/>
        <w:spacing w:after="240"/>
      </w:pPr>
      <w:r w:rsidRPr="009F6910">
        <w:t>197.</w:t>
      </w:r>
      <w:r w:rsidRPr="009F6910">
        <w:tab/>
        <w:t xml:space="preserve">Vaughan N, Lenton T. A review of climate geoengineering proposals. </w:t>
      </w:r>
      <w:r w:rsidRPr="009F6910">
        <w:rPr>
          <w:i/>
        </w:rPr>
        <w:t>Climate Change</w:t>
      </w:r>
      <w:r w:rsidRPr="009F6910">
        <w:t xml:space="preserve"> 2011; </w:t>
      </w:r>
      <w:r w:rsidRPr="009F6910">
        <w:rPr>
          <w:b/>
        </w:rPr>
        <w:t>109</w:t>
      </w:r>
      <w:r w:rsidRPr="009F6910">
        <w:t>(3-4): 745-90.</w:t>
      </w:r>
    </w:p>
    <w:p w:rsidR="009F6910" w:rsidRPr="009F6910" w:rsidRDefault="009F6910" w:rsidP="009F6910">
      <w:pPr>
        <w:pStyle w:val="EndNoteBibliography"/>
        <w:spacing w:after="240"/>
      </w:pPr>
      <w:r w:rsidRPr="009F6910">
        <w:t>198.</w:t>
      </w:r>
      <w:r w:rsidRPr="009F6910">
        <w:tab/>
        <w:t>Lackner K, Brennan S, Matter J, Park A, Wright A, Zwaan Bvd. The urgency of the development of CO</w:t>
      </w:r>
      <w:r w:rsidRPr="009F6910">
        <w:rPr>
          <w:vertAlign w:val="subscript"/>
        </w:rPr>
        <w:t>2</w:t>
      </w:r>
      <w:r w:rsidRPr="009F6910">
        <w:t xml:space="preserve"> capture from ambient air. </w:t>
      </w:r>
      <w:r w:rsidRPr="009F6910">
        <w:rPr>
          <w:i/>
        </w:rPr>
        <w:t>Proceedings of the National Academy of Sciences</w:t>
      </w:r>
      <w:r w:rsidRPr="009F6910">
        <w:t xml:space="preserve"> 2012; </w:t>
      </w:r>
      <w:r w:rsidRPr="009F6910">
        <w:rPr>
          <w:b/>
        </w:rPr>
        <w:t>109</w:t>
      </w:r>
      <w:r w:rsidRPr="009F6910">
        <w:t>(33): 13156-62.</w:t>
      </w:r>
    </w:p>
    <w:p w:rsidR="009F6910" w:rsidRPr="009F6910" w:rsidRDefault="009F6910" w:rsidP="009F6910">
      <w:pPr>
        <w:pStyle w:val="EndNoteBibliography"/>
        <w:spacing w:after="240"/>
      </w:pPr>
      <w:r w:rsidRPr="009F6910">
        <w:t>199.</w:t>
      </w:r>
      <w:r w:rsidRPr="009F6910">
        <w:tab/>
        <w:t>Fischedick M, Schaeffer R, Adedoyin A, et al. Mitigation potential and costs. In: Edenhofer O, Pichs-Madruga R, Sokona Y, et al., eds. IPCC special report on renewable energy sources and climate change mitigation. Cambridge, United Kingdom and New York, USA: Cambridge University Press; 2011.</w:t>
      </w:r>
    </w:p>
    <w:p w:rsidR="009F6910" w:rsidRPr="009F6910" w:rsidRDefault="009F6910" w:rsidP="009F6910">
      <w:pPr>
        <w:pStyle w:val="EndNoteBibliography"/>
        <w:spacing w:after="240"/>
      </w:pPr>
      <w:r w:rsidRPr="009F6910">
        <w:t>200.</w:t>
      </w:r>
      <w:r w:rsidRPr="009F6910">
        <w:tab/>
        <w:t xml:space="preserve">Zwaan Bvd. The role of nuclear power in mitigating emissions from electricity generation. </w:t>
      </w:r>
      <w:r w:rsidRPr="009F6910">
        <w:rPr>
          <w:i/>
        </w:rPr>
        <w:t>Energy Strategy Reviews</w:t>
      </w:r>
      <w:r w:rsidRPr="009F6910">
        <w:t xml:space="preserve"> 2013; </w:t>
      </w:r>
      <w:r w:rsidRPr="009F6910">
        <w:rPr>
          <w:b/>
        </w:rPr>
        <w:t>1</w:t>
      </w:r>
      <w:r w:rsidRPr="009F6910">
        <w:t>: 296-301.</w:t>
      </w:r>
    </w:p>
    <w:p w:rsidR="009F6910" w:rsidRPr="009F6910" w:rsidRDefault="009F6910" w:rsidP="009F6910">
      <w:pPr>
        <w:pStyle w:val="EndNoteBibliography"/>
        <w:spacing w:after="240"/>
      </w:pPr>
      <w:r w:rsidRPr="009F6910">
        <w:lastRenderedPageBreak/>
        <w:t>201.</w:t>
      </w:r>
      <w:r w:rsidRPr="009F6910">
        <w:tab/>
        <w:t>Summary for Policymakers. In: Edenhofer O, Pichs-Madruga R, Sokona Y, et al., eds. Climate Change 2014: Mitigation of Climate Change Contribution of Working Group III to the Fifth Assessment Report of the Intergovernmental Panel on Climate Change. Cambridge, United Kingdom and New York, NY, USA: Cambridge University Press.</w:t>
      </w:r>
    </w:p>
    <w:p w:rsidR="009F6910" w:rsidRPr="009F6910" w:rsidRDefault="009F6910" w:rsidP="009F6910">
      <w:pPr>
        <w:pStyle w:val="EndNoteBibliography"/>
        <w:spacing w:after="240"/>
      </w:pPr>
      <w:r w:rsidRPr="009F6910">
        <w:t>202.</w:t>
      </w:r>
      <w:r w:rsidRPr="009F6910">
        <w:tab/>
        <w:t>Victor D, Zhou D, Ahmed E, et al. Introductory Chapter. In: Edenhofer O, Pichs-Madruga R, Sokona Y, et al., eds. Climate Change 2014: Mitigation of Climate Change Contribution of Working Group III to the Fifth Assessment Report of the Intergovernmental Panel on Climate Change. Cambridge, United Kingdom and New York, NY, USA: Cambridge University Press; 2014.</w:t>
      </w:r>
    </w:p>
    <w:p w:rsidR="009F6910" w:rsidRPr="009F6910" w:rsidRDefault="009F6910" w:rsidP="009F6910">
      <w:pPr>
        <w:pStyle w:val="EndNoteBibliography"/>
        <w:spacing w:after="240"/>
      </w:pPr>
      <w:r w:rsidRPr="009F6910">
        <w:t>203.</w:t>
      </w:r>
      <w:r w:rsidRPr="009F6910">
        <w:tab/>
        <w:t>Bruckner T, Bashmakov I, Mulugetta Y, et al. Energy Systems. In: Edenhofer O, Pichs-Madruga R, Sokona Y, et al., eds. Climate Change 2014: Mitigation of Climate Change Contribution of Working Group III to the Fifth Assessment Report of the Intergovernmental Panel on Climate Change. Cambridge, United Kingdom and New York, NY, USA: Cambridge University Press; 2014.</w:t>
      </w:r>
    </w:p>
    <w:p w:rsidR="009F6910" w:rsidRPr="009F6910" w:rsidRDefault="009F6910" w:rsidP="009F6910">
      <w:pPr>
        <w:pStyle w:val="EndNoteBibliography"/>
        <w:spacing w:after="240"/>
      </w:pPr>
      <w:r w:rsidRPr="009F6910">
        <w:t>204.</w:t>
      </w:r>
      <w:r w:rsidRPr="009F6910">
        <w:tab/>
        <w:t xml:space="preserve">Stafford Smith M, Horrocks L, Harvey A, Hamilton C. Rethinking adaptation for a 4°C world. </w:t>
      </w:r>
      <w:r w:rsidRPr="009F6910">
        <w:rPr>
          <w:i/>
        </w:rPr>
        <w:t>Philosophical Transactions of the Royal Society A</w:t>
      </w:r>
      <w:r w:rsidRPr="009F6910">
        <w:t xml:space="preserve"> 2011; </w:t>
      </w:r>
      <w:r w:rsidRPr="009F6910">
        <w:rPr>
          <w:b/>
        </w:rPr>
        <w:t>369</w:t>
      </w:r>
      <w:r w:rsidRPr="009F6910">
        <w:t>: 196-216.</w:t>
      </w:r>
    </w:p>
    <w:p w:rsidR="009F6910" w:rsidRPr="009F6910" w:rsidRDefault="009F6910" w:rsidP="009F6910">
      <w:pPr>
        <w:pStyle w:val="EndNoteBibliography"/>
        <w:spacing w:after="240"/>
      </w:pPr>
      <w:r w:rsidRPr="009F6910">
        <w:t>205.</w:t>
      </w:r>
      <w:r w:rsidRPr="009F6910">
        <w:tab/>
        <w:t xml:space="preserve">Basedau M, Lay J. Resource Curse or Rentier Peace? The Ambiguous Effects of Oil Wealth and Oil Dependence on Violent Conflict. </w:t>
      </w:r>
      <w:r w:rsidRPr="009F6910">
        <w:rPr>
          <w:i/>
        </w:rPr>
        <w:t>Journal of Peace Research</w:t>
      </w:r>
      <w:r w:rsidRPr="009F6910">
        <w:t xml:space="preserve"> 2009; </w:t>
      </w:r>
      <w:r w:rsidRPr="009F6910">
        <w:rPr>
          <w:b/>
        </w:rPr>
        <w:t>46</w:t>
      </w:r>
      <w:r w:rsidRPr="009F6910">
        <w:t>(6): 757–76.</w:t>
      </w:r>
    </w:p>
    <w:p w:rsidR="009F6910" w:rsidRPr="009F6910" w:rsidRDefault="009F6910" w:rsidP="009F6910">
      <w:pPr>
        <w:pStyle w:val="EndNoteBibliography"/>
        <w:spacing w:after="240"/>
      </w:pPr>
      <w:r w:rsidRPr="009F6910">
        <w:t>206.</w:t>
      </w:r>
      <w:r w:rsidRPr="009F6910">
        <w:tab/>
        <w:t xml:space="preserve">Schaeffer R, Szkloa A, Pereira-de-Lucena A, et al. Energy sector vulnerability to climate change: A review. </w:t>
      </w:r>
      <w:r w:rsidRPr="009F6910">
        <w:rPr>
          <w:i/>
        </w:rPr>
        <w:t>Energy</w:t>
      </w:r>
      <w:r w:rsidRPr="009F6910">
        <w:t xml:space="preserve"> 2012; </w:t>
      </w:r>
      <w:r w:rsidRPr="009F6910">
        <w:rPr>
          <w:b/>
        </w:rPr>
        <w:t>38</w:t>
      </w:r>
      <w:r w:rsidRPr="009F6910">
        <w:t>(1): 1-12.</w:t>
      </w:r>
    </w:p>
    <w:p w:rsidR="009F6910" w:rsidRPr="009F6910" w:rsidRDefault="009F6910" w:rsidP="009F6910">
      <w:pPr>
        <w:pStyle w:val="EndNoteBibliography"/>
        <w:spacing w:after="240"/>
      </w:pPr>
      <w:r w:rsidRPr="009F6910">
        <w:t>207.</w:t>
      </w:r>
      <w:r w:rsidRPr="009F6910">
        <w:tab/>
        <w:t xml:space="preserve">Schaeffer M, Hare W, Rahmstorf S, Vermeer M. Long-term sea-level rise implied by 1.5 °C and 2 °C warming levels. </w:t>
      </w:r>
      <w:r w:rsidRPr="009F6910">
        <w:rPr>
          <w:i/>
        </w:rPr>
        <w:t>Nature Climate Change</w:t>
      </w:r>
      <w:r w:rsidRPr="009F6910">
        <w:t xml:space="preserve"> 2012; </w:t>
      </w:r>
      <w:r w:rsidRPr="009F6910">
        <w:rPr>
          <w:b/>
        </w:rPr>
        <w:t>2</w:t>
      </w:r>
      <w:r w:rsidRPr="009F6910">
        <w:t>: 867-70.</w:t>
      </w:r>
    </w:p>
    <w:p w:rsidR="009F6910" w:rsidRPr="009F6910" w:rsidRDefault="009F6910" w:rsidP="009F6910">
      <w:pPr>
        <w:pStyle w:val="EndNoteBibliography"/>
        <w:spacing w:after="240"/>
      </w:pPr>
      <w:r w:rsidRPr="009F6910">
        <w:t>208.</w:t>
      </w:r>
      <w:r w:rsidRPr="009F6910">
        <w:tab/>
        <w:t xml:space="preserve">Czisch G. Scenarios for a Future Electricity Supply: Cost-optimised Variations on Supplying Europe and Its Neighbours with Electricity from Renewable Energies. </w:t>
      </w:r>
      <w:r w:rsidRPr="009F6910">
        <w:rPr>
          <w:i/>
        </w:rPr>
        <w:t>IET renewable energy series, Institution of Engineering and Technology</w:t>
      </w:r>
      <w:r w:rsidRPr="009F6910">
        <w:t xml:space="preserve"> 2011; </w:t>
      </w:r>
      <w:r w:rsidRPr="009F6910">
        <w:rPr>
          <w:b/>
        </w:rPr>
        <w:t>10</w:t>
      </w:r>
      <w:r w:rsidRPr="009F6910">
        <w:t>.</w:t>
      </w:r>
    </w:p>
    <w:p w:rsidR="009F6910" w:rsidRPr="009F6910" w:rsidRDefault="009F6910" w:rsidP="009F6910">
      <w:pPr>
        <w:pStyle w:val="EndNoteBibliography"/>
        <w:spacing w:after="240"/>
      </w:pPr>
      <w:r w:rsidRPr="009F6910">
        <w:t>209.</w:t>
      </w:r>
      <w:r w:rsidRPr="009F6910">
        <w:tab/>
        <w:t>International Energy Agency. World Energy Outlook 2013. Paris; 2013.</w:t>
      </w:r>
    </w:p>
    <w:p w:rsidR="009F6910" w:rsidRPr="009F6910" w:rsidRDefault="009F6910" w:rsidP="009F6910">
      <w:pPr>
        <w:pStyle w:val="EndNoteBibliography"/>
        <w:spacing w:after="240"/>
      </w:pPr>
      <w:r w:rsidRPr="009F6910">
        <w:t>210.</w:t>
      </w:r>
      <w:r w:rsidRPr="009F6910">
        <w:tab/>
        <w:t>Barrett J, Quéré CL, Lenzen M, Peters G, Roelich K, Wiedmann T. Consumption-Based Emissions Reporting: Memorandum submitted by UK Energy Research Centre (CON 19), 2010.</w:t>
      </w:r>
    </w:p>
    <w:p w:rsidR="009F6910" w:rsidRPr="009F6910" w:rsidRDefault="009F6910" w:rsidP="009F6910">
      <w:pPr>
        <w:pStyle w:val="EndNoteBibliography"/>
        <w:spacing w:after="240"/>
      </w:pPr>
      <w:r w:rsidRPr="009F6910">
        <w:t>211.</w:t>
      </w:r>
      <w:r w:rsidRPr="009F6910">
        <w:tab/>
        <w:t>Blanco G, Gerlagh R, Suh S, et al. Drivers, Trends and Mitigation. In: Edenhofer O, Pichs-Madruga R, Sokona Y, et al., eds. Climate Change 2014: Mitigation of Climate Change Contribution of Working Group III to the Fifth Assessment Report of the Intergovernmental Panel on Climate Change. Cambridge, United Kingdom and New York, NY, USA: Cambridge University Press; 2014.</w:t>
      </w:r>
    </w:p>
    <w:p w:rsidR="009F6910" w:rsidRPr="009F6910" w:rsidRDefault="009F6910" w:rsidP="009F6910">
      <w:pPr>
        <w:pStyle w:val="EndNoteBibliography"/>
        <w:spacing w:after="240"/>
      </w:pPr>
      <w:r w:rsidRPr="009F6910">
        <w:t>212.</w:t>
      </w:r>
      <w:r w:rsidRPr="009F6910">
        <w:tab/>
        <w:t>Bank W. World Development Indicators - GDP per capita (constant 2005 US$), World Bank national accounts data, and OECD National Accounts data files. Washington D.C., 2015.</w:t>
      </w:r>
    </w:p>
    <w:p w:rsidR="009F6910" w:rsidRPr="009F6910" w:rsidRDefault="009F6910" w:rsidP="009F6910">
      <w:pPr>
        <w:pStyle w:val="EndNoteBibliography"/>
        <w:spacing w:after="240"/>
      </w:pPr>
      <w:r w:rsidRPr="009F6910">
        <w:t>213.</w:t>
      </w:r>
      <w:r w:rsidRPr="009F6910">
        <w:tab/>
        <w:t>Bank W. World Development Indicators - CO2 emissions (metric tons per capita). Tennessee, 2015.</w:t>
      </w:r>
    </w:p>
    <w:p w:rsidR="009F6910" w:rsidRPr="009F6910" w:rsidRDefault="009F6910" w:rsidP="009F6910">
      <w:pPr>
        <w:pStyle w:val="EndNoteBibliography"/>
        <w:spacing w:after="240"/>
      </w:pPr>
      <w:r w:rsidRPr="009F6910">
        <w:t>214.</w:t>
      </w:r>
      <w:r w:rsidRPr="009F6910">
        <w:tab/>
        <w:t>Open Working Group proposal for Sustainable Development Goals. New York: United Nations Department of Economic and Social Affairs, Division for Sustainable Development, 2014.</w:t>
      </w:r>
    </w:p>
    <w:p w:rsidR="009F6910" w:rsidRPr="009F6910" w:rsidRDefault="009F6910" w:rsidP="009F6910">
      <w:pPr>
        <w:pStyle w:val="EndNoteBibliography"/>
        <w:spacing w:after="240"/>
      </w:pPr>
      <w:r w:rsidRPr="009F6910">
        <w:t>215.</w:t>
      </w:r>
      <w:r w:rsidRPr="009F6910">
        <w:tab/>
        <w:t xml:space="preserve">Markandya A, Armstrong BG, Hales S, et al. Public health benefits of strategies to reduce greenhouse-gas emissions: low-carbon electricity generation. </w:t>
      </w:r>
      <w:r w:rsidRPr="009F6910">
        <w:rPr>
          <w:i/>
        </w:rPr>
        <w:t>The Lancet</w:t>
      </w:r>
      <w:r w:rsidRPr="009F6910">
        <w:t xml:space="preserve"> 2009; </w:t>
      </w:r>
      <w:r w:rsidRPr="009F6910">
        <w:rPr>
          <w:b/>
        </w:rPr>
        <w:t>374</w:t>
      </w:r>
      <w:r w:rsidRPr="009F6910">
        <w:t>(9706): 2006-15.</w:t>
      </w:r>
    </w:p>
    <w:p w:rsidR="009F6910" w:rsidRPr="009F6910" w:rsidRDefault="009F6910" w:rsidP="009F6910">
      <w:pPr>
        <w:pStyle w:val="EndNoteBibliography"/>
        <w:spacing w:after="240"/>
      </w:pPr>
      <w:r w:rsidRPr="009F6910">
        <w:lastRenderedPageBreak/>
        <w:t>216.</w:t>
      </w:r>
      <w:r w:rsidRPr="009F6910">
        <w:tab/>
        <w:t xml:space="preserve">Markandya A, Wilkinson P. Electricity generation and health. </w:t>
      </w:r>
      <w:r w:rsidRPr="009F6910">
        <w:rPr>
          <w:i/>
        </w:rPr>
        <w:t>Lancet</w:t>
      </w:r>
      <w:r w:rsidRPr="009F6910">
        <w:t xml:space="preserve"> 2007; </w:t>
      </w:r>
      <w:r w:rsidRPr="009F6910">
        <w:rPr>
          <w:b/>
        </w:rPr>
        <w:t>370</w:t>
      </w:r>
      <w:r w:rsidRPr="009F6910">
        <w:t>(9591): 979-90.</w:t>
      </w:r>
    </w:p>
    <w:p w:rsidR="009F6910" w:rsidRPr="009F6910" w:rsidRDefault="009F6910" w:rsidP="009F6910">
      <w:pPr>
        <w:pStyle w:val="EndNoteBibliography"/>
        <w:spacing w:after="240"/>
      </w:pPr>
      <w:r w:rsidRPr="009F6910">
        <w:t>217.</w:t>
      </w:r>
      <w:r w:rsidRPr="009F6910">
        <w:tab/>
        <w:t xml:space="preserve">Wilkinson P, Smith KR, Davies M, et al. Public health benefits of strategies to reduce greenhouse-gas emissions: household energy. </w:t>
      </w:r>
      <w:r w:rsidRPr="009F6910">
        <w:rPr>
          <w:i/>
        </w:rPr>
        <w:t>The Lancet</w:t>
      </w:r>
      <w:r w:rsidRPr="009F6910">
        <w:t xml:space="preserve"> 2009; </w:t>
      </w:r>
      <w:r w:rsidRPr="009F6910">
        <w:rPr>
          <w:b/>
        </w:rPr>
        <w:t>374</w:t>
      </w:r>
      <w:r w:rsidRPr="009F6910">
        <w:t>(9705): 1917-29.</w:t>
      </w:r>
    </w:p>
    <w:p w:rsidR="009F6910" w:rsidRPr="009F6910" w:rsidRDefault="009F6910" w:rsidP="009F6910">
      <w:pPr>
        <w:pStyle w:val="EndNoteBibliography"/>
        <w:spacing w:after="240"/>
      </w:pPr>
      <w:r w:rsidRPr="009F6910">
        <w:t>218.</w:t>
      </w:r>
      <w:r w:rsidRPr="009F6910">
        <w:tab/>
        <w:t xml:space="preserve">Woodcock J, Edwards P, Tonne C, et al. Public health benefits of strategies to reduce greenhouse-gas emissions: urban land transport. </w:t>
      </w:r>
      <w:r w:rsidRPr="009F6910">
        <w:rPr>
          <w:i/>
        </w:rPr>
        <w:t>The Lancet</w:t>
      </w:r>
      <w:r w:rsidRPr="009F6910">
        <w:t xml:space="preserve"> 2009; </w:t>
      </w:r>
      <w:r w:rsidRPr="009F6910">
        <w:rPr>
          <w:b/>
        </w:rPr>
        <w:t>374</w:t>
      </w:r>
      <w:r w:rsidRPr="009F6910">
        <w:t>(9705): 1930-43.</w:t>
      </w:r>
    </w:p>
    <w:p w:rsidR="009F6910" w:rsidRPr="009F6910" w:rsidRDefault="009F6910" w:rsidP="009F6910">
      <w:pPr>
        <w:pStyle w:val="EndNoteBibliography"/>
        <w:spacing w:after="240"/>
      </w:pPr>
      <w:r w:rsidRPr="009F6910">
        <w:t>219.</w:t>
      </w:r>
      <w:r w:rsidRPr="009F6910">
        <w:tab/>
        <w:t xml:space="preserve">Davies M, Oreszczyn T. The unintended consequences of decarbonising the built environment: A UK case study. </w:t>
      </w:r>
      <w:r w:rsidRPr="009F6910">
        <w:rPr>
          <w:i/>
        </w:rPr>
        <w:t>Energy and Buildings</w:t>
      </w:r>
      <w:r w:rsidRPr="009F6910">
        <w:t xml:space="preserve"> 2012; </w:t>
      </w:r>
      <w:r w:rsidRPr="009F6910">
        <w:rPr>
          <w:b/>
        </w:rPr>
        <w:t>46</w:t>
      </w:r>
      <w:r w:rsidRPr="009F6910">
        <w:t>: 80-5.</w:t>
      </w:r>
    </w:p>
    <w:p w:rsidR="009F6910" w:rsidRPr="009F6910" w:rsidRDefault="009F6910" w:rsidP="009F6910">
      <w:pPr>
        <w:pStyle w:val="EndNoteBibliography"/>
        <w:spacing w:after="240"/>
      </w:pPr>
      <w:r w:rsidRPr="009F6910">
        <w:t>220.</w:t>
      </w:r>
      <w:r w:rsidRPr="009F6910">
        <w:tab/>
        <w:t xml:space="preserve">Proust K, Newell B, Brown H, et al. Human health and climate change: leverage points for adaptation in urban environments. </w:t>
      </w:r>
      <w:r w:rsidRPr="009F6910">
        <w:rPr>
          <w:i/>
        </w:rPr>
        <w:t>International journal of environmental research and public health</w:t>
      </w:r>
      <w:r w:rsidRPr="009F6910">
        <w:t xml:space="preserve"> 2012; </w:t>
      </w:r>
      <w:r w:rsidRPr="009F6910">
        <w:rPr>
          <w:b/>
        </w:rPr>
        <w:t>9</w:t>
      </w:r>
      <w:r w:rsidRPr="009F6910">
        <w:t>(6): 2134-58.</w:t>
      </w:r>
    </w:p>
    <w:p w:rsidR="009F6910" w:rsidRPr="009F6910" w:rsidRDefault="009F6910" w:rsidP="009F6910">
      <w:pPr>
        <w:pStyle w:val="EndNoteBibliography"/>
        <w:spacing w:after="240"/>
      </w:pPr>
      <w:r w:rsidRPr="009F6910">
        <w:t>221.</w:t>
      </w:r>
      <w:r w:rsidRPr="009F6910">
        <w:tab/>
        <w:t>Sustainable Development Unit: NHS, Public Health and Social Care. Saving carbon, improving health: NHS carbon reduction strategy. Cambridge, 2009.</w:t>
      </w:r>
    </w:p>
    <w:p w:rsidR="009F6910" w:rsidRPr="009F6910" w:rsidRDefault="009F6910" w:rsidP="009F6910">
      <w:pPr>
        <w:pStyle w:val="EndNoteBibliography"/>
        <w:spacing w:after="240"/>
      </w:pPr>
      <w:r w:rsidRPr="009F6910">
        <w:t>222.</w:t>
      </w:r>
      <w:r w:rsidRPr="009F6910">
        <w:tab/>
        <w:t>UK Sustainable Development Unit. Module on Carbon Hotspots.  Sustainable Development Strategy for the Health and Care System 2014 - 2020. London; 2014.</w:t>
      </w:r>
    </w:p>
    <w:p w:rsidR="009F6910" w:rsidRPr="009F6910" w:rsidRDefault="009F6910" w:rsidP="009F6910">
      <w:pPr>
        <w:pStyle w:val="EndNoteBibliography"/>
        <w:spacing w:after="240"/>
      </w:pPr>
      <w:r w:rsidRPr="009F6910">
        <w:t>223.</w:t>
      </w:r>
      <w:r w:rsidRPr="009F6910">
        <w:tab/>
        <w:t>US Environmental Protection Agency. Inventory of U.S. Greenhouse Gas Emissions and Sinks: 1990-2009. Washington D.C., 2011.</w:t>
      </w:r>
    </w:p>
    <w:p w:rsidR="009F6910" w:rsidRPr="009F6910" w:rsidRDefault="009F6910" w:rsidP="009F6910">
      <w:pPr>
        <w:pStyle w:val="EndNoteBibliography"/>
        <w:spacing w:after="240"/>
      </w:pPr>
      <w:r w:rsidRPr="009F6910">
        <w:t>224.</w:t>
      </w:r>
      <w:r w:rsidRPr="009F6910">
        <w:tab/>
        <w:t xml:space="preserve">Global Green and Healthy Hospitals Network. Greenhouse Gas Emissions Reduction and Availability of Energy-Saving Practices in the Special Context of a Hospital Environment: Yonsei University Health System. 2014. </w:t>
      </w:r>
      <w:hyperlink r:id="rId31" w:history="1">
        <w:r w:rsidRPr="009F6910">
          <w:rPr>
            <w:rStyle w:val="Hyperlink"/>
          </w:rPr>
          <w:t>http://greenhospitals.net/en/case-studies/</w:t>
        </w:r>
      </w:hyperlink>
      <w:r w:rsidRPr="009F6910">
        <w:t xml:space="preserve"> (accessed 2014 7 Dec).</w:t>
      </w:r>
    </w:p>
    <w:p w:rsidR="009F6910" w:rsidRPr="009F6910" w:rsidRDefault="009F6910" w:rsidP="009F6910">
      <w:pPr>
        <w:pStyle w:val="EndNoteBibliography"/>
        <w:spacing w:after="240"/>
      </w:pPr>
      <w:r w:rsidRPr="009F6910">
        <w:t>225.</w:t>
      </w:r>
      <w:r w:rsidRPr="009F6910">
        <w:tab/>
        <w:t xml:space="preserve">Gundersen Health. Gundersen reaches first days of energy independence: First health system in nation to achieve this distinction. 2014. </w:t>
      </w:r>
      <w:hyperlink r:id="rId32" w:history="1">
        <w:r w:rsidRPr="009F6910">
          <w:rPr>
            <w:rStyle w:val="Hyperlink"/>
          </w:rPr>
          <w:t>http://www.gundersenenvision.org/gundersen-reaches-first-days-of-energy-independence</w:t>
        </w:r>
      </w:hyperlink>
      <w:r w:rsidRPr="009F6910">
        <w:t xml:space="preserve"> (accessed 7 Dec 2014).</w:t>
      </w:r>
    </w:p>
    <w:p w:rsidR="009F6910" w:rsidRPr="009F6910" w:rsidRDefault="009F6910" w:rsidP="009F6910">
      <w:pPr>
        <w:pStyle w:val="EndNoteBibliography"/>
        <w:spacing w:after="240"/>
      </w:pPr>
      <w:r w:rsidRPr="009F6910">
        <w:t>226.</w:t>
      </w:r>
      <w:r w:rsidRPr="009F6910">
        <w:tab/>
        <w:t>Sustainable Development Unit: NHS, Public Health and Social Care. A Cross England Health System Statement for the UN Climate Summit. Cambridge, 2014.</w:t>
      </w:r>
    </w:p>
    <w:p w:rsidR="009F6910" w:rsidRPr="009F6910" w:rsidRDefault="009F6910" w:rsidP="009F6910">
      <w:pPr>
        <w:pStyle w:val="EndNoteBibliography"/>
        <w:spacing w:after="240"/>
      </w:pPr>
      <w:r w:rsidRPr="009F6910">
        <w:t>227.</w:t>
      </w:r>
      <w:r w:rsidRPr="009F6910">
        <w:tab/>
        <w:t xml:space="preserve">Jensen H, Keogh-Brown M, Smith R, et al. The importance of health co-benefits in macroeconomic assessments of UK Greenhouse Gas emission reduction strategies. </w:t>
      </w:r>
      <w:r w:rsidRPr="009F6910">
        <w:rPr>
          <w:i/>
        </w:rPr>
        <w:t>Climatic Change</w:t>
      </w:r>
      <w:r w:rsidRPr="009F6910">
        <w:t xml:space="preserve"> 2013; </w:t>
      </w:r>
      <w:r w:rsidRPr="009F6910">
        <w:rPr>
          <w:b/>
        </w:rPr>
        <w:t>121</w:t>
      </w:r>
      <w:r w:rsidRPr="009F6910">
        <w:t>(2): 223-37.</w:t>
      </w:r>
    </w:p>
    <w:p w:rsidR="009F6910" w:rsidRPr="009F6910" w:rsidRDefault="009F6910" w:rsidP="009F6910">
      <w:pPr>
        <w:pStyle w:val="EndNoteBibliography"/>
        <w:spacing w:after="240"/>
      </w:pPr>
      <w:r w:rsidRPr="009F6910">
        <w:t>228.</w:t>
      </w:r>
      <w:r w:rsidRPr="009F6910">
        <w:tab/>
        <w:t xml:space="preserve">West J, Fiore A, Horowitz L. Scenarios of methane emission reductions to 2030: Abatement costs and co-benefits to ozone air quality and human mortality. </w:t>
      </w:r>
      <w:r w:rsidRPr="009F6910">
        <w:rPr>
          <w:i/>
        </w:rPr>
        <w:t>Climatic Change</w:t>
      </w:r>
      <w:r w:rsidRPr="009F6910">
        <w:t xml:space="preserve"> 2012; </w:t>
      </w:r>
      <w:r w:rsidRPr="009F6910">
        <w:rPr>
          <w:b/>
        </w:rPr>
        <w:t>114</w:t>
      </w:r>
      <w:r w:rsidRPr="009F6910">
        <w:t>: 441-61.</w:t>
      </w:r>
    </w:p>
    <w:p w:rsidR="009F6910" w:rsidRPr="009F6910" w:rsidRDefault="009F6910" w:rsidP="009F6910">
      <w:pPr>
        <w:pStyle w:val="EndNoteBibliography"/>
        <w:spacing w:after="240"/>
      </w:pPr>
      <w:r w:rsidRPr="009F6910">
        <w:t>229.</w:t>
      </w:r>
      <w:r w:rsidRPr="009F6910">
        <w:tab/>
        <w:t>Institute for Sustainable Development and International Relations, Sustainable Development Solutions Network. Pathways to deep decarbonization: Interim 2014 report. Washington D.C., 2014.</w:t>
      </w:r>
    </w:p>
    <w:p w:rsidR="009F6910" w:rsidRPr="009F6910" w:rsidRDefault="009F6910" w:rsidP="009F6910">
      <w:pPr>
        <w:pStyle w:val="EndNoteBibliography"/>
        <w:spacing w:after="240"/>
      </w:pPr>
      <w:r w:rsidRPr="009F6910">
        <w:t>230.</w:t>
      </w:r>
      <w:r w:rsidRPr="009F6910">
        <w:tab/>
        <w:t>Clarke L, Jiang K, Akimoto K, et al. Assessing Transformation Pathways. In: Edenhofer O, Pichs-Madruga R, Sokona Y, et al., eds. Climate Change 2014: Mitigation of Climate Change Contribution of Working Group III to the Fifth Assessment Report of the Intergovernmental Panel on Climate Change. Cambridge, United Kingdom and New York, NY, USA: Cambridge University Press; 2014.</w:t>
      </w:r>
    </w:p>
    <w:p w:rsidR="009F6910" w:rsidRPr="009F6910" w:rsidRDefault="009F6910" w:rsidP="009F6910">
      <w:pPr>
        <w:pStyle w:val="EndNoteBibliography"/>
        <w:spacing w:after="240"/>
      </w:pPr>
      <w:r w:rsidRPr="009F6910">
        <w:lastRenderedPageBreak/>
        <w:t>231.</w:t>
      </w:r>
      <w:r w:rsidRPr="009F6910">
        <w:tab/>
        <w:t>Krey V, Masera G, Blanford T, et al. Annex II: Metrics &amp; Methodology. In: Edenhofer O, Pichs-Madruga R, Sokona Y, et al., eds. Climate Change 2014: Mitigation of Climate Change Contribution of Working Group III to the Fifth Assessment Report of the Intergovernmental Panel on Climate Change. Cambridge, United Kingdom and New York, NY, USA: Cambridge University Press; 2014.</w:t>
      </w:r>
    </w:p>
    <w:p w:rsidR="009F6910" w:rsidRPr="009F6910" w:rsidRDefault="009F6910" w:rsidP="009F6910">
      <w:pPr>
        <w:pStyle w:val="EndNoteBibliography"/>
        <w:spacing w:after="240"/>
      </w:pPr>
      <w:r w:rsidRPr="009F6910">
        <w:t>232.</w:t>
      </w:r>
      <w:r w:rsidRPr="009F6910">
        <w:tab/>
        <w:t xml:space="preserve">Mills B, Schleich J. Residential energy-efficient technology adoption, energy conservation, knowledge, and attitudes: An analysis of European countries. </w:t>
      </w:r>
      <w:r w:rsidRPr="009F6910">
        <w:rPr>
          <w:i/>
        </w:rPr>
        <w:t>Energy Policy</w:t>
      </w:r>
      <w:r w:rsidRPr="009F6910">
        <w:t xml:space="preserve"> 2012; </w:t>
      </w:r>
      <w:r w:rsidRPr="009F6910">
        <w:rPr>
          <w:b/>
        </w:rPr>
        <w:t>49</w:t>
      </w:r>
      <w:r w:rsidRPr="009F6910">
        <w:t>: 616–28.</w:t>
      </w:r>
    </w:p>
    <w:p w:rsidR="009F6910" w:rsidRPr="009F6910" w:rsidRDefault="009F6910" w:rsidP="009F6910">
      <w:pPr>
        <w:pStyle w:val="EndNoteBibliography"/>
        <w:spacing w:after="240"/>
      </w:pPr>
      <w:r w:rsidRPr="009F6910">
        <w:t>233.</w:t>
      </w:r>
      <w:r w:rsidRPr="009F6910">
        <w:tab/>
        <w:t xml:space="preserve">Gilligan J, Dietz T, Gardner G, Stern P, Vandenbergh M. The behavioural wedge. </w:t>
      </w:r>
      <w:r w:rsidRPr="009F6910">
        <w:rPr>
          <w:i/>
        </w:rPr>
        <w:t>Significance</w:t>
      </w:r>
      <w:r w:rsidRPr="009F6910">
        <w:t xml:space="preserve"> 2010; </w:t>
      </w:r>
      <w:r w:rsidRPr="009F6910">
        <w:rPr>
          <w:b/>
        </w:rPr>
        <w:t>7</w:t>
      </w:r>
      <w:r w:rsidRPr="009F6910">
        <w:t>(1): 17-20.</w:t>
      </w:r>
    </w:p>
    <w:p w:rsidR="009F6910" w:rsidRPr="009F6910" w:rsidRDefault="009F6910" w:rsidP="009F6910">
      <w:pPr>
        <w:pStyle w:val="EndNoteBibliography"/>
        <w:spacing w:after="240"/>
      </w:pPr>
      <w:r w:rsidRPr="009F6910">
        <w:t>234.</w:t>
      </w:r>
      <w:r w:rsidRPr="009F6910">
        <w:tab/>
        <w:t xml:space="preserve">Mohareb E, Kennedy C. Scenarios of technology adoption towards low-carbon cities. </w:t>
      </w:r>
      <w:r w:rsidRPr="009F6910">
        <w:rPr>
          <w:i/>
        </w:rPr>
        <w:t>Energy Policy</w:t>
      </w:r>
      <w:r w:rsidRPr="009F6910">
        <w:t xml:space="preserve"> 2014; </w:t>
      </w:r>
      <w:r w:rsidRPr="009F6910">
        <w:rPr>
          <w:b/>
        </w:rPr>
        <w:t>66</w:t>
      </w:r>
      <w:r w:rsidRPr="009F6910">
        <w:t>: 685–93.</w:t>
      </w:r>
    </w:p>
    <w:p w:rsidR="009F6910" w:rsidRPr="009F6910" w:rsidRDefault="009F6910" w:rsidP="009F6910">
      <w:pPr>
        <w:pStyle w:val="EndNoteBibliography"/>
        <w:spacing w:after="240"/>
      </w:pPr>
      <w:r w:rsidRPr="009F6910">
        <w:t>235.</w:t>
      </w:r>
      <w:r w:rsidRPr="009F6910">
        <w:tab/>
        <w:t xml:space="preserve">Verbeek P. Ethiek en technologie: moreel actorschap en subjectiviteit in een technologische cultuur. </w:t>
      </w:r>
      <w:r w:rsidRPr="009F6910">
        <w:rPr>
          <w:i/>
        </w:rPr>
        <w:t>Ethische Perspectiven</w:t>
      </w:r>
      <w:r w:rsidRPr="009F6910">
        <w:t xml:space="preserve"> 2006; </w:t>
      </w:r>
      <w:r w:rsidRPr="009F6910">
        <w:rPr>
          <w:b/>
        </w:rPr>
        <w:t>16</w:t>
      </w:r>
      <w:r w:rsidRPr="009F6910">
        <w:t>(3): 267-89.</w:t>
      </w:r>
    </w:p>
    <w:p w:rsidR="009F6910" w:rsidRPr="009F6910" w:rsidRDefault="009F6910" w:rsidP="009F6910">
      <w:pPr>
        <w:pStyle w:val="EndNoteBibliography"/>
        <w:spacing w:after="240"/>
      </w:pPr>
      <w:r w:rsidRPr="009F6910">
        <w:t>236.</w:t>
      </w:r>
      <w:r w:rsidRPr="009F6910">
        <w:tab/>
        <w:t>International Energy Agency. Energy Technology Perspectives 2012. Paris; 2012.</w:t>
      </w:r>
    </w:p>
    <w:p w:rsidR="009F6910" w:rsidRPr="009F6910" w:rsidRDefault="009F6910" w:rsidP="009F6910">
      <w:pPr>
        <w:pStyle w:val="EndNoteBibliography"/>
        <w:spacing w:after="240"/>
      </w:pPr>
      <w:r w:rsidRPr="009F6910">
        <w:t>237.</w:t>
      </w:r>
      <w:r w:rsidRPr="009F6910">
        <w:tab/>
        <w:t>International Energy Agency. Coal Medium-Term Market Report 2012. Paris; 2012.</w:t>
      </w:r>
    </w:p>
    <w:p w:rsidR="009F6910" w:rsidRPr="009F6910" w:rsidRDefault="009F6910" w:rsidP="009F6910">
      <w:pPr>
        <w:pStyle w:val="EndNoteBibliography"/>
        <w:spacing w:after="240"/>
      </w:pPr>
      <w:r w:rsidRPr="009F6910">
        <w:t>238.</w:t>
      </w:r>
      <w:r w:rsidRPr="009F6910">
        <w:tab/>
        <w:t xml:space="preserve">Mills E. Weighing the risks of climate change mitigation strategies. </w:t>
      </w:r>
      <w:r w:rsidRPr="009F6910">
        <w:rPr>
          <w:i/>
        </w:rPr>
        <w:t>Bulletin of the Atomic Scientists</w:t>
      </w:r>
      <w:r w:rsidRPr="009F6910">
        <w:t xml:space="preserve"> 2012; </w:t>
      </w:r>
      <w:r w:rsidRPr="009F6910">
        <w:rPr>
          <w:b/>
        </w:rPr>
        <w:t>68</w:t>
      </w:r>
      <w:r w:rsidRPr="009F6910">
        <w:t>: 67-78.</w:t>
      </w:r>
    </w:p>
    <w:p w:rsidR="009F6910" w:rsidRPr="009F6910" w:rsidRDefault="009F6910" w:rsidP="009F6910">
      <w:pPr>
        <w:pStyle w:val="EndNoteBibliography"/>
        <w:spacing w:after="240"/>
      </w:pPr>
      <w:r w:rsidRPr="009F6910">
        <w:t>239.</w:t>
      </w:r>
      <w:r w:rsidRPr="009F6910">
        <w:tab/>
        <w:t>Elwell C, Biddulph P, Lowe R, Oreszczyn T. Determining the impact of regulatory policy on UK gas use using Bayesian analysis on publicly available data. (Forthcoming).</w:t>
      </w:r>
    </w:p>
    <w:p w:rsidR="009F6910" w:rsidRPr="009F6910" w:rsidRDefault="009F6910" w:rsidP="009F6910">
      <w:pPr>
        <w:pStyle w:val="EndNoteBibliography"/>
        <w:spacing w:after="240"/>
      </w:pPr>
      <w:r w:rsidRPr="009F6910">
        <w:t>240.</w:t>
      </w:r>
      <w:r w:rsidRPr="009F6910">
        <w:tab/>
        <w:t xml:space="preserve">Lowe R. Defining and Meeting the Carbon Constraints of the 21st Century. </w:t>
      </w:r>
      <w:r w:rsidRPr="009F6910">
        <w:rPr>
          <w:i/>
        </w:rPr>
        <w:t>Building Research &amp; Information</w:t>
      </w:r>
      <w:r w:rsidRPr="009F6910">
        <w:t xml:space="preserve"> 2000; </w:t>
      </w:r>
      <w:r w:rsidRPr="009F6910">
        <w:rPr>
          <w:b/>
        </w:rPr>
        <w:t>28</w:t>
      </w:r>
      <w:r w:rsidRPr="009F6910">
        <w:t>(3): 159-75.</w:t>
      </w:r>
    </w:p>
    <w:p w:rsidR="009F6910" w:rsidRPr="009F6910" w:rsidRDefault="009F6910" w:rsidP="009F6910">
      <w:pPr>
        <w:pStyle w:val="EndNoteBibliography"/>
        <w:spacing w:after="240"/>
      </w:pPr>
      <w:r w:rsidRPr="009F6910">
        <w:t>241.</w:t>
      </w:r>
      <w:r w:rsidRPr="009F6910">
        <w:tab/>
        <w:t>Geels F. Technological Transitions and System Innovations: A Co-evolutionary and Socio-Technical Analysis. Cheltenham: Edward Elgar; 2005.</w:t>
      </w:r>
    </w:p>
    <w:p w:rsidR="009F6910" w:rsidRPr="009F6910" w:rsidRDefault="009F6910" w:rsidP="009F6910">
      <w:pPr>
        <w:pStyle w:val="EndNoteBibliography"/>
        <w:spacing w:after="240"/>
      </w:pPr>
      <w:r w:rsidRPr="009F6910">
        <w:t>242.</w:t>
      </w:r>
      <w:r w:rsidRPr="009F6910">
        <w:tab/>
        <w:t xml:space="preserve">Dechezlepretre A, Glachant M, Hascic I, Johnstone N, Meniere Y. Invention and Transfer of Climate Change-Mitigation Technologies: A Global Analysis. </w:t>
      </w:r>
      <w:r w:rsidRPr="009F6910">
        <w:rPr>
          <w:i/>
        </w:rPr>
        <w:t>Review of Environmental Economics and Policy</w:t>
      </w:r>
      <w:r w:rsidRPr="009F6910">
        <w:t xml:space="preserve"> 2011; </w:t>
      </w:r>
      <w:r w:rsidRPr="009F6910">
        <w:rPr>
          <w:b/>
        </w:rPr>
        <w:t>5</w:t>
      </w:r>
      <w:r w:rsidRPr="009F6910">
        <w:t>(1): 109-30.</w:t>
      </w:r>
    </w:p>
    <w:p w:rsidR="009F6910" w:rsidRPr="009F6910" w:rsidRDefault="009F6910" w:rsidP="009F6910">
      <w:pPr>
        <w:pStyle w:val="EndNoteBibliography"/>
        <w:spacing w:after="240"/>
      </w:pPr>
      <w:r w:rsidRPr="009F6910">
        <w:t>243.</w:t>
      </w:r>
      <w:r w:rsidRPr="009F6910">
        <w:tab/>
        <w:t xml:space="preserve">Karakosta C, Doukas H, Psarras J. Technology transfer through climate change: Setting a sustainable energy pattern. </w:t>
      </w:r>
      <w:r w:rsidRPr="009F6910">
        <w:rPr>
          <w:i/>
        </w:rPr>
        <w:t>Renewable and Sustainable Energy Reviews</w:t>
      </w:r>
      <w:r w:rsidRPr="009F6910">
        <w:t xml:space="preserve"> 2010; </w:t>
      </w:r>
      <w:r w:rsidRPr="009F6910">
        <w:rPr>
          <w:b/>
        </w:rPr>
        <w:t>14</w:t>
      </w:r>
      <w:r w:rsidRPr="009F6910">
        <w:t>(6): 1546-57.</w:t>
      </w:r>
    </w:p>
    <w:p w:rsidR="009F6910" w:rsidRPr="009F6910" w:rsidRDefault="009F6910" w:rsidP="009F6910">
      <w:pPr>
        <w:pStyle w:val="EndNoteBibliography"/>
        <w:spacing w:after="240"/>
      </w:pPr>
      <w:r w:rsidRPr="009F6910">
        <w:t>244.</w:t>
      </w:r>
      <w:r w:rsidRPr="009F6910">
        <w:tab/>
        <w:t xml:space="preserve">Jakob M, Steckel J. How climate change mitigation could harm development in poor countries. </w:t>
      </w:r>
      <w:r w:rsidRPr="009F6910">
        <w:rPr>
          <w:i/>
        </w:rPr>
        <w:t>Wiley Interdisciplinary Reviews: Climate Change</w:t>
      </w:r>
      <w:r w:rsidRPr="009F6910">
        <w:t xml:space="preserve"> 2014; </w:t>
      </w:r>
      <w:r w:rsidRPr="009F6910">
        <w:rPr>
          <w:b/>
        </w:rPr>
        <w:t>5</w:t>
      </w:r>
      <w:r w:rsidRPr="009F6910">
        <w:t>(2): 161-8.</w:t>
      </w:r>
    </w:p>
    <w:p w:rsidR="009F6910" w:rsidRPr="009F6910" w:rsidRDefault="009F6910" w:rsidP="009F6910">
      <w:pPr>
        <w:pStyle w:val="EndNoteBibliography"/>
        <w:spacing w:after="240"/>
      </w:pPr>
      <w:r w:rsidRPr="009F6910">
        <w:t>245.</w:t>
      </w:r>
      <w:r w:rsidRPr="009F6910">
        <w:tab/>
        <w:t>Chambwera M, Heal G, Dubeux C, et al. Economics of adaptation. In: Field CB, Barros VR, Dokken DJ, et al., eds. Climate Change 2014: Impacts, Adaptation, and Vulnerability Part A: Global and Sectoral Aspects Contribution of Working Group II to the Fifth Assessment Report of the Intergovernmental Panel of Climate Change. Cambridge, United Kingdom and New York, NY, USA: Cambridge University Press; 2014: 945-77.</w:t>
      </w:r>
    </w:p>
    <w:p w:rsidR="009F6910" w:rsidRPr="009F6910" w:rsidRDefault="009F6910" w:rsidP="009F6910">
      <w:pPr>
        <w:pStyle w:val="EndNoteBibliography"/>
        <w:spacing w:after="240"/>
      </w:pPr>
      <w:r w:rsidRPr="009F6910">
        <w:t>246.</w:t>
      </w:r>
      <w:r w:rsidRPr="009F6910">
        <w:tab/>
        <w:t xml:space="preserve">Webster PJ. Meteorology: Improve weather forecasts for the developing world. </w:t>
      </w:r>
      <w:r w:rsidRPr="009F6910">
        <w:rPr>
          <w:i/>
        </w:rPr>
        <w:t>Nature</w:t>
      </w:r>
      <w:r w:rsidRPr="009F6910">
        <w:t xml:space="preserve"> 2013; </w:t>
      </w:r>
      <w:r w:rsidRPr="009F6910">
        <w:rPr>
          <w:b/>
        </w:rPr>
        <w:t>493</w:t>
      </w:r>
      <w:r w:rsidRPr="009F6910">
        <w:t>(7430): 17-9.</w:t>
      </w:r>
    </w:p>
    <w:p w:rsidR="009F6910" w:rsidRPr="009F6910" w:rsidRDefault="009F6910" w:rsidP="009F6910">
      <w:pPr>
        <w:pStyle w:val="EndNoteBibliography"/>
        <w:spacing w:after="240"/>
      </w:pPr>
      <w:r w:rsidRPr="009F6910">
        <w:lastRenderedPageBreak/>
        <w:t>247.</w:t>
      </w:r>
      <w:r w:rsidRPr="009F6910">
        <w:tab/>
        <w:t>World Health Organization Regional Office for Europe. Climate Change and Health: a tool to estimate health and adaptation costs. Copenhagen, 2013.</w:t>
      </w:r>
    </w:p>
    <w:p w:rsidR="009F6910" w:rsidRPr="009F6910" w:rsidRDefault="009F6910" w:rsidP="009F6910">
      <w:pPr>
        <w:pStyle w:val="EndNoteBibliography"/>
        <w:spacing w:after="240"/>
      </w:pPr>
      <w:r w:rsidRPr="009F6910">
        <w:t>248.</w:t>
      </w:r>
      <w:r w:rsidRPr="009F6910">
        <w:tab/>
        <w:t>World Health Organization Regional Office for Europe. Climate, Environment and Health Action Plan and Information System: Policy Monitoring and Assessment. Copenhagen, 2011.</w:t>
      </w:r>
    </w:p>
    <w:p w:rsidR="009F6910" w:rsidRPr="009F6910" w:rsidRDefault="009F6910" w:rsidP="009F6910">
      <w:pPr>
        <w:pStyle w:val="EndNoteBibliography"/>
        <w:spacing w:after="240"/>
      </w:pPr>
      <w:r w:rsidRPr="009F6910">
        <w:t>249.</w:t>
      </w:r>
      <w:r w:rsidRPr="009F6910">
        <w:tab/>
        <w:t xml:space="preserve">World Health Organization. Global Health Expenditure Database. 2014. </w:t>
      </w:r>
      <w:hyperlink r:id="rId33" w:history="1">
        <w:r w:rsidRPr="009F6910">
          <w:rPr>
            <w:rStyle w:val="Hyperlink"/>
          </w:rPr>
          <w:t>http://apps.who.int/nha/database/World_Map/Index/en?id=REPORT_4_WORLD_MAPS&amp;mapType=3&amp;ws=0</w:t>
        </w:r>
      </w:hyperlink>
      <w:r w:rsidRPr="009F6910">
        <w:t xml:space="preserve"> (accessed 22 Dec 2014).</w:t>
      </w:r>
    </w:p>
    <w:p w:rsidR="009F6910" w:rsidRPr="009F6910" w:rsidRDefault="009F6910" w:rsidP="009F6910">
      <w:pPr>
        <w:pStyle w:val="EndNoteBibliography"/>
        <w:spacing w:after="240"/>
      </w:pPr>
      <w:r w:rsidRPr="009F6910">
        <w:t>250.</w:t>
      </w:r>
      <w:r w:rsidRPr="009F6910">
        <w:tab/>
        <w:t xml:space="preserve">World Health Organization. World Health Statistics 2014. </w:t>
      </w:r>
      <w:hyperlink r:id="rId34" w:history="1">
        <w:r w:rsidRPr="009F6910">
          <w:rPr>
            <w:rStyle w:val="Hyperlink"/>
          </w:rPr>
          <w:t>http://www.who.int/mediacentre/news/releases/2014/world-health-statistics-2014/en/</w:t>
        </w:r>
      </w:hyperlink>
      <w:r w:rsidRPr="009F6910">
        <w:t xml:space="preserve"> (accessed 7 Sept 2014).</w:t>
      </w:r>
    </w:p>
    <w:p w:rsidR="009F6910" w:rsidRPr="009F6910" w:rsidRDefault="009F6910" w:rsidP="009F6910">
      <w:pPr>
        <w:pStyle w:val="EndNoteBibliography"/>
        <w:spacing w:after="240"/>
      </w:pPr>
      <w:r w:rsidRPr="009F6910">
        <w:t>251.</w:t>
      </w:r>
      <w:r w:rsidRPr="009F6910">
        <w:tab/>
        <w:t>Organisation of Economic Co-operation and Development. The Cost of Air Pollution: Health Impacts of Road Transport. Paris, 2014.</w:t>
      </w:r>
    </w:p>
    <w:p w:rsidR="009F6910" w:rsidRPr="009F6910" w:rsidRDefault="009F6910" w:rsidP="009F6910">
      <w:pPr>
        <w:pStyle w:val="EndNoteBibliography"/>
        <w:spacing w:after="240"/>
      </w:pPr>
      <w:r w:rsidRPr="009F6910">
        <w:t>252.</w:t>
      </w:r>
      <w:r w:rsidRPr="009F6910">
        <w:tab/>
        <w:t>European Commission. Communication from the Commission to the European Parliament, the Council, the European Economic and Social Committee and the Committee of the Regions: A Roadmap for Moving to a Competitive Low Carbon Economy in 2050. Brussels; 2011.</w:t>
      </w:r>
    </w:p>
    <w:p w:rsidR="009F6910" w:rsidRPr="009F6910" w:rsidRDefault="009F6910" w:rsidP="009F6910">
      <w:pPr>
        <w:pStyle w:val="EndNoteBibliography"/>
        <w:spacing w:after="240"/>
      </w:pPr>
      <w:r w:rsidRPr="009F6910">
        <w:t>253.</w:t>
      </w:r>
      <w:r w:rsidRPr="009F6910">
        <w:tab/>
        <w:t>International Renewable Energy Agency. REmap 2030: A Renewable Energy Roadmap. Abu Dhabi; 2014.</w:t>
      </w:r>
    </w:p>
    <w:p w:rsidR="009F6910" w:rsidRPr="009F6910" w:rsidRDefault="009F6910" w:rsidP="009F6910">
      <w:pPr>
        <w:pStyle w:val="EndNoteBibliography"/>
        <w:spacing w:after="240"/>
      </w:pPr>
      <w:r w:rsidRPr="009F6910">
        <w:t>254.</w:t>
      </w:r>
      <w:r w:rsidRPr="009F6910">
        <w:tab/>
        <w:t xml:space="preserve">West J, Smith S, Silva R, et al. Co-benefits of Global Greenhouse Gas Mitigation for Future Air Quality and Human Health. </w:t>
      </w:r>
      <w:r w:rsidRPr="009F6910">
        <w:rPr>
          <w:i/>
        </w:rPr>
        <w:t>Nature Climate Change</w:t>
      </w:r>
      <w:r w:rsidRPr="009F6910">
        <w:t xml:space="preserve"> 2013; </w:t>
      </w:r>
      <w:r w:rsidRPr="009F6910">
        <w:rPr>
          <w:b/>
        </w:rPr>
        <w:t>3</w:t>
      </w:r>
      <w:r w:rsidRPr="009F6910">
        <w:t>(10): 885-9.</w:t>
      </w:r>
    </w:p>
    <w:p w:rsidR="009F6910" w:rsidRPr="009F6910" w:rsidRDefault="009F6910" w:rsidP="009F6910">
      <w:pPr>
        <w:pStyle w:val="EndNoteBibliography"/>
        <w:spacing w:after="240"/>
      </w:pPr>
      <w:r w:rsidRPr="009F6910">
        <w:t>255.</w:t>
      </w:r>
      <w:r w:rsidRPr="009F6910">
        <w:tab/>
        <w:t xml:space="preserve">Thompson T, Rausch S, Saari R, Selin N. A systems approach to evaluating the air quality co-benefits of US carbon policies. </w:t>
      </w:r>
      <w:r w:rsidRPr="009F6910">
        <w:rPr>
          <w:i/>
        </w:rPr>
        <w:t>Nature Clim Change</w:t>
      </w:r>
      <w:r w:rsidRPr="009F6910">
        <w:t xml:space="preserve"> 2014; </w:t>
      </w:r>
      <w:r w:rsidRPr="009F6910">
        <w:rPr>
          <w:b/>
        </w:rPr>
        <w:t>4</w:t>
      </w:r>
      <w:r w:rsidRPr="009F6910">
        <w:t>: 917-23.</w:t>
      </w:r>
    </w:p>
    <w:p w:rsidR="009F6910" w:rsidRPr="009F6910" w:rsidRDefault="009F6910" w:rsidP="009F6910">
      <w:pPr>
        <w:pStyle w:val="EndNoteBibliography"/>
        <w:spacing w:after="240"/>
      </w:pPr>
      <w:r w:rsidRPr="009F6910">
        <w:t>256.</w:t>
      </w:r>
      <w:r w:rsidRPr="009F6910">
        <w:tab/>
        <w:t xml:space="preserve">Patz J, Frumkin H, Holloway T, Vimont D, Haines A. Climate Change: Challenges and Opportunities for Global Health. </w:t>
      </w:r>
      <w:r w:rsidRPr="009F6910">
        <w:rPr>
          <w:i/>
        </w:rPr>
        <w:t>Journal of the American Medical Association</w:t>
      </w:r>
      <w:r w:rsidRPr="009F6910">
        <w:t xml:space="preserve"> 2014; </w:t>
      </w:r>
      <w:r w:rsidRPr="009F6910">
        <w:rPr>
          <w:b/>
        </w:rPr>
        <w:t>312</w:t>
      </w:r>
      <w:r w:rsidRPr="009F6910">
        <w:t>(15): 1565-80.</w:t>
      </w:r>
    </w:p>
    <w:p w:rsidR="009F6910" w:rsidRPr="009F6910" w:rsidRDefault="009F6910" w:rsidP="009F6910">
      <w:pPr>
        <w:pStyle w:val="EndNoteBibliography"/>
        <w:spacing w:after="240"/>
      </w:pPr>
      <w:r w:rsidRPr="009F6910">
        <w:t>257.</w:t>
      </w:r>
      <w:r w:rsidRPr="009F6910">
        <w:tab/>
        <w:t xml:space="preserve">Liddell C, Morris C. Fuel poverty and human health: A review of recent evidence. </w:t>
      </w:r>
      <w:r w:rsidRPr="009F6910">
        <w:rPr>
          <w:i/>
        </w:rPr>
        <w:t>Energy Policy</w:t>
      </w:r>
      <w:r w:rsidRPr="009F6910">
        <w:t xml:space="preserve"> 2010; </w:t>
      </w:r>
      <w:r w:rsidRPr="009F6910">
        <w:rPr>
          <w:b/>
        </w:rPr>
        <w:t>38</w:t>
      </w:r>
      <w:r w:rsidRPr="009F6910">
        <w:t>(6): 2987-97.</w:t>
      </w:r>
    </w:p>
    <w:p w:rsidR="009F6910" w:rsidRPr="009F6910" w:rsidRDefault="009F6910" w:rsidP="009F6910">
      <w:pPr>
        <w:pStyle w:val="EndNoteBibliography"/>
        <w:spacing w:after="240"/>
      </w:pPr>
      <w:r w:rsidRPr="009F6910">
        <w:t>258.</w:t>
      </w:r>
      <w:r w:rsidRPr="009F6910">
        <w:tab/>
        <w:t>Nicol S, Roys M, Davidson M, Ormandy D, Ambrose P. Quantifying the Economic Cost of Unhealthy Housing - A Case Study from England. In: Braubach M, Jacobs, D.E. and Ormandy, D. , ed. Environmental Burden of Disease Associated with Inadequate Housing: A Method Guide to the Quantification of Health Effects of Selected Housing Risks in the WHO European Region. Copenhagen, Denmark: WHO Regional Office for Europe; 2011: 197-208.</w:t>
      </w:r>
    </w:p>
    <w:p w:rsidR="009F6910" w:rsidRPr="009F6910" w:rsidRDefault="009F6910" w:rsidP="009F6910">
      <w:pPr>
        <w:pStyle w:val="EndNoteBibliography"/>
        <w:spacing w:after="240"/>
      </w:pPr>
      <w:r w:rsidRPr="009F6910">
        <w:t>259.</w:t>
      </w:r>
      <w:r w:rsidRPr="009F6910">
        <w:tab/>
        <w:t>Copenhagen Economics. Multiple Benefits of Investing in Energy Efficient Renovation of Buildings: Impact on Public Finances. Copenhagen; 2012.</w:t>
      </w:r>
    </w:p>
    <w:p w:rsidR="009F6910" w:rsidRPr="009F6910" w:rsidRDefault="009F6910" w:rsidP="009F6910">
      <w:pPr>
        <w:pStyle w:val="EndNoteBibliography"/>
        <w:spacing w:after="240"/>
      </w:pPr>
      <w:r w:rsidRPr="009F6910">
        <w:t>260.</w:t>
      </w:r>
      <w:r w:rsidRPr="009F6910">
        <w:tab/>
        <w:t>International Energy Agency. World Energy Outlook. Paris, 2012.</w:t>
      </w:r>
    </w:p>
    <w:p w:rsidR="009F6910" w:rsidRPr="009F6910" w:rsidRDefault="009F6910" w:rsidP="009F6910">
      <w:pPr>
        <w:pStyle w:val="EndNoteBibliography"/>
        <w:spacing w:after="240"/>
      </w:pPr>
      <w:r w:rsidRPr="009F6910">
        <w:t>261.</w:t>
      </w:r>
      <w:r w:rsidRPr="009F6910">
        <w:tab/>
        <w:t>New Climate Economy. Better Growth, Better Climate. New York: The Global Commission on the Economy and Climate, 2014.</w:t>
      </w:r>
    </w:p>
    <w:p w:rsidR="009F6910" w:rsidRPr="009F6910" w:rsidRDefault="009F6910" w:rsidP="009F6910">
      <w:pPr>
        <w:pStyle w:val="EndNoteBibliography"/>
        <w:spacing w:after="240"/>
      </w:pPr>
      <w:r w:rsidRPr="009F6910">
        <w:t>262.</w:t>
      </w:r>
      <w:r w:rsidRPr="009F6910">
        <w:tab/>
        <w:t>International Energy Agency. World Energy Investment Outlook. Paris; 2014.</w:t>
      </w:r>
    </w:p>
    <w:p w:rsidR="009F6910" w:rsidRPr="009F6910" w:rsidRDefault="009F6910" w:rsidP="009F6910">
      <w:pPr>
        <w:pStyle w:val="EndNoteBibliography"/>
        <w:spacing w:after="240"/>
      </w:pPr>
      <w:r w:rsidRPr="009F6910">
        <w:lastRenderedPageBreak/>
        <w:t>263.</w:t>
      </w:r>
      <w:r w:rsidRPr="009F6910">
        <w:tab/>
        <w:t>Buchner B, Herve-Mignucci M, Trabacchi C, et al. The Global Landscape of Climate Finance. San Francisco: Climate Policy Initiative, 2013.</w:t>
      </w:r>
    </w:p>
    <w:p w:rsidR="009F6910" w:rsidRPr="009F6910" w:rsidRDefault="009F6910" w:rsidP="009F6910">
      <w:pPr>
        <w:pStyle w:val="EndNoteBibliography"/>
        <w:spacing w:after="240"/>
      </w:pPr>
      <w:r w:rsidRPr="009F6910">
        <w:t>264.</w:t>
      </w:r>
      <w:r w:rsidRPr="009F6910">
        <w:tab/>
        <w:t xml:space="preserve">Watkiss P, Downing T. The social cost of carbon: Valuation estimates and their use in UK policy. </w:t>
      </w:r>
      <w:r w:rsidRPr="009F6910">
        <w:rPr>
          <w:i/>
        </w:rPr>
        <w:t>The Integrated Assessment Journal</w:t>
      </w:r>
      <w:r w:rsidRPr="009F6910">
        <w:t xml:space="preserve"> 2008; </w:t>
      </w:r>
      <w:r w:rsidRPr="009F6910">
        <w:rPr>
          <w:b/>
        </w:rPr>
        <w:t>8</w:t>
      </w:r>
      <w:r w:rsidRPr="009F6910">
        <w:t>(1): 85-105.</w:t>
      </w:r>
    </w:p>
    <w:p w:rsidR="009F6910" w:rsidRPr="009F6910" w:rsidRDefault="009F6910" w:rsidP="009F6910">
      <w:pPr>
        <w:pStyle w:val="EndNoteBibliography"/>
        <w:spacing w:after="240"/>
      </w:pPr>
      <w:r w:rsidRPr="009F6910">
        <w:t>265.</w:t>
      </w:r>
      <w:r w:rsidRPr="009F6910">
        <w:tab/>
        <w:t>Grubb M. Planetary Economics: Energy, Climate Change and the Three Domains of Sustainable Development. London: Routledge; 2014.</w:t>
      </w:r>
    </w:p>
    <w:p w:rsidR="009F6910" w:rsidRPr="009F6910" w:rsidRDefault="009F6910" w:rsidP="009F6910">
      <w:pPr>
        <w:pStyle w:val="EndNoteBibliography"/>
        <w:spacing w:after="240"/>
      </w:pPr>
      <w:r w:rsidRPr="009F6910">
        <w:t>266.</w:t>
      </w:r>
      <w:r w:rsidRPr="009F6910">
        <w:tab/>
        <w:t>Arent DJ, Tol RSJ, Faust E, et al. Key economic sectors and services. In: Field CB, Barros VR, Dokken DJ, et al., eds. Climate Change 2014: Impacts, Adaptation, and Vulnerability Part A: Global and Sectoral Aspects Contribution of Working Group II to the Fifth Assessment Report of the Intergovernmental Panel of Climate Change. Cambridge, United Kingdom and New York, NY, USA: Cambridge University Press; 2014: 659-708.</w:t>
      </w:r>
    </w:p>
    <w:p w:rsidR="009F6910" w:rsidRPr="009F6910" w:rsidRDefault="009F6910" w:rsidP="009F6910">
      <w:pPr>
        <w:pStyle w:val="EndNoteBibliography"/>
        <w:spacing w:after="240"/>
      </w:pPr>
      <w:r w:rsidRPr="009F6910">
        <w:t>267.</w:t>
      </w:r>
      <w:r w:rsidRPr="009F6910">
        <w:tab/>
        <w:t>Stern N. Stern Review on the Economics of Climate Change. London: HM Treasury, 2006.</w:t>
      </w:r>
    </w:p>
    <w:p w:rsidR="009F6910" w:rsidRPr="009F6910" w:rsidRDefault="009F6910" w:rsidP="009F6910">
      <w:pPr>
        <w:pStyle w:val="EndNoteBibliography"/>
        <w:spacing w:after="240"/>
      </w:pPr>
      <w:r w:rsidRPr="009F6910">
        <w:t>268.</w:t>
      </w:r>
      <w:r w:rsidRPr="009F6910">
        <w:tab/>
        <w:t xml:space="preserve">Nordhaus W. A Review of the Stern Review on the Economics of Climate Change. </w:t>
      </w:r>
      <w:r w:rsidRPr="009F6910">
        <w:rPr>
          <w:i/>
        </w:rPr>
        <w:t>Journal of Economic Literature</w:t>
      </w:r>
      <w:r w:rsidRPr="009F6910">
        <w:t xml:space="preserve"> 2007; </w:t>
      </w:r>
      <w:r w:rsidRPr="009F6910">
        <w:rPr>
          <w:b/>
        </w:rPr>
        <w:t>XLV</w:t>
      </w:r>
      <w:r w:rsidRPr="009F6910">
        <w:t>: 686–702.</w:t>
      </w:r>
    </w:p>
    <w:p w:rsidR="009F6910" w:rsidRPr="009F6910" w:rsidRDefault="009F6910" w:rsidP="009F6910">
      <w:pPr>
        <w:pStyle w:val="EndNoteBibliography"/>
        <w:spacing w:after="240"/>
      </w:pPr>
      <w:r w:rsidRPr="009F6910">
        <w:t>269.</w:t>
      </w:r>
      <w:r w:rsidRPr="009F6910">
        <w:tab/>
        <w:t xml:space="preserve">Weitzmann M. Fat-Tailed Uncertainty in the Economics of Catastrophic Climate Change. </w:t>
      </w:r>
      <w:r w:rsidRPr="009F6910">
        <w:rPr>
          <w:i/>
        </w:rPr>
        <w:t>Review of Environmental Economics and Policy</w:t>
      </w:r>
      <w:r w:rsidRPr="009F6910">
        <w:t xml:space="preserve"> 2011; </w:t>
      </w:r>
      <w:r w:rsidRPr="009F6910">
        <w:rPr>
          <w:b/>
        </w:rPr>
        <w:t>5</w:t>
      </w:r>
      <w:r w:rsidRPr="009F6910">
        <w:t>(2): 275-92.</w:t>
      </w:r>
    </w:p>
    <w:p w:rsidR="009F6910" w:rsidRPr="009F6910" w:rsidRDefault="009F6910" w:rsidP="009F6910">
      <w:pPr>
        <w:pStyle w:val="EndNoteBibliography"/>
        <w:spacing w:after="240"/>
      </w:pPr>
      <w:r w:rsidRPr="009F6910">
        <w:t>270.</w:t>
      </w:r>
      <w:r w:rsidRPr="009F6910">
        <w:tab/>
        <w:t xml:space="preserve">Stern N. The Structure of Economic Modeling of the Potential Impacts of Climate Change: Grafting Gross Underestimation of Risk onto Already Narrow Science Models. </w:t>
      </w:r>
      <w:r w:rsidRPr="009F6910">
        <w:rPr>
          <w:i/>
        </w:rPr>
        <w:t>Journal of Economic Literature</w:t>
      </w:r>
      <w:r w:rsidRPr="009F6910">
        <w:t xml:space="preserve"> 2013; </w:t>
      </w:r>
      <w:r w:rsidRPr="009F6910">
        <w:rPr>
          <w:b/>
        </w:rPr>
        <w:t>51</w:t>
      </w:r>
      <w:r w:rsidRPr="009F6910">
        <w:t>(3): 838-59.</w:t>
      </w:r>
    </w:p>
    <w:p w:rsidR="009F6910" w:rsidRPr="009F6910" w:rsidRDefault="009F6910" w:rsidP="009F6910">
      <w:pPr>
        <w:pStyle w:val="EndNoteBibliography"/>
        <w:spacing w:after="240"/>
      </w:pPr>
      <w:r w:rsidRPr="009F6910">
        <w:t>271.</w:t>
      </w:r>
      <w:r w:rsidRPr="009F6910">
        <w:tab/>
        <w:t xml:space="preserve">Goulder L, Williams R. The Choice of Discount Rate for Climate Change Policy Evaluation. </w:t>
      </w:r>
      <w:r w:rsidRPr="009F6910">
        <w:rPr>
          <w:i/>
        </w:rPr>
        <w:t>Climate Change Economics</w:t>
      </w:r>
      <w:r w:rsidRPr="009F6910">
        <w:t xml:space="preserve"> 2012; </w:t>
      </w:r>
      <w:r w:rsidRPr="009F6910">
        <w:rPr>
          <w:b/>
        </w:rPr>
        <w:t>3</w:t>
      </w:r>
      <w:r w:rsidRPr="009F6910">
        <w:t>(4): 18.</w:t>
      </w:r>
    </w:p>
    <w:p w:rsidR="009F6910" w:rsidRPr="009F6910" w:rsidRDefault="009F6910" w:rsidP="009F6910">
      <w:pPr>
        <w:pStyle w:val="EndNoteBibliography"/>
        <w:spacing w:after="240"/>
      </w:pPr>
      <w:r w:rsidRPr="009F6910">
        <w:t>272.</w:t>
      </w:r>
      <w:r w:rsidRPr="009F6910">
        <w:tab/>
        <w:t>International Energy Agency. Mind the Gap: Quantifying Principal-Agent Problems in Energy Efficiency. Paris; 2007.</w:t>
      </w:r>
    </w:p>
    <w:p w:rsidR="009F6910" w:rsidRPr="009F6910" w:rsidRDefault="009F6910" w:rsidP="009F6910">
      <w:pPr>
        <w:pStyle w:val="EndNoteBibliography"/>
        <w:spacing w:after="240"/>
      </w:pPr>
      <w:r w:rsidRPr="009F6910">
        <w:t>273.</w:t>
      </w:r>
      <w:r w:rsidRPr="009F6910">
        <w:tab/>
        <w:t>European Commission. Energy Economic Developments in Europe: European Economy. Brussels; 2014.</w:t>
      </w:r>
    </w:p>
    <w:p w:rsidR="009F6910" w:rsidRPr="009F6910" w:rsidRDefault="009F6910" w:rsidP="009F6910">
      <w:pPr>
        <w:pStyle w:val="EndNoteBibliography"/>
        <w:spacing w:after="240"/>
      </w:pPr>
      <w:r w:rsidRPr="009F6910">
        <w:t>274.</w:t>
      </w:r>
      <w:r w:rsidRPr="009F6910">
        <w:tab/>
        <w:t>Capros P, De Vita A, Tasios D, et al. EU Energy, Transport and GHG Emissions: Trends to 2050 – Reference Scenario: European Commission, 2013.</w:t>
      </w:r>
    </w:p>
    <w:p w:rsidR="009F6910" w:rsidRPr="009F6910" w:rsidRDefault="009F6910" w:rsidP="009F6910">
      <w:pPr>
        <w:pStyle w:val="EndNoteBibliography"/>
        <w:spacing w:after="240"/>
      </w:pPr>
      <w:r w:rsidRPr="009F6910">
        <w:t>275.</w:t>
      </w:r>
      <w:r w:rsidRPr="009F6910">
        <w:tab/>
        <w:t xml:space="preserve">Sovereign Wealth Funds Institute. Fund Rankings 2013. </w:t>
      </w:r>
      <w:hyperlink r:id="rId35" w:history="1">
        <w:r w:rsidRPr="009F6910">
          <w:rPr>
            <w:rStyle w:val="Hyperlink"/>
          </w:rPr>
          <w:t>http://www.swfinstitute.org/fund-rankings/</w:t>
        </w:r>
      </w:hyperlink>
      <w:r w:rsidRPr="009F6910">
        <w:t xml:space="preserve"> (accessed 25 Aug 2014).</w:t>
      </w:r>
    </w:p>
    <w:p w:rsidR="009F6910" w:rsidRPr="009F6910" w:rsidRDefault="009F6910" w:rsidP="009F6910">
      <w:pPr>
        <w:pStyle w:val="EndNoteBibliography"/>
        <w:spacing w:after="240"/>
      </w:pPr>
      <w:r w:rsidRPr="009F6910">
        <w:t>276.</w:t>
      </w:r>
      <w:r w:rsidRPr="009F6910">
        <w:tab/>
        <w:t>Fulton M, Capalino R. Investing in the Clean Trillion: Closing the Clean Energy Investment Gap. Boston: Ceres; 2014.</w:t>
      </w:r>
    </w:p>
    <w:p w:rsidR="009F6910" w:rsidRPr="009F6910" w:rsidRDefault="009F6910" w:rsidP="009F6910">
      <w:pPr>
        <w:pStyle w:val="EndNoteBibliography"/>
        <w:spacing w:after="240"/>
      </w:pPr>
      <w:r w:rsidRPr="009F6910">
        <w:t>277.</w:t>
      </w:r>
      <w:r w:rsidRPr="009F6910">
        <w:tab/>
        <w:t>Kaminker C, Kawanishi O, Stewart F, Caldecott B, Howarth N. Institutional Investors and Green Infrastructure Investments: Selected Case Studies. Paris: Organization for Economic Co-operation and Development, 2013.</w:t>
      </w:r>
    </w:p>
    <w:p w:rsidR="009F6910" w:rsidRPr="009F6910" w:rsidRDefault="009F6910" w:rsidP="009F6910">
      <w:pPr>
        <w:pStyle w:val="EndNoteBibliography"/>
        <w:spacing w:after="240"/>
      </w:pPr>
      <w:r w:rsidRPr="009F6910">
        <w:t>278.</w:t>
      </w:r>
      <w:r w:rsidRPr="009F6910">
        <w:tab/>
        <w:t xml:space="preserve">Deloitte. The Cash Paradox: How Record Cash Reserves are Influencing Corporate Behaviour. </w:t>
      </w:r>
      <w:r w:rsidRPr="009F6910">
        <w:rPr>
          <w:i/>
        </w:rPr>
        <w:t>M&amp;A Perspectives</w:t>
      </w:r>
      <w:r w:rsidRPr="009F6910">
        <w:t xml:space="preserve">, 2013. </w:t>
      </w:r>
      <w:hyperlink r:id="rId36" w:history="1">
        <w:r w:rsidRPr="009F6910">
          <w:rPr>
            <w:rStyle w:val="Hyperlink"/>
          </w:rPr>
          <w:t>http://www.deloitte.com/assets/Dcom-UnitedKingdom/Local%20Assets/Documents/Market%20insights/uk-insights-ma-perspectives-the-cas-paradox-2013-5.pdf</w:t>
        </w:r>
      </w:hyperlink>
      <w:r w:rsidRPr="009F6910">
        <w:t xml:space="preserve"> (accessed 20 Dec 2014).</w:t>
      </w:r>
    </w:p>
    <w:p w:rsidR="009F6910" w:rsidRPr="009F6910" w:rsidRDefault="009F6910" w:rsidP="009F6910">
      <w:pPr>
        <w:pStyle w:val="EndNoteBibliography"/>
        <w:spacing w:after="240"/>
      </w:pPr>
      <w:r w:rsidRPr="009F6910">
        <w:lastRenderedPageBreak/>
        <w:t>279.</w:t>
      </w:r>
      <w:r w:rsidRPr="009F6910">
        <w:tab/>
        <w:t>United Nations. Millennium Development Goal 8, The Challenge We Face: MDG Gap Task Force Report 2013. New York, 2013.</w:t>
      </w:r>
    </w:p>
    <w:p w:rsidR="009F6910" w:rsidRPr="009F6910" w:rsidRDefault="009F6910" w:rsidP="009F6910">
      <w:pPr>
        <w:pStyle w:val="EndNoteBibliography"/>
        <w:spacing w:after="240"/>
      </w:pPr>
      <w:r w:rsidRPr="009F6910">
        <w:t>280.</w:t>
      </w:r>
      <w:r w:rsidRPr="009F6910">
        <w:tab/>
        <w:t>Nachmany M, Fankhauser S, Townshend T, et al. The GLOBE Climate Legislation Study: A Review of Climate Legislation Study: A Review of Climate Change Legislation in 66 Countries. London: GLOBE International and the Grantham Research Institute, London School of Economics, 2014.</w:t>
      </w:r>
    </w:p>
    <w:p w:rsidR="009F6910" w:rsidRPr="009F6910" w:rsidRDefault="009F6910" w:rsidP="009F6910">
      <w:pPr>
        <w:pStyle w:val="EndNoteBibliography"/>
        <w:spacing w:after="240"/>
      </w:pPr>
      <w:r w:rsidRPr="009F6910">
        <w:t>281.</w:t>
      </w:r>
      <w:r w:rsidRPr="009F6910">
        <w:tab/>
        <w:t>World Bank Group. State and Trends of Carbon Pricing. Washington DC, 2014.</w:t>
      </w:r>
    </w:p>
    <w:p w:rsidR="009F6910" w:rsidRPr="009F6910" w:rsidRDefault="009F6910" w:rsidP="009F6910">
      <w:pPr>
        <w:pStyle w:val="EndNoteBibliography"/>
        <w:spacing w:after="240"/>
      </w:pPr>
      <w:r w:rsidRPr="009F6910">
        <w:t>282.</w:t>
      </w:r>
      <w:r w:rsidRPr="009F6910">
        <w:tab/>
        <w:t>Parry IWH, Heine D, Lis E. Getting the Prices Right: From Principle to Practice. Washington D.C.: International Monetary Fund, 2014.</w:t>
      </w:r>
    </w:p>
    <w:p w:rsidR="009F6910" w:rsidRPr="009F6910" w:rsidRDefault="009F6910" w:rsidP="009F6910">
      <w:pPr>
        <w:pStyle w:val="EndNoteBibliography"/>
        <w:spacing w:after="240"/>
      </w:pPr>
      <w:r w:rsidRPr="009F6910">
        <w:t>283.</w:t>
      </w:r>
      <w:r w:rsidRPr="009F6910">
        <w:tab/>
        <w:t>Schöb R. The Double Dividend Hypothesis of Environmental Taxes. Working Paper no.946. Munich: Centre for Economic Studies &amp; the ifo Group, 2003.</w:t>
      </w:r>
    </w:p>
    <w:p w:rsidR="009F6910" w:rsidRPr="009F6910" w:rsidRDefault="009F6910" w:rsidP="009F6910">
      <w:pPr>
        <w:pStyle w:val="EndNoteBibliography"/>
        <w:spacing w:after="240"/>
      </w:pPr>
      <w:r w:rsidRPr="009F6910">
        <w:t>284.</w:t>
      </w:r>
      <w:r w:rsidRPr="009F6910">
        <w:tab/>
        <w:t>International Energy Agency. World Energy Outlook. Paris; 2010.</w:t>
      </w:r>
    </w:p>
    <w:p w:rsidR="009F6910" w:rsidRPr="009F6910" w:rsidRDefault="009F6910" w:rsidP="009F6910">
      <w:pPr>
        <w:pStyle w:val="EndNoteBibliography"/>
        <w:spacing w:after="240"/>
      </w:pPr>
      <w:r w:rsidRPr="009F6910">
        <w:t>285.</w:t>
      </w:r>
      <w:r w:rsidRPr="009F6910">
        <w:tab/>
        <w:t>Victor D. The Politics of Fossil-Fuel Subsidies: Global Subsidies Initiative &amp; the International Institute for Sustainable Development, 2009.</w:t>
      </w:r>
    </w:p>
    <w:p w:rsidR="009F6910" w:rsidRPr="009F6910" w:rsidRDefault="009F6910" w:rsidP="009F6910">
      <w:pPr>
        <w:pStyle w:val="EndNoteBibliography"/>
        <w:spacing w:after="240"/>
      </w:pPr>
      <w:r w:rsidRPr="009F6910">
        <w:t>286.</w:t>
      </w:r>
      <w:r w:rsidRPr="009F6910">
        <w:tab/>
        <w:t>International Monetary Fund. World Economic Outlook. Washington D.C.; 2010.</w:t>
      </w:r>
    </w:p>
    <w:p w:rsidR="009F6910" w:rsidRPr="009F6910" w:rsidRDefault="009F6910" w:rsidP="009F6910">
      <w:pPr>
        <w:pStyle w:val="EndNoteBibliography"/>
        <w:spacing w:after="240"/>
      </w:pPr>
      <w:r w:rsidRPr="009F6910">
        <w:t>287.</w:t>
      </w:r>
      <w:r w:rsidRPr="009F6910">
        <w:tab/>
        <w:t>Mazzucato M. The Entrepreneurial State: Debunking Public vs. Private Sector Myths. London: Anthem Press, 2013.</w:t>
      </w:r>
    </w:p>
    <w:p w:rsidR="009F6910" w:rsidRPr="009F6910" w:rsidRDefault="009F6910" w:rsidP="009F6910">
      <w:pPr>
        <w:pStyle w:val="EndNoteBibliography"/>
        <w:spacing w:after="240"/>
      </w:pPr>
      <w:r w:rsidRPr="009F6910">
        <w:t>288.</w:t>
      </w:r>
      <w:r w:rsidRPr="009F6910">
        <w:tab/>
        <w:t>Ravenel P, Brites J, Dichamp G, Monteillet C, Yaker MF, Enmanuel CA. The Impacts of Sustainable Public Procurement: Eight Illustrative Case Studies. Paris: UNEP Sustainable Consumption and Production Branch, 2012.</w:t>
      </w:r>
    </w:p>
    <w:p w:rsidR="009F6910" w:rsidRPr="009F6910" w:rsidRDefault="009F6910" w:rsidP="009F6910">
      <w:pPr>
        <w:pStyle w:val="EndNoteBibliography"/>
        <w:spacing w:after="240"/>
      </w:pPr>
      <w:r w:rsidRPr="009F6910">
        <w:t>289.</w:t>
      </w:r>
      <w:r w:rsidRPr="009F6910">
        <w:tab/>
        <w:t>United Nations Framework Convention on Climate Change (UNFCCC). United Nations Framework Convention on Climate Change. Geneva: IUCC, 1992.</w:t>
      </w:r>
    </w:p>
    <w:p w:rsidR="009F6910" w:rsidRPr="009F6910" w:rsidRDefault="009F6910" w:rsidP="009F6910">
      <w:pPr>
        <w:pStyle w:val="EndNoteBibliography"/>
        <w:spacing w:after="240"/>
      </w:pPr>
      <w:r w:rsidRPr="009F6910">
        <w:t>290.</w:t>
      </w:r>
      <w:r w:rsidRPr="009F6910">
        <w:tab/>
        <w:t>Depledge J. The global climate change regime. In: Ekins P, Bradshaw M, Watson J, eds. Global Energy: Issues, Potentials and Policy Implications. Oxford, UK: Oxford University Press; 2015, Forthcoming.</w:t>
      </w:r>
    </w:p>
    <w:p w:rsidR="009F6910" w:rsidRPr="009F6910" w:rsidRDefault="009F6910" w:rsidP="009F6910">
      <w:pPr>
        <w:pStyle w:val="EndNoteBibliography"/>
        <w:spacing w:after="240"/>
      </w:pPr>
      <w:r w:rsidRPr="009F6910">
        <w:t>291.</w:t>
      </w:r>
      <w:r w:rsidRPr="009F6910">
        <w:tab/>
        <w:t xml:space="preserve">Bodansky D. The United Nations Framework Convention on Climate Change: A Commentary. </w:t>
      </w:r>
      <w:r w:rsidRPr="009F6910">
        <w:rPr>
          <w:i/>
        </w:rPr>
        <w:t>Yale Journal of International Law</w:t>
      </w:r>
      <w:r w:rsidRPr="009F6910">
        <w:t xml:space="preserve"> 1993; </w:t>
      </w:r>
      <w:r w:rsidRPr="009F6910">
        <w:rPr>
          <w:b/>
        </w:rPr>
        <w:t>18</w:t>
      </w:r>
      <w:r w:rsidRPr="009F6910">
        <w:t>: 451-558.</w:t>
      </w:r>
    </w:p>
    <w:p w:rsidR="009F6910" w:rsidRPr="009F6910" w:rsidRDefault="009F6910" w:rsidP="009F6910">
      <w:pPr>
        <w:pStyle w:val="EndNoteBibliography"/>
        <w:spacing w:after="240"/>
      </w:pPr>
      <w:r w:rsidRPr="009F6910">
        <w:t>292.</w:t>
      </w:r>
      <w:r w:rsidRPr="009F6910">
        <w:tab/>
        <w:t>Susskind L. Environmental Diplomacy, Negotiating More Effective Global Agreements. New York, NY: Oxford University Press; 1994.</w:t>
      </w:r>
    </w:p>
    <w:p w:rsidR="009F6910" w:rsidRPr="009F6910" w:rsidRDefault="009F6910" w:rsidP="009F6910">
      <w:pPr>
        <w:pStyle w:val="EndNoteBibliography"/>
        <w:spacing w:after="240"/>
      </w:pPr>
      <w:r w:rsidRPr="009F6910">
        <w:t>293.</w:t>
      </w:r>
      <w:r w:rsidRPr="009F6910">
        <w:tab/>
        <w:t>Hulme M. Why We Disagree About Climate Change: Understanding Controversy, Inaction and Opportunity. Cambridge: Cambridge University Press; 2009.</w:t>
      </w:r>
    </w:p>
    <w:p w:rsidR="009F6910" w:rsidRPr="009F6910" w:rsidRDefault="009F6910" w:rsidP="009F6910">
      <w:pPr>
        <w:pStyle w:val="EndNoteBibliography"/>
        <w:spacing w:after="240"/>
      </w:pPr>
      <w:r w:rsidRPr="009F6910">
        <w:t>294.</w:t>
      </w:r>
      <w:r w:rsidRPr="009F6910">
        <w:tab/>
        <w:t>Rapley CG, de Meyer K, Carney J, et al. Time for Change? Climate Science Reconsidered. Report of the UCL Policy Commission on Communicating Climate Science, 2014.</w:t>
      </w:r>
    </w:p>
    <w:p w:rsidR="009F6910" w:rsidRPr="009F6910" w:rsidRDefault="009F6910" w:rsidP="009F6910">
      <w:pPr>
        <w:pStyle w:val="EndNoteBibliography"/>
        <w:spacing w:after="240"/>
      </w:pPr>
      <w:r w:rsidRPr="009F6910">
        <w:t>295.</w:t>
      </w:r>
      <w:r w:rsidRPr="009F6910">
        <w:tab/>
        <w:t xml:space="preserve">Spence A, Poortinga W, Pidgeon N. The Psychological Distance of Climate Change. </w:t>
      </w:r>
      <w:r w:rsidRPr="009F6910">
        <w:rPr>
          <w:i/>
        </w:rPr>
        <w:t>Risk Analysis</w:t>
      </w:r>
      <w:r w:rsidRPr="009F6910">
        <w:t xml:space="preserve"> 2012; </w:t>
      </w:r>
      <w:r w:rsidRPr="009F6910">
        <w:rPr>
          <w:b/>
        </w:rPr>
        <w:t>32</w:t>
      </w:r>
      <w:r w:rsidRPr="009F6910">
        <w:t>(6): 957-72.</w:t>
      </w:r>
    </w:p>
    <w:p w:rsidR="009F6910" w:rsidRPr="009F6910" w:rsidRDefault="009F6910" w:rsidP="009F6910">
      <w:pPr>
        <w:pStyle w:val="EndNoteBibliography"/>
        <w:spacing w:after="240"/>
      </w:pPr>
      <w:r w:rsidRPr="009F6910">
        <w:t>296.</w:t>
      </w:r>
      <w:r w:rsidRPr="009F6910">
        <w:tab/>
        <w:t xml:space="preserve">Unruh GC. Understanding carbon lock-in. </w:t>
      </w:r>
      <w:r w:rsidRPr="009F6910">
        <w:rPr>
          <w:i/>
        </w:rPr>
        <w:t>Energy Policy</w:t>
      </w:r>
      <w:r w:rsidRPr="009F6910">
        <w:t xml:space="preserve"> 2000; </w:t>
      </w:r>
      <w:r w:rsidRPr="009F6910">
        <w:rPr>
          <w:b/>
        </w:rPr>
        <w:t>28</w:t>
      </w:r>
      <w:r w:rsidRPr="009F6910">
        <w:t>(12): 817-30.</w:t>
      </w:r>
    </w:p>
    <w:p w:rsidR="009F6910" w:rsidRPr="009F6910" w:rsidRDefault="009F6910" w:rsidP="009F6910">
      <w:pPr>
        <w:pStyle w:val="EndNoteBibliography"/>
        <w:spacing w:after="240"/>
      </w:pPr>
      <w:r w:rsidRPr="009F6910">
        <w:lastRenderedPageBreak/>
        <w:t>297.</w:t>
      </w:r>
      <w:r w:rsidRPr="009F6910">
        <w:tab/>
        <w:t xml:space="preserve">Brulle R. Institutionalizing delay: foundation funding and the creation of U.S. climate change counter-movement organizations. </w:t>
      </w:r>
      <w:r w:rsidRPr="009F6910">
        <w:rPr>
          <w:i/>
        </w:rPr>
        <w:t>Climatic Change</w:t>
      </w:r>
      <w:r w:rsidRPr="009F6910">
        <w:t xml:space="preserve"> 2014; </w:t>
      </w:r>
      <w:r w:rsidRPr="009F6910">
        <w:rPr>
          <w:b/>
        </w:rPr>
        <w:t>122</w:t>
      </w:r>
      <w:r w:rsidRPr="009F6910">
        <w:t>(4): 681-94.</w:t>
      </w:r>
    </w:p>
    <w:p w:rsidR="009F6910" w:rsidRPr="009F6910" w:rsidRDefault="009F6910" w:rsidP="009F6910">
      <w:pPr>
        <w:pStyle w:val="EndNoteBibliography"/>
        <w:spacing w:after="240"/>
      </w:pPr>
      <w:r w:rsidRPr="009F6910">
        <w:t>298.</w:t>
      </w:r>
      <w:r w:rsidRPr="009F6910">
        <w:tab/>
        <w:t>Bulkeley H, Betsill. M. Cities and Climate Change:  Urban Sustainability and Global Environmental Governance. New York: Routledge; 2003.</w:t>
      </w:r>
    </w:p>
    <w:p w:rsidR="009F6910" w:rsidRPr="009F6910" w:rsidRDefault="009F6910" w:rsidP="009F6910">
      <w:pPr>
        <w:pStyle w:val="EndNoteBibliography"/>
        <w:spacing w:after="240"/>
      </w:pPr>
      <w:r w:rsidRPr="009F6910">
        <w:t>299.</w:t>
      </w:r>
      <w:r w:rsidRPr="009F6910">
        <w:tab/>
        <w:t>Boutiligier S. Cities, Networks, and Global Environmental Governance. London: Routledge; 2013.</w:t>
      </w:r>
    </w:p>
    <w:p w:rsidR="009F6910" w:rsidRPr="009F6910" w:rsidRDefault="009F6910" w:rsidP="009F6910">
      <w:pPr>
        <w:pStyle w:val="EndNoteBibliography"/>
        <w:spacing w:after="240"/>
      </w:pPr>
      <w:r w:rsidRPr="009F6910">
        <w:t>300.</w:t>
      </w:r>
      <w:r w:rsidRPr="009F6910">
        <w:tab/>
        <w:t xml:space="preserve">Roman M. Governing from the middle: The C40 Cities Leadership Group. </w:t>
      </w:r>
      <w:r w:rsidRPr="009F6910">
        <w:rPr>
          <w:i/>
        </w:rPr>
        <w:t xml:space="preserve">Corporate Governance </w:t>
      </w:r>
      <w:r w:rsidRPr="009F6910">
        <w:t xml:space="preserve">2010; </w:t>
      </w:r>
      <w:r w:rsidRPr="009F6910">
        <w:rPr>
          <w:b/>
        </w:rPr>
        <w:t>10</w:t>
      </w:r>
      <w:r w:rsidRPr="009F6910">
        <w:t>(1): 73-84.</w:t>
      </w:r>
    </w:p>
    <w:p w:rsidR="009F6910" w:rsidRPr="009F6910" w:rsidRDefault="009F6910" w:rsidP="009F6910">
      <w:pPr>
        <w:pStyle w:val="EndNoteBibliography"/>
        <w:spacing w:after="240"/>
      </w:pPr>
      <w:r w:rsidRPr="009F6910">
        <w:t>301.</w:t>
      </w:r>
      <w:r w:rsidRPr="009F6910">
        <w:tab/>
        <w:t xml:space="preserve">Curtis S. Global Cities and the Transformation of the International System. </w:t>
      </w:r>
      <w:r w:rsidRPr="009F6910">
        <w:rPr>
          <w:i/>
        </w:rPr>
        <w:t xml:space="preserve">Review of International Studies </w:t>
      </w:r>
      <w:r w:rsidRPr="009F6910">
        <w:t xml:space="preserve">2011; </w:t>
      </w:r>
      <w:r w:rsidRPr="009F6910">
        <w:rPr>
          <w:b/>
        </w:rPr>
        <w:t>37</w:t>
      </w:r>
      <w:r w:rsidRPr="009F6910">
        <w:t>(4): 1923-47.</w:t>
      </w:r>
    </w:p>
    <w:p w:rsidR="009F6910" w:rsidRPr="009F6910" w:rsidRDefault="009F6910" w:rsidP="009F6910">
      <w:pPr>
        <w:pStyle w:val="EndNoteBibliography"/>
        <w:spacing w:after="240"/>
      </w:pPr>
      <w:r w:rsidRPr="009F6910">
        <w:t>302.</w:t>
      </w:r>
      <w:r w:rsidRPr="009F6910">
        <w:tab/>
        <w:t xml:space="preserve">Gordon DJ. Between local innovation and global impact: cities, networks, and the governance of climate change. </w:t>
      </w:r>
      <w:r w:rsidRPr="009F6910">
        <w:rPr>
          <w:i/>
        </w:rPr>
        <w:t>Canadian Foreign Policy Journal</w:t>
      </w:r>
      <w:r w:rsidRPr="009F6910">
        <w:t xml:space="preserve"> 2013; </w:t>
      </w:r>
      <w:r w:rsidRPr="009F6910">
        <w:rPr>
          <w:b/>
        </w:rPr>
        <w:t>19</w:t>
      </w:r>
      <w:r w:rsidRPr="009F6910">
        <w:t>(3): 288-307.</w:t>
      </w:r>
    </w:p>
    <w:p w:rsidR="009F6910" w:rsidRPr="009F6910" w:rsidRDefault="009F6910" w:rsidP="009F6910">
      <w:pPr>
        <w:pStyle w:val="EndNoteBibliography"/>
        <w:spacing w:after="240"/>
      </w:pPr>
      <w:r w:rsidRPr="009F6910">
        <w:t>303.</w:t>
      </w:r>
      <w:r w:rsidRPr="009F6910">
        <w:tab/>
        <w:t>Pluijm Rvd, Melissen J. City Diplomacy: The Expanding Role of Cities in International Politics. The Hague: Netherlands Institute of International Relations, 2007.</w:t>
      </w:r>
    </w:p>
    <w:p w:rsidR="009F6910" w:rsidRPr="009F6910" w:rsidRDefault="009F6910" w:rsidP="009F6910">
      <w:pPr>
        <w:pStyle w:val="EndNoteBibliography"/>
        <w:spacing w:after="240"/>
      </w:pPr>
      <w:r w:rsidRPr="009F6910">
        <w:t>304.</w:t>
      </w:r>
      <w:r w:rsidRPr="009F6910">
        <w:tab/>
        <w:t>Center PR. Climate Change and Financial Instability Seen as Top Global Threats Washington DC: Pew Research Center, 2013.</w:t>
      </w:r>
    </w:p>
    <w:p w:rsidR="009F6910" w:rsidRPr="009F6910" w:rsidRDefault="009F6910" w:rsidP="009F6910">
      <w:pPr>
        <w:pStyle w:val="EndNoteBibliography"/>
        <w:spacing w:after="240"/>
      </w:pPr>
      <w:r w:rsidRPr="009F6910">
        <w:t>305.</w:t>
      </w:r>
      <w:r w:rsidRPr="009F6910">
        <w:tab/>
        <w:t xml:space="preserve">Darier É, Schüle R. 'Think globally, act locally'? Climate change and public participation in Manchester and Frankfurt. </w:t>
      </w:r>
      <w:r w:rsidRPr="009F6910">
        <w:rPr>
          <w:i/>
        </w:rPr>
        <w:t>Local Environment</w:t>
      </w:r>
      <w:r w:rsidRPr="009F6910">
        <w:t xml:space="preserve"> 1999; </w:t>
      </w:r>
      <w:r w:rsidRPr="009F6910">
        <w:rPr>
          <w:b/>
        </w:rPr>
        <w:t>4</w:t>
      </w:r>
      <w:r w:rsidRPr="009F6910">
        <w:t>(3): 317-29.</w:t>
      </w:r>
    </w:p>
    <w:p w:rsidR="009F6910" w:rsidRPr="009F6910" w:rsidRDefault="009F6910" w:rsidP="009F6910">
      <w:pPr>
        <w:pStyle w:val="EndNoteBibliography"/>
        <w:spacing w:after="240"/>
      </w:pPr>
      <w:r w:rsidRPr="009F6910">
        <w:t>306.</w:t>
      </w:r>
      <w:r w:rsidRPr="009F6910">
        <w:tab/>
        <w:t xml:space="preserve">Poortinga W, Pidgeon NF. Exploring the Dimensionality of Trust in Risk Regulation. </w:t>
      </w:r>
      <w:r w:rsidRPr="009F6910">
        <w:rPr>
          <w:i/>
        </w:rPr>
        <w:t>Risk Analysis</w:t>
      </w:r>
      <w:r w:rsidRPr="009F6910">
        <w:t xml:space="preserve"> 2003; </w:t>
      </w:r>
      <w:r w:rsidRPr="009F6910">
        <w:rPr>
          <w:b/>
        </w:rPr>
        <w:t>23</w:t>
      </w:r>
      <w:r w:rsidRPr="009F6910">
        <w:t>(5): 961-72.</w:t>
      </w:r>
    </w:p>
    <w:p w:rsidR="009F6910" w:rsidRPr="009F6910" w:rsidRDefault="009F6910" w:rsidP="009F6910">
      <w:pPr>
        <w:pStyle w:val="EndNoteBibliography"/>
        <w:spacing w:after="240"/>
      </w:pPr>
      <w:r w:rsidRPr="009F6910">
        <w:t>307.</w:t>
      </w:r>
      <w:r w:rsidRPr="009F6910">
        <w:tab/>
        <w:t xml:space="preserve">Pretty J. The Consumption of a Finite Planet: Well-Being, Convergence, Divergence and the Nascent Green Economy. </w:t>
      </w:r>
      <w:r w:rsidRPr="009F6910">
        <w:rPr>
          <w:i/>
        </w:rPr>
        <w:t>Environmental and Resource Economics</w:t>
      </w:r>
      <w:r w:rsidRPr="009F6910">
        <w:t xml:space="preserve"> 2013; </w:t>
      </w:r>
      <w:r w:rsidRPr="009F6910">
        <w:rPr>
          <w:b/>
        </w:rPr>
        <w:t>55</w:t>
      </w:r>
      <w:r w:rsidRPr="009F6910">
        <w:t>(4): 475-99.</w:t>
      </w:r>
    </w:p>
    <w:p w:rsidR="009F6910" w:rsidRPr="009F6910" w:rsidRDefault="009F6910" w:rsidP="009F6910">
      <w:pPr>
        <w:pStyle w:val="EndNoteBibliography"/>
        <w:spacing w:after="240"/>
      </w:pPr>
      <w:r w:rsidRPr="009F6910">
        <w:t>308.</w:t>
      </w:r>
      <w:r w:rsidRPr="009F6910">
        <w:tab/>
        <w:t xml:space="preserve">Hulme M. Reducing the future to climate: A story of climate determinism and reductionism. </w:t>
      </w:r>
      <w:r w:rsidRPr="009F6910">
        <w:rPr>
          <w:i/>
        </w:rPr>
        <w:t>Osiris</w:t>
      </w:r>
      <w:r w:rsidRPr="009F6910">
        <w:t xml:space="preserve"> 2011a; </w:t>
      </w:r>
      <w:r w:rsidRPr="009F6910">
        <w:rPr>
          <w:b/>
        </w:rPr>
        <w:t>26</w:t>
      </w:r>
      <w:r w:rsidRPr="009F6910">
        <w:t>(1): 245-66.</w:t>
      </w:r>
    </w:p>
    <w:p w:rsidR="009F6910" w:rsidRPr="009F6910" w:rsidRDefault="009F6910" w:rsidP="009F6910">
      <w:pPr>
        <w:pStyle w:val="EndNoteBibliography"/>
        <w:spacing w:after="240"/>
      </w:pPr>
      <w:r w:rsidRPr="009F6910">
        <w:t>309.</w:t>
      </w:r>
      <w:r w:rsidRPr="009F6910">
        <w:tab/>
        <w:t xml:space="preserve">Webb J. Climate change and society: The chimera of behaviour change technologies. </w:t>
      </w:r>
      <w:r w:rsidRPr="009F6910">
        <w:rPr>
          <w:i/>
        </w:rPr>
        <w:t>Sociology</w:t>
      </w:r>
      <w:r w:rsidRPr="009F6910">
        <w:t xml:space="preserve"> 2012: 0038038511419196.</w:t>
      </w:r>
    </w:p>
    <w:p w:rsidR="009F6910" w:rsidRPr="009F6910" w:rsidRDefault="009F6910" w:rsidP="009F6910">
      <w:pPr>
        <w:pStyle w:val="EndNoteBibliography"/>
        <w:spacing w:after="240"/>
      </w:pPr>
      <w:r w:rsidRPr="009F6910">
        <w:t>310.</w:t>
      </w:r>
      <w:r w:rsidRPr="009F6910">
        <w:tab/>
        <w:t xml:space="preserve">Wolf J, Moser SC. Individual understandings, perceptions, and engagement with climate change: insights from in‐depth studies across the world. </w:t>
      </w:r>
      <w:r w:rsidRPr="009F6910">
        <w:rPr>
          <w:i/>
        </w:rPr>
        <w:t>Wiley Interdisciplinary Reviews: Climate Change</w:t>
      </w:r>
      <w:r w:rsidRPr="009F6910">
        <w:t xml:space="preserve"> 2011; </w:t>
      </w:r>
      <w:r w:rsidRPr="009F6910">
        <w:rPr>
          <w:b/>
        </w:rPr>
        <w:t>2</w:t>
      </w:r>
      <w:r w:rsidRPr="009F6910">
        <w:t>(4): 547-69.</w:t>
      </w:r>
    </w:p>
    <w:p w:rsidR="009F6910" w:rsidRPr="009F6910" w:rsidRDefault="009F6910" w:rsidP="009F6910">
      <w:pPr>
        <w:pStyle w:val="EndNoteBibliography"/>
        <w:spacing w:after="240"/>
      </w:pPr>
      <w:r w:rsidRPr="009F6910">
        <w:t>311.</w:t>
      </w:r>
      <w:r w:rsidRPr="009F6910">
        <w:tab/>
        <w:t xml:space="preserve">Hoijer B. Emotional anchoring and objectification in the media reporting on climate change. </w:t>
      </w:r>
      <w:r w:rsidRPr="009F6910">
        <w:rPr>
          <w:i/>
        </w:rPr>
        <w:t>Public understanding of science (Bristol, England)</w:t>
      </w:r>
      <w:r w:rsidRPr="009F6910">
        <w:t xml:space="preserve"> 2010; </w:t>
      </w:r>
      <w:r w:rsidRPr="009F6910">
        <w:rPr>
          <w:b/>
        </w:rPr>
        <w:t>19</w:t>
      </w:r>
      <w:r w:rsidRPr="009F6910">
        <w:t>(6): 717-31.</w:t>
      </w:r>
    </w:p>
    <w:p w:rsidR="009F6910" w:rsidRPr="009F6910" w:rsidRDefault="009F6910" w:rsidP="009F6910">
      <w:pPr>
        <w:pStyle w:val="EndNoteBibliography"/>
        <w:spacing w:after="240"/>
      </w:pPr>
      <w:r w:rsidRPr="009F6910">
        <w:t>312.</w:t>
      </w:r>
      <w:r w:rsidRPr="009F6910">
        <w:tab/>
        <w:t xml:space="preserve">Witte K, Allen M. A Meta-Analysis of Fear Appeals: Implications for Effective Public Health Campaigns. </w:t>
      </w:r>
      <w:r w:rsidRPr="009F6910">
        <w:rPr>
          <w:i/>
        </w:rPr>
        <w:t>Health Education &amp; Behavior</w:t>
      </w:r>
      <w:r w:rsidRPr="009F6910">
        <w:t xml:space="preserve"> 2000; </w:t>
      </w:r>
      <w:r w:rsidRPr="009F6910">
        <w:rPr>
          <w:b/>
        </w:rPr>
        <w:t>27</w:t>
      </w:r>
      <w:r w:rsidRPr="009F6910">
        <w:t>(5): 591-615.</w:t>
      </w:r>
    </w:p>
    <w:p w:rsidR="009F6910" w:rsidRPr="009F6910" w:rsidRDefault="009F6910" w:rsidP="009F6910">
      <w:pPr>
        <w:pStyle w:val="EndNoteBibliography"/>
        <w:spacing w:after="240"/>
      </w:pPr>
      <w:r w:rsidRPr="009F6910">
        <w:t>313.</w:t>
      </w:r>
      <w:r w:rsidRPr="009F6910">
        <w:tab/>
        <w:t xml:space="preserve">Markowitz EM, Shariff AF. Climate change and moral judgement. </w:t>
      </w:r>
      <w:r w:rsidRPr="009F6910">
        <w:rPr>
          <w:i/>
        </w:rPr>
        <w:t>Nature Climate Change</w:t>
      </w:r>
      <w:r w:rsidRPr="009F6910">
        <w:t xml:space="preserve"> 2012; </w:t>
      </w:r>
      <w:r w:rsidRPr="009F6910">
        <w:rPr>
          <w:b/>
        </w:rPr>
        <w:t>2</w:t>
      </w:r>
      <w:r w:rsidRPr="009F6910">
        <w:t>(4): 243-7.</w:t>
      </w:r>
    </w:p>
    <w:p w:rsidR="009F6910" w:rsidRPr="009F6910" w:rsidRDefault="009F6910" w:rsidP="009F6910">
      <w:pPr>
        <w:pStyle w:val="EndNoteBibliography"/>
        <w:spacing w:after="240"/>
      </w:pPr>
      <w:r w:rsidRPr="009F6910">
        <w:lastRenderedPageBreak/>
        <w:t>314.</w:t>
      </w:r>
      <w:r w:rsidRPr="009F6910">
        <w:tab/>
        <w:t xml:space="preserve">Patz JA, Gibbs HK, Foley JA, Rogers JV, Smith KR. Climate change and global health: quantifying a growing ethical crisis. </w:t>
      </w:r>
      <w:r w:rsidRPr="009F6910">
        <w:rPr>
          <w:i/>
        </w:rPr>
        <w:t>EcoHealth</w:t>
      </w:r>
      <w:r w:rsidRPr="009F6910">
        <w:t xml:space="preserve"> 2007; </w:t>
      </w:r>
      <w:r w:rsidRPr="009F6910">
        <w:rPr>
          <w:b/>
        </w:rPr>
        <w:t>4</w:t>
      </w:r>
      <w:r w:rsidRPr="009F6910">
        <w:t>(4): 397-405.</w:t>
      </w:r>
    </w:p>
    <w:p w:rsidR="009F6910" w:rsidRPr="009F6910" w:rsidRDefault="009F6910" w:rsidP="009F6910">
      <w:pPr>
        <w:pStyle w:val="EndNoteBibliography"/>
        <w:spacing w:after="240"/>
      </w:pPr>
      <w:r w:rsidRPr="009F6910">
        <w:t>315.</w:t>
      </w:r>
      <w:r w:rsidRPr="009F6910">
        <w:tab/>
        <w:t xml:space="preserve">Green D, Billy J, Tapim A. Indigenous Australians’ knowledge of weather and climate. </w:t>
      </w:r>
      <w:r w:rsidRPr="009F6910">
        <w:rPr>
          <w:i/>
        </w:rPr>
        <w:t>Climatic Change</w:t>
      </w:r>
      <w:r w:rsidRPr="009F6910">
        <w:t xml:space="preserve"> 2010; </w:t>
      </w:r>
      <w:r w:rsidRPr="009F6910">
        <w:rPr>
          <w:b/>
        </w:rPr>
        <w:t>100</w:t>
      </w:r>
      <w:r w:rsidRPr="009F6910">
        <w:t>(2): 337-54.</w:t>
      </w:r>
    </w:p>
    <w:p w:rsidR="009F6910" w:rsidRPr="009F6910" w:rsidRDefault="009F6910" w:rsidP="009F6910">
      <w:pPr>
        <w:pStyle w:val="EndNoteBibliography"/>
        <w:spacing w:after="240"/>
      </w:pPr>
      <w:r w:rsidRPr="009F6910">
        <w:t>316.</w:t>
      </w:r>
      <w:r w:rsidRPr="009F6910">
        <w:tab/>
        <w:t>Giddens A. The Politics of Climate Change. Cambridge, UK: John Wiley and Sons; 2009.</w:t>
      </w:r>
    </w:p>
    <w:p w:rsidR="009F6910" w:rsidRPr="009F6910" w:rsidRDefault="009F6910" w:rsidP="009F6910">
      <w:pPr>
        <w:pStyle w:val="EndNoteBibliography"/>
        <w:spacing w:after="240"/>
      </w:pPr>
      <w:r w:rsidRPr="009F6910">
        <w:t>317.</w:t>
      </w:r>
      <w:r w:rsidRPr="009F6910">
        <w:tab/>
        <w:t xml:space="preserve">Markowitz EM, Shariff AF. Climate change and moral judgement. </w:t>
      </w:r>
      <w:r w:rsidRPr="009F6910">
        <w:rPr>
          <w:i/>
        </w:rPr>
        <w:t>Nature Climate Change</w:t>
      </w:r>
      <w:r w:rsidRPr="009F6910">
        <w:t xml:space="preserve"> 2012; </w:t>
      </w:r>
      <w:r w:rsidRPr="009F6910">
        <w:rPr>
          <w:b/>
        </w:rPr>
        <w:t>2</w:t>
      </w:r>
      <w:r w:rsidRPr="009F6910">
        <w:t>: 243-7.</w:t>
      </w:r>
    </w:p>
    <w:p w:rsidR="009F6910" w:rsidRPr="009F6910" w:rsidRDefault="009F6910" w:rsidP="009F6910">
      <w:pPr>
        <w:pStyle w:val="EndNoteBibliography"/>
        <w:spacing w:after="240"/>
      </w:pPr>
      <w:r w:rsidRPr="009F6910">
        <w:t>318.</w:t>
      </w:r>
      <w:r w:rsidRPr="009F6910">
        <w:tab/>
        <w:t xml:space="preserve">Vignola R, Klinsky S, Tam J, McDaniels T. Public perception, knowledge and policy support for mitigation and adaption to Climate Change in Costa Rica: Comparisons with North American and European studies. </w:t>
      </w:r>
      <w:r w:rsidRPr="009F6910">
        <w:rPr>
          <w:i/>
        </w:rPr>
        <w:t>Mitigation and Adaptation Strategies for Global Change</w:t>
      </w:r>
      <w:r w:rsidRPr="009F6910">
        <w:t xml:space="preserve"> 2013; </w:t>
      </w:r>
      <w:r w:rsidRPr="009F6910">
        <w:rPr>
          <w:b/>
        </w:rPr>
        <w:t>18</w:t>
      </w:r>
      <w:r w:rsidRPr="009F6910">
        <w:t>(3): 303-23.</w:t>
      </w:r>
    </w:p>
    <w:p w:rsidR="009F6910" w:rsidRPr="009F6910" w:rsidRDefault="009F6910" w:rsidP="009F6910">
      <w:pPr>
        <w:pStyle w:val="EndNoteBibliography"/>
        <w:spacing w:after="240"/>
      </w:pPr>
      <w:r w:rsidRPr="009F6910">
        <w:t>319.</w:t>
      </w:r>
      <w:r w:rsidRPr="009F6910">
        <w:tab/>
        <w:t>World Bank Group. Public attitudes toward climate change: findings from a multi-country poll. Background note to the world development report 2010. Washington, D.C., 2009.</w:t>
      </w:r>
    </w:p>
    <w:p w:rsidR="009F6910" w:rsidRPr="009F6910" w:rsidRDefault="009F6910" w:rsidP="009F6910">
      <w:pPr>
        <w:pStyle w:val="EndNoteBibliography"/>
      </w:pPr>
      <w:r w:rsidRPr="009F6910">
        <w:t>320.</w:t>
      </w:r>
      <w:r w:rsidRPr="009F6910">
        <w:tab/>
        <w:t xml:space="preserve">Marteau TM, Hollands GJ, Fletcher PC. Changing human behavior to prevent disease: the importance of targeting automatic processes. </w:t>
      </w:r>
      <w:r w:rsidRPr="009F6910">
        <w:rPr>
          <w:i/>
        </w:rPr>
        <w:t>Science</w:t>
      </w:r>
      <w:r w:rsidRPr="009F6910">
        <w:t xml:space="preserve"> 2012; </w:t>
      </w:r>
      <w:r w:rsidRPr="009F6910">
        <w:rPr>
          <w:b/>
        </w:rPr>
        <w:t>337</w:t>
      </w:r>
      <w:r w:rsidRPr="009F6910">
        <w:t>(6101): 1492-5.</w:t>
      </w:r>
    </w:p>
    <w:p w:rsidR="0073569E" w:rsidRDefault="00E13392" w:rsidP="00C93BB3">
      <w:pPr>
        <w:rPr>
          <w:lang w:val="en-GB"/>
        </w:rPr>
      </w:pPr>
      <w:r w:rsidRPr="00B95AFF">
        <w:rPr>
          <w:rFonts w:ascii="Helvetica" w:hAnsi="Helvetica" w:cs="Calibri"/>
          <w:color w:val="000000"/>
        </w:rPr>
        <w:fldChar w:fldCharType="end"/>
      </w:r>
      <w:r w:rsidR="0073569E">
        <w:rPr>
          <w:lang w:val="en-GB"/>
        </w:rPr>
        <w:br w:type="page"/>
      </w:r>
    </w:p>
    <w:p w:rsidR="0073569E" w:rsidRDefault="00EF3A42" w:rsidP="00EF3A42">
      <w:pPr>
        <w:pStyle w:val="Heading1"/>
        <w:rPr>
          <w:lang w:val="en-GB"/>
        </w:rPr>
      </w:pPr>
      <w:bookmarkStart w:id="208" w:name="_Toc417502098"/>
      <w:r>
        <w:lastRenderedPageBreak/>
        <w:t xml:space="preserve">List of </w:t>
      </w:r>
      <w:r w:rsidR="0073569E">
        <w:rPr>
          <w:lang w:val="en-GB"/>
        </w:rPr>
        <w:t>Appendices</w:t>
      </w:r>
      <w:bookmarkEnd w:id="208"/>
    </w:p>
    <w:p w:rsidR="00EF3A42" w:rsidRDefault="00EF3A42" w:rsidP="00EF3A42">
      <w:pPr>
        <w:rPr>
          <w:lang w:val="en-GB"/>
        </w:rPr>
      </w:pPr>
    </w:p>
    <w:p w:rsidR="00EF3A42" w:rsidRPr="00FD2424" w:rsidRDefault="00EF3A42" w:rsidP="00EF3A42">
      <w:pPr>
        <w:pStyle w:val="Heading2"/>
        <w:rPr>
          <w:lang w:val="en-GB"/>
        </w:rPr>
      </w:pPr>
      <w:bookmarkStart w:id="209" w:name="_Toc407125285"/>
      <w:bookmarkStart w:id="210" w:name="_Toc417502099"/>
      <w:r>
        <w:rPr>
          <w:lang w:val="en-GB"/>
        </w:rPr>
        <w:t>Appendix 1:</w:t>
      </w:r>
      <w:r w:rsidRPr="00FD2424">
        <w:rPr>
          <w:lang w:val="en-GB"/>
        </w:rPr>
        <w:t xml:space="preserve"> Estimating Human Exposure to Climate Change (for Figures </w:t>
      </w:r>
      <w:r>
        <w:rPr>
          <w:lang w:val="en-GB"/>
        </w:rPr>
        <w:t>2.2-2.5</w:t>
      </w:r>
      <w:r w:rsidRPr="00FD2424">
        <w:rPr>
          <w:lang w:val="en-GB"/>
        </w:rPr>
        <w:t>)</w:t>
      </w:r>
      <w:bookmarkEnd w:id="209"/>
      <w:bookmarkEnd w:id="210"/>
    </w:p>
    <w:p w:rsidR="00EF3A42" w:rsidRDefault="00EF3A42" w:rsidP="00EF3A42">
      <w:pPr>
        <w:pStyle w:val="Heading2"/>
        <w:rPr>
          <w:lang w:val="en-GB"/>
        </w:rPr>
      </w:pPr>
    </w:p>
    <w:p w:rsidR="00EF3A42" w:rsidRDefault="00EF3A42" w:rsidP="00EF3A42">
      <w:pPr>
        <w:pStyle w:val="Heading2"/>
        <w:rPr>
          <w:lang w:val="en-GB"/>
        </w:rPr>
      </w:pPr>
      <w:bookmarkStart w:id="211" w:name="_Toc417502100"/>
      <w:r>
        <w:rPr>
          <w:lang w:val="en-GB"/>
        </w:rPr>
        <w:t>Appendix 2: UK Household Energy Efficiency and Health Impact</w:t>
      </w:r>
      <w:bookmarkEnd w:id="211"/>
    </w:p>
    <w:p w:rsidR="00EF3A42" w:rsidRDefault="00EF3A42" w:rsidP="00EF3A42">
      <w:pPr>
        <w:rPr>
          <w:lang w:val="en-GB"/>
        </w:rPr>
      </w:pPr>
    </w:p>
    <w:p w:rsidR="00EF3A42" w:rsidRDefault="00EF3A42" w:rsidP="00EF3A42">
      <w:pPr>
        <w:pStyle w:val="Heading2"/>
        <w:rPr>
          <w:lang w:val="en-GB"/>
        </w:rPr>
      </w:pPr>
      <w:bookmarkStart w:id="212" w:name="_Toc417502101"/>
      <w:r>
        <w:rPr>
          <w:lang w:val="en-GB"/>
        </w:rPr>
        <w:t>Appendix 3:</w:t>
      </w:r>
      <w:r w:rsidRPr="00746D43">
        <w:rPr>
          <w:lang w:val="en-GB"/>
        </w:rPr>
        <w:t xml:space="preserve"> </w:t>
      </w:r>
      <w:r>
        <w:rPr>
          <w:lang w:val="en-GB"/>
        </w:rPr>
        <w:t>The Cost of Ambient Air Pollution in China</w:t>
      </w:r>
      <w:bookmarkEnd w:id="212"/>
    </w:p>
    <w:p w:rsidR="00EF3A42" w:rsidRDefault="00EF3A42" w:rsidP="00EF3A42">
      <w:pPr>
        <w:rPr>
          <w:lang w:val="en-GB"/>
        </w:rPr>
      </w:pPr>
    </w:p>
    <w:p w:rsidR="00EF3A42" w:rsidRPr="00F17487" w:rsidRDefault="00EF3A42" w:rsidP="00EF3A42">
      <w:pPr>
        <w:pStyle w:val="Heading2"/>
        <w:rPr>
          <w:lang w:val="en-GB"/>
        </w:rPr>
      </w:pPr>
      <w:bookmarkStart w:id="213" w:name="_Toc417502102"/>
      <w:r>
        <w:rPr>
          <w:lang w:val="en-GB"/>
        </w:rPr>
        <w:t xml:space="preserve">Appendix 4: </w:t>
      </w:r>
      <w:r w:rsidRPr="00F17487">
        <w:rPr>
          <w:lang w:val="en-GB"/>
        </w:rPr>
        <w:t>Climate-Smart Development – Adding up the Benefits</w:t>
      </w:r>
      <w:bookmarkEnd w:id="213"/>
    </w:p>
    <w:p w:rsidR="00EF3A42" w:rsidRDefault="00EF3A42" w:rsidP="00EF3A42">
      <w:pPr>
        <w:rPr>
          <w:lang w:val="en-GB"/>
        </w:rPr>
      </w:pPr>
    </w:p>
    <w:p w:rsidR="00EF3A42" w:rsidRPr="00F17487" w:rsidRDefault="00EF3A42" w:rsidP="00EF3A42">
      <w:pPr>
        <w:pStyle w:val="Heading2"/>
        <w:rPr>
          <w:lang w:val="en-GB"/>
        </w:rPr>
      </w:pPr>
      <w:bookmarkStart w:id="214" w:name="_Toc417502103"/>
      <w:r>
        <w:rPr>
          <w:lang w:val="en-GB"/>
        </w:rPr>
        <w:t>Appendix 5:</w:t>
      </w:r>
      <w:r w:rsidRPr="00F17487">
        <w:rPr>
          <w:lang w:val="en-GB"/>
        </w:rPr>
        <w:t xml:space="preserve"> ‘Enter the Dragon – The Chinese ETS Pilots’</w:t>
      </w:r>
      <w:bookmarkEnd w:id="214"/>
    </w:p>
    <w:p w:rsidR="00EF3A42" w:rsidRDefault="00EF3A42" w:rsidP="00EF3A42">
      <w:pPr>
        <w:rPr>
          <w:lang w:val="en-GB"/>
        </w:rPr>
      </w:pPr>
    </w:p>
    <w:p w:rsidR="00EF3A42" w:rsidRPr="00F17487" w:rsidRDefault="00EF3A42" w:rsidP="00EF3A42">
      <w:pPr>
        <w:pStyle w:val="Heading2"/>
        <w:rPr>
          <w:lang w:val="en-GB"/>
        </w:rPr>
      </w:pPr>
      <w:bookmarkStart w:id="215" w:name="_Toc417502104"/>
      <w:r>
        <w:rPr>
          <w:lang w:val="en-GB"/>
        </w:rPr>
        <w:t xml:space="preserve">Appendix 6: </w:t>
      </w:r>
      <w:r w:rsidRPr="00F17487">
        <w:rPr>
          <w:lang w:val="en-GB"/>
        </w:rPr>
        <w:t>‘Feed-in Tariffs – Rolling-out Renewables’</w:t>
      </w:r>
      <w:bookmarkEnd w:id="215"/>
    </w:p>
    <w:p w:rsidR="00EF3A42" w:rsidRDefault="00EF3A42" w:rsidP="00EF3A42">
      <w:pPr>
        <w:rPr>
          <w:lang w:val="en-GB"/>
        </w:rPr>
      </w:pPr>
    </w:p>
    <w:p w:rsidR="00EF3A42" w:rsidRPr="00F17487" w:rsidRDefault="00EF3A42" w:rsidP="00EF3A42">
      <w:pPr>
        <w:pStyle w:val="Heading2"/>
        <w:rPr>
          <w:lang w:val="en-GB"/>
        </w:rPr>
      </w:pPr>
      <w:bookmarkStart w:id="216" w:name="_Toc417502105"/>
      <w:r>
        <w:rPr>
          <w:lang w:val="en-GB"/>
        </w:rPr>
        <w:t xml:space="preserve">Appendix 7: </w:t>
      </w:r>
      <w:r w:rsidRPr="00F17487">
        <w:rPr>
          <w:lang w:val="en-GB"/>
        </w:rPr>
        <w:t>‘</w:t>
      </w:r>
      <w:r>
        <w:rPr>
          <w:lang w:val="en-GB"/>
        </w:rPr>
        <w:t>Climate Bonds’ – A Key Tool in Attracting Institutional Investor Finance</w:t>
      </w:r>
      <w:bookmarkEnd w:id="216"/>
    </w:p>
    <w:p w:rsidR="00EF3A42" w:rsidRDefault="00EF3A42" w:rsidP="00EF3A42">
      <w:pPr>
        <w:rPr>
          <w:lang w:val="en-GB"/>
        </w:rPr>
      </w:pPr>
    </w:p>
    <w:p w:rsidR="00EF3A42" w:rsidRPr="00F17487" w:rsidRDefault="00EF3A42" w:rsidP="00EF3A42">
      <w:pPr>
        <w:pStyle w:val="Heading2"/>
        <w:rPr>
          <w:lang w:val="en-GB"/>
        </w:rPr>
      </w:pPr>
      <w:bookmarkStart w:id="217" w:name="_Toc417502106"/>
      <w:r w:rsidRPr="00F17487">
        <w:rPr>
          <w:lang w:val="en-GB"/>
        </w:rPr>
        <w:t xml:space="preserve">Appendix </w:t>
      </w:r>
      <w:r>
        <w:rPr>
          <w:lang w:val="en-GB"/>
        </w:rPr>
        <w:t>8: T</w:t>
      </w:r>
      <w:r w:rsidRPr="00F17487">
        <w:rPr>
          <w:lang w:val="en-GB"/>
        </w:rPr>
        <w:t>obacco Control and Vested Interest – A Lesson from Recent History</w:t>
      </w:r>
      <w:bookmarkEnd w:id="217"/>
    </w:p>
    <w:p w:rsidR="00C638DE" w:rsidRPr="00EF3A42" w:rsidRDefault="00C638DE" w:rsidP="00EF3A42">
      <w:pPr>
        <w:rPr>
          <w:lang w:val="en-GB"/>
        </w:rPr>
      </w:pPr>
    </w:p>
    <w:sectPr w:rsidR="00C638DE" w:rsidRPr="00EF3A42" w:rsidSect="005C502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0EE" w:rsidRDefault="00E010EE" w:rsidP="00646778">
      <w:r>
        <w:separator/>
      </w:r>
    </w:p>
  </w:endnote>
  <w:endnote w:type="continuationSeparator" w:id="0">
    <w:p w:rsidR="00E010EE" w:rsidRDefault="00E010EE" w:rsidP="00646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dobe Garamond Pro">
    <w:altName w:val="SimSun"/>
    <w:panose1 w:val="00000000000000000000"/>
    <w:charset w:val="86"/>
    <w:family w:val="roman"/>
    <w:notTrueType/>
    <w:pitch w:val="default"/>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MS Sans Serif">
    <w:panose1 w:val="00000000000000000000"/>
    <w:charset w:val="4D"/>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w:altName w:val="Book Antiqua"/>
    <w:charset w:val="00"/>
    <w:family w:val="auto"/>
    <w:pitch w:val="variable"/>
    <w:sig w:usb0="A00002FF" w:usb1="7800205A" w:usb2="14600000" w:usb3="00000000" w:csb0="00000193" w:csb1="00000000"/>
  </w:font>
  <w:font w:name="DINPro-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altName w:val="MS Gothic"/>
    <w:panose1 w:val="00000000000000000000"/>
    <w:charset w:val="00"/>
    <w:family w:val="swiss"/>
    <w:notTrueType/>
    <w:pitch w:val="default"/>
    <w:sig w:usb0="00000000" w:usb1="08070000" w:usb2="00000010" w:usb3="00000000" w:csb0="0002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41856"/>
      <w:docPartObj>
        <w:docPartGallery w:val="Page Numbers (Bottom of Page)"/>
        <w:docPartUnique/>
      </w:docPartObj>
    </w:sdtPr>
    <w:sdtEndPr>
      <w:rPr>
        <w:color w:val="7F7F7F" w:themeColor="background1" w:themeShade="7F"/>
        <w:spacing w:val="60"/>
      </w:rPr>
    </w:sdtEndPr>
    <w:sdtContent>
      <w:p w:rsidR="00A43B13" w:rsidRDefault="00E13392">
        <w:pPr>
          <w:pStyle w:val="Footer"/>
          <w:pBdr>
            <w:top w:val="single" w:sz="4" w:space="1" w:color="D9D9D9" w:themeColor="background1" w:themeShade="D9"/>
          </w:pBdr>
          <w:jc w:val="right"/>
        </w:pPr>
        <w:r>
          <w:fldChar w:fldCharType="begin"/>
        </w:r>
        <w:r w:rsidR="00A43B13">
          <w:instrText xml:space="preserve"> PAGE   \* MERGEFORMAT </w:instrText>
        </w:r>
        <w:r>
          <w:fldChar w:fldCharType="separate"/>
        </w:r>
        <w:r w:rsidR="00377342">
          <w:rPr>
            <w:noProof/>
          </w:rPr>
          <w:t>2</w:t>
        </w:r>
        <w:r>
          <w:rPr>
            <w:noProof/>
          </w:rPr>
          <w:fldChar w:fldCharType="end"/>
        </w:r>
        <w:r w:rsidR="00A43B13">
          <w:t xml:space="preserve"> | </w:t>
        </w:r>
        <w:r w:rsidR="00A43B13">
          <w:rPr>
            <w:color w:val="7F7F7F" w:themeColor="background1" w:themeShade="7F"/>
            <w:spacing w:val="60"/>
          </w:rPr>
          <w:t>Page</w:t>
        </w:r>
      </w:p>
    </w:sdtContent>
  </w:sdt>
  <w:p w:rsidR="00A43B13" w:rsidRDefault="00A43B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0EE" w:rsidRDefault="00E010EE" w:rsidP="00646778">
      <w:r>
        <w:separator/>
      </w:r>
    </w:p>
  </w:footnote>
  <w:footnote w:type="continuationSeparator" w:id="0">
    <w:p w:rsidR="00E010EE" w:rsidRDefault="00E010EE" w:rsidP="006467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76E51"/>
    <w:multiLevelType w:val="hybridMultilevel"/>
    <w:tmpl w:val="CE44B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B45402"/>
    <w:multiLevelType w:val="hybridMultilevel"/>
    <w:tmpl w:val="5E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851BC"/>
    <w:multiLevelType w:val="hybridMultilevel"/>
    <w:tmpl w:val="FA287670"/>
    <w:lvl w:ilvl="0" w:tplc="7CA2E28E">
      <w:numFmt w:val="bullet"/>
      <w:lvlText w:val="-"/>
      <w:lvlJc w:val="left"/>
      <w:pPr>
        <w:ind w:left="720" w:hanging="360"/>
      </w:pPr>
      <w:rPr>
        <w:rFonts w:ascii="Calibri" w:eastAsiaTheme="minorEastAsia"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F55258"/>
    <w:multiLevelType w:val="hybridMultilevel"/>
    <w:tmpl w:val="8E7CA5F6"/>
    <w:lvl w:ilvl="0" w:tplc="DDF0F480">
      <w:start w:val="5"/>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6910D3"/>
    <w:multiLevelType w:val="hybridMultilevel"/>
    <w:tmpl w:val="5EFA1C20"/>
    <w:lvl w:ilvl="0" w:tplc="4B8805C8">
      <w:start w:val="1"/>
      <w:numFmt w:val="decimal"/>
      <w:lvlText w:val="%1)"/>
      <w:lvlJc w:val="left"/>
      <w:pPr>
        <w:ind w:left="720" w:hanging="360"/>
      </w:pPr>
      <w:rPr>
        <w:rFonts w:hint="default"/>
        <w:b/>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8F43E3"/>
    <w:multiLevelType w:val="hybridMultilevel"/>
    <w:tmpl w:val="BD3C468C"/>
    <w:lvl w:ilvl="0" w:tplc="829648A8">
      <w:start w:val="2"/>
      <w:numFmt w:val="bullet"/>
      <w:lvlText w:val="-"/>
      <w:lvlJc w:val="left"/>
      <w:pPr>
        <w:ind w:left="720" w:hanging="360"/>
      </w:pPr>
      <w:rPr>
        <w:rFonts w:ascii="Calibri" w:eastAsiaTheme="minorEastAsia"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CD3AC5"/>
    <w:multiLevelType w:val="hybridMultilevel"/>
    <w:tmpl w:val="02FE2156"/>
    <w:lvl w:ilvl="0" w:tplc="CB2E59D6">
      <w:numFmt w:val="bullet"/>
      <w:lvlText w:val="-"/>
      <w:lvlJc w:val="left"/>
      <w:pPr>
        <w:ind w:left="720" w:hanging="360"/>
      </w:pPr>
      <w:rPr>
        <w:rFonts w:ascii="Calibri" w:eastAsiaTheme="minorEastAsia"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50548E"/>
    <w:multiLevelType w:val="hybridMultilevel"/>
    <w:tmpl w:val="8E48C3C8"/>
    <w:lvl w:ilvl="0" w:tplc="2A14BBA0">
      <w:start w:val="2"/>
      <w:numFmt w:val="bullet"/>
      <w:lvlText w:val="-"/>
      <w:lvlJc w:val="left"/>
      <w:pPr>
        <w:ind w:left="720" w:hanging="360"/>
      </w:pPr>
      <w:rPr>
        <w:rFonts w:ascii="Calibri" w:eastAsiaTheme="minorEastAsia"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6A3582"/>
    <w:multiLevelType w:val="hybridMultilevel"/>
    <w:tmpl w:val="590820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3414E7"/>
    <w:multiLevelType w:val="hybridMultilevel"/>
    <w:tmpl w:val="3C341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B2A23"/>
    <w:multiLevelType w:val="hybridMultilevel"/>
    <w:tmpl w:val="D182E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FD25F5"/>
    <w:multiLevelType w:val="hybridMultilevel"/>
    <w:tmpl w:val="ED800890"/>
    <w:lvl w:ilvl="0" w:tplc="2A14BBA0">
      <w:start w:val="2"/>
      <w:numFmt w:val="bullet"/>
      <w:lvlText w:val="-"/>
      <w:lvlJc w:val="left"/>
      <w:pPr>
        <w:ind w:left="720" w:hanging="360"/>
      </w:pPr>
      <w:rPr>
        <w:rFonts w:ascii="Calibri" w:eastAsiaTheme="minorEastAsia"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883D6C"/>
    <w:multiLevelType w:val="hybridMultilevel"/>
    <w:tmpl w:val="17BE5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96A59"/>
    <w:multiLevelType w:val="hybridMultilevel"/>
    <w:tmpl w:val="A2FC4EF8"/>
    <w:lvl w:ilvl="0" w:tplc="E14A89BE">
      <w:numFmt w:val="bullet"/>
      <w:lvlText w:val="-"/>
      <w:lvlJc w:val="left"/>
      <w:pPr>
        <w:ind w:left="720" w:hanging="360"/>
      </w:pPr>
      <w:rPr>
        <w:rFonts w:ascii="Calibri" w:eastAsiaTheme="minorEastAsia"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E94FC7"/>
    <w:multiLevelType w:val="hybridMultilevel"/>
    <w:tmpl w:val="1FCAFAFC"/>
    <w:lvl w:ilvl="0" w:tplc="4E8A73A0">
      <w:start w:val="1"/>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2C5440"/>
    <w:multiLevelType w:val="hybridMultilevel"/>
    <w:tmpl w:val="BAA4C1EA"/>
    <w:lvl w:ilvl="0" w:tplc="AE94FE9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F9E590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92DD9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DBA3FB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A1E1D4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3E709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B2A76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60C8E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6633C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F3E14A8"/>
    <w:multiLevelType w:val="hybridMultilevel"/>
    <w:tmpl w:val="528C4178"/>
    <w:lvl w:ilvl="0" w:tplc="158AAE6E">
      <w:numFmt w:val="bullet"/>
      <w:lvlText w:val="-"/>
      <w:lvlJc w:val="left"/>
      <w:pPr>
        <w:ind w:left="720" w:hanging="360"/>
      </w:pPr>
      <w:rPr>
        <w:rFonts w:ascii="Calibri" w:eastAsiaTheme="minorEastAsia"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EF633E"/>
    <w:multiLevelType w:val="hybridMultilevel"/>
    <w:tmpl w:val="6BFAE9AE"/>
    <w:lvl w:ilvl="0" w:tplc="71C03812">
      <w:start w:val="2"/>
      <w:numFmt w:val="bullet"/>
      <w:lvlText w:val="-"/>
      <w:lvlJc w:val="left"/>
      <w:pPr>
        <w:ind w:left="720" w:hanging="360"/>
      </w:pPr>
      <w:rPr>
        <w:rFonts w:ascii="Calibri" w:eastAsiaTheme="minorEastAsia"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24174E"/>
    <w:multiLevelType w:val="hybridMultilevel"/>
    <w:tmpl w:val="B72237D2"/>
    <w:lvl w:ilvl="0" w:tplc="BBD0A23E">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01A7055"/>
    <w:multiLevelType w:val="hybridMultilevel"/>
    <w:tmpl w:val="7286FB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EE3315"/>
    <w:multiLevelType w:val="hybridMultilevel"/>
    <w:tmpl w:val="32567496"/>
    <w:lvl w:ilvl="0" w:tplc="0624EEFE">
      <w:start w:val="1"/>
      <w:numFmt w:val="bullet"/>
      <w:lvlText w:val="-"/>
      <w:lvlJc w:val="left"/>
      <w:pPr>
        <w:ind w:left="720" w:hanging="360"/>
      </w:pPr>
      <w:rPr>
        <w:rFonts w:ascii="Calibri" w:eastAsiaTheme="minorEastAsia"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FA81848"/>
    <w:multiLevelType w:val="hybridMultilevel"/>
    <w:tmpl w:val="EEBAF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21"/>
  </w:num>
  <w:num w:numId="3">
    <w:abstractNumId w:val="10"/>
  </w:num>
  <w:num w:numId="4">
    <w:abstractNumId w:val="12"/>
  </w:num>
  <w:num w:numId="5">
    <w:abstractNumId w:val="1"/>
  </w:num>
  <w:num w:numId="6">
    <w:abstractNumId w:val="9"/>
  </w:num>
  <w:num w:numId="7">
    <w:abstractNumId w:val="19"/>
  </w:num>
  <w:num w:numId="8">
    <w:abstractNumId w:val="0"/>
  </w:num>
  <w:num w:numId="9">
    <w:abstractNumId w:val="18"/>
  </w:num>
  <w:num w:numId="10">
    <w:abstractNumId w:val="13"/>
  </w:num>
  <w:num w:numId="11">
    <w:abstractNumId w:val="6"/>
  </w:num>
  <w:num w:numId="12">
    <w:abstractNumId w:val="16"/>
  </w:num>
  <w:num w:numId="13">
    <w:abstractNumId w:val="1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1"/>
  </w:num>
  <w:num w:numId="17">
    <w:abstractNumId w:val="20"/>
  </w:num>
  <w:num w:numId="18">
    <w:abstractNumId w:val="3"/>
  </w:num>
  <w:num w:numId="19">
    <w:abstractNumId w:val="2"/>
  </w:num>
  <w:num w:numId="20">
    <w:abstractNumId w:val="17"/>
  </w:num>
  <w:num w:numId="21">
    <w:abstractNumId w:val="8"/>
  </w:num>
  <w:num w:numId="22">
    <w:abstractNumId w:val="4"/>
  </w:num>
  <w:num w:numId="23">
    <w:abstractNumId w:val="14"/>
  </w:num>
  <w:num w:numId="24">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wtftd20rmszxx0ettxy5exwdf90wv22s2dsf&quot;&gt;Nick Watts Endnote Library-Saved&lt;record-ids&gt;&lt;item&gt;165&lt;/item&gt;&lt;item&gt;169&lt;/item&gt;&lt;item&gt;293&lt;/item&gt;&lt;item&gt;859&lt;/item&gt;&lt;item&gt;895&lt;/item&gt;&lt;item&gt;898&lt;/item&gt;&lt;item&gt;903&lt;/item&gt;&lt;item&gt;904&lt;/item&gt;&lt;item&gt;905&lt;/item&gt;&lt;item&gt;914&lt;/item&gt;&lt;item&gt;916&lt;/item&gt;&lt;item&gt;918&lt;/item&gt;&lt;item&gt;919&lt;/item&gt;&lt;item&gt;920&lt;/item&gt;&lt;item&gt;921&lt;/item&gt;&lt;item&gt;922&lt;/item&gt;&lt;item&gt;923&lt;/item&gt;&lt;item&gt;924&lt;/item&gt;&lt;item&gt;929&lt;/item&gt;&lt;item&gt;930&lt;/item&gt;&lt;item&gt;933&lt;/item&gt;&lt;item&gt;934&lt;/item&gt;&lt;item&gt;935&lt;/item&gt;&lt;item&gt;936&lt;/item&gt;&lt;item&gt;937&lt;/item&gt;&lt;item&gt;944&lt;/item&gt;&lt;item&gt;945&lt;/item&gt;&lt;item&gt;946&lt;/item&gt;&lt;item&gt;947&lt;/item&gt;&lt;item&gt;948&lt;/item&gt;&lt;item&gt;949&lt;/item&gt;&lt;item&gt;950&lt;/item&gt;&lt;item&gt;952&lt;/item&gt;&lt;item&gt;955&lt;/item&gt;&lt;item&gt;957&lt;/item&gt;&lt;item&gt;960&lt;/item&gt;&lt;item&gt;963&lt;/item&gt;&lt;item&gt;965&lt;/item&gt;&lt;item&gt;969&lt;/item&gt;&lt;item&gt;970&lt;/item&gt;&lt;item&gt;971&lt;/item&gt;&lt;item&gt;975&lt;/item&gt;&lt;item&gt;977&lt;/item&gt;&lt;item&gt;978&lt;/item&gt;&lt;item&gt;979&lt;/item&gt;&lt;item&gt;980&lt;/item&gt;&lt;item&gt;982&lt;/item&gt;&lt;item&gt;983&lt;/item&gt;&lt;item&gt;991&lt;/item&gt;&lt;item&gt;992&lt;/item&gt;&lt;item&gt;993&lt;/item&gt;&lt;item&gt;995&lt;/item&gt;&lt;item&gt;996&lt;/item&gt;&lt;item&gt;1000&lt;/item&gt;&lt;item&gt;1002&lt;/item&gt;&lt;item&gt;1003&lt;/item&gt;&lt;item&gt;1004&lt;/item&gt;&lt;item&gt;1005&lt;/item&gt;&lt;item&gt;1008&lt;/item&gt;&lt;item&gt;1009&lt;/item&gt;&lt;item&gt;1011&lt;/item&gt;&lt;item&gt;1013&lt;/item&gt;&lt;item&gt;1014&lt;/item&gt;&lt;item&gt;1016&lt;/item&gt;&lt;item&gt;1017&lt;/item&gt;&lt;item&gt;1019&lt;/item&gt;&lt;item&gt;1022&lt;/item&gt;&lt;item&gt;1023&lt;/item&gt;&lt;item&gt;1024&lt;/item&gt;&lt;item&gt;1027&lt;/item&gt;&lt;item&gt;1030&lt;/item&gt;&lt;item&gt;1031&lt;/item&gt;&lt;item&gt;1033&lt;/item&gt;&lt;item&gt;1035&lt;/item&gt;&lt;item&gt;1037&lt;/item&gt;&lt;item&gt;1038&lt;/item&gt;&lt;item&gt;1039&lt;/item&gt;&lt;item&gt;1040&lt;/item&gt;&lt;item&gt;1042&lt;/item&gt;&lt;item&gt;1045&lt;/item&gt;&lt;item&gt;1046&lt;/item&gt;&lt;item&gt;1047&lt;/item&gt;&lt;item&gt;1048&lt;/item&gt;&lt;item&gt;1049&lt;/item&gt;&lt;item&gt;1051&lt;/item&gt;&lt;item&gt;1052&lt;/item&gt;&lt;item&gt;1053&lt;/item&gt;&lt;item&gt;1056&lt;/item&gt;&lt;item&gt;1057&lt;/item&gt;&lt;item&gt;1058&lt;/item&gt;&lt;item&gt;1061&lt;/item&gt;&lt;item&gt;1063&lt;/item&gt;&lt;item&gt;1064&lt;/item&gt;&lt;item&gt;1067&lt;/item&gt;&lt;item&gt;1068&lt;/item&gt;&lt;item&gt;1069&lt;/item&gt;&lt;item&gt;1073&lt;/item&gt;&lt;item&gt;1074&lt;/item&gt;&lt;item&gt;1076&lt;/item&gt;&lt;item&gt;1077&lt;/item&gt;&lt;item&gt;1079&lt;/item&gt;&lt;item&gt;1083&lt;/item&gt;&lt;item&gt;1087&lt;/item&gt;&lt;item&gt;1088&lt;/item&gt;&lt;item&gt;1092&lt;/item&gt;&lt;item&gt;1094&lt;/item&gt;&lt;item&gt;1096&lt;/item&gt;&lt;item&gt;1097&lt;/item&gt;&lt;item&gt;1098&lt;/item&gt;&lt;item&gt;1099&lt;/item&gt;&lt;item&gt;1100&lt;/item&gt;&lt;item&gt;1104&lt;/item&gt;&lt;item&gt;1105&lt;/item&gt;&lt;item&gt;1106&lt;/item&gt;&lt;item&gt;1107&lt;/item&gt;&lt;item&gt;1109&lt;/item&gt;&lt;item&gt;1110&lt;/item&gt;&lt;item&gt;1111&lt;/item&gt;&lt;item&gt;1112&lt;/item&gt;&lt;item&gt;1113&lt;/item&gt;&lt;item&gt;1119&lt;/item&gt;&lt;item&gt;1120&lt;/item&gt;&lt;item&gt;1121&lt;/item&gt;&lt;item&gt;1124&lt;/item&gt;&lt;item&gt;1125&lt;/item&gt;&lt;item&gt;1127&lt;/item&gt;&lt;item&gt;1128&lt;/item&gt;&lt;item&gt;1129&lt;/item&gt;&lt;item&gt;1133&lt;/item&gt;&lt;item&gt;1136&lt;/item&gt;&lt;item&gt;1139&lt;/item&gt;&lt;item&gt;1141&lt;/item&gt;&lt;item&gt;1142&lt;/item&gt;&lt;item&gt;1143&lt;/item&gt;&lt;item&gt;1144&lt;/item&gt;&lt;item&gt;1145&lt;/item&gt;&lt;item&gt;1147&lt;/item&gt;&lt;item&gt;1148&lt;/item&gt;&lt;item&gt;1149&lt;/item&gt;&lt;item&gt;1150&lt;/item&gt;&lt;item&gt;1151&lt;/item&gt;&lt;item&gt;1154&lt;/item&gt;&lt;item&gt;1156&lt;/item&gt;&lt;item&gt;1159&lt;/item&gt;&lt;item&gt;1161&lt;/item&gt;&lt;item&gt;1162&lt;/item&gt;&lt;item&gt;1163&lt;/item&gt;&lt;item&gt;1165&lt;/item&gt;&lt;item&gt;1168&lt;/item&gt;&lt;item&gt;1169&lt;/item&gt;&lt;item&gt;1170&lt;/item&gt;&lt;item&gt;1171&lt;/item&gt;&lt;item&gt;1172&lt;/item&gt;&lt;item&gt;1173&lt;/item&gt;&lt;item&gt;1174&lt;/item&gt;&lt;item&gt;1175&lt;/item&gt;&lt;item&gt;1176&lt;/item&gt;&lt;item&gt;1184&lt;/item&gt;&lt;item&gt;1185&lt;/item&gt;&lt;item&gt;1186&lt;/item&gt;&lt;item&gt;1187&lt;/item&gt;&lt;item&gt;1190&lt;/item&gt;&lt;item&gt;1191&lt;/item&gt;&lt;item&gt;1193&lt;/item&gt;&lt;item&gt;1195&lt;/item&gt;&lt;item&gt;1199&lt;/item&gt;&lt;item&gt;1200&lt;/item&gt;&lt;item&gt;1203&lt;/item&gt;&lt;item&gt;1205&lt;/item&gt;&lt;item&gt;1206&lt;/item&gt;&lt;item&gt;1208&lt;/item&gt;&lt;item&gt;1209&lt;/item&gt;&lt;item&gt;1210&lt;/item&gt;&lt;item&gt;1213&lt;/item&gt;&lt;item&gt;1215&lt;/item&gt;&lt;item&gt;1216&lt;/item&gt;&lt;item&gt;1232&lt;/item&gt;&lt;item&gt;1234&lt;/item&gt;&lt;item&gt;1236&lt;/item&gt;&lt;item&gt;1237&lt;/item&gt;&lt;item&gt;1238&lt;/item&gt;&lt;item&gt;1241&lt;/item&gt;&lt;item&gt;1243&lt;/item&gt;&lt;item&gt;1252&lt;/item&gt;&lt;item&gt;1261&lt;/item&gt;&lt;item&gt;1262&lt;/item&gt;&lt;item&gt;1265&lt;/item&gt;&lt;item&gt;1266&lt;/item&gt;&lt;item&gt;1268&lt;/item&gt;&lt;item&gt;1274&lt;/item&gt;&lt;item&gt;1277&lt;/item&gt;&lt;item&gt;1278&lt;/item&gt;&lt;item&gt;1279&lt;/item&gt;&lt;item&gt;1280&lt;/item&gt;&lt;item&gt;1282&lt;/item&gt;&lt;item&gt;1283&lt;/item&gt;&lt;item&gt;1284&lt;/item&gt;&lt;item&gt;1285&lt;/item&gt;&lt;item&gt;1286&lt;/item&gt;&lt;item&gt;1290&lt;/item&gt;&lt;item&gt;1291&lt;/item&gt;&lt;item&gt;1293&lt;/item&gt;&lt;item&gt;1295&lt;/item&gt;&lt;item&gt;1297&lt;/item&gt;&lt;item&gt;1302&lt;/item&gt;&lt;item&gt;1309&lt;/item&gt;&lt;item&gt;1310&lt;/item&gt;&lt;item&gt;1311&lt;/item&gt;&lt;item&gt;1313&lt;/item&gt;&lt;item&gt;1361&lt;/item&gt;&lt;item&gt;1363&lt;/item&gt;&lt;item&gt;1368&lt;/item&gt;&lt;item&gt;1384&lt;/item&gt;&lt;item&gt;1385&lt;/item&gt;&lt;item&gt;1386&lt;/item&gt;&lt;item&gt;1387&lt;/item&gt;&lt;item&gt;1388&lt;/item&gt;&lt;item&gt;1389&lt;/item&gt;&lt;item&gt;1390&lt;/item&gt;&lt;item&gt;1391&lt;/item&gt;&lt;item&gt;1392&lt;/item&gt;&lt;item&gt;1393&lt;/item&gt;&lt;item&gt;1396&lt;/item&gt;&lt;item&gt;1397&lt;/item&gt;&lt;item&gt;1398&lt;/item&gt;&lt;item&gt;1399&lt;/item&gt;&lt;item&gt;1400&lt;/item&gt;&lt;item&gt;1407&lt;/item&gt;&lt;item&gt;1408&lt;/item&gt;&lt;item&gt;1409&lt;/item&gt;&lt;item&gt;1412&lt;/item&gt;&lt;item&gt;1415&lt;/item&gt;&lt;item&gt;1416&lt;/item&gt;&lt;item&gt;1417&lt;/item&gt;&lt;item&gt;1420&lt;/item&gt;&lt;item&gt;1421&lt;/item&gt;&lt;item&gt;1423&lt;/item&gt;&lt;item&gt;1425&lt;/item&gt;&lt;item&gt;1426&lt;/item&gt;&lt;item&gt;1427&lt;/item&gt;&lt;item&gt;1428&lt;/item&gt;&lt;item&gt;1429&lt;/item&gt;&lt;item&gt;1430&lt;/item&gt;&lt;item&gt;1431&lt;/item&gt;&lt;item&gt;1432&lt;/item&gt;&lt;item&gt;1433&lt;/item&gt;&lt;item&gt;1435&lt;/item&gt;&lt;item&gt;1440&lt;/item&gt;&lt;item&gt;1442&lt;/item&gt;&lt;item&gt;1443&lt;/item&gt;&lt;item&gt;1445&lt;/item&gt;&lt;item&gt;1448&lt;/item&gt;&lt;item&gt;1451&lt;/item&gt;&lt;item&gt;1454&lt;/item&gt;&lt;item&gt;1455&lt;/item&gt;&lt;item&gt;1456&lt;/item&gt;&lt;item&gt;1457&lt;/item&gt;&lt;item&gt;1458&lt;/item&gt;&lt;item&gt;1459&lt;/item&gt;&lt;item&gt;1460&lt;/item&gt;&lt;item&gt;1470&lt;/item&gt;&lt;item&gt;1486&lt;/item&gt;&lt;item&gt;1487&lt;/item&gt;&lt;item&gt;1489&lt;/item&gt;&lt;item&gt;1490&lt;/item&gt;&lt;item&gt;1492&lt;/item&gt;&lt;item&gt;1493&lt;/item&gt;&lt;item&gt;1503&lt;/item&gt;&lt;item&gt;1509&lt;/item&gt;&lt;item&gt;1510&lt;/item&gt;&lt;item&gt;1511&lt;/item&gt;&lt;item&gt;1514&lt;/item&gt;&lt;item&gt;1519&lt;/item&gt;&lt;item&gt;1520&lt;/item&gt;&lt;item&gt;1521&lt;/item&gt;&lt;item&gt;1523&lt;/item&gt;&lt;item&gt;1525&lt;/item&gt;&lt;item&gt;1526&lt;/item&gt;&lt;item&gt;1527&lt;/item&gt;&lt;item&gt;1528&lt;/item&gt;&lt;item&gt;1541&lt;/item&gt;&lt;item&gt;1542&lt;/item&gt;&lt;item&gt;1543&lt;/item&gt;&lt;item&gt;1544&lt;/item&gt;&lt;item&gt;1545&lt;/item&gt;&lt;item&gt;1546&lt;/item&gt;&lt;item&gt;1547&lt;/item&gt;&lt;item&gt;1548&lt;/item&gt;&lt;item&gt;1550&lt;/item&gt;&lt;item&gt;1552&lt;/item&gt;&lt;item&gt;1555&lt;/item&gt;&lt;item&gt;1556&lt;/item&gt;&lt;item&gt;1558&lt;/item&gt;&lt;item&gt;1559&lt;/item&gt;&lt;item&gt;1560&lt;/item&gt;&lt;item&gt;1563&lt;/item&gt;&lt;item&gt;1565&lt;/item&gt;&lt;item&gt;1566&lt;/item&gt;&lt;item&gt;1567&lt;/item&gt;&lt;item&gt;1568&lt;/item&gt;&lt;item&gt;1569&lt;/item&gt;&lt;item&gt;1570&lt;/item&gt;&lt;item&gt;1571&lt;/item&gt;&lt;item&gt;1573&lt;/item&gt;&lt;item&gt;1574&lt;/item&gt;&lt;item&gt;1575&lt;/item&gt;&lt;item&gt;1576&lt;/item&gt;&lt;item&gt;1579&lt;/item&gt;&lt;item&gt;1580&lt;/item&gt;&lt;item&gt;1582&lt;/item&gt;&lt;item&gt;1583&lt;/item&gt;&lt;item&gt;1584&lt;/item&gt;&lt;/record-ids&gt;&lt;/item&gt;&lt;/Libraries&gt;"/>
  </w:docVars>
  <w:rsids>
    <w:rsidRoot w:val="00B00598"/>
    <w:rsid w:val="00000FD0"/>
    <w:rsid w:val="00003192"/>
    <w:rsid w:val="000079C3"/>
    <w:rsid w:val="00011902"/>
    <w:rsid w:val="00012BAE"/>
    <w:rsid w:val="00015352"/>
    <w:rsid w:val="0001659F"/>
    <w:rsid w:val="00022657"/>
    <w:rsid w:val="00022F84"/>
    <w:rsid w:val="00024E43"/>
    <w:rsid w:val="00026379"/>
    <w:rsid w:val="000340EE"/>
    <w:rsid w:val="000360DE"/>
    <w:rsid w:val="0003679D"/>
    <w:rsid w:val="0004392F"/>
    <w:rsid w:val="00045A80"/>
    <w:rsid w:val="00046DF3"/>
    <w:rsid w:val="00051058"/>
    <w:rsid w:val="000616F9"/>
    <w:rsid w:val="00062A46"/>
    <w:rsid w:val="00064451"/>
    <w:rsid w:val="0006739F"/>
    <w:rsid w:val="00067B80"/>
    <w:rsid w:val="00076B51"/>
    <w:rsid w:val="00083AAE"/>
    <w:rsid w:val="000858D2"/>
    <w:rsid w:val="0008705D"/>
    <w:rsid w:val="000942AB"/>
    <w:rsid w:val="000A5DCA"/>
    <w:rsid w:val="000A6924"/>
    <w:rsid w:val="000C0A4C"/>
    <w:rsid w:val="000C602D"/>
    <w:rsid w:val="000C717C"/>
    <w:rsid w:val="000C7239"/>
    <w:rsid w:val="000D36CB"/>
    <w:rsid w:val="000D48A6"/>
    <w:rsid w:val="000D59B3"/>
    <w:rsid w:val="000E6723"/>
    <w:rsid w:val="000E78FE"/>
    <w:rsid w:val="001009D9"/>
    <w:rsid w:val="001049EA"/>
    <w:rsid w:val="0010630A"/>
    <w:rsid w:val="00111D2A"/>
    <w:rsid w:val="00111EDA"/>
    <w:rsid w:val="0011370D"/>
    <w:rsid w:val="001167EE"/>
    <w:rsid w:val="0011708B"/>
    <w:rsid w:val="00121FF4"/>
    <w:rsid w:val="001316DC"/>
    <w:rsid w:val="001330C2"/>
    <w:rsid w:val="0013438A"/>
    <w:rsid w:val="00142ED0"/>
    <w:rsid w:val="00153E72"/>
    <w:rsid w:val="00155D15"/>
    <w:rsid w:val="00161777"/>
    <w:rsid w:val="001709E8"/>
    <w:rsid w:val="00173F6A"/>
    <w:rsid w:val="00174694"/>
    <w:rsid w:val="00174862"/>
    <w:rsid w:val="00183A4E"/>
    <w:rsid w:val="00184D15"/>
    <w:rsid w:val="001917CC"/>
    <w:rsid w:val="00197226"/>
    <w:rsid w:val="001975C3"/>
    <w:rsid w:val="001A27B9"/>
    <w:rsid w:val="001A4C37"/>
    <w:rsid w:val="001A7027"/>
    <w:rsid w:val="001B0282"/>
    <w:rsid w:val="001B3BB9"/>
    <w:rsid w:val="001B4602"/>
    <w:rsid w:val="001E5E0E"/>
    <w:rsid w:val="001E6C77"/>
    <w:rsid w:val="001F2033"/>
    <w:rsid w:val="001F245B"/>
    <w:rsid w:val="001F464A"/>
    <w:rsid w:val="001F7282"/>
    <w:rsid w:val="001F779B"/>
    <w:rsid w:val="00206284"/>
    <w:rsid w:val="00206DB1"/>
    <w:rsid w:val="00206E13"/>
    <w:rsid w:val="002078B3"/>
    <w:rsid w:val="0021332B"/>
    <w:rsid w:val="00213494"/>
    <w:rsid w:val="002154C8"/>
    <w:rsid w:val="002158C1"/>
    <w:rsid w:val="00220110"/>
    <w:rsid w:val="00227591"/>
    <w:rsid w:val="002309DC"/>
    <w:rsid w:val="0023118A"/>
    <w:rsid w:val="002354AF"/>
    <w:rsid w:val="00237D9F"/>
    <w:rsid w:val="00240738"/>
    <w:rsid w:val="00244AA9"/>
    <w:rsid w:val="0024571D"/>
    <w:rsid w:val="0025313C"/>
    <w:rsid w:val="00257226"/>
    <w:rsid w:val="00265A15"/>
    <w:rsid w:val="002665C4"/>
    <w:rsid w:val="002666DF"/>
    <w:rsid w:val="00267056"/>
    <w:rsid w:val="0027290A"/>
    <w:rsid w:val="00272BEF"/>
    <w:rsid w:val="00273766"/>
    <w:rsid w:val="00285DBA"/>
    <w:rsid w:val="002912E8"/>
    <w:rsid w:val="00295A0B"/>
    <w:rsid w:val="002A3C0A"/>
    <w:rsid w:val="002B1FDB"/>
    <w:rsid w:val="002C161A"/>
    <w:rsid w:val="002C2862"/>
    <w:rsid w:val="002C5272"/>
    <w:rsid w:val="002E37E8"/>
    <w:rsid w:val="002F308D"/>
    <w:rsid w:val="002F32D9"/>
    <w:rsid w:val="002F475D"/>
    <w:rsid w:val="002F499D"/>
    <w:rsid w:val="003003DC"/>
    <w:rsid w:val="00303C0E"/>
    <w:rsid w:val="003119D8"/>
    <w:rsid w:val="003151E0"/>
    <w:rsid w:val="0031542F"/>
    <w:rsid w:val="00326240"/>
    <w:rsid w:val="003319C8"/>
    <w:rsid w:val="003410DB"/>
    <w:rsid w:val="00341FD1"/>
    <w:rsid w:val="0034354B"/>
    <w:rsid w:val="00343D7E"/>
    <w:rsid w:val="00350617"/>
    <w:rsid w:val="00350A28"/>
    <w:rsid w:val="0035303C"/>
    <w:rsid w:val="0035686E"/>
    <w:rsid w:val="003604C8"/>
    <w:rsid w:val="0036058F"/>
    <w:rsid w:val="00362B53"/>
    <w:rsid w:val="003661E5"/>
    <w:rsid w:val="003737C0"/>
    <w:rsid w:val="00374CF9"/>
    <w:rsid w:val="00375FC5"/>
    <w:rsid w:val="00377342"/>
    <w:rsid w:val="00393EE0"/>
    <w:rsid w:val="003A0423"/>
    <w:rsid w:val="003A6F54"/>
    <w:rsid w:val="003B45F8"/>
    <w:rsid w:val="003B5AB3"/>
    <w:rsid w:val="003C041E"/>
    <w:rsid w:val="003D5AE6"/>
    <w:rsid w:val="003E1A30"/>
    <w:rsid w:val="003F0715"/>
    <w:rsid w:val="003F5DA7"/>
    <w:rsid w:val="003F7043"/>
    <w:rsid w:val="004008E1"/>
    <w:rsid w:val="004029F2"/>
    <w:rsid w:val="00402F8B"/>
    <w:rsid w:val="004052FF"/>
    <w:rsid w:val="004204DA"/>
    <w:rsid w:val="00423562"/>
    <w:rsid w:val="00425690"/>
    <w:rsid w:val="00425CE1"/>
    <w:rsid w:val="00427106"/>
    <w:rsid w:val="00427394"/>
    <w:rsid w:val="004349AE"/>
    <w:rsid w:val="004424D7"/>
    <w:rsid w:val="00443D33"/>
    <w:rsid w:val="00444A47"/>
    <w:rsid w:val="0044551B"/>
    <w:rsid w:val="004521E5"/>
    <w:rsid w:val="00452E57"/>
    <w:rsid w:val="00454DCF"/>
    <w:rsid w:val="00455F3E"/>
    <w:rsid w:val="004560F5"/>
    <w:rsid w:val="0046033D"/>
    <w:rsid w:val="00463E1B"/>
    <w:rsid w:val="004648AD"/>
    <w:rsid w:val="0047105E"/>
    <w:rsid w:val="004724FC"/>
    <w:rsid w:val="00472566"/>
    <w:rsid w:val="00474A0D"/>
    <w:rsid w:val="004762DD"/>
    <w:rsid w:val="00476AFF"/>
    <w:rsid w:val="00487EF4"/>
    <w:rsid w:val="00495838"/>
    <w:rsid w:val="004A1DD9"/>
    <w:rsid w:val="004A38FA"/>
    <w:rsid w:val="004A4E03"/>
    <w:rsid w:val="004A6E9D"/>
    <w:rsid w:val="004A7CC2"/>
    <w:rsid w:val="004B041F"/>
    <w:rsid w:val="004B20AD"/>
    <w:rsid w:val="004B2349"/>
    <w:rsid w:val="004B3151"/>
    <w:rsid w:val="004B35C3"/>
    <w:rsid w:val="004B5355"/>
    <w:rsid w:val="004C6C7B"/>
    <w:rsid w:val="004C76B9"/>
    <w:rsid w:val="004E1347"/>
    <w:rsid w:val="004E1FC6"/>
    <w:rsid w:val="004E6904"/>
    <w:rsid w:val="004F1FA5"/>
    <w:rsid w:val="005027AF"/>
    <w:rsid w:val="00506DD2"/>
    <w:rsid w:val="005146F3"/>
    <w:rsid w:val="00514DDB"/>
    <w:rsid w:val="005213D1"/>
    <w:rsid w:val="005308A4"/>
    <w:rsid w:val="00531034"/>
    <w:rsid w:val="0053164E"/>
    <w:rsid w:val="00533226"/>
    <w:rsid w:val="00533334"/>
    <w:rsid w:val="00534206"/>
    <w:rsid w:val="005371DD"/>
    <w:rsid w:val="005473BA"/>
    <w:rsid w:val="00552D9E"/>
    <w:rsid w:val="00560AEF"/>
    <w:rsid w:val="005654D7"/>
    <w:rsid w:val="00570AC4"/>
    <w:rsid w:val="00576308"/>
    <w:rsid w:val="00586BC7"/>
    <w:rsid w:val="005879EE"/>
    <w:rsid w:val="00590BC1"/>
    <w:rsid w:val="005919A7"/>
    <w:rsid w:val="00592D87"/>
    <w:rsid w:val="005A230A"/>
    <w:rsid w:val="005A308D"/>
    <w:rsid w:val="005A3478"/>
    <w:rsid w:val="005A549A"/>
    <w:rsid w:val="005B11FF"/>
    <w:rsid w:val="005B150E"/>
    <w:rsid w:val="005B22B4"/>
    <w:rsid w:val="005C12E5"/>
    <w:rsid w:val="005C1C39"/>
    <w:rsid w:val="005C29E1"/>
    <w:rsid w:val="005C5026"/>
    <w:rsid w:val="005C5A56"/>
    <w:rsid w:val="005C69AD"/>
    <w:rsid w:val="005E2CAA"/>
    <w:rsid w:val="005E4100"/>
    <w:rsid w:val="005E6E0A"/>
    <w:rsid w:val="005F1610"/>
    <w:rsid w:val="005F65FC"/>
    <w:rsid w:val="006003C8"/>
    <w:rsid w:val="00602642"/>
    <w:rsid w:val="00607E2A"/>
    <w:rsid w:val="006140C6"/>
    <w:rsid w:val="0061532A"/>
    <w:rsid w:val="0062292B"/>
    <w:rsid w:val="00625A4D"/>
    <w:rsid w:val="0063256B"/>
    <w:rsid w:val="00637C4E"/>
    <w:rsid w:val="006458CB"/>
    <w:rsid w:val="00646778"/>
    <w:rsid w:val="00646CD5"/>
    <w:rsid w:val="00656DAE"/>
    <w:rsid w:val="006610D2"/>
    <w:rsid w:val="006657F3"/>
    <w:rsid w:val="00680F0D"/>
    <w:rsid w:val="00683D83"/>
    <w:rsid w:val="006A2876"/>
    <w:rsid w:val="006A59E3"/>
    <w:rsid w:val="006A6D01"/>
    <w:rsid w:val="006A7DE4"/>
    <w:rsid w:val="006B22FA"/>
    <w:rsid w:val="006B33C5"/>
    <w:rsid w:val="006B575F"/>
    <w:rsid w:val="006C251B"/>
    <w:rsid w:val="006C4A44"/>
    <w:rsid w:val="006D47DA"/>
    <w:rsid w:val="006D7885"/>
    <w:rsid w:val="006E2408"/>
    <w:rsid w:val="006E46B4"/>
    <w:rsid w:val="006E4CF9"/>
    <w:rsid w:val="006F47F0"/>
    <w:rsid w:val="006F6D07"/>
    <w:rsid w:val="0070091A"/>
    <w:rsid w:val="00701CAD"/>
    <w:rsid w:val="007029F2"/>
    <w:rsid w:val="007065D4"/>
    <w:rsid w:val="00706B5A"/>
    <w:rsid w:val="00706EEE"/>
    <w:rsid w:val="00711612"/>
    <w:rsid w:val="007148CE"/>
    <w:rsid w:val="007178F4"/>
    <w:rsid w:val="00720602"/>
    <w:rsid w:val="007215D2"/>
    <w:rsid w:val="00723833"/>
    <w:rsid w:val="007240BB"/>
    <w:rsid w:val="007242C1"/>
    <w:rsid w:val="00724C71"/>
    <w:rsid w:val="00735315"/>
    <w:rsid w:val="0073569E"/>
    <w:rsid w:val="00736204"/>
    <w:rsid w:val="00737973"/>
    <w:rsid w:val="00741892"/>
    <w:rsid w:val="00743366"/>
    <w:rsid w:val="007601E4"/>
    <w:rsid w:val="007625FD"/>
    <w:rsid w:val="00765F71"/>
    <w:rsid w:val="0077604A"/>
    <w:rsid w:val="00791D98"/>
    <w:rsid w:val="007A4353"/>
    <w:rsid w:val="007A6251"/>
    <w:rsid w:val="007B0D35"/>
    <w:rsid w:val="007B0F63"/>
    <w:rsid w:val="007B298C"/>
    <w:rsid w:val="007C03B6"/>
    <w:rsid w:val="007C39CD"/>
    <w:rsid w:val="007C661E"/>
    <w:rsid w:val="007C6AC6"/>
    <w:rsid w:val="007D0774"/>
    <w:rsid w:val="007D33E6"/>
    <w:rsid w:val="007E1919"/>
    <w:rsid w:val="007E3AB8"/>
    <w:rsid w:val="007E3E0F"/>
    <w:rsid w:val="007E4EC1"/>
    <w:rsid w:val="007F072F"/>
    <w:rsid w:val="00817549"/>
    <w:rsid w:val="0082008A"/>
    <w:rsid w:val="008220C6"/>
    <w:rsid w:val="00826DAA"/>
    <w:rsid w:val="00831231"/>
    <w:rsid w:val="008338A5"/>
    <w:rsid w:val="00834D53"/>
    <w:rsid w:val="008373C6"/>
    <w:rsid w:val="00841205"/>
    <w:rsid w:val="00844FA8"/>
    <w:rsid w:val="00845C10"/>
    <w:rsid w:val="008518DA"/>
    <w:rsid w:val="008613EE"/>
    <w:rsid w:val="00863C0A"/>
    <w:rsid w:val="00863E98"/>
    <w:rsid w:val="008662EF"/>
    <w:rsid w:val="00871324"/>
    <w:rsid w:val="00875334"/>
    <w:rsid w:val="008753AB"/>
    <w:rsid w:val="008758B9"/>
    <w:rsid w:val="00882193"/>
    <w:rsid w:val="008822CF"/>
    <w:rsid w:val="00886DD3"/>
    <w:rsid w:val="008972D4"/>
    <w:rsid w:val="008A343E"/>
    <w:rsid w:val="008A3CAB"/>
    <w:rsid w:val="008A4D44"/>
    <w:rsid w:val="008B4535"/>
    <w:rsid w:val="008D07B8"/>
    <w:rsid w:val="008E7BFA"/>
    <w:rsid w:val="008F4EE3"/>
    <w:rsid w:val="0090521D"/>
    <w:rsid w:val="009172D7"/>
    <w:rsid w:val="00921834"/>
    <w:rsid w:val="00921EBE"/>
    <w:rsid w:val="00924B02"/>
    <w:rsid w:val="009337DD"/>
    <w:rsid w:val="009358AF"/>
    <w:rsid w:val="00936EF9"/>
    <w:rsid w:val="00941E09"/>
    <w:rsid w:val="00945074"/>
    <w:rsid w:val="0095286E"/>
    <w:rsid w:val="00962958"/>
    <w:rsid w:val="009677F1"/>
    <w:rsid w:val="009717D3"/>
    <w:rsid w:val="00971EB6"/>
    <w:rsid w:val="0097423B"/>
    <w:rsid w:val="00976775"/>
    <w:rsid w:val="009803DF"/>
    <w:rsid w:val="00993DC5"/>
    <w:rsid w:val="009A4978"/>
    <w:rsid w:val="009A57B0"/>
    <w:rsid w:val="009A69E2"/>
    <w:rsid w:val="009A71E9"/>
    <w:rsid w:val="009B41F5"/>
    <w:rsid w:val="009B4ED9"/>
    <w:rsid w:val="009C181A"/>
    <w:rsid w:val="009C294D"/>
    <w:rsid w:val="009D73DF"/>
    <w:rsid w:val="009E0B4C"/>
    <w:rsid w:val="009E4618"/>
    <w:rsid w:val="009E4D8F"/>
    <w:rsid w:val="009E588C"/>
    <w:rsid w:val="009F2867"/>
    <w:rsid w:val="009F2C56"/>
    <w:rsid w:val="009F2FAE"/>
    <w:rsid w:val="009F3003"/>
    <w:rsid w:val="009F3C0D"/>
    <w:rsid w:val="009F6910"/>
    <w:rsid w:val="009F6FD3"/>
    <w:rsid w:val="009F7989"/>
    <w:rsid w:val="00A0769A"/>
    <w:rsid w:val="00A133AC"/>
    <w:rsid w:val="00A13767"/>
    <w:rsid w:val="00A20F17"/>
    <w:rsid w:val="00A21691"/>
    <w:rsid w:val="00A30AB5"/>
    <w:rsid w:val="00A31078"/>
    <w:rsid w:val="00A333E3"/>
    <w:rsid w:val="00A37EA9"/>
    <w:rsid w:val="00A41589"/>
    <w:rsid w:val="00A41EEE"/>
    <w:rsid w:val="00A42E57"/>
    <w:rsid w:val="00A43B13"/>
    <w:rsid w:val="00A43EA0"/>
    <w:rsid w:val="00A46C0F"/>
    <w:rsid w:val="00A50F19"/>
    <w:rsid w:val="00A533BD"/>
    <w:rsid w:val="00A53B5E"/>
    <w:rsid w:val="00A5646C"/>
    <w:rsid w:val="00A65509"/>
    <w:rsid w:val="00A671F7"/>
    <w:rsid w:val="00A705E5"/>
    <w:rsid w:val="00A75F39"/>
    <w:rsid w:val="00A81A8D"/>
    <w:rsid w:val="00A87562"/>
    <w:rsid w:val="00A90F31"/>
    <w:rsid w:val="00A92EB8"/>
    <w:rsid w:val="00A930F7"/>
    <w:rsid w:val="00A941C7"/>
    <w:rsid w:val="00AA3995"/>
    <w:rsid w:val="00AA67F8"/>
    <w:rsid w:val="00AB5DCB"/>
    <w:rsid w:val="00AB6C93"/>
    <w:rsid w:val="00AC18FF"/>
    <w:rsid w:val="00AC2F4E"/>
    <w:rsid w:val="00AC474D"/>
    <w:rsid w:val="00AC4806"/>
    <w:rsid w:val="00AC5CC7"/>
    <w:rsid w:val="00AC5F78"/>
    <w:rsid w:val="00AC6784"/>
    <w:rsid w:val="00AC6BB4"/>
    <w:rsid w:val="00AC71AC"/>
    <w:rsid w:val="00AE5B06"/>
    <w:rsid w:val="00AE7381"/>
    <w:rsid w:val="00AE7EED"/>
    <w:rsid w:val="00B00598"/>
    <w:rsid w:val="00B00BC8"/>
    <w:rsid w:val="00B0556A"/>
    <w:rsid w:val="00B07A6E"/>
    <w:rsid w:val="00B07B9E"/>
    <w:rsid w:val="00B1648A"/>
    <w:rsid w:val="00B24FF6"/>
    <w:rsid w:val="00B25E9E"/>
    <w:rsid w:val="00B328D2"/>
    <w:rsid w:val="00B34611"/>
    <w:rsid w:val="00B36722"/>
    <w:rsid w:val="00B37D67"/>
    <w:rsid w:val="00B41FAA"/>
    <w:rsid w:val="00B45978"/>
    <w:rsid w:val="00B50254"/>
    <w:rsid w:val="00B518F3"/>
    <w:rsid w:val="00B60FAA"/>
    <w:rsid w:val="00B71FB4"/>
    <w:rsid w:val="00B807A0"/>
    <w:rsid w:val="00B80CE0"/>
    <w:rsid w:val="00B81331"/>
    <w:rsid w:val="00B81CD1"/>
    <w:rsid w:val="00B839DE"/>
    <w:rsid w:val="00B843E5"/>
    <w:rsid w:val="00B948AA"/>
    <w:rsid w:val="00BA52A9"/>
    <w:rsid w:val="00BA5C62"/>
    <w:rsid w:val="00BA5FA7"/>
    <w:rsid w:val="00BC2340"/>
    <w:rsid w:val="00BC32BF"/>
    <w:rsid w:val="00BD2C53"/>
    <w:rsid w:val="00BD443B"/>
    <w:rsid w:val="00BD459F"/>
    <w:rsid w:val="00BD573C"/>
    <w:rsid w:val="00BE02FA"/>
    <w:rsid w:val="00BE05D8"/>
    <w:rsid w:val="00BE119A"/>
    <w:rsid w:val="00BE64F3"/>
    <w:rsid w:val="00BE6602"/>
    <w:rsid w:val="00BF5BD1"/>
    <w:rsid w:val="00C01EF9"/>
    <w:rsid w:val="00C0266B"/>
    <w:rsid w:val="00C15B82"/>
    <w:rsid w:val="00C17E86"/>
    <w:rsid w:val="00C200D3"/>
    <w:rsid w:val="00C27067"/>
    <w:rsid w:val="00C27670"/>
    <w:rsid w:val="00C43AD7"/>
    <w:rsid w:val="00C5491E"/>
    <w:rsid w:val="00C54A7D"/>
    <w:rsid w:val="00C62560"/>
    <w:rsid w:val="00C638DE"/>
    <w:rsid w:val="00C81C77"/>
    <w:rsid w:val="00C8252B"/>
    <w:rsid w:val="00C846CF"/>
    <w:rsid w:val="00C90DA8"/>
    <w:rsid w:val="00C93BB3"/>
    <w:rsid w:val="00C95CF4"/>
    <w:rsid w:val="00C95FFE"/>
    <w:rsid w:val="00C967CD"/>
    <w:rsid w:val="00CA0CBB"/>
    <w:rsid w:val="00CA0E58"/>
    <w:rsid w:val="00CA36B8"/>
    <w:rsid w:val="00CA3AFD"/>
    <w:rsid w:val="00CA79F2"/>
    <w:rsid w:val="00CB272B"/>
    <w:rsid w:val="00CB281D"/>
    <w:rsid w:val="00CB421A"/>
    <w:rsid w:val="00CC386C"/>
    <w:rsid w:val="00CC59CB"/>
    <w:rsid w:val="00CC5E3E"/>
    <w:rsid w:val="00CD2939"/>
    <w:rsid w:val="00CE7A57"/>
    <w:rsid w:val="00CF6727"/>
    <w:rsid w:val="00D022A9"/>
    <w:rsid w:val="00D0242A"/>
    <w:rsid w:val="00D02DB4"/>
    <w:rsid w:val="00D036C9"/>
    <w:rsid w:val="00D11167"/>
    <w:rsid w:val="00D120B5"/>
    <w:rsid w:val="00D157F7"/>
    <w:rsid w:val="00D15EBF"/>
    <w:rsid w:val="00D215D2"/>
    <w:rsid w:val="00D2229E"/>
    <w:rsid w:val="00D23AAD"/>
    <w:rsid w:val="00D310F3"/>
    <w:rsid w:val="00D3178F"/>
    <w:rsid w:val="00D34115"/>
    <w:rsid w:val="00D355B8"/>
    <w:rsid w:val="00D37638"/>
    <w:rsid w:val="00D404D7"/>
    <w:rsid w:val="00D41E29"/>
    <w:rsid w:val="00D46EBE"/>
    <w:rsid w:val="00D54579"/>
    <w:rsid w:val="00D555EE"/>
    <w:rsid w:val="00D56E50"/>
    <w:rsid w:val="00D575EE"/>
    <w:rsid w:val="00D70012"/>
    <w:rsid w:val="00D73D7F"/>
    <w:rsid w:val="00D74F42"/>
    <w:rsid w:val="00D75351"/>
    <w:rsid w:val="00D822B0"/>
    <w:rsid w:val="00D835C3"/>
    <w:rsid w:val="00D84D90"/>
    <w:rsid w:val="00D96AB7"/>
    <w:rsid w:val="00DA5651"/>
    <w:rsid w:val="00DB0FF9"/>
    <w:rsid w:val="00DB147F"/>
    <w:rsid w:val="00DB2A1E"/>
    <w:rsid w:val="00DB2FF9"/>
    <w:rsid w:val="00DB6072"/>
    <w:rsid w:val="00DB74FA"/>
    <w:rsid w:val="00DC4C4E"/>
    <w:rsid w:val="00DC7D23"/>
    <w:rsid w:val="00DE2E29"/>
    <w:rsid w:val="00DE4524"/>
    <w:rsid w:val="00DE5E2F"/>
    <w:rsid w:val="00DF6540"/>
    <w:rsid w:val="00DF67F1"/>
    <w:rsid w:val="00DF7E8B"/>
    <w:rsid w:val="00E00776"/>
    <w:rsid w:val="00E010EE"/>
    <w:rsid w:val="00E051BA"/>
    <w:rsid w:val="00E10126"/>
    <w:rsid w:val="00E128BF"/>
    <w:rsid w:val="00E13392"/>
    <w:rsid w:val="00E219B1"/>
    <w:rsid w:val="00E2488B"/>
    <w:rsid w:val="00E25376"/>
    <w:rsid w:val="00E31DC3"/>
    <w:rsid w:val="00E35FC5"/>
    <w:rsid w:val="00E40ADC"/>
    <w:rsid w:val="00E411F0"/>
    <w:rsid w:val="00E46831"/>
    <w:rsid w:val="00E51530"/>
    <w:rsid w:val="00E62A9C"/>
    <w:rsid w:val="00E708A9"/>
    <w:rsid w:val="00E71788"/>
    <w:rsid w:val="00E73C3A"/>
    <w:rsid w:val="00E74B88"/>
    <w:rsid w:val="00E7541E"/>
    <w:rsid w:val="00E852A1"/>
    <w:rsid w:val="00E90708"/>
    <w:rsid w:val="00E90BD6"/>
    <w:rsid w:val="00E92360"/>
    <w:rsid w:val="00E97957"/>
    <w:rsid w:val="00EA2DD4"/>
    <w:rsid w:val="00EA70A3"/>
    <w:rsid w:val="00EA70AE"/>
    <w:rsid w:val="00EA7B93"/>
    <w:rsid w:val="00EB049F"/>
    <w:rsid w:val="00EB41FA"/>
    <w:rsid w:val="00EC0F4A"/>
    <w:rsid w:val="00EC3AAF"/>
    <w:rsid w:val="00EC5170"/>
    <w:rsid w:val="00EC7098"/>
    <w:rsid w:val="00ED10F0"/>
    <w:rsid w:val="00EE30E1"/>
    <w:rsid w:val="00EE6DA6"/>
    <w:rsid w:val="00EE7716"/>
    <w:rsid w:val="00EF1C2E"/>
    <w:rsid w:val="00EF3A42"/>
    <w:rsid w:val="00EF5B30"/>
    <w:rsid w:val="00F048BC"/>
    <w:rsid w:val="00F06ABF"/>
    <w:rsid w:val="00F07EE1"/>
    <w:rsid w:val="00F107C9"/>
    <w:rsid w:val="00F17A22"/>
    <w:rsid w:val="00F27A28"/>
    <w:rsid w:val="00F27BD7"/>
    <w:rsid w:val="00F334B2"/>
    <w:rsid w:val="00F37D2E"/>
    <w:rsid w:val="00F505B6"/>
    <w:rsid w:val="00F5095C"/>
    <w:rsid w:val="00F5755C"/>
    <w:rsid w:val="00F64068"/>
    <w:rsid w:val="00F6511F"/>
    <w:rsid w:val="00F72F76"/>
    <w:rsid w:val="00F73742"/>
    <w:rsid w:val="00F86475"/>
    <w:rsid w:val="00F9131E"/>
    <w:rsid w:val="00F9171E"/>
    <w:rsid w:val="00F935CE"/>
    <w:rsid w:val="00F96C7B"/>
    <w:rsid w:val="00F974C3"/>
    <w:rsid w:val="00FA4D49"/>
    <w:rsid w:val="00FA6F37"/>
    <w:rsid w:val="00FB256E"/>
    <w:rsid w:val="00FB5238"/>
    <w:rsid w:val="00FB55B5"/>
    <w:rsid w:val="00FB601E"/>
    <w:rsid w:val="00FC2DCE"/>
    <w:rsid w:val="00FC3F08"/>
    <w:rsid w:val="00FC76D6"/>
    <w:rsid w:val="00FD2424"/>
    <w:rsid w:val="00FD28FE"/>
    <w:rsid w:val="00FD3AB4"/>
    <w:rsid w:val="00FD7EC5"/>
    <w:rsid w:val="00FE1C1C"/>
    <w:rsid w:val="00FE3A68"/>
    <w:rsid w:val="00FE4DB4"/>
    <w:rsid w:val="00FE56B7"/>
    <w:rsid w:val="00FE5B71"/>
    <w:rsid w:val="00FE682D"/>
    <w:rsid w:val="00FF08CB"/>
    <w:rsid w:val="00FF4507"/>
    <w:rsid w:val="00FF6440"/>
    <w:rsid w:val="00FF7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778"/>
    <w:pPr>
      <w:spacing w:after="0" w:line="240" w:lineRule="auto"/>
    </w:pPr>
    <w:rPr>
      <w:rFonts w:eastAsiaTheme="minorEastAsia"/>
      <w:sz w:val="24"/>
      <w:szCs w:val="24"/>
      <w:lang w:val="en-US" w:eastAsia="ja-JP"/>
    </w:rPr>
  </w:style>
  <w:style w:type="paragraph" w:styleId="Heading1">
    <w:name w:val="heading 1"/>
    <w:basedOn w:val="Normal"/>
    <w:next w:val="Normal"/>
    <w:link w:val="Heading1Char"/>
    <w:uiPriority w:val="9"/>
    <w:qFormat/>
    <w:rsid w:val="0064677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2CA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95838"/>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D157F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B1FDB"/>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807A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778"/>
    <w:rPr>
      <w:rFonts w:asciiTheme="majorHAnsi" w:eastAsiaTheme="majorEastAsia" w:hAnsiTheme="majorHAnsi" w:cstheme="majorBidi"/>
      <w:color w:val="2E74B5" w:themeColor="accent1" w:themeShade="BF"/>
      <w:sz w:val="32"/>
      <w:szCs w:val="32"/>
      <w:lang w:val="en-US" w:eastAsia="ja-JP"/>
    </w:rPr>
  </w:style>
  <w:style w:type="character" w:customStyle="1" w:styleId="Heading2Char">
    <w:name w:val="Heading 2 Char"/>
    <w:basedOn w:val="DefaultParagraphFont"/>
    <w:link w:val="Heading2"/>
    <w:uiPriority w:val="9"/>
    <w:rsid w:val="005E2CAA"/>
    <w:rPr>
      <w:rFonts w:asciiTheme="majorHAnsi" w:eastAsiaTheme="majorEastAsia" w:hAnsiTheme="majorHAnsi" w:cstheme="majorBidi"/>
      <w:color w:val="2E74B5" w:themeColor="accent1" w:themeShade="BF"/>
      <w:sz w:val="26"/>
      <w:szCs w:val="26"/>
      <w:lang w:val="en-US" w:eastAsia="ja-JP"/>
    </w:rPr>
  </w:style>
  <w:style w:type="character" w:customStyle="1" w:styleId="Heading3Char">
    <w:name w:val="Heading 3 Char"/>
    <w:basedOn w:val="DefaultParagraphFont"/>
    <w:link w:val="Heading3"/>
    <w:uiPriority w:val="9"/>
    <w:rsid w:val="00495838"/>
    <w:rPr>
      <w:rFonts w:asciiTheme="majorHAnsi" w:eastAsiaTheme="majorEastAsia" w:hAnsiTheme="majorHAnsi" w:cstheme="majorBidi"/>
      <w:color w:val="1F4D78" w:themeColor="accent1" w:themeShade="7F"/>
      <w:sz w:val="24"/>
      <w:szCs w:val="24"/>
      <w:lang w:val="en-US" w:eastAsia="ja-JP"/>
    </w:rPr>
  </w:style>
  <w:style w:type="paragraph" w:styleId="TOCHeading">
    <w:name w:val="TOC Heading"/>
    <w:basedOn w:val="Heading1"/>
    <w:next w:val="Normal"/>
    <w:uiPriority w:val="39"/>
    <w:unhideWhenUsed/>
    <w:qFormat/>
    <w:rsid w:val="00646778"/>
    <w:pPr>
      <w:spacing w:line="259" w:lineRule="auto"/>
      <w:outlineLvl w:val="9"/>
    </w:pPr>
    <w:rPr>
      <w:lang w:eastAsia="en-US"/>
    </w:rPr>
  </w:style>
  <w:style w:type="paragraph" w:styleId="Header">
    <w:name w:val="header"/>
    <w:basedOn w:val="Normal"/>
    <w:link w:val="HeaderChar"/>
    <w:uiPriority w:val="99"/>
    <w:unhideWhenUsed/>
    <w:rsid w:val="00646778"/>
    <w:pPr>
      <w:tabs>
        <w:tab w:val="center" w:pos="4513"/>
        <w:tab w:val="right" w:pos="9026"/>
      </w:tabs>
    </w:pPr>
  </w:style>
  <w:style w:type="character" w:customStyle="1" w:styleId="HeaderChar">
    <w:name w:val="Header Char"/>
    <w:basedOn w:val="DefaultParagraphFont"/>
    <w:link w:val="Header"/>
    <w:uiPriority w:val="99"/>
    <w:rsid w:val="00646778"/>
    <w:rPr>
      <w:rFonts w:eastAsiaTheme="minorEastAsia"/>
      <w:sz w:val="24"/>
      <w:szCs w:val="24"/>
      <w:lang w:val="en-US" w:eastAsia="ja-JP"/>
    </w:rPr>
  </w:style>
  <w:style w:type="paragraph" w:styleId="Footer">
    <w:name w:val="footer"/>
    <w:basedOn w:val="Normal"/>
    <w:link w:val="FooterChar"/>
    <w:uiPriority w:val="99"/>
    <w:unhideWhenUsed/>
    <w:rsid w:val="00646778"/>
    <w:pPr>
      <w:tabs>
        <w:tab w:val="center" w:pos="4513"/>
        <w:tab w:val="right" w:pos="9026"/>
      </w:tabs>
    </w:pPr>
  </w:style>
  <w:style w:type="character" w:customStyle="1" w:styleId="FooterChar">
    <w:name w:val="Footer Char"/>
    <w:basedOn w:val="DefaultParagraphFont"/>
    <w:link w:val="Footer"/>
    <w:uiPriority w:val="99"/>
    <w:rsid w:val="00646778"/>
    <w:rPr>
      <w:rFonts w:eastAsiaTheme="minorEastAsia"/>
      <w:sz w:val="24"/>
      <w:szCs w:val="24"/>
      <w:lang w:val="en-US" w:eastAsia="ja-JP"/>
    </w:rPr>
  </w:style>
  <w:style w:type="character" w:styleId="CommentReference">
    <w:name w:val="annotation reference"/>
    <w:basedOn w:val="DefaultParagraphFont"/>
    <w:uiPriority w:val="99"/>
    <w:semiHidden/>
    <w:unhideWhenUsed/>
    <w:rsid w:val="00646778"/>
    <w:rPr>
      <w:sz w:val="18"/>
      <w:szCs w:val="18"/>
    </w:rPr>
  </w:style>
  <w:style w:type="paragraph" w:styleId="CommentText">
    <w:name w:val="annotation text"/>
    <w:basedOn w:val="Normal"/>
    <w:link w:val="CommentTextChar"/>
    <w:uiPriority w:val="99"/>
    <w:unhideWhenUsed/>
    <w:rsid w:val="00646778"/>
  </w:style>
  <w:style w:type="character" w:customStyle="1" w:styleId="CommentTextChar">
    <w:name w:val="Comment Text Char"/>
    <w:basedOn w:val="DefaultParagraphFont"/>
    <w:link w:val="CommentText"/>
    <w:uiPriority w:val="99"/>
    <w:rsid w:val="00646778"/>
    <w:rPr>
      <w:rFonts w:eastAsiaTheme="minorEastAsia"/>
      <w:sz w:val="24"/>
      <w:szCs w:val="24"/>
      <w:lang w:val="en-US" w:eastAsia="ja-JP"/>
    </w:rPr>
  </w:style>
  <w:style w:type="paragraph" w:styleId="ListParagraph">
    <w:name w:val="List Paragraph"/>
    <w:basedOn w:val="Normal"/>
    <w:uiPriority w:val="34"/>
    <w:qFormat/>
    <w:rsid w:val="00646778"/>
    <w:pPr>
      <w:ind w:left="720"/>
      <w:contextualSpacing/>
    </w:pPr>
  </w:style>
  <w:style w:type="paragraph" w:styleId="BalloonText">
    <w:name w:val="Balloon Text"/>
    <w:basedOn w:val="Normal"/>
    <w:link w:val="BalloonTextChar"/>
    <w:uiPriority w:val="99"/>
    <w:semiHidden/>
    <w:unhideWhenUsed/>
    <w:rsid w:val="0064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778"/>
    <w:rPr>
      <w:rFonts w:ascii="Segoe UI" w:eastAsiaTheme="minorEastAsia" w:hAnsi="Segoe UI" w:cs="Segoe UI"/>
      <w:sz w:val="18"/>
      <w:szCs w:val="18"/>
      <w:lang w:val="en-US" w:eastAsia="ja-JP"/>
    </w:rPr>
  </w:style>
  <w:style w:type="paragraph" w:styleId="CommentSubject">
    <w:name w:val="annotation subject"/>
    <w:basedOn w:val="CommentText"/>
    <w:next w:val="CommentText"/>
    <w:link w:val="CommentSubjectChar"/>
    <w:uiPriority w:val="99"/>
    <w:semiHidden/>
    <w:unhideWhenUsed/>
    <w:rsid w:val="00646778"/>
    <w:rPr>
      <w:b/>
      <w:bCs/>
      <w:sz w:val="20"/>
      <w:szCs w:val="20"/>
    </w:rPr>
  </w:style>
  <w:style w:type="character" w:customStyle="1" w:styleId="CommentSubjectChar">
    <w:name w:val="Comment Subject Char"/>
    <w:basedOn w:val="CommentTextChar"/>
    <w:link w:val="CommentSubject"/>
    <w:uiPriority w:val="99"/>
    <w:semiHidden/>
    <w:rsid w:val="00646778"/>
    <w:rPr>
      <w:rFonts w:eastAsiaTheme="minorEastAsia"/>
      <w:b/>
      <w:bCs/>
      <w:sz w:val="20"/>
      <w:szCs w:val="20"/>
      <w:lang w:val="en-US" w:eastAsia="ja-JP"/>
    </w:rPr>
  </w:style>
  <w:style w:type="character" w:customStyle="1" w:styleId="reference-text">
    <w:name w:val="reference-text"/>
    <w:basedOn w:val="DefaultParagraphFont"/>
    <w:rsid w:val="005E2CAA"/>
  </w:style>
  <w:style w:type="table" w:styleId="TableGrid">
    <w:name w:val="Table Grid"/>
    <w:basedOn w:val="TableNormal"/>
    <w:uiPriority w:val="59"/>
    <w:rsid w:val="005E2CAA"/>
    <w:pPr>
      <w:spacing w:after="0" w:line="240" w:lineRule="auto"/>
    </w:pPr>
    <w:rPr>
      <w:rFonts w:eastAsiaTheme="minorEastAsia"/>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822CF"/>
    <w:pPr>
      <w:spacing w:after="100"/>
    </w:pPr>
  </w:style>
  <w:style w:type="paragraph" w:styleId="TOC2">
    <w:name w:val="toc 2"/>
    <w:basedOn w:val="Normal"/>
    <w:next w:val="Normal"/>
    <w:autoRedefine/>
    <w:uiPriority w:val="39"/>
    <w:unhideWhenUsed/>
    <w:rsid w:val="008822CF"/>
    <w:pPr>
      <w:spacing w:after="100"/>
      <w:ind w:left="240"/>
    </w:pPr>
  </w:style>
  <w:style w:type="character" w:styleId="Hyperlink">
    <w:name w:val="Hyperlink"/>
    <w:basedOn w:val="DefaultParagraphFont"/>
    <w:uiPriority w:val="99"/>
    <w:unhideWhenUsed/>
    <w:rsid w:val="008822CF"/>
    <w:rPr>
      <w:color w:val="0563C1" w:themeColor="hyperlink"/>
      <w:u w:val="single"/>
    </w:rPr>
  </w:style>
  <w:style w:type="paragraph" w:styleId="NormalWeb">
    <w:name w:val="Normal (Web)"/>
    <w:basedOn w:val="Normal"/>
    <w:uiPriority w:val="99"/>
    <w:unhideWhenUsed/>
    <w:rsid w:val="00533226"/>
    <w:pPr>
      <w:spacing w:before="100" w:beforeAutospacing="1" w:after="100" w:afterAutospacing="1"/>
    </w:pPr>
    <w:rPr>
      <w:rFonts w:ascii="Times New Roman" w:eastAsia="Times New Roman" w:hAnsi="Times New Roman" w:cs="Times New Roman"/>
      <w:lang w:val="en-GB" w:eastAsia="en-GB"/>
    </w:rPr>
  </w:style>
  <w:style w:type="paragraph" w:styleId="NoSpacing">
    <w:name w:val="No Spacing"/>
    <w:uiPriority w:val="1"/>
    <w:qFormat/>
    <w:rsid w:val="00533226"/>
    <w:pPr>
      <w:spacing w:after="0" w:line="240" w:lineRule="auto"/>
    </w:pPr>
    <w:rPr>
      <w:rFonts w:eastAsiaTheme="minorEastAsia"/>
      <w:sz w:val="24"/>
      <w:szCs w:val="24"/>
      <w:lang w:val="en-US" w:eastAsia="ja-JP"/>
    </w:rPr>
  </w:style>
  <w:style w:type="paragraph" w:styleId="FootnoteText">
    <w:name w:val="footnote text"/>
    <w:basedOn w:val="Normal"/>
    <w:link w:val="FootnoteTextChar"/>
    <w:uiPriority w:val="99"/>
    <w:unhideWhenUsed/>
    <w:rsid w:val="00533226"/>
  </w:style>
  <w:style w:type="character" w:customStyle="1" w:styleId="FootnoteTextChar">
    <w:name w:val="Footnote Text Char"/>
    <w:basedOn w:val="DefaultParagraphFont"/>
    <w:link w:val="FootnoteText"/>
    <w:uiPriority w:val="99"/>
    <w:rsid w:val="00533226"/>
    <w:rPr>
      <w:rFonts w:eastAsiaTheme="minorEastAsia"/>
      <w:sz w:val="24"/>
      <w:szCs w:val="24"/>
      <w:lang w:val="en-US" w:eastAsia="ja-JP"/>
    </w:rPr>
  </w:style>
  <w:style w:type="character" w:styleId="FootnoteReference">
    <w:name w:val="footnote reference"/>
    <w:basedOn w:val="DefaultParagraphFont"/>
    <w:uiPriority w:val="99"/>
    <w:unhideWhenUsed/>
    <w:rsid w:val="00533226"/>
    <w:rPr>
      <w:vertAlign w:val="superscript"/>
    </w:rPr>
  </w:style>
  <w:style w:type="paragraph" w:styleId="Title">
    <w:name w:val="Title"/>
    <w:basedOn w:val="Normal"/>
    <w:next w:val="Normal"/>
    <w:link w:val="TitleChar"/>
    <w:uiPriority w:val="10"/>
    <w:qFormat/>
    <w:rsid w:val="0053322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3226"/>
    <w:rPr>
      <w:rFonts w:asciiTheme="majorHAnsi" w:eastAsiaTheme="majorEastAsia" w:hAnsiTheme="majorHAnsi" w:cstheme="majorBidi"/>
      <w:spacing w:val="-10"/>
      <w:kern w:val="28"/>
      <w:sz w:val="56"/>
      <w:szCs w:val="56"/>
      <w:lang w:val="en-US" w:eastAsia="ja-JP"/>
    </w:rPr>
  </w:style>
  <w:style w:type="paragraph" w:customStyle="1" w:styleId="a">
    <w:name w:val="默认"/>
    <w:uiPriority w:val="99"/>
    <w:rsid w:val="00B25E9E"/>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Times New Roman" w:hAnsi="Arial Unicode MS" w:cs="Arial Unicode MS"/>
      <w:color w:val="000000"/>
      <w:lang w:val="sv-SE" w:eastAsia="zh-CN"/>
    </w:rPr>
  </w:style>
  <w:style w:type="table" w:customStyle="1" w:styleId="LightList-Accent11">
    <w:name w:val="Light List - Accent 11"/>
    <w:basedOn w:val="TableNormal"/>
    <w:uiPriority w:val="61"/>
    <w:rsid w:val="00B25E9E"/>
    <w:pPr>
      <w:spacing w:after="0" w:line="240" w:lineRule="auto"/>
    </w:pPr>
    <w:rPr>
      <w:rFonts w:eastAsiaTheme="minorEastAsia"/>
      <w:sz w:val="24"/>
      <w:szCs w:val="24"/>
      <w:lang w:val="sv-SE"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5">
    <w:name w:val="Light List Accent 5"/>
    <w:basedOn w:val="TableNormal"/>
    <w:uiPriority w:val="61"/>
    <w:rsid w:val="00B25E9E"/>
    <w:pPr>
      <w:spacing w:after="0" w:line="240" w:lineRule="auto"/>
    </w:pPr>
    <w:rPr>
      <w:rFonts w:eastAsiaTheme="minorEastAsia"/>
      <w:sz w:val="24"/>
      <w:szCs w:val="24"/>
      <w:lang w:val="sv-SE" w:eastAsia="ja-JP"/>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Caption">
    <w:name w:val="caption"/>
    <w:basedOn w:val="Normal"/>
    <w:next w:val="Normal"/>
    <w:uiPriority w:val="35"/>
    <w:unhideWhenUsed/>
    <w:qFormat/>
    <w:rsid w:val="00B25E9E"/>
    <w:pPr>
      <w:spacing w:after="200"/>
    </w:pPr>
    <w:rPr>
      <w:rFonts w:eastAsiaTheme="minorHAnsi"/>
      <w:b/>
      <w:bCs/>
      <w:color w:val="5B9BD5" w:themeColor="accent1"/>
      <w:sz w:val="18"/>
      <w:szCs w:val="18"/>
      <w:lang w:val="en-GB" w:eastAsia="en-US"/>
    </w:rPr>
  </w:style>
  <w:style w:type="paragraph" w:styleId="TOC3">
    <w:name w:val="toc 3"/>
    <w:basedOn w:val="Normal"/>
    <w:next w:val="Normal"/>
    <w:autoRedefine/>
    <w:uiPriority w:val="39"/>
    <w:unhideWhenUsed/>
    <w:rsid w:val="00B25E9E"/>
    <w:pPr>
      <w:spacing w:after="100"/>
      <w:ind w:left="480"/>
    </w:pPr>
    <w:rPr>
      <w:lang w:val="sv-SE"/>
    </w:rPr>
  </w:style>
  <w:style w:type="character" w:styleId="PageNumber">
    <w:name w:val="page number"/>
    <w:basedOn w:val="DefaultParagraphFont"/>
    <w:uiPriority w:val="99"/>
    <w:semiHidden/>
    <w:unhideWhenUsed/>
    <w:rsid w:val="00B25E9E"/>
  </w:style>
  <w:style w:type="paragraph" w:styleId="BodyText2">
    <w:name w:val="Body Text 2"/>
    <w:basedOn w:val="Normal"/>
    <w:link w:val="BodyText2Char"/>
    <w:uiPriority w:val="99"/>
    <w:rsid w:val="00B25E9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line="480" w:lineRule="auto"/>
    </w:pPr>
    <w:rPr>
      <w:rFonts w:ascii="CG Times (W1)" w:hAnsi="CG Times (W1)" w:cs="CG Times (W1)"/>
      <w:lang w:val="en-GB" w:eastAsia="zh-CN"/>
    </w:rPr>
  </w:style>
  <w:style w:type="character" w:customStyle="1" w:styleId="BodyText2Char">
    <w:name w:val="Body Text 2 Char"/>
    <w:basedOn w:val="DefaultParagraphFont"/>
    <w:link w:val="BodyText2"/>
    <w:uiPriority w:val="99"/>
    <w:rsid w:val="00B25E9E"/>
    <w:rPr>
      <w:rFonts w:ascii="CG Times (W1)" w:eastAsiaTheme="minorEastAsia" w:hAnsi="CG Times (W1)" w:cs="CG Times (W1)"/>
      <w:sz w:val="24"/>
      <w:szCs w:val="24"/>
      <w:lang w:val="en-GB" w:eastAsia="zh-CN"/>
    </w:rPr>
  </w:style>
  <w:style w:type="character" w:customStyle="1" w:styleId="A0">
    <w:name w:val="A0"/>
    <w:uiPriority w:val="99"/>
    <w:rsid w:val="00B25E9E"/>
    <w:rPr>
      <w:rFonts w:cs="Adobe Garamond Pro"/>
      <w:color w:val="000000"/>
      <w:sz w:val="22"/>
      <w:szCs w:val="22"/>
    </w:rPr>
  </w:style>
  <w:style w:type="character" w:styleId="Emphasis">
    <w:name w:val="Emphasis"/>
    <w:basedOn w:val="DefaultParagraphFont"/>
    <w:uiPriority w:val="20"/>
    <w:qFormat/>
    <w:rsid w:val="00B25E9E"/>
    <w:rPr>
      <w:b/>
      <w:bCs/>
      <w:i w:val="0"/>
      <w:iCs w:val="0"/>
    </w:rPr>
  </w:style>
  <w:style w:type="paragraph" w:customStyle="1" w:styleId="Default">
    <w:name w:val="Default"/>
    <w:uiPriority w:val="99"/>
    <w:rsid w:val="00B25E9E"/>
    <w:pPr>
      <w:widowControl w:val="0"/>
      <w:autoSpaceDE w:val="0"/>
      <w:autoSpaceDN w:val="0"/>
      <w:adjustRightInd w:val="0"/>
      <w:spacing w:after="0" w:line="240" w:lineRule="auto"/>
    </w:pPr>
    <w:rPr>
      <w:rFonts w:ascii="Calibri" w:eastAsia="SimSun" w:hAnsi="Calibri" w:cs="Calibri"/>
      <w:color w:val="000000"/>
      <w:sz w:val="24"/>
      <w:szCs w:val="24"/>
      <w:lang w:val="en-US" w:eastAsia="zh-CN"/>
    </w:rPr>
  </w:style>
  <w:style w:type="paragraph" w:styleId="TOC4">
    <w:name w:val="toc 4"/>
    <w:basedOn w:val="Normal"/>
    <w:next w:val="Normal"/>
    <w:autoRedefine/>
    <w:uiPriority w:val="39"/>
    <w:unhideWhenUsed/>
    <w:rsid w:val="00B25E9E"/>
    <w:pPr>
      <w:ind w:left="720"/>
    </w:pPr>
    <w:rPr>
      <w:lang w:val="sv-SE"/>
    </w:rPr>
  </w:style>
  <w:style w:type="paragraph" w:styleId="TOC5">
    <w:name w:val="toc 5"/>
    <w:basedOn w:val="Normal"/>
    <w:next w:val="Normal"/>
    <w:autoRedefine/>
    <w:uiPriority w:val="39"/>
    <w:unhideWhenUsed/>
    <w:rsid w:val="00B25E9E"/>
    <w:pPr>
      <w:ind w:left="960"/>
    </w:pPr>
    <w:rPr>
      <w:lang w:val="sv-SE"/>
    </w:rPr>
  </w:style>
  <w:style w:type="paragraph" w:styleId="TOC6">
    <w:name w:val="toc 6"/>
    <w:basedOn w:val="Normal"/>
    <w:next w:val="Normal"/>
    <w:autoRedefine/>
    <w:uiPriority w:val="39"/>
    <w:unhideWhenUsed/>
    <w:rsid w:val="00B25E9E"/>
    <w:pPr>
      <w:ind w:left="1200"/>
    </w:pPr>
    <w:rPr>
      <w:lang w:val="sv-SE"/>
    </w:rPr>
  </w:style>
  <w:style w:type="paragraph" w:styleId="TOC7">
    <w:name w:val="toc 7"/>
    <w:basedOn w:val="Normal"/>
    <w:next w:val="Normal"/>
    <w:autoRedefine/>
    <w:uiPriority w:val="39"/>
    <w:unhideWhenUsed/>
    <w:rsid w:val="00B25E9E"/>
    <w:pPr>
      <w:ind w:left="1440"/>
    </w:pPr>
    <w:rPr>
      <w:lang w:val="sv-SE"/>
    </w:rPr>
  </w:style>
  <w:style w:type="paragraph" w:styleId="TOC8">
    <w:name w:val="toc 8"/>
    <w:basedOn w:val="Normal"/>
    <w:next w:val="Normal"/>
    <w:autoRedefine/>
    <w:uiPriority w:val="39"/>
    <w:unhideWhenUsed/>
    <w:rsid w:val="00B25E9E"/>
    <w:pPr>
      <w:ind w:left="1680"/>
    </w:pPr>
    <w:rPr>
      <w:lang w:val="sv-SE"/>
    </w:rPr>
  </w:style>
  <w:style w:type="paragraph" w:styleId="TOC9">
    <w:name w:val="toc 9"/>
    <w:basedOn w:val="Normal"/>
    <w:next w:val="Normal"/>
    <w:autoRedefine/>
    <w:uiPriority w:val="39"/>
    <w:unhideWhenUsed/>
    <w:rsid w:val="00B25E9E"/>
    <w:pPr>
      <w:ind w:left="1920"/>
    </w:pPr>
    <w:rPr>
      <w:lang w:val="sv-SE"/>
    </w:rPr>
  </w:style>
  <w:style w:type="paragraph" w:styleId="DocumentMap">
    <w:name w:val="Document Map"/>
    <w:basedOn w:val="Normal"/>
    <w:link w:val="DocumentMapChar"/>
    <w:uiPriority w:val="99"/>
    <w:semiHidden/>
    <w:unhideWhenUsed/>
    <w:rsid w:val="00B25E9E"/>
    <w:rPr>
      <w:rFonts w:ascii="Lucida Grande" w:hAnsi="Lucida Grande" w:cs="Lucida Grande"/>
      <w:lang w:val="sv-SE"/>
    </w:rPr>
  </w:style>
  <w:style w:type="character" w:customStyle="1" w:styleId="DocumentMapChar">
    <w:name w:val="Document Map Char"/>
    <w:basedOn w:val="DefaultParagraphFont"/>
    <w:link w:val="DocumentMap"/>
    <w:uiPriority w:val="99"/>
    <w:semiHidden/>
    <w:rsid w:val="00B25E9E"/>
    <w:rPr>
      <w:rFonts w:ascii="Lucida Grande" w:eastAsiaTheme="minorEastAsia" w:hAnsi="Lucida Grande" w:cs="Lucida Grande"/>
      <w:sz w:val="24"/>
      <w:szCs w:val="24"/>
      <w:lang w:val="sv-SE" w:eastAsia="ja-JP"/>
    </w:rPr>
  </w:style>
  <w:style w:type="character" w:customStyle="1" w:styleId="Heading4Char">
    <w:name w:val="Heading 4 Char"/>
    <w:basedOn w:val="DefaultParagraphFont"/>
    <w:link w:val="Heading4"/>
    <w:uiPriority w:val="9"/>
    <w:rsid w:val="00D157F7"/>
    <w:rPr>
      <w:rFonts w:asciiTheme="majorHAnsi" w:eastAsiaTheme="majorEastAsia" w:hAnsiTheme="majorHAnsi" w:cstheme="majorBidi"/>
      <w:i/>
      <w:iCs/>
      <w:color w:val="2E74B5" w:themeColor="accent1" w:themeShade="BF"/>
      <w:sz w:val="24"/>
      <w:szCs w:val="24"/>
      <w:lang w:val="en-US" w:eastAsia="ja-JP"/>
    </w:rPr>
  </w:style>
  <w:style w:type="character" w:styleId="SubtleEmphasis">
    <w:name w:val="Subtle Emphasis"/>
    <w:basedOn w:val="DefaultParagraphFont"/>
    <w:uiPriority w:val="19"/>
    <w:qFormat/>
    <w:rsid w:val="00D157F7"/>
    <w:rPr>
      <w:i/>
      <w:iCs/>
      <w:color w:val="404040" w:themeColor="text1" w:themeTint="BF"/>
    </w:rPr>
  </w:style>
  <w:style w:type="paragraph" w:styleId="Revision">
    <w:name w:val="Revision"/>
    <w:hidden/>
    <w:uiPriority w:val="99"/>
    <w:semiHidden/>
    <w:rsid w:val="00F27BD7"/>
    <w:pPr>
      <w:spacing w:after="0" w:line="240" w:lineRule="auto"/>
    </w:pPr>
    <w:rPr>
      <w:rFonts w:eastAsiaTheme="minorEastAsia"/>
      <w:sz w:val="24"/>
      <w:szCs w:val="24"/>
      <w:lang w:val="en-US" w:eastAsia="ja-JP"/>
    </w:rPr>
  </w:style>
  <w:style w:type="character" w:customStyle="1" w:styleId="apple-converted-space">
    <w:name w:val="apple-converted-space"/>
    <w:basedOn w:val="DefaultParagraphFont"/>
    <w:rsid w:val="002354AF"/>
  </w:style>
  <w:style w:type="character" w:customStyle="1" w:styleId="highlight">
    <w:name w:val="highlight"/>
    <w:basedOn w:val="DefaultParagraphFont"/>
    <w:rsid w:val="002354AF"/>
  </w:style>
  <w:style w:type="paragraph" w:customStyle="1" w:styleId="EndNoteBibliography">
    <w:name w:val="EndNote Bibliography"/>
    <w:basedOn w:val="Normal"/>
    <w:link w:val="EndNoteBibliographyChar"/>
    <w:rsid w:val="00076B51"/>
    <w:pPr>
      <w:spacing w:after="200"/>
    </w:pPr>
    <w:rPr>
      <w:rFonts w:ascii="Calibri" w:eastAsiaTheme="minorHAnsi" w:hAnsi="Calibri"/>
      <w:noProof/>
      <w:sz w:val="22"/>
      <w:szCs w:val="22"/>
      <w:lang w:eastAsia="en-US"/>
    </w:rPr>
  </w:style>
  <w:style w:type="character" w:customStyle="1" w:styleId="EndNoteBibliographyChar">
    <w:name w:val="EndNote Bibliography Char"/>
    <w:basedOn w:val="DefaultParagraphFont"/>
    <w:link w:val="EndNoteBibliography"/>
    <w:rsid w:val="00076B51"/>
    <w:rPr>
      <w:rFonts w:ascii="Calibri" w:hAnsi="Calibri"/>
      <w:noProof/>
      <w:lang w:val="en-US"/>
    </w:rPr>
  </w:style>
  <w:style w:type="character" w:styleId="FollowedHyperlink">
    <w:name w:val="FollowedHyperlink"/>
    <w:basedOn w:val="DefaultParagraphFont"/>
    <w:uiPriority w:val="99"/>
    <w:semiHidden/>
    <w:unhideWhenUsed/>
    <w:rsid w:val="00841205"/>
    <w:rPr>
      <w:color w:val="954F72" w:themeColor="followedHyperlink"/>
      <w:u w:val="single"/>
    </w:rPr>
  </w:style>
  <w:style w:type="paragraph" w:styleId="EndnoteText">
    <w:name w:val="endnote text"/>
    <w:basedOn w:val="Normal"/>
    <w:link w:val="EndnoteTextChar"/>
    <w:uiPriority w:val="99"/>
    <w:unhideWhenUsed/>
    <w:rsid w:val="0035686E"/>
    <w:rPr>
      <w:rFonts w:ascii="Times New Roman" w:eastAsia="Times New Roman" w:hAnsi="Times New Roman" w:cs="MS Sans Serif"/>
      <w:lang w:eastAsia="en-US"/>
    </w:rPr>
  </w:style>
  <w:style w:type="character" w:customStyle="1" w:styleId="EndnoteTextChar">
    <w:name w:val="Endnote Text Char"/>
    <w:basedOn w:val="DefaultParagraphFont"/>
    <w:link w:val="EndnoteText"/>
    <w:uiPriority w:val="99"/>
    <w:rsid w:val="0035686E"/>
    <w:rPr>
      <w:rFonts w:ascii="Times New Roman" w:eastAsia="Times New Roman" w:hAnsi="Times New Roman" w:cs="MS Sans Serif"/>
      <w:sz w:val="24"/>
      <w:szCs w:val="24"/>
      <w:lang w:val="en-US"/>
    </w:rPr>
  </w:style>
  <w:style w:type="character" w:styleId="EndnoteReference">
    <w:name w:val="endnote reference"/>
    <w:basedOn w:val="DefaultParagraphFont"/>
    <w:uiPriority w:val="99"/>
    <w:unhideWhenUsed/>
    <w:rsid w:val="0035686E"/>
    <w:rPr>
      <w:vertAlign w:val="superscript"/>
    </w:rPr>
  </w:style>
  <w:style w:type="character" w:styleId="Strong">
    <w:name w:val="Strong"/>
    <w:basedOn w:val="DefaultParagraphFont"/>
    <w:uiPriority w:val="22"/>
    <w:qFormat/>
    <w:rsid w:val="0073569E"/>
    <w:rPr>
      <w:b/>
      <w:bCs/>
    </w:rPr>
  </w:style>
  <w:style w:type="paragraph" w:customStyle="1" w:styleId="EndNoteBibliographyTitle">
    <w:name w:val="EndNote Bibliography Title"/>
    <w:basedOn w:val="Normal"/>
    <w:link w:val="EndNoteBibliographyTitleChar"/>
    <w:rsid w:val="00743366"/>
    <w:pPr>
      <w:jc w:val="center"/>
    </w:pPr>
    <w:rPr>
      <w:rFonts w:ascii="Calibri" w:hAnsi="Calibri"/>
      <w:noProof/>
      <w:sz w:val="22"/>
    </w:rPr>
  </w:style>
  <w:style w:type="character" w:customStyle="1" w:styleId="EndNoteBibliographyTitleChar">
    <w:name w:val="EndNote Bibliography Title Char"/>
    <w:basedOn w:val="DefaultParagraphFont"/>
    <w:link w:val="EndNoteBibliographyTitle"/>
    <w:rsid w:val="00743366"/>
    <w:rPr>
      <w:rFonts w:ascii="Calibri" w:eastAsiaTheme="minorEastAsia" w:hAnsi="Calibri"/>
      <w:noProof/>
      <w:szCs w:val="24"/>
      <w:lang w:val="en-US" w:eastAsia="ja-JP"/>
    </w:rPr>
  </w:style>
  <w:style w:type="paragraph" w:styleId="Subtitle">
    <w:name w:val="Subtitle"/>
    <w:basedOn w:val="Normal"/>
    <w:next w:val="Normal"/>
    <w:link w:val="SubtitleChar"/>
    <w:uiPriority w:val="11"/>
    <w:qFormat/>
    <w:rsid w:val="003F5DA7"/>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3F5DA7"/>
    <w:rPr>
      <w:rFonts w:eastAsiaTheme="minorEastAsia"/>
      <w:color w:val="5A5A5A" w:themeColor="text1" w:themeTint="A5"/>
      <w:spacing w:val="15"/>
      <w:lang w:val="en-US" w:eastAsia="ja-JP"/>
    </w:rPr>
  </w:style>
  <w:style w:type="character" w:styleId="LineNumber">
    <w:name w:val="line number"/>
    <w:basedOn w:val="DefaultParagraphFont"/>
    <w:uiPriority w:val="99"/>
    <w:semiHidden/>
    <w:unhideWhenUsed/>
    <w:rsid w:val="005C5026"/>
  </w:style>
  <w:style w:type="table" w:customStyle="1" w:styleId="TableGrid1">
    <w:name w:val="Table Grid1"/>
    <w:basedOn w:val="TableNormal"/>
    <w:next w:val="TableGrid"/>
    <w:uiPriority w:val="39"/>
    <w:rsid w:val="00B80CE0"/>
    <w:pPr>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B1FDB"/>
    <w:rPr>
      <w:rFonts w:asciiTheme="majorHAnsi" w:eastAsiaTheme="majorEastAsia" w:hAnsiTheme="majorHAnsi" w:cstheme="majorBidi"/>
      <w:color w:val="2E74B5" w:themeColor="accent1" w:themeShade="BF"/>
      <w:sz w:val="24"/>
      <w:szCs w:val="24"/>
      <w:lang w:val="en-US" w:eastAsia="ja-JP"/>
    </w:rPr>
  </w:style>
  <w:style w:type="table" w:customStyle="1" w:styleId="TableGrid11">
    <w:name w:val="Table Grid11"/>
    <w:basedOn w:val="TableNormal"/>
    <w:next w:val="TableGrid"/>
    <w:uiPriority w:val="39"/>
    <w:rsid w:val="00D022A9"/>
    <w:pPr>
      <w:spacing w:after="0" w:line="240" w:lineRule="auto"/>
    </w:pPr>
    <w:rPr>
      <w:rFonts w:eastAsia="SimSu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022A9"/>
    <w:pPr>
      <w:spacing w:after="0" w:line="240" w:lineRule="auto"/>
    </w:pPr>
    <w:rPr>
      <w:rFonts w:eastAsiaTheme="minorEastAsia"/>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B807A0"/>
    <w:rPr>
      <w:rFonts w:asciiTheme="majorHAnsi" w:eastAsiaTheme="majorEastAsia" w:hAnsiTheme="majorHAnsi" w:cstheme="majorBidi"/>
      <w:color w:val="1F4D78" w:themeColor="accent1" w:themeShade="7F"/>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8245">
      <w:bodyDiv w:val="1"/>
      <w:marLeft w:val="0"/>
      <w:marRight w:val="0"/>
      <w:marTop w:val="0"/>
      <w:marBottom w:val="0"/>
      <w:divBdr>
        <w:top w:val="none" w:sz="0" w:space="0" w:color="auto"/>
        <w:left w:val="none" w:sz="0" w:space="0" w:color="auto"/>
        <w:bottom w:val="none" w:sz="0" w:space="0" w:color="auto"/>
        <w:right w:val="none" w:sz="0" w:space="0" w:color="auto"/>
      </w:divBdr>
    </w:div>
    <w:div w:id="38479395">
      <w:bodyDiv w:val="1"/>
      <w:marLeft w:val="0"/>
      <w:marRight w:val="0"/>
      <w:marTop w:val="0"/>
      <w:marBottom w:val="0"/>
      <w:divBdr>
        <w:top w:val="none" w:sz="0" w:space="0" w:color="auto"/>
        <w:left w:val="none" w:sz="0" w:space="0" w:color="auto"/>
        <w:bottom w:val="none" w:sz="0" w:space="0" w:color="auto"/>
        <w:right w:val="none" w:sz="0" w:space="0" w:color="auto"/>
      </w:divBdr>
    </w:div>
    <w:div w:id="56320482">
      <w:bodyDiv w:val="1"/>
      <w:marLeft w:val="0"/>
      <w:marRight w:val="0"/>
      <w:marTop w:val="0"/>
      <w:marBottom w:val="0"/>
      <w:divBdr>
        <w:top w:val="none" w:sz="0" w:space="0" w:color="auto"/>
        <w:left w:val="none" w:sz="0" w:space="0" w:color="auto"/>
        <w:bottom w:val="none" w:sz="0" w:space="0" w:color="auto"/>
        <w:right w:val="none" w:sz="0" w:space="0" w:color="auto"/>
      </w:divBdr>
    </w:div>
    <w:div w:id="61416048">
      <w:bodyDiv w:val="1"/>
      <w:marLeft w:val="0"/>
      <w:marRight w:val="0"/>
      <w:marTop w:val="0"/>
      <w:marBottom w:val="0"/>
      <w:divBdr>
        <w:top w:val="none" w:sz="0" w:space="0" w:color="auto"/>
        <w:left w:val="none" w:sz="0" w:space="0" w:color="auto"/>
        <w:bottom w:val="none" w:sz="0" w:space="0" w:color="auto"/>
        <w:right w:val="none" w:sz="0" w:space="0" w:color="auto"/>
      </w:divBdr>
    </w:div>
    <w:div w:id="69474480">
      <w:bodyDiv w:val="1"/>
      <w:marLeft w:val="0"/>
      <w:marRight w:val="0"/>
      <w:marTop w:val="0"/>
      <w:marBottom w:val="0"/>
      <w:divBdr>
        <w:top w:val="none" w:sz="0" w:space="0" w:color="auto"/>
        <w:left w:val="none" w:sz="0" w:space="0" w:color="auto"/>
        <w:bottom w:val="none" w:sz="0" w:space="0" w:color="auto"/>
        <w:right w:val="none" w:sz="0" w:space="0" w:color="auto"/>
      </w:divBdr>
    </w:div>
    <w:div w:id="122625593">
      <w:bodyDiv w:val="1"/>
      <w:marLeft w:val="0"/>
      <w:marRight w:val="0"/>
      <w:marTop w:val="0"/>
      <w:marBottom w:val="0"/>
      <w:divBdr>
        <w:top w:val="none" w:sz="0" w:space="0" w:color="auto"/>
        <w:left w:val="none" w:sz="0" w:space="0" w:color="auto"/>
        <w:bottom w:val="none" w:sz="0" w:space="0" w:color="auto"/>
        <w:right w:val="none" w:sz="0" w:space="0" w:color="auto"/>
      </w:divBdr>
    </w:div>
    <w:div w:id="136453870">
      <w:bodyDiv w:val="1"/>
      <w:marLeft w:val="0"/>
      <w:marRight w:val="0"/>
      <w:marTop w:val="0"/>
      <w:marBottom w:val="0"/>
      <w:divBdr>
        <w:top w:val="none" w:sz="0" w:space="0" w:color="auto"/>
        <w:left w:val="none" w:sz="0" w:space="0" w:color="auto"/>
        <w:bottom w:val="none" w:sz="0" w:space="0" w:color="auto"/>
        <w:right w:val="none" w:sz="0" w:space="0" w:color="auto"/>
      </w:divBdr>
      <w:divsChild>
        <w:div w:id="2098594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764135">
              <w:marLeft w:val="0"/>
              <w:marRight w:val="0"/>
              <w:marTop w:val="0"/>
              <w:marBottom w:val="0"/>
              <w:divBdr>
                <w:top w:val="none" w:sz="0" w:space="0" w:color="auto"/>
                <w:left w:val="none" w:sz="0" w:space="0" w:color="auto"/>
                <w:bottom w:val="none" w:sz="0" w:space="0" w:color="auto"/>
                <w:right w:val="none" w:sz="0" w:space="0" w:color="auto"/>
              </w:divBdr>
              <w:divsChild>
                <w:div w:id="188671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7149">
      <w:bodyDiv w:val="1"/>
      <w:marLeft w:val="0"/>
      <w:marRight w:val="0"/>
      <w:marTop w:val="0"/>
      <w:marBottom w:val="0"/>
      <w:divBdr>
        <w:top w:val="none" w:sz="0" w:space="0" w:color="auto"/>
        <w:left w:val="none" w:sz="0" w:space="0" w:color="auto"/>
        <w:bottom w:val="none" w:sz="0" w:space="0" w:color="auto"/>
        <w:right w:val="none" w:sz="0" w:space="0" w:color="auto"/>
      </w:divBdr>
    </w:div>
    <w:div w:id="275794062">
      <w:bodyDiv w:val="1"/>
      <w:marLeft w:val="0"/>
      <w:marRight w:val="0"/>
      <w:marTop w:val="0"/>
      <w:marBottom w:val="0"/>
      <w:divBdr>
        <w:top w:val="none" w:sz="0" w:space="0" w:color="auto"/>
        <w:left w:val="none" w:sz="0" w:space="0" w:color="auto"/>
        <w:bottom w:val="none" w:sz="0" w:space="0" w:color="auto"/>
        <w:right w:val="none" w:sz="0" w:space="0" w:color="auto"/>
      </w:divBdr>
    </w:div>
    <w:div w:id="318311385">
      <w:bodyDiv w:val="1"/>
      <w:marLeft w:val="0"/>
      <w:marRight w:val="0"/>
      <w:marTop w:val="0"/>
      <w:marBottom w:val="0"/>
      <w:divBdr>
        <w:top w:val="none" w:sz="0" w:space="0" w:color="auto"/>
        <w:left w:val="none" w:sz="0" w:space="0" w:color="auto"/>
        <w:bottom w:val="none" w:sz="0" w:space="0" w:color="auto"/>
        <w:right w:val="none" w:sz="0" w:space="0" w:color="auto"/>
      </w:divBdr>
    </w:div>
    <w:div w:id="354304975">
      <w:bodyDiv w:val="1"/>
      <w:marLeft w:val="0"/>
      <w:marRight w:val="0"/>
      <w:marTop w:val="0"/>
      <w:marBottom w:val="0"/>
      <w:divBdr>
        <w:top w:val="none" w:sz="0" w:space="0" w:color="auto"/>
        <w:left w:val="none" w:sz="0" w:space="0" w:color="auto"/>
        <w:bottom w:val="none" w:sz="0" w:space="0" w:color="auto"/>
        <w:right w:val="none" w:sz="0" w:space="0" w:color="auto"/>
      </w:divBdr>
    </w:div>
    <w:div w:id="378239670">
      <w:bodyDiv w:val="1"/>
      <w:marLeft w:val="0"/>
      <w:marRight w:val="0"/>
      <w:marTop w:val="0"/>
      <w:marBottom w:val="0"/>
      <w:divBdr>
        <w:top w:val="none" w:sz="0" w:space="0" w:color="auto"/>
        <w:left w:val="none" w:sz="0" w:space="0" w:color="auto"/>
        <w:bottom w:val="none" w:sz="0" w:space="0" w:color="auto"/>
        <w:right w:val="none" w:sz="0" w:space="0" w:color="auto"/>
      </w:divBdr>
    </w:div>
    <w:div w:id="398792043">
      <w:bodyDiv w:val="1"/>
      <w:marLeft w:val="0"/>
      <w:marRight w:val="0"/>
      <w:marTop w:val="0"/>
      <w:marBottom w:val="0"/>
      <w:divBdr>
        <w:top w:val="none" w:sz="0" w:space="0" w:color="auto"/>
        <w:left w:val="none" w:sz="0" w:space="0" w:color="auto"/>
        <w:bottom w:val="none" w:sz="0" w:space="0" w:color="auto"/>
        <w:right w:val="none" w:sz="0" w:space="0" w:color="auto"/>
      </w:divBdr>
    </w:div>
    <w:div w:id="525338650">
      <w:bodyDiv w:val="1"/>
      <w:marLeft w:val="0"/>
      <w:marRight w:val="0"/>
      <w:marTop w:val="0"/>
      <w:marBottom w:val="0"/>
      <w:divBdr>
        <w:top w:val="none" w:sz="0" w:space="0" w:color="auto"/>
        <w:left w:val="none" w:sz="0" w:space="0" w:color="auto"/>
        <w:bottom w:val="none" w:sz="0" w:space="0" w:color="auto"/>
        <w:right w:val="none" w:sz="0" w:space="0" w:color="auto"/>
      </w:divBdr>
    </w:div>
    <w:div w:id="559054803">
      <w:bodyDiv w:val="1"/>
      <w:marLeft w:val="0"/>
      <w:marRight w:val="0"/>
      <w:marTop w:val="0"/>
      <w:marBottom w:val="0"/>
      <w:divBdr>
        <w:top w:val="none" w:sz="0" w:space="0" w:color="auto"/>
        <w:left w:val="none" w:sz="0" w:space="0" w:color="auto"/>
        <w:bottom w:val="none" w:sz="0" w:space="0" w:color="auto"/>
        <w:right w:val="none" w:sz="0" w:space="0" w:color="auto"/>
      </w:divBdr>
    </w:div>
    <w:div w:id="704062485">
      <w:bodyDiv w:val="1"/>
      <w:marLeft w:val="0"/>
      <w:marRight w:val="0"/>
      <w:marTop w:val="0"/>
      <w:marBottom w:val="0"/>
      <w:divBdr>
        <w:top w:val="none" w:sz="0" w:space="0" w:color="auto"/>
        <w:left w:val="none" w:sz="0" w:space="0" w:color="auto"/>
        <w:bottom w:val="none" w:sz="0" w:space="0" w:color="auto"/>
        <w:right w:val="none" w:sz="0" w:space="0" w:color="auto"/>
      </w:divBdr>
    </w:div>
    <w:div w:id="745805000">
      <w:bodyDiv w:val="1"/>
      <w:marLeft w:val="0"/>
      <w:marRight w:val="0"/>
      <w:marTop w:val="0"/>
      <w:marBottom w:val="0"/>
      <w:divBdr>
        <w:top w:val="none" w:sz="0" w:space="0" w:color="auto"/>
        <w:left w:val="none" w:sz="0" w:space="0" w:color="auto"/>
        <w:bottom w:val="none" w:sz="0" w:space="0" w:color="auto"/>
        <w:right w:val="none" w:sz="0" w:space="0" w:color="auto"/>
      </w:divBdr>
    </w:div>
    <w:div w:id="795639631">
      <w:bodyDiv w:val="1"/>
      <w:marLeft w:val="0"/>
      <w:marRight w:val="0"/>
      <w:marTop w:val="0"/>
      <w:marBottom w:val="0"/>
      <w:divBdr>
        <w:top w:val="none" w:sz="0" w:space="0" w:color="auto"/>
        <w:left w:val="none" w:sz="0" w:space="0" w:color="auto"/>
        <w:bottom w:val="none" w:sz="0" w:space="0" w:color="auto"/>
        <w:right w:val="none" w:sz="0" w:space="0" w:color="auto"/>
      </w:divBdr>
    </w:div>
    <w:div w:id="841973250">
      <w:bodyDiv w:val="1"/>
      <w:marLeft w:val="0"/>
      <w:marRight w:val="0"/>
      <w:marTop w:val="0"/>
      <w:marBottom w:val="0"/>
      <w:divBdr>
        <w:top w:val="none" w:sz="0" w:space="0" w:color="auto"/>
        <w:left w:val="none" w:sz="0" w:space="0" w:color="auto"/>
        <w:bottom w:val="none" w:sz="0" w:space="0" w:color="auto"/>
        <w:right w:val="none" w:sz="0" w:space="0" w:color="auto"/>
      </w:divBdr>
    </w:div>
    <w:div w:id="882866004">
      <w:bodyDiv w:val="1"/>
      <w:marLeft w:val="0"/>
      <w:marRight w:val="0"/>
      <w:marTop w:val="0"/>
      <w:marBottom w:val="0"/>
      <w:divBdr>
        <w:top w:val="none" w:sz="0" w:space="0" w:color="auto"/>
        <w:left w:val="none" w:sz="0" w:space="0" w:color="auto"/>
        <w:bottom w:val="none" w:sz="0" w:space="0" w:color="auto"/>
        <w:right w:val="none" w:sz="0" w:space="0" w:color="auto"/>
      </w:divBdr>
    </w:div>
    <w:div w:id="905259026">
      <w:bodyDiv w:val="1"/>
      <w:marLeft w:val="0"/>
      <w:marRight w:val="0"/>
      <w:marTop w:val="0"/>
      <w:marBottom w:val="0"/>
      <w:divBdr>
        <w:top w:val="none" w:sz="0" w:space="0" w:color="auto"/>
        <w:left w:val="none" w:sz="0" w:space="0" w:color="auto"/>
        <w:bottom w:val="none" w:sz="0" w:space="0" w:color="auto"/>
        <w:right w:val="none" w:sz="0" w:space="0" w:color="auto"/>
      </w:divBdr>
    </w:div>
    <w:div w:id="1192838823">
      <w:bodyDiv w:val="1"/>
      <w:marLeft w:val="0"/>
      <w:marRight w:val="0"/>
      <w:marTop w:val="0"/>
      <w:marBottom w:val="0"/>
      <w:divBdr>
        <w:top w:val="none" w:sz="0" w:space="0" w:color="auto"/>
        <w:left w:val="none" w:sz="0" w:space="0" w:color="auto"/>
        <w:bottom w:val="none" w:sz="0" w:space="0" w:color="auto"/>
        <w:right w:val="none" w:sz="0" w:space="0" w:color="auto"/>
      </w:divBdr>
    </w:div>
    <w:div w:id="1228878923">
      <w:bodyDiv w:val="1"/>
      <w:marLeft w:val="0"/>
      <w:marRight w:val="0"/>
      <w:marTop w:val="0"/>
      <w:marBottom w:val="0"/>
      <w:divBdr>
        <w:top w:val="none" w:sz="0" w:space="0" w:color="auto"/>
        <w:left w:val="none" w:sz="0" w:space="0" w:color="auto"/>
        <w:bottom w:val="none" w:sz="0" w:space="0" w:color="auto"/>
        <w:right w:val="none" w:sz="0" w:space="0" w:color="auto"/>
      </w:divBdr>
    </w:div>
    <w:div w:id="1230120374">
      <w:bodyDiv w:val="1"/>
      <w:marLeft w:val="0"/>
      <w:marRight w:val="0"/>
      <w:marTop w:val="0"/>
      <w:marBottom w:val="0"/>
      <w:divBdr>
        <w:top w:val="none" w:sz="0" w:space="0" w:color="auto"/>
        <w:left w:val="none" w:sz="0" w:space="0" w:color="auto"/>
        <w:bottom w:val="none" w:sz="0" w:space="0" w:color="auto"/>
        <w:right w:val="none" w:sz="0" w:space="0" w:color="auto"/>
      </w:divBdr>
    </w:div>
    <w:div w:id="1284457945">
      <w:bodyDiv w:val="1"/>
      <w:marLeft w:val="0"/>
      <w:marRight w:val="0"/>
      <w:marTop w:val="0"/>
      <w:marBottom w:val="0"/>
      <w:divBdr>
        <w:top w:val="none" w:sz="0" w:space="0" w:color="auto"/>
        <w:left w:val="none" w:sz="0" w:space="0" w:color="auto"/>
        <w:bottom w:val="none" w:sz="0" w:space="0" w:color="auto"/>
        <w:right w:val="none" w:sz="0" w:space="0" w:color="auto"/>
      </w:divBdr>
    </w:div>
    <w:div w:id="1405301511">
      <w:bodyDiv w:val="1"/>
      <w:marLeft w:val="0"/>
      <w:marRight w:val="0"/>
      <w:marTop w:val="0"/>
      <w:marBottom w:val="0"/>
      <w:divBdr>
        <w:top w:val="none" w:sz="0" w:space="0" w:color="auto"/>
        <w:left w:val="none" w:sz="0" w:space="0" w:color="auto"/>
        <w:bottom w:val="none" w:sz="0" w:space="0" w:color="auto"/>
        <w:right w:val="none" w:sz="0" w:space="0" w:color="auto"/>
      </w:divBdr>
    </w:div>
    <w:div w:id="1413620827">
      <w:bodyDiv w:val="1"/>
      <w:marLeft w:val="0"/>
      <w:marRight w:val="0"/>
      <w:marTop w:val="0"/>
      <w:marBottom w:val="0"/>
      <w:divBdr>
        <w:top w:val="none" w:sz="0" w:space="0" w:color="auto"/>
        <w:left w:val="none" w:sz="0" w:space="0" w:color="auto"/>
        <w:bottom w:val="none" w:sz="0" w:space="0" w:color="auto"/>
        <w:right w:val="none" w:sz="0" w:space="0" w:color="auto"/>
      </w:divBdr>
    </w:div>
    <w:div w:id="1418482105">
      <w:bodyDiv w:val="1"/>
      <w:marLeft w:val="0"/>
      <w:marRight w:val="0"/>
      <w:marTop w:val="0"/>
      <w:marBottom w:val="0"/>
      <w:divBdr>
        <w:top w:val="none" w:sz="0" w:space="0" w:color="auto"/>
        <w:left w:val="none" w:sz="0" w:space="0" w:color="auto"/>
        <w:bottom w:val="none" w:sz="0" w:space="0" w:color="auto"/>
        <w:right w:val="none" w:sz="0" w:space="0" w:color="auto"/>
      </w:divBdr>
    </w:div>
    <w:div w:id="1423574574">
      <w:bodyDiv w:val="1"/>
      <w:marLeft w:val="0"/>
      <w:marRight w:val="0"/>
      <w:marTop w:val="0"/>
      <w:marBottom w:val="0"/>
      <w:divBdr>
        <w:top w:val="none" w:sz="0" w:space="0" w:color="auto"/>
        <w:left w:val="none" w:sz="0" w:space="0" w:color="auto"/>
        <w:bottom w:val="none" w:sz="0" w:space="0" w:color="auto"/>
        <w:right w:val="none" w:sz="0" w:space="0" w:color="auto"/>
      </w:divBdr>
    </w:div>
    <w:div w:id="1447043926">
      <w:bodyDiv w:val="1"/>
      <w:marLeft w:val="0"/>
      <w:marRight w:val="0"/>
      <w:marTop w:val="0"/>
      <w:marBottom w:val="0"/>
      <w:divBdr>
        <w:top w:val="none" w:sz="0" w:space="0" w:color="auto"/>
        <w:left w:val="none" w:sz="0" w:space="0" w:color="auto"/>
        <w:bottom w:val="none" w:sz="0" w:space="0" w:color="auto"/>
        <w:right w:val="none" w:sz="0" w:space="0" w:color="auto"/>
      </w:divBdr>
    </w:div>
    <w:div w:id="1473909556">
      <w:bodyDiv w:val="1"/>
      <w:marLeft w:val="0"/>
      <w:marRight w:val="0"/>
      <w:marTop w:val="0"/>
      <w:marBottom w:val="0"/>
      <w:divBdr>
        <w:top w:val="none" w:sz="0" w:space="0" w:color="auto"/>
        <w:left w:val="none" w:sz="0" w:space="0" w:color="auto"/>
        <w:bottom w:val="none" w:sz="0" w:space="0" w:color="auto"/>
        <w:right w:val="none" w:sz="0" w:space="0" w:color="auto"/>
      </w:divBdr>
    </w:div>
    <w:div w:id="1506432998">
      <w:bodyDiv w:val="1"/>
      <w:marLeft w:val="0"/>
      <w:marRight w:val="0"/>
      <w:marTop w:val="0"/>
      <w:marBottom w:val="0"/>
      <w:divBdr>
        <w:top w:val="none" w:sz="0" w:space="0" w:color="auto"/>
        <w:left w:val="none" w:sz="0" w:space="0" w:color="auto"/>
        <w:bottom w:val="none" w:sz="0" w:space="0" w:color="auto"/>
        <w:right w:val="none" w:sz="0" w:space="0" w:color="auto"/>
      </w:divBdr>
    </w:div>
    <w:div w:id="1531065196">
      <w:bodyDiv w:val="1"/>
      <w:marLeft w:val="0"/>
      <w:marRight w:val="0"/>
      <w:marTop w:val="0"/>
      <w:marBottom w:val="0"/>
      <w:divBdr>
        <w:top w:val="none" w:sz="0" w:space="0" w:color="auto"/>
        <w:left w:val="none" w:sz="0" w:space="0" w:color="auto"/>
        <w:bottom w:val="none" w:sz="0" w:space="0" w:color="auto"/>
        <w:right w:val="none" w:sz="0" w:space="0" w:color="auto"/>
      </w:divBdr>
    </w:div>
    <w:div w:id="1557664703">
      <w:bodyDiv w:val="1"/>
      <w:marLeft w:val="0"/>
      <w:marRight w:val="0"/>
      <w:marTop w:val="0"/>
      <w:marBottom w:val="0"/>
      <w:divBdr>
        <w:top w:val="none" w:sz="0" w:space="0" w:color="auto"/>
        <w:left w:val="none" w:sz="0" w:space="0" w:color="auto"/>
        <w:bottom w:val="none" w:sz="0" w:space="0" w:color="auto"/>
        <w:right w:val="none" w:sz="0" w:space="0" w:color="auto"/>
      </w:divBdr>
    </w:div>
    <w:div w:id="1580288824">
      <w:bodyDiv w:val="1"/>
      <w:marLeft w:val="0"/>
      <w:marRight w:val="0"/>
      <w:marTop w:val="0"/>
      <w:marBottom w:val="0"/>
      <w:divBdr>
        <w:top w:val="none" w:sz="0" w:space="0" w:color="auto"/>
        <w:left w:val="none" w:sz="0" w:space="0" w:color="auto"/>
        <w:bottom w:val="none" w:sz="0" w:space="0" w:color="auto"/>
        <w:right w:val="none" w:sz="0" w:space="0" w:color="auto"/>
      </w:divBdr>
    </w:div>
    <w:div w:id="1639922131">
      <w:bodyDiv w:val="1"/>
      <w:marLeft w:val="0"/>
      <w:marRight w:val="0"/>
      <w:marTop w:val="0"/>
      <w:marBottom w:val="0"/>
      <w:divBdr>
        <w:top w:val="none" w:sz="0" w:space="0" w:color="auto"/>
        <w:left w:val="none" w:sz="0" w:space="0" w:color="auto"/>
        <w:bottom w:val="none" w:sz="0" w:space="0" w:color="auto"/>
        <w:right w:val="none" w:sz="0" w:space="0" w:color="auto"/>
      </w:divBdr>
    </w:div>
    <w:div w:id="1643078120">
      <w:bodyDiv w:val="1"/>
      <w:marLeft w:val="0"/>
      <w:marRight w:val="0"/>
      <w:marTop w:val="0"/>
      <w:marBottom w:val="0"/>
      <w:divBdr>
        <w:top w:val="none" w:sz="0" w:space="0" w:color="auto"/>
        <w:left w:val="none" w:sz="0" w:space="0" w:color="auto"/>
        <w:bottom w:val="none" w:sz="0" w:space="0" w:color="auto"/>
        <w:right w:val="none" w:sz="0" w:space="0" w:color="auto"/>
      </w:divBdr>
    </w:div>
    <w:div w:id="1709715224">
      <w:bodyDiv w:val="1"/>
      <w:marLeft w:val="0"/>
      <w:marRight w:val="0"/>
      <w:marTop w:val="0"/>
      <w:marBottom w:val="0"/>
      <w:divBdr>
        <w:top w:val="none" w:sz="0" w:space="0" w:color="auto"/>
        <w:left w:val="none" w:sz="0" w:space="0" w:color="auto"/>
        <w:bottom w:val="none" w:sz="0" w:space="0" w:color="auto"/>
        <w:right w:val="none" w:sz="0" w:space="0" w:color="auto"/>
      </w:divBdr>
    </w:div>
    <w:div w:id="1831292017">
      <w:bodyDiv w:val="1"/>
      <w:marLeft w:val="0"/>
      <w:marRight w:val="0"/>
      <w:marTop w:val="0"/>
      <w:marBottom w:val="0"/>
      <w:divBdr>
        <w:top w:val="none" w:sz="0" w:space="0" w:color="auto"/>
        <w:left w:val="none" w:sz="0" w:space="0" w:color="auto"/>
        <w:bottom w:val="none" w:sz="0" w:space="0" w:color="auto"/>
        <w:right w:val="none" w:sz="0" w:space="0" w:color="auto"/>
      </w:divBdr>
    </w:div>
    <w:div w:id="1832912386">
      <w:bodyDiv w:val="1"/>
      <w:marLeft w:val="0"/>
      <w:marRight w:val="0"/>
      <w:marTop w:val="0"/>
      <w:marBottom w:val="0"/>
      <w:divBdr>
        <w:top w:val="none" w:sz="0" w:space="0" w:color="auto"/>
        <w:left w:val="none" w:sz="0" w:space="0" w:color="auto"/>
        <w:bottom w:val="none" w:sz="0" w:space="0" w:color="auto"/>
        <w:right w:val="none" w:sz="0" w:space="0" w:color="auto"/>
      </w:divBdr>
    </w:div>
    <w:div w:id="1877695456">
      <w:bodyDiv w:val="1"/>
      <w:marLeft w:val="0"/>
      <w:marRight w:val="0"/>
      <w:marTop w:val="0"/>
      <w:marBottom w:val="0"/>
      <w:divBdr>
        <w:top w:val="none" w:sz="0" w:space="0" w:color="auto"/>
        <w:left w:val="none" w:sz="0" w:space="0" w:color="auto"/>
        <w:bottom w:val="none" w:sz="0" w:space="0" w:color="auto"/>
        <w:right w:val="none" w:sz="0" w:space="0" w:color="auto"/>
      </w:divBdr>
    </w:div>
    <w:div w:id="1934901518">
      <w:bodyDiv w:val="1"/>
      <w:marLeft w:val="0"/>
      <w:marRight w:val="0"/>
      <w:marTop w:val="0"/>
      <w:marBottom w:val="0"/>
      <w:divBdr>
        <w:top w:val="none" w:sz="0" w:space="0" w:color="auto"/>
        <w:left w:val="none" w:sz="0" w:space="0" w:color="auto"/>
        <w:bottom w:val="none" w:sz="0" w:space="0" w:color="auto"/>
        <w:right w:val="none" w:sz="0" w:space="0" w:color="auto"/>
      </w:divBdr>
    </w:div>
    <w:div w:id="1955937061">
      <w:bodyDiv w:val="1"/>
      <w:marLeft w:val="0"/>
      <w:marRight w:val="0"/>
      <w:marTop w:val="0"/>
      <w:marBottom w:val="0"/>
      <w:divBdr>
        <w:top w:val="none" w:sz="0" w:space="0" w:color="auto"/>
        <w:left w:val="none" w:sz="0" w:space="0" w:color="auto"/>
        <w:bottom w:val="none" w:sz="0" w:space="0" w:color="auto"/>
        <w:right w:val="none" w:sz="0" w:space="0" w:color="auto"/>
      </w:divBdr>
    </w:div>
    <w:div w:id="1965964471">
      <w:bodyDiv w:val="1"/>
      <w:marLeft w:val="0"/>
      <w:marRight w:val="0"/>
      <w:marTop w:val="0"/>
      <w:marBottom w:val="0"/>
      <w:divBdr>
        <w:top w:val="none" w:sz="0" w:space="0" w:color="auto"/>
        <w:left w:val="none" w:sz="0" w:space="0" w:color="auto"/>
        <w:bottom w:val="none" w:sz="0" w:space="0" w:color="auto"/>
        <w:right w:val="none" w:sz="0" w:space="0" w:color="auto"/>
      </w:divBdr>
    </w:div>
    <w:div w:id="1972857835">
      <w:bodyDiv w:val="1"/>
      <w:marLeft w:val="0"/>
      <w:marRight w:val="0"/>
      <w:marTop w:val="0"/>
      <w:marBottom w:val="0"/>
      <w:divBdr>
        <w:top w:val="none" w:sz="0" w:space="0" w:color="auto"/>
        <w:left w:val="none" w:sz="0" w:space="0" w:color="auto"/>
        <w:bottom w:val="none" w:sz="0" w:space="0" w:color="auto"/>
        <w:right w:val="none" w:sz="0" w:space="0" w:color="auto"/>
      </w:divBdr>
    </w:div>
    <w:div w:id="1977486765">
      <w:bodyDiv w:val="1"/>
      <w:marLeft w:val="0"/>
      <w:marRight w:val="0"/>
      <w:marTop w:val="0"/>
      <w:marBottom w:val="0"/>
      <w:divBdr>
        <w:top w:val="none" w:sz="0" w:space="0" w:color="auto"/>
        <w:left w:val="none" w:sz="0" w:space="0" w:color="auto"/>
        <w:bottom w:val="none" w:sz="0" w:space="0" w:color="auto"/>
        <w:right w:val="none" w:sz="0" w:space="0" w:color="auto"/>
      </w:divBdr>
    </w:div>
    <w:div w:id="2071534428">
      <w:bodyDiv w:val="1"/>
      <w:marLeft w:val="0"/>
      <w:marRight w:val="0"/>
      <w:marTop w:val="0"/>
      <w:marBottom w:val="0"/>
      <w:divBdr>
        <w:top w:val="none" w:sz="0" w:space="0" w:color="auto"/>
        <w:left w:val="none" w:sz="0" w:space="0" w:color="auto"/>
        <w:bottom w:val="none" w:sz="0" w:space="0" w:color="auto"/>
        <w:right w:val="none" w:sz="0" w:space="0" w:color="auto"/>
      </w:divBdr>
    </w:div>
    <w:div w:id="214246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yperlink" Target="http://www.who.int/mediacentre/news/releases/2014/world-health-statistics-2014/e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hyperlink" Target="http://apps.who.int/nha/database/World_Map/Index/en?id=REPORT_4_WORLD_MAPS&amp;mapType=3&amp;ws=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www.esrl.noaa.gov/gmd/ccgg/trends/weekl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gundersenenvision.org/gundersen-reaches-first-days-of-energy-independenc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1.xml"/><Relationship Id="rId36" Type="http://schemas.openxmlformats.org/officeDocument/2006/relationships/hyperlink" Target="http://www.deloitte.com/assets/Dcom-UnitedKingdom/Local%20Assets/Documents/Market%20insights/uk-insights-ma-perspectives-the-cas-paradox-2013-5.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greenhospitals.net/en/case-studi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who.int/phe/health_topics/outdoorair/databases/FINAL_HAP_AAP_BoD_24March2014.pdf" TargetMode="External"/><Relationship Id="rId35" Type="http://schemas.openxmlformats.org/officeDocument/2006/relationships/hyperlink" Target="http://www.swfinstitute.org/fund-ranking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Hilary%20Graham\Desktop\Lancet%20commission\Fig%201_By%20region.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'ALL BY REGION'!$E$5</c:f>
              <c:strCache>
                <c:ptCount val="1"/>
                <c:pt idx="0">
                  <c:v>Major threat</c:v>
                </c:pt>
              </c:strCache>
            </c:strRef>
          </c:tx>
          <c:invertIfNegative val="0"/>
          <c:cat>
            <c:multiLvlStrRef>
              <c:f>'ALL BY REGION'!$C$6:$D$49</c:f>
              <c:multiLvlStrCache>
                <c:ptCount val="44"/>
                <c:lvl>
                  <c:pt idx="0">
                    <c:v>Canada</c:v>
                  </c:pt>
                  <c:pt idx="1">
                    <c:v>USA</c:v>
                  </c:pt>
                  <c:pt idx="3">
                    <c:v>Brazil</c:v>
                  </c:pt>
                  <c:pt idx="4">
                    <c:v>Chile</c:v>
                  </c:pt>
                  <c:pt idx="5">
                    <c:v>Argentina</c:v>
                  </c:pt>
                  <c:pt idx="6">
                    <c:v>El Salvador</c:v>
                  </c:pt>
                  <c:pt idx="7">
                    <c:v>Bolivia</c:v>
                  </c:pt>
                  <c:pt idx="8">
                    <c:v>Mexico</c:v>
                  </c:pt>
                  <c:pt idx="9">
                    <c:v>Venezuela</c:v>
                  </c:pt>
                  <c:pt idx="11">
                    <c:v>S Korea</c:v>
                  </c:pt>
                  <c:pt idx="12">
                    <c:v>Japan</c:v>
                  </c:pt>
                  <c:pt idx="13">
                    <c:v>Philippines</c:v>
                  </c:pt>
                  <c:pt idx="14">
                    <c:v>Australia</c:v>
                  </c:pt>
                  <c:pt idx="15">
                    <c:v>Indonesia</c:v>
                  </c:pt>
                  <c:pt idx="16">
                    <c:v>Malaysia</c:v>
                  </c:pt>
                  <c:pt idx="17">
                    <c:v>China</c:v>
                  </c:pt>
                  <c:pt idx="18">
                    <c:v>Pakistan</c:v>
                  </c:pt>
                  <c:pt idx="20">
                    <c:v>Greece</c:v>
                  </c:pt>
                  <c:pt idx="21">
                    <c:v>Germany</c:v>
                  </c:pt>
                  <c:pt idx="22">
                    <c:v>Italy</c:v>
                  </c:pt>
                  <c:pt idx="23">
                    <c:v>Spain</c:v>
                  </c:pt>
                  <c:pt idx="24">
                    <c:v>France</c:v>
                  </c:pt>
                  <c:pt idx="25">
                    <c:v>Britain</c:v>
                  </c:pt>
                  <c:pt idx="26">
                    <c:v>Czech Republic</c:v>
                  </c:pt>
                  <c:pt idx="27">
                    <c:v>Poland</c:v>
                  </c:pt>
                  <c:pt idx="28">
                    <c:v>Russia</c:v>
                  </c:pt>
                  <c:pt idx="30">
                    <c:v>Lebanon</c:v>
                  </c:pt>
                  <c:pt idx="31">
                    <c:v>Israel</c:v>
                  </c:pt>
                  <c:pt idx="32">
                    <c:v>Jordan</c:v>
                  </c:pt>
                  <c:pt idx="33">
                    <c:v>Tunisia</c:v>
                  </c:pt>
                  <c:pt idx="34">
                    <c:v>Turkey</c:v>
                  </c:pt>
                  <c:pt idx="35">
                    <c:v>Palestine</c:v>
                  </c:pt>
                  <c:pt idx="36">
                    <c:v>Egypt</c:v>
                  </c:pt>
                  <c:pt idx="38">
                    <c:v>Kenya</c:v>
                  </c:pt>
                  <c:pt idx="39">
                    <c:v>Uganda</c:v>
                  </c:pt>
                  <c:pt idx="40">
                    <c:v>Ghana</c:v>
                  </c:pt>
                  <c:pt idx="41">
                    <c:v>Senegal</c:v>
                  </c:pt>
                  <c:pt idx="42">
                    <c:v>S Africa</c:v>
                  </c:pt>
                  <c:pt idx="43">
                    <c:v>Nigeria</c:v>
                  </c:pt>
                </c:lvl>
                <c:lvl>
                  <c:pt idx="0">
                    <c:v>North America</c:v>
                  </c:pt>
                  <c:pt idx="3">
                    <c:v>South America</c:v>
                  </c:pt>
                  <c:pt idx="11">
                    <c:v>Asia/Pacific</c:v>
                  </c:pt>
                  <c:pt idx="20">
                    <c:v>Europe</c:v>
                  </c:pt>
                  <c:pt idx="30">
                    <c:v>Mediterranean to South East Asia</c:v>
                  </c:pt>
                  <c:pt idx="38">
                    <c:v>Africa</c:v>
                  </c:pt>
                </c:lvl>
              </c:multiLvlStrCache>
            </c:multiLvlStrRef>
          </c:cat>
          <c:val>
            <c:numRef>
              <c:f>'ALL BY REGION'!$E$6:$E$49</c:f>
              <c:numCache>
                <c:formatCode>General</c:formatCode>
                <c:ptCount val="44"/>
                <c:pt idx="0">
                  <c:v>54</c:v>
                </c:pt>
                <c:pt idx="1">
                  <c:v>40</c:v>
                </c:pt>
                <c:pt idx="3">
                  <c:v>76</c:v>
                </c:pt>
                <c:pt idx="4">
                  <c:v>68</c:v>
                </c:pt>
                <c:pt idx="5">
                  <c:v>71</c:v>
                </c:pt>
                <c:pt idx="6">
                  <c:v>64</c:v>
                </c:pt>
                <c:pt idx="7">
                  <c:v>65</c:v>
                </c:pt>
                <c:pt idx="8">
                  <c:v>52</c:v>
                </c:pt>
                <c:pt idx="9">
                  <c:v>53</c:v>
                </c:pt>
                <c:pt idx="11">
                  <c:v>85</c:v>
                </c:pt>
                <c:pt idx="12">
                  <c:v>72</c:v>
                </c:pt>
                <c:pt idx="13">
                  <c:v>66</c:v>
                </c:pt>
                <c:pt idx="14">
                  <c:v>52</c:v>
                </c:pt>
                <c:pt idx="15">
                  <c:v>59</c:v>
                </c:pt>
                <c:pt idx="16">
                  <c:v>43</c:v>
                </c:pt>
                <c:pt idx="17">
                  <c:v>39</c:v>
                </c:pt>
                <c:pt idx="18">
                  <c:v>15</c:v>
                </c:pt>
                <c:pt idx="20">
                  <c:v>87</c:v>
                </c:pt>
                <c:pt idx="21">
                  <c:v>56</c:v>
                </c:pt>
                <c:pt idx="22">
                  <c:v>64</c:v>
                </c:pt>
                <c:pt idx="23">
                  <c:v>64</c:v>
                </c:pt>
                <c:pt idx="24">
                  <c:v>54</c:v>
                </c:pt>
                <c:pt idx="25">
                  <c:v>48</c:v>
                </c:pt>
                <c:pt idx="26">
                  <c:v>35</c:v>
                </c:pt>
                <c:pt idx="27">
                  <c:v>45</c:v>
                </c:pt>
                <c:pt idx="28">
                  <c:v>46</c:v>
                </c:pt>
                <c:pt idx="30">
                  <c:v>74</c:v>
                </c:pt>
                <c:pt idx="31">
                  <c:v>30</c:v>
                </c:pt>
                <c:pt idx="32">
                  <c:v>35</c:v>
                </c:pt>
                <c:pt idx="33">
                  <c:v>62</c:v>
                </c:pt>
                <c:pt idx="34">
                  <c:v>47</c:v>
                </c:pt>
                <c:pt idx="35">
                  <c:v>42</c:v>
                </c:pt>
                <c:pt idx="36">
                  <c:v>16</c:v>
                </c:pt>
                <c:pt idx="38">
                  <c:v>57</c:v>
                </c:pt>
                <c:pt idx="39">
                  <c:v>66</c:v>
                </c:pt>
                <c:pt idx="40">
                  <c:v>51</c:v>
                </c:pt>
                <c:pt idx="41">
                  <c:v>58</c:v>
                </c:pt>
                <c:pt idx="42">
                  <c:v>48</c:v>
                </c:pt>
                <c:pt idx="43">
                  <c:v>41</c:v>
                </c:pt>
              </c:numCache>
            </c:numRef>
          </c:val>
        </c:ser>
        <c:ser>
          <c:idx val="1"/>
          <c:order val="1"/>
          <c:tx>
            <c:strRef>
              <c:f>'ALL BY REGION'!$F$5</c:f>
              <c:strCache>
                <c:ptCount val="1"/>
                <c:pt idx="0">
                  <c:v>Minor threat</c:v>
                </c:pt>
              </c:strCache>
            </c:strRef>
          </c:tx>
          <c:invertIfNegative val="0"/>
          <c:cat>
            <c:multiLvlStrRef>
              <c:f>'ALL BY REGION'!$C$6:$D$49</c:f>
              <c:multiLvlStrCache>
                <c:ptCount val="44"/>
                <c:lvl>
                  <c:pt idx="0">
                    <c:v>Canada</c:v>
                  </c:pt>
                  <c:pt idx="1">
                    <c:v>USA</c:v>
                  </c:pt>
                  <c:pt idx="3">
                    <c:v>Brazil</c:v>
                  </c:pt>
                  <c:pt idx="4">
                    <c:v>Chile</c:v>
                  </c:pt>
                  <c:pt idx="5">
                    <c:v>Argentina</c:v>
                  </c:pt>
                  <c:pt idx="6">
                    <c:v>El Salvador</c:v>
                  </c:pt>
                  <c:pt idx="7">
                    <c:v>Bolivia</c:v>
                  </c:pt>
                  <c:pt idx="8">
                    <c:v>Mexico</c:v>
                  </c:pt>
                  <c:pt idx="9">
                    <c:v>Venezuela</c:v>
                  </c:pt>
                  <c:pt idx="11">
                    <c:v>S Korea</c:v>
                  </c:pt>
                  <c:pt idx="12">
                    <c:v>Japan</c:v>
                  </c:pt>
                  <c:pt idx="13">
                    <c:v>Philippines</c:v>
                  </c:pt>
                  <c:pt idx="14">
                    <c:v>Australia</c:v>
                  </c:pt>
                  <c:pt idx="15">
                    <c:v>Indonesia</c:v>
                  </c:pt>
                  <c:pt idx="16">
                    <c:v>Malaysia</c:v>
                  </c:pt>
                  <c:pt idx="17">
                    <c:v>China</c:v>
                  </c:pt>
                  <c:pt idx="18">
                    <c:v>Pakistan</c:v>
                  </c:pt>
                  <c:pt idx="20">
                    <c:v>Greece</c:v>
                  </c:pt>
                  <c:pt idx="21">
                    <c:v>Germany</c:v>
                  </c:pt>
                  <c:pt idx="22">
                    <c:v>Italy</c:v>
                  </c:pt>
                  <c:pt idx="23">
                    <c:v>Spain</c:v>
                  </c:pt>
                  <c:pt idx="24">
                    <c:v>France</c:v>
                  </c:pt>
                  <c:pt idx="25">
                    <c:v>Britain</c:v>
                  </c:pt>
                  <c:pt idx="26">
                    <c:v>Czech Republic</c:v>
                  </c:pt>
                  <c:pt idx="27">
                    <c:v>Poland</c:v>
                  </c:pt>
                  <c:pt idx="28">
                    <c:v>Russia</c:v>
                  </c:pt>
                  <c:pt idx="30">
                    <c:v>Lebanon</c:v>
                  </c:pt>
                  <c:pt idx="31">
                    <c:v>Israel</c:v>
                  </c:pt>
                  <c:pt idx="32">
                    <c:v>Jordan</c:v>
                  </c:pt>
                  <c:pt idx="33">
                    <c:v>Tunisia</c:v>
                  </c:pt>
                  <c:pt idx="34">
                    <c:v>Turkey</c:v>
                  </c:pt>
                  <c:pt idx="35">
                    <c:v>Palestine</c:v>
                  </c:pt>
                  <c:pt idx="36">
                    <c:v>Egypt</c:v>
                  </c:pt>
                  <c:pt idx="38">
                    <c:v>Kenya</c:v>
                  </c:pt>
                  <c:pt idx="39">
                    <c:v>Uganda</c:v>
                  </c:pt>
                  <c:pt idx="40">
                    <c:v>Ghana</c:v>
                  </c:pt>
                  <c:pt idx="41">
                    <c:v>Senegal</c:v>
                  </c:pt>
                  <c:pt idx="42">
                    <c:v>S Africa</c:v>
                  </c:pt>
                  <c:pt idx="43">
                    <c:v>Nigeria</c:v>
                  </c:pt>
                </c:lvl>
                <c:lvl>
                  <c:pt idx="0">
                    <c:v>North America</c:v>
                  </c:pt>
                  <c:pt idx="3">
                    <c:v>South America</c:v>
                  </c:pt>
                  <c:pt idx="11">
                    <c:v>Asia/Pacific</c:v>
                  </c:pt>
                  <c:pt idx="20">
                    <c:v>Europe</c:v>
                  </c:pt>
                  <c:pt idx="30">
                    <c:v>Mediterranean to South East Asia</c:v>
                  </c:pt>
                  <c:pt idx="38">
                    <c:v>Africa</c:v>
                  </c:pt>
                </c:lvl>
              </c:multiLvlStrCache>
            </c:multiLvlStrRef>
          </c:cat>
          <c:val>
            <c:numRef>
              <c:f>'ALL BY REGION'!$F$6:$F$49</c:f>
              <c:numCache>
                <c:formatCode>General</c:formatCode>
                <c:ptCount val="44"/>
                <c:pt idx="0">
                  <c:v>34</c:v>
                </c:pt>
                <c:pt idx="1">
                  <c:v>37</c:v>
                </c:pt>
                <c:pt idx="3">
                  <c:v>15</c:v>
                </c:pt>
                <c:pt idx="4">
                  <c:v>20</c:v>
                </c:pt>
                <c:pt idx="5">
                  <c:v>13</c:v>
                </c:pt>
                <c:pt idx="6">
                  <c:v>18</c:v>
                </c:pt>
                <c:pt idx="7">
                  <c:v>15</c:v>
                </c:pt>
                <c:pt idx="8">
                  <c:v>26</c:v>
                </c:pt>
                <c:pt idx="9">
                  <c:v>19</c:v>
                </c:pt>
                <c:pt idx="11">
                  <c:v>9</c:v>
                </c:pt>
                <c:pt idx="12">
                  <c:v>21</c:v>
                </c:pt>
                <c:pt idx="13">
                  <c:v>26</c:v>
                </c:pt>
                <c:pt idx="14">
                  <c:v>34</c:v>
                </c:pt>
                <c:pt idx="15">
                  <c:v>27</c:v>
                </c:pt>
                <c:pt idx="16">
                  <c:v>34</c:v>
                </c:pt>
                <c:pt idx="17">
                  <c:v>36</c:v>
                </c:pt>
                <c:pt idx="18">
                  <c:v>24</c:v>
                </c:pt>
                <c:pt idx="20">
                  <c:v>9</c:v>
                </c:pt>
                <c:pt idx="21">
                  <c:v>37</c:v>
                </c:pt>
                <c:pt idx="22">
                  <c:v>27</c:v>
                </c:pt>
                <c:pt idx="23">
                  <c:v>26</c:v>
                </c:pt>
                <c:pt idx="24">
                  <c:v>33</c:v>
                </c:pt>
                <c:pt idx="25">
                  <c:v>35</c:v>
                </c:pt>
                <c:pt idx="26">
                  <c:v>48</c:v>
                </c:pt>
                <c:pt idx="27">
                  <c:v>37</c:v>
                </c:pt>
                <c:pt idx="28">
                  <c:v>34</c:v>
                </c:pt>
                <c:pt idx="30">
                  <c:v>23</c:v>
                </c:pt>
                <c:pt idx="31">
                  <c:v>48</c:v>
                </c:pt>
                <c:pt idx="32">
                  <c:v>42</c:v>
                </c:pt>
                <c:pt idx="33">
                  <c:v>14</c:v>
                </c:pt>
                <c:pt idx="34">
                  <c:v>27</c:v>
                </c:pt>
                <c:pt idx="35">
                  <c:v>32</c:v>
                </c:pt>
                <c:pt idx="36">
                  <c:v>34</c:v>
                </c:pt>
                <c:pt idx="38">
                  <c:v>28</c:v>
                </c:pt>
                <c:pt idx="39">
                  <c:v>14</c:v>
                </c:pt>
                <c:pt idx="40">
                  <c:v>27</c:v>
                </c:pt>
                <c:pt idx="41">
                  <c:v>16</c:v>
                </c:pt>
                <c:pt idx="42">
                  <c:v>26</c:v>
                </c:pt>
                <c:pt idx="43">
                  <c:v>32</c:v>
                </c:pt>
              </c:numCache>
            </c:numRef>
          </c:val>
        </c:ser>
        <c:ser>
          <c:idx val="2"/>
          <c:order val="2"/>
          <c:tx>
            <c:strRef>
              <c:f>'ALL BY REGION'!$G$5</c:f>
              <c:strCache>
                <c:ptCount val="1"/>
                <c:pt idx="0">
                  <c:v>Not a threat</c:v>
                </c:pt>
              </c:strCache>
            </c:strRef>
          </c:tx>
          <c:invertIfNegative val="0"/>
          <c:cat>
            <c:multiLvlStrRef>
              <c:f>'ALL BY REGION'!$C$6:$D$49</c:f>
              <c:multiLvlStrCache>
                <c:ptCount val="44"/>
                <c:lvl>
                  <c:pt idx="0">
                    <c:v>Canada</c:v>
                  </c:pt>
                  <c:pt idx="1">
                    <c:v>USA</c:v>
                  </c:pt>
                  <c:pt idx="3">
                    <c:v>Brazil</c:v>
                  </c:pt>
                  <c:pt idx="4">
                    <c:v>Chile</c:v>
                  </c:pt>
                  <c:pt idx="5">
                    <c:v>Argentina</c:v>
                  </c:pt>
                  <c:pt idx="6">
                    <c:v>El Salvador</c:v>
                  </c:pt>
                  <c:pt idx="7">
                    <c:v>Bolivia</c:v>
                  </c:pt>
                  <c:pt idx="8">
                    <c:v>Mexico</c:v>
                  </c:pt>
                  <c:pt idx="9">
                    <c:v>Venezuela</c:v>
                  </c:pt>
                  <c:pt idx="11">
                    <c:v>S Korea</c:v>
                  </c:pt>
                  <c:pt idx="12">
                    <c:v>Japan</c:v>
                  </c:pt>
                  <c:pt idx="13">
                    <c:v>Philippines</c:v>
                  </c:pt>
                  <c:pt idx="14">
                    <c:v>Australia</c:v>
                  </c:pt>
                  <c:pt idx="15">
                    <c:v>Indonesia</c:v>
                  </c:pt>
                  <c:pt idx="16">
                    <c:v>Malaysia</c:v>
                  </c:pt>
                  <c:pt idx="17">
                    <c:v>China</c:v>
                  </c:pt>
                  <c:pt idx="18">
                    <c:v>Pakistan</c:v>
                  </c:pt>
                  <c:pt idx="20">
                    <c:v>Greece</c:v>
                  </c:pt>
                  <c:pt idx="21">
                    <c:v>Germany</c:v>
                  </c:pt>
                  <c:pt idx="22">
                    <c:v>Italy</c:v>
                  </c:pt>
                  <c:pt idx="23">
                    <c:v>Spain</c:v>
                  </c:pt>
                  <c:pt idx="24">
                    <c:v>France</c:v>
                  </c:pt>
                  <c:pt idx="25">
                    <c:v>Britain</c:v>
                  </c:pt>
                  <c:pt idx="26">
                    <c:v>Czech Republic</c:v>
                  </c:pt>
                  <c:pt idx="27">
                    <c:v>Poland</c:v>
                  </c:pt>
                  <c:pt idx="28">
                    <c:v>Russia</c:v>
                  </c:pt>
                  <c:pt idx="30">
                    <c:v>Lebanon</c:v>
                  </c:pt>
                  <c:pt idx="31">
                    <c:v>Israel</c:v>
                  </c:pt>
                  <c:pt idx="32">
                    <c:v>Jordan</c:v>
                  </c:pt>
                  <c:pt idx="33">
                    <c:v>Tunisia</c:v>
                  </c:pt>
                  <c:pt idx="34">
                    <c:v>Turkey</c:v>
                  </c:pt>
                  <c:pt idx="35">
                    <c:v>Palestine</c:v>
                  </c:pt>
                  <c:pt idx="36">
                    <c:v>Egypt</c:v>
                  </c:pt>
                  <c:pt idx="38">
                    <c:v>Kenya</c:v>
                  </c:pt>
                  <c:pt idx="39">
                    <c:v>Uganda</c:v>
                  </c:pt>
                  <c:pt idx="40">
                    <c:v>Ghana</c:v>
                  </c:pt>
                  <c:pt idx="41">
                    <c:v>Senegal</c:v>
                  </c:pt>
                  <c:pt idx="42">
                    <c:v>S Africa</c:v>
                  </c:pt>
                  <c:pt idx="43">
                    <c:v>Nigeria</c:v>
                  </c:pt>
                </c:lvl>
                <c:lvl>
                  <c:pt idx="0">
                    <c:v>North America</c:v>
                  </c:pt>
                  <c:pt idx="3">
                    <c:v>South America</c:v>
                  </c:pt>
                  <c:pt idx="11">
                    <c:v>Asia/Pacific</c:v>
                  </c:pt>
                  <c:pt idx="20">
                    <c:v>Europe</c:v>
                  </c:pt>
                  <c:pt idx="30">
                    <c:v>Mediterranean to South East Asia</c:v>
                  </c:pt>
                  <c:pt idx="38">
                    <c:v>Africa</c:v>
                  </c:pt>
                </c:lvl>
              </c:multiLvlStrCache>
            </c:multiLvlStrRef>
          </c:cat>
          <c:val>
            <c:numRef>
              <c:f>'ALL BY REGION'!$G$6:$G$49</c:f>
              <c:numCache>
                <c:formatCode>General</c:formatCode>
                <c:ptCount val="44"/>
                <c:pt idx="0">
                  <c:v>10</c:v>
                </c:pt>
                <c:pt idx="1">
                  <c:v>20</c:v>
                </c:pt>
                <c:pt idx="3">
                  <c:v>7</c:v>
                </c:pt>
                <c:pt idx="4">
                  <c:v>5</c:v>
                </c:pt>
                <c:pt idx="5">
                  <c:v>9</c:v>
                </c:pt>
                <c:pt idx="6">
                  <c:v>16</c:v>
                </c:pt>
                <c:pt idx="7">
                  <c:v>7</c:v>
                </c:pt>
                <c:pt idx="8">
                  <c:v>13</c:v>
                </c:pt>
                <c:pt idx="9">
                  <c:v>15</c:v>
                </c:pt>
                <c:pt idx="11">
                  <c:v>4</c:v>
                </c:pt>
                <c:pt idx="12">
                  <c:v>5</c:v>
                </c:pt>
                <c:pt idx="13">
                  <c:v>7</c:v>
                </c:pt>
                <c:pt idx="14">
                  <c:v>12</c:v>
                </c:pt>
                <c:pt idx="15">
                  <c:v>8</c:v>
                </c:pt>
                <c:pt idx="16">
                  <c:v>12</c:v>
                </c:pt>
                <c:pt idx="17">
                  <c:v>14</c:v>
                </c:pt>
                <c:pt idx="18">
                  <c:v>18</c:v>
                </c:pt>
                <c:pt idx="20">
                  <c:v>4</c:v>
                </c:pt>
                <c:pt idx="21">
                  <c:v>7</c:v>
                </c:pt>
                <c:pt idx="22">
                  <c:v>5</c:v>
                </c:pt>
                <c:pt idx="23">
                  <c:v>8</c:v>
                </c:pt>
                <c:pt idx="24">
                  <c:v>13</c:v>
                </c:pt>
                <c:pt idx="25">
                  <c:v>13</c:v>
                </c:pt>
                <c:pt idx="26">
                  <c:v>15</c:v>
                </c:pt>
                <c:pt idx="27">
                  <c:v>13</c:v>
                </c:pt>
                <c:pt idx="28">
                  <c:v>14</c:v>
                </c:pt>
                <c:pt idx="30">
                  <c:v>2</c:v>
                </c:pt>
                <c:pt idx="31">
                  <c:v>18</c:v>
                </c:pt>
                <c:pt idx="32">
                  <c:v>18</c:v>
                </c:pt>
                <c:pt idx="33">
                  <c:v>10</c:v>
                </c:pt>
                <c:pt idx="34">
                  <c:v>13</c:v>
                </c:pt>
                <c:pt idx="35">
                  <c:v>18</c:v>
                </c:pt>
                <c:pt idx="36">
                  <c:v>43</c:v>
                </c:pt>
                <c:pt idx="38">
                  <c:v>9</c:v>
                </c:pt>
                <c:pt idx="39">
                  <c:v>8</c:v>
                </c:pt>
                <c:pt idx="40">
                  <c:v>10</c:v>
                </c:pt>
                <c:pt idx="41">
                  <c:v>13</c:v>
                </c:pt>
                <c:pt idx="42">
                  <c:v>15</c:v>
                </c:pt>
                <c:pt idx="43">
                  <c:v>17</c:v>
                </c:pt>
              </c:numCache>
            </c:numRef>
          </c:val>
        </c:ser>
        <c:ser>
          <c:idx val="3"/>
          <c:order val="3"/>
          <c:tx>
            <c:strRef>
              <c:f>'ALL BY REGION'!$H$5</c:f>
              <c:strCache>
                <c:ptCount val="1"/>
                <c:pt idx="0">
                  <c:v>DK/Refused</c:v>
                </c:pt>
              </c:strCache>
            </c:strRef>
          </c:tx>
          <c:spPr>
            <a:solidFill>
              <a:schemeClr val="accent4">
                <a:lumMod val="75000"/>
              </a:schemeClr>
            </a:solidFill>
          </c:spPr>
          <c:invertIfNegative val="0"/>
          <c:cat>
            <c:multiLvlStrRef>
              <c:f>'ALL BY REGION'!$C$6:$D$49</c:f>
              <c:multiLvlStrCache>
                <c:ptCount val="44"/>
                <c:lvl>
                  <c:pt idx="0">
                    <c:v>Canada</c:v>
                  </c:pt>
                  <c:pt idx="1">
                    <c:v>USA</c:v>
                  </c:pt>
                  <c:pt idx="3">
                    <c:v>Brazil</c:v>
                  </c:pt>
                  <c:pt idx="4">
                    <c:v>Chile</c:v>
                  </c:pt>
                  <c:pt idx="5">
                    <c:v>Argentina</c:v>
                  </c:pt>
                  <c:pt idx="6">
                    <c:v>El Salvador</c:v>
                  </c:pt>
                  <c:pt idx="7">
                    <c:v>Bolivia</c:v>
                  </c:pt>
                  <c:pt idx="8">
                    <c:v>Mexico</c:v>
                  </c:pt>
                  <c:pt idx="9">
                    <c:v>Venezuela</c:v>
                  </c:pt>
                  <c:pt idx="11">
                    <c:v>S Korea</c:v>
                  </c:pt>
                  <c:pt idx="12">
                    <c:v>Japan</c:v>
                  </c:pt>
                  <c:pt idx="13">
                    <c:v>Philippines</c:v>
                  </c:pt>
                  <c:pt idx="14">
                    <c:v>Australia</c:v>
                  </c:pt>
                  <c:pt idx="15">
                    <c:v>Indonesia</c:v>
                  </c:pt>
                  <c:pt idx="16">
                    <c:v>Malaysia</c:v>
                  </c:pt>
                  <c:pt idx="17">
                    <c:v>China</c:v>
                  </c:pt>
                  <c:pt idx="18">
                    <c:v>Pakistan</c:v>
                  </c:pt>
                  <c:pt idx="20">
                    <c:v>Greece</c:v>
                  </c:pt>
                  <c:pt idx="21">
                    <c:v>Germany</c:v>
                  </c:pt>
                  <c:pt idx="22">
                    <c:v>Italy</c:v>
                  </c:pt>
                  <c:pt idx="23">
                    <c:v>Spain</c:v>
                  </c:pt>
                  <c:pt idx="24">
                    <c:v>France</c:v>
                  </c:pt>
                  <c:pt idx="25">
                    <c:v>Britain</c:v>
                  </c:pt>
                  <c:pt idx="26">
                    <c:v>Czech Republic</c:v>
                  </c:pt>
                  <c:pt idx="27">
                    <c:v>Poland</c:v>
                  </c:pt>
                  <c:pt idx="28">
                    <c:v>Russia</c:v>
                  </c:pt>
                  <c:pt idx="30">
                    <c:v>Lebanon</c:v>
                  </c:pt>
                  <c:pt idx="31">
                    <c:v>Israel</c:v>
                  </c:pt>
                  <c:pt idx="32">
                    <c:v>Jordan</c:v>
                  </c:pt>
                  <c:pt idx="33">
                    <c:v>Tunisia</c:v>
                  </c:pt>
                  <c:pt idx="34">
                    <c:v>Turkey</c:v>
                  </c:pt>
                  <c:pt idx="35">
                    <c:v>Palestine</c:v>
                  </c:pt>
                  <c:pt idx="36">
                    <c:v>Egypt</c:v>
                  </c:pt>
                  <c:pt idx="38">
                    <c:v>Kenya</c:v>
                  </c:pt>
                  <c:pt idx="39">
                    <c:v>Uganda</c:v>
                  </c:pt>
                  <c:pt idx="40">
                    <c:v>Ghana</c:v>
                  </c:pt>
                  <c:pt idx="41">
                    <c:v>Senegal</c:v>
                  </c:pt>
                  <c:pt idx="42">
                    <c:v>S Africa</c:v>
                  </c:pt>
                  <c:pt idx="43">
                    <c:v>Nigeria</c:v>
                  </c:pt>
                </c:lvl>
                <c:lvl>
                  <c:pt idx="0">
                    <c:v>North America</c:v>
                  </c:pt>
                  <c:pt idx="3">
                    <c:v>South America</c:v>
                  </c:pt>
                  <c:pt idx="11">
                    <c:v>Asia/Pacific</c:v>
                  </c:pt>
                  <c:pt idx="20">
                    <c:v>Europe</c:v>
                  </c:pt>
                  <c:pt idx="30">
                    <c:v>Mediterranean to South East Asia</c:v>
                  </c:pt>
                  <c:pt idx="38">
                    <c:v>Africa</c:v>
                  </c:pt>
                </c:lvl>
              </c:multiLvlStrCache>
            </c:multiLvlStrRef>
          </c:cat>
          <c:val>
            <c:numRef>
              <c:f>'ALL BY REGION'!$H$6:$H$49</c:f>
              <c:numCache>
                <c:formatCode>General</c:formatCode>
                <c:ptCount val="44"/>
                <c:pt idx="0">
                  <c:v>2</c:v>
                </c:pt>
                <c:pt idx="1">
                  <c:v>3</c:v>
                </c:pt>
                <c:pt idx="3">
                  <c:v>2</c:v>
                </c:pt>
                <c:pt idx="4">
                  <c:v>7</c:v>
                </c:pt>
                <c:pt idx="5">
                  <c:v>7</c:v>
                </c:pt>
                <c:pt idx="6">
                  <c:v>2</c:v>
                </c:pt>
                <c:pt idx="7">
                  <c:v>13</c:v>
                </c:pt>
                <c:pt idx="8">
                  <c:v>10</c:v>
                </c:pt>
                <c:pt idx="9">
                  <c:v>13</c:v>
                </c:pt>
                <c:pt idx="11">
                  <c:v>2</c:v>
                </c:pt>
                <c:pt idx="12">
                  <c:v>2</c:v>
                </c:pt>
                <c:pt idx="13">
                  <c:v>1</c:v>
                </c:pt>
                <c:pt idx="14">
                  <c:v>2</c:v>
                </c:pt>
                <c:pt idx="15">
                  <c:v>6</c:v>
                </c:pt>
                <c:pt idx="16">
                  <c:v>12</c:v>
                </c:pt>
                <c:pt idx="17">
                  <c:v>11</c:v>
                </c:pt>
                <c:pt idx="18">
                  <c:v>42</c:v>
                </c:pt>
                <c:pt idx="20">
                  <c:v>1</c:v>
                </c:pt>
                <c:pt idx="21">
                  <c:v>1</c:v>
                </c:pt>
                <c:pt idx="22">
                  <c:v>4</c:v>
                </c:pt>
                <c:pt idx="23">
                  <c:v>1</c:v>
                </c:pt>
                <c:pt idx="24">
                  <c:v>0</c:v>
                </c:pt>
                <c:pt idx="25">
                  <c:v>4</c:v>
                </c:pt>
                <c:pt idx="26">
                  <c:v>3</c:v>
                </c:pt>
                <c:pt idx="27">
                  <c:v>4</c:v>
                </c:pt>
                <c:pt idx="28">
                  <c:v>6</c:v>
                </c:pt>
                <c:pt idx="30">
                  <c:v>1</c:v>
                </c:pt>
                <c:pt idx="31">
                  <c:v>4</c:v>
                </c:pt>
                <c:pt idx="32">
                  <c:v>5</c:v>
                </c:pt>
                <c:pt idx="33">
                  <c:v>15</c:v>
                </c:pt>
                <c:pt idx="34">
                  <c:v>13</c:v>
                </c:pt>
                <c:pt idx="35">
                  <c:v>8</c:v>
                </c:pt>
                <c:pt idx="36">
                  <c:v>8</c:v>
                </c:pt>
                <c:pt idx="38">
                  <c:v>7</c:v>
                </c:pt>
                <c:pt idx="39">
                  <c:v>13</c:v>
                </c:pt>
                <c:pt idx="40">
                  <c:v>12</c:v>
                </c:pt>
                <c:pt idx="41">
                  <c:v>14</c:v>
                </c:pt>
                <c:pt idx="42">
                  <c:v>11</c:v>
                </c:pt>
                <c:pt idx="43">
                  <c:v>10</c:v>
                </c:pt>
              </c:numCache>
            </c:numRef>
          </c:val>
        </c:ser>
        <c:dLbls>
          <c:showLegendKey val="0"/>
          <c:showVal val="0"/>
          <c:showCatName val="0"/>
          <c:showSerName val="0"/>
          <c:showPercent val="0"/>
          <c:showBubbleSize val="0"/>
        </c:dLbls>
        <c:gapWidth val="150"/>
        <c:overlap val="100"/>
        <c:axId val="377886936"/>
        <c:axId val="377887328"/>
      </c:barChart>
      <c:catAx>
        <c:axId val="377886936"/>
        <c:scaling>
          <c:orientation val="minMax"/>
        </c:scaling>
        <c:delete val="0"/>
        <c:axPos val="l"/>
        <c:numFmt formatCode="General" sourceLinked="0"/>
        <c:majorTickMark val="out"/>
        <c:minorTickMark val="none"/>
        <c:tickLblPos val="nextTo"/>
        <c:crossAx val="377887328"/>
        <c:crosses val="autoZero"/>
        <c:auto val="1"/>
        <c:lblAlgn val="ctr"/>
        <c:lblOffset val="100"/>
        <c:noMultiLvlLbl val="0"/>
      </c:catAx>
      <c:valAx>
        <c:axId val="377887328"/>
        <c:scaling>
          <c:orientation val="minMax"/>
        </c:scaling>
        <c:delete val="0"/>
        <c:axPos val="b"/>
        <c:majorGridlines/>
        <c:numFmt formatCode="0%" sourceLinked="1"/>
        <c:majorTickMark val="out"/>
        <c:minorTickMark val="none"/>
        <c:tickLblPos val="nextTo"/>
        <c:crossAx val="377886936"/>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B87DCC-2B73-4B0F-8313-B8178BBE63C5}">
  <we:reference id="wa103136166"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49601-D04D-4A33-B013-EF2378994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100557</Words>
  <Characters>573181</Characters>
  <Application>Microsoft Office Word</Application>
  <DocSecurity>0</DocSecurity>
  <Lines>4776</Lines>
  <Paragraphs>1344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2016-03-21T16:46:00Z</dcterms:created>
  <dcterms:modified xsi:type="dcterms:W3CDTF">2016-03-21T16:46:00Z</dcterms:modified>
</cp:coreProperties>
</file>