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13F9" w14:textId="6FC1B0FC" w:rsidR="00A92D8D" w:rsidRDefault="00A92D8D" w:rsidP="00A92D8D">
      <w:pPr>
        <w:spacing w:line="480" w:lineRule="auto"/>
        <w:rPr>
          <w:rFonts w:ascii="Times New Roman" w:hAnsi="Times New Roman" w:cs="Times New Roman"/>
          <w:b/>
          <w:sz w:val="28"/>
          <w:szCs w:val="28"/>
        </w:rPr>
      </w:pPr>
      <w:r w:rsidRPr="00304F2D">
        <w:rPr>
          <w:rFonts w:ascii="Times New Roman" w:hAnsi="Times New Roman" w:cs="Times New Roman"/>
          <w:b/>
          <w:sz w:val="28"/>
          <w:szCs w:val="28"/>
        </w:rPr>
        <w:t xml:space="preserve">New versus frequent donors:  Exploring the </w:t>
      </w:r>
      <w:proofErr w:type="spellStart"/>
      <w:r w:rsidRPr="00304F2D">
        <w:rPr>
          <w:rFonts w:ascii="Times New Roman" w:hAnsi="Times New Roman" w:cs="Times New Roman"/>
          <w:b/>
          <w:sz w:val="28"/>
          <w:szCs w:val="28"/>
        </w:rPr>
        <w:t>behavio</w:t>
      </w:r>
      <w:r w:rsidR="005878E5" w:rsidRPr="00304F2D">
        <w:rPr>
          <w:rFonts w:ascii="Times New Roman" w:hAnsi="Times New Roman" w:cs="Times New Roman"/>
          <w:b/>
          <w:sz w:val="28"/>
          <w:szCs w:val="28"/>
        </w:rPr>
        <w:t>u</w:t>
      </w:r>
      <w:r w:rsidRPr="00304F2D">
        <w:rPr>
          <w:rFonts w:ascii="Times New Roman" w:hAnsi="Times New Roman" w:cs="Times New Roman"/>
          <w:b/>
          <w:sz w:val="28"/>
          <w:szCs w:val="28"/>
        </w:rPr>
        <w:t>r</w:t>
      </w:r>
      <w:proofErr w:type="spellEnd"/>
      <w:r w:rsidRPr="00304F2D">
        <w:rPr>
          <w:rFonts w:ascii="Times New Roman" w:hAnsi="Times New Roman" w:cs="Times New Roman"/>
          <w:b/>
          <w:sz w:val="28"/>
          <w:szCs w:val="28"/>
        </w:rPr>
        <w:t xml:space="preserve"> of </w:t>
      </w:r>
      <w:r w:rsidR="00B326F0" w:rsidRPr="00304F2D">
        <w:rPr>
          <w:rFonts w:ascii="Times New Roman" w:hAnsi="Times New Roman" w:cs="Times New Roman"/>
          <w:b/>
          <w:sz w:val="28"/>
          <w:szCs w:val="28"/>
        </w:rPr>
        <w:t xml:space="preserve">the </w:t>
      </w:r>
      <w:r w:rsidRPr="00304F2D">
        <w:rPr>
          <w:rFonts w:ascii="Times New Roman" w:hAnsi="Times New Roman" w:cs="Times New Roman"/>
          <w:b/>
          <w:sz w:val="28"/>
          <w:szCs w:val="28"/>
        </w:rPr>
        <w:t>most desirable donors</w:t>
      </w:r>
    </w:p>
    <w:p w14:paraId="4EBBB7AD" w14:textId="1B85FA29" w:rsidR="00C2536A" w:rsidRDefault="00C2536A" w:rsidP="00C2536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Margaret Faulkner, Jenni </w:t>
      </w:r>
      <w:proofErr w:type="spellStart"/>
      <w:r>
        <w:rPr>
          <w:rFonts w:ascii="Times New Roman" w:hAnsi="Times New Roman" w:cs="Times New Roman"/>
          <w:b/>
          <w:sz w:val="28"/>
          <w:szCs w:val="28"/>
        </w:rPr>
        <w:t>Romanuik</w:t>
      </w:r>
      <w:proofErr w:type="spellEnd"/>
      <w:r w:rsidRPr="00C2536A">
        <w:rPr>
          <w:rFonts w:ascii="Times New Roman" w:hAnsi="Times New Roman" w:cs="Times New Roman"/>
          <w:b/>
          <w:sz w:val="28"/>
          <w:szCs w:val="28"/>
        </w:rPr>
        <w:t xml:space="preserve"> </w:t>
      </w:r>
      <w:r>
        <w:rPr>
          <w:rFonts w:ascii="Times New Roman" w:hAnsi="Times New Roman" w:cs="Times New Roman"/>
          <w:b/>
          <w:sz w:val="28"/>
          <w:szCs w:val="28"/>
        </w:rPr>
        <w:t xml:space="preserve">and </w:t>
      </w:r>
      <w:r>
        <w:rPr>
          <w:rFonts w:ascii="Times New Roman" w:hAnsi="Times New Roman" w:cs="Times New Roman"/>
          <w:b/>
          <w:sz w:val="28"/>
          <w:szCs w:val="28"/>
        </w:rPr>
        <w:t>Philip Stern</w:t>
      </w:r>
    </w:p>
    <w:p w14:paraId="7DDAB169" w14:textId="09946A0C" w:rsidR="00C2536A" w:rsidRDefault="00C2536A" w:rsidP="00C2536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Australasian Marketing Journal – accepted April 2016</w:t>
      </w:r>
      <w:bookmarkStart w:id="0" w:name="_GoBack"/>
      <w:bookmarkEnd w:id="0"/>
    </w:p>
    <w:p w14:paraId="02C678C4" w14:textId="77777777" w:rsidR="002F44E3" w:rsidRPr="00304F2D" w:rsidRDefault="002F44E3" w:rsidP="00DE5974">
      <w:pPr>
        <w:spacing w:after="200"/>
        <w:rPr>
          <w:rFonts w:ascii="Times New Roman" w:hAnsi="Times New Roman" w:cs="Times New Roman"/>
          <w:b/>
        </w:rPr>
      </w:pPr>
    </w:p>
    <w:p w14:paraId="29637376" w14:textId="3C2A1B4F" w:rsidR="00086FA8" w:rsidRPr="00304F2D" w:rsidRDefault="00086FA8" w:rsidP="00F3430D">
      <w:pPr>
        <w:spacing w:after="200"/>
        <w:jc w:val="center"/>
        <w:rPr>
          <w:rFonts w:ascii="Times New Roman" w:hAnsi="Times New Roman" w:cs="Times New Roman"/>
          <w:b/>
        </w:rPr>
      </w:pPr>
      <w:r w:rsidRPr="00304F2D">
        <w:rPr>
          <w:rFonts w:ascii="Times New Roman" w:hAnsi="Times New Roman" w:cs="Times New Roman"/>
          <w:b/>
        </w:rPr>
        <w:t>ABSTRACT</w:t>
      </w:r>
    </w:p>
    <w:p w14:paraId="6EB8F6E5" w14:textId="77777777" w:rsidR="00930BD3" w:rsidRPr="00304F2D" w:rsidRDefault="00930BD3" w:rsidP="00DE5974">
      <w:pPr>
        <w:spacing w:after="200"/>
        <w:rPr>
          <w:rFonts w:ascii="Times New Roman" w:hAnsi="Times New Roman" w:cs="Times New Roman"/>
          <w:b/>
          <w:sz w:val="28"/>
        </w:rPr>
      </w:pPr>
    </w:p>
    <w:p w14:paraId="5EBC91AE" w14:textId="4806A317" w:rsidR="00A92D8D" w:rsidRPr="00304F2D" w:rsidRDefault="00802D86" w:rsidP="005E742A">
      <w:pPr>
        <w:widowControl w:val="0"/>
        <w:autoSpaceDE w:val="0"/>
        <w:autoSpaceDN w:val="0"/>
        <w:adjustRightInd w:val="0"/>
        <w:spacing w:line="480" w:lineRule="auto"/>
        <w:rPr>
          <w:rFonts w:ascii="Calibri" w:hAnsi="Calibri" w:cs="Calibri"/>
          <w:i/>
        </w:rPr>
      </w:pPr>
      <w:r w:rsidRPr="00304F2D">
        <w:rPr>
          <w:rFonts w:ascii="Times New Roman" w:hAnsi="Times New Roman" w:cs="Times New Roman"/>
        </w:rPr>
        <w:t>While t</w:t>
      </w:r>
      <w:r w:rsidR="00A92D8D" w:rsidRPr="00304F2D">
        <w:rPr>
          <w:rFonts w:ascii="Times New Roman" w:hAnsi="Times New Roman" w:cs="Times New Roman"/>
        </w:rPr>
        <w:t xml:space="preserve">here </w:t>
      </w:r>
      <w:r w:rsidR="00FE4445">
        <w:rPr>
          <w:rFonts w:ascii="Times New Roman" w:hAnsi="Times New Roman" w:cs="Times New Roman"/>
        </w:rPr>
        <w:t>is</w:t>
      </w:r>
      <w:r w:rsidRPr="00304F2D">
        <w:rPr>
          <w:rFonts w:ascii="Times New Roman" w:hAnsi="Times New Roman" w:cs="Times New Roman"/>
        </w:rPr>
        <w:t xml:space="preserve"> no shortage of worthy recipients </w:t>
      </w:r>
      <w:r w:rsidR="00FE4445">
        <w:rPr>
          <w:rFonts w:ascii="Times New Roman" w:hAnsi="Times New Roman" w:cs="Times New Roman"/>
        </w:rPr>
        <w:t>for</w:t>
      </w:r>
      <w:r w:rsidRPr="00304F2D">
        <w:rPr>
          <w:rFonts w:ascii="Times New Roman" w:hAnsi="Times New Roman" w:cs="Times New Roman"/>
        </w:rPr>
        <w:t xml:space="preserve"> prosocial </w:t>
      </w:r>
      <w:proofErr w:type="spellStart"/>
      <w:r w:rsidRPr="00304F2D">
        <w:rPr>
          <w:rFonts w:ascii="Times New Roman" w:hAnsi="Times New Roman" w:cs="Times New Roman"/>
        </w:rPr>
        <w:t>behaviour</w:t>
      </w:r>
      <w:proofErr w:type="spellEnd"/>
      <w:r w:rsidRPr="00304F2D">
        <w:rPr>
          <w:rFonts w:ascii="Times New Roman" w:hAnsi="Times New Roman" w:cs="Times New Roman"/>
        </w:rPr>
        <w:t>, there i</w:t>
      </w:r>
      <w:r w:rsidR="00A92D8D" w:rsidRPr="00304F2D">
        <w:rPr>
          <w:rFonts w:ascii="Times New Roman" w:hAnsi="Times New Roman" w:cs="Times New Roman"/>
        </w:rPr>
        <w:t>s a constant batt</w:t>
      </w:r>
      <w:r w:rsidR="009E3180" w:rsidRPr="00304F2D">
        <w:rPr>
          <w:rFonts w:ascii="Times New Roman" w:hAnsi="Times New Roman" w:cs="Times New Roman"/>
        </w:rPr>
        <w:t xml:space="preserve">le to attract and keep donors. </w:t>
      </w:r>
      <w:r w:rsidR="00A92D8D" w:rsidRPr="00304F2D">
        <w:rPr>
          <w:rFonts w:ascii="Times New Roman" w:hAnsi="Times New Roman" w:cs="Times New Roman"/>
        </w:rPr>
        <w:t xml:space="preserve">This research examines </w:t>
      </w:r>
      <w:r w:rsidR="00A93DAD" w:rsidRPr="00304F2D">
        <w:rPr>
          <w:rFonts w:ascii="Times New Roman" w:hAnsi="Times New Roman" w:cs="Times New Roman"/>
        </w:rPr>
        <w:t>money</w:t>
      </w:r>
      <w:r w:rsidR="00A92D8D" w:rsidRPr="00304F2D">
        <w:rPr>
          <w:rFonts w:ascii="Times New Roman" w:hAnsi="Times New Roman" w:cs="Times New Roman"/>
        </w:rPr>
        <w:t xml:space="preserve"> and blood donor </w:t>
      </w:r>
      <w:proofErr w:type="spellStart"/>
      <w:r w:rsidR="00A92D8D" w:rsidRPr="00304F2D">
        <w:rPr>
          <w:rFonts w:ascii="Times New Roman" w:hAnsi="Times New Roman" w:cs="Times New Roman"/>
        </w:rPr>
        <w:t>behaviour</w:t>
      </w:r>
      <w:proofErr w:type="spellEnd"/>
      <w:r w:rsidR="00A92D8D" w:rsidRPr="00304F2D">
        <w:rPr>
          <w:rFonts w:ascii="Times New Roman" w:hAnsi="Times New Roman" w:cs="Times New Roman"/>
        </w:rPr>
        <w:t xml:space="preserve"> </w:t>
      </w:r>
      <w:r w:rsidR="00084380" w:rsidRPr="00304F2D">
        <w:rPr>
          <w:rFonts w:ascii="Times New Roman" w:hAnsi="Times New Roman" w:cs="Times New Roman"/>
        </w:rPr>
        <w:t>for</w:t>
      </w:r>
      <w:r w:rsidR="00A92D8D" w:rsidRPr="00304F2D">
        <w:rPr>
          <w:rFonts w:ascii="Times New Roman" w:hAnsi="Times New Roman" w:cs="Times New Roman"/>
        </w:rPr>
        <w:t xml:space="preserve"> two key desirable groups</w:t>
      </w:r>
      <w:r w:rsidR="00CD5D0F" w:rsidRPr="00304F2D">
        <w:rPr>
          <w:rFonts w:ascii="Times New Roman" w:hAnsi="Times New Roman" w:cs="Times New Roman"/>
        </w:rPr>
        <w:t>,</w:t>
      </w:r>
      <w:r w:rsidR="00A92D8D" w:rsidRPr="00304F2D">
        <w:rPr>
          <w:rFonts w:ascii="Times New Roman" w:hAnsi="Times New Roman" w:cs="Times New Roman"/>
        </w:rPr>
        <w:t xml:space="preserve"> new donors, </w:t>
      </w:r>
      <w:r w:rsidR="00CD6FAA" w:rsidRPr="00304F2D">
        <w:rPr>
          <w:rFonts w:ascii="Times New Roman" w:hAnsi="Times New Roman" w:cs="Times New Roman"/>
        </w:rPr>
        <w:t>to grow</w:t>
      </w:r>
      <w:r w:rsidR="00A92D8D" w:rsidRPr="00304F2D">
        <w:rPr>
          <w:rFonts w:ascii="Times New Roman" w:hAnsi="Times New Roman" w:cs="Times New Roman"/>
        </w:rPr>
        <w:t xml:space="preserve"> the donor base</w:t>
      </w:r>
      <w:r w:rsidR="000338AD" w:rsidRPr="00304F2D">
        <w:rPr>
          <w:rFonts w:ascii="Times New Roman" w:hAnsi="Times New Roman" w:cs="Times New Roman"/>
        </w:rPr>
        <w:t>,</w:t>
      </w:r>
      <w:r w:rsidR="00A92D8D" w:rsidRPr="00304F2D">
        <w:rPr>
          <w:rFonts w:ascii="Times New Roman" w:hAnsi="Times New Roman" w:cs="Times New Roman"/>
        </w:rPr>
        <w:t xml:space="preserve"> and frequent donors </w:t>
      </w:r>
      <w:r w:rsidR="00CD6FAA" w:rsidRPr="00304F2D">
        <w:rPr>
          <w:rFonts w:ascii="Times New Roman" w:hAnsi="Times New Roman" w:cs="Times New Roman"/>
        </w:rPr>
        <w:t>to</w:t>
      </w:r>
      <w:r w:rsidR="00065906" w:rsidRPr="00304F2D">
        <w:rPr>
          <w:rFonts w:ascii="Times New Roman" w:hAnsi="Times New Roman" w:cs="Times New Roman"/>
        </w:rPr>
        <w:t xml:space="preserve"> </w:t>
      </w:r>
      <w:proofErr w:type="gramStart"/>
      <w:r w:rsidR="00065906" w:rsidRPr="00304F2D">
        <w:rPr>
          <w:rFonts w:ascii="Times New Roman" w:hAnsi="Times New Roman" w:cs="Times New Roman"/>
        </w:rPr>
        <w:t>secure</w:t>
      </w:r>
      <w:proofErr w:type="gramEnd"/>
      <w:r w:rsidR="00A92D8D" w:rsidRPr="00304F2D">
        <w:rPr>
          <w:rFonts w:ascii="Times New Roman" w:hAnsi="Times New Roman" w:cs="Times New Roman"/>
        </w:rPr>
        <w:t xml:space="preserve"> </w:t>
      </w:r>
      <w:r w:rsidR="00D95588" w:rsidRPr="00304F2D">
        <w:rPr>
          <w:rFonts w:ascii="Times New Roman" w:hAnsi="Times New Roman" w:cs="Times New Roman"/>
        </w:rPr>
        <w:t xml:space="preserve">current </w:t>
      </w:r>
      <w:r w:rsidR="009E3180" w:rsidRPr="00304F2D">
        <w:rPr>
          <w:rFonts w:ascii="Times New Roman" w:hAnsi="Times New Roman" w:cs="Times New Roman"/>
        </w:rPr>
        <w:t xml:space="preserve">support streams. </w:t>
      </w:r>
      <w:r w:rsidR="00E263D2" w:rsidRPr="00304F2D">
        <w:rPr>
          <w:rFonts w:ascii="Times New Roman" w:hAnsi="Times New Roman" w:cs="Times New Roman"/>
        </w:rPr>
        <w:t xml:space="preserve">We draw on </w:t>
      </w:r>
      <w:r w:rsidR="00A92D8D" w:rsidRPr="00304F2D">
        <w:rPr>
          <w:rFonts w:ascii="Times New Roman" w:hAnsi="Times New Roman" w:cs="Times New Roman"/>
        </w:rPr>
        <w:t>records from a U</w:t>
      </w:r>
      <w:r w:rsidR="00A31F38" w:rsidRPr="00304F2D">
        <w:rPr>
          <w:rFonts w:ascii="Times New Roman" w:hAnsi="Times New Roman" w:cs="Times New Roman"/>
        </w:rPr>
        <w:t>.</w:t>
      </w:r>
      <w:r w:rsidR="00A92D8D" w:rsidRPr="00304F2D">
        <w:rPr>
          <w:rFonts w:ascii="Times New Roman" w:hAnsi="Times New Roman" w:cs="Times New Roman"/>
        </w:rPr>
        <w:t>S</w:t>
      </w:r>
      <w:r w:rsidR="00A31F38" w:rsidRPr="00304F2D">
        <w:rPr>
          <w:rFonts w:ascii="Times New Roman" w:hAnsi="Times New Roman" w:cs="Times New Roman"/>
        </w:rPr>
        <w:t>.</w:t>
      </w:r>
      <w:r w:rsidR="00A92D8D" w:rsidRPr="00304F2D">
        <w:rPr>
          <w:rFonts w:ascii="Times New Roman" w:hAnsi="Times New Roman" w:cs="Times New Roman"/>
        </w:rPr>
        <w:t xml:space="preserve"> hea</w:t>
      </w:r>
      <w:r w:rsidR="000152CC" w:rsidRPr="00304F2D">
        <w:rPr>
          <w:rFonts w:ascii="Times New Roman" w:hAnsi="Times New Roman" w:cs="Times New Roman"/>
        </w:rPr>
        <w:t>lth related charity for over 1.2</w:t>
      </w:r>
      <w:r w:rsidR="00A92D8D" w:rsidRPr="00304F2D">
        <w:rPr>
          <w:rFonts w:ascii="Times New Roman" w:hAnsi="Times New Roman" w:cs="Times New Roman"/>
        </w:rPr>
        <w:t xml:space="preserve"> million donors for a three-year timeframe; and records of all Australian blood donors (1.1 milli</w:t>
      </w:r>
      <w:r w:rsidR="00B87019" w:rsidRPr="00304F2D">
        <w:rPr>
          <w:rFonts w:ascii="Times New Roman" w:hAnsi="Times New Roman" w:cs="Times New Roman"/>
        </w:rPr>
        <w:t xml:space="preserve">on) for a five-year timeframe. </w:t>
      </w:r>
      <w:r w:rsidR="002F0751" w:rsidRPr="00304F2D">
        <w:rPr>
          <w:rFonts w:ascii="Times New Roman" w:hAnsi="Times New Roman" w:cs="Times New Roman"/>
        </w:rPr>
        <w:t xml:space="preserve">We show the </w:t>
      </w:r>
      <w:r w:rsidR="00B87019" w:rsidRPr="00304F2D">
        <w:rPr>
          <w:rFonts w:ascii="Times New Roman" w:hAnsi="Times New Roman" w:cs="Times New Roman"/>
        </w:rPr>
        <w:t xml:space="preserve">law-like patterns </w:t>
      </w:r>
      <w:r w:rsidR="002F0751" w:rsidRPr="00304F2D">
        <w:rPr>
          <w:rFonts w:ascii="Times New Roman" w:hAnsi="Times New Roman" w:cs="Times New Roman"/>
        </w:rPr>
        <w:t xml:space="preserve">that </w:t>
      </w:r>
      <w:r w:rsidR="00B87019" w:rsidRPr="00304F2D">
        <w:rPr>
          <w:rFonts w:ascii="Times New Roman" w:hAnsi="Times New Roman" w:cs="Times New Roman"/>
        </w:rPr>
        <w:t xml:space="preserve">underpin brand growth in </w:t>
      </w:r>
      <w:r w:rsidR="005D6398" w:rsidRPr="00304F2D">
        <w:rPr>
          <w:rFonts w:ascii="Times New Roman" w:hAnsi="Times New Roman" w:cs="Times New Roman"/>
        </w:rPr>
        <w:t>other</w:t>
      </w:r>
      <w:r w:rsidR="00B87019" w:rsidRPr="00304F2D">
        <w:rPr>
          <w:rFonts w:ascii="Times New Roman" w:hAnsi="Times New Roman" w:cs="Times New Roman"/>
        </w:rPr>
        <w:t xml:space="preserve"> markets also apply in the non-profit sector. </w:t>
      </w:r>
      <w:r w:rsidR="005E742A" w:rsidRPr="00304F2D">
        <w:rPr>
          <w:rFonts w:ascii="Times New Roman" w:hAnsi="Times New Roman" w:cs="Times New Roman"/>
        </w:rPr>
        <w:t xml:space="preserve">The vast majority of new donors </w:t>
      </w:r>
      <w:r w:rsidR="00804F97" w:rsidRPr="00304F2D">
        <w:rPr>
          <w:rFonts w:ascii="Times New Roman" w:hAnsi="Times New Roman" w:cs="Times New Roman"/>
        </w:rPr>
        <w:t>g</w:t>
      </w:r>
      <w:r w:rsidR="00646618" w:rsidRPr="00304F2D">
        <w:rPr>
          <w:rFonts w:ascii="Times New Roman" w:hAnsi="Times New Roman" w:cs="Times New Roman"/>
        </w:rPr>
        <w:t>ive once or twice a year</w:t>
      </w:r>
      <w:r w:rsidR="00804F97" w:rsidRPr="00304F2D">
        <w:rPr>
          <w:rFonts w:ascii="Times New Roman" w:hAnsi="Times New Roman" w:cs="Times New Roman"/>
        </w:rPr>
        <w:t xml:space="preserve"> and few give </w:t>
      </w:r>
      <w:r w:rsidR="00B87019" w:rsidRPr="00304F2D">
        <w:rPr>
          <w:rFonts w:ascii="Times New Roman" w:hAnsi="Times New Roman" w:cs="Times New Roman"/>
        </w:rPr>
        <w:t>at higher frequency levels</w:t>
      </w:r>
      <w:r w:rsidR="00804F97" w:rsidRPr="00304F2D">
        <w:rPr>
          <w:rFonts w:ascii="Times New Roman" w:hAnsi="Times New Roman" w:cs="Times New Roman"/>
        </w:rPr>
        <w:t xml:space="preserve">. </w:t>
      </w:r>
      <w:r w:rsidR="00FE051A" w:rsidRPr="00304F2D">
        <w:rPr>
          <w:rFonts w:ascii="Times New Roman" w:hAnsi="Times New Roman" w:cs="Times New Roman"/>
        </w:rPr>
        <w:t xml:space="preserve">The stability of the churn level </w:t>
      </w:r>
      <w:r w:rsidR="00964654" w:rsidRPr="00304F2D">
        <w:rPr>
          <w:rFonts w:ascii="Times New Roman" w:hAnsi="Times New Roman" w:cs="Times New Roman"/>
        </w:rPr>
        <w:t xml:space="preserve">across blood and money donations </w:t>
      </w:r>
      <w:r w:rsidR="00FE051A" w:rsidRPr="00304F2D">
        <w:rPr>
          <w:rFonts w:ascii="Times New Roman" w:hAnsi="Times New Roman" w:cs="Times New Roman"/>
        </w:rPr>
        <w:t xml:space="preserve">suggests a structural </w:t>
      </w:r>
      <w:r w:rsidR="00574D80" w:rsidRPr="00304F2D">
        <w:rPr>
          <w:rFonts w:ascii="Times New Roman" w:hAnsi="Times New Roman" w:cs="Times New Roman"/>
        </w:rPr>
        <w:t xml:space="preserve">norm in </w:t>
      </w:r>
      <w:proofErr w:type="spellStart"/>
      <w:r w:rsidR="00574D80" w:rsidRPr="00304F2D">
        <w:rPr>
          <w:rFonts w:ascii="Times New Roman" w:hAnsi="Times New Roman" w:cs="Times New Roman"/>
        </w:rPr>
        <w:t>behaviour</w:t>
      </w:r>
      <w:proofErr w:type="spellEnd"/>
      <w:r w:rsidR="00574D80" w:rsidRPr="00304F2D">
        <w:rPr>
          <w:rFonts w:ascii="Times New Roman" w:hAnsi="Times New Roman" w:cs="Times New Roman"/>
        </w:rPr>
        <w:t xml:space="preserve"> over time </w:t>
      </w:r>
      <w:r w:rsidR="00FE051A" w:rsidRPr="00304F2D">
        <w:rPr>
          <w:rFonts w:ascii="Times New Roman" w:hAnsi="Times New Roman" w:cs="Times New Roman"/>
        </w:rPr>
        <w:t xml:space="preserve">rather than </w:t>
      </w:r>
      <w:r w:rsidRPr="00304F2D">
        <w:rPr>
          <w:rFonts w:ascii="Times New Roman" w:hAnsi="Times New Roman" w:cs="Times New Roman"/>
        </w:rPr>
        <w:t>a</w:t>
      </w:r>
      <w:r w:rsidR="00574D80" w:rsidRPr="00304F2D">
        <w:rPr>
          <w:rFonts w:ascii="Times New Roman" w:hAnsi="Times New Roman" w:cs="Times New Roman"/>
        </w:rPr>
        <w:t>n outcome of</w:t>
      </w:r>
      <w:r w:rsidRPr="00304F2D">
        <w:rPr>
          <w:rFonts w:ascii="Times New Roman" w:hAnsi="Times New Roman" w:cs="Times New Roman"/>
        </w:rPr>
        <w:t xml:space="preserve"> </w:t>
      </w:r>
      <w:r w:rsidR="00FE051A" w:rsidRPr="00304F2D">
        <w:rPr>
          <w:rFonts w:ascii="Times New Roman" w:hAnsi="Times New Roman" w:cs="Times New Roman"/>
        </w:rPr>
        <w:t xml:space="preserve">marketing </w:t>
      </w:r>
      <w:r w:rsidR="00574D80" w:rsidRPr="00304F2D">
        <w:rPr>
          <w:rFonts w:ascii="Times New Roman" w:hAnsi="Times New Roman" w:cs="Times New Roman"/>
        </w:rPr>
        <w:t>strategy</w:t>
      </w:r>
      <w:r w:rsidR="00FE051A" w:rsidRPr="00304F2D">
        <w:rPr>
          <w:rFonts w:ascii="Times New Roman" w:hAnsi="Times New Roman" w:cs="Times New Roman"/>
        </w:rPr>
        <w:t xml:space="preserve">. </w:t>
      </w:r>
      <w:r w:rsidR="00A15664" w:rsidRPr="00304F2D">
        <w:rPr>
          <w:rFonts w:ascii="Times New Roman" w:hAnsi="Times New Roman" w:cs="Times New Roman"/>
        </w:rPr>
        <w:t>We discuss implications for</w:t>
      </w:r>
      <w:r w:rsidR="004D785F" w:rsidRPr="00304F2D">
        <w:rPr>
          <w:rFonts w:ascii="Times New Roman" w:hAnsi="Times New Roman" w:cs="Times New Roman"/>
        </w:rPr>
        <w:t xml:space="preserve"> </w:t>
      </w:r>
      <w:r w:rsidR="00A15664" w:rsidRPr="00304F2D">
        <w:rPr>
          <w:rFonts w:ascii="Times New Roman" w:hAnsi="Times New Roman" w:cs="Times New Roman"/>
        </w:rPr>
        <w:t>resource allocation and marketing strat</w:t>
      </w:r>
      <w:r w:rsidR="000D7BDE" w:rsidRPr="00304F2D">
        <w:rPr>
          <w:rFonts w:ascii="Times New Roman" w:hAnsi="Times New Roman" w:cs="Times New Roman"/>
        </w:rPr>
        <w:t>e</w:t>
      </w:r>
      <w:r w:rsidR="00A15664" w:rsidRPr="00304F2D">
        <w:rPr>
          <w:rFonts w:ascii="Times New Roman" w:hAnsi="Times New Roman" w:cs="Times New Roman"/>
        </w:rPr>
        <w:t>gies</w:t>
      </w:r>
      <w:r w:rsidR="004D785F" w:rsidRPr="00304F2D">
        <w:rPr>
          <w:rFonts w:ascii="Times New Roman" w:hAnsi="Times New Roman" w:cs="Times New Roman"/>
        </w:rPr>
        <w:t>.</w:t>
      </w:r>
    </w:p>
    <w:p w14:paraId="032DAD16" w14:textId="77777777" w:rsidR="00A92D8D" w:rsidRPr="00304F2D" w:rsidRDefault="00A92D8D" w:rsidP="00A92D8D">
      <w:pPr>
        <w:spacing w:line="480" w:lineRule="auto"/>
        <w:rPr>
          <w:rFonts w:ascii="Times New Roman" w:hAnsi="Times New Roman" w:cs="Times New Roman"/>
        </w:rPr>
      </w:pPr>
      <w:r w:rsidRPr="00304F2D">
        <w:rPr>
          <w:rFonts w:ascii="Times New Roman" w:hAnsi="Times New Roman" w:cs="Times New Roman"/>
          <w:b/>
        </w:rPr>
        <w:t>Keywords:</w:t>
      </w:r>
      <w:r w:rsidRPr="00304F2D">
        <w:rPr>
          <w:rFonts w:ascii="Times New Roman" w:hAnsi="Times New Roman" w:cs="Times New Roman"/>
        </w:rPr>
        <w:t xml:space="preserve"> blood, charity, donation, marketing, loyalty metrics</w:t>
      </w:r>
    </w:p>
    <w:p w14:paraId="5D4B6E0F" w14:textId="77777777" w:rsidR="007F5D11" w:rsidRPr="00304F2D" w:rsidRDefault="007F5D11" w:rsidP="00DE5974">
      <w:pPr>
        <w:spacing w:line="480" w:lineRule="auto"/>
        <w:rPr>
          <w:rFonts w:ascii="Times New Roman" w:hAnsi="Times New Roman" w:cs="Times New Roman"/>
        </w:rPr>
      </w:pPr>
    </w:p>
    <w:p w14:paraId="31FE016F" w14:textId="77777777" w:rsidR="007F5D11" w:rsidRPr="00304F2D" w:rsidRDefault="007F5D11">
      <w:pPr>
        <w:rPr>
          <w:rFonts w:ascii="Times New Roman" w:hAnsi="Times New Roman" w:cs="Times New Roman"/>
          <w:b/>
          <w:bCs/>
          <w:caps/>
        </w:rPr>
      </w:pPr>
      <w:r w:rsidRPr="00304F2D">
        <w:rPr>
          <w:rFonts w:ascii="Times New Roman" w:hAnsi="Times New Roman" w:cs="Times New Roman"/>
          <w:b/>
          <w:bCs/>
          <w:caps/>
        </w:rPr>
        <w:br w:type="page"/>
      </w:r>
    </w:p>
    <w:p w14:paraId="0CDA4F7A" w14:textId="31CA1E6D" w:rsidR="009D6088" w:rsidRPr="00304F2D" w:rsidRDefault="00445062" w:rsidP="00C951AD">
      <w:pPr>
        <w:keepNext/>
        <w:keepLines/>
        <w:spacing w:line="480" w:lineRule="auto"/>
        <w:rPr>
          <w:rFonts w:ascii="Times New Roman" w:hAnsi="Times New Roman" w:cs="Times New Roman"/>
          <w:b/>
          <w:bCs/>
        </w:rPr>
      </w:pPr>
      <w:r w:rsidRPr="00304F2D">
        <w:rPr>
          <w:rFonts w:ascii="Times New Roman" w:hAnsi="Times New Roman" w:cs="Times New Roman"/>
          <w:b/>
          <w:bCs/>
          <w:caps/>
        </w:rPr>
        <w:lastRenderedPageBreak/>
        <w:t>1</w:t>
      </w:r>
      <w:r w:rsidRPr="00304F2D">
        <w:rPr>
          <w:rFonts w:ascii="Times New Roman" w:hAnsi="Times New Roman" w:cs="Times New Roman"/>
          <w:b/>
          <w:bCs/>
        </w:rPr>
        <w:t>. Introduction</w:t>
      </w:r>
    </w:p>
    <w:p w14:paraId="1D04817C" w14:textId="553E0476" w:rsidR="00957A58" w:rsidRPr="00304F2D" w:rsidRDefault="00C204D3" w:rsidP="00E66940">
      <w:pPr>
        <w:spacing w:line="480" w:lineRule="auto"/>
        <w:ind w:firstLine="720"/>
        <w:rPr>
          <w:rFonts w:ascii="Times New Roman" w:hAnsi="Times New Roman" w:cs="Times New Roman"/>
        </w:rPr>
      </w:pPr>
      <w:r w:rsidRPr="00304F2D">
        <w:rPr>
          <w:rFonts w:ascii="Times New Roman" w:hAnsi="Times New Roman" w:cs="Times New Roman"/>
        </w:rPr>
        <w:t xml:space="preserve">Most </w:t>
      </w:r>
      <w:r w:rsidR="007038EF" w:rsidRPr="00304F2D">
        <w:rPr>
          <w:rFonts w:ascii="Times New Roman" w:hAnsi="Times New Roman" w:cs="Times New Roman"/>
        </w:rPr>
        <w:t xml:space="preserve">non-profit </w:t>
      </w:r>
      <w:proofErr w:type="spellStart"/>
      <w:r w:rsidR="007038EF" w:rsidRPr="00304F2D">
        <w:rPr>
          <w:rFonts w:ascii="Times New Roman" w:hAnsi="Times New Roman" w:cs="Times New Roman"/>
        </w:rPr>
        <w:t>organisations</w:t>
      </w:r>
      <w:proofErr w:type="spellEnd"/>
      <w:r w:rsidR="007038EF" w:rsidRPr="00304F2D">
        <w:rPr>
          <w:rFonts w:ascii="Times New Roman" w:hAnsi="Times New Roman" w:cs="Times New Roman"/>
        </w:rPr>
        <w:t xml:space="preserve"> rely on the support of individuals, </w:t>
      </w:r>
      <w:r w:rsidRPr="00304F2D">
        <w:rPr>
          <w:rFonts w:ascii="Times New Roman" w:hAnsi="Times New Roman" w:cs="Times New Roman"/>
        </w:rPr>
        <w:t xml:space="preserve">without which </w:t>
      </w:r>
      <w:r w:rsidR="0075625A" w:rsidRPr="00304F2D">
        <w:rPr>
          <w:rFonts w:ascii="Times New Roman" w:hAnsi="Times New Roman" w:cs="Times New Roman"/>
        </w:rPr>
        <w:t>they</w:t>
      </w:r>
      <w:r w:rsidR="007038EF" w:rsidRPr="00304F2D">
        <w:rPr>
          <w:rFonts w:ascii="Times New Roman" w:hAnsi="Times New Roman" w:cs="Times New Roman"/>
        </w:rPr>
        <w:t xml:space="preserve"> </w:t>
      </w:r>
      <w:r w:rsidR="00680C8F" w:rsidRPr="00304F2D">
        <w:rPr>
          <w:rFonts w:ascii="Times New Roman" w:hAnsi="Times New Roman" w:cs="Times New Roman"/>
        </w:rPr>
        <w:t xml:space="preserve">would </w:t>
      </w:r>
      <w:r w:rsidRPr="00304F2D">
        <w:rPr>
          <w:rFonts w:ascii="Times New Roman" w:hAnsi="Times New Roman" w:cs="Times New Roman"/>
        </w:rPr>
        <w:t>reduce their</w:t>
      </w:r>
      <w:r w:rsidR="009E3180" w:rsidRPr="00304F2D">
        <w:rPr>
          <w:rFonts w:ascii="Times New Roman" w:hAnsi="Times New Roman" w:cs="Times New Roman"/>
        </w:rPr>
        <w:t xml:space="preserve"> services to the community</w:t>
      </w:r>
      <w:r w:rsidR="00C47279">
        <w:rPr>
          <w:rFonts w:ascii="Times New Roman" w:hAnsi="Times New Roman" w:cs="Times New Roman"/>
        </w:rPr>
        <w:t xml:space="preserve"> or </w:t>
      </w:r>
      <w:r w:rsidR="00C47279" w:rsidRPr="00304F2D">
        <w:rPr>
          <w:rFonts w:ascii="Times New Roman" w:hAnsi="Times New Roman" w:cs="Times New Roman"/>
        </w:rPr>
        <w:t>cease to exist</w:t>
      </w:r>
      <w:r w:rsidR="009E3180" w:rsidRPr="00304F2D">
        <w:rPr>
          <w:rFonts w:ascii="Times New Roman" w:hAnsi="Times New Roman" w:cs="Times New Roman"/>
        </w:rPr>
        <w:t>.</w:t>
      </w:r>
      <w:r w:rsidR="00680C8F" w:rsidRPr="00304F2D">
        <w:rPr>
          <w:rFonts w:ascii="Times New Roman" w:hAnsi="Times New Roman" w:cs="Times New Roman"/>
        </w:rPr>
        <w:t xml:space="preserve"> </w:t>
      </w:r>
      <w:r w:rsidR="00355F5C" w:rsidRPr="00304F2D">
        <w:rPr>
          <w:rFonts w:ascii="Times New Roman" w:hAnsi="Times New Roman" w:cs="Times New Roman"/>
        </w:rPr>
        <w:t xml:space="preserve">The scale </w:t>
      </w:r>
      <w:r w:rsidR="00C0675B" w:rsidRPr="00304F2D">
        <w:rPr>
          <w:rFonts w:ascii="Times New Roman" w:hAnsi="Times New Roman" w:cs="Times New Roman"/>
        </w:rPr>
        <w:t xml:space="preserve">of </w:t>
      </w:r>
      <w:r w:rsidR="00427645" w:rsidRPr="00304F2D">
        <w:rPr>
          <w:rFonts w:ascii="Times New Roman" w:hAnsi="Times New Roman" w:cs="Times New Roman"/>
        </w:rPr>
        <w:t>support given</w:t>
      </w:r>
      <w:r w:rsidR="00C0675B" w:rsidRPr="00304F2D">
        <w:rPr>
          <w:rFonts w:ascii="Times New Roman" w:hAnsi="Times New Roman" w:cs="Times New Roman"/>
        </w:rPr>
        <w:t xml:space="preserve"> </w:t>
      </w:r>
      <w:r w:rsidR="00355F5C" w:rsidRPr="00304F2D">
        <w:rPr>
          <w:rFonts w:ascii="Times New Roman" w:hAnsi="Times New Roman" w:cs="Times New Roman"/>
        </w:rPr>
        <w:t>is illustrated by the $358</w:t>
      </w:r>
      <w:r w:rsidR="009314D2">
        <w:rPr>
          <w:rFonts w:ascii="Times New Roman" w:hAnsi="Times New Roman" w:cs="Times New Roman"/>
        </w:rPr>
        <w:t xml:space="preserve"> </w:t>
      </w:r>
      <w:r w:rsidR="00355F5C" w:rsidRPr="00304F2D">
        <w:rPr>
          <w:rFonts w:ascii="Times New Roman" w:hAnsi="Times New Roman" w:cs="Times New Roman"/>
        </w:rPr>
        <w:t>b</w:t>
      </w:r>
      <w:r w:rsidR="009314D2">
        <w:rPr>
          <w:rFonts w:ascii="Times New Roman" w:hAnsi="Times New Roman" w:cs="Times New Roman"/>
        </w:rPr>
        <w:t>illion</w:t>
      </w:r>
      <w:r w:rsidR="00355F5C" w:rsidRPr="00304F2D">
        <w:rPr>
          <w:rFonts w:ascii="Times New Roman" w:hAnsi="Times New Roman" w:cs="Times New Roman"/>
        </w:rPr>
        <w:t xml:space="preserve"> </w:t>
      </w:r>
      <w:r w:rsidR="00C0675B" w:rsidRPr="00304F2D">
        <w:rPr>
          <w:rFonts w:ascii="Times New Roman" w:hAnsi="Times New Roman" w:cs="Times New Roman"/>
        </w:rPr>
        <w:t>donated</w:t>
      </w:r>
      <w:r w:rsidR="00355F5C" w:rsidRPr="00304F2D">
        <w:rPr>
          <w:rFonts w:ascii="Times New Roman" w:hAnsi="Times New Roman" w:cs="Times New Roman"/>
        </w:rPr>
        <w:t xml:space="preserve"> </w:t>
      </w:r>
      <w:r w:rsidRPr="00304F2D">
        <w:rPr>
          <w:rFonts w:ascii="Times New Roman" w:hAnsi="Times New Roman" w:cs="Times New Roman"/>
        </w:rPr>
        <w:t xml:space="preserve">by individuals </w:t>
      </w:r>
      <w:r w:rsidR="00355F5C" w:rsidRPr="00304F2D">
        <w:rPr>
          <w:rFonts w:ascii="Times New Roman" w:hAnsi="Times New Roman" w:cs="Times New Roman"/>
        </w:rPr>
        <w:t xml:space="preserve">to </w:t>
      </w:r>
      <w:r w:rsidR="00F93E27" w:rsidRPr="00304F2D">
        <w:rPr>
          <w:rFonts w:ascii="Times New Roman" w:hAnsi="Times New Roman" w:cs="Times New Roman"/>
        </w:rPr>
        <w:t>charities in the United States (</w:t>
      </w:r>
      <w:r w:rsidR="00355F5C" w:rsidRPr="00304F2D">
        <w:rPr>
          <w:rFonts w:ascii="Times New Roman" w:hAnsi="Times New Roman" w:cs="Times New Roman"/>
        </w:rPr>
        <w:t>U</w:t>
      </w:r>
      <w:r w:rsidR="00CD5D0F" w:rsidRPr="00304F2D">
        <w:rPr>
          <w:rFonts w:ascii="Times New Roman" w:hAnsi="Times New Roman" w:cs="Times New Roman"/>
        </w:rPr>
        <w:t>.</w:t>
      </w:r>
      <w:r w:rsidR="00355F5C" w:rsidRPr="00304F2D">
        <w:rPr>
          <w:rFonts w:ascii="Times New Roman" w:hAnsi="Times New Roman" w:cs="Times New Roman"/>
        </w:rPr>
        <w:t>S</w:t>
      </w:r>
      <w:r w:rsidR="00CD5D0F" w:rsidRPr="00304F2D">
        <w:rPr>
          <w:rFonts w:ascii="Times New Roman" w:hAnsi="Times New Roman" w:cs="Times New Roman"/>
        </w:rPr>
        <w:t>.</w:t>
      </w:r>
      <w:r w:rsidR="00F93E27" w:rsidRPr="00304F2D">
        <w:rPr>
          <w:rFonts w:ascii="Times New Roman" w:hAnsi="Times New Roman" w:cs="Times New Roman"/>
        </w:rPr>
        <w:t>)</w:t>
      </w:r>
      <w:r w:rsidR="00355F5C" w:rsidRPr="00304F2D">
        <w:rPr>
          <w:rFonts w:ascii="Times New Roman" w:hAnsi="Times New Roman" w:cs="Times New Roman"/>
        </w:rPr>
        <w:t xml:space="preserve"> in 2014</w:t>
      </w:r>
      <w:r w:rsidRPr="00304F2D">
        <w:rPr>
          <w:rFonts w:ascii="Times New Roman" w:hAnsi="Times New Roman" w:cs="Times New Roman"/>
        </w:rPr>
        <w:t>,</w:t>
      </w:r>
      <w:r w:rsidR="009E3180" w:rsidRPr="00304F2D">
        <w:rPr>
          <w:rFonts w:ascii="Times New Roman" w:hAnsi="Times New Roman" w:cs="Times New Roman"/>
        </w:rPr>
        <w:t xml:space="preserve"> </w:t>
      </w:r>
      <w:r w:rsidRPr="00304F2D">
        <w:rPr>
          <w:rFonts w:ascii="Times New Roman" w:hAnsi="Times New Roman" w:cs="Times New Roman"/>
        </w:rPr>
        <w:t>which</w:t>
      </w:r>
      <w:r w:rsidR="00355F5C" w:rsidRPr="00304F2D">
        <w:rPr>
          <w:rFonts w:ascii="Times New Roman" w:hAnsi="Times New Roman" w:cs="Times New Roman"/>
        </w:rPr>
        <w:t xml:space="preserve"> equates to </w:t>
      </w:r>
      <w:r w:rsidR="00680C8F" w:rsidRPr="00304F2D">
        <w:rPr>
          <w:rFonts w:ascii="Times New Roman" w:hAnsi="Times New Roman" w:cs="Times New Roman"/>
        </w:rPr>
        <w:t>2.1% of GDP</w:t>
      </w:r>
      <w:r w:rsidRPr="00304F2D">
        <w:rPr>
          <w:rFonts w:ascii="Times New Roman" w:hAnsi="Times New Roman" w:cs="Times New Roman"/>
        </w:rPr>
        <w:t>;</w:t>
      </w:r>
      <w:r w:rsidR="00680C8F" w:rsidRPr="00304F2D">
        <w:rPr>
          <w:rFonts w:ascii="Times New Roman" w:hAnsi="Times New Roman" w:cs="Times New Roman"/>
        </w:rPr>
        <w:t xml:space="preserve"> individuals provid</w:t>
      </w:r>
      <w:r w:rsidRPr="00304F2D">
        <w:rPr>
          <w:rFonts w:ascii="Times New Roman" w:hAnsi="Times New Roman" w:cs="Times New Roman"/>
        </w:rPr>
        <w:t>ed</w:t>
      </w:r>
      <w:r w:rsidR="00680C8F" w:rsidRPr="00304F2D">
        <w:rPr>
          <w:rFonts w:ascii="Times New Roman" w:hAnsi="Times New Roman" w:cs="Times New Roman"/>
        </w:rPr>
        <w:t xml:space="preserve"> 72% of </w:t>
      </w:r>
      <w:r w:rsidR="00355F5C" w:rsidRPr="00304F2D">
        <w:rPr>
          <w:rFonts w:ascii="Times New Roman" w:hAnsi="Times New Roman" w:cs="Times New Roman"/>
        </w:rPr>
        <w:t>income</w:t>
      </w:r>
      <w:r w:rsidR="009314D2">
        <w:rPr>
          <w:rFonts w:ascii="Times New Roman" w:hAnsi="Times New Roman" w:cs="Times New Roman"/>
        </w:rPr>
        <w:t xml:space="preserve"> to the sector</w:t>
      </w:r>
      <w:r w:rsidR="00C0675B" w:rsidRPr="00304F2D">
        <w:rPr>
          <w:rFonts w:ascii="Times New Roman" w:hAnsi="Times New Roman" w:cs="Times New Roman"/>
        </w:rPr>
        <w:t xml:space="preserve">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&lt;EndNote&gt;&lt;Cite&gt;&lt;Author&gt;Lilly Family School of Philanthropy&lt;/Author&gt;&lt;Year&gt;2015&lt;/Year&gt;&lt;RecNum&gt;28733&lt;/RecNum&gt;&lt;DisplayText&gt;(Lilly Family School of Philanthropy, 2015)&lt;/DisplayText&gt;&lt;record&gt;&lt;rec-number&gt;28733&lt;/rec-number&gt;&lt;foreign-keys&gt;&lt;key app="EN" db-id="eswazv0p5wsezae2sd8pf59gf50trdav5fsw" timestamp="0"&gt;28733&lt;/key&gt;&lt;/foreign-keys&gt;&lt;ref-type name="Report"&gt;27&lt;/ref-type&gt;&lt;contributors&gt;&lt;authors&gt;&lt;author&gt;Lilly Family School of Philanthropy,&lt;/author&gt;&lt;/authors&gt;&lt;/contributors&gt;&lt;titles&gt;&lt;title&gt;Giving USA 2015 highlights&lt;/title&gt;&lt;/titles&gt;&lt;dates&gt;&lt;year&gt;2015&lt;/year&gt;&lt;/dates&gt;&lt;publisher&gt;Giving USA&lt;/publisher&gt;&lt;urls&gt;&lt;/urls&gt;&lt;/record&gt;&lt;/Cite&gt;&lt;/EndNote&gt;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41" w:tooltip="Lilly Family School of Philanthropy, 2015 #28733" w:history="1">
        <w:r w:rsidR="00DA6B8D" w:rsidRPr="00304F2D">
          <w:rPr>
            <w:rFonts w:ascii="Times New Roman" w:hAnsi="Times New Roman" w:cs="Times New Roman"/>
            <w:noProof/>
          </w:rPr>
          <w:t>Lilly Family School of Philanthropy, 2015</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680C8F" w:rsidRPr="00304F2D">
        <w:rPr>
          <w:rFonts w:ascii="Times New Roman" w:hAnsi="Times New Roman" w:cs="Times New Roman"/>
        </w:rPr>
        <w:t xml:space="preserve">. </w:t>
      </w:r>
      <w:r w:rsidRPr="00304F2D">
        <w:rPr>
          <w:rFonts w:ascii="Times New Roman" w:hAnsi="Times New Roman" w:cs="Times New Roman"/>
        </w:rPr>
        <w:t>Well over half</w:t>
      </w:r>
      <w:r w:rsidR="00355F5C" w:rsidRPr="00304F2D">
        <w:rPr>
          <w:rFonts w:ascii="Times New Roman" w:hAnsi="Times New Roman" w:cs="Times New Roman"/>
        </w:rPr>
        <w:t xml:space="preserve"> </w:t>
      </w:r>
      <w:r w:rsidRPr="00304F2D">
        <w:rPr>
          <w:rFonts w:ascii="Times New Roman" w:hAnsi="Times New Roman" w:cs="Times New Roman"/>
        </w:rPr>
        <w:t>(</w:t>
      </w:r>
      <w:r w:rsidR="00680C8F" w:rsidRPr="00304F2D">
        <w:rPr>
          <w:rFonts w:ascii="Times New Roman" w:hAnsi="Times New Roman" w:cs="Times New Roman"/>
        </w:rPr>
        <w:t>68%</w:t>
      </w:r>
      <w:r w:rsidRPr="00304F2D">
        <w:rPr>
          <w:rFonts w:ascii="Times New Roman" w:hAnsi="Times New Roman" w:cs="Times New Roman"/>
        </w:rPr>
        <w:t>)</w:t>
      </w:r>
      <w:r w:rsidR="00680C8F" w:rsidRPr="00304F2D">
        <w:rPr>
          <w:rFonts w:ascii="Times New Roman" w:hAnsi="Times New Roman" w:cs="Times New Roman"/>
        </w:rPr>
        <w:t xml:space="preserve"> of </w:t>
      </w:r>
      <w:r w:rsidR="00CD5D0F" w:rsidRPr="00304F2D">
        <w:rPr>
          <w:rFonts w:ascii="Times New Roman" w:hAnsi="Times New Roman" w:cs="Times New Roman"/>
        </w:rPr>
        <w:t xml:space="preserve">all </w:t>
      </w:r>
      <w:r w:rsidR="00CF3BD3" w:rsidRPr="00304F2D">
        <w:rPr>
          <w:rFonts w:ascii="Times New Roman" w:hAnsi="Times New Roman" w:cs="Times New Roman"/>
        </w:rPr>
        <w:t>A</w:t>
      </w:r>
      <w:r w:rsidR="00355F5C" w:rsidRPr="00304F2D">
        <w:rPr>
          <w:rFonts w:ascii="Times New Roman" w:hAnsi="Times New Roman" w:cs="Times New Roman"/>
        </w:rPr>
        <w:t xml:space="preserve">mericans </w:t>
      </w:r>
      <w:r w:rsidRPr="00304F2D">
        <w:rPr>
          <w:rFonts w:ascii="Times New Roman" w:hAnsi="Times New Roman" w:cs="Times New Roman"/>
        </w:rPr>
        <w:t xml:space="preserve">donated </w:t>
      </w:r>
      <w:r w:rsidR="00680C8F" w:rsidRPr="00304F2D">
        <w:rPr>
          <w:rFonts w:ascii="Times New Roman" w:hAnsi="Times New Roman" w:cs="Times New Roman"/>
        </w:rPr>
        <w:t xml:space="preserve">money </w:t>
      </w:r>
      <w:r w:rsidR="00B032CA">
        <w:rPr>
          <w:rFonts w:ascii="Times New Roman" w:hAnsi="Times New Roman" w:cs="Times New Roman"/>
        </w:rPr>
        <w:t xml:space="preserve">to charity </w:t>
      </w:r>
      <w:r w:rsidR="00680C8F" w:rsidRPr="00304F2D">
        <w:rPr>
          <w:rFonts w:ascii="Times New Roman" w:hAnsi="Times New Roman" w:cs="Times New Roman"/>
        </w:rPr>
        <w:t xml:space="preserve">in 2013, </w:t>
      </w:r>
      <w:r w:rsidRPr="00304F2D">
        <w:rPr>
          <w:rFonts w:ascii="Times New Roman" w:hAnsi="Times New Roman" w:cs="Times New Roman"/>
        </w:rPr>
        <w:t>and</w:t>
      </w:r>
      <w:r w:rsidR="0000556B" w:rsidRPr="00304F2D">
        <w:rPr>
          <w:rFonts w:ascii="Times New Roman" w:hAnsi="Times New Roman" w:cs="Times New Roman"/>
        </w:rPr>
        <w:t xml:space="preserve"> the</w:t>
      </w:r>
      <w:r w:rsidRPr="00304F2D">
        <w:rPr>
          <w:rFonts w:ascii="Times New Roman" w:hAnsi="Times New Roman" w:cs="Times New Roman"/>
        </w:rPr>
        <w:t xml:space="preserve"> </w:t>
      </w:r>
      <w:r w:rsidR="00680C8F" w:rsidRPr="00304F2D">
        <w:rPr>
          <w:rFonts w:ascii="Times New Roman" w:hAnsi="Times New Roman" w:cs="Times New Roman"/>
        </w:rPr>
        <w:t>U</w:t>
      </w:r>
      <w:r w:rsidR="00CD5D0F" w:rsidRPr="00304F2D">
        <w:rPr>
          <w:rFonts w:ascii="Times New Roman" w:hAnsi="Times New Roman" w:cs="Times New Roman"/>
        </w:rPr>
        <w:t>.</w:t>
      </w:r>
      <w:r w:rsidR="00680C8F" w:rsidRPr="00304F2D">
        <w:rPr>
          <w:rFonts w:ascii="Times New Roman" w:hAnsi="Times New Roman" w:cs="Times New Roman"/>
        </w:rPr>
        <w:t>S</w:t>
      </w:r>
      <w:r w:rsidR="00CD5D0F" w:rsidRPr="00304F2D">
        <w:rPr>
          <w:rFonts w:ascii="Times New Roman" w:hAnsi="Times New Roman" w:cs="Times New Roman"/>
        </w:rPr>
        <w:t>.</w:t>
      </w:r>
      <w:r w:rsidR="00680C8F" w:rsidRPr="00304F2D">
        <w:rPr>
          <w:rFonts w:ascii="Times New Roman" w:hAnsi="Times New Roman" w:cs="Times New Roman"/>
        </w:rPr>
        <w:t xml:space="preserve"> is ranked 9</w:t>
      </w:r>
      <w:r w:rsidR="00680C8F" w:rsidRPr="00304F2D">
        <w:rPr>
          <w:rFonts w:ascii="Times New Roman" w:hAnsi="Times New Roman" w:cs="Times New Roman"/>
          <w:vertAlign w:val="superscript"/>
        </w:rPr>
        <w:t>th</w:t>
      </w:r>
      <w:r w:rsidR="00680C8F" w:rsidRPr="00304F2D">
        <w:rPr>
          <w:rFonts w:ascii="Times New Roman" w:hAnsi="Times New Roman" w:cs="Times New Roman"/>
        </w:rPr>
        <w:t xml:space="preserve"> in the world </w:t>
      </w:r>
      <w:r w:rsidRPr="00304F2D">
        <w:rPr>
          <w:rFonts w:ascii="Times New Roman" w:hAnsi="Times New Roman" w:cs="Times New Roman"/>
        </w:rPr>
        <w:t>with</w:t>
      </w:r>
      <w:r w:rsidR="00680C8F" w:rsidRPr="00304F2D">
        <w:rPr>
          <w:rFonts w:ascii="Times New Roman" w:hAnsi="Times New Roman" w:cs="Times New Roman"/>
        </w:rPr>
        <w:t xml:space="preserve"> a 5-year participation level of 62%</w:t>
      </w:r>
      <w:r w:rsidR="00032F74" w:rsidRPr="00304F2D">
        <w:rPr>
          <w:rFonts w:ascii="Times New Roman" w:hAnsi="Times New Roman" w:cs="Times New Roman"/>
        </w:rPr>
        <w:t xml:space="preserve">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&lt;EndNote&gt;&lt;Cite&gt;&lt;Author&gt;Charities Aid Foundation&lt;/Author&gt;&lt;Year&gt;2014&lt;/Year&gt;&lt;RecNum&gt;27624&lt;/RecNum&gt;&lt;DisplayText&gt;(Charities Aid Foundation, 2014)&lt;/DisplayText&gt;&lt;record&gt;&lt;rec-number&gt;27624&lt;/rec-number&gt;&lt;foreign-keys&gt;&lt;key app="EN" db-id="eswazv0p5wsezae2sd8pf59gf50trdav5fsw" timestamp="0"&gt;27624&lt;/key&gt;&lt;/foreign-keys&gt;&lt;ref-type name="Report"&gt;27&lt;/ref-type&gt;&lt;contributors&gt;&lt;authors&gt;&lt;author&gt;Charities Aid Foundation,&lt;/author&gt;&lt;/authors&gt;&lt;/contributors&gt;&lt;titles&gt;&lt;title&gt;World Giving Index 2014: A global view of giving trends&lt;/title&gt;&lt;/titles&gt;&lt;pages&gt;1-44&lt;/pages&gt;&lt;dates&gt;&lt;year&gt;2014&lt;/year&gt;&lt;pub-dates&gt;&lt;date&gt;November&lt;/date&gt;&lt;/pub-dates&gt;&lt;/dates&gt;&lt;pub-location&gt;Online&lt;/pub-location&gt;&lt;publisher&gt;CAF&lt;/publisher&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21" w:tooltip="Charities Aid Foundation, 2014 #27624" w:history="1">
        <w:r w:rsidR="00DA6B8D" w:rsidRPr="00304F2D">
          <w:rPr>
            <w:rFonts w:ascii="Times New Roman" w:hAnsi="Times New Roman" w:cs="Times New Roman"/>
            <w:noProof/>
          </w:rPr>
          <w:t>Charities Aid Foundation, 2014</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680C8F" w:rsidRPr="00304F2D">
        <w:rPr>
          <w:rFonts w:ascii="Times New Roman" w:hAnsi="Times New Roman" w:cs="Times New Roman"/>
        </w:rPr>
        <w:t xml:space="preserve">.  </w:t>
      </w:r>
    </w:p>
    <w:p w14:paraId="36CC1AC5" w14:textId="0922383D" w:rsidR="008E3718" w:rsidRPr="00304F2D" w:rsidRDefault="00032F74" w:rsidP="00427645">
      <w:pPr>
        <w:spacing w:line="480" w:lineRule="auto"/>
        <w:ind w:firstLine="720"/>
        <w:rPr>
          <w:rFonts w:ascii="Times New Roman" w:eastAsia="Cambria" w:hAnsi="Times New Roman" w:cs="Times New Roman"/>
        </w:rPr>
      </w:pPr>
      <w:r w:rsidRPr="00304F2D">
        <w:rPr>
          <w:rFonts w:ascii="Times New Roman" w:eastAsia="Cambria" w:hAnsi="Times New Roman" w:cs="Times New Roman"/>
        </w:rPr>
        <w:t>Australia</w:t>
      </w:r>
      <w:r w:rsidR="00342210" w:rsidRPr="00304F2D">
        <w:rPr>
          <w:rFonts w:ascii="Times New Roman" w:eastAsia="Cambria" w:hAnsi="Times New Roman" w:cs="Times New Roman"/>
        </w:rPr>
        <w:t>,</w:t>
      </w:r>
      <w:r w:rsidRPr="00304F2D">
        <w:rPr>
          <w:rFonts w:ascii="Times New Roman" w:eastAsia="Cambria" w:hAnsi="Times New Roman" w:cs="Times New Roman"/>
        </w:rPr>
        <w:t xml:space="preserve"> </w:t>
      </w:r>
      <w:r w:rsidR="00CD5D0F" w:rsidRPr="00304F2D">
        <w:rPr>
          <w:rFonts w:ascii="Times New Roman" w:eastAsia="Cambria" w:hAnsi="Times New Roman" w:cs="Times New Roman"/>
        </w:rPr>
        <w:t xml:space="preserve">under the same definition </w:t>
      </w:r>
      <w:r w:rsidR="00C204D3" w:rsidRPr="00304F2D">
        <w:rPr>
          <w:rFonts w:ascii="Times New Roman" w:eastAsia="Cambria" w:hAnsi="Times New Roman" w:cs="Times New Roman"/>
        </w:rPr>
        <w:t>has a similar donation rate</w:t>
      </w:r>
      <w:r w:rsidR="00CD5D0F" w:rsidRPr="00304F2D">
        <w:rPr>
          <w:rFonts w:ascii="Times New Roman" w:eastAsia="Cambria" w:hAnsi="Times New Roman" w:cs="Times New Roman"/>
        </w:rPr>
        <w:t>,</w:t>
      </w:r>
      <w:r w:rsidR="00C204D3" w:rsidRPr="00304F2D">
        <w:rPr>
          <w:rFonts w:ascii="Times New Roman" w:eastAsia="Cambria" w:hAnsi="Times New Roman" w:cs="Times New Roman"/>
        </w:rPr>
        <w:t xml:space="preserve"> but </w:t>
      </w:r>
      <w:r w:rsidR="00C204D3" w:rsidRPr="00304F2D">
        <w:rPr>
          <w:rFonts w:ascii="Times New Roman" w:hAnsi="Times New Roman" w:cs="Times New Roman"/>
        </w:rPr>
        <w:t>p</w:t>
      </w:r>
      <w:r w:rsidR="00427645" w:rsidRPr="00304F2D">
        <w:rPr>
          <w:rFonts w:ascii="Times New Roman" w:eastAsia="Cambria" w:hAnsi="Times New Roman" w:cs="Times New Roman"/>
        </w:rPr>
        <w:t>articipation rates increase</w:t>
      </w:r>
      <w:r w:rsidR="00682C51" w:rsidRPr="00304F2D">
        <w:rPr>
          <w:rFonts w:ascii="Times New Roman" w:eastAsia="Cambria" w:hAnsi="Times New Roman" w:cs="Times New Roman"/>
        </w:rPr>
        <w:t xml:space="preserve"> </w:t>
      </w:r>
      <w:r w:rsidR="00150B1E" w:rsidRPr="00304F2D">
        <w:rPr>
          <w:rFonts w:ascii="Times New Roman" w:eastAsia="Cambria" w:hAnsi="Times New Roman" w:cs="Times New Roman"/>
        </w:rPr>
        <w:t xml:space="preserve">when </w:t>
      </w:r>
      <w:r w:rsidR="00C204D3" w:rsidRPr="00304F2D">
        <w:rPr>
          <w:rFonts w:ascii="Times New Roman" w:eastAsia="Cambria" w:hAnsi="Times New Roman" w:cs="Times New Roman"/>
        </w:rPr>
        <w:t xml:space="preserve">using </w:t>
      </w:r>
      <w:r w:rsidR="00682C51" w:rsidRPr="00304F2D">
        <w:rPr>
          <w:rFonts w:ascii="Times New Roman" w:eastAsia="Cambria" w:hAnsi="Times New Roman" w:cs="Times New Roman"/>
        </w:rPr>
        <w:t xml:space="preserve">a </w:t>
      </w:r>
      <w:r w:rsidR="009E3180" w:rsidRPr="00304F2D">
        <w:rPr>
          <w:rFonts w:ascii="Times New Roman" w:eastAsia="Cambria" w:hAnsi="Times New Roman" w:cs="Times New Roman"/>
        </w:rPr>
        <w:t>broader perspective of support.</w:t>
      </w:r>
      <w:r w:rsidR="00957A58" w:rsidRPr="00304F2D">
        <w:rPr>
          <w:rFonts w:ascii="Times New Roman" w:eastAsia="Cambria" w:hAnsi="Times New Roman" w:cs="Times New Roman"/>
        </w:rPr>
        <w:t xml:space="preserve"> </w:t>
      </w:r>
      <w:r w:rsidR="00682C51" w:rsidRPr="00304F2D">
        <w:rPr>
          <w:rFonts w:ascii="Times New Roman" w:eastAsia="Cambria" w:hAnsi="Times New Roman" w:cs="Times New Roman"/>
        </w:rPr>
        <w:t>In 2004</w:t>
      </w:r>
      <w:r w:rsidR="00B032CA">
        <w:rPr>
          <w:rFonts w:ascii="Times New Roman" w:eastAsia="Cambria" w:hAnsi="Times New Roman" w:cs="Times New Roman"/>
        </w:rPr>
        <w:t>,</w:t>
      </w:r>
      <w:r w:rsidR="00682C51" w:rsidRPr="00304F2D">
        <w:rPr>
          <w:rFonts w:ascii="Times New Roman" w:eastAsia="Cambria" w:hAnsi="Times New Roman" w:cs="Times New Roman"/>
        </w:rPr>
        <w:t xml:space="preserve"> </w:t>
      </w:r>
      <w:r w:rsidR="00957A58" w:rsidRPr="00304F2D">
        <w:rPr>
          <w:rFonts w:ascii="Times New Roman" w:eastAsia="Cambria" w:hAnsi="Times New Roman" w:cs="Times New Roman"/>
        </w:rPr>
        <w:t xml:space="preserve">87% of adults </w:t>
      </w:r>
      <w:r w:rsidR="00682C51" w:rsidRPr="00304F2D">
        <w:rPr>
          <w:rFonts w:ascii="Times New Roman" w:eastAsia="Cambria" w:hAnsi="Times New Roman" w:cs="Times New Roman"/>
        </w:rPr>
        <w:t>reported donating</w:t>
      </w:r>
      <w:r w:rsidR="00957A58" w:rsidRPr="00304F2D">
        <w:rPr>
          <w:rFonts w:ascii="Times New Roman" w:eastAsia="Cambria" w:hAnsi="Times New Roman" w:cs="Times New Roman"/>
        </w:rPr>
        <w:t xml:space="preserve"> $5.7 billion to </w:t>
      </w:r>
      <w:proofErr w:type="spellStart"/>
      <w:r w:rsidR="00957A58" w:rsidRPr="00304F2D">
        <w:rPr>
          <w:rFonts w:ascii="Times New Roman" w:eastAsia="Cambria" w:hAnsi="Times New Roman" w:cs="Times New Roman"/>
        </w:rPr>
        <w:t>o</w:t>
      </w:r>
      <w:r w:rsidR="00A31F38" w:rsidRPr="00304F2D">
        <w:rPr>
          <w:rFonts w:ascii="Times New Roman" w:eastAsia="Cambria" w:hAnsi="Times New Roman" w:cs="Times New Roman"/>
        </w:rPr>
        <w:t>rganis</w:t>
      </w:r>
      <w:r w:rsidR="00957A58" w:rsidRPr="00304F2D">
        <w:rPr>
          <w:rFonts w:ascii="Times New Roman" w:eastAsia="Cambria" w:hAnsi="Times New Roman" w:cs="Times New Roman"/>
        </w:rPr>
        <w:t>ations</w:t>
      </w:r>
      <w:proofErr w:type="spellEnd"/>
      <w:r w:rsidR="00957A58" w:rsidRPr="00304F2D">
        <w:rPr>
          <w:rFonts w:ascii="Times New Roman" w:eastAsia="Cambria" w:hAnsi="Times New Roman" w:cs="Times New Roman"/>
        </w:rPr>
        <w:t>, and an additional $2 billion provided from raffle/lottery sales or participation in fundraising events</w:t>
      </w:r>
      <w:r w:rsidR="00CD5D0F" w:rsidRPr="00304F2D">
        <w:rPr>
          <w:rFonts w:ascii="Times New Roman" w:eastAsia="Cambria" w:hAnsi="Times New Roman" w:cs="Times New Roman"/>
        </w:rPr>
        <w:t>, as well as</w:t>
      </w:r>
      <w:r w:rsidR="00957A58" w:rsidRPr="00304F2D">
        <w:rPr>
          <w:rFonts w:ascii="Times New Roman" w:eastAsia="Cambria" w:hAnsi="Times New Roman" w:cs="Times New Roman"/>
        </w:rPr>
        <w:t xml:space="preserve"> the equivalent of $14.6 billion in volunteering hours</w:t>
      </w:r>
      <w:r w:rsidR="00E312C3" w:rsidRPr="00304F2D">
        <w:rPr>
          <w:rFonts w:ascii="Times New Roman" w:eastAsia="Cambria" w:hAnsi="Times New Roman" w:cs="Times New Roman"/>
        </w:rPr>
        <w:t xml:space="preserve"> </w:t>
      </w:r>
      <w:r w:rsidR="00E312C3" w:rsidRPr="00304F2D">
        <w:rPr>
          <w:rFonts w:ascii="Times New Roman" w:eastAsia="Cambria" w:hAnsi="Times New Roman" w:cs="Times New Roman"/>
        </w:rPr>
        <w:fldChar w:fldCharType="begin"/>
      </w:r>
      <w:r w:rsidR="00382F99" w:rsidRPr="00304F2D">
        <w:rPr>
          <w:rFonts w:ascii="Times New Roman" w:eastAsia="Cambria" w:hAnsi="Times New Roman" w:cs="Times New Roman"/>
        </w:rPr>
        <w:instrText xml:space="preserve"> ADDIN EN.CITE &lt;EndNote&gt;&lt;Cite&gt;&lt;Author&gt;Lyons&lt;/Author&gt;&lt;Year&gt;2006&lt;/Year&gt;&lt;RecNum&gt;20759&lt;/RecNum&gt;&lt;DisplayText&gt;(Lyons, McGregor-Lowndes and O&amp;apos;Donoghue, 2006)&lt;/DisplayText&gt;&lt;record&gt;&lt;rec-number&gt;20759&lt;/rec-number&gt;&lt;foreign-keys&gt;&lt;key app="EN" db-id="eswazv0p5wsezae2sd8pf59gf50trdav5fsw" timestamp="0"&gt;20759&lt;/key&gt;&lt;/foreign-keys&gt;&lt;ref-type name="Journal Article"&gt;17&lt;/ref-type&gt;&lt;contributors&gt;&lt;authors&gt;&lt;author&gt;Lyons, Mark&lt;/author&gt;&lt;author&gt;McGregor-Lowndes, Myles&lt;/author&gt;&lt;author&gt;O&amp;apos;Donoghue, Philip&lt;/author&gt;&lt;/authors&gt;&lt;/contributors&gt;&lt;titles&gt;&lt;title&gt;Researching Giving and Volunteering in Australia&lt;/title&gt;&lt;secondary-title&gt;Australian Journal of Social Issues&lt;/secondary-title&gt;&lt;/titles&gt;&lt;pages&gt;385-397&lt;/pages&gt;&lt;volume&gt;41&lt;/volume&gt;&lt;number&gt;4&lt;/number&gt;&lt;section&gt;385&lt;/section&gt;&lt;dates&gt;&lt;year&gt;2006&lt;/year&gt;&lt;/dates&gt;&lt;label&gt;pdf&lt;/label&gt;&lt;urls&gt;&lt;/urls&gt;&lt;/record&gt;&lt;/Cite&gt;&lt;/EndNote&gt;</w:instrText>
      </w:r>
      <w:r w:rsidR="00E312C3" w:rsidRPr="00304F2D">
        <w:rPr>
          <w:rFonts w:ascii="Times New Roman" w:eastAsia="Cambria" w:hAnsi="Times New Roman" w:cs="Times New Roman"/>
        </w:rPr>
        <w:fldChar w:fldCharType="separate"/>
      </w:r>
      <w:r w:rsidR="00E312C3" w:rsidRPr="00304F2D">
        <w:rPr>
          <w:rFonts w:ascii="Times New Roman" w:eastAsia="Cambria" w:hAnsi="Times New Roman" w:cs="Times New Roman"/>
          <w:noProof/>
        </w:rPr>
        <w:t>(</w:t>
      </w:r>
      <w:hyperlink w:anchor="_ENREF_42" w:tooltip="Lyons, 2006 #20759" w:history="1">
        <w:r w:rsidR="00DA6B8D" w:rsidRPr="00304F2D">
          <w:rPr>
            <w:rFonts w:ascii="Times New Roman" w:eastAsia="Cambria" w:hAnsi="Times New Roman" w:cs="Times New Roman"/>
            <w:noProof/>
          </w:rPr>
          <w:t>Lyons, McGregor-Lowndes and O'Donoghue, 2006</w:t>
        </w:r>
      </w:hyperlink>
      <w:r w:rsidR="00E312C3" w:rsidRPr="00304F2D">
        <w:rPr>
          <w:rFonts w:ascii="Times New Roman" w:eastAsia="Cambria" w:hAnsi="Times New Roman" w:cs="Times New Roman"/>
          <w:noProof/>
        </w:rPr>
        <w:t>)</w:t>
      </w:r>
      <w:r w:rsidR="00E312C3" w:rsidRPr="00304F2D">
        <w:rPr>
          <w:rFonts w:ascii="Times New Roman" w:eastAsia="Cambria" w:hAnsi="Times New Roman" w:cs="Times New Roman"/>
        </w:rPr>
        <w:fldChar w:fldCharType="end"/>
      </w:r>
      <w:r w:rsidR="00957A58" w:rsidRPr="00304F2D">
        <w:rPr>
          <w:rFonts w:ascii="Times New Roman" w:eastAsia="Cambria" w:hAnsi="Times New Roman" w:cs="Times New Roman"/>
        </w:rPr>
        <w:t>.</w:t>
      </w:r>
      <w:r w:rsidR="00427645" w:rsidRPr="00304F2D">
        <w:rPr>
          <w:rFonts w:ascii="Times New Roman" w:eastAsia="Cambria" w:hAnsi="Times New Roman" w:cs="Times New Roman"/>
        </w:rPr>
        <w:t xml:space="preserve">  </w:t>
      </w:r>
    </w:p>
    <w:p w14:paraId="22BE45E2" w14:textId="62DE6205" w:rsidR="003819C2" w:rsidRPr="00304F2D" w:rsidRDefault="008E3718" w:rsidP="00C85DA4">
      <w:pPr>
        <w:spacing w:line="480" w:lineRule="auto"/>
        <w:ind w:firstLine="720"/>
        <w:rPr>
          <w:rFonts w:ascii="Times New Roman" w:eastAsia="Cambria" w:hAnsi="Times New Roman" w:cs="Times New Roman"/>
        </w:rPr>
      </w:pPr>
      <w:r w:rsidRPr="00304F2D">
        <w:rPr>
          <w:rFonts w:ascii="Times New Roman" w:eastAsia="Cambria" w:hAnsi="Times New Roman" w:cs="Times New Roman"/>
        </w:rPr>
        <w:t>There are two basic ways</w:t>
      </w:r>
      <w:r w:rsidR="00427645" w:rsidRPr="00304F2D">
        <w:rPr>
          <w:rFonts w:ascii="Times New Roman" w:eastAsia="Cambria" w:hAnsi="Times New Roman" w:cs="Times New Roman"/>
        </w:rPr>
        <w:t xml:space="preserve"> </w:t>
      </w:r>
      <w:r w:rsidR="00C85DA4" w:rsidRPr="00304F2D">
        <w:rPr>
          <w:rFonts w:ascii="Times New Roman" w:eastAsia="Cambria" w:hAnsi="Times New Roman" w:cs="Times New Roman"/>
        </w:rPr>
        <w:t xml:space="preserve">for non-profits </w:t>
      </w:r>
      <w:r w:rsidR="00427645" w:rsidRPr="00304F2D">
        <w:rPr>
          <w:rFonts w:ascii="Times New Roman" w:eastAsia="Cambria" w:hAnsi="Times New Roman" w:cs="Times New Roman"/>
        </w:rPr>
        <w:t xml:space="preserve">to increase </w:t>
      </w:r>
      <w:r w:rsidR="004C298E" w:rsidRPr="00304F2D">
        <w:rPr>
          <w:rFonts w:ascii="Times New Roman" w:eastAsia="Cambria" w:hAnsi="Times New Roman" w:cs="Times New Roman"/>
        </w:rPr>
        <w:t>revenue</w:t>
      </w:r>
      <w:r w:rsidR="00C85DA4" w:rsidRPr="00304F2D">
        <w:rPr>
          <w:rFonts w:ascii="Times New Roman" w:eastAsia="Cambria" w:hAnsi="Times New Roman" w:cs="Times New Roman"/>
        </w:rPr>
        <w:t xml:space="preserve"> raised from individuals</w:t>
      </w:r>
      <w:r w:rsidR="00CD5D0F" w:rsidRPr="00304F2D">
        <w:rPr>
          <w:rFonts w:ascii="Times New Roman" w:eastAsia="Cambria" w:hAnsi="Times New Roman" w:cs="Times New Roman"/>
        </w:rPr>
        <w:t>.</w:t>
      </w:r>
      <w:r w:rsidRPr="00304F2D">
        <w:rPr>
          <w:rFonts w:ascii="Times New Roman" w:eastAsia="Cambria" w:hAnsi="Times New Roman" w:cs="Times New Roman"/>
        </w:rPr>
        <w:t xml:space="preserve"> </w:t>
      </w:r>
      <w:r w:rsidR="00CD5D0F" w:rsidRPr="00304F2D">
        <w:rPr>
          <w:rFonts w:ascii="Times New Roman" w:eastAsia="Cambria" w:hAnsi="Times New Roman" w:cs="Times New Roman"/>
        </w:rPr>
        <w:t>T</w:t>
      </w:r>
      <w:r w:rsidRPr="00304F2D">
        <w:rPr>
          <w:rFonts w:ascii="Times New Roman" w:eastAsia="Cambria" w:hAnsi="Times New Roman" w:cs="Times New Roman"/>
        </w:rPr>
        <w:t>he first is</w:t>
      </w:r>
      <w:r w:rsidR="004C298E" w:rsidRPr="00304F2D">
        <w:rPr>
          <w:rFonts w:ascii="Times New Roman" w:eastAsia="Cambria" w:hAnsi="Times New Roman" w:cs="Times New Roman"/>
        </w:rPr>
        <w:t xml:space="preserve"> through </w:t>
      </w:r>
      <w:r w:rsidR="00C85DA4" w:rsidRPr="00304F2D">
        <w:rPr>
          <w:rFonts w:ascii="Times New Roman" w:eastAsia="Cambria" w:hAnsi="Times New Roman" w:cs="Times New Roman"/>
        </w:rPr>
        <w:t xml:space="preserve">increasing their </w:t>
      </w:r>
      <w:r w:rsidR="00427645" w:rsidRPr="00304F2D">
        <w:rPr>
          <w:rFonts w:ascii="Times New Roman" w:eastAsia="Cambria" w:hAnsi="Times New Roman" w:cs="Times New Roman"/>
        </w:rPr>
        <w:t>market penetration</w:t>
      </w:r>
      <w:r w:rsidR="00C85DA4" w:rsidRPr="00304F2D">
        <w:rPr>
          <w:rFonts w:ascii="Times New Roman" w:eastAsia="Cambria" w:hAnsi="Times New Roman" w:cs="Times New Roman"/>
        </w:rPr>
        <w:t>,</w:t>
      </w:r>
      <w:r w:rsidR="000F35D5" w:rsidRPr="00304F2D">
        <w:rPr>
          <w:rFonts w:ascii="Times New Roman" w:eastAsia="Cambria" w:hAnsi="Times New Roman" w:cs="Times New Roman"/>
        </w:rPr>
        <w:t xml:space="preserve"> </w:t>
      </w:r>
      <w:r w:rsidR="00C204D3" w:rsidRPr="00304F2D">
        <w:rPr>
          <w:rFonts w:ascii="Times New Roman" w:eastAsia="Cambria" w:hAnsi="Times New Roman" w:cs="Times New Roman"/>
        </w:rPr>
        <w:t>defined a</w:t>
      </w:r>
      <w:r w:rsidR="00AA1BF8" w:rsidRPr="00304F2D">
        <w:rPr>
          <w:rFonts w:ascii="Times New Roman" w:eastAsia="Cambria" w:hAnsi="Times New Roman" w:cs="Times New Roman"/>
        </w:rPr>
        <w:t>s the pr</w:t>
      </w:r>
      <w:r w:rsidR="007F0B59" w:rsidRPr="00304F2D">
        <w:rPr>
          <w:rFonts w:ascii="Times New Roman" w:eastAsia="Cambria" w:hAnsi="Times New Roman" w:cs="Times New Roman"/>
        </w:rPr>
        <w:t>oportion of the population providing s</w:t>
      </w:r>
      <w:r w:rsidR="00C204D3" w:rsidRPr="00304F2D">
        <w:rPr>
          <w:rFonts w:ascii="Times New Roman" w:eastAsia="Cambria" w:hAnsi="Times New Roman" w:cs="Times New Roman"/>
        </w:rPr>
        <w:t xml:space="preserve">upport to a non-profit </w:t>
      </w:r>
      <w:proofErr w:type="spellStart"/>
      <w:r w:rsidR="00A31F38" w:rsidRPr="00304F2D">
        <w:rPr>
          <w:rFonts w:ascii="Times New Roman" w:eastAsia="Cambria" w:hAnsi="Times New Roman" w:cs="Times New Roman"/>
        </w:rPr>
        <w:t>organis</w:t>
      </w:r>
      <w:r w:rsidR="00C85DA4" w:rsidRPr="00304F2D">
        <w:rPr>
          <w:rFonts w:ascii="Times New Roman" w:eastAsia="Cambria" w:hAnsi="Times New Roman" w:cs="Times New Roman"/>
        </w:rPr>
        <w:t>ation</w:t>
      </w:r>
      <w:proofErr w:type="spellEnd"/>
      <w:r w:rsidR="00C85DA4" w:rsidRPr="00304F2D">
        <w:rPr>
          <w:rFonts w:ascii="Times New Roman" w:eastAsia="Cambria" w:hAnsi="Times New Roman" w:cs="Times New Roman"/>
        </w:rPr>
        <w:t>. This definition of market penetration</w:t>
      </w:r>
      <w:r w:rsidR="00C204D3" w:rsidRPr="00304F2D">
        <w:rPr>
          <w:rFonts w:ascii="Times New Roman" w:eastAsia="Cambria" w:hAnsi="Times New Roman" w:cs="Times New Roman"/>
        </w:rPr>
        <w:t xml:space="preserve"> is adapted from the traditional definition of the proportion of the population who </w:t>
      </w:r>
      <w:r w:rsidR="00AA1BF8" w:rsidRPr="00304F2D">
        <w:rPr>
          <w:rFonts w:ascii="Times New Roman" w:eastAsia="Cambria" w:hAnsi="Times New Roman" w:cs="Times New Roman"/>
        </w:rPr>
        <w:t>buy an item at least once in the timeframe studi</w:t>
      </w:r>
      <w:r w:rsidR="00646C24" w:rsidRPr="00304F2D">
        <w:rPr>
          <w:rFonts w:ascii="Times New Roman" w:eastAsia="Cambria" w:hAnsi="Times New Roman" w:cs="Times New Roman"/>
        </w:rPr>
        <w:t xml:space="preserve">ed </w:t>
      </w:r>
      <w:r w:rsidR="00435644" w:rsidRPr="00304F2D">
        <w:rPr>
          <w:rFonts w:ascii="Times New Roman" w:eastAsia="Cambria" w:hAnsi="Times New Roman" w:cs="Times New Roman"/>
        </w:rPr>
        <w:fldChar w:fldCharType="begin"/>
      </w:r>
      <w:r w:rsidR="00382F99" w:rsidRPr="00304F2D">
        <w:rPr>
          <w:rFonts w:ascii="Times New Roman" w:eastAsia="Cambria" w:hAnsi="Times New Roman" w:cs="Times New Roman"/>
        </w:rPr>
        <w:instrText xml:space="preserve"> ADDIN EN.CITE &lt;EndNote&gt;&lt;Cite&gt;&lt;Author&gt;Ehrenberg&lt;/Author&gt;&lt;Year&gt;2004&lt;/Year&gt;&lt;RecNum&gt;7498&lt;/RecNum&gt;&lt;DisplayText&gt;(Ehrenberg, Uncles and Goodhardt, 2004)&lt;/DisplayText&gt;&lt;record&gt;&lt;rec-number&gt;7498&lt;/rec-number&gt;&lt;foreign-keys&gt;&lt;key app="EN" db-id="eswazv0p5wsezae2sd8pf59gf50trdav5fsw" timestamp="0"&gt;7498&lt;/key&gt;&lt;/foreign-keys&gt;&lt;ref-type name="Journal Article"&gt;17&lt;/ref-type&gt;&lt;contributors&gt;&lt;authors&gt;&lt;author&gt;Ehrenberg, Andrew&lt;/author&gt;&lt;author&gt;Uncles, Mark D&lt;/author&gt;&lt;author&gt;Goodhardt, Gerald G&lt;/author&gt;&lt;/authors&gt;&lt;/contributors&gt;&lt;titles&gt;&lt;title&gt;Understanding brand performance measures: Using Dirichlet benchmarks&lt;/title&gt;&lt;secondary-title&gt;Journal of Business Research&lt;/secondary-title&gt;&lt;/titles&gt;&lt;pages&gt;1307-1325&lt;/pages&gt;&lt;volume&gt;57&lt;/volume&gt;&lt;number&gt;12&lt;/number&gt;&lt;keywords&gt;&lt;keyword&gt;Dirichlet model&lt;/keyword&gt;&lt;keyword&gt;brand performance measures&lt;/keyword&gt;&lt;keyword&gt;brands&lt;/keyword&gt;&lt;/keywords&gt;&lt;dates&gt;&lt;year&gt;2004&lt;/year&gt;&lt;/dates&gt;&lt;label&gt;PDF&lt;/label&gt;&lt;urls&gt;&lt;/urls&gt;&lt;custom1&gt;pdf copy on server&lt;/custom1&gt;&lt;/record&gt;&lt;/Cite&gt;&lt;/EndNote&gt;</w:instrText>
      </w:r>
      <w:r w:rsidR="00435644" w:rsidRPr="00304F2D">
        <w:rPr>
          <w:rFonts w:ascii="Times New Roman" w:eastAsia="Cambria" w:hAnsi="Times New Roman" w:cs="Times New Roman"/>
        </w:rPr>
        <w:fldChar w:fldCharType="separate"/>
      </w:r>
      <w:r w:rsidR="007842E0" w:rsidRPr="00304F2D">
        <w:rPr>
          <w:rFonts w:ascii="Times New Roman" w:eastAsia="Cambria" w:hAnsi="Times New Roman" w:cs="Times New Roman"/>
          <w:noProof/>
        </w:rPr>
        <w:t>(</w:t>
      </w:r>
      <w:hyperlink w:anchor="_ENREF_28" w:tooltip="Ehrenberg, 2004 #7498" w:history="1">
        <w:r w:rsidR="00DA6B8D" w:rsidRPr="00304F2D">
          <w:rPr>
            <w:rFonts w:ascii="Times New Roman" w:eastAsia="Cambria" w:hAnsi="Times New Roman" w:cs="Times New Roman"/>
            <w:noProof/>
          </w:rPr>
          <w:t>Ehrenberg, Uncles and Goodhardt, 2004</w:t>
        </w:r>
      </w:hyperlink>
      <w:r w:rsidR="007842E0" w:rsidRPr="00304F2D">
        <w:rPr>
          <w:rFonts w:ascii="Times New Roman" w:eastAsia="Cambria" w:hAnsi="Times New Roman" w:cs="Times New Roman"/>
          <w:noProof/>
        </w:rPr>
        <w:t>)</w:t>
      </w:r>
      <w:r w:rsidR="00435644" w:rsidRPr="00304F2D">
        <w:rPr>
          <w:rFonts w:ascii="Times New Roman" w:eastAsia="Cambria" w:hAnsi="Times New Roman" w:cs="Times New Roman"/>
        </w:rPr>
        <w:fldChar w:fldCharType="end"/>
      </w:r>
      <w:r w:rsidR="00646C24" w:rsidRPr="00304F2D">
        <w:rPr>
          <w:rFonts w:ascii="Times New Roman" w:eastAsia="Cambria" w:hAnsi="Times New Roman" w:cs="Times New Roman"/>
        </w:rPr>
        <w:t>.</w:t>
      </w:r>
      <w:r w:rsidR="00141C3F" w:rsidRPr="00304F2D">
        <w:rPr>
          <w:rFonts w:ascii="Times New Roman" w:eastAsia="Cambria" w:hAnsi="Times New Roman" w:cs="Times New Roman"/>
        </w:rPr>
        <w:t xml:space="preserve"> </w:t>
      </w:r>
      <w:r w:rsidR="00026251" w:rsidRPr="00304F2D">
        <w:rPr>
          <w:rFonts w:ascii="Times New Roman" w:eastAsia="Cambria" w:hAnsi="Times New Roman" w:cs="Times New Roman"/>
        </w:rPr>
        <w:t xml:space="preserve"> </w:t>
      </w:r>
      <w:r w:rsidR="001423EA" w:rsidRPr="00304F2D">
        <w:rPr>
          <w:rFonts w:ascii="Times New Roman" w:hAnsi="Times New Roman" w:cs="Times New Roman"/>
        </w:rPr>
        <w:t xml:space="preserve">Another way to increase revenue is to </w:t>
      </w:r>
      <w:r w:rsidR="004C298E" w:rsidRPr="00304F2D">
        <w:rPr>
          <w:rFonts w:ascii="Times New Roman" w:hAnsi="Times New Roman" w:cs="Times New Roman"/>
        </w:rPr>
        <w:t>get existing supporters to donate more frequently.</w:t>
      </w:r>
      <w:r w:rsidR="00141C3F" w:rsidRPr="00304F2D">
        <w:rPr>
          <w:rFonts w:ascii="Times New Roman" w:hAnsi="Times New Roman" w:cs="Times New Roman"/>
        </w:rPr>
        <w:t xml:space="preserve"> The </w:t>
      </w:r>
      <w:r w:rsidR="00646C24" w:rsidRPr="00304F2D">
        <w:rPr>
          <w:rFonts w:ascii="Times New Roman" w:hAnsi="Times New Roman" w:cs="Times New Roman"/>
        </w:rPr>
        <w:t xml:space="preserve">distribution of how often an </w:t>
      </w:r>
      <w:r w:rsidR="003324FD" w:rsidRPr="00304F2D">
        <w:rPr>
          <w:rFonts w:ascii="Times New Roman" w:hAnsi="Times New Roman" w:cs="Times New Roman"/>
        </w:rPr>
        <w:t xml:space="preserve">individual </w:t>
      </w:r>
      <w:r w:rsidR="004C298E" w:rsidRPr="00304F2D">
        <w:rPr>
          <w:rFonts w:ascii="Times New Roman" w:hAnsi="Times New Roman" w:cs="Times New Roman"/>
        </w:rPr>
        <w:t>donates</w:t>
      </w:r>
      <w:r w:rsidR="003324FD" w:rsidRPr="00304F2D">
        <w:rPr>
          <w:rFonts w:ascii="Times New Roman" w:hAnsi="Times New Roman" w:cs="Times New Roman"/>
        </w:rPr>
        <w:t xml:space="preserve"> </w:t>
      </w:r>
      <w:r w:rsidR="004C298E" w:rsidRPr="00304F2D">
        <w:rPr>
          <w:rFonts w:ascii="Times New Roman" w:hAnsi="Times New Roman" w:cs="Times New Roman"/>
        </w:rPr>
        <w:t>can classif</w:t>
      </w:r>
      <w:r w:rsidR="000F35D5" w:rsidRPr="00304F2D">
        <w:rPr>
          <w:rFonts w:ascii="Times New Roman" w:hAnsi="Times New Roman" w:cs="Times New Roman"/>
        </w:rPr>
        <w:t>y</w:t>
      </w:r>
      <w:r w:rsidR="004C298E" w:rsidRPr="00304F2D">
        <w:rPr>
          <w:rFonts w:ascii="Times New Roman" w:hAnsi="Times New Roman" w:cs="Times New Roman"/>
        </w:rPr>
        <w:t xml:space="preserve"> them as</w:t>
      </w:r>
      <w:r w:rsidR="00646C24" w:rsidRPr="00304F2D">
        <w:rPr>
          <w:rFonts w:ascii="Times New Roman" w:hAnsi="Times New Roman" w:cs="Times New Roman"/>
        </w:rPr>
        <w:t xml:space="preserve"> ‘li</w:t>
      </w:r>
      <w:r w:rsidR="003324FD" w:rsidRPr="00304F2D">
        <w:rPr>
          <w:rFonts w:ascii="Times New Roman" w:hAnsi="Times New Roman" w:cs="Times New Roman"/>
        </w:rPr>
        <w:t xml:space="preserve">ght’ or ‘heavy’ based upon their frequency of </w:t>
      </w:r>
      <w:r w:rsidR="004C298E" w:rsidRPr="00304F2D">
        <w:rPr>
          <w:rFonts w:ascii="Times New Roman" w:hAnsi="Times New Roman" w:cs="Times New Roman"/>
        </w:rPr>
        <w:t>support</w:t>
      </w:r>
      <w:r w:rsidR="00646C24" w:rsidRPr="00304F2D">
        <w:rPr>
          <w:rFonts w:ascii="Times New Roman" w:hAnsi="Times New Roman" w:cs="Times New Roman"/>
        </w:rPr>
        <w:t>.</w:t>
      </w:r>
      <w:r w:rsidR="003324FD" w:rsidRPr="00304F2D">
        <w:rPr>
          <w:rFonts w:ascii="Times New Roman" w:hAnsi="Times New Roman" w:cs="Times New Roman"/>
        </w:rPr>
        <w:t xml:space="preserve">  </w:t>
      </w:r>
    </w:p>
    <w:p w14:paraId="75D0FFCE" w14:textId="507F5569" w:rsidR="004C298E" w:rsidRPr="00304F2D" w:rsidRDefault="003324FD" w:rsidP="00C85DA4">
      <w:pPr>
        <w:spacing w:line="480" w:lineRule="auto"/>
        <w:ind w:firstLine="720"/>
        <w:rPr>
          <w:rFonts w:ascii="Times New Roman" w:hAnsi="Times New Roman" w:cs="Times New Roman"/>
        </w:rPr>
      </w:pPr>
      <w:r w:rsidRPr="00304F2D">
        <w:rPr>
          <w:rFonts w:ascii="Times New Roman" w:hAnsi="Times New Roman" w:cs="Times New Roman"/>
        </w:rPr>
        <w:t xml:space="preserve">Consumer markets </w:t>
      </w:r>
      <w:r w:rsidR="004C298E" w:rsidRPr="00304F2D">
        <w:rPr>
          <w:rFonts w:ascii="Times New Roman" w:hAnsi="Times New Roman" w:cs="Times New Roman"/>
        </w:rPr>
        <w:t xml:space="preserve">have been shown to </w:t>
      </w:r>
      <w:r w:rsidRPr="00304F2D">
        <w:rPr>
          <w:rFonts w:ascii="Times New Roman" w:hAnsi="Times New Roman" w:cs="Times New Roman"/>
        </w:rPr>
        <w:t>compris</w:t>
      </w:r>
      <w:r w:rsidR="007F0B59" w:rsidRPr="00304F2D">
        <w:rPr>
          <w:rFonts w:ascii="Times New Roman" w:hAnsi="Times New Roman" w:cs="Times New Roman"/>
        </w:rPr>
        <w:t xml:space="preserve">e many ‘light’ individuals </w:t>
      </w:r>
      <w:r w:rsidRPr="00304F2D">
        <w:rPr>
          <w:rFonts w:ascii="Times New Roman" w:hAnsi="Times New Roman" w:cs="Times New Roman"/>
        </w:rPr>
        <w:t>buy</w:t>
      </w:r>
      <w:r w:rsidR="007F0B59" w:rsidRPr="00304F2D">
        <w:rPr>
          <w:rFonts w:ascii="Times New Roman" w:hAnsi="Times New Roman" w:cs="Times New Roman"/>
        </w:rPr>
        <w:t>ing</w:t>
      </w:r>
      <w:r w:rsidRPr="00304F2D">
        <w:rPr>
          <w:rFonts w:ascii="Times New Roman" w:hAnsi="Times New Roman" w:cs="Times New Roman"/>
        </w:rPr>
        <w:t xml:space="preserve"> the brand once or twice in the timeframe studied and relatively few ‘heavy’ buyers.  For instance, the U</w:t>
      </w:r>
      <w:r w:rsidR="00CD5D0F" w:rsidRPr="00304F2D">
        <w:rPr>
          <w:rFonts w:ascii="Times New Roman" w:hAnsi="Times New Roman" w:cs="Times New Roman"/>
        </w:rPr>
        <w:t>.</w:t>
      </w:r>
      <w:r w:rsidRPr="00304F2D">
        <w:rPr>
          <w:rFonts w:ascii="Times New Roman" w:hAnsi="Times New Roman" w:cs="Times New Roman"/>
        </w:rPr>
        <w:t>S</w:t>
      </w:r>
      <w:r w:rsidR="00CD5D0F" w:rsidRPr="00304F2D">
        <w:rPr>
          <w:rFonts w:ascii="Times New Roman" w:hAnsi="Times New Roman" w:cs="Times New Roman"/>
        </w:rPr>
        <w:t>.</w:t>
      </w:r>
      <w:r w:rsidRPr="00304F2D">
        <w:rPr>
          <w:rFonts w:ascii="Times New Roman" w:hAnsi="Times New Roman" w:cs="Times New Roman"/>
        </w:rPr>
        <w:t xml:space="preserve"> brand Folger </w:t>
      </w:r>
      <w:r w:rsidR="00CD5D0F" w:rsidRPr="00304F2D">
        <w:rPr>
          <w:rFonts w:ascii="Times New Roman" w:hAnsi="Times New Roman" w:cs="Times New Roman"/>
        </w:rPr>
        <w:t xml:space="preserve">sells </w:t>
      </w:r>
      <w:r w:rsidRPr="00304F2D">
        <w:rPr>
          <w:rFonts w:ascii="Times New Roman" w:hAnsi="Times New Roman" w:cs="Times New Roman"/>
        </w:rPr>
        <w:t>coffee</w:t>
      </w:r>
      <w:r w:rsidR="00141C3F" w:rsidRPr="00304F2D">
        <w:rPr>
          <w:rFonts w:ascii="Times New Roman" w:hAnsi="Times New Roman" w:cs="Times New Roman"/>
        </w:rPr>
        <w:t xml:space="preserve"> </w:t>
      </w:r>
      <w:r w:rsidR="00CD5D0F" w:rsidRPr="00304F2D">
        <w:rPr>
          <w:rFonts w:ascii="Times New Roman" w:hAnsi="Times New Roman" w:cs="Times New Roman"/>
        </w:rPr>
        <w:t xml:space="preserve">and </w:t>
      </w:r>
      <w:r w:rsidR="001B5E6D" w:rsidRPr="00304F2D">
        <w:rPr>
          <w:rFonts w:ascii="Times New Roman" w:hAnsi="Times New Roman" w:cs="Times New Roman"/>
        </w:rPr>
        <w:t xml:space="preserve">had an average annual purchase frequency of 3.2 times, </w:t>
      </w:r>
      <w:r w:rsidR="004C298E" w:rsidRPr="00304F2D">
        <w:rPr>
          <w:rFonts w:ascii="Times New Roman" w:hAnsi="Times New Roman" w:cs="Times New Roman"/>
        </w:rPr>
        <w:t xml:space="preserve">with as many as </w:t>
      </w:r>
      <w:r w:rsidR="001B5E6D" w:rsidRPr="00304F2D">
        <w:rPr>
          <w:rFonts w:ascii="Times New Roman" w:hAnsi="Times New Roman" w:cs="Times New Roman"/>
        </w:rPr>
        <w:t xml:space="preserve">half of the customer base </w:t>
      </w:r>
      <w:r w:rsidR="004C298E" w:rsidRPr="00304F2D">
        <w:rPr>
          <w:rFonts w:ascii="Times New Roman" w:hAnsi="Times New Roman" w:cs="Times New Roman"/>
        </w:rPr>
        <w:t xml:space="preserve">purchasing just </w:t>
      </w:r>
      <w:r w:rsidR="001B5E6D" w:rsidRPr="00304F2D">
        <w:rPr>
          <w:rFonts w:ascii="Times New Roman" w:hAnsi="Times New Roman" w:cs="Times New Roman"/>
        </w:rPr>
        <w:t xml:space="preserve">once </w:t>
      </w:r>
      <w:r w:rsidR="00EF4983" w:rsidRPr="00304F2D">
        <w:rPr>
          <w:rFonts w:ascii="Times New Roman" w:hAnsi="Times New Roman" w:cs="Times New Roman"/>
        </w:rPr>
        <w:t xml:space="preserve">and </w:t>
      </w:r>
      <w:r w:rsidR="004C298E" w:rsidRPr="00304F2D">
        <w:rPr>
          <w:rFonts w:ascii="Times New Roman" w:hAnsi="Times New Roman" w:cs="Times New Roman"/>
        </w:rPr>
        <w:t xml:space="preserve">only </w:t>
      </w:r>
      <w:r w:rsidR="00EF4983" w:rsidRPr="00304F2D">
        <w:rPr>
          <w:rFonts w:ascii="Times New Roman" w:hAnsi="Times New Roman" w:cs="Times New Roman"/>
        </w:rPr>
        <w:t xml:space="preserve">18% </w:t>
      </w:r>
      <w:r w:rsidR="004C298E" w:rsidRPr="00304F2D">
        <w:rPr>
          <w:rFonts w:ascii="Times New Roman" w:hAnsi="Times New Roman" w:cs="Times New Roman"/>
        </w:rPr>
        <w:t>purchasing</w:t>
      </w:r>
      <w:r w:rsidR="00EF4983" w:rsidRPr="00304F2D">
        <w:rPr>
          <w:rFonts w:ascii="Times New Roman" w:hAnsi="Times New Roman" w:cs="Times New Roman"/>
        </w:rPr>
        <w:t xml:space="preserve"> five </w:t>
      </w:r>
      <w:r w:rsidR="00EF4983" w:rsidRPr="00304F2D">
        <w:rPr>
          <w:rFonts w:ascii="Times New Roman" w:hAnsi="Times New Roman" w:cs="Times New Roman"/>
        </w:rPr>
        <w:lastRenderedPageBreak/>
        <w:t xml:space="preserve">or more times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&lt;EndNote&gt;&lt;Cite&gt;&lt;Author&gt;Ehrenberg&lt;/Author&gt;&lt;Year&gt;2004&lt;/Year&gt;&lt;RecNum&gt;7498&lt;/RecNum&gt;&lt;DisplayText&gt;(Ehrenberg, Uncles and Goodhardt, 2004)&lt;/DisplayText&gt;&lt;record&gt;&lt;rec-number&gt;7498&lt;/rec-number&gt;&lt;foreign-keys&gt;&lt;key app="EN" db-id="eswazv0p5wsezae2sd8pf59gf50trdav5fsw" timestamp="0"&gt;7498&lt;/key&gt;&lt;/foreign-keys&gt;&lt;ref-type name="Journal Article"&gt;17&lt;/ref-type&gt;&lt;contributors&gt;&lt;authors&gt;&lt;author&gt;Ehrenberg, Andrew&lt;/author&gt;&lt;author&gt;Uncles, Mark D&lt;/author&gt;&lt;author&gt;Goodhardt, Gerald G&lt;/author&gt;&lt;/authors&gt;&lt;/contributors&gt;&lt;titles&gt;&lt;title&gt;Understanding brand performance measures: Using Dirichlet benchmarks&lt;/title&gt;&lt;secondary-title&gt;Journal of Business Research&lt;/secondary-title&gt;&lt;/titles&gt;&lt;pages&gt;1307-1325&lt;/pages&gt;&lt;volume&gt;57&lt;/volume&gt;&lt;number&gt;12&lt;/number&gt;&lt;keywords&gt;&lt;keyword&gt;Dirichlet model&lt;/keyword&gt;&lt;keyword&gt;brand performance measures&lt;/keyword&gt;&lt;keyword&gt;brands&lt;/keyword&gt;&lt;/keywords&gt;&lt;dates&gt;&lt;year&gt;2004&lt;/year&gt;&lt;/dates&gt;&lt;label&gt;PDF&lt;/label&gt;&lt;urls&gt;&lt;/urls&gt;&lt;custom1&gt;pdf copy on server&lt;/custom1&gt;&lt;/record&gt;&lt;/Cite&gt;&lt;/EndNote&gt;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28" w:tooltip="Ehrenberg, 2004 #7498" w:history="1">
        <w:r w:rsidR="00DA6B8D" w:rsidRPr="00304F2D">
          <w:rPr>
            <w:rFonts w:ascii="Times New Roman" w:hAnsi="Times New Roman" w:cs="Times New Roman"/>
            <w:noProof/>
          </w:rPr>
          <w:t>Ehrenberg, Uncles and Goodhardt, 2004</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1B5E6D" w:rsidRPr="00304F2D">
        <w:rPr>
          <w:rFonts w:ascii="Times New Roman" w:hAnsi="Times New Roman" w:cs="Times New Roman"/>
        </w:rPr>
        <w:t xml:space="preserve">.  </w:t>
      </w:r>
      <w:r w:rsidR="00D5681E" w:rsidRPr="00304F2D">
        <w:rPr>
          <w:rFonts w:ascii="Times New Roman" w:hAnsi="Times New Roman" w:cs="Times New Roman"/>
        </w:rPr>
        <w:t xml:space="preserve">Using frequency levels to identify </w:t>
      </w:r>
      <w:r w:rsidR="00EF4983" w:rsidRPr="00304F2D">
        <w:rPr>
          <w:rFonts w:ascii="Times New Roman" w:hAnsi="Times New Roman" w:cs="Times New Roman"/>
        </w:rPr>
        <w:t xml:space="preserve">‘light’ buyers </w:t>
      </w:r>
      <w:r w:rsidR="00D5681E" w:rsidRPr="00304F2D">
        <w:rPr>
          <w:rFonts w:ascii="Times New Roman" w:hAnsi="Times New Roman" w:cs="Times New Roman"/>
        </w:rPr>
        <w:t xml:space="preserve">(once-only for coffee) and ‘heavy’ </w:t>
      </w:r>
      <w:r w:rsidR="00EF4983" w:rsidRPr="00304F2D">
        <w:rPr>
          <w:rFonts w:ascii="Times New Roman" w:hAnsi="Times New Roman" w:cs="Times New Roman"/>
        </w:rPr>
        <w:t xml:space="preserve">buyers </w:t>
      </w:r>
      <w:r w:rsidR="00D5681E" w:rsidRPr="00304F2D">
        <w:rPr>
          <w:rFonts w:ascii="Times New Roman" w:hAnsi="Times New Roman" w:cs="Times New Roman"/>
        </w:rPr>
        <w:t>(five plus times for coffee) shows</w:t>
      </w:r>
      <w:r w:rsidR="001B5E6D" w:rsidRPr="00304F2D">
        <w:rPr>
          <w:rFonts w:ascii="Times New Roman" w:hAnsi="Times New Roman" w:cs="Times New Roman"/>
        </w:rPr>
        <w:t xml:space="preserve"> the potential to increase </w:t>
      </w:r>
      <w:r w:rsidR="00D5681E" w:rsidRPr="00304F2D">
        <w:rPr>
          <w:rFonts w:ascii="Times New Roman" w:hAnsi="Times New Roman" w:cs="Times New Roman"/>
        </w:rPr>
        <w:t xml:space="preserve">sales.  </w:t>
      </w:r>
    </w:p>
    <w:p w14:paraId="049694AA" w14:textId="5174927D" w:rsidR="00427645" w:rsidRPr="00304F2D" w:rsidRDefault="0093752D" w:rsidP="001423EA">
      <w:pPr>
        <w:spacing w:line="480" w:lineRule="auto"/>
        <w:ind w:firstLine="720"/>
        <w:rPr>
          <w:rFonts w:ascii="Times New Roman" w:hAnsi="Times New Roman" w:cs="Times New Roman"/>
        </w:rPr>
      </w:pPr>
      <w:r w:rsidRPr="00304F2D">
        <w:rPr>
          <w:rFonts w:ascii="Times New Roman" w:hAnsi="Times New Roman" w:cs="Times New Roman"/>
        </w:rPr>
        <w:t>This paper examines the frequency levels of non-profit supporters to increase our understanding of the potential to increase support activities, specifically donating money or giving blood</w:t>
      </w:r>
      <w:r w:rsidR="009E3180" w:rsidRPr="00304F2D">
        <w:rPr>
          <w:rFonts w:ascii="Times New Roman" w:hAnsi="Times New Roman" w:cs="Times New Roman"/>
        </w:rPr>
        <w:t xml:space="preserve">. </w:t>
      </w:r>
      <w:r w:rsidR="00D5681E" w:rsidRPr="00304F2D">
        <w:rPr>
          <w:rFonts w:ascii="Times New Roman" w:hAnsi="Times New Roman" w:cs="Times New Roman"/>
        </w:rPr>
        <w:t>Non-profit supporters not only vary their frequency of giving support but also vary in the amounts they contribute.</w:t>
      </w:r>
      <w:r w:rsidR="004C298E" w:rsidRPr="00304F2D">
        <w:rPr>
          <w:rFonts w:ascii="Times New Roman" w:hAnsi="Times New Roman" w:cs="Times New Roman"/>
        </w:rPr>
        <w:t xml:space="preserve"> </w:t>
      </w:r>
      <w:r w:rsidR="00682C51" w:rsidRPr="00304F2D">
        <w:rPr>
          <w:rFonts w:ascii="Times New Roman" w:hAnsi="Times New Roman" w:cs="Times New Roman"/>
        </w:rPr>
        <w:t>Analysis of U</w:t>
      </w:r>
      <w:r w:rsidR="00CD5D0F" w:rsidRPr="00304F2D">
        <w:rPr>
          <w:rFonts w:ascii="Times New Roman" w:hAnsi="Times New Roman" w:cs="Times New Roman"/>
        </w:rPr>
        <w:t>.</w:t>
      </w:r>
      <w:r w:rsidR="00682C51" w:rsidRPr="00304F2D">
        <w:rPr>
          <w:rFonts w:ascii="Times New Roman" w:hAnsi="Times New Roman" w:cs="Times New Roman"/>
        </w:rPr>
        <w:t>S</w:t>
      </w:r>
      <w:r w:rsidR="00CD5D0F" w:rsidRPr="00304F2D">
        <w:rPr>
          <w:rFonts w:ascii="Times New Roman" w:hAnsi="Times New Roman" w:cs="Times New Roman"/>
        </w:rPr>
        <w:t>.</w:t>
      </w:r>
      <w:r w:rsidR="00682C51" w:rsidRPr="00304F2D">
        <w:rPr>
          <w:rFonts w:ascii="Times New Roman" w:hAnsi="Times New Roman" w:cs="Times New Roman"/>
        </w:rPr>
        <w:t xml:space="preserve"> donations from over 980,000 online donors shows the correlation </w:t>
      </w:r>
      <w:r w:rsidR="001423EA" w:rsidRPr="00304F2D">
        <w:rPr>
          <w:rFonts w:ascii="Times New Roman" w:hAnsi="Times New Roman" w:cs="Times New Roman"/>
        </w:rPr>
        <w:t>between an individual’s</w:t>
      </w:r>
      <w:r w:rsidR="00682C51" w:rsidRPr="00304F2D">
        <w:rPr>
          <w:rFonts w:ascii="Times New Roman" w:hAnsi="Times New Roman" w:cs="Times New Roman"/>
        </w:rPr>
        <w:t xml:space="preserve"> frequency of suppo</w:t>
      </w:r>
      <w:r w:rsidR="003D0896" w:rsidRPr="00304F2D">
        <w:rPr>
          <w:rFonts w:ascii="Times New Roman" w:hAnsi="Times New Roman" w:cs="Times New Roman"/>
        </w:rPr>
        <w:t>rt and their annual contribution</w:t>
      </w:r>
      <w:r w:rsidR="00CD5D0F" w:rsidRPr="00304F2D">
        <w:rPr>
          <w:rFonts w:ascii="Times New Roman" w:hAnsi="Times New Roman" w:cs="Times New Roman"/>
        </w:rPr>
        <w:t>.</w:t>
      </w:r>
      <w:r w:rsidR="00682C51" w:rsidRPr="00304F2D">
        <w:rPr>
          <w:rFonts w:ascii="Times New Roman" w:hAnsi="Times New Roman" w:cs="Times New Roman"/>
        </w:rPr>
        <w:t xml:space="preserve"> </w:t>
      </w:r>
      <w:r w:rsidR="00CD5D0F" w:rsidRPr="00304F2D">
        <w:rPr>
          <w:rFonts w:ascii="Times New Roman" w:hAnsi="Times New Roman" w:cs="Times New Roman"/>
        </w:rPr>
        <w:t>O</w:t>
      </w:r>
      <w:r w:rsidR="003D0896" w:rsidRPr="00304F2D">
        <w:rPr>
          <w:rFonts w:ascii="Times New Roman" w:hAnsi="Times New Roman" w:cs="Times New Roman"/>
        </w:rPr>
        <w:t>ver 940,000 individuals</w:t>
      </w:r>
      <w:r w:rsidR="00682C51" w:rsidRPr="00304F2D">
        <w:rPr>
          <w:rFonts w:ascii="Times New Roman" w:hAnsi="Times New Roman" w:cs="Times New Roman"/>
        </w:rPr>
        <w:t xml:space="preserve"> </w:t>
      </w:r>
      <w:r w:rsidR="003D0896" w:rsidRPr="00304F2D">
        <w:rPr>
          <w:rFonts w:ascii="Times New Roman" w:hAnsi="Times New Roman" w:cs="Times New Roman"/>
        </w:rPr>
        <w:t>donat</w:t>
      </w:r>
      <w:r w:rsidR="00CD5D0F" w:rsidRPr="00304F2D">
        <w:rPr>
          <w:rFonts w:ascii="Times New Roman" w:hAnsi="Times New Roman" w:cs="Times New Roman"/>
        </w:rPr>
        <w:t>ed</w:t>
      </w:r>
      <w:r w:rsidR="00682C51" w:rsidRPr="00304F2D">
        <w:rPr>
          <w:rFonts w:ascii="Times New Roman" w:hAnsi="Times New Roman" w:cs="Times New Roman"/>
        </w:rPr>
        <w:t xml:space="preserve"> 1-4 times a year </w:t>
      </w:r>
      <w:r w:rsidR="003D0896" w:rsidRPr="00304F2D">
        <w:rPr>
          <w:rFonts w:ascii="Times New Roman" w:hAnsi="Times New Roman" w:cs="Times New Roman"/>
        </w:rPr>
        <w:t xml:space="preserve">with a median yearly </w:t>
      </w:r>
      <w:r w:rsidR="00CD5D0F" w:rsidRPr="00304F2D">
        <w:rPr>
          <w:rFonts w:ascii="Times New Roman" w:hAnsi="Times New Roman" w:cs="Times New Roman"/>
        </w:rPr>
        <w:t xml:space="preserve">amount </w:t>
      </w:r>
      <w:r w:rsidR="003D0896" w:rsidRPr="00304F2D">
        <w:rPr>
          <w:rFonts w:ascii="Times New Roman" w:hAnsi="Times New Roman" w:cs="Times New Roman"/>
        </w:rPr>
        <w:t>of $50 compared to 19</w:t>
      </w:r>
      <w:r w:rsidR="00CD5D0F" w:rsidRPr="00304F2D">
        <w:rPr>
          <w:rFonts w:ascii="Times New Roman" w:hAnsi="Times New Roman" w:cs="Times New Roman"/>
        </w:rPr>
        <w:t>,</w:t>
      </w:r>
      <w:r w:rsidR="003D0896" w:rsidRPr="00304F2D">
        <w:rPr>
          <w:rFonts w:ascii="Times New Roman" w:hAnsi="Times New Roman" w:cs="Times New Roman"/>
        </w:rPr>
        <w:t xml:space="preserve">800 individuals </w:t>
      </w:r>
      <w:r w:rsidR="00731668" w:rsidRPr="00304F2D">
        <w:rPr>
          <w:rFonts w:ascii="Times New Roman" w:hAnsi="Times New Roman" w:cs="Times New Roman"/>
        </w:rPr>
        <w:t>donating</w:t>
      </w:r>
      <w:r w:rsidR="00682C51" w:rsidRPr="00304F2D">
        <w:rPr>
          <w:rFonts w:ascii="Times New Roman" w:hAnsi="Times New Roman" w:cs="Times New Roman"/>
        </w:rPr>
        <w:t xml:space="preserve"> 5-9 times and </w:t>
      </w:r>
      <w:r w:rsidR="006E38E4" w:rsidRPr="00304F2D">
        <w:rPr>
          <w:rFonts w:ascii="Times New Roman" w:hAnsi="Times New Roman" w:cs="Times New Roman"/>
        </w:rPr>
        <w:t xml:space="preserve">a median yearly </w:t>
      </w:r>
      <w:r w:rsidR="00CD5D0F" w:rsidRPr="00304F2D">
        <w:rPr>
          <w:rFonts w:ascii="Times New Roman" w:hAnsi="Times New Roman" w:cs="Times New Roman"/>
        </w:rPr>
        <w:t>amount</w:t>
      </w:r>
      <w:r w:rsidR="006E38E4" w:rsidRPr="00304F2D">
        <w:rPr>
          <w:rFonts w:ascii="Times New Roman" w:hAnsi="Times New Roman" w:cs="Times New Roman"/>
        </w:rPr>
        <w:t xml:space="preserve"> of </w:t>
      </w:r>
      <w:r w:rsidR="00682C51" w:rsidRPr="00304F2D">
        <w:rPr>
          <w:rFonts w:ascii="Times New Roman" w:hAnsi="Times New Roman" w:cs="Times New Roman"/>
        </w:rPr>
        <w:t>$</w:t>
      </w:r>
      <w:r w:rsidR="003D0896" w:rsidRPr="00304F2D">
        <w:rPr>
          <w:rFonts w:ascii="Times New Roman" w:hAnsi="Times New Roman" w:cs="Times New Roman"/>
        </w:rPr>
        <w:t>250</w:t>
      </w:r>
      <w:r w:rsidR="00682C51" w:rsidRPr="00304F2D">
        <w:rPr>
          <w:rFonts w:ascii="Times New Roman" w:hAnsi="Times New Roman" w:cs="Times New Roman"/>
        </w:rPr>
        <w:t xml:space="preserve">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&lt;EndNote&gt;&lt;Cite&gt;&lt;Author&gt;Myers&lt;/Author&gt;&lt;Year&gt;2015&lt;/Year&gt;&lt;RecNum&gt;29861&lt;/RecNum&gt;&lt;DisplayText&gt;(Myers, Stiffman and Giorgi, 2015)&lt;/DisplayText&gt;&lt;record&gt;&lt;rec-number&gt;29861&lt;/rec-number&gt;&lt;foreign-keys&gt;&lt;key app="EN" db-id="eswazv0p5wsezae2sd8pf59gf50trdav5fsw" timestamp="0"&gt;29861&lt;/key&gt;&lt;/foreign-keys&gt;&lt;ref-type name="Web Page"&gt;12&lt;/ref-type&gt;&lt;contributors&gt;&lt;authors&gt;&lt;author&gt;Myers, Meredith&lt;/author&gt;&lt;author&gt;Stiffman, Eden&lt;/author&gt;&lt;author&gt;Giorgi, Ariana&lt;/author&gt;&lt;/authors&gt;&lt;/contributors&gt;&lt;titles&gt;&lt;title&gt;Online giving trends&lt;/title&gt;&lt;/titles&gt;&lt;dates&gt;&lt;year&gt;2015&lt;/year&gt;&lt;pub-dates&gt;&lt;date&gt;November 20&lt;/date&gt;&lt;/pub-dates&gt;&lt;/dates&gt;&lt;pub-location&gt;Washington, DC&lt;/pub-location&gt;&lt;publisher&gt;The Chronicle of Philanthropy&lt;/publisher&gt;&lt;urls&gt;&lt;related-urls&gt;&lt;url&gt;https://philanthropy.com/interactives/online-giving-dashboardcid=pw&amp;amp;utm_source=pw&amp;amp;utm_medium=en&amp;amp;elq=6bc0e0a792544bbb8b84e16eec862c16&amp;amp;elqCampaignId=1923&amp;amp;elqaid=7020&amp;amp;elqat=1&amp;amp;elqTrackId=436a65706cd1405c9d105ce1b90ad773&lt;/url&gt;&lt;/related-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46" w:tooltip="Myers, 2015 #29861" w:history="1">
        <w:r w:rsidR="00DA6B8D" w:rsidRPr="00304F2D">
          <w:rPr>
            <w:rFonts w:ascii="Times New Roman" w:hAnsi="Times New Roman" w:cs="Times New Roman"/>
            <w:noProof/>
          </w:rPr>
          <w:t>Myers, Stiffman and Giorgi, 2015</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682C51" w:rsidRPr="00304F2D">
        <w:rPr>
          <w:rFonts w:ascii="Times New Roman" w:hAnsi="Times New Roman" w:cs="Times New Roman"/>
        </w:rPr>
        <w:t xml:space="preserve">. </w:t>
      </w:r>
      <w:r w:rsidR="001423EA" w:rsidRPr="00304F2D">
        <w:rPr>
          <w:rFonts w:ascii="Times New Roman" w:hAnsi="Times New Roman" w:cs="Times New Roman"/>
        </w:rPr>
        <w:t xml:space="preserve">Hence, </w:t>
      </w:r>
      <w:r w:rsidR="00682C51" w:rsidRPr="00304F2D">
        <w:rPr>
          <w:rFonts w:ascii="Times New Roman" w:hAnsi="Times New Roman" w:cs="Times New Roman"/>
        </w:rPr>
        <w:t xml:space="preserve">many non-profits </w:t>
      </w:r>
      <w:r w:rsidR="00600B9C" w:rsidRPr="00304F2D">
        <w:rPr>
          <w:rFonts w:ascii="Times New Roman" w:hAnsi="Times New Roman" w:cs="Times New Roman"/>
        </w:rPr>
        <w:t>focus on</w:t>
      </w:r>
      <w:r w:rsidR="00682C51" w:rsidRPr="00304F2D">
        <w:rPr>
          <w:rFonts w:ascii="Times New Roman" w:hAnsi="Times New Roman" w:cs="Times New Roman"/>
        </w:rPr>
        <w:t xml:space="preserve"> increasing loyalty </w:t>
      </w:r>
      <w:r w:rsidR="00600B9C" w:rsidRPr="00304F2D">
        <w:rPr>
          <w:rFonts w:ascii="Times New Roman" w:hAnsi="Times New Roman" w:cs="Times New Roman"/>
        </w:rPr>
        <w:t>in order to</w:t>
      </w:r>
      <w:r w:rsidR="00682C51" w:rsidRPr="00304F2D">
        <w:rPr>
          <w:rFonts w:ascii="Times New Roman" w:hAnsi="Times New Roman" w:cs="Times New Roman"/>
        </w:rPr>
        <w:t xml:space="preserve"> benefit from higher donations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&lt;EndNote&gt;&lt;Cite&gt;&lt;Author&gt;O&amp;apos;Reilly&lt;/Author&gt;&lt;Year&gt;2012&lt;/Year&gt;&lt;RecNum&gt;26530&lt;/RecNum&gt;&lt;DisplayText&gt;(O&amp;apos;Reilly&lt;style face="italic"&gt; et al.&lt;/style&gt;, 2012)&lt;/DisplayText&gt;&lt;record&gt;&lt;rec-number&gt;26530&lt;/rec-number&gt;&lt;foreign-keys&gt;&lt;key app="EN" db-id="eswazv0p5wsezae2sd8pf59gf50trdav5fsw" timestamp="0"&gt;26530&lt;/key&gt;&lt;/foreign-keys&gt;&lt;ref-type name="Journal Article"&gt;17&lt;/ref-type&gt;&lt;contributors&gt;&lt;authors&gt;&lt;author&gt;O&amp;apos;Reilly, Norm&lt;/author&gt;&lt;author&gt;Ayer, Steven&lt;/author&gt;&lt;author&gt;Pegoraro, Ann&lt;/author&gt;&lt;author&gt;Leonard, Bridget&lt;/author&gt;&lt;author&gt;Rundle-Thiele, Sharyn&lt;/author&gt;&lt;/authors&gt;&lt;/contributors&gt;&lt;titles&gt;&lt;title&gt;Toward an Understanding of Donor Loyalty: Demographics, Personality, Persuasion, and Revenue&lt;/title&gt;&lt;secondary-title&gt;Journal of Nonprofit &amp;amp; Public Sector Marketing&lt;/secondary-title&gt;&lt;/titles&gt;&lt;pages&gt;65-81&lt;/pages&gt;&lt;volume&gt;24&lt;/volume&gt;&lt;number&gt;1&lt;/number&gt;&lt;dates&gt;&lt;year&gt;2012&lt;/year&gt;&lt;/dates&gt;&lt;publisher&gt;Taylor &amp;amp; Francis&lt;/publisher&gt;&lt;isbn&gt;1049-5142&lt;/isbn&gt;&lt;urls&gt;&lt;/urls&gt;&lt;/record&gt;&lt;/Cite&gt;&lt;/EndNote&gt;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47" w:tooltip="O'Reilly, 2012 #26530" w:history="1">
        <w:r w:rsidR="00DA6B8D" w:rsidRPr="00304F2D">
          <w:rPr>
            <w:rFonts w:ascii="Times New Roman" w:hAnsi="Times New Roman" w:cs="Times New Roman"/>
            <w:noProof/>
          </w:rPr>
          <w:t>O'Reilly</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2012</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682C51" w:rsidRPr="00304F2D">
        <w:rPr>
          <w:rFonts w:ascii="Times New Roman" w:hAnsi="Times New Roman" w:cs="Times New Roman"/>
        </w:rPr>
        <w:t xml:space="preserve">. </w:t>
      </w:r>
    </w:p>
    <w:p w14:paraId="2EB9AB0E" w14:textId="3831094F" w:rsidR="0076786A" w:rsidRPr="00304F2D" w:rsidRDefault="007F0B59" w:rsidP="0076786A">
      <w:pPr>
        <w:spacing w:line="480" w:lineRule="auto"/>
        <w:ind w:firstLine="720"/>
        <w:rPr>
          <w:rFonts w:ascii="Times New Roman" w:hAnsi="Times New Roman" w:cs="Times New Roman"/>
        </w:rPr>
      </w:pPr>
      <w:r w:rsidRPr="00304F2D">
        <w:rPr>
          <w:rFonts w:ascii="Times New Roman" w:hAnsi="Times New Roman" w:cs="Times New Roman"/>
        </w:rPr>
        <w:t xml:space="preserve">However, research shows </w:t>
      </w:r>
      <w:r w:rsidR="00682C51" w:rsidRPr="00304F2D">
        <w:rPr>
          <w:rFonts w:ascii="Times New Roman" w:hAnsi="Times New Roman" w:cs="Times New Roman"/>
        </w:rPr>
        <w:t xml:space="preserve">those giving once-a-year have a reduced level of responsiveness to requests </w:t>
      </w:r>
      <w:r w:rsidR="00CD5D0F" w:rsidRPr="00304F2D">
        <w:rPr>
          <w:rFonts w:ascii="Times New Roman" w:hAnsi="Times New Roman" w:cs="Times New Roman"/>
        </w:rPr>
        <w:t>for</w:t>
      </w:r>
      <w:r w:rsidR="00682C51" w:rsidRPr="00304F2D">
        <w:rPr>
          <w:rFonts w:ascii="Times New Roman" w:hAnsi="Times New Roman" w:cs="Times New Roman"/>
        </w:rPr>
        <w:t xml:space="preserve"> further supp</w:t>
      </w:r>
      <w:r w:rsidRPr="00304F2D">
        <w:rPr>
          <w:rFonts w:ascii="Times New Roman" w:hAnsi="Times New Roman" w:cs="Times New Roman"/>
        </w:rPr>
        <w:t>ort compared to supporters providing</w:t>
      </w:r>
      <w:r w:rsidR="00682C51" w:rsidRPr="00304F2D">
        <w:rPr>
          <w:rFonts w:ascii="Times New Roman" w:hAnsi="Times New Roman" w:cs="Times New Roman"/>
        </w:rPr>
        <w:t xml:space="preserve"> multiple-gifts each year </w:t>
      </w:r>
      <w:r w:rsidR="00682C51"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&lt;EndNote&gt;&lt;Cite&gt;&lt;Author&gt;Shen&lt;/Author&gt;&lt;Year&gt;2010&lt;/Year&gt;&lt;RecNum&gt;26673&lt;/RecNum&gt;&lt;DisplayText&gt;(Shen and Tsai, 2010)&lt;/DisplayText&gt;&lt;record&gt;&lt;rec-number&gt;26673&lt;/rec-number&gt;&lt;foreign-keys&gt;&lt;key app="EN" db-id="eswazv0p5wsezae2sd8pf59gf50trdav5fsw" timest</w:instrText>
      </w:r>
      <w:r w:rsidR="00382F99" w:rsidRPr="00304F2D">
        <w:rPr>
          <w:rFonts w:ascii="Times New Roman" w:hAnsi="Times New Roman" w:cs="Times New Roman" w:hint="eastAsia"/>
        </w:rPr>
        <w:instrText>amp="0"&gt;26673&lt;/key&gt;&lt;/foreign-keys&gt;&lt;ref-type name="Journal Article"&gt;17&lt;/ref-type&gt;&lt;contributors&gt;&lt;authors&gt;&lt;author&gt;Shen, Anyuan&lt;/author&gt;&lt;author&gt;Tsai, Chih</w:instrText>
      </w:r>
      <w:r w:rsidR="00382F99" w:rsidRPr="00304F2D">
        <w:rPr>
          <w:rFonts w:ascii="Times New Roman" w:hAnsi="Times New Roman" w:cs="Times New Roman" w:hint="eastAsia"/>
        </w:rPr>
        <w:instrText>‐</w:instrText>
      </w:r>
      <w:r w:rsidR="00382F99" w:rsidRPr="00304F2D">
        <w:rPr>
          <w:rFonts w:ascii="Times New Roman" w:hAnsi="Times New Roman" w:cs="Times New Roman" w:hint="eastAsia"/>
        </w:rPr>
        <w:instrText>Yang&lt;/author&gt;&lt;/authors&gt;&lt;/contributors&gt;&lt;titles&gt;&lt;title&gt;Are single</w:instrText>
      </w:r>
      <w:r w:rsidR="00382F99" w:rsidRPr="00304F2D">
        <w:rPr>
          <w:rFonts w:ascii="Times New Roman" w:hAnsi="Times New Roman" w:cs="Times New Roman" w:hint="eastAsia"/>
        </w:rPr>
        <w:instrText>‐</w:instrText>
      </w:r>
      <w:r w:rsidR="00382F99" w:rsidRPr="00304F2D">
        <w:rPr>
          <w:rFonts w:ascii="Times New Roman" w:hAnsi="Times New Roman" w:cs="Times New Roman" w:hint="eastAsia"/>
        </w:rPr>
        <w:instrText>gift committed donors different from their multiple</w:instrText>
      </w:r>
      <w:r w:rsidR="00382F99" w:rsidRPr="00304F2D">
        <w:rPr>
          <w:rFonts w:ascii="Times New Roman" w:hAnsi="Times New Roman" w:cs="Times New Roman" w:hint="eastAsia"/>
        </w:rPr>
        <w:instrText>‐</w:instrText>
      </w:r>
      <w:r w:rsidR="00382F99" w:rsidRPr="00304F2D">
        <w:rPr>
          <w:rFonts w:ascii="Times New Roman" w:hAnsi="Times New Roman" w:cs="Times New Roman" w:hint="eastAsia"/>
        </w:rPr>
        <w:instrText xml:space="preserve">gift counterparts?&lt;/title&gt;&lt;secondary-title&gt;International Journal of Nonprofit and Voluntary Sector Marketing&lt;/secondary-title&gt;&lt;/titles&gt;&lt;pages&gt;253-264&lt;/pages&gt;&lt;volume&gt;15&lt;/volume&gt;&lt;number&gt;3&lt;/number&gt;&lt;dates&gt;&lt;year&gt;2010&lt;/year&gt;&lt;/dates&gt;&lt;publisher&gt;Wiley </w:instrText>
      </w:r>
      <w:r w:rsidR="00382F99" w:rsidRPr="00304F2D">
        <w:rPr>
          <w:rFonts w:ascii="Times New Roman" w:hAnsi="Times New Roman" w:cs="Times New Roman"/>
        </w:rPr>
        <w:instrText>Online Library&lt;/publisher&gt;&lt;isbn&gt;1479-103X&lt;/isbn&gt;&lt;urls&gt;&lt;/urls&gt;&lt;/record&gt;&lt;/Cite&gt;&lt;/EndNote&gt;</w:instrText>
      </w:r>
      <w:r w:rsidR="00682C51" w:rsidRPr="00304F2D">
        <w:rPr>
          <w:rFonts w:ascii="Times New Roman" w:hAnsi="Times New Roman" w:cs="Times New Roman"/>
        </w:rPr>
        <w:fldChar w:fldCharType="separate"/>
      </w:r>
      <w:r w:rsidR="00682C51" w:rsidRPr="00304F2D">
        <w:rPr>
          <w:rFonts w:ascii="Times New Roman" w:hAnsi="Times New Roman" w:cs="Times New Roman"/>
          <w:noProof/>
        </w:rPr>
        <w:t>(</w:t>
      </w:r>
      <w:hyperlink w:anchor="_ENREF_56" w:tooltip="Shen, 2010 #26673" w:history="1">
        <w:r w:rsidR="00DA6B8D" w:rsidRPr="00304F2D">
          <w:rPr>
            <w:rFonts w:ascii="Times New Roman" w:hAnsi="Times New Roman" w:cs="Times New Roman"/>
            <w:noProof/>
          </w:rPr>
          <w:t>Shen and Tsai, 2010</w:t>
        </w:r>
      </w:hyperlink>
      <w:r w:rsidR="00682C51" w:rsidRPr="00304F2D">
        <w:rPr>
          <w:rFonts w:ascii="Times New Roman" w:hAnsi="Times New Roman" w:cs="Times New Roman"/>
          <w:noProof/>
        </w:rPr>
        <w:t>)</w:t>
      </w:r>
      <w:r w:rsidR="00682C51" w:rsidRPr="00304F2D">
        <w:rPr>
          <w:rFonts w:ascii="Times New Roman" w:hAnsi="Times New Roman" w:cs="Times New Roman"/>
        </w:rPr>
        <w:fldChar w:fldCharType="end"/>
      </w:r>
      <w:r w:rsidR="009E3180" w:rsidRPr="00304F2D">
        <w:rPr>
          <w:rFonts w:ascii="Times New Roman" w:hAnsi="Times New Roman" w:cs="Times New Roman"/>
        </w:rPr>
        <w:t>.</w:t>
      </w:r>
      <w:r w:rsidR="00682C51" w:rsidRPr="00304F2D">
        <w:rPr>
          <w:rFonts w:ascii="Times New Roman" w:hAnsi="Times New Roman" w:cs="Times New Roman"/>
        </w:rPr>
        <w:t xml:space="preserve"> </w:t>
      </w:r>
      <w:r w:rsidR="00284C1F">
        <w:rPr>
          <w:rFonts w:ascii="Times New Roman" w:hAnsi="Times New Roman" w:cs="Times New Roman"/>
        </w:rPr>
        <w:t>For example, a</w:t>
      </w:r>
      <w:r w:rsidR="00682C51" w:rsidRPr="00304F2D">
        <w:rPr>
          <w:rFonts w:ascii="Times New Roman" w:hAnsi="Times New Roman" w:cs="Times New Roman"/>
        </w:rPr>
        <w:t xml:space="preserve">n excessive volume of detail sent about a charity can lead to </w:t>
      </w:r>
      <w:r w:rsidR="00142ADD" w:rsidRPr="00304F2D">
        <w:rPr>
          <w:rFonts w:ascii="Times New Roman" w:hAnsi="Times New Roman" w:cs="Times New Roman"/>
        </w:rPr>
        <w:t>a negative attitude to further giving, and risk</w:t>
      </w:r>
      <w:r w:rsidR="00CD5D0F" w:rsidRPr="00304F2D">
        <w:rPr>
          <w:rFonts w:ascii="Times New Roman" w:hAnsi="Times New Roman" w:cs="Times New Roman"/>
        </w:rPr>
        <w:t>s</w:t>
      </w:r>
      <w:r w:rsidR="00142ADD" w:rsidRPr="00304F2D">
        <w:rPr>
          <w:rFonts w:ascii="Times New Roman" w:hAnsi="Times New Roman" w:cs="Times New Roman"/>
        </w:rPr>
        <w:t xml:space="preserve"> </w:t>
      </w:r>
      <w:r w:rsidR="00342210" w:rsidRPr="00304F2D">
        <w:rPr>
          <w:rFonts w:ascii="Times New Roman" w:hAnsi="Times New Roman" w:cs="Times New Roman"/>
        </w:rPr>
        <w:t xml:space="preserve">donor </w:t>
      </w:r>
      <w:r w:rsidR="00682C51" w:rsidRPr="00304F2D">
        <w:rPr>
          <w:rFonts w:ascii="Times New Roman" w:hAnsi="Times New Roman" w:cs="Times New Roman"/>
        </w:rPr>
        <w:t>support switch</w:t>
      </w:r>
      <w:r w:rsidR="00142ADD" w:rsidRPr="00304F2D">
        <w:rPr>
          <w:rFonts w:ascii="Times New Roman" w:hAnsi="Times New Roman" w:cs="Times New Roman"/>
        </w:rPr>
        <w:t>ing</w:t>
      </w:r>
      <w:r w:rsidR="00682C51" w:rsidRPr="00304F2D">
        <w:rPr>
          <w:rFonts w:ascii="Times New Roman" w:hAnsi="Times New Roman" w:cs="Times New Roman"/>
        </w:rPr>
        <w:t xml:space="preserve"> to another </w:t>
      </w:r>
      <w:proofErr w:type="spellStart"/>
      <w:r w:rsidR="00682C51" w:rsidRPr="00304F2D">
        <w:rPr>
          <w:rFonts w:ascii="Times New Roman" w:hAnsi="Times New Roman" w:cs="Times New Roman"/>
        </w:rPr>
        <w:t>organisation</w:t>
      </w:r>
      <w:proofErr w:type="spellEnd"/>
      <w:r w:rsidR="00682C51" w:rsidRPr="00304F2D">
        <w:rPr>
          <w:rFonts w:ascii="Times New Roman" w:hAnsi="Times New Roman" w:cs="Times New Roman"/>
        </w:rPr>
        <w:t xml:space="preserve"> </w:t>
      </w:r>
      <w:r w:rsidR="00682C51"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&lt;EndNote&gt;&lt;Cite&gt;&lt;Author&gt;Bennett&lt;/Author&gt;&lt;Year&gt;2009&lt;/Year&gt;&lt;RecNum&gt;22472&lt;/RecNum&gt;&lt;DisplayText&gt;(Bennett, 2009)&lt;/DisplayText&gt;&lt;record&gt;&lt;rec-number&gt;22472&lt;/rec-number&gt;&lt;foreign-keys&gt;&lt;key app="EN" db-id="eswazv0p5wsezae2sd8pf59gf50trdav5fsw" timestamp="0"&gt;22472&lt;/key&gt;&lt;/foreign-keys&gt;&lt;ref-type name="Journal Article"&gt;17&lt;/ref-type&gt;&lt;contributors&gt;&lt;authors&gt;&lt;author&gt;Bennett, R.&lt;/author&gt;&lt;/authors&gt;&lt;/contributors&gt;&lt;titles&gt;&lt;title&gt;Factors influencing donation switching behaviour among charity supporters: an empirical investigation&lt;/title&gt;&lt;secondary-title&gt;Journal of Customer Behaviour&lt;/secondary-title&gt;&lt;/titles&gt;&lt;pages&gt;329-345&lt;/pages&gt;&lt;volume&gt;8&lt;/volume&gt;&lt;number&gt;4&lt;/number&gt;&lt;dates&gt;&lt;year&gt;2009&lt;/year&gt;&lt;/dates&gt;&lt;publisher&gt;Westburn Publishers Ltd&lt;/publisher&gt;&lt;isbn&gt;1475-3928&lt;/isbn&gt;&lt;urls&gt;&lt;/urls&gt;&lt;/record&gt;&lt;/Cite&gt;&lt;/EndNote&gt;</w:instrText>
      </w:r>
      <w:r w:rsidR="00682C51" w:rsidRPr="00304F2D">
        <w:rPr>
          <w:rFonts w:ascii="Times New Roman" w:hAnsi="Times New Roman" w:cs="Times New Roman"/>
        </w:rPr>
        <w:fldChar w:fldCharType="separate"/>
      </w:r>
      <w:r w:rsidR="00682C51" w:rsidRPr="00304F2D">
        <w:rPr>
          <w:rFonts w:ascii="Times New Roman" w:hAnsi="Times New Roman" w:cs="Times New Roman"/>
          <w:noProof/>
        </w:rPr>
        <w:t>(</w:t>
      </w:r>
      <w:hyperlink w:anchor="_ENREF_14" w:tooltip="Bennett, 2009 #22472" w:history="1">
        <w:r w:rsidR="00DA6B8D" w:rsidRPr="00304F2D">
          <w:rPr>
            <w:rFonts w:ascii="Times New Roman" w:hAnsi="Times New Roman" w:cs="Times New Roman"/>
            <w:noProof/>
          </w:rPr>
          <w:t>Bennett, 2009</w:t>
        </w:r>
      </w:hyperlink>
      <w:r w:rsidR="00682C51" w:rsidRPr="00304F2D">
        <w:rPr>
          <w:rFonts w:ascii="Times New Roman" w:hAnsi="Times New Roman" w:cs="Times New Roman"/>
          <w:noProof/>
        </w:rPr>
        <w:t>)</w:t>
      </w:r>
      <w:r w:rsidR="00682C51" w:rsidRPr="00304F2D">
        <w:rPr>
          <w:rFonts w:ascii="Times New Roman" w:hAnsi="Times New Roman" w:cs="Times New Roman"/>
        </w:rPr>
        <w:fldChar w:fldCharType="end"/>
      </w:r>
      <w:r w:rsidR="00247D6D" w:rsidRPr="00304F2D">
        <w:rPr>
          <w:rFonts w:ascii="Times New Roman" w:hAnsi="Times New Roman" w:cs="Times New Roman"/>
        </w:rPr>
        <w:t>. Results suggest</w:t>
      </w:r>
      <w:r w:rsidR="00682C51" w:rsidRPr="00304F2D">
        <w:rPr>
          <w:rFonts w:ascii="Times New Roman" w:hAnsi="Times New Roman" w:cs="Times New Roman"/>
        </w:rPr>
        <w:t xml:space="preserve"> any further marketing efforts</w:t>
      </w:r>
      <w:r w:rsidRPr="00304F2D">
        <w:rPr>
          <w:rFonts w:ascii="Times New Roman" w:hAnsi="Times New Roman" w:cs="Times New Roman"/>
        </w:rPr>
        <w:t xml:space="preserve"> to</w:t>
      </w:r>
      <w:r w:rsidR="00682C51" w:rsidRPr="00304F2D">
        <w:rPr>
          <w:rFonts w:ascii="Times New Roman" w:hAnsi="Times New Roman" w:cs="Times New Roman"/>
        </w:rPr>
        <w:t xml:space="preserve"> </w:t>
      </w:r>
      <w:r w:rsidRPr="00304F2D">
        <w:rPr>
          <w:rFonts w:ascii="Times New Roman" w:hAnsi="Times New Roman" w:cs="Times New Roman"/>
        </w:rPr>
        <w:t xml:space="preserve">donors </w:t>
      </w:r>
      <w:r w:rsidR="009314D2">
        <w:rPr>
          <w:rFonts w:ascii="Times New Roman" w:hAnsi="Times New Roman" w:cs="Times New Roman"/>
        </w:rPr>
        <w:t>regularly giving</w:t>
      </w:r>
      <w:r w:rsidRPr="00304F2D">
        <w:rPr>
          <w:rFonts w:ascii="Times New Roman" w:hAnsi="Times New Roman" w:cs="Times New Roman"/>
        </w:rPr>
        <w:t xml:space="preserve"> once-a-year </w:t>
      </w:r>
      <w:r w:rsidR="00682C51" w:rsidRPr="00304F2D">
        <w:rPr>
          <w:rFonts w:ascii="Times New Roman" w:hAnsi="Times New Roman" w:cs="Times New Roman"/>
        </w:rPr>
        <w:t xml:space="preserve">will at best be wasted and at worst will reduce their propensity to provide any further support. </w:t>
      </w:r>
      <w:r w:rsidR="0076786A" w:rsidRPr="00304F2D">
        <w:rPr>
          <w:rFonts w:ascii="Times New Roman" w:hAnsi="Times New Roman" w:cs="Times New Roman"/>
        </w:rPr>
        <w:t xml:space="preserve"> </w:t>
      </w:r>
    </w:p>
    <w:p w14:paraId="2306E6CF" w14:textId="6B00EC56" w:rsidR="00C85DA4" w:rsidRPr="00304F2D" w:rsidRDefault="0076786A" w:rsidP="0076786A">
      <w:pPr>
        <w:spacing w:line="480" w:lineRule="auto"/>
        <w:ind w:firstLine="720"/>
        <w:rPr>
          <w:rFonts w:ascii="Times New Roman" w:hAnsi="Times New Roman" w:cs="Times New Roman"/>
        </w:rPr>
      </w:pPr>
      <w:r w:rsidRPr="00304F2D">
        <w:rPr>
          <w:rFonts w:ascii="Times New Roman" w:hAnsi="Times New Roman" w:cs="Times New Roman"/>
        </w:rPr>
        <w:t xml:space="preserve">Solicitation plays a major role in charitable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&lt;EndNote&gt;&lt;Cite&gt;&lt;Author&gt;Bekkers&lt;/Author&gt;&lt;Year&gt;2011&lt;/Year&gt;&lt;RecNum&gt;20912&lt;/RecNum&gt;&lt;DisplayText&gt;(Bekkers and Wiepking, 2011)&lt;/DisplayText&gt;&lt;record&gt;&lt;rec-number&gt;20912&lt;/rec-number&gt;&lt;foreign-keys&gt;&lt;key app="EN" db-id="eswazv0p5wsezae2sd8pf59gf50trdav5fsw" timestamp="0"&gt;20912&lt;/key&gt;&lt;/foreign-keys&gt;&lt;ref-type name="Journal Article"&gt;17&lt;/ref-type&gt;&lt;contributors&gt;&lt;authors&gt;&lt;author&gt;Bekkers, René&lt;/author&gt;&lt;author&gt;Wiepking, Pamala&lt;/author&gt;&lt;/authors&gt;&lt;/contributors&gt;&lt;titles&gt;&lt;title&gt;A Literature Review of Empirical Studies of Philanthropy: Eight Mechanisms That Drive Charitable Giving&lt;/title&gt;&lt;secondary-title&gt;Nonprofit and Voluntary Sector Quarterly&lt;/secondary-title&gt;&lt;/titles&gt;&lt;pages&gt;924-973&lt;/pages&gt;&lt;volume&gt;40&lt;/volume&gt;&lt;number&gt;5&lt;/number&gt;&lt;dates&gt;&lt;year&gt;2011&lt;/year&gt;&lt;/dates&gt;&lt;label&gt;pdf&lt;/label&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13" w:tooltip="Bekkers, 2011 #20912" w:history="1">
        <w:r w:rsidR="00DA6B8D" w:rsidRPr="00304F2D">
          <w:rPr>
            <w:rFonts w:ascii="Times New Roman" w:hAnsi="Times New Roman" w:cs="Times New Roman"/>
            <w:noProof/>
          </w:rPr>
          <w:t>Bekkers and Wiepking, 2011</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The fundraising sector is </w:t>
      </w:r>
      <w:proofErr w:type="spellStart"/>
      <w:r w:rsidRPr="00304F2D">
        <w:rPr>
          <w:rFonts w:ascii="Times New Roman" w:hAnsi="Times New Roman" w:cs="Times New Roman"/>
        </w:rPr>
        <w:t>criticised</w:t>
      </w:r>
      <w:proofErr w:type="spellEnd"/>
      <w:r w:rsidRPr="00304F2D">
        <w:rPr>
          <w:rFonts w:ascii="Times New Roman" w:hAnsi="Times New Roman" w:cs="Times New Roman"/>
        </w:rPr>
        <w:t xml:space="preserve"> for being too focused on wasteful acquisition, with even successful acquisition efforts plagued </w:t>
      </w:r>
      <w:r w:rsidR="00F73E33">
        <w:rPr>
          <w:rFonts w:ascii="Times New Roman" w:hAnsi="Times New Roman" w:cs="Times New Roman"/>
        </w:rPr>
        <w:t>by</w:t>
      </w:r>
      <w:r w:rsidR="00F73E33" w:rsidRPr="00304F2D">
        <w:rPr>
          <w:rFonts w:ascii="Times New Roman" w:hAnsi="Times New Roman" w:cs="Times New Roman"/>
        </w:rPr>
        <w:t xml:space="preserve"> </w:t>
      </w:r>
      <w:r w:rsidRPr="00304F2D">
        <w:rPr>
          <w:rFonts w:ascii="Times New Roman" w:hAnsi="Times New Roman" w:cs="Times New Roman"/>
        </w:rPr>
        <w:t>the loss of half of the cash supporters between the first and second donation</w:t>
      </w:r>
      <w:r w:rsidR="00247D6D" w:rsidRPr="00304F2D">
        <w:rPr>
          <w:rFonts w:ascii="Times New Roman" w:hAnsi="Times New Roman" w:cs="Times New Roman"/>
        </w:rPr>
        <w:t>,</w:t>
      </w:r>
      <w:r w:rsidRPr="00304F2D">
        <w:rPr>
          <w:rFonts w:ascii="Times New Roman" w:hAnsi="Times New Roman" w:cs="Times New Roman"/>
        </w:rPr>
        <w:t xml:space="preserve"> </w:t>
      </w:r>
      <w:r w:rsidR="007F0B59" w:rsidRPr="00304F2D">
        <w:rPr>
          <w:rFonts w:ascii="Times New Roman" w:hAnsi="Times New Roman" w:cs="Times New Roman"/>
        </w:rPr>
        <w:t xml:space="preserve">double </w:t>
      </w:r>
      <w:r w:rsidRPr="00304F2D">
        <w:rPr>
          <w:rFonts w:ascii="Times New Roman" w:hAnsi="Times New Roman" w:cs="Times New Roman"/>
        </w:rPr>
        <w:t xml:space="preserve">the annual attrition rates </w:t>
      </w:r>
      <w:r w:rsidR="00247D6D" w:rsidRPr="00304F2D">
        <w:rPr>
          <w:rFonts w:ascii="Times New Roman" w:hAnsi="Times New Roman" w:cs="Times New Roman"/>
        </w:rPr>
        <w:t>common</w:t>
      </w:r>
      <w:r w:rsidR="006F5F44" w:rsidRPr="00304F2D">
        <w:rPr>
          <w:rFonts w:ascii="Times New Roman" w:hAnsi="Times New Roman" w:cs="Times New Roman"/>
        </w:rPr>
        <w:t>ly shown</w:t>
      </w:r>
      <w:r w:rsidR="00247D6D" w:rsidRPr="00304F2D">
        <w:rPr>
          <w:rFonts w:ascii="Times New Roman" w:hAnsi="Times New Roman" w:cs="Times New Roman"/>
        </w:rPr>
        <w:t xml:space="preserve"> for </w:t>
      </w:r>
      <w:r w:rsidRPr="00304F2D">
        <w:rPr>
          <w:rFonts w:ascii="Times New Roman" w:hAnsi="Times New Roman" w:cs="Times New Roman"/>
        </w:rPr>
        <w:t xml:space="preserve">supporters </w:t>
      </w:r>
      <w:r w:rsidR="007F0B59" w:rsidRPr="00304F2D">
        <w:rPr>
          <w:rFonts w:ascii="Times New Roman" w:hAnsi="Times New Roman" w:cs="Times New Roman"/>
        </w:rPr>
        <w:t>regularly giving</w:t>
      </w:r>
      <w:r w:rsidRPr="00304F2D">
        <w:rPr>
          <w:rFonts w:ascii="Times New Roman" w:hAnsi="Times New Roman" w:cs="Times New Roman"/>
        </w:rPr>
        <w:t xml:space="preserve"> monthly donations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&lt;EndNote&gt;&lt;Cite&gt;&lt;Author&gt;Sargeant&lt;/Author&gt;&lt;Year&gt;2011&lt;/Year&gt;&lt;RecNum&gt;26534&lt;/RecNum&gt;&lt;DisplayText&gt;(Sargeant and Shang, 2011)&lt;/DisplayText&gt;&lt;record&gt;&lt;rec-number&gt;26534&lt;/rec-number&gt;&lt;foreign-keys&gt;&lt;key app="EN" db-id="eswazv0p5wsezae2sd8pf59gf50trdav5fsw" timestamp="0"&gt;26534&lt;/key&gt;&lt;/foreign-keys&gt;&lt;ref-type name="Report"&gt;27&lt;/ref-type&gt;&lt;contributors&gt;&lt;authors&gt;&lt;author&gt;Sargeant, Adrian&lt;/author&gt;&lt;author&gt;Shang, Jen&lt;/author&gt;&lt;/authors&gt;&lt;tertiary-authors&gt;&lt;author&gt;16&lt;/author&gt;&lt;/tertiary-authors&gt;&lt;/contributors&gt;&lt;titles&gt;&lt;title&gt;Growing Philanthropy in the United Kingdom&lt;/title&gt;&lt;secondary-title&gt;A Report on the July 2011 Growing Philanthropy Summit&lt;/secondary-title&gt;&lt;/titles&gt;&lt;dates&gt;&lt;year&gt;2011&lt;/year&gt;&lt;/dates&gt;&lt;pub-location&gt;Online&lt;/pub-location&gt;&lt;publisher&gt;Institute of Fundraising and Bristol University of West England&lt;/publisher&gt;&lt;urls&gt;&lt;/urls&gt;&lt;/record&gt;&lt;/Cite&gt;&lt;/EndNote&gt;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53" w:tooltip="Sargeant, 2011 #26534" w:history="1">
        <w:r w:rsidR="00DA6B8D" w:rsidRPr="00304F2D">
          <w:rPr>
            <w:rFonts w:ascii="Times New Roman" w:hAnsi="Times New Roman" w:cs="Times New Roman"/>
            <w:noProof/>
          </w:rPr>
          <w:t>Sargeant and Shang, 2011</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w:t>
      </w:r>
    </w:p>
    <w:p w14:paraId="2A5A6378" w14:textId="77A1448F" w:rsidR="00C85DA4" w:rsidRPr="00304F2D" w:rsidRDefault="00247D6D" w:rsidP="00C85DA4">
      <w:pPr>
        <w:spacing w:line="480" w:lineRule="auto"/>
        <w:ind w:firstLine="720"/>
        <w:rPr>
          <w:rFonts w:ascii="Times New Roman" w:hAnsi="Times New Roman" w:cs="Times New Roman"/>
        </w:rPr>
      </w:pPr>
      <w:r w:rsidRPr="00304F2D">
        <w:rPr>
          <w:rFonts w:ascii="Times New Roman" w:hAnsi="Times New Roman" w:cs="Times New Roman"/>
        </w:rPr>
        <w:lastRenderedPageBreak/>
        <w:t>Hence,</w:t>
      </w:r>
      <w:r w:rsidR="00C85DA4" w:rsidRPr="00304F2D">
        <w:rPr>
          <w:rFonts w:ascii="Times New Roman" w:hAnsi="Times New Roman" w:cs="Times New Roman"/>
        </w:rPr>
        <w:t xml:space="preserve"> two groups are of particular interest </w:t>
      </w:r>
      <w:r w:rsidR="007F0B59" w:rsidRPr="00304F2D">
        <w:rPr>
          <w:rFonts w:ascii="Times New Roman" w:hAnsi="Times New Roman" w:cs="Times New Roman"/>
        </w:rPr>
        <w:t xml:space="preserve">in donor research </w:t>
      </w:r>
      <w:r w:rsidR="00C85DA4" w:rsidRPr="00304F2D">
        <w:rPr>
          <w:rFonts w:ascii="Times New Roman" w:hAnsi="Times New Roman" w:cs="Times New Roman"/>
        </w:rPr>
        <w:t>to determine resource allocation</w:t>
      </w:r>
      <w:r w:rsidR="007714F9">
        <w:rPr>
          <w:rFonts w:ascii="Times New Roman" w:hAnsi="Times New Roman" w:cs="Times New Roman"/>
        </w:rPr>
        <w:t>:</w:t>
      </w:r>
      <w:r w:rsidR="00C85DA4" w:rsidRPr="00304F2D">
        <w:rPr>
          <w:rFonts w:ascii="Times New Roman" w:hAnsi="Times New Roman" w:cs="Times New Roman"/>
        </w:rPr>
        <w:t xml:space="preserve"> new donors and frequent donors. The classification of ‘frequent’ or ‘heavy’ donors is determined by looking at the distribution of how frequently support is given, i.e. </w:t>
      </w:r>
      <w:r w:rsidRPr="00304F2D">
        <w:rPr>
          <w:rFonts w:ascii="Times New Roman" w:hAnsi="Times New Roman" w:cs="Times New Roman"/>
        </w:rPr>
        <w:t>classification</w:t>
      </w:r>
      <w:r w:rsidR="00C85DA4" w:rsidRPr="00304F2D">
        <w:rPr>
          <w:rFonts w:ascii="Times New Roman" w:hAnsi="Times New Roman" w:cs="Times New Roman"/>
        </w:rPr>
        <w:t xml:space="preserve"> is relative and will vary across different types of support </w:t>
      </w:r>
      <w:proofErr w:type="spellStart"/>
      <w:r w:rsidR="00C85DA4" w:rsidRPr="00304F2D">
        <w:rPr>
          <w:rFonts w:ascii="Times New Roman" w:hAnsi="Times New Roman" w:cs="Times New Roman"/>
        </w:rPr>
        <w:t>behaviour</w:t>
      </w:r>
      <w:proofErr w:type="spellEnd"/>
      <w:r w:rsidR="00C85DA4" w:rsidRPr="00304F2D">
        <w:rPr>
          <w:rFonts w:ascii="Times New Roman" w:hAnsi="Times New Roman" w:cs="Times New Roman"/>
        </w:rPr>
        <w:t>. We explore how many new donors beco</w:t>
      </w:r>
      <w:r w:rsidRPr="00304F2D">
        <w:rPr>
          <w:rFonts w:ascii="Times New Roman" w:hAnsi="Times New Roman" w:cs="Times New Roman"/>
        </w:rPr>
        <w:t>me frequent donors, and how the proportion of frequent donors</w:t>
      </w:r>
      <w:r w:rsidR="00C85DA4" w:rsidRPr="00304F2D">
        <w:rPr>
          <w:rFonts w:ascii="Times New Roman" w:hAnsi="Times New Roman" w:cs="Times New Roman"/>
        </w:rPr>
        <w:t xml:space="preserve"> varies when overall donations increase or dec</w:t>
      </w:r>
      <w:r w:rsidR="006F5F44" w:rsidRPr="00304F2D">
        <w:rPr>
          <w:rFonts w:ascii="Times New Roman" w:hAnsi="Times New Roman" w:cs="Times New Roman"/>
        </w:rPr>
        <w:t xml:space="preserve">rease. </w:t>
      </w:r>
      <w:r w:rsidR="00C85DA4" w:rsidRPr="00304F2D">
        <w:rPr>
          <w:rFonts w:ascii="Times New Roman" w:hAnsi="Times New Roman" w:cs="Times New Roman"/>
        </w:rPr>
        <w:t xml:space="preserve">The second group, frequent donors, is of particular interest to non-profits due to the volume of support they provide. We examine the stability of frequent support </w:t>
      </w:r>
      <w:proofErr w:type="spellStart"/>
      <w:r w:rsidR="00C85DA4" w:rsidRPr="00304F2D">
        <w:rPr>
          <w:rFonts w:ascii="Times New Roman" w:hAnsi="Times New Roman" w:cs="Times New Roman"/>
        </w:rPr>
        <w:t>behaviour</w:t>
      </w:r>
      <w:proofErr w:type="spellEnd"/>
      <w:r w:rsidR="00C85DA4" w:rsidRPr="00304F2D">
        <w:rPr>
          <w:rFonts w:ascii="Times New Roman" w:hAnsi="Times New Roman" w:cs="Times New Roman"/>
        </w:rPr>
        <w:t xml:space="preserve">, by drawing on two multi-year databases, one from a health related charity in the U.S., the second from the Red Cross Blood donation service in Australia.  </w:t>
      </w:r>
    </w:p>
    <w:p w14:paraId="014F6396" w14:textId="5858D4E2" w:rsidR="00D537C7" w:rsidRPr="00304F2D" w:rsidRDefault="00C85DA4" w:rsidP="00D537C7">
      <w:pPr>
        <w:spacing w:line="480" w:lineRule="auto"/>
        <w:ind w:firstLine="720"/>
        <w:rPr>
          <w:rFonts w:ascii="Times New Roman" w:hAnsi="Times New Roman" w:cs="Times New Roman"/>
        </w:rPr>
      </w:pPr>
      <w:r w:rsidRPr="00304F2D">
        <w:rPr>
          <w:rFonts w:ascii="Times New Roman" w:hAnsi="Times New Roman" w:cs="Times New Roman"/>
        </w:rPr>
        <w:t xml:space="preserve">This research focuses on longitudinal patterns in actual donor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to examine cohort patterns over time, </w:t>
      </w:r>
      <w:r w:rsidR="006F5F44" w:rsidRPr="00304F2D">
        <w:rPr>
          <w:rFonts w:ascii="Times New Roman" w:hAnsi="Times New Roman" w:cs="Times New Roman"/>
        </w:rPr>
        <w:t>rather than cross-</w:t>
      </w:r>
      <w:proofErr w:type="spellStart"/>
      <w:r w:rsidR="006F5F44" w:rsidRPr="00304F2D">
        <w:rPr>
          <w:rFonts w:ascii="Times New Roman" w:hAnsi="Times New Roman" w:cs="Times New Roman"/>
        </w:rPr>
        <w:t>sectionally</w:t>
      </w:r>
      <w:proofErr w:type="spellEnd"/>
      <w:r w:rsidR="006F5F44" w:rsidRPr="00304F2D">
        <w:rPr>
          <w:rFonts w:ascii="Times New Roman" w:hAnsi="Times New Roman" w:cs="Times New Roman"/>
        </w:rPr>
        <w:t xml:space="preserve">. </w:t>
      </w:r>
      <w:r w:rsidR="002462C6" w:rsidRPr="00304F2D">
        <w:rPr>
          <w:rFonts w:ascii="Times New Roman" w:hAnsi="Times New Roman" w:cs="Times New Roman"/>
        </w:rPr>
        <w:t>It</w:t>
      </w:r>
      <w:r w:rsidRPr="00304F2D">
        <w:rPr>
          <w:rFonts w:ascii="Times New Roman" w:hAnsi="Times New Roman" w:cs="Times New Roman"/>
        </w:rPr>
        <w:t xml:space="preserve"> deals with two very different types of donor </w:t>
      </w:r>
      <w:proofErr w:type="spellStart"/>
      <w:r w:rsidRPr="00304F2D">
        <w:rPr>
          <w:rFonts w:ascii="Times New Roman" w:hAnsi="Times New Roman" w:cs="Times New Roman"/>
        </w:rPr>
        <w:t>behaviour</w:t>
      </w:r>
      <w:proofErr w:type="spellEnd"/>
      <w:r w:rsidRPr="00304F2D">
        <w:rPr>
          <w:rFonts w:ascii="Times New Roman" w:hAnsi="Times New Roman" w:cs="Times New Roman"/>
        </w:rPr>
        <w:t>,</w:t>
      </w:r>
      <w:r w:rsidR="002462C6" w:rsidRPr="00304F2D">
        <w:rPr>
          <w:rFonts w:ascii="Times New Roman" w:hAnsi="Times New Roman" w:cs="Times New Roman"/>
        </w:rPr>
        <w:t xml:space="preserve"> th</w:t>
      </w:r>
      <w:r w:rsidR="006F5F44" w:rsidRPr="00304F2D">
        <w:rPr>
          <w:rFonts w:ascii="Times New Roman" w:hAnsi="Times New Roman" w:cs="Times New Roman"/>
        </w:rPr>
        <w:t xml:space="preserve">e giving of blood and money. Drawing on </w:t>
      </w:r>
      <w:r w:rsidRPr="00304F2D">
        <w:rPr>
          <w:rFonts w:ascii="Times New Roman" w:hAnsi="Times New Roman" w:cs="Times New Roman"/>
        </w:rPr>
        <w:t xml:space="preserve">knowledge from examining longitudinal buying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for repeat purchase products </w:t>
      </w:r>
      <w:r w:rsidR="006F5F44" w:rsidRPr="00304F2D">
        <w:rPr>
          <w:rFonts w:ascii="Times New Roman" w:hAnsi="Times New Roman" w:cs="Times New Roman"/>
        </w:rPr>
        <w:t xml:space="preserve">provides a framework for analysis. </w:t>
      </w:r>
      <w:r w:rsidRPr="00304F2D">
        <w:rPr>
          <w:rFonts w:ascii="Times New Roman" w:hAnsi="Times New Roman" w:cs="Times New Roman"/>
        </w:rPr>
        <w:t xml:space="preserve">This approach allows us to treat donor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as a differentiated extension to prior knowledge, and understand the degree to which consumer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towards non-profits differs from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towards commercial </w:t>
      </w:r>
      <w:proofErr w:type="spellStart"/>
      <w:r w:rsidRPr="00304F2D">
        <w:rPr>
          <w:rFonts w:ascii="Times New Roman" w:hAnsi="Times New Roman" w:cs="Times New Roman"/>
        </w:rPr>
        <w:t>organisations</w:t>
      </w:r>
      <w:proofErr w:type="spellEnd"/>
      <w:r w:rsidRPr="00304F2D">
        <w:rPr>
          <w:rFonts w:ascii="Times New Roman" w:hAnsi="Times New Roman" w:cs="Times New Roman"/>
        </w:rPr>
        <w:t>.</w:t>
      </w:r>
      <w:r w:rsidR="00675F57" w:rsidRPr="00304F2D">
        <w:rPr>
          <w:rFonts w:ascii="Times New Roman" w:hAnsi="Times New Roman" w:cs="Times New Roman"/>
        </w:rPr>
        <w:t xml:space="preserve"> Taking a differentiated extension</w:t>
      </w:r>
      <w:r w:rsidRPr="00304F2D">
        <w:rPr>
          <w:rFonts w:ascii="Times New Roman" w:hAnsi="Times New Roman" w:cs="Times New Roman"/>
        </w:rPr>
        <w:t xml:space="preserve"> approach advances marketing theory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&lt;EndNote&gt;&lt;Cite&gt;&lt;Author&gt;Uncles&lt;/Author&gt;&lt;Year&gt;2004&lt;/Year&gt;&lt;RecNum&gt;12676&lt;/RecNum&gt;&lt;DisplayText&gt;(Uncles and Wright, 2004)&lt;/DisplayText&gt;&lt;record&gt;&lt;rec-number&gt;12676&lt;/rec-number&gt;&lt;foreign-keys&gt;&lt;key app="EN" db-id="eswazv0p5wsezae2sd8pf59gf50trdav5fsw" timestamp="0"&gt;12676&lt;/key&gt;&lt;/foreign-keys&gt;&lt;ref-type name="Journal Article"&gt;17&lt;/ref-type&gt;&lt;contributors&gt;&lt;authors&gt;&lt;author&gt;Uncles, Mark D&lt;/author&gt;&lt;author&gt;Wright, Malcolm&lt;/author&gt;&lt;/authors&gt;&lt;/contributors&gt;&lt;titles&gt;&lt;title&gt;Editorial: empirical generalisation in marketing&lt;/title&gt;&lt;secondary-title&gt;Australasian Marketing Journal&lt;/secondary-title&gt;&lt;/titles&gt;&lt;pages&gt;5-12&lt;/pages&gt;&lt;volume&gt;12&lt;/volume&gt;&lt;number&gt;3&lt;/number&gt;&lt;keywords&gt;&lt;keyword&gt;Empirical generalisation, Replication, Scope, Boundary conditions&lt;/keyword&gt;&lt;/keywords&gt;&lt;dates&gt;&lt;year&gt;2004&lt;/year&gt;&lt;/dates&gt;&lt;label&gt;PDF&lt;/label&gt;&lt;work-type&gt;Editorial&lt;/work-type&gt;&lt;urls&gt;&lt;/urls&gt;&lt;/record&gt;&lt;/Cite&gt;&lt;/EndNote&gt;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61" w:tooltip="Uncles, 2004 #12676" w:history="1">
        <w:r w:rsidR="00DA6B8D" w:rsidRPr="00304F2D">
          <w:rPr>
            <w:rFonts w:ascii="Times New Roman" w:hAnsi="Times New Roman" w:cs="Times New Roman"/>
            <w:noProof/>
          </w:rPr>
          <w:t>Uncles and Wright, 2004</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w:t>
      </w:r>
      <w:r w:rsidR="002462C6" w:rsidRPr="00304F2D">
        <w:rPr>
          <w:rFonts w:ascii="Times New Roman" w:hAnsi="Times New Roman" w:cs="Times New Roman"/>
        </w:rPr>
        <w:t xml:space="preserve">  </w:t>
      </w:r>
    </w:p>
    <w:p w14:paraId="002123C0" w14:textId="3EDD71F9" w:rsidR="00505924" w:rsidRPr="00304F2D" w:rsidRDefault="00D537C7" w:rsidP="00505924">
      <w:pPr>
        <w:spacing w:line="480" w:lineRule="auto"/>
        <w:ind w:firstLine="720"/>
        <w:rPr>
          <w:rFonts w:ascii="Times New Roman" w:hAnsi="Times New Roman" w:cs="Times New Roman"/>
        </w:rPr>
      </w:pPr>
      <w:r w:rsidRPr="00304F2D">
        <w:rPr>
          <w:rFonts w:ascii="Times New Roman" w:hAnsi="Times New Roman" w:cs="Times New Roman"/>
        </w:rPr>
        <w:t>The main contribution of this paper is to provide a</w:t>
      </w:r>
      <w:r w:rsidR="002462C6" w:rsidRPr="00304F2D">
        <w:rPr>
          <w:rFonts w:ascii="Times New Roman" w:hAnsi="Times New Roman" w:cs="Times New Roman"/>
        </w:rPr>
        <w:t xml:space="preserve"> different perspective to the relatio</w:t>
      </w:r>
      <w:r w:rsidR="0048496E" w:rsidRPr="00304F2D">
        <w:rPr>
          <w:rFonts w:ascii="Times New Roman" w:hAnsi="Times New Roman" w:cs="Times New Roman"/>
        </w:rPr>
        <w:t xml:space="preserve">nship-view of marketing </w:t>
      </w:r>
      <w:r w:rsidR="002462C6" w:rsidRPr="00304F2D">
        <w:rPr>
          <w:rFonts w:ascii="Times New Roman" w:hAnsi="Times New Roman" w:cs="Times New Roman"/>
        </w:rPr>
        <w:t>commonly applied to the non-profit sector</w:t>
      </w:r>
      <w:r w:rsidR="006F5F44" w:rsidRPr="00304F2D">
        <w:rPr>
          <w:rFonts w:ascii="Times New Roman" w:hAnsi="Times New Roman" w:cs="Times New Roman"/>
        </w:rPr>
        <w:t xml:space="preserve"> to examine the role of loyalty in growing </w:t>
      </w:r>
      <w:r w:rsidR="0028183B">
        <w:rPr>
          <w:rFonts w:ascii="Times New Roman" w:hAnsi="Times New Roman" w:cs="Times New Roman"/>
        </w:rPr>
        <w:t xml:space="preserve">donor </w:t>
      </w:r>
      <w:r w:rsidR="006F5F44" w:rsidRPr="00304F2D">
        <w:rPr>
          <w:rFonts w:ascii="Times New Roman" w:hAnsi="Times New Roman" w:cs="Times New Roman"/>
        </w:rPr>
        <w:t>support</w:t>
      </w:r>
      <w:r w:rsidR="002462C6" w:rsidRPr="00304F2D">
        <w:rPr>
          <w:rFonts w:ascii="Times New Roman" w:hAnsi="Times New Roman" w:cs="Times New Roman"/>
        </w:rPr>
        <w:t>.</w:t>
      </w:r>
      <w:r w:rsidR="006F5F44" w:rsidRPr="00304F2D">
        <w:rPr>
          <w:rFonts w:ascii="Times New Roman" w:hAnsi="Times New Roman" w:cs="Times New Roman"/>
        </w:rPr>
        <w:t xml:space="preserve"> </w:t>
      </w:r>
      <w:r w:rsidR="006C5CCC" w:rsidRPr="00304F2D">
        <w:rPr>
          <w:rFonts w:ascii="Times New Roman" w:hAnsi="Times New Roman" w:cs="Times New Roman"/>
        </w:rPr>
        <w:t xml:space="preserve">Building long-term relationships with donors is considered critical, with many non-profits capturing donor-level information to enable donor targeting and optimal allocation of </w:t>
      </w:r>
      <w:proofErr w:type="spellStart"/>
      <w:r w:rsidR="006C5CCC" w:rsidRPr="00304F2D">
        <w:rPr>
          <w:rFonts w:ascii="Times New Roman" w:hAnsi="Times New Roman" w:cs="Times New Roman"/>
        </w:rPr>
        <w:t>organisational</w:t>
      </w:r>
      <w:proofErr w:type="spellEnd"/>
      <w:r w:rsidR="006C5CCC" w:rsidRPr="00304F2D">
        <w:rPr>
          <w:rFonts w:ascii="Times New Roman" w:hAnsi="Times New Roman" w:cs="Times New Roman"/>
        </w:rPr>
        <w:t xml:space="preserve"> resources </w:t>
      </w:r>
      <w:r w:rsidR="006C5CCC"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&lt;EndNote&gt;&lt;Cite&gt;&lt;Author&gt;Khodakarami&lt;/Author&gt;&lt;Year&gt;2015&lt;/Year&gt;&lt;RecNum&gt;28750&lt;/RecNum&gt;&lt;DisplayText&gt;(Khodakarami, Petersen and Venkatesan, 2015)&lt;/DisplayText&gt;&lt;record&gt;&lt;rec-number&gt;28750&lt;/rec-number&gt;&lt;foreign-keys&gt;&lt;key app="EN" db-id="eswazv0p5wsezae2sd8pf59gf50trdav5fsw" timestamp="0"&gt;28750&lt;/key&gt;&lt;/foreign-keys&gt;&lt;ref-type name="Journal Article"&gt;17&lt;/ref-type&gt;&lt;contributors&gt;&lt;authors&gt;&lt;author&gt;Khodakarami, Farnoosh&lt;/author&gt;&lt;author&gt;Petersen, J. Andrew&lt;/author&gt;&lt;author&gt;Venkatesan, Rajkumar&lt;/author&gt;&lt;/authors&gt;&lt;/contributors&gt;&lt;titles&gt;&lt;title&gt;Developing donor relationships: The role of the breadth of giving&lt;/title&gt;&lt;secondary-title&gt;Journal of Marketing&lt;/secondary-title&gt;&lt;/titles&gt;&lt;pages&gt;77-93&lt;/pages&gt;&lt;volume&gt;79&lt;/volume&gt;&lt;dates&gt;&lt;year&gt;2015&lt;/year&gt;&lt;/dates&gt;&lt;publisher&gt;American Marketing Association&lt;/publisher&gt;&lt;isbn&gt;1547-7185&lt;/isbn&gt;&lt;urls&gt;&lt;/urls&gt;&lt;/record&gt;&lt;/Cite&gt;&lt;/EndNote&gt;</w:instrText>
      </w:r>
      <w:r w:rsidR="006C5CCC" w:rsidRPr="00304F2D">
        <w:rPr>
          <w:rFonts w:ascii="Times New Roman" w:hAnsi="Times New Roman" w:cs="Times New Roman"/>
        </w:rPr>
        <w:fldChar w:fldCharType="separate"/>
      </w:r>
      <w:r w:rsidR="006C5CCC" w:rsidRPr="00304F2D">
        <w:rPr>
          <w:rFonts w:ascii="Times New Roman" w:hAnsi="Times New Roman" w:cs="Times New Roman"/>
          <w:noProof/>
        </w:rPr>
        <w:t>(</w:t>
      </w:r>
      <w:hyperlink w:anchor="_ENREF_39" w:tooltip="Khodakarami, 2015 #28750" w:history="1">
        <w:r w:rsidR="00DA6B8D" w:rsidRPr="00304F2D">
          <w:rPr>
            <w:rFonts w:ascii="Times New Roman" w:hAnsi="Times New Roman" w:cs="Times New Roman"/>
            <w:noProof/>
          </w:rPr>
          <w:t>Khodakarami, Petersen and Venkatesan, 2015</w:t>
        </w:r>
      </w:hyperlink>
      <w:r w:rsidR="006C5CCC" w:rsidRPr="00304F2D">
        <w:rPr>
          <w:rFonts w:ascii="Times New Roman" w:hAnsi="Times New Roman" w:cs="Times New Roman"/>
          <w:noProof/>
        </w:rPr>
        <w:t>)</w:t>
      </w:r>
      <w:r w:rsidR="006C5CCC" w:rsidRPr="00304F2D">
        <w:rPr>
          <w:rFonts w:ascii="Times New Roman" w:hAnsi="Times New Roman" w:cs="Times New Roman"/>
        </w:rPr>
        <w:fldChar w:fldCharType="end"/>
      </w:r>
      <w:r w:rsidR="006C5CCC" w:rsidRPr="00304F2D">
        <w:rPr>
          <w:rFonts w:ascii="Times New Roman" w:hAnsi="Times New Roman" w:cs="Times New Roman"/>
        </w:rPr>
        <w:t>.</w:t>
      </w:r>
      <w:r w:rsidR="006F5F44" w:rsidRPr="00304F2D">
        <w:rPr>
          <w:rFonts w:ascii="Times New Roman" w:hAnsi="Times New Roman" w:cs="Times New Roman"/>
        </w:rPr>
        <w:t xml:space="preserve"> </w:t>
      </w:r>
      <w:r w:rsidRPr="00304F2D">
        <w:rPr>
          <w:rFonts w:ascii="Times New Roman" w:hAnsi="Times New Roman" w:cs="Times New Roman"/>
        </w:rPr>
        <w:t>Non-profits seek</w:t>
      </w:r>
      <w:r w:rsidR="0048496E" w:rsidRPr="00304F2D">
        <w:rPr>
          <w:rFonts w:ascii="Times New Roman" w:hAnsi="Times New Roman" w:cs="Times New Roman"/>
        </w:rPr>
        <w:t>ing</w:t>
      </w:r>
      <w:r w:rsidRPr="00304F2D">
        <w:rPr>
          <w:rFonts w:ascii="Times New Roman" w:hAnsi="Times New Roman" w:cs="Times New Roman"/>
        </w:rPr>
        <w:t xml:space="preserve"> to start, continu</w:t>
      </w:r>
      <w:r w:rsidR="0048496E" w:rsidRPr="00304F2D">
        <w:rPr>
          <w:rFonts w:ascii="Times New Roman" w:hAnsi="Times New Roman" w:cs="Times New Roman"/>
        </w:rPr>
        <w:t xml:space="preserve">e or increase support </w:t>
      </w:r>
      <w:proofErr w:type="spellStart"/>
      <w:r w:rsidR="0048496E" w:rsidRPr="00304F2D">
        <w:rPr>
          <w:rFonts w:ascii="Times New Roman" w:hAnsi="Times New Roman" w:cs="Times New Roman"/>
        </w:rPr>
        <w:t>behaviour</w:t>
      </w:r>
      <w:proofErr w:type="spellEnd"/>
      <w:r w:rsidRPr="00304F2D">
        <w:rPr>
          <w:rFonts w:ascii="Times New Roman" w:hAnsi="Times New Roman" w:cs="Times New Roman"/>
        </w:rPr>
        <w:t xml:space="preserve"> will impose costs on the individual with benefits going to others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&lt;EndNote&gt;&lt;Cite&gt;&lt;Author&gt;Andreasen&lt;/Author&gt;&lt;Year&gt;2012&lt;/Year&gt;&lt;RecNum&gt;27611&lt;/RecNum&gt;&lt;DisplayText&gt;(Andreasen, 2012)&lt;/DisplayText&gt;&lt;record&gt;&lt;rec-number&gt;27611&lt;/rec-number&gt;&lt;foreign-keys&gt;&lt;key app="EN" db-id="eswazv0p5wsezae2sd8pf59gf50trdav5fsw" timestamp="0"&gt;27611&lt;/key&gt;&lt;/foreign-keys&gt;&lt;ref-type name="Journal Article"&gt;17&lt;/ref-type&gt;&lt;contributors&gt;&lt;authors&gt;&lt;author&gt;Andreasen, Alan R.&lt;/author&gt;&lt;/authors&gt;&lt;/contributors&gt;&lt;titles&gt;&lt;title&gt;Rethinking the relationship between social/nonprofit marketing and commercial marketing&lt;/title&gt;&lt;secondary-title&gt;Journal of Public Policy &amp;amp; Marketing&lt;/secondary-title&gt;&lt;/titles&gt;&lt;pages&gt;36-41&lt;/pages&gt;&lt;volume&gt;31&lt;/volume&gt;&lt;number&gt;1&lt;/number&gt;&lt;dates&gt;&lt;year&gt;2012&lt;/year&gt;&lt;/dates&gt;&lt;publisher&gt;American Marketing Association&lt;/publisher&gt;&lt;isbn&gt;0743-9156&lt;/isbn&gt;&lt;urls&gt;&lt;/urls&gt;&lt;/record&gt;&lt;/Cite&gt;&lt;/EndNote&gt;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2" w:tooltip="Andreasen, 2012 #27611" w:history="1">
        <w:r w:rsidR="00DA6B8D" w:rsidRPr="00304F2D">
          <w:rPr>
            <w:rFonts w:ascii="Times New Roman" w:hAnsi="Times New Roman" w:cs="Times New Roman"/>
            <w:noProof/>
          </w:rPr>
          <w:t>Andreasen, 2012</w:t>
        </w:r>
      </w:hyperlink>
      <w:r w:rsidRPr="00304F2D">
        <w:rPr>
          <w:rFonts w:ascii="Times New Roman" w:hAnsi="Times New Roman" w:cs="Times New Roman"/>
          <w:noProof/>
        </w:rPr>
        <w:t>)</w:t>
      </w:r>
      <w:r w:rsidRPr="00304F2D">
        <w:rPr>
          <w:rFonts w:ascii="Times New Roman" w:hAnsi="Times New Roman" w:cs="Times New Roman"/>
        </w:rPr>
        <w:fldChar w:fldCharType="end"/>
      </w:r>
      <w:r w:rsidR="006F5F44" w:rsidRPr="00304F2D">
        <w:rPr>
          <w:rFonts w:ascii="Times New Roman" w:hAnsi="Times New Roman" w:cs="Times New Roman"/>
        </w:rPr>
        <w:t xml:space="preserve">. </w:t>
      </w:r>
      <w:r w:rsidRPr="00304F2D">
        <w:rPr>
          <w:rFonts w:ascii="Times New Roman" w:hAnsi="Times New Roman" w:cs="Times New Roman"/>
        </w:rPr>
        <w:t xml:space="preserve">Differences </w:t>
      </w:r>
      <w:r w:rsidR="00B8715E">
        <w:rPr>
          <w:rFonts w:ascii="Times New Roman" w:hAnsi="Times New Roman" w:cs="Times New Roman"/>
        </w:rPr>
        <w:lastRenderedPageBreak/>
        <w:t>from</w:t>
      </w:r>
      <w:r w:rsidRPr="00304F2D">
        <w:rPr>
          <w:rFonts w:ascii="Times New Roman" w:hAnsi="Times New Roman" w:cs="Times New Roman"/>
        </w:rPr>
        <w:t xml:space="preserve"> the commercial sector have led to the development of concepts considered unique to non-profit marketing (e.g. donor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volunteer </w:t>
      </w:r>
      <w:proofErr w:type="spellStart"/>
      <w:r w:rsidRPr="00304F2D">
        <w:rPr>
          <w:rFonts w:ascii="Times New Roman" w:hAnsi="Times New Roman" w:cs="Times New Roman"/>
        </w:rPr>
        <w:t>behaviour</w:t>
      </w:r>
      <w:proofErr w:type="spellEnd"/>
      <w:r w:rsidRPr="00304F2D">
        <w:rPr>
          <w:rFonts w:ascii="Times New Roman" w:hAnsi="Times New Roman" w:cs="Times New Roman"/>
        </w:rPr>
        <w:t xml:space="preserve">)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&lt;EndNote&gt;&lt;Cite&gt;&lt;Author&gt;Wymer&lt;/Author&gt;&lt;Year&gt;2013&lt;/Year&gt;&lt;RecNum&gt;26589&lt;/RecNum&gt;&lt;DisplayText&gt;(Wymer, 2013)&lt;/DisplayText&gt;&lt;record&gt;&lt;rec-number&gt;26589&lt;/rec-number&gt;&lt;foreign-keys&gt;&lt;key app="EN" db-id="eswazv0p5wsezae2sd8pf59gf50trdav5fsw" timestamp="0"&gt;26589&lt;/key&gt;&lt;/foreign-keys&gt;&lt;ref-type name="Journal Article"&gt;17&lt;/ref-type&gt;&lt;contributors&gt;&lt;authors&gt;&lt;author&gt;Wymer, Walter&lt;/author&gt;&lt;/authors&gt;&lt;/contributors&gt;&lt;titles&gt;&lt;title&gt;The influence of marketing scholarship’s legacy on nonprofit marketing&lt;/title&gt;&lt;secondary-title&gt;International Journal of Financial Studies&lt;/secondary-title&gt;&lt;/titles&gt;&lt;pages&gt;102-118&lt;/pages&gt;&lt;volume&gt;1&lt;/volume&gt;&lt;number&gt;3&lt;/number&gt;&lt;dates&gt;&lt;year&gt;2013&lt;/year&gt;&lt;/dates&gt;&lt;publisher&gt;Multidisciplinary Digital Publishing Institute&lt;/publisher&gt;&lt;urls&gt;&lt;/urls&gt;&lt;/record&gt;&lt;/Cite&gt;&lt;/EndNote&gt;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66" w:tooltip="Wymer, 2013 #26589" w:history="1">
        <w:r w:rsidR="00DA6B8D" w:rsidRPr="00304F2D">
          <w:rPr>
            <w:rFonts w:ascii="Times New Roman" w:hAnsi="Times New Roman" w:cs="Times New Roman"/>
            <w:noProof/>
          </w:rPr>
          <w:t>Wymer, 2013</w:t>
        </w:r>
      </w:hyperlink>
      <w:r w:rsidRPr="00304F2D">
        <w:rPr>
          <w:rFonts w:ascii="Times New Roman" w:hAnsi="Times New Roman" w:cs="Times New Roman"/>
          <w:noProof/>
        </w:rPr>
        <w:t>)</w:t>
      </w:r>
      <w:r w:rsidRPr="00304F2D">
        <w:rPr>
          <w:rFonts w:ascii="Times New Roman" w:hAnsi="Times New Roman" w:cs="Times New Roman"/>
        </w:rPr>
        <w:fldChar w:fldCharType="end"/>
      </w:r>
      <w:r w:rsidR="006F5F44" w:rsidRPr="00304F2D">
        <w:rPr>
          <w:rFonts w:ascii="Times New Roman" w:hAnsi="Times New Roman" w:cs="Times New Roman"/>
        </w:rPr>
        <w:t xml:space="preserve">. </w:t>
      </w:r>
      <w:r w:rsidR="0048496E" w:rsidRPr="00304F2D">
        <w:rPr>
          <w:rFonts w:ascii="Times New Roman" w:hAnsi="Times New Roman" w:cs="Times New Roman"/>
        </w:rPr>
        <w:t xml:space="preserve">However, </w:t>
      </w:r>
      <w:r w:rsidRPr="00304F2D">
        <w:rPr>
          <w:rFonts w:ascii="Times New Roman" w:hAnsi="Times New Roman" w:cs="Times New Roman"/>
        </w:rPr>
        <w:t xml:space="preserve">a relationship-view </w:t>
      </w:r>
      <w:r w:rsidR="0048496E" w:rsidRPr="00304F2D">
        <w:rPr>
          <w:rFonts w:ascii="Times New Roman" w:hAnsi="Times New Roman" w:cs="Times New Roman"/>
        </w:rPr>
        <w:t xml:space="preserve">of marketing </w:t>
      </w:r>
      <w:r w:rsidRPr="00304F2D">
        <w:rPr>
          <w:rFonts w:ascii="Times New Roman" w:hAnsi="Times New Roman" w:cs="Times New Roman"/>
        </w:rPr>
        <w:t xml:space="preserve">can distract from what is required to grow support, as the focus can be on increasing the loyalty of existing supporters at the expense of growing the supporter base. </w:t>
      </w:r>
      <w:r w:rsidR="00505924" w:rsidRPr="00304F2D">
        <w:rPr>
          <w:rFonts w:ascii="Times New Roman" w:hAnsi="Times New Roman" w:cs="Times New Roman"/>
        </w:rPr>
        <w:t xml:space="preserve">Achieving brand growth </w:t>
      </w:r>
      <w:r w:rsidRPr="00304F2D">
        <w:rPr>
          <w:rFonts w:ascii="Times New Roman" w:hAnsi="Times New Roman" w:cs="Times New Roman"/>
        </w:rPr>
        <w:t xml:space="preserve">through marketing activities </w:t>
      </w:r>
      <w:r w:rsidR="0048496E" w:rsidRPr="00304F2D">
        <w:rPr>
          <w:rFonts w:ascii="Times New Roman" w:hAnsi="Times New Roman" w:cs="Times New Roman"/>
        </w:rPr>
        <w:t>aiming to</w:t>
      </w:r>
      <w:r w:rsidR="00505924" w:rsidRPr="00304F2D">
        <w:rPr>
          <w:rFonts w:ascii="Times New Roman" w:hAnsi="Times New Roman" w:cs="Times New Roman"/>
        </w:rPr>
        <w:t xml:space="preserve"> increase </w:t>
      </w:r>
      <w:r w:rsidRPr="00304F2D">
        <w:rPr>
          <w:rFonts w:ascii="Times New Roman" w:hAnsi="Times New Roman" w:cs="Times New Roman"/>
        </w:rPr>
        <w:t xml:space="preserve">loyalty </w:t>
      </w:r>
      <w:r w:rsidR="0017388F">
        <w:rPr>
          <w:rFonts w:ascii="Times New Roman" w:hAnsi="Times New Roman" w:cs="Times New Roman"/>
        </w:rPr>
        <w:t xml:space="preserve">to </w:t>
      </w:r>
      <w:r w:rsidR="00505924" w:rsidRPr="00304F2D">
        <w:rPr>
          <w:rFonts w:ascii="Times New Roman" w:hAnsi="Times New Roman" w:cs="Times New Roman"/>
        </w:rPr>
        <w:t xml:space="preserve">a greater </w:t>
      </w:r>
      <w:r w:rsidR="0017388F">
        <w:rPr>
          <w:rFonts w:ascii="Times New Roman" w:hAnsi="Times New Roman" w:cs="Times New Roman"/>
        </w:rPr>
        <w:t>degree</w:t>
      </w:r>
      <w:r w:rsidR="0017388F" w:rsidRPr="00304F2D">
        <w:rPr>
          <w:rFonts w:ascii="Times New Roman" w:hAnsi="Times New Roman" w:cs="Times New Roman"/>
        </w:rPr>
        <w:t xml:space="preserve"> </w:t>
      </w:r>
      <w:r w:rsidR="00505924" w:rsidRPr="00304F2D">
        <w:rPr>
          <w:rFonts w:ascii="Times New Roman" w:hAnsi="Times New Roman" w:cs="Times New Roman"/>
        </w:rPr>
        <w:t xml:space="preserve">than </w:t>
      </w:r>
      <w:r w:rsidR="0001564C">
        <w:rPr>
          <w:rFonts w:ascii="Times New Roman" w:hAnsi="Times New Roman" w:cs="Times New Roman"/>
        </w:rPr>
        <w:t>growing</w:t>
      </w:r>
      <w:r w:rsidR="0001564C" w:rsidRPr="00304F2D">
        <w:rPr>
          <w:rFonts w:ascii="Times New Roman" w:hAnsi="Times New Roman" w:cs="Times New Roman"/>
        </w:rPr>
        <w:t xml:space="preserve"> </w:t>
      </w:r>
      <w:r w:rsidR="00505924" w:rsidRPr="00304F2D">
        <w:rPr>
          <w:rFonts w:ascii="Times New Roman" w:hAnsi="Times New Roman" w:cs="Times New Roman"/>
        </w:rPr>
        <w:t>the number of supporters</w:t>
      </w:r>
      <w:r w:rsidRPr="00304F2D">
        <w:rPr>
          <w:rFonts w:ascii="Times New Roman" w:hAnsi="Times New Roman" w:cs="Times New Roman"/>
        </w:rPr>
        <w:t xml:space="preserve"> w</w:t>
      </w:r>
      <w:r w:rsidR="00505924" w:rsidRPr="00304F2D">
        <w:rPr>
          <w:rFonts w:ascii="Times New Roman" w:hAnsi="Times New Roman" w:cs="Times New Roman"/>
        </w:rPr>
        <w:t xml:space="preserve">ould result in a different pattern of </w:t>
      </w:r>
      <w:proofErr w:type="spellStart"/>
      <w:r w:rsidR="00505924" w:rsidRPr="00304F2D">
        <w:rPr>
          <w:rFonts w:ascii="Times New Roman" w:hAnsi="Times New Roman" w:cs="Times New Roman"/>
        </w:rPr>
        <w:t>behaviour</w:t>
      </w:r>
      <w:proofErr w:type="spellEnd"/>
      <w:r w:rsidR="00505924" w:rsidRPr="00304F2D">
        <w:rPr>
          <w:rFonts w:ascii="Times New Roman" w:hAnsi="Times New Roman" w:cs="Times New Roman"/>
        </w:rPr>
        <w:t xml:space="preserve"> to other markets, i.e. Double Jeopardy</w:t>
      </w:r>
      <w:r w:rsidR="0048496E" w:rsidRPr="00304F2D">
        <w:rPr>
          <w:rFonts w:ascii="Times New Roman" w:hAnsi="Times New Roman" w:cs="Times New Roman"/>
        </w:rPr>
        <w:t xml:space="preserve"> would not be evident</w:t>
      </w:r>
      <w:r w:rsidR="00505924" w:rsidRPr="00304F2D">
        <w:rPr>
          <w:rFonts w:ascii="Times New Roman" w:hAnsi="Times New Roman" w:cs="Times New Roman"/>
        </w:rPr>
        <w:t xml:space="preserve">.  </w:t>
      </w:r>
    </w:p>
    <w:p w14:paraId="488EC8C4" w14:textId="585D90A2" w:rsidR="008D0D54" w:rsidRPr="00304F2D" w:rsidRDefault="00505924" w:rsidP="00505924">
      <w:pPr>
        <w:spacing w:line="480" w:lineRule="auto"/>
        <w:ind w:firstLine="720"/>
        <w:rPr>
          <w:rFonts w:ascii="Times New Roman" w:hAnsi="Times New Roman" w:cs="Times New Roman"/>
        </w:rPr>
      </w:pPr>
      <w:r w:rsidRPr="00304F2D">
        <w:rPr>
          <w:rFonts w:ascii="Times New Roman" w:hAnsi="Times New Roman" w:cs="Times New Roman"/>
        </w:rPr>
        <w:t>Double Jeopardy is</w:t>
      </w:r>
      <w:r w:rsidR="00D537C7" w:rsidRPr="00304F2D">
        <w:rPr>
          <w:rFonts w:ascii="Times New Roman" w:hAnsi="Times New Roman" w:cs="Times New Roman"/>
        </w:rPr>
        <w:t xml:space="preserve"> </w:t>
      </w:r>
      <w:r w:rsidR="00326708" w:rsidRPr="00304F2D">
        <w:rPr>
          <w:rFonts w:ascii="Times New Roman" w:hAnsi="Times New Roman" w:cs="Times New Roman"/>
        </w:rPr>
        <w:t>a well-established pattern</w:t>
      </w:r>
      <w:r w:rsidR="00600B9C" w:rsidRPr="00304F2D">
        <w:rPr>
          <w:rFonts w:ascii="Times New Roman" w:hAnsi="Times New Roman" w:cs="Times New Roman"/>
        </w:rPr>
        <w:t xml:space="preserve"> in consumer markets</w:t>
      </w:r>
      <w:r w:rsidR="00326708" w:rsidRPr="00304F2D">
        <w:rPr>
          <w:rFonts w:ascii="Times New Roman" w:hAnsi="Times New Roman" w:cs="Times New Roman"/>
        </w:rPr>
        <w:t xml:space="preserve"> that helps </w:t>
      </w:r>
      <w:r w:rsidR="00600B9C" w:rsidRPr="00304F2D">
        <w:rPr>
          <w:rFonts w:ascii="Times New Roman" w:hAnsi="Times New Roman" w:cs="Times New Roman"/>
        </w:rPr>
        <w:t xml:space="preserve">to </w:t>
      </w:r>
      <w:r w:rsidR="00326708" w:rsidRPr="00304F2D">
        <w:rPr>
          <w:rFonts w:ascii="Times New Roman" w:hAnsi="Times New Roman" w:cs="Times New Roman"/>
        </w:rPr>
        <w:t>set realistic marketing strategies</w:t>
      </w:r>
      <w:r w:rsidR="006F5F44" w:rsidRPr="00304F2D">
        <w:rPr>
          <w:rFonts w:ascii="Times New Roman" w:hAnsi="Times New Roman" w:cs="Times New Roman"/>
        </w:rPr>
        <w:t xml:space="preserve">. </w:t>
      </w:r>
      <w:r w:rsidR="00F645AA" w:rsidRPr="00304F2D">
        <w:rPr>
          <w:rFonts w:ascii="Times New Roman" w:hAnsi="Times New Roman" w:cs="Times New Roman"/>
        </w:rPr>
        <w:t xml:space="preserve">The pattern was first noticed by sociologist </w:t>
      </w:r>
      <w:r w:rsidR="00E65131" w:rsidRPr="00304F2D">
        <w:rPr>
          <w:rFonts w:ascii="Times New Roman" w:hAnsi="Times New Roman" w:cs="Times New Roman"/>
        </w:rPr>
        <w:t xml:space="preserve">William McPhee </w:t>
      </w:r>
      <w:r w:rsidR="00382F9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 ExcludeAuth="1"&gt;&lt;Author&gt;McPhee&lt;/Author&gt;&lt;Year&gt;1963&lt;/Year&gt;&lt;RecNum&gt;1675&lt;/RecNum&gt;&lt;DisplayText&gt;(1963)&lt;/DisplayText&gt;&lt;record&gt;&lt;rec-number&gt;1675&lt;/rec-number&gt;&lt;foreign-keys&gt;&lt;key app="EN" db-id="eswazv0p5wsezae2sd8pf59gf50trdav5fsw" timestamp="0"&gt;1675&lt;/key&gt;&lt;/foreign-keys&gt;&lt;ref-type name="Book"&gt;6&lt;/ref-type&gt;&lt;contributors&gt;&lt;authors&gt;&lt;author&gt;McPhee, William N&lt;/author&gt;&lt;/authors&gt;&lt;/contributors&gt;&lt;titles&gt;&lt;title&gt;Formal theories of mass behaviour&lt;/title&gt;&lt;/titles&gt;&lt;pages&gt;235&lt;/pages&gt;&lt;keywords&gt;&lt;keyword&gt;Customer Retention, Behaviourism&lt;/keyword&gt;&lt;/keywords&gt;&lt;dates&gt;&lt;year&gt;1963&lt;/year&gt;&lt;/dates&gt;&lt;pub-location&gt;New York&lt;/pub-location&gt;&lt;publisher&gt;The Free Press of Glencoe&lt;/publisher&gt;&lt;urls&gt;&lt;/urls&gt;&lt;/record&gt;&lt;/Cite&gt;&lt;/EndNote&gt;</w:instrText>
      </w:r>
      <w:r w:rsidR="00382F99" w:rsidRPr="00304F2D">
        <w:rPr>
          <w:rFonts w:ascii="Times New Roman" w:hAnsi="Times New Roman" w:cs="Times New Roman"/>
        </w:rPr>
        <w:fldChar w:fldCharType="separate"/>
      </w:r>
      <w:r w:rsidR="00382F99" w:rsidRPr="00304F2D">
        <w:rPr>
          <w:rFonts w:ascii="Times New Roman" w:hAnsi="Times New Roman" w:cs="Times New Roman"/>
          <w:noProof/>
        </w:rPr>
        <w:t>(</w:t>
      </w:r>
      <w:hyperlink w:anchor="_ENREF_43" w:tooltip="McPhee, 1963 #1675" w:history="1">
        <w:r w:rsidR="00DA6B8D" w:rsidRPr="00304F2D">
          <w:rPr>
            <w:rFonts w:ascii="Times New Roman" w:hAnsi="Times New Roman" w:cs="Times New Roman"/>
            <w:noProof/>
          </w:rPr>
          <w:t>1963</w:t>
        </w:r>
      </w:hyperlink>
      <w:r w:rsidR="00382F99" w:rsidRPr="00304F2D">
        <w:rPr>
          <w:rFonts w:ascii="Times New Roman" w:hAnsi="Times New Roman" w:cs="Times New Roman"/>
          <w:noProof/>
        </w:rPr>
        <w:t>)</w:t>
      </w:r>
      <w:r w:rsidR="00382F99" w:rsidRPr="00304F2D">
        <w:rPr>
          <w:rFonts w:ascii="Times New Roman" w:hAnsi="Times New Roman" w:cs="Times New Roman"/>
        </w:rPr>
        <w:fldChar w:fldCharType="end"/>
      </w:r>
      <w:r w:rsidR="00F645AA" w:rsidRPr="00304F2D">
        <w:rPr>
          <w:rFonts w:ascii="Times New Roman" w:hAnsi="Times New Roman" w:cs="Times New Roman"/>
        </w:rPr>
        <w:t xml:space="preserve"> for radio presente</w:t>
      </w:r>
      <w:r w:rsidR="006C5CCC" w:rsidRPr="00304F2D">
        <w:rPr>
          <w:rFonts w:ascii="Times New Roman" w:hAnsi="Times New Roman" w:cs="Times New Roman"/>
        </w:rPr>
        <w:t xml:space="preserve">rs and comic strips, with </w:t>
      </w:r>
      <w:r w:rsidR="00F645AA" w:rsidRPr="00304F2D">
        <w:rPr>
          <w:rFonts w:ascii="Times New Roman" w:hAnsi="Times New Roman" w:cs="Times New Roman"/>
        </w:rPr>
        <w:t xml:space="preserve">less popular </w:t>
      </w:r>
      <w:r w:rsidR="006C5CCC" w:rsidRPr="00304F2D">
        <w:rPr>
          <w:rFonts w:ascii="Times New Roman" w:hAnsi="Times New Roman" w:cs="Times New Roman"/>
        </w:rPr>
        <w:t xml:space="preserve">options </w:t>
      </w:r>
      <w:r w:rsidR="00F645AA" w:rsidRPr="00304F2D">
        <w:rPr>
          <w:rFonts w:ascii="Times New Roman" w:hAnsi="Times New Roman" w:cs="Times New Roman"/>
        </w:rPr>
        <w:t>suffering tw</w:t>
      </w:r>
      <w:r w:rsidR="006F5F44" w:rsidRPr="00304F2D">
        <w:rPr>
          <w:rFonts w:ascii="Times New Roman" w:hAnsi="Times New Roman" w:cs="Times New Roman"/>
        </w:rPr>
        <w:t>ice as fewer people knew of them</w:t>
      </w:r>
      <w:r w:rsidR="00F645AA" w:rsidRPr="00304F2D">
        <w:rPr>
          <w:rFonts w:ascii="Times New Roman" w:hAnsi="Times New Roman" w:cs="Times New Roman"/>
        </w:rPr>
        <w:t xml:space="preserve"> an</w:t>
      </w:r>
      <w:r w:rsidR="0048496E" w:rsidRPr="00304F2D">
        <w:rPr>
          <w:rFonts w:ascii="Times New Roman" w:hAnsi="Times New Roman" w:cs="Times New Roman"/>
        </w:rPr>
        <w:t xml:space="preserve">d the people aware </w:t>
      </w:r>
      <w:r w:rsidR="006C5CCC" w:rsidRPr="00304F2D">
        <w:rPr>
          <w:rFonts w:ascii="Times New Roman" w:hAnsi="Times New Roman" w:cs="Times New Roman"/>
        </w:rPr>
        <w:t>provide</w:t>
      </w:r>
      <w:r w:rsidR="0048496E" w:rsidRPr="00304F2D">
        <w:rPr>
          <w:rFonts w:ascii="Times New Roman" w:hAnsi="Times New Roman" w:cs="Times New Roman"/>
        </w:rPr>
        <w:t>d</w:t>
      </w:r>
      <w:r w:rsidR="006C5CCC" w:rsidRPr="00304F2D">
        <w:rPr>
          <w:rFonts w:ascii="Times New Roman" w:hAnsi="Times New Roman" w:cs="Times New Roman"/>
        </w:rPr>
        <w:t xml:space="preserve"> </w:t>
      </w:r>
      <w:r w:rsidR="00F645AA" w:rsidRPr="00304F2D">
        <w:rPr>
          <w:rFonts w:ascii="Times New Roman" w:hAnsi="Times New Roman" w:cs="Times New Roman"/>
        </w:rPr>
        <w:t>reduc</w:t>
      </w:r>
      <w:r w:rsidR="0048496E" w:rsidRPr="00304F2D">
        <w:rPr>
          <w:rFonts w:ascii="Times New Roman" w:hAnsi="Times New Roman" w:cs="Times New Roman"/>
        </w:rPr>
        <w:t>ed liking scores compared to the scores given for</w:t>
      </w:r>
      <w:r w:rsidR="00F645AA" w:rsidRPr="00304F2D">
        <w:rPr>
          <w:rFonts w:ascii="Times New Roman" w:hAnsi="Times New Roman" w:cs="Times New Roman"/>
        </w:rPr>
        <w:t xml:space="preserve"> better known radio </w:t>
      </w:r>
      <w:r w:rsidR="006C5CCC" w:rsidRPr="00304F2D">
        <w:rPr>
          <w:rFonts w:ascii="Times New Roman" w:hAnsi="Times New Roman" w:cs="Times New Roman"/>
        </w:rPr>
        <w:t>presenters</w:t>
      </w:r>
      <w:r w:rsidR="006F5F44" w:rsidRPr="00304F2D">
        <w:rPr>
          <w:rFonts w:ascii="Times New Roman" w:hAnsi="Times New Roman" w:cs="Times New Roman"/>
        </w:rPr>
        <w:t xml:space="preserve"> or comic strips. </w:t>
      </w:r>
      <w:r w:rsidR="00675F57" w:rsidRPr="00304F2D">
        <w:rPr>
          <w:rFonts w:ascii="Times New Roman" w:hAnsi="Times New Roman" w:cs="Times New Roman"/>
        </w:rPr>
        <w:t>The Double Jeopardy</w:t>
      </w:r>
      <w:r w:rsidR="00F645AA" w:rsidRPr="00304F2D">
        <w:rPr>
          <w:rFonts w:ascii="Times New Roman" w:hAnsi="Times New Roman" w:cs="Times New Roman"/>
        </w:rPr>
        <w:t xml:space="preserve"> pattern also ex</w:t>
      </w:r>
      <w:r w:rsidR="008D0D54" w:rsidRPr="00304F2D">
        <w:rPr>
          <w:rFonts w:ascii="Times New Roman" w:hAnsi="Times New Roman" w:cs="Times New Roman"/>
        </w:rPr>
        <w:t>ists in competitive markets, as</w:t>
      </w:r>
      <w:r w:rsidR="00F645AA" w:rsidRPr="00304F2D">
        <w:rPr>
          <w:rFonts w:ascii="Times New Roman" w:hAnsi="Times New Roman" w:cs="Times New Roman"/>
        </w:rPr>
        <w:t xml:space="preserve"> small</w:t>
      </w:r>
      <w:r w:rsidR="008D0D54" w:rsidRPr="00304F2D">
        <w:rPr>
          <w:rFonts w:ascii="Times New Roman" w:hAnsi="Times New Roman" w:cs="Times New Roman"/>
        </w:rPr>
        <w:t>er</w:t>
      </w:r>
      <w:r w:rsidR="00F645AA" w:rsidRPr="00304F2D">
        <w:rPr>
          <w:rFonts w:ascii="Times New Roman" w:hAnsi="Times New Roman" w:cs="Times New Roman"/>
        </w:rPr>
        <w:t xml:space="preserve"> brands show lower loyalty metrics and have fewer users than t</w:t>
      </w:r>
      <w:r w:rsidR="006C5CCC" w:rsidRPr="00304F2D">
        <w:rPr>
          <w:rFonts w:ascii="Times New Roman" w:hAnsi="Times New Roman" w:cs="Times New Roman"/>
        </w:rPr>
        <w:t xml:space="preserve">heir larger brand counterparts </w:t>
      </w:r>
      <w:r w:rsidR="00382F9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&lt;EndNote&gt;&lt;Cite&gt;&lt;Author&gt;Ehrenberg&lt;/Author&gt;&lt;Year&gt;1990&lt;/Year&gt;&lt;RecNum&gt;1676&lt;/RecNum&gt;&lt;DisplayText&gt;(Ehrenberg, Goodhardt and Barwise, 1990)&lt;/DisplayText&gt;&lt;record&gt;&lt;rec-number&gt;1676&lt;/rec-number&gt;&lt;foreign-keys&gt;&lt;key app="EN" db-id="eswazv0p5wsezae2sd8pf59gf50trdav5fsw" timestamp="0"&gt;1676&lt;/key&gt;&lt;/foreign-keys&gt;&lt;ref-type name="Journal Article"&gt;17&lt;/ref-type&gt;&lt;contributors&gt;&lt;authors&gt;&lt;author&gt;Ehrenberg, Andrew&lt;/author&gt;&lt;author&gt;Goodhardt, Gerald&lt;/author&gt;&lt;author&gt;Barwise, T Patrick&lt;/author&gt;&lt;/authors&gt;&lt;/contributors&gt;&lt;titles&gt;&lt;title&gt;Double Jeopardy revisited&lt;/title&gt;&lt;secondary-title&gt;Journal of Marketing&lt;/secondary-title&gt;&lt;/titles&gt;&lt;pages&gt;82-91&lt;/pages&gt;&lt;volume&gt;54&lt;/volume&gt;&lt;number&gt;3&lt;/number&gt;&lt;keywords&gt;&lt;keyword&gt;BRAND. CUSTOMER RETENTION&lt;/keyword&gt;&lt;/keywords&gt;&lt;dates&gt;&lt;year&gt;1990&lt;/year&gt;&lt;/dates&gt;&lt;label&gt;PDF&lt;/label&gt;&lt;urls&gt;&lt;/urls&gt;&lt;/record&gt;&lt;/Cite&gt;&lt;/EndNote&gt;</w:instrText>
      </w:r>
      <w:r w:rsidR="00382F99" w:rsidRPr="00304F2D">
        <w:rPr>
          <w:rFonts w:ascii="Times New Roman" w:hAnsi="Times New Roman" w:cs="Times New Roman"/>
        </w:rPr>
        <w:fldChar w:fldCharType="separate"/>
      </w:r>
      <w:r w:rsidR="00382F99" w:rsidRPr="00304F2D">
        <w:rPr>
          <w:rFonts w:ascii="Times New Roman" w:hAnsi="Times New Roman" w:cs="Times New Roman"/>
          <w:noProof/>
        </w:rPr>
        <w:t>(</w:t>
      </w:r>
      <w:hyperlink w:anchor="_ENREF_27" w:tooltip="Ehrenberg, 1990 #1676" w:history="1">
        <w:r w:rsidR="00DA6B8D" w:rsidRPr="00304F2D">
          <w:rPr>
            <w:rFonts w:ascii="Times New Roman" w:hAnsi="Times New Roman" w:cs="Times New Roman"/>
            <w:noProof/>
          </w:rPr>
          <w:t>Ehrenberg, Goodhardt and Barwise, 1990</w:t>
        </w:r>
      </w:hyperlink>
      <w:r w:rsidR="00382F99" w:rsidRPr="00304F2D">
        <w:rPr>
          <w:rFonts w:ascii="Times New Roman" w:hAnsi="Times New Roman" w:cs="Times New Roman"/>
          <w:noProof/>
        </w:rPr>
        <w:t>)</w:t>
      </w:r>
      <w:r w:rsidR="00382F99" w:rsidRPr="00304F2D">
        <w:rPr>
          <w:rFonts w:ascii="Times New Roman" w:hAnsi="Times New Roman" w:cs="Times New Roman"/>
        </w:rPr>
        <w:fldChar w:fldCharType="end"/>
      </w:r>
      <w:r w:rsidR="00F645AA" w:rsidRPr="00304F2D">
        <w:rPr>
          <w:rFonts w:ascii="Times New Roman" w:hAnsi="Times New Roman" w:cs="Times New Roman"/>
        </w:rPr>
        <w:t xml:space="preserve">. </w:t>
      </w:r>
      <w:r w:rsidR="008D0D54" w:rsidRPr="00304F2D">
        <w:rPr>
          <w:rFonts w:ascii="Times New Roman" w:hAnsi="Times New Roman" w:cs="Times New Roman"/>
        </w:rPr>
        <w:t xml:space="preserve">The </w:t>
      </w:r>
      <w:r w:rsidR="00675F57" w:rsidRPr="00304F2D">
        <w:rPr>
          <w:rFonts w:ascii="Times New Roman" w:hAnsi="Times New Roman" w:cs="Times New Roman"/>
        </w:rPr>
        <w:t xml:space="preserve">Double Jeopardy </w:t>
      </w:r>
      <w:r w:rsidR="008D0D54" w:rsidRPr="00304F2D">
        <w:rPr>
          <w:rFonts w:ascii="Times New Roman" w:hAnsi="Times New Roman" w:cs="Times New Roman"/>
        </w:rPr>
        <w:t xml:space="preserve">pattern </w:t>
      </w:r>
      <w:r w:rsidR="00326708" w:rsidRPr="00304F2D">
        <w:rPr>
          <w:rFonts w:ascii="Times New Roman" w:hAnsi="Times New Roman" w:cs="Times New Roman"/>
        </w:rPr>
        <w:t xml:space="preserve">shows a large variation </w:t>
      </w:r>
      <w:r w:rsidR="0048496E" w:rsidRPr="00304F2D">
        <w:rPr>
          <w:rFonts w:ascii="Times New Roman" w:hAnsi="Times New Roman" w:cs="Times New Roman"/>
        </w:rPr>
        <w:t xml:space="preserve">in the number of customers </w:t>
      </w:r>
      <w:r w:rsidR="00326708" w:rsidRPr="00304F2D">
        <w:rPr>
          <w:rFonts w:ascii="Times New Roman" w:hAnsi="Times New Roman" w:cs="Times New Roman"/>
        </w:rPr>
        <w:t xml:space="preserve">brands attract, but less variation </w:t>
      </w:r>
      <w:r w:rsidR="00517CB8" w:rsidRPr="00304F2D">
        <w:rPr>
          <w:rFonts w:ascii="Times New Roman" w:hAnsi="Times New Roman" w:cs="Times New Roman"/>
        </w:rPr>
        <w:t xml:space="preserve">is shown </w:t>
      </w:r>
      <w:r w:rsidR="00326708" w:rsidRPr="00304F2D">
        <w:rPr>
          <w:rFonts w:ascii="Times New Roman" w:hAnsi="Times New Roman" w:cs="Times New Roman"/>
        </w:rPr>
        <w:t xml:space="preserve">in their attitudinal or </w:t>
      </w:r>
      <w:proofErr w:type="spellStart"/>
      <w:r w:rsidR="00326708" w:rsidRPr="00304F2D">
        <w:rPr>
          <w:rFonts w:ascii="Times New Roman" w:hAnsi="Times New Roman" w:cs="Times New Roman"/>
        </w:rPr>
        <w:t>behavioural</w:t>
      </w:r>
      <w:proofErr w:type="spellEnd"/>
      <w:r w:rsidR="00326708" w:rsidRPr="00304F2D">
        <w:rPr>
          <w:rFonts w:ascii="Times New Roman" w:hAnsi="Times New Roman" w:cs="Times New Roman"/>
        </w:rPr>
        <w:t xml:space="preserve"> loyalty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&lt;EndNote&gt;&lt;Cite&gt;&lt;Author&gt;Ehrenberg&lt;/Author&gt;&lt;Year&gt;2004&lt;/Year&gt;&lt;RecNum&gt;7498&lt;/RecNum&gt;&lt;DisplayText&gt;(Ehrenberg, Uncles and Goodhardt, 2004)&lt;/DisplayText&gt;&lt;record&gt;&lt;rec-number&gt;7498&lt;/rec-number&gt;&lt;foreign-keys&gt;&lt;key app="EN" db-id="eswazv0p5wsezae2sd8pf59gf50trdav5fsw" timestamp="0"&gt;7498&lt;/key&gt;&lt;/foreign-keys&gt;&lt;ref-type name="Journal Article"&gt;17&lt;/ref-type&gt;&lt;contributors&gt;&lt;authors&gt;&lt;author&gt;Ehrenberg, Andrew&lt;/author&gt;&lt;author&gt;Uncles, Mark D&lt;/author&gt;&lt;author&gt;Goodhardt, Gerald G&lt;/author&gt;&lt;/authors&gt;&lt;/contributors&gt;&lt;titles&gt;&lt;title&gt;Understanding brand performance measures: Using Dirichlet benchmarks&lt;/title&gt;&lt;secondary-title&gt;Journal of Business Research&lt;/secondary-title&gt;&lt;/titles&gt;&lt;pages&gt;1307-1325&lt;/pages&gt;&lt;volume&gt;57&lt;/volume&gt;&lt;number&gt;12&lt;/number&gt;&lt;keywords&gt;&lt;keyword&gt;Dirichlet model&lt;/keyword&gt;&lt;keyword&gt;brand performance measures&lt;/keyword&gt;&lt;keyword&gt;brands&lt;/keyword&gt;&lt;/keywords&gt;&lt;dates&gt;&lt;year&gt;2004&lt;/year&gt;&lt;/dates&gt;&lt;label&gt;PDF&lt;/label&gt;&lt;urls&gt;&lt;/urls&gt;&lt;custom1&gt;pdf copy on server&lt;/custom1&gt;&lt;/record&gt;&lt;/Cite&gt;&lt;/EndNote&gt;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28" w:tooltip="Ehrenberg, 2004 #7498" w:history="1">
        <w:r w:rsidR="00DA6B8D" w:rsidRPr="00304F2D">
          <w:rPr>
            <w:rFonts w:ascii="Times New Roman" w:hAnsi="Times New Roman" w:cs="Times New Roman"/>
            <w:noProof/>
          </w:rPr>
          <w:t>Ehrenberg, Uncles and Goodhardt, 2004</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326708" w:rsidRPr="00304F2D">
        <w:rPr>
          <w:rFonts w:ascii="Times New Roman" w:hAnsi="Times New Roman" w:cs="Times New Roman"/>
        </w:rPr>
        <w:t xml:space="preserve">. </w:t>
      </w:r>
    </w:p>
    <w:p w14:paraId="69BAD514" w14:textId="23EF2C83" w:rsidR="008F65EA" w:rsidRPr="00304F2D" w:rsidRDefault="001C49AE" w:rsidP="001710D3">
      <w:pPr>
        <w:spacing w:line="480" w:lineRule="auto"/>
        <w:ind w:firstLine="720"/>
        <w:rPr>
          <w:rFonts w:ascii="Times New Roman" w:hAnsi="Times New Roman" w:cs="Times New Roman"/>
        </w:rPr>
      </w:pPr>
      <w:r w:rsidRPr="00304F2D">
        <w:rPr>
          <w:rFonts w:ascii="Times New Roman" w:hAnsi="Times New Roman" w:cs="Times New Roman"/>
        </w:rPr>
        <w:t xml:space="preserve">If </w:t>
      </w:r>
      <w:r w:rsidR="00600B9C" w:rsidRPr="00304F2D">
        <w:rPr>
          <w:rFonts w:ascii="Times New Roman" w:hAnsi="Times New Roman" w:cs="Times New Roman"/>
        </w:rPr>
        <w:t>non-profit categories</w:t>
      </w:r>
      <w:r w:rsidRPr="00304F2D">
        <w:rPr>
          <w:rFonts w:ascii="Times New Roman" w:hAnsi="Times New Roman" w:cs="Times New Roman"/>
        </w:rPr>
        <w:t xml:space="preserve"> </w:t>
      </w:r>
      <w:r w:rsidR="00CD5D0F" w:rsidRPr="00304F2D">
        <w:rPr>
          <w:rFonts w:ascii="Times New Roman" w:hAnsi="Times New Roman" w:cs="Times New Roman"/>
        </w:rPr>
        <w:t xml:space="preserve">were to </w:t>
      </w:r>
      <w:r w:rsidRPr="00304F2D">
        <w:rPr>
          <w:rFonts w:ascii="Times New Roman" w:hAnsi="Times New Roman" w:cs="Times New Roman"/>
        </w:rPr>
        <w:t xml:space="preserve">show similar </w:t>
      </w:r>
      <w:r w:rsidR="00CD5D0F" w:rsidRPr="00304F2D">
        <w:rPr>
          <w:rFonts w:ascii="Times New Roman" w:hAnsi="Times New Roman" w:cs="Times New Roman"/>
        </w:rPr>
        <w:t xml:space="preserve">Double Jeopardy </w:t>
      </w:r>
      <w:r w:rsidRPr="00304F2D">
        <w:rPr>
          <w:rFonts w:ascii="Times New Roman" w:hAnsi="Times New Roman" w:cs="Times New Roman"/>
        </w:rPr>
        <w:t>patterns</w:t>
      </w:r>
      <w:r w:rsidR="00CD5D0F" w:rsidRPr="00304F2D">
        <w:rPr>
          <w:rFonts w:ascii="Times New Roman" w:hAnsi="Times New Roman" w:cs="Times New Roman"/>
        </w:rPr>
        <w:t>,</w:t>
      </w:r>
      <w:r w:rsidRPr="00304F2D">
        <w:rPr>
          <w:rFonts w:ascii="Times New Roman" w:hAnsi="Times New Roman" w:cs="Times New Roman"/>
        </w:rPr>
        <w:t xml:space="preserve"> this </w:t>
      </w:r>
      <w:r w:rsidR="00675F57" w:rsidRPr="00304F2D">
        <w:rPr>
          <w:rFonts w:ascii="Times New Roman" w:hAnsi="Times New Roman" w:cs="Times New Roman"/>
        </w:rPr>
        <w:t xml:space="preserve">knowledge </w:t>
      </w:r>
      <w:r w:rsidR="00CD5D0F" w:rsidRPr="00304F2D">
        <w:rPr>
          <w:rFonts w:ascii="Times New Roman" w:hAnsi="Times New Roman" w:cs="Times New Roman"/>
        </w:rPr>
        <w:t xml:space="preserve">would </w:t>
      </w:r>
      <w:r w:rsidRPr="00304F2D">
        <w:rPr>
          <w:rFonts w:ascii="Times New Roman" w:hAnsi="Times New Roman" w:cs="Times New Roman"/>
        </w:rPr>
        <w:t xml:space="preserve">provide a firm foundation for non-profit marketers to </w:t>
      </w:r>
      <w:r w:rsidR="00CD5D0F" w:rsidRPr="00304F2D">
        <w:rPr>
          <w:rFonts w:ascii="Times New Roman" w:hAnsi="Times New Roman" w:cs="Times New Roman"/>
        </w:rPr>
        <w:t>make</w:t>
      </w:r>
      <w:r w:rsidRPr="00304F2D">
        <w:rPr>
          <w:rFonts w:ascii="Times New Roman" w:hAnsi="Times New Roman" w:cs="Times New Roman"/>
        </w:rPr>
        <w:t xml:space="preserve"> decisions</w:t>
      </w:r>
      <w:r w:rsidR="00CD5D0F" w:rsidRPr="00304F2D">
        <w:rPr>
          <w:rFonts w:ascii="Times New Roman" w:hAnsi="Times New Roman" w:cs="Times New Roman"/>
        </w:rPr>
        <w:t xml:space="preserve">. </w:t>
      </w:r>
      <w:r w:rsidR="00B74269" w:rsidRPr="00304F2D">
        <w:rPr>
          <w:rFonts w:ascii="Times New Roman" w:hAnsi="Times New Roman" w:cs="Times New Roman"/>
        </w:rPr>
        <w:t xml:space="preserve"> </w:t>
      </w:r>
      <w:r w:rsidR="00B11426">
        <w:rPr>
          <w:rFonts w:ascii="Times New Roman" w:hAnsi="Times New Roman" w:cs="Times New Roman"/>
        </w:rPr>
        <w:t>From this perspective, t</w:t>
      </w:r>
      <w:r w:rsidR="008F65EA" w:rsidRPr="00304F2D">
        <w:rPr>
          <w:rFonts w:ascii="Times New Roman" w:hAnsi="Times New Roman" w:cs="Times New Roman"/>
        </w:rPr>
        <w:t xml:space="preserve">he path </w:t>
      </w:r>
      <w:r w:rsidR="00600B9C" w:rsidRPr="00304F2D">
        <w:rPr>
          <w:rFonts w:ascii="Times New Roman" w:hAnsi="Times New Roman" w:cs="Times New Roman"/>
        </w:rPr>
        <w:t xml:space="preserve">to </w:t>
      </w:r>
      <w:r w:rsidR="008F65EA" w:rsidRPr="00304F2D">
        <w:rPr>
          <w:rFonts w:ascii="Times New Roman" w:hAnsi="Times New Roman" w:cs="Times New Roman"/>
        </w:rPr>
        <w:t xml:space="preserve">growth </w:t>
      </w:r>
      <w:r w:rsidR="00600B9C" w:rsidRPr="00304F2D">
        <w:rPr>
          <w:rFonts w:ascii="Times New Roman" w:hAnsi="Times New Roman" w:cs="Times New Roman"/>
        </w:rPr>
        <w:t>should focus on</w:t>
      </w:r>
      <w:r w:rsidR="008F65EA" w:rsidRPr="00304F2D">
        <w:rPr>
          <w:rFonts w:ascii="Times New Roman" w:hAnsi="Times New Roman" w:cs="Times New Roman"/>
        </w:rPr>
        <w:t xml:space="preserve"> increasing the supporter base</w:t>
      </w:r>
      <w:r w:rsidR="00B74269" w:rsidRPr="00304F2D">
        <w:rPr>
          <w:rFonts w:ascii="Times New Roman" w:hAnsi="Times New Roman" w:cs="Times New Roman"/>
        </w:rPr>
        <w:t>, as bigger brands will be those with more supporters.</w:t>
      </w:r>
      <w:r w:rsidR="006F5F44" w:rsidRPr="00304F2D">
        <w:rPr>
          <w:rFonts w:ascii="Times New Roman" w:hAnsi="Times New Roman" w:cs="Times New Roman"/>
        </w:rPr>
        <w:t xml:space="preserve"> </w:t>
      </w:r>
      <w:r w:rsidR="00675F57" w:rsidRPr="00304F2D">
        <w:rPr>
          <w:rFonts w:ascii="Times New Roman" w:hAnsi="Times New Roman" w:cs="Times New Roman"/>
        </w:rPr>
        <w:t>Confirmation of the Double Jeopardy pattern</w:t>
      </w:r>
      <w:r w:rsidR="009F2DFF" w:rsidRPr="00304F2D">
        <w:rPr>
          <w:rFonts w:ascii="Times New Roman" w:hAnsi="Times New Roman" w:cs="Times New Roman"/>
        </w:rPr>
        <w:t xml:space="preserve"> </w:t>
      </w:r>
      <w:r w:rsidR="00675F57" w:rsidRPr="00304F2D">
        <w:rPr>
          <w:rFonts w:ascii="Times New Roman" w:hAnsi="Times New Roman" w:cs="Times New Roman"/>
        </w:rPr>
        <w:t xml:space="preserve">will require a </w:t>
      </w:r>
      <w:r w:rsidR="009F2DFF" w:rsidRPr="00304F2D">
        <w:rPr>
          <w:rFonts w:ascii="Times New Roman" w:hAnsi="Times New Roman" w:cs="Times New Roman"/>
        </w:rPr>
        <w:t>paradigm shift in thinking</w:t>
      </w:r>
      <w:r w:rsidR="00675F57" w:rsidRPr="00304F2D">
        <w:rPr>
          <w:rFonts w:ascii="Times New Roman" w:hAnsi="Times New Roman" w:cs="Times New Roman"/>
        </w:rPr>
        <w:t xml:space="preserve"> for many non-profit marketers</w:t>
      </w:r>
      <w:r w:rsidR="000A0023" w:rsidRPr="00304F2D">
        <w:rPr>
          <w:rFonts w:ascii="Times New Roman" w:hAnsi="Times New Roman" w:cs="Times New Roman"/>
        </w:rPr>
        <w:t>,</w:t>
      </w:r>
      <w:r w:rsidR="00675F57" w:rsidRPr="00304F2D">
        <w:rPr>
          <w:rFonts w:ascii="Times New Roman" w:hAnsi="Times New Roman" w:cs="Times New Roman"/>
        </w:rPr>
        <w:t xml:space="preserve"> such as</w:t>
      </w:r>
      <w:r w:rsidR="009F2DFF" w:rsidRPr="00304F2D">
        <w:rPr>
          <w:rFonts w:ascii="Times New Roman" w:hAnsi="Times New Roman" w:cs="Times New Roman"/>
        </w:rPr>
        <w:t xml:space="preserve"> ignor</w:t>
      </w:r>
      <w:r w:rsidR="000A0023" w:rsidRPr="00304F2D">
        <w:rPr>
          <w:rFonts w:ascii="Times New Roman" w:hAnsi="Times New Roman" w:cs="Times New Roman"/>
        </w:rPr>
        <w:t>ing</w:t>
      </w:r>
      <w:r w:rsidR="009F2DFF" w:rsidRPr="00304F2D">
        <w:rPr>
          <w:rFonts w:ascii="Times New Roman" w:hAnsi="Times New Roman" w:cs="Times New Roman"/>
        </w:rPr>
        <w:t xml:space="preserve"> the </w:t>
      </w:r>
      <w:r w:rsidR="00B11426">
        <w:rPr>
          <w:rFonts w:ascii="Times New Roman" w:hAnsi="Times New Roman" w:cs="Times New Roman"/>
        </w:rPr>
        <w:t xml:space="preserve">common </w:t>
      </w:r>
      <w:r w:rsidR="009F2DFF" w:rsidRPr="00304F2D">
        <w:rPr>
          <w:rFonts w:ascii="Times New Roman" w:hAnsi="Times New Roman" w:cs="Times New Roman"/>
        </w:rPr>
        <w:t xml:space="preserve">recommendation to focus on retention </w:t>
      </w:r>
      <w:r w:rsidR="000A0023" w:rsidRPr="00304F2D">
        <w:rPr>
          <w:rFonts w:ascii="Times New Roman" w:hAnsi="Times New Roman" w:cs="Times New Roman"/>
        </w:rPr>
        <w:t xml:space="preserve">rather than </w:t>
      </w:r>
      <w:r w:rsidR="0000556B" w:rsidRPr="00304F2D">
        <w:rPr>
          <w:rFonts w:ascii="Times New Roman" w:hAnsi="Times New Roman" w:cs="Times New Roman"/>
        </w:rPr>
        <w:t xml:space="preserve">the </w:t>
      </w:r>
      <w:r w:rsidR="009F2DFF" w:rsidRPr="00304F2D">
        <w:rPr>
          <w:rFonts w:ascii="Times New Roman" w:hAnsi="Times New Roman" w:cs="Times New Roman"/>
        </w:rPr>
        <w:t>attract</w:t>
      </w:r>
      <w:r w:rsidR="0000556B" w:rsidRPr="00304F2D">
        <w:rPr>
          <w:rFonts w:ascii="Times New Roman" w:hAnsi="Times New Roman" w:cs="Times New Roman"/>
        </w:rPr>
        <w:t>ion of</w:t>
      </w:r>
      <w:r w:rsidR="009F2DFF" w:rsidRPr="00304F2D">
        <w:rPr>
          <w:rFonts w:ascii="Times New Roman" w:hAnsi="Times New Roman" w:cs="Times New Roman"/>
        </w:rPr>
        <w:t xml:space="preserve"> new supporters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&lt;EndNote&gt;&lt;Cite&gt;&lt;Author&gt;Sargeant&lt;/Author&gt;&lt;Year&gt;2011&lt;/Year&gt;&lt;RecNum&gt;26534&lt;/RecNum&gt;&lt;DisplayText&gt;(Sargeant and Shang, 2011)&lt;/DisplayText&gt;&lt;record&gt;&lt;rec-number&gt;26534&lt;/rec-number&gt;&lt;foreign-keys&gt;&lt;key app="EN" db-id="eswazv0p5wsezae2sd8pf59gf50trdav5fsw" timestamp="0"&gt;26534&lt;/key&gt;&lt;/foreign-keys&gt;&lt;ref-type name="Report"&gt;27&lt;/ref-type&gt;&lt;contributors&gt;&lt;authors&gt;&lt;author&gt;Sargeant, Adrian&lt;/author&gt;&lt;author&gt;Shang, Jen&lt;/author&gt;&lt;/authors&gt;&lt;tertiary-authors&gt;&lt;author&gt;16&lt;/author&gt;&lt;/tertiary-authors&gt;&lt;/contributors&gt;&lt;titles&gt;&lt;title&gt;Growing Philanthropy in the United Kingdom&lt;/title&gt;&lt;secondary-title&gt;A Report on the July 2011 Growing Philanthropy Summit&lt;/secondary-title&gt;&lt;/titles&gt;&lt;dates&gt;&lt;year&gt;2011&lt;/year&gt;&lt;/dates&gt;&lt;pub-location&gt;Online&lt;/pub-location&gt;&lt;publisher&gt;Institute of Fundraising and Bristol University of West England&lt;/publisher&gt;&lt;urls&gt;&lt;/urls&gt;&lt;/record&gt;&lt;/Cite&gt;&lt;/EndNote&gt;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53" w:tooltip="Sargeant, 2011 #26534" w:history="1">
        <w:r w:rsidR="00DA6B8D" w:rsidRPr="00304F2D">
          <w:rPr>
            <w:rFonts w:ascii="Times New Roman" w:hAnsi="Times New Roman" w:cs="Times New Roman"/>
            <w:noProof/>
          </w:rPr>
          <w:t>Sargeant and Shang, 2011</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9F2DFF" w:rsidRPr="00304F2D">
        <w:rPr>
          <w:rFonts w:ascii="Times New Roman" w:hAnsi="Times New Roman" w:cs="Times New Roman"/>
        </w:rPr>
        <w:t>.</w:t>
      </w:r>
      <w:r w:rsidR="000152CC" w:rsidRPr="00304F2D">
        <w:rPr>
          <w:rFonts w:ascii="Times New Roman" w:hAnsi="Times New Roman" w:cs="Times New Roman"/>
        </w:rPr>
        <w:t xml:space="preserve"> </w:t>
      </w:r>
    </w:p>
    <w:p w14:paraId="76E55FF5" w14:textId="73AE367C" w:rsidR="00AC0ECE" w:rsidRPr="00304F2D" w:rsidRDefault="000A0023" w:rsidP="00EE3CBE">
      <w:pPr>
        <w:keepNext/>
        <w:keepLines/>
        <w:spacing w:line="480" w:lineRule="auto"/>
        <w:ind w:firstLine="720"/>
        <w:rPr>
          <w:rFonts w:ascii="Times New Roman" w:hAnsi="Times New Roman" w:cs="Times New Roman"/>
        </w:rPr>
      </w:pPr>
      <w:r w:rsidRPr="00304F2D">
        <w:rPr>
          <w:rFonts w:ascii="Times New Roman" w:hAnsi="Times New Roman" w:cs="Times New Roman"/>
        </w:rPr>
        <w:lastRenderedPageBreak/>
        <w:t>Other associated patterns have been</w:t>
      </w:r>
      <w:r w:rsidR="00212542" w:rsidRPr="00304F2D">
        <w:rPr>
          <w:rFonts w:ascii="Times New Roman" w:hAnsi="Times New Roman" w:cs="Times New Roman"/>
        </w:rPr>
        <w:t xml:space="preserve"> </w:t>
      </w:r>
      <w:r w:rsidR="00CD5D0F" w:rsidRPr="00304F2D">
        <w:rPr>
          <w:rFonts w:ascii="Times New Roman" w:hAnsi="Times New Roman" w:cs="Times New Roman"/>
        </w:rPr>
        <w:t xml:space="preserve">found </w:t>
      </w:r>
      <w:r w:rsidRPr="00304F2D">
        <w:rPr>
          <w:rFonts w:ascii="Times New Roman" w:hAnsi="Times New Roman" w:cs="Times New Roman"/>
        </w:rPr>
        <w:t>in</w:t>
      </w:r>
      <w:r w:rsidR="00CA1FA0" w:rsidRPr="00304F2D">
        <w:rPr>
          <w:rFonts w:ascii="Times New Roman" w:hAnsi="Times New Roman" w:cs="Times New Roman"/>
        </w:rPr>
        <w:t xml:space="preserve"> consumer </w:t>
      </w:r>
      <w:proofErr w:type="spellStart"/>
      <w:r w:rsidR="00CA1FA0" w:rsidRPr="00304F2D">
        <w:rPr>
          <w:rFonts w:ascii="Times New Roman" w:hAnsi="Times New Roman" w:cs="Times New Roman"/>
        </w:rPr>
        <w:t>behaviour</w:t>
      </w:r>
      <w:proofErr w:type="spellEnd"/>
      <w:r w:rsidR="008B1425" w:rsidRPr="00304F2D">
        <w:rPr>
          <w:rFonts w:ascii="Times New Roman" w:hAnsi="Times New Roman" w:cs="Times New Roman"/>
        </w:rPr>
        <w:t xml:space="preserve">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&lt;EndNote&gt;&lt;Cite&gt;&lt;Author&gt;Ehrenberg&lt;/Author&gt;&lt;Year&gt;1988&lt;/Year&gt;&lt;RecNum&gt;7380&lt;/RecNum&gt;&lt;DisplayText&gt;(Ehrenberg, 1988)&lt;/DisplayText&gt;&lt;record&gt;&lt;rec-number&gt;7380&lt;/rec-number&gt;&lt;foreign-keys&gt;&lt;key app="EN" db-id="eswazv0p5wsezae2sd8pf59gf50trdav5fsw" timestamp="0"&gt;7380&lt;/key&gt;&lt;/foreign-keys&gt;&lt;ref-type name="Book"&gt;6&lt;/ref-type&gt;&lt;contributors&gt;&lt;authors&gt;&lt;author&gt;Ehrenberg, Andrew&lt;/author&gt;&lt;/authors&gt;&lt;/contributors&gt;&lt;titles&gt;&lt;title&gt;Repeat-buying: Facts, theory and applications&lt;/title&gt;&lt;/titles&gt;&lt;keywords&gt;&lt;keyword&gt;repeat purchase&lt;/keyword&gt;&lt;/keywords&gt;&lt;dates&gt;&lt;year&gt;1988&lt;/year&gt;&lt;/dates&gt;&lt;pub-location&gt;London&lt;/pub-location&gt;&lt;publisher&gt;Oxford University Press&lt;/publisher&gt;&lt;urls&gt;&lt;/urls&gt;&lt;/record&gt;&lt;/Cite&gt;&lt;/EndNote&gt;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25" w:tooltip="Ehrenberg, 1988 #7380" w:history="1">
        <w:r w:rsidR="00DA6B8D" w:rsidRPr="00304F2D">
          <w:rPr>
            <w:rFonts w:ascii="Times New Roman" w:hAnsi="Times New Roman" w:cs="Times New Roman"/>
            <w:noProof/>
          </w:rPr>
          <w:t>Ehrenberg, 1988</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517CB8" w:rsidRPr="00304F2D">
        <w:rPr>
          <w:rFonts w:ascii="Times New Roman" w:hAnsi="Times New Roman" w:cs="Times New Roman"/>
        </w:rPr>
        <w:t>,</w:t>
      </w:r>
      <w:r w:rsidR="001C49AE" w:rsidRPr="00304F2D">
        <w:rPr>
          <w:rFonts w:ascii="Times New Roman" w:hAnsi="Times New Roman" w:cs="Times New Roman"/>
        </w:rPr>
        <w:t xml:space="preserve"> </w:t>
      </w:r>
      <w:r w:rsidR="00517CB8" w:rsidRPr="00304F2D">
        <w:rPr>
          <w:rFonts w:ascii="Times New Roman" w:hAnsi="Times New Roman" w:cs="Times New Roman"/>
        </w:rPr>
        <w:t>transforming</w:t>
      </w:r>
      <w:r w:rsidR="001710D3" w:rsidRPr="00304F2D">
        <w:rPr>
          <w:rFonts w:ascii="Times New Roman" w:hAnsi="Times New Roman" w:cs="Times New Roman"/>
        </w:rPr>
        <w:t xml:space="preserve"> </w:t>
      </w:r>
      <w:r w:rsidRPr="00304F2D">
        <w:rPr>
          <w:rFonts w:ascii="Times New Roman" w:hAnsi="Times New Roman" w:cs="Times New Roman"/>
        </w:rPr>
        <w:t>practice</w:t>
      </w:r>
      <w:r w:rsidR="001710D3" w:rsidRPr="00304F2D">
        <w:rPr>
          <w:rFonts w:ascii="Times New Roman" w:hAnsi="Times New Roman" w:cs="Times New Roman"/>
        </w:rPr>
        <w:t xml:space="preserve"> </w:t>
      </w:r>
      <w:r w:rsidR="008F65EA" w:rsidRPr="00304F2D">
        <w:rPr>
          <w:rFonts w:ascii="Times New Roman" w:hAnsi="Times New Roman" w:cs="Times New Roman"/>
        </w:rPr>
        <w:t>and</w:t>
      </w:r>
      <w:r w:rsidR="00517CB8" w:rsidRPr="00304F2D">
        <w:rPr>
          <w:rFonts w:ascii="Times New Roman" w:hAnsi="Times New Roman" w:cs="Times New Roman"/>
        </w:rPr>
        <w:t xml:space="preserve"> increasing</w:t>
      </w:r>
      <w:r w:rsidR="001710D3" w:rsidRPr="00304F2D">
        <w:rPr>
          <w:rFonts w:ascii="Times New Roman" w:hAnsi="Times New Roman" w:cs="Times New Roman"/>
        </w:rPr>
        <w:t xml:space="preserve"> the credibility of </w:t>
      </w:r>
      <w:r w:rsidRPr="00304F2D">
        <w:rPr>
          <w:rFonts w:ascii="Times New Roman" w:hAnsi="Times New Roman" w:cs="Times New Roman"/>
        </w:rPr>
        <w:t xml:space="preserve">the </w:t>
      </w:r>
      <w:r w:rsidR="001710D3" w:rsidRPr="00304F2D">
        <w:rPr>
          <w:rFonts w:ascii="Times New Roman" w:hAnsi="Times New Roman" w:cs="Times New Roman"/>
        </w:rPr>
        <w:t xml:space="preserve">marketing function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&lt;EndNote&gt;&lt;Cite&gt;&lt;Author&gt;Kennedy&lt;/Author&gt;&lt;Year&gt;2012&lt;/Year&gt;&lt;RecNum&gt;23130&lt;/RecNum&gt;&lt;DisplayText&gt;(Kennedy and McColl, 2012)&lt;/DisplayText&gt;&lt;record&gt;&lt;rec-number&gt;23130&lt;/rec-number&gt;&lt;foreign-keys&gt;&lt;key app="EN" db-id="eswazv0p5wsezae2sd8pf59gf50trdav5fsw" timestamp="0"&gt;23130&lt;/key&gt;&lt;/foreign-keys&gt;&lt;ref-type name="Journal Article"&gt;17&lt;/ref-type&gt;&lt;contributors&gt;&lt;authors&gt;&lt;author&gt;Kennedy, Rachel&lt;/author&gt;&lt;author&gt;McColl, Bruce&lt;/author&gt;&lt;/authors&gt;&lt;/contributors&gt;&lt;titles&gt;&lt;title&gt;Brand growth at Mars, Inc.: How the global marketer embraced Ehrenberg’s science with creativity&lt;/title&gt;&lt;secondary-title&gt;Journal of Advertising Research&lt;/secondary-title&gt;&lt;/titles&gt;&lt;periodical&gt;&lt;full-title&gt;Journal of Advertising Research&lt;/full-title&gt;&lt;/periodical&gt;&lt;pages&gt;270-276&lt;/pages&gt;&lt;volume&gt;52&lt;/volume&gt;&lt;number&gt;2&lt;/number&gt;&lt;dates&gt;&lt;year&gt;2012&lt;/year&gt;&lt;/dates&gt;&lt;urls&gt;&lt;/urls&gt;&lt;/record&gt;&lt;/Cite&gt;&lt;/EndNote&gt;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36" w:tooltip="Kennedy, 2012 #23130" w:history="1">
        <w:r w:rsidR="00DA6B8D" w:rsidRPr="00304F2D">
          <w:rPr>
            <w:rFonts w:ascii="Times New Roman" w:hAnsi="Times New Roman" w:cs="Times New Roman"/>
            <w:noProof/>
          </w:rPr>
          <w:t>Kennedy and McColl, 2012</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1710D3" w:rsidRPr="00304F2D">
        <w:rPr>
          <w:rFonts w:ascii="Times New Roman" w:hAnsi="Times New Roman" w:cs="Times New Roman"/>
        </w:rPr>
        <w:t xml:space="preserve">. </w:t>
      </w:r>
      <w:r w:rsidR="008203D2" w:rsidRPr="00304F2D">
        <w:rPr>
          <w:rFonts w:ascii="Times New Roman" w:hAnsi="Times New Roman" w:cs="Times New Roman"/>
        </w:rPr>
        <w:t>D</w:t>
      </w:r>
      <w:r w:rsidRPr="00304F2D">
        <w:rPr>
          <w:rFonts w:ascii="Times New Roman" w:hAnsi="Times New Roman" w:cs="Times New Roman"/>
        </w:rPr>
        <w:t>ifferentiated r</w:t>
      </w:r>
      <w:r w:rsidR="00714FAC" w:rsidRPr="00304F2D">
        <w:rPr>
          <w:rFonts w:ascii="Times New Roman" w:hAnsi="Times New Roman" w:cs="Times New Roman"/>
        </w:rPr>
        <w:t>eplication</w:t>
      </w:r>
      <w:r w:rsidR="00A303E5" w:rsidRPr="00304F2D">
        <w:rPr>
          <w:rFonts w:ascii="Times New Roman" w:hAnsi="Times New Roman" w:cs="Times New Roman"/>
        </w:rPr>
        <w:t>s</w:t>
      </w:r>
      <w:r w:rsidR="007F0B59" w:rsidRPr="00304F2D">
        <w:rPr>
          <w:rFonts w:ascii="Times New Roman" w:hAnsi="Times New Roman" w:cs="Times New Roman"/>
        </w:rPr>
        <w:t xml:space="preserve"> show</w:t>
      </w:r>
      <w:r w:rsidR="00714FAC" w:rsidRPr="00304F2D">
        <w:rPr>
          <w:rFonts w:ascii="Times New Roman" w:hAnsi="Times New Roman" w:cs="Times New Roman"/>
        </w:rPr>
        <w:t xml:space="preserve"> law-like patterns </w:t>
      </w:r>
      <w:r w:rsidR="008F65EA" w:rsidRPr="00304F2D">
        <w:rPr>
          <w:rFonts w:ascii="Times New Roman" w:hAnsi="Times New Roman" w:cs="Times New Roman"/>
        </w:rPr>
        <w:t>exist</w:t>
      </w:r>
      <w:r w:rsidR="00714FAC" w:rsidRPr="00304F2D">
        <w:rPr>
          <w:rFonts w:ascii="Times New Roman" w:hAnsi="Times New Roman" w:cs="Times New Roman"/>
        </w:rPr>
        <w:t xml:space="preserve"> in a w</w:t>
      </w:r>
      <w:r w:rsidR="00BE1402" w:rsidRPr="00304F2D">
        <w:rPr>
          <w:rFonts w:ascii="Times New Roman" w:hAnsi="Times New Roman" w:cs="Times New Roman"/>
        </w:rPr>
        <w:t>ide range of markets and conditions</w:t>
      </w:r>
      <w:r w:rsidR="008B1425" w:rsidRPr="00304F2D">
        <w:rPr>
          <w:rFonts w:ascii="Times New Roman" w:hAnsi="Times New Roman" w:cs="Times New Roman"/>
        </w:rPr>
        <w:t xml:space="preserve">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&lt;EndNote&gt;&lt;Cite&gt;&lt;Author&gt;Ehrenberg&lt;/Author&gt;&lt;Year&gt;2004&lt;/Year&gt;&lt;RecNum&gt;7498&lt;/RecNum&gt;&lt;DisplayText&gt;(Ehrenberg, Uncles and Goodhardt, 2004)&lt;/DisplayText&gt;&lt;record&gt;&lt;rec-number&gt;7498&lt;/rec-number&gt;&lt;foreign-keys&gt;&lt;key app="EN" db-id="eswazv0p5wsezae2sd8pf59gf50trdav5fsw" timestamp="0"&gt;7498&lt;/key&gt;&lt;/foreign-keys&gt;&lt;ref-type name="Journal Article"&gt;17&lt;/ref-type&gt;&lt;contributors&gt;&lt;authors&gt;&lt;author&gt;Ehrenberg, Andrew&lt;/author&gt;&lt;author&gt;Uncles, Mark D&lt;/author&gt;&lt;author&gt;Goodhardt, Gerald G&lt;/author&gt;&lt;/authors&gt;&lt;/contributors&gt;&lt;titles&gt;&lt;title&gt;Understanding brand performance measures: Using Dirichlet benchmarks&lt;/title&gt;&lt;secondary-title&gt;Journal of Business Research&lt;/secondary-title&gt;&lt;/titles&gt;&lt;pages&gt;1307-1325&lt;/pages&gt;&lt;volume&gt;57&lt;/volume&gt;&lt;number&gt;12&lt;/number&gt;&lt;keywords&gt;&lt;keyword&gt;Dirichlet model&lt;/keyword&gt;&lt;keyword&gt;brand performance measures&lt;/keyword&gt;&lt;keyword&gt;brands&lt;/keyword&gt;&lt;/keywords&gt;&lt;dates&gt;&lt;year&gt;2004&lt;/year&gt;&lt;/dates&gt;&lt;label&gt;PDF&lt;/label&gt;&lt;urls&gt;&lt;/urls&gt;&lt;custom1&gt;pdf copy on server&lt;/custom1&gt;&lt;/record&gt;&lt;/Cite&gt;&lt;/EndNote&gt;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28" w:tooltip="Ehrenberg, 2004 #7498" w:history="1">
        <w:r w:rsidR="00DA6B8D" w:rsidRPr="00304F2D">
          <w:rPr>
            <w:rFonts w:ascii="Times New Roman" w:hAnsi="Times New Roman" w:cs="Times New Roman"/>
            <w:noProof/>
          </w:rPr>
          <w:t>Ehrenberg, Uncles and Goodhardt, 2004</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8B1425" w:rsidRPr="00304F2D">
        <w:rPr>
          <w:rFonts w:ascii="Times New Roman" w:hAnsi="Times New Roman" w:cs="Times New Roman"/>
        </w:rPr>
        <w:t>, including</w:t>
      </w:r>
      <w:r w:rsidR="00BE1402" w:rsidRPr="00304F2D">
        <w:rPr>
          <w:rFonts w:ascii="Times New Roman" w:hAnsi="Times New Roman" w:cs="Times New Roman"/>
        </w:rPr>
        <w:t xml:space="preserve"> </w:t>
      </w:r>
      <w:r w:rsidR="00714FAC" w:rsidRPr="00304F2D">
        <w:rPr>
          <w:rFonts w:ascii="Times New Roman" w:hAnsi="Times New Roman" w:cs="Times New Roman"/>
        </w:rPr>
        <w:t xml:space="preserve">aviation fuel </w:t>
      </w:r>
      <w:r w:rsidR="00BE1402" w:rsidRPr="00304F2D">
        <w:rPr>
          <w:rFonts w:ascii="Times New Roman" w:hAnsi="Times New Roman" w:cs="Times New Roman"/>
        </w:rPr>
        <w:t xml:space="preserve">contracts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&lt;EndNote&gt;&lt;Cite&gt;&lt;Author&gt;Uncles&lt;/Author&gt;&lt;Year&gt;1990&lt;/Year&gt;&lt;RecNum&gt;5301&lt;/RecNum&gt;&lt;DisplayText&gt;(Uncles and Ehrenberg, 1990)&lt;/DisplayText&gt;&lt;record&gt;&lt;rec-number&gt;5301&lt;/rec-number&gt;&lt;foreign-keys&gt;&lt;key app="EN" db-id="eswazv0p5wsezae2sd8pf59gf50trdav5fsw" timestamp="0"&gt;5301&lt;/key&gt;&lt;/foreign-keys&gt;&lt;ref-type name="Journal Article"&gt;17&lt;/ref-type&gt;&lt;contributors&gt;&lt;authors&gt;&lt;author&gt;Uncles, Mark D.&lt;/author&gt;&lt;author&gt;Ehrenberg, Andrew&lt;/author&gt;&lt;/authors&gt;&lt;/contributors&gt;&lt;titles&gt;&lt;title&gt;Industrial Buying Behavior:  Aviation Fuel Contracts&lt;/title&gt;&lt;secondary-title&gt;International Journal of Research in Marketing&lt;/secondary-title&gt;&lt;/titles&gt;&lt;pages&gt;56-68&lt;/pages&gt;&lt;volume&gt;7&lt;/volume&gt;&lt;number&gt;1&lt;/number&gt;&lt;section&gt;56&lt;/section&gt;&lt;keywords&gt;&lt;keyword&gt;Behaviourism&lt;/keyword&gt;&lt;keyword&gt;Consumer Choice&lt;/keyword&gt;&lt;/keywords&gt;&lt;dates&gt;&lt;year&gt;1990&lt;/year&gt;&lt;/dates&gt;&lt;label&gt;pdf&lt;/label&gt;&lt;urls&gt;&lt;/urls&gt;&lt;/record&gt;&lt;/Cite&gt;&lt;/EndNote&gt;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60" w:tooltip="Uncles, 1990 #5301" w:history="1">
        <w:r w:rsidR="00DA6B8D" w:rsidRPr="00304F2D">
          <w:rPr>
            <w:rFonts w:ascii="Times New Roman" w:hAnsi="Times New Roman" w:cs="Times New Roman"/>
            <w:noProof/>
          </w:rPr>
          <w:t>Uncles and Ehrenberg, 1990</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BE1402" w:rsidRPr="00304F2D">
        <w:rPr>
          <w:rFonts w:ascii="Times New Roman" w:hAnsi="Times New Roman" w:cs="Times New Roman"/>
        </w:rPr>
        <w:t xml:space="preserve"> and </w:t>
      </w:r>
      <w:r w:rsidR="00714FAC" w:rsidRPr="00304F2D">
        <w:rPr>
          <w:rFonts w:ascii="Times New Roman" w:hAnsi="Times New Roman" w:cs="Times New Roman"/>
        </w:rPr>
        <w:t xml:space="preserve">gambling </w:t>
      </w:r>
      <w:proofErr w:type="spellStart"/>
      <w:r w:rsidR="00714FAC" w:rsidRPr="00304F2D">
        <w:rPr>
          <w:rFonts w:ascii="Times New Roman" w:hAnsi="Times New Roman" w:cs="Times New Roman"/>
        </w:rPr>
        <w:t>behaviour</w:t>
      </w:r>
      <w:proofErr w:type="spellEnd"/>
      <w:r w:rsidR="00714FAC" w:rsidRPr="00304F2D">
        <w:rPr>
          <w:rFonts w:ascii="Times New Roman" w:hAnsi="Times New Roman" w:cs="Times New Roman"/>
        </w:rPr>
        <w:t xml:space="preserve">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&lt;EndNote&gt;&lt;Cite&gt;&lt;Author&gt;Lam&lt;/Author&gt;&lt;Year&gt;2009&lt;/Year&gt;&lt;RecNum&gt;20623&lt;/RecNum&gt;&lt;DisplayText&gt;(Lam and Mizerski, 2009)&lt;/DisplayText&gt;&lt;record&gt;&lt;rec-number&gt;20623&lt;/rec-number&gt;&lt;foreign-keys&gt;&lt;key app="EN" db-id="eswazv0p5wsezae2sd8pf59gf50trdav5fsw" timestamp="0"&gt;20623&lt;/key&gt;&lt;/foreign-keys&gt;&lt;ref-type name="Journal Article"&gt;17&lt;/ref-type&gt;&lt;contributors&gt;&lt;authors&gt;&lt;author&gt;Lam, Desmond&lt;/author&gt;&lt;author&gt;Mizerski, Richard&lt;/author&gt;&lt;/authors&gt;&lt;/contributors&gt;&lt;titles&gt;&lt;title&gt;An investigation into gambling purchases using the NBD and NBD-Dirichlet Models&lt;/title&gt;&lt;secondary-title&gt;Marketing Letters&lt;/secondary-title&gt;&lt;/titles&gt;&lt;pages&gt;263-276&lt;/pages&gt;&lt;volume&gt;20&lt;/volume&gt;&lt;number&gt;3&lt;/number&gt;&lt;dates&gt;&lt;year&gt;2009&lt;/year&gt;&lt;/dates&gt;&lt;urls&gt;&lt;/urls&gt;&lt;/record&gt;&lt;/Cite&gt;&lt;/EndNote&gt;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40" w:tooltip="Lam, 2009 #20623" w:history="1">
        <w:r w:rsidR="00DA6B8D" w:rsidRPr="00304F2D">
          <w:rPr>
            <w:rFonts w:ascii="Times New Roman" w:hAnsi="Times New Roman" w:cs="Times New Roman"/>
            <w:noProof/>
          </w:rPr>
          <w:t>Lam and Mizerski, 2009</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BE1402" w:rsidRPr="00304F2D">
        <w:rPr>
          <w:rFonts w:ascii="Times New Roman" w:hAnsi="Times New Roman" w:cs="Times New Roman"/>
        </w:rPr>
        <w:t>.</w:t>
      </w:r>
      <w:r w:rsidR="007F7473" w:rsidRPr="00304F2D">
        <w:rPr>
          <w:rFonts w:ascii="Times New Roman" w:hAnsi="Times New Roman" w:cs="Times New Roman"/>
        </w:rPr>
        <w:t xml:space="preserve"> </w:t>
      </w:r>
      <w:r w:rsidR="007F0B59" w:rsidRPr="00304F2D">
        <w:rPr>
          <w:rFonts w:ascii="Times New Roman" w:hAnsi="Times New Roman" w:cs="Times New Roman"/>
        </w:rPr>
        <w:t xml:space="preserve">For example, </w:t>
      </w:r>
      <w:r w:rsidR="008F65EA" w:rsidRPr="00304F2D">
        <w:rPr>
          <w:rFonts w:ascii="Times New Roman" w:hAnsi="Times New Roman" w:cs="Times New Roman"/>
        </w:rPr>
        <w:t>co</w:t>
      </w:r>
      <w:r w:rsidR="007F0B59" w:rsidRPr="00304F2D">
        <w:rPr>
          <w:rFonts w:ascii="Times New Roman" w:hAnsi="Times New Roman" w:cs="Times New Roman"/>
        </w:rPr>
        <w:t xml:space="preserve">nsumers </w:t>
      </w:r>
      <w:r w:rsidR="003E7067" w:rsidRPr="00304F2D">
        <w:rPr>
          <w:rFonts w:ascii="Times New Roman" w:hAnsi="Times New Roman" w:cs="Times New Roman"/>
        </w:rPr>
        <w:t xml:space="preserve">loyal to one brand </w:t>
      </w:r>
      <w:r w:rsidRPr="00304F2D">
        <w:rPr>
          <w:rFonts w:ascii="Times New Roman" w:hAnsi="Times New Roman" w:cs="Times New Roman"/>
        </w:rPr>
        <w:t>tend to be</w:t>
      </w:r>
      <w:r w:rsidR="00DF6B87" w:rsidRPr="00304F2D">
        <w:rPr>
          <w:rFonts w:ascii="Times New Roman" w:hAnsi="Times New Roman" w:cs="Times New Roman"/>
        </w:rPr>
        <w:t xml:space="preserve"> infrequent</w:t>
      </w:r>
      <w:r w:rsidR="007F7473" w:rsidRPr="00304F2D">
        <w:rPr>
          <w:rFonts w:ascii="Times New Roman" w:hAnsi="Times New Roman" w:cs="Times New Roman"/>
        </w:rPr>
        <w:t xml:space="preserve"> category</w:t>
      </w:r>
      <w:r w:rsidR="000C6C1E" w:rsidRPr="00304F2D">
        <w:rPr>
          <w:rFonts w:ascii="Times New Roman" w:hAnsi="Times New Roman" w:cs="Times New Roman"/>
        </w:rPr>
        <w:t xml:space="preserve"> </w:t>
      </w:r>
      <w:r w:rsidR="00205749" w:rsidRPr="00304F2D">
        <w:rPr>
          <w:rFonts w:ascii="Times New Roman" w:hAnsi="Times New Roman" w:cs="Times New Roman"/>
        </w:rPr>
        <w:t>buyers</w:t>
      </w:r>
      <w:r w:rsidR="008F65EA" w:rsidRPr="00304F2D">
        <w:rPr>
          <w:rFonts w:ascii="Times New Roman" w:hAnsi="Times New Roman" w:cs="Times New Roman"/>
        </w:rPr>
        <w:t xml:space="preserve"> and </w:t>
      </w:r>
      <w:r w:rsidR="003C6DA0">
        <w:rPr>
          <w:rFonts w:ascii="Times New Roman" w:hAnsi="Times New Roman" w:cs="Times New Roman"/>
        </w:rPr>
        <w:t>comprise</w:t>
      </w:r>
      <w:r w:rsidR="003C6DA0" w:rsidRPr="00304F2D">
        <w:rPr>
          <w:rFonts w:ascii="Times New Roman" w:hAnsi="Times New Roman" w:cs="Times New Roman"/>
        </w:rPr>
        <w:t xml:space="preserve"> </w:t>
      </w:r>
      <w:r w:rsidR="008F65EA" w:rsidRPr="00304F2D">
        <w:rPr>
          <w:rFonts w:ascii="Times New Roman" w:hAnsi="Times New Roman" w:cs="Times New Roman"/>
        </w:rPr>
        <w:t>a small proportion of any brand’s customer base</w:t>
      </w:r>
      <w:r w:rsidR="007F7473" w:rsidRPr="00304F2D">
        <w:rPr>
          <w:rFonts w:ascii="Times New Roman" w:hAnsi="Times New Roman" w:cs="Times New Roman"/>
        </w:rPr>
        <w:t xml:space="preserve">, </w:t>
      </w:r>
      <w:r w:rsidR="00CD5D0F" w:rsidRPr="00304F2D">
        <w:rPr>
          <w:rFonts w:ascii="Times New Roman" w:hAnsi="Times New Roman" w:cs="Times New Roman"/>
        </w:rPr>
        <w:t>as</w:t>
      </w:r>
      <w:r w:rsidR="007F7473" w:rsidRPr="00304F2D">
        <w:rPr>
          <w:rFonts w:ascii="Times New Roman" w:hAnsi="Times New Roman" w:cs="Times New Roman"/>
        </w:rPr>
        <w:t xml:space="preserve"> the</w:t>
      </w:r>
      <w:r w:rsidR="00205749" w:rsidRPr="00304F2D">
        <w:rPr>
          <w:rFonts w:ascii="Times New Roman" w:hAnsi="Times New Roman" w:cs="Times New Roman"/>
        </w:rPr>
        <w:t>y have limited opportunity to be disloyal</w:t>
      </w:r>
      <w:r w:rsidR="008F65EA" w:rsidRPr="00304F2D">
        <w:rPr>
          <w:rFonts w:ascii="Times New Roman" w:hAnsi="Times New Roman" w:cs="Times New Roman"/>
        </w:rPr>
        <w:t xml:space="preserve"> </w:t>
      </w:r>
      <w:r w:rsidR="008B2891"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&lt;EndNote&gt;&lt;Cite&gt;&lt;Author&gt;Ehrenberg&lt;/Author&gt;&lt;Year&gt;1988&lt;/Year&gt;&lt;RecNum&gt;7380&lt;/RecNum&gt;&lt;DisplayText&gt;(Ehrenberg, 1988; Sharp, Wright and Goodhardt, 2002)&lt;/DisplayText&gt;&lt;record&gt;&lt;rec-number&gt;7380&lt;/rec-number&gt;&lt;foreign-keys&gt;&lt;key app="EN" db-id="eswazv0p5wsezae2sd8pf59gf50trdav5fsw" timestamp="0"&gt;7380&lt;/key&gt;&lt;/foreign-keys&gt;&lt;ref-type name="Book"&gt;6&lt;/ref-type&gt;&lt;contributors&gt;&lt;authors&gt;&lt;author&gt;Ehrenberg, Andrew&lt;/author&gt;&lt;/authors&gt;&lt;/contributors&gt;&lt;titles&gt;&lt;title&gt;Repeat-buying: Facts, theory and applications&lt;/title&gt;&lt;/titles&gt;&lt;keywords&gt;&lt;keyword&gt;repeat purchase&lt;/keyword&gt;&lt;/keywords&gt;&lt;dates&gt;&lt;year&gt;1988&lt;/year&gt;&lt;/dates&gt;&lt;pub-location&gt;London&lt;/pub-location&gt;&lt;publisher&gt;Oxford University Press&lt;/publisher&gt;&lt;urls&gt;&lt;/urls&gt;&lt;/record&gt;&lt;/Cite&gt;&lt;Cite&gt;&lt;Author&gt;Sharp&lt;/Author&gt;&lt;Year&gt;2002&lt;/Year&gt;&lt;RecNum&gt;7539&lt;/RecNum&gt;&lt;record&gt;&lt;rec-number&gt;7539&lt;/rec-number&gt;&lt;foreign-keys&gt;&lt;key app="EN" db-id="eswazv0p5wsezae2sd8pf59gf50trdav5fsw" timestamp="0"&gt;7539&lt;/key&gt;&lt;/foreign-keys&gt;&lt;ref-type name="Journal Article"&gt;17&lt;/ref-type&gt;&lt;contributors&gt;&lt;authors&gt;&lt;author&gt;Sharp, Byron&lt;/author&gt;&lt;author&gt;Wright, Malcolm&lt;/author&gt;&lt;author&gt;Goodhardt, Gerald&lt;/author&gt;&lt;/authors&gt;&lt;/contributors&gt;&lt;titles&gt;&lt;title&gt;Purchase loyalty is polarised into either repertoire or subscription patterns&lt;/title&gt;&lt;secondary-title&gt;Australasian Marketing Journal&lt;/secondary-title&gt;&lt;/titles&gt;&lt;pages&gt;7-20&lt;/pages&gt;&lt;volume&gt;10&lt;/volume&gt;&lt;number&gt;3&lt;/number&gt;&lt;keywords&gt;&lt;keyword&gt;Dirichlet model&lt;/keyword&gt;&lt;keyword&gt;Repertoire markets&lt;/keyword&gt;&lt;keyword&gt;Subscription markets&lt;/keyword&gt;&lt;/keywords&gt;&lt;dates&gt;&lt;year&gt;2002&lt;/year&gt;&lt;/dates&gt;&lt;urls&gt;&lt;/urls&gt;&lt;custom1&gt;pdf copy on server&lt;/custom1&gt;&lt;/record&gt;&lt;/Cite&gt;&lt;/EndNote&gt;</w:instrText>
      </w:r>
      <w:r w:rsidR="008B2891" w:rsidRPr="00304F2D">
        <w:rPr>
          <w:rFonts w:ascii="Times New Roman" w:hAnsi="Times New Roman" w:cs="Times New Roman"/>
        </w:rPr>
        <w:fldChar w:fldCharType="separate"/>
      </w:r>
      <w:r w:rsidR="008B2891" w:rsidRPr="00304F2D">
        <w:rPr>
          <w:rFonts w:ascii="Times New Roman" w:hAnsi="Times New Roman" w:cs="Times New Roman"/>
          <w:noProof/>
        </w:rPr>
        <w:t>(</w:t>
      </w:r>
      <w:hyperlink w:anchor="_ENREF_25" w:tooltip="Ehrenberg, 1988 #7380" w:history="1">
        <w:r w:rsidR="00DA6B8D" w:rsidRPr="00304F2D">
          <w:rPr>
            <w:rFonts w:ascii="Times New Roman" w:hAnsi="Times New Roman" w:cs="Times New Roman"/>
            <w:noProof/>
          </w:rPr>
          <w:t>Ehrenberg, 1988</w:t>
        </w:r>
      </w:hyperlink>
      <w:r w:rsidR="008B2891" w:rsidRPr="00304F2D">
        <w:rPr>
          <w:rFonts w:ascii="Times New Roman" w:hAnsi="Times New Roman" w:cs="Times New Roman"/>
          <w:noProof/>
        </w:rPr>
        <w:t xml:space="preserve">; </w:t>
      </w:r>
      <w:hyperlink w:anchor="_ENREF_55" w:tooltip="Sharp, 2002 #7539" w:history="1">
        <w:r w:rsidR="00DA6B8D" w:rsidRPr="00304F2D">
          <w:rPr>
            <w:rFonts w:ascii="Times New Roman" w:hAnsi="Times New Roman" w:cs="Times New Roman"/>
            <w:noProof/>
          </w:rPr>
          <w:t>Sharp, Wright and Goodhardt, 2002</w:t>
        </w:r>
      </w:hyperlink>
      <w:r w:rsidR="008B2891" w:rsidRPr="00304F2D">
        <w:rPr>
          <w:rFonts w:ascii="Times New Roman" w:hAnsi="Times New Roman" w:cs="Times New Roman"/>
          <w:noProof/>
        </w:rPr>
        <w:t>)</w:t>
      </w:r>
      <w:r w:rsidR="008B2891" w:rsidRPr="00304F2D">
        <w:rPr>
          <w:rFonts w:ascii="Times New Roman" w:hAnsi="Times New Roman" w:cs="Times New Roman"/>
        </w:rPr>
        <w:fldChar w:fldCharType="end"/>
      </w:r>
      <w:r w:rsidR="001C49AE" w:rsidRPr="00304F2D">
        <w:rPr>
          <w:rFonts w:ascii="Times New Roman" w:hAnsi="Times New Roman" w:cs="Times New Roman"/>
        </w:rPr>
        <w:t>.</w:t>
      </w:r>
      <w:r w:rsidR="006F5F44" w:rsidRPr="00304F2D">
        <w:rPr>
          <w:rFonts w:ascii="Times New Roman" w:hAnsi="Times New Roman" w:cs="Times New Roman"/>
        </w:rPr>
        <w:t xml:space="preserve"> </w:t>
      </w:r>
      <w:r w:rsidR="00675F57" w:rsidRPr="00304F2D">
        <w:rPr>
          <w:rFonts w:ascii="Times New Roman" w:hAnsi="Times New Roman" w:cs="Times New Roman"/>
        </w:rPr>
        <w:t>Armed with such</w:t>
      </w:r>
      <w:r w:rsidR="004E5C13" w:rsidRPr="00304F2D">
        <w:rPr>
          <w:rFonts w:ascii="Times New Roman" w:hAnsi="Times New Roman" w:cs="Times New Roman"/>
        </w:rPr>
        <w:t xml:space="preserve"> knowledge, brand managers</w:t>
      </w:r>
      <w:r w:rsidR="00517CB8" w:rsidRPr="00304F2D">
        <w:rPr>
          <w:rFonts w:ascii="Times New Roman" w:hAnsi="Times New Roman" w:cs="Times New Roman"/>
        </w:rPr>
        <w:t xml:space="preserve"> would not </w:t>
      </w:r>
      <w:proofErr w:type="spellStart"/>
      <w:r w:rsidR="00517CB8" w:rsidRPr="00304F2D">
        <w:rPr>
          <w:rFonts w:ascii="Times New Roman" w:hAnsi="Times New Roman" w:cs="Times New Roman"/>
        </w:rPr>
        <w:t>favour</w:t>
      </w:r>
      <w:proofErr w:type="spellEnd"/>
      <w:r w:rsidR="00517CB8" w:rsidRPr="00304F2D">
        <w:rPr>
          <w:rFonts w:ascii="Times New Roman" w:hAnsi="Times New Roman" w:cs="Times New Roman"/>
        </w:rPr>
        <w:t xml:space="preserve"> customers </w:t>
      </w:r>
      <w:r w:rsidR="00326708" w:rsidRPr="00304F2D">
        <w:rPr>
          <w:rFonts w:ascii="Times New Roman" w:hAnsi="Times New Roman" w:cs="Times New Roman"/>
        </w:rPr>
        <w:t>buy</w:t>
      </w:r>
      <w:r w:rsidR="00517CB8" w:rsidRPr="00304F2D">
        <w:rPr>
          <w:rFonts w:ascii="Times New Roman" w:hAnsi="Times New Roman" w:cs="Times New Roman"/>
        </w:rPr>
        <w:t>ing only</w:t>
      </w:r>
      <w:r w:rsidR="00326708" w:rsidRPr="00304F2D">
        <w:rPr>
          <w:rFonts w:ascii="Times New Roman" w:hAnsi="Times New Roman" w:cs="Times New Roman"/>
        </w:rPr>
        <w:t xml:space="preserve"> their brand </w:t>
      </w:r>
      <w:r w:rsidR="00517CB8" w:rsidRPr="00304F2D">
        <w:rPr>
          <w:rFonts w:ascii="Times New Roman" w:hAnsi="Times New Roman" w:cs="Times New Roman"/>
        </w:rPr>
        <w:t>over</w:t>
      </w:r>
      <w:r w:rsidR="00326708" w:rsidRPr="00304F2D">
        <w:rPr>
          <w:rFonts w:ascii="Times New Roman" w:hAnsi="Times New Roman" w:cs="Times New Roman"/>
        </w:rPr>
        <w:t xml:space="preserve"> </w:t>
      </w:r>
      <w:r w:rsidR="00CD5D0F" w:rsidRPr="00304F2D">
        <w:rPr>
          <w:rFonts w:ascii="Times New Roman" w:hAnsi="Times New Roman" w:cs="Times New Roman"/>
        </w:rPr>
        <w:t>customers</w:t>
      </w:r>
      <w:r w:rsidR="00517CB8" w:rsidRPr="00304F2D">
        <w:rPr>
          <w:rFonts w:ascii="Times New Roman" w:hAnsi="Times New Roman" w:cs="Times New Roman"/>
        </w:rPr>
        <w:t xml:space="preserve"> </w:t>
      </w:r>
      <w:r w:rsidR="004E5C13" w:rsidRPr="00304F2D">
        <w:rPr>
          <w:rFonts w:ascii="Times New Roman" w:hAnsi="Times New Roman" w:cs="Times New Roman"/>
        </w:rPr>
        <w:t>als</w:t>
      </w:r>
      <w:r w:rsidR="00326708" w:rsidRPr="00304F2D">
        <w:rPr>
          <w:rFonts w:ascii="Times New Roman" w:hAnsi="Times New Roman" w:cs="Times New Roman"/>
        </w:rPr>
        <w:t>o buy</w:t>
      </w:r>
      <w:r w:rsidR="00517CB8" w:rsidRPr="00304F2D">
        <w:rPr>
          <w:rFonts w:ascii="Times New Roman" w:hAnsi="Times New Roman" w:cs="Times New Roman"/>
        </w:rPr>
        <w:t>ing</w:t>
      </w:r>
      <w:r w:rsidR="006F5F44" w:rsidRPr="00304F2D">
        <w:rPr>
          <w:rFonts w:ascii="Times New Roman" w:hAnsi="Times New Roman" w:cs="Times New Roman"/>
        </w:rPr>
        <w:t xml:space="preserve"> from their competitors. </w:t>
      </w:r>
      <w:r w:rsidR="0012552A" w:rsidRPr="00304F2D">
        <w:rPr>
          <w:rFonts w:ascii="Times New Roman" w:hAnsi="Times New Roman" w:cs="Times New Roman"/>
        </w:rPr>
        <w:t>Hence, being</w:t>
      </w:r>
      <w:r w:rsidR="00655429" w:rsidRPr="00304F2D">
        <w:rPr>
          <w:rFonts w:ascii="Times New Roman" w:hAnsi="Times New Roman" w:cs="Times New Roman"/>
        </w:rPr>
        <w:t xml:space="preserve"> </w:t>
      </w:r>
      <w:r w:rsidR="0012552A" w:rsidRPr="00304F2D">
        <w:rPr>
          <w:rFonts w:ascii="Times New Roman" w:hAnsi="Times New Roman" w:cs="Times New Roman"/>
        </w:rPr>
        <w:t xml:space="preserve">the </w:t>
      </w:r>
      <w:r w:rsidR="004C718E" w:rsidRPr="00304F2D">
        <w:rPr>
          <w:rFonts w:ascii="Times New Roman" w:hAnsi="Times New Roman" w:cs="Times New Roman"/>
        </w:rPr>
        <w:t xml:space="preserve">second-choice brand in a supporter’s portfolio is better than not receiving any support </w:t>
      </w:r>
      <w:r w:rsidR="00435644"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&lt;EndNote&gt;&lt;Cite&gt;&lt;Author&gt;Bennett&lt;/Author&gt;&lt;Year&gt;2012&lt;/Year&gt;&lt;RecNum&gt;26557&lt;/RecNum&gt;&lt;DisplayText&gt;(Bennett, 2012)&lt;/DisplayText&gt;&lt;record&gt;&lt;rec-number&gt;26557&lt;/rec-number&gt;&lt;foreign-keys&gt;&lt;key app="EN" db-id="eswazv0p5wsezae2sd8pf59gf50trdav5fsw" timestamp="0"&gt;26557&lt;/key&gt;&lt;/foreign-keys&gt;&lt;ref-type name="Journal Article"&gt;17&lt;/ref-type&gt;&lt;contributors&gt;&lt;authors&gt;&lt;author&gt;Bennett, Roger&lt;/author&gt;&lt;/authors&gt;&lt;/contributors&gt;&lt;titles&gt;&lt;title&gt;What else should I support? An empirical study of multiple cause donation behavior&lt;/title&gt;&lt;secondary-title&gt;Journal of Nonprofit &amp;amp; Public Sector Marketing&lt;/secondary-title&gt;&lt;/titles&gt;&lt;pages&gt;1-25&lt;/pages&gt;&lt;volume&gt;24&lt;/volume&gt;&lt;number&gt;1&lt;/number&gt;&lt;dates&gt;&lt;year&gt;2012&lt;/year&gt;&lt;/dates&gt;&lt;publisher&gt;Taylor &amp;amp; Francis&lt;/publisher&gt;&lt;isbn&gt;1049-5142&lt;/isbn&gt;&lt;urls&gt;&lt;/urls&gt;&lt;/record&gt;&lt;/Cite&gt;&lt;/EndNote&gt;</w:instrText>
      </w:r>
      <w:r w:rsidR="00435644" w:rsidRPr="00304F2D">
        <w:rPr>
          <w:rFonts w:ascii="Times New Roman" w:hAnsi="Times New Roman" w:cs="Times New Roman"/>
        </w:rPr>
        <w:fldChar w:fldCharType="separate"/>
      </w:r>
      <w:r w:rsidR="007842E0" w:rsidRPr="00304F2D">
        <w:rPr>
          <w:rFonts w:ascii="Times New Roman" w:hAnsi="Times New Roman" w:cs="Times New Roman"/>
          <w:noProof/>
        </w:rPr>
        <w:t>(</w:t>
      </w:r>
      <w:hyperlink w:anchor="_ENREF_15" w:tooltip="Bennett, 2012 #26557" w:history="1">
        <w:r w:rsidR="00DA6B8D" w:rsidRPr="00304F2D">
          <w:rPr>
            <w:rFonts w:ascii="Times New Roman" w:hAnsi="Times New Roman" w:cs="Times New Roman"/>
            <w:noProof/>
          </w:rPr>
          <w:t>Bennett, 2012</w:t>
        </w:r>
      </w:hyperlink>
      <w:r w:rsidR="007842E0" w:rsidRPr="00304F2D">
        <w:rPr>
          <w:rFonts w:ascii="Times New Roman" w:hAnsi="Times New Roman" w:cs="Times New Roman"/>
          <w:noProof/>
        </w:rPr>
        <w:t>)</w:t>
      </w:r>
      <w:r w:rsidR="00435644" w:rsidRPr="00304F2D">
        <w:rPr>
          <w:rFonts w:ascii="Times New Roman" w:hAnsi="Times New Roman" w:cs="Times New Roman"/>
        </w:rPr>
        <w:fldChar w:fldCharType="end"/>
      </w:r>
      <w:r w:rsidR="000152CC" w:rsidRPr="00304F2D">
        <w:rPr>
          <w:rFonts w:ascii="Times New Roman" w:hAnsi="Times New Roman" w:cs="Times New Roman"/>
        </w:rPr>
        <w:t xml:space="preserve">. </w:t>
      </w:r>
      <w:r w:rsidR="009E0000" w:rsidRPr="00304F2D">
        <w:rPr>
          <w:rFonts w:ascii="Times New Roman" w:hAnsi="Times New Roman" w:cs="Times New Roman"/>
        </w:rPr>
        <w:t>This suggests the normal practice is for most</w:t>
      </w:r>
      <w:r w:rsidR="000152CC" w:rsidRPr="00304F2D">
        <w:rPr>
          <w:rFonts w:ascii="Times New Roman" w:hAnsi="Times New Roman" w:cs="Times New Roman"/>
        </w:rPr>
        <w:t xml:space="preserve"> non-profits</w:t>
      </w:r>
      <w:r w:rsidR="009E0000" w:rsidRPr="00304F2D">
        <w:rPr>
          <w:rFonts w:ascii="Times New Roman" w:hAnsi="Times New Roman" w:cs="Times New Roman"/>
        </w:rPr>
        <w:t xml:space="preserve"> to share their supporters with other non-profit </w:t>
      </w:r>
      <w:proofErr w:type="spellStart"/>
      <w:r w:rsidR="009E0000" w:rsidRPr="00304F2D">
        <w:rPr>
          <w:rFonts w:ascii="Times New Roman" w:hAnsi="Times New Roman" w:cs="Times New Roman"/>
        </w:rPr>
        <w:t>organisations</w:t>
      </w:r>
      <w:proofErr w:type="spellEnd"/>
      <w:r w:rsidR="00B74269" w:rsidRPr="00304F2D">
        <w:rPr>
          <w:rFonts w:ascii="Times New Roman" w:hAnsi="Times New Roman" w:cs="Times New Roman"/>
        </w:rPr>
        <w:t>.</w:t>
      </w:r>
      <w:r w:rsidR="006F5F44" w:rsidRPr="00304F2D">
        <w:rPr>
          <w:rFonts w:ascii="Times New Roman" w:hAnsi="Times New Roman" w:cs="Times New Roman"/>
        </w:rPr>
        <w:t xml:space="preserve"> We propose</w:t>
      </w:r>
      <w:r w:rsidR="002F0751" w:rsidRPr="00304F2D">
        <w:rPr>
          <w:rFonts w:ascii="Times New Roman" w:hAnsi="Times New Roman" w:cs="Times New Roman"/>
        </w:rPr>
        <w:t xml:space="preserve"> law-like patterns shown in other markets</w:t>
      </w:r>
      <w:r w:rsidR="00517CB8" w:rsidRPr="00304F2D">
        <w:rPr>
          <w:rFonts w:ascii="Times New Roman" w:hAnsi="Times New Roman" w:cs="Times New Roman"/>
        </w:rPr>
        <w:t xml:space="preserve"> </w:t>
      </w:r>
      <w:r w:rsidR="006F5F44" w:rsidRPr="00304F2D">
        <w:rPr>
          <w:rFonts w:ascii="Times New Roman" w:hAnsi="Times New Roman" w:cs="Times New Roman"/>
        </w:rPr>
        <w:t xml:space="preserve">will also apply </w:t>
      </w:r>
      <w:r w:rsidR="00517CB8" w:rsidRPr="00304F2D">
        <w:rPr>
          <w:rFonts w:ascii="Times New Roman" w:hAnsi="Times New Roman" w:cs="Times New Roman"/>
        </w:rPr>
        <w:t xml:space="preserve">to the non-profit context, i.e. </w:t>
      </w:r>
      <w:r w:rsidR="0093752D" w:rsidRPr="00304F2D">
        <w:rPr>
          <w:rFonts w:ascii="Times New Roman" w:hAnsi="Times New Roman" w:cs="Times New Roman"/>
        </w:rPr>
        <w:t xml:space="preserve">the acquisition of new donors </w:t>
      </w:r>
      <w:r w:rsidR="00517CB8" w:rsidRPr="00304F2D">
        <w:rPr>
          <w:rFonts w:ascii="Times New Roman" w:hAnsi="Times New Roman" w:cs="Times New Roman"/>
        </w:rPr>
        <w:t xml:space="preserve">will be the most feasible </w:t>
      </w:r>
      <w:r w:rsidR="0093752D" w:rsidRPr="00304F2D">
        <w:rPr>
          <w:rFonts w:ascii="Times New Roman" w:hAnsi="Times New Roman" w:cs="Times New Roman"/>
        </w:rPr>
        <w:t>path</w:t>
      </w:r>
      <w:r w:rsidR="00517CB8" w:rsidRPr="00304F2D">
        <w:rPr>
          <w:rFonts w:ascii="Times New Roman" w:hAnsi="Times New Roman" w:cs="Times New Roman"/>
        </w:rPr>
        <w:t>way for</w:t>
      </w:r>
      <w:r w:rsidR="0093752D" w:rsidRPr="00304F2D">
        <w:rPr>
          <w:rFonts w:ascii="Times New Roman" w:hAnsi="Times New Roman" w:cs="Times New Roman"/>
        </w:rPr>
        <w:t xml:space="preserve"> brand growth.</w:t>
      </w:r>
    </w:p>
    <w:p w14:paraId="46CD70B0" w14:textId="77777777" w:rsidR="00EE3CBE" w:rsidRPr="00304F2D" w:rsidRDefault="00EE3CBE" w:rsidP="00EE3CBE">
      <w:pPr>
        <w:keepNext/>
        <w:keepLines/>
        <w:spacing w:line="480" w:lineRule="auto"/>
        <w:rPr>
          <w:rFonts w:ascii="Times New Roman" w:hAnsi="Times New Roman" w:cs="Times New Roman"/>
        </w:rPr>
      </w:pPr>
    </w:p>
    <w:p w14:paraId="19011D25" w14:textId="76C81B15" w:rsidR="001F74AD" w:rsidRPr="00304F2D" w:rsidRDefault="00827BE0" w:rsidP="00026251">
      <w:pPr>
        <w:keepNext/>
        <w:keepLines/>
        <w:spacing w:line="480" w:lineRule="auto"/>
        <w:jc w:val="both"/>
        <w:rPr>
          <w:rFonts w:ascii="Times New Roman" w:hAnsi="Times New Roman" w:cs="Times New Roman"/>
        </w:rPr>
      </w:pPr>
      <w:r w:rsidRPr="00304F2D">
        <w:rPr>
          <w:rFonts w:ascii="Times New Roman" w:hAnsi="Times New Roman" w:cs="Times New Roman"/>
          <w:b/>
        </w:rPr>
        <w:t>2</w:t>
      </w:r>
      <w:r w:rsidR="002F4CBD" w:rsidRPr="00304F2D">
        <w:rPr>
          <w:rFonts w:ascii="Times New Roman" w:hAnsi="Times New Roman" w:cs="Times New Roman"/>
          <w:b/>
        </w:rPr>
        <w:t>.</w:t>
      </w:r>
      <w:r w:rsidR="00067E45" w:rsidRPr="00304F2D">
        <w:rPr>
          <w:rFonts w:ascii="Times New Roman" w:hAnsi="Times New Roman" w:cs="Times New Roman"/>
          <w:b/>
        </w:rPr>
        <w:t xml:space="preserve"> Giving </w:t>
      </w:r>
      <w:r w:rsidR="00AC0ECE" w:rsidRPr="00304F2D">
        <w:rPr>
          <w:rFonts w:ascii="Times New Roman" w:hAnsi="Times New Roman" w:cs="Times New Roman"/>
          <w:b/>
        </w:rPr>
        <w:t>Support</w:t>
      </w:r>
    </w:p>
    <w:p w14:paraId="24B44AAF" w14:textId="0A279ACC" w:rsidR="005722FD" w:rsidRPr="00304F2D" w:rsidRDefault="0076786A" w:rsidP="003D1C98">
      <w:pPr>
        <w:spacing w:line="480" w:lineRule="auto"/>
        <w:ind w:firstLine="720"/>
        <w:rPr>
          <w:rFonts w:ascii="Times New Roman" w:hAnsi="Times New Roman" w:cs="Times New Roman"/>
        </w:rPr>
      </w:pPr>
      <w:r w:rsidRPr="00304F2D">
        <w:rPr>
          <w:rFonts w:ascii="Times New Roman" w:hAnsi="Times New Roman" w:cs="Times New Roman"/>
        </w:rPr>
        <w:t xml:space="preserve">Non-profit marketers face many of the same marketing challenges as commercial marketers. To maintain income, new donors are required </w:t>
      </w:r>
      <w:r w:rsidR="006C3890">
        <w:rPr>
          <w:rFonts w:ascii="Times New Roman" w:hAnsi="Times New Roman" w:cs="Times New Roman"/>
        </w:rPr>
        <w:t xml:space="preserve">in order </w:t>
      </w:r>
      <w:r w:rsidR="002F5515" w:rsidRPr="00304F2D">
        <w:rPr>
          <w:rFonts w:ascii="Times New Roman" w:hAnsi="Times New Roman" w:cs="Times New Roman"/>
        </w:rPr>
        <w:t>to replace the large number of donors lapsing</w:t>
      </w:r>
      <w:r w:rsidRPr="00304F2D">
        <w:rPr>
          <w:rFonts w:ascii="Times New Roman" w:hAnsi="Times New Roman" w:cs="Times New Roman"/>
        </w:rPr>
        <w:t xml:space="preserve"> each year.  For example, only 43% of 2012 supporters made repeat gifts in 2013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&lt;EndNote&gt;&lt;Cite&gt;&lt;Author&gt;Association of Fundraising Professionals&lt;/Author&gt;&lt;Year&gt;2014&lt;/Year&gt;&lt;RecNum&gt;27627&lt;/RecNum&gt;&lt;DisplayText&gt;(Association of Fundraising Professionals, 2014)&lt;/DisplayText&gt;&lt;record&gt;&lt;rec-number&gt;27627&lt;/rec-number&gt;&lt;foreign-keys&gt;&lt;key app="EN" db-id="eswazv0p5wsezae2sd8pf59gf50trdav5fsw" timestamp="0"&gt;27627&lt;/key&gt;&lt;/foreign-keys&gt;&lt;ref-type name="Report"&gt;27&lt;/ref-type&gt;&lt;contributors&gt;&lt;authors&gt;&lt;author&gt;Association of Fundraising Professionals, &lt;/author&gt;&lt;/authors&gt;&lt;tertiary-authors&gt;&lt;author&gt;Association of Fundraising Professionals &lt;/author&gt;&lt;/tertiary-authors&gt;&lt;/contributors&gt;&lt;titles&gt;&lt;title&gt;Fundraising effectiveness survey report&lt;/title&gt;&lt;/titles&gt;&lt;pages&gt;1-27&lt;/pages&gt;&lt;dates&gt;&lt;year&gt;2014&lt;/year&gt;&lt;/dates&gt;&lt;pub-location&gt;Online&lt;/pub-location&gt;&lt;publisher&gt;The Urban Institute&lt;/publisher&gt;&lt;urls&gt;&lt;/urls&gt;&lt;/record&gt;&lt;/Cite&gt;&lt;/EndNote&gt;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4" w:tooltip="Association of Fundraising Professionals, 2014 #27627" w:history="1">
        <w:r w:rsidR="00DA6B8D" w:rsidRPr="00304F2D">
          <w:rPr>
            <w:rFonts w:ascii="Times New Roman" w:hAnsi="Times New Roman" w:cs="Times New Roman"/>
            <w:noProof/>
          </w:rPr>
          <w:t>Association of Fundraising Professionals, 2014</w:t>
        </w:r>
      </w:hyperlink>
      <w:r w:rsidRPr="00304F2D">
        <w:rPr>
          <w:rFonts w:ascii="Times New Roman" w:hAnsi="Times New Roman" w:cs="Times New Roman"/>
          <w:noProof/>
        </w:rPr>
        <w:t>)</w:t>
      </w:r>
      <w:r w:rsidRPr="00304F2D">
        <w:rPr>
          <w:rFonts w:ascii="Times New Roman" w:hAnsi="Times New Roman" w:cs="Times New Roman"/>
        </w:rPr>
        <w:fldChar w:fldCharType="end"/>
      </w:r>
      <w:r w:rsidR="00D51860" w:rsidRPr="00304F2D">
        <w:rPr>
          <w:rFonts w:ascii="Times New Roman" w:hAnsi="Times New Roman" w:cs="Times New Roman"/>
        </w:rPr>
        <w:t xml:space="preserve">. </w:t>
      </w:r>
      <w:r w:rsidRPr="00304F2D">
        <w:rPr>
          <w:rFonts w:ascii="Times New Roman" w:hAnsi="Times New Roman" w:cs="Times New Roman"/>
        </w:rPr>
        <w:t xml:space="preserve">This pattern occurs across the sector, as many first-time donors fail to give a second donation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&lt;EndNote&gt;&lt;Cite&gt;&lt;Author&gt;Bennett&lt;/Author&gt;&lt;Year&gt;2009&lt;/Year&gt;&lt;RecNum&gt;22472&lt;/RecNum&gt;&lt;DisplayText&gt;(Bennett, 2009)&lt;/DisplayText&gt;&lt;record&gt;&lt;rec-number&gt;22472&lt;/rec-number&gt;&lt;foreign-keys&gt;&lt;key app="EN" db-id="eswazv0p5wsezae2sd8pf59gf50trdav5fsw" timestamp="0"&gt;22472&lt;/key&gt;&lt;/foreign-keys&gt;&lt;ref-type name="Journal Article"&gt;17&lt;/ref-type&gt;&lt;contributors&gt;&lt;authors&gt;&lt;author&gt;Bennett, R.&lt;/author&gt;&lt;/authors&gt;&lt;/contributors&gt;&lt;titles&gt;&lt;title&gt;Factors influencing donation switching behaviour among charity supporters: an empirical investigation&lt;/title&gt;&lt;secondary-title&gt;Journal of Customer Behaviour&lt;/secondary-title&gt;&lt;/titles&gt;&lt;pages&gt;329-345&lt;/pages&gt;&lt;volume&gt;8&lt;/volume&gt;&lt;number&gt;4&lt;/number&gt;&lt;dates&gt;&lt;year&gt;2009&lt;/year&gt;&lt;/dates&gt;&lt;publisher&gt;Westburn Publishers Ltd&lt;/publisher&gt;&lt;isbn&gt;1475-3928&lt;/isbn&gt;&lt;urls&gt;&lt;/urls&gt;&lt;/record&gt;&lt;/Cite&gt;&lt;/EndNote&gt;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14" w:tooltip="Bennett, 2009 #22472" w:history="1">
        <w:r w:rsidR="00DA6B8D" w:rsidRPr="00304F2D">
          <w:rPr>
            <w:rFonts w:ascii="Times New Roman" w:hAnsi="Times New Roman" w:cs="Times New Roman"/>
            <w:noProof/>
          </w:rPr>
          <w:t>Bennett, 2009</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U.S. charity records demonstrate the importance of new donors. For every 100 donors gained in 2012-13, there was </w:t>
      </w:r>
      <w:r w:rsidR="006C3890">
        <w:rPr>
          <w:rFonts w:ascii="Times New Roman" w:hAnsi="Times New Roman" w:cs="Times New Roman"/>
        </w:rPr>
        <w:t>a</w:t>
      </w:r>
      <w:r w:rsidR="006C3890" w:rsidRPr="00304F2D">
        <w:rPr>
          <w:rFonts w:ascii="Times New Roman" w:hAnsi="Times New Roman" w:cs="Times New Roman"/>
        </w:rPr>
        <w:t xml:space="preserve"> </w:t>
      </w:r>
      <w:r w:rsidRPr="00304F2D">
        <w:rPr>
          <w:rFonts w:ascii="Times New Roman" w:hAnsi="Times New Roman" w:cs="Times New Roman"/>
        </w:rPr>
        <w:t xml:space="preserve">loss of 102 donors, and every $100 gained was offset by $92 in gift attrition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&lt;EndNote&gt;&lt;Cite&gt;&lt;Author&gt;Association of Fundraising Professionals&lt;/Author&gt;&lt;Year&gt;2014&lt;/Year&gt;&lt;RecNum&gt;27627&lt;/RecNum&gt;&lt;DisplayText&gt;(Association of Fundraising Professionals, 2014)&lt;/DisplayText&gt;&lt;record&gt;&lt;rec-number&gt;27627&lt;/rec-number&gt;&lt;foreign-keys&gt;&lt;key app="EN" db-id="eswazv0p5wsezae2sd8pf59gf50trdav5fsw" timestamp="0"&gt;27627&lt;/key&gt;&lt;/foreign-keys&gt;&lt;ref-type name="Report"&gt;27&lt;/ref-type&gt;&lt;contributors&gt;&lt;authors&gt;&lt;author&gt;Association of Fundraising Professionals, &lt;/author&gt;&lt;/authors&gt;&lt;tertiary-authors&gt;&lt;author&gt;Association of Fundraising Professionals &lt;/author&gt;&lt;/tertiary-authors&gt;&lt;/contributors&gt;&lt;titles&gt;&lt;title&gt;Fundraising effectiveness survey report&lt;/title&gt;&lt;/titles&gt;&lt;pages&gt;1-27&lt;/pages&gt;&lt;dates&gt;&lt;year&gt;2014&lt;/year&gt;&lt;/dates&gt;&lt;pub-location&gt;Online&lt;/pub-location&gt;&lt;publisher&gt;The Urban Institute&lt;/publisher&gt;&lt;urls&gt;&lt;/urls&gt;&lt;/record&gt;&lt;/Cite&gt;&lt;/EndNote&gt;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4" w:tooltip="Association of Fundraising Professionals, 2014 #27627" w:history="1">
        <w:r w:rsidR="00DA6B8D" w:rsidRPr="00304F2D">
          <w:rPr>
            <w:rFonts w:ascii="Times New Roman" w:hAnsi="Times New Roman" w:cs="Times New Roman"/>
            <w:noProof/>
          </w:rPr>
          <w:t>Association of Fundraising Professionals, 2014</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Acquiring new donors is becoming more </w:t>
      </w:r>
      <w:r w:rsidRPr="00304F2D">
        <w:rPr>
          <w:rFonts w:ascii="Times New Roman" w:hAnsi="Times New Roman" w:cs="Times New Roman"/>
        </w:rPr>
        <w:lastRenderedPageBreak/>
        <w:t xml:space="preserve">difficult generally, with declines in new supporter acquisition explaining the overall reduction in U.S. supporter populations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&lt;EndNote&gt;&lt;Cite&gt;&lt;Author&gt;Rhine&lt;/Author&gt;&lt;Year&gt;2015&lt;/Year&gt;&lt;RecNum&gt;29173&lt;/RecNum&gt;&lt;DisplayText&gt;(Rhine and Flannery, 2015)&lt;/DisplayText&gt;&lt;record&gt;&lt;rec-number&gt;29173&lt;/rec-number&gt;&lt;foreign-keys&gt;&lt;key app="EN" db-id="eswazv0p5wsezae2sd8pf59gf50trdav5fsw" timestamp="0"&gt;29173&lt;/key&gt;&lt;/foreign-keys&gt;&lt;ref-type name="Report"&gt;27&lt;/ref-type&gt;&lt;contributors&gt;&lt;authors&gt;&lt;author&gt;Rhine, Carol&lt;/author&gt;&lt;author&gt;Flannery, Helen&lt;/author&gt;&lt;/authors&gt;&lt;tertiary-authors&gt;&lt;author&gt;BlackBaud Inc&lt;/author&gt;&lt;/tertiary-authors&gt;&lt;/contributors&gt;&lt;titles&gt;&lt;title&gt;The macroeconomics of fundraising&lt;/title&gt;&lt;/titles&gt;&lt;pages&gt;1-13&lt;/pages&gt;&lt;dates&gt;&lt;year&gt;2015&lt;/year&gt;&lt;pub-dates&gt;&lt;date&gt;April&lt;/date&gt;&lt;/pub-dates&gt;&lt;/dates&gt;&lt;pub-location&gt;Charleston, SC&lt;/pub-location&gt;&lt;publisher&gt;Target Analytics&lt;/publisher&gt;&lt;urls&gt;&lt;/urls&gt;&lt;/record&gt;&lt;/Cite&gt;&lt;/EndNote&gt;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51" w:tooltip="Rhine, 2015 #29173" w:history="1">
        <w:r w:rsidR="00DA6B8D" w:rsidRPr="00304F2D">
          <w:rPr>
            <w:rFonts w:ascii="Times New Roman" w:hAnsi="Times New Roman" w:cs="Times New Roman"/>
            <w:noProof/>
          </w:rPr>
          <w:t>Rhine and Flannery, 2015</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Re-activation of lapsed donors also offers low levels of success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&lt;EndNote&gt;&lt;Cite&gt;&lt;Author&gt;Feng&lt;/Author&gt;&lt;Year&gt;2014&lt;/Year&gt;&lt;RecNum&gt;28752&lt;/RecNum&gt;&lt;DisplayText&gt;(Feng, 2014)&lt;/DisplayText&gt;&lt;record&gt;&lt;rec-number&gt;28752&lt;/rec-number&gt;&lt;foreign-keys&gt;&lt;key app="EN" db-id="eswazv0p5wsezae2sd8pf59gf50trdav5fsw" timestamp="0"&gt;28752&lt;/key&gt;&lt;/foreign-keys&gt;&lt;ref-type name="Journal Article"&gt;17&lt;/ref-type&gt;&lt;contributors&gt;&lt;authors&gt;&lt;author&gt;Feng, Shanfei&lt;/author&gt;&lt;/authors&gt;&lt;/contributors&gt;&lt;titles&gt;&lt;title&gt;Getting lapsed donors back: An empirical investigation of relationship management in the post-termination stage&lt;/title&gt;&lt;secondary-title&gt;Journal of Nonprofit &amp;amp; Public Sector Marketing&lt;/secondary-title&gt;&lt;/titles&gt;&lt;pages&gt;127-141&lt;/pages&gt;&lt;volume&gt;26&lt;/volume&gt;&lt;number&gt;2&lt;/number&gt;&lt;dates&gt;&lt;year&gt;2014&lt;/year&gt;&lt;/dates&gt;&lt;publisher&gt;Taylor &amp;amp; Francis&lt;/publisher&gt;&lt;isbn&gt;1049-5142&lt;/isbn&gt;&lt;urls&gt;&lt;/urls&gt;&lt;/record&gt;&lt;/Cite&gt;&lt;/EndNote&gt;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29" w:tooltip="Feng, 2014 #28752" w:history="1">
        <w:r w:rsidR="00DA6B8D" w:rsidRPr="00304F2D">
          <w:rPr>
            <w:rFonts w:ascii="Times New Roman" w:hAnsi="Times New Roman" w:cs="Times New Roman"/>
            <w:noProof/>
          </w:rPr>
          <w:t>Feng, 2014</w:t>
        </w:r>
      </w:hyperlink>
      <w:r w:rsidRPr="00304F2D">
        <w:rPr>
          <w:rFonts w:ascii="Times New Roman" w:hAnsi="Times New Roman" w:cs="Times New Roman"/>
          <w:noProof/>
        </w:rPr>
        <w:t>)</w:t>
      </w:r>
      <w:r w:rsidRPr="00304F2D">
        <w:rPr>
          <w:rFonts w:ascii="Times New Roman" w:hAnsi="Times New Roman" w:cs="Times New Roman"/>
        </w:rPr>
        <w:fldChar w:fldCharType="end"/>
      </w:r>
      <w:r w:rsidR="00D51860" w:rsidRPr="00304F2D">
        <w:rPr>
          <w:rFonts w:ascii="Times New Roman" w:hAnsi="Times New Roman" w:cs="Times New Roman"/>
        </w:rPr>
        <w:t xml:space="preserve">. </w:t>
      </w:r>
      <w:r w:rsidRPr="00304F2D">
        <w:rPr>
          <w:rFonts w:ascii="Times New Roman" w:hAnsi="Times New Roman" w:cs="Times New Roman"/>
        </w:rPr>
        <w:t xml:space="preserve">Globally, the percentage of younger people donating money has declined since 2012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&lt;EndNote&gt;&lt;Cite&gt;&lt;Author&gt;Charities Aid Foundation&lt;/Author&gt;&lt;Year&gt;2013&lt;/Year&gt;&lt;RecNum&gt;26094&lt;/RecNum&gt;&lt;DisplayText&gt;(Charities Aid Foundation, 2013)&lt;/DisplayText&gt;&lt;record&gt;&lt;rec-number&gt;26094&lt;/rec-number&gt;&lt;foreign-keys&gt;&lt;key app="EN" db-id="eswazv0p5wsezae2sd8pf59gf50trdav5fsw" timestamp="0"&gt;26094&lt;/key&gt;&lt;/foreign-keys&gt;&lt;ref-type name="Report"&gt;27&lt;/ref-type&gt;&lt;contributors&gt;&lt;authors&gt;&lt;author&gt;Charities Aid Foundation,&lt;/author&gt;&lt;/authors&gt;&lt;tertiary-authors&gt;&lt;author&gt;Charities Aid Foundation&lt;/author&gt;&lt;/tertiary-authors&gt;&lt;/contributors&gt;&lt;titles&gt;&lt;title&gt;World giving Index: A global view of giving trends&lt;/title&gt;&lt;/titles&gt;&lt;pages&gt;40&lt;/pages&gt;&lt;dates&gt;&lt;year&gt;2013&lt;/year&gt;&lt;pub-dates&gt;&lt;date&gt;December&lt;/date&gt;&lt;/pub-dates&gt;&lt;/dates&gt;&lt;pub-location&gt;Online&lt;/pub-location&gt;&lt;publisher&gt;Charities Aid Foundation&lt;/publisher&gt;&lt;urls&gt;&lt;/urls&gt;&lt;/record&gt;&lt;/Cite&gt;&lt;/EndNote&gt;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20" w:tooltip="Charities Aid Foundation, 2013 #26094" w:history="1">
        <w:r w:rsidR="00DA6B8D" w:rsidRPr="00304F2D">
          <w:rPr>
            <w:rFonts w:ascii="Times New Roman" w:hAnsi="Times New Roman" w:cs="Times New Roman"/>
            <w:noProof/>
          </w:rPr>
          <w:t>Charities Aid Foundation, 2013</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suggesting the challenge of acquiring and retaining new donors will be ongoing. </w:t>
      </w:r>
    </w:p>
    <w:p w14:paraId="1A21413B" w14:textId="587CF870" w:rsidR="005722FD" w:rsidRPr="00304F2D" w:rsidRDefault="005722FD" w:rsidP="005722FD">
      <w:pPr>
        <w:spacing w:line="480" w:lineRule="auto"/>
        <w:ind w:firstLine="720"/>
        <w:rPr>
          <w:rFonts w:ascii="Times New Roman" w:hAnsi="Times New Roman" w:cs="Times New Roman"/>
        </w:rPr>
      </w:pPr>
      <w:r w:rsidRPr="00304F2D">
        <w:rPr>
          <w:rFonts w:ascii="Times New Roman" w:hAnsi="Times New Roman" w:cs="Times New Roman"/>
        </w:rPr>
        <w:t xml:space="preserve">Securing a sustainable supply of blood products for medical procedures </w:t>
      </w:r>
      <w:r w:rsidR="006C3890">
        <w:rPr>
          <w:rFonts w:ascii="Times New Roman" w:hAnsi="Times New Roman" w:cs="Times New Roman"/>
        </w:rPr>
        <w:t>is</w:t>
      </w:r>
      <w:r w:rsidRPr="00304F2D">
        <w:rPr>
          <w:rFonts w:ascii="Times New Roman" w:hAnsi="Times New Roman" w:cs="Times New Roman"/>
        </w:rPr>
        <w:t xml:space="preserve"> an ongoing challenge, as advances in medical treatments and aging populations have increased the demand for blood products </w:t>
      </w:r>
      <w:r w:rsidRPr="00304F2D">
        <w:rPr>
          <w:rFonts w:ascii="Times New Roman" w:hAnsi="Times New Roman" w:cs="Times New Roman"/>
          <w:noProof/>
        </w:rPr>
        <w:fldChar w:fldCharType="begin"/>
      </w:r>
      <w:r w:rsidR="002F0751" w:rsidRPr="00304F2D">
        <w:rPr>
          <w:rFonts w:ascii="Times New Roman" w:hAnsi="Times New Roman" w:cs="Times New Roman"/>
          <w:noProof/>
        </w:rPr>
        <w:instrText xml:space="preserve"> ADDIN EN.CITE &lt;EndNote&gt;&lt;Cite&gt;&lt;Author&gt;van Dongen&lt;/Author&gt;&lt;Year&gt;2014&lt;/Year&gt;&lt;RecNum&gt;26030&lt;/RecNum&gt;&lt;DisplayText&gt;(van Dongen&lt;style face="italic"&gt; et al.&lt;/style&gt;, 2014; Bagot&lt;style face="italic"&gt; et al.&lt;/style&gt;, 2015b)&lt;/DisplayText&gt;&lt;record&gt;&lt;rec-number&gt;26030&lt;/rec-number&gt;&lt;foreign-keys&gt;&lt;key app="EN" db-id="eswazv0p5wsezae2sd8pf59gf50trdav5fsw" timestamp="0"&gt;26030&lt;/key&gt;&lt;/foreign-keys&gt;&lt;ref-type name="Journal Article"&gt;17&lt;/ref-type&gt;&lt;contributors&gt;&lt;authors&gt;&lt;author&gt;van Dongen, Anne&lt;/author&gt;&lt;author&gt;Ruiter, Robert&lt;/author&gt;&lt;author&gt;Abraham, Charles&lt;/author&gt;&lt;author&gt;Veldhuizen, Ingrid&lt;/author&gt;&lt;/authors&gt;&lt;/contributors&gt;&lt;titles&gt;&lt;title&gt;Predicting blood donation maintenance: The importance of planning future donations&lt;/title&gt;&lt;secondary-title&gt;Transfusion&lt;/secondary-title&gt;&lt;/titles&gt;&lt;periodical&gt;&lt;full-title&gt;Transfusion&lt;/full-title&gt;&lt;/periodical&gt;&lt;pages&gt;821-827&lt;/pages&gt;&lt;volume&gt;54&lt;/volume&gt;&lt;dates&gt;&lt;year&gt;2014&lt;/year&gt;&lt;pub-dates&gt;&lt;date&gt;March&lt;/date&gt;&lt;/pub-dates&gt;&lt;/dates&gt;&lt;publisher&gt;Wiley&lt;/publisher&gt;&lt;isbn&gt;1537-2995&lt;/isbn&gt;&lt;urls&gt;&lt;/urls&gt;&lt;electronic-resource-num&gt;10.1111/trf.12397&lt;/electronic-resource-num&gt;&lt;/record&gt;&lt;/Cite&gt;&lt;Cite&gt;&lt;Author&gt;Bagot&lt;/Author&gt;&lt;Year&gt;2015&lt;/Year&gt;&lt;RecNum&gt;31285&lt;/RecNum&gt;&lt;record&gt;&lt;rec-number&gt;31285&lt;/rec-number&gt;&lt;foreign-keys&gt;&lt;key app="EN" db-id="eswazv0p5wsezae2sd8pf59gf50trdav5fsw" timestamp="1460524198"&gt;31285&lt;/key&gt;&lt;/foreign-keys&gt;&lt;ref-type name="Journal Article"&gt;17&lt;/ref-type&gt;&lt;contributors&gt;&lt;authors&gt;&lt;author&gt;Bagot, Kathleen L.&lt;/author&gt;&lt;author&gt;Masser, Barbara M.&lt;/author&gt;&lt;author&gt;White, Katherine M.&lt;/author&gt;&lt;author&gt;Starfelt, Louise C.&lt;/author&gt;&lt;/authors&gt;&lt;/contributors&gt;&lt;titles&gt;&lt;title&gt;Recruiting and retaining plasmapheresis donors: A critical belief analysis&lt;/title&gt;&lt;secondary-title&gt;Transfusion and Apheresis Science&lt;/secondary-title&gt;&lt;/titles&gt;&lt;periodical&gt;&lt;full-title&gt;Transfusion and Apheresis Science&lt;/full-title&gt;&lt;/periodical&gt;&lt;pages&gt;350-357&lt;/pages&gt;&lt;volume&gt;52&lt;/volume&gt;&lt;number&gt;3&lt;/number&gt;&lt;dates&gt;&lt;year&gt;2015&lt;/year&gt;&lt;/dates&gt;&lt;publisher&gt;Elsevier&lt;/publisher&gt;&lt;isbn&gt;1473-0502&lt;/isbn&gt;&lt;urls&gt;&lt;/urls&gt;&lt;/record&gt;&lt;/Cite&gt;&lt;/EndNote&gt;</w:instrText>
      </w:r>
      <w:r w:rsidRPr="00304F2D">
        <w:rPr>
          <w:rFonts w:ascii="Times New Roman" w:hAnsi="Times New Roman" w:cs="Times New Roman"/>
          <w:noProof/>
        </w:rPr>
        <w:fldChar w:fldCharType="separate"/>
      </w:r>
      <w:r w:rsidR="002F0751" w:rsidRPr="00304F2D">
        <w:rPr>
          <w:rFonts w:ascii="Times New Roman" w:hAnsi="Times New Roman" w:cs="Times New Roman"/>
          <w:noProof/>
        </w:rPr>
        <w:t>(</w:t>
      </w:r>
      <w:hyperlink w:anchor="_ENREF_62" w:tooltip="van Dongen, 2014 #26030" w:history="1">
        <w:r w:rsidR="00DA6B8D" w:rsidRPr="00304F2D">
          <w:rPr>
            <w:rFonts w:ascii="Times New Roman" w:hAnsi="Times New Roman" w:cs="Times New Roman"/>
            <w:noProof/>
          </w:rPr>
          <w:t>van Dongen</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2014</w:t>
        </w:r>
      </w:hyperlink>
      <w:r w:rsidR="002F0751" w:rsidRPr="00304F2D">
        <w:rPr>
          <w:rFonts w:ascii="Times New Roman" w:hAnsi="Times New Roman" w:cs="Times New Roman"/>
          <w:noProof/>
        </w:rPr>
        <w:t xml:space="preserve">; </w:t>
      </w:r>
      <w:hyperlink w:anchor="_ENREF_12" w:tooltip="Bagot, 2015 #31285"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2015b</w:t>
        </w:r>
      </w:hyperlink>
      <w:r w:rsidR="002F0751" w:rsidRPr="00304F2D">
        <w:rPr>
          <w:rFonts w:ascii="Times New Roman" w:hAnsi="Times New Roman" w:cs="Times New Roman"/>
          <w:noProof/>
        </w:rPr>
        <w:t>)</w:t>
      </w:r>
      <w:r w:rsidRPr="00304F2D">
        <w:rPr>
          <w:rFonts w:ascii="Times New Roman" w:hAnsi="Times New Roman" w:cs="Times New Roman"/>
          <w:noProof/>
        </w:rPr>
        <w:fldChar w:fldCharType="end"/>
      </w:r>
      <w:r w:rsidR="00D51860" w:rsidRPr="00304F2D">
        <w:rPr>
          <w:rFonts w:ascii="Times New Roman" w:hAnsi="Times New Roman" w:cs="Times New Roman"/>
        </w:rPr>
        <w:t xml:space="preserve">. </w:t>
      </w:r>
      <w:r w:rsidRPr="00304F2D">
        <w:rPr>
          <w:rFonts w:ascii="Times New Roman" w:hAnsi="Times New Roman" w:cs="Times New Roman"/>
        </w:rPr>
        <w:t xml:space="preserve">The incidence rate of voluntary donation remains low across populations, 3% in Australia, 5% in the US, and 4% on average in the EU </w:t>
      </w:r>
      <w:r w:rsidRPr="00304F2D">
        <w:rPr>
          <w:rFonts w:ascii="Times New Roman" w:hAnsi="Times New Roman" w:cs="Times New Roman"/>
          <w:noProof/>
        </w:rPr>
        <w:fldChar w:fldCharType="begin">
          <w:fldData xml:space="preserve">PEVuZE5vdGU+PENpdGU+PEF1dGhvcj5BdXN0cmFsaWFuIFJlZCBDcm9zczwvQXV0aG9yPjxZZWFy
PjIwMTI8L1llYXI+PFJlY051bT4yMzkxNDwvUmVjTnVtPjxEaXNwbGF5VGV4dD4oQXVzdHJhbGlh
biBSZWQgQ3Jvc3MsIDIwMTI7IEJlcnRhbGxpPHN0eWxlIGZhY2U9Iml0YWxpYyI+IGV0IGFsLjwv
c3R5bGU+LCAyMDExOyBHb27Dp2FsdmVzLCAyMDExKTwvRGlzcGxheVRleHQ+PHJlY29yZD48cmVj
LW51bWJlcj4yMzkxNDwvcmVjLW51bWJlcj48Zm9yZWlnbi1rZXlzPjxrZXkgYXBwPSJFTiIgZGIt
aWQ9ImVzd2F6djBwNXdzZXphZTJzZDhwZjU5Z2Y1MHRyZGF2NWZzdyIgdGltZXN0YW1wPSIwIj4y
MzkxNDwva2V5PjwvZm9yZWlnbi1rZXlzPjxyZWYtdHlwZSBuYW1lPSJSZXBvcnQiPjI3PC9yZWYt
dHlwZT48Y29udHJpYnV0b3JzPjxhdXRob3JzPjxhdXRob3I+QXVzdHJhbGlhbiBSZWQgQ3Jvc3Ms
PC9hdXRob3I+PC9hdXRob3JzPjwvY29udHJpYnV0b3JzPjx0aXRsZXM+PHRpdGxlPkJsb29kIHNl
cnZpY2Ugc3RhdGlzdGljczwvdGl0bGU+PC90aXRsZXM+PGRhdGVzPjx5ZWFyPjIwMTI8L3llYXI+
PHB1Yi1kYXRlcz48ZGF0ZT5KYW51YXJ5PC9kYXRlPjwvcHViLWRhdGVzPjwvZGF0ZXM+PHB1Yi1s
b2NhdGlvbj5PbmxpbmU8L3B1Yi1sb2NhdGlvbj48cHVibGlzaGVyPkF1c3RyYWxpYW4gUmVkIENy
b3NzPC9wdWJsaXNoZXI+PHVybHM+PC91cmxzPjwvcmVjb3JkPjwvQ2l0ZT48Q2l0ZT48QXV0aG9y
PkJlcnRhbGxpPC9BdXRob3I+PFllYXI+MjAxMTwvWWVhcj48UmVjTnVtPjIzODUzPC9SZWNOdW0+
PHJlY29yZD48cmVjLW51bWJlcj4yMzg1MzwvcmVjLW51bWJlcj48Zm9yZWlnbi1rZXlzPjxrZXkg
YXBwPSJFTiIgZGItaWQ9ImVzd2F6djBwNXdzZXphZTJzZDhwZjU5Z2Y1MHRyZGF2NWZzdyIgdGlt
ZXN0YW1wPSIwIj4yMzg1Mzwva2V5PjwvZm9yZWlnbi1rZXlzPjxyZWYtdHlwZSBuYW1lPSJKb3Vy
bmFsIEFydGljbGUiPjE3PC9yZWYtdHlwZT48Y29udHJpYnV0b3JzPjxhdXRob3JzPjxhdXRob3I+
QmVydGFsbGksIE5hZGluZSBBLjwvYXV0aG9yPjxhdXRob3I+QWxsZW4sIEthdHJpbmEgSi48L2F1
dGhvcj48YXV0aG9yPk1jTGFyZW4sIENocmlzdGluZSBFLjwvYXV0aG9yPjxhdXRob3I+VHVya292
aWMsIExpZGlqYTwvYXV0aG9yPjxhdXRob3I+T3Nib3JuZSwgTmljaG9sYXMgSi48L2F1dGhvcj48
YXV0aG9yPkNvbnN0YW50aW5lLCBDbGFyZSBDLjwvYXV0aG9yPjxhdXRob3I+RGVsYXR5Y2tpLCBN
YXJ0aW4gQi48L2F1dGhvcj48YXV0aG9yPkVuZ2xpc2gsIERhbGxhcyBSLjwvYXV0aG9yPjxhdXRo
b3I+R2lsZXMsIEdyYWhhbSBHLjwvYXV0aG9yPjxhdXRob3I+SG9wcGVyLCBKb2huIEwuPC9hdXRo
b3I+PC9hdXRob3JzPjwvY29udHJpYnV0b3JzPjx0aXRsZXM+PHRpdGxlPkEgY29tcGFyaXNvbiBv
ZiBzZWxm4oCQcmVwb3J0ZWQgYW5kIHJlY29yZOKAkGxpbmtlZCBibG9vZCBkb25hdGlvbiBoaXN0
b3J5IGluIGFuIEF1c3RyYWxpYW4gY29ob3J0PC90aXRsZT48c2Vjb25kYXJ5LXRpdGxlPlRyYW5z
ZnVzaW9uPC9zZWNvbmRhcnktdGl0bGU+PC90aXRsZXM+PHBlcmlvZGljYWw+PGZ1bGwtdGl0bGU+
VHJhbnNmdXNpb248L2Z1bGwtdGl0bGU+PC9wZXJpb2RpY2FsPjxwYWdlcz4yMTg5LTIxOTg8L3Bh
Z2VzPjx2b2x1bWU+NTE8L3ZvbHVtZT48bnVtYmVyPjEwPC9udW1iZXI+PGRhdGVzPjx5ZWFyPjIw
MTE8L3llYXI+PC9kYXRlcz48cHVibGlzaGVyPldpbGV5IE9ubGluZSBMaWJyYXJ5PC9wdWJsaXNo
ZXI+PGlzYm4+MTUzNy0yOTk1PC9pc2JuPjx1cmxzPjwvdXJscz48L3JlY29yZD48L0NpdGU+PENp
dGU+PEF1dGhvcj5Hb27Dp2FsdmVzPC9BdXRob3I+PFllYXI+MjAxMTwvWWVhcj48UmVjTnVtPjIz
ODU0PC9SZWNOdW0+PHJlY29yZD48cmVjLW51bWJlcj4yMzg1NDwvcmVjLW51bWJlcj48Zm9yZWln
bi1rZXlzPjxrZXkgYXBwPSJFTiIgZGItaWQ9ImVzd2F6djBwNXdzZXphZTJzZDhwZjU5Z2Y1MHRy
ZGF2NWZzdyIgdGltZXN0YW1wPSIwIj4yMzg1NDwva2V5PjwvZm9yZWlnbi1rZXlzPjxyZWYtdHlw
ZSBuYW1lPSJKb3VybmFsIEFydGljbGUiPjE3PC9yZWYtdHlwZT48Y29udHJpYnV0b3JzPjxhdXRo
b3JzPjxhdXRob3I+R29uw6dhbHZlcywgSGVsZW5hPC9hdXRob3I+PC9hdXRob3JzPjwvY29udHJp
YnV0b3JzPjx0aXRsZXM+PHRpdGxlPkdsb2JhbGl6YXRpb24gYW5kIGJsb29kIGRvbm9yczogSG93
IHRvIGltcHJvdmUgdGhlIGJsb29kIGRvbmF0aW9uIGluIHRoZSBFdXJvcGVhbiBVbmlvbiAoRVUp
PC90aXRsZT48c2Vjb25kYXJ5LXRpdGxlPklTQlQgU2NpZW5jZSBTZXJpZXM8L3NlY29uZGFyeS10
aXRsZT48L3RpdGxlcz48cGFnZXM+MTQyLTE0NzwvcGFnZXM+PHZvbHVtZT42PC92b2x1bWU+PG51
bWJlcj4xPC9udW1iZXI+PGRhdGVzPjx5ZWFyPjIwMTE8L3llYXI+PC9kYXRlcz48cHVibGlzaGVy
PldpbGV5IE9ubGluZSBMaWJyYXJ5PC9wdWJsaXNoZXI+PGlzYm4+MTc1MS0yODI0PC9pc2JuPjx1
cmxzPjwvdXJscz48L3JlY29yZD48L0NpdGU+PC9FbmROb3RlPgB=
</w:fldData>
        </w:fldChar>
      </w:r>
      <w:r w:rsidR="00382F99" w:rsidRPr="00304F2D">
        <w:rPr>
          <w:rFonts w:ascii="Times New Roman" w:hAnsi="Times New Roman" w:cs="Times New Roman"/>
          <w:noProof/>
        </w:rPr>
        <w:instrText xml:space="preserve"> ADDIN EN.CITE </w:instrText>
      </w:r>
      <w:r w:rsidR="00382F99" w:rsidRPr="00304F2D">
        <w:rPr>
          <w:rFonts w:ascii="Times New Roman" w:hAnsi="Times New Roman" w:cs="Times New Roman"/>
          <w:noProof/>
        </w:rPr>
        <w:fldChar w:fldCharType="begin">
          <w:fldData xml:space="preserve">PEVuZE5vdGU+PENpdGU+PEF1dGhvcj5BdXN0cmFsaWFuIFJlZCBDcm9zczwvQXV0aG9yPjxZZWFy
PjIwMTI8L1llYXI+PFJlY051bT4yMzkxNDwvUmVjTnVtPjxEaXNwbGF5VGV4dD4oQXVzdHJhbGlh
biBSZWQgQ3Jvc3MsIDIwMTI7IEJlcnRhbGxpPHN0eWxlIGZhY2U9Iml0YWxpYyI+IGV0IGFsLjwv
c3R5bGU+LCAyMDExOyBHb27Dp2FsdmVzLCAyMDExKTwvRGlzcGxheVRleHQ+PHJlY29yZD48cmVj
LW51bWJlcj4yMzkxNDwvcmVjLW51bWJlcj48Zm9yZWlnbi1rZXlzPjxrZXkgYXBwPSJFTiIgZGIt
aWQ9ImVzd2F6djBwNXdzZXphZTJzZDhwZjU5Z2Y1MHRyZGF2NWZzdyIgdGltZXN0YW1wPSIwIj4y
MzkxNDwva2V5PjwvZm9yZWlnbi1rZXlzPjxyZWYtdHlwZSBuYW1lPSJSZXBvcnQiPjI3PC9yZWYt
dHlwZT48Y29udHJpYnV0b3JzPjxhdXRob3JzPjxhdXRob3I+QXVzdHJhbGlhbiBSZWQgQ3Jvc3Ms
PC9hdXRob3I+PC9hdXRob3JzPjwvY29udHJpYnV0b3JzPjx0aXRsZXM+PHRpdGxlPkJsb29kIHNl
cnZpY2Ugc3RhdGlzdGljczwvdGl0bGU+PC90aXRsZXM+PGRhdGVzPjx5ZWFyPjIwMTI8L3llYXI+
PHB1Yi1kYXRlcz48ZGF0ZT5KYW51YXJ5PC9kYXRlPjwvcHViLWRhdGVzPjwvZGF0ZXM+PHB1Yi1s
b2NhdGlvbj5PbmxpbmU8L3B1Yi1sb2NhdGlvbj48cHVibGlzaGVyPkF1c3RyYWxpYW4gUmVkIENy
b3NzPC9wdWJsaXNoZXI+PHVybHM+PC91cmxzPjwvcmVjb3JkPjwvQ2l0ZT48Q2l0ZT48QXV0aG9y
PkJlcnRhbGxpPC9BdXRob3I+PFllYXI+MjAxMTwvWWVhcj48UmVjTnVtPjIzODUzPC9SZWNOdW0+
PHJlY29yZD48cmVjLW51bWJlcj4yMzg1MzwvcmVjLW51bWJlcj48Zm9yZWlnbi1rZXlzPjxrZXkg
YXBwPSJFTiIgZGItaWQ9ImVzd2F6djBwNXdzZXphZTJzZDhwZjU5Z2Y1MHRyZGF2NWZzdyIgdGlt
ZXN0YW1wPSIwIj4yMzg1Mzwva2V5PjwvZm9yZWlnbi1rZXlzPjxyZWYtdHlwZSBuYW1lPSJKb3Vy
bmFsIEFydGljbGUiPjE3PC9yZWYtdHlwZT48Y29udHJpYnV0b3JzPjxhdXRob3JzPjxhdXRob3I+
QmVydGFsbGksIE5hZGluZSBBLjwvYXV0aG9yPjxhdXRob3I+QWxsZW4sIEthdHJpbmEgSi48L2F1
dGhvcj48YXV0aG9yPk1jTGFyZW4sIENocmlzdGluZSBFLjwvYXV0aG9yPjxhdXRob3I+VHVya292
aWMsIExpZGlqYTwvYXV0aG9yPjxhdXRob3I+T3Nib3JuZSwgTmljaG9sYXMgSi48L2F1dGhvcj48
YXV0aG9yPkNvbnN0YW50aW5lLCBDbGFyZSBDLjwvYXV0aG9yPjxhdXRob3I+RGVsYXR5Y2tpLCBN
YXJ0aW4gQi48L2F1dGhvcj48YXV0aG9yPkVuZ2xpc2gsIERhbGxhcyBSLjwvYXV0aG9yPjxhdXRo
b3I+R2lsZXMsIEdyYWhhbSBHLjwvYXV0aG9yPjxhdXRob3I+SG9wcGVyLCBKb2huIEwuPC9hdXRo
b3I+PC9hdXRob3JzPjwvY29udHJpYnV0b3JzPjx0aXRsZXM+PHRpdGxlPkEgY29tcGFyaXNvbiBv
ZiBzZWxm4oCQcmVwb3J0ZWQgYW5kIHJlY29yZOKAkGxpbmtlZCBibG9vZCBkb25hdGlvbiBoaXN0
b3J5IGluIGFuIEF1c3RyYWxpYW4gY29ob3J0PC90aXRsZT48c2Vjb25kYXJ5LXRpdGxlPlRyYW5z
ZnVzaW9uPC9zZWNvbmRhcnktdGl0bGU+PC90aXRsZXM+PHBlcmlvZGljYWw+PGZ1bGwtdGl0bGU+
VHJhbnNmdXNpb248L2Z1bGwtdGl0bGU+PC9wZXJpb2RpY2FsPjxwYWdlcz4yMTg5LTIxOTg8L3Bh
Z2VzPjx2b2x1bWU+NTE8L3ZvbHVtZT48bnVtYmVyPjEwPC9udW1iZXI+PGRhdGVzPjx5ZWFyPjIw
MTE8L3llYXI+PC9kYXRlcz48cHVibGlzaGVyPldpbGV5IE9ubGluZSBMaWJyYXJ5PC9wdWJsaXNo
ZXI+PGlzYm4+MTUzNy0yOTk1PC9pc2JuPjx1cmxzPjwvdXJscz48L3JlY29yZD48L0NpdGU+PENp
dGU+PEF1dGhvcj5Hb27Dp2FsdmVzPC9BdXRob3I+PFllYXI+MjAxMTwvWWVhcj48UmVjTnVtPjIz
ODU0PC9SZWNOdW0+PHJlY29yZD48cmVjLW51bWJlcj4yMzg1NDwvcmVjLW51bWJlcj48Zm9yZWln
bi1rZXlzPjxrZXkgYXBwPSJFTiIgZGItaWQ9ImVzd2F6djBwNXdzZXphZTJzZDhwZjU5Z2Y1MHRy
ZGF2NWZzdyIgdGltZXN0YW1wPSIwIj4yMzg1NDwva2V5PjwvZm9yZWlnbi1rZXlzPjxyZWYtdHlw
ZSBuYW1lPSJKb3VybmFsIEFydGljbGUiPjE3PC9yZWYtdHlwZT48Y29udHJpYnV0b3JzPjxhdXRo
b3JzPjxhdXRob3I+R29uw6dhbHZlcywgSGVsZW5hPC9hdXRob3I+PC9hdXRob3JzPjwvY29udHJp
YnV0b3JzPjx0aXRsZXM+PHRpdGxlPkdsb2JhbGl6YXRpb24gYW5kIGJsb29kIGRvbm9yczogSG93
IHRvIGltcHJvdmUgdGhlIGJsb29kIGRvbmF0aW9uIGluIHRoZSBFdXJvcGVhbiBVbmlvbiAoRVUp
PC90aXRsZT48c2Vjb25kYXJ5LXRpdGxlPklTQlQgU2NpZW5jZSBTZXJpZXM8L3NlY29uZGFyeS10
aXRsZT48L3RpdGxlcz48cGFnZXM+MTQyLTE0NzwvcGFnZXM+PHZvbHVtZT42PC92b2x1bWU+PG51
bWJlcj4xPC9udW1iZXI+PGRhdGVzPjx5ZWFyPjIwMTE8L3llYXI+PC9kYXRlcz48cHVibGlzaGVy
PldpbGV5IE9ubGluZSBMaWJyYXJ5PC9wdWJsaXNoZXI+PGlzYm4+MTc1MS0yODI0PC9pc2JuPjx1
cmxzPjwvdXJscz48L3JlY29yZD48L0NpdGU+PC9FbmROb3RlPgB=
</w:fldData>
        </w:fldChar>
      </w:r>
      <w:r w:rsidR="00382F99" w:rsidRPr="00304F2D">
        <w:rPr>
          <w:rFonts w:ascii="Times New Roman" w:hAnsi="Times New Roman" w:cs="Times New Roman"/>
          <w:noProof/>
        </w:rPr>
        <w:instrText xml:space="preserve"> ADDIN EN.CITE.DATA </w:instrText>
      </w:r>
      <w:r w:rsidR="00382F99" w:rsidRPr="00304F2D">
        <w:rPr>
          <w:rFonts w:ascii="Times New Roman" w:hAnsi="Times New Roman" w:cs="Times New Roman"/>
          <w:noProof/>
        </w:rPr>
      </w:r>
      <w:r w:rsidR="00382F99" w:rsidRPr="00304F2D">
        <w:rPr>
          <w:rFonts w:ascii="Times New Roman" w:hAnsi="Times New Roman" w:cs="Times New Roman"/>
          <w:noProof/>
        </w:rPr>
        <w:fldChar w:fldCharType="end"/>
      </w:r>
      <w:r w:rsidRPr="00304F2D">
        <w:rPr>
          <w:rFonts w:ascii="Times New Roman" w:hAnsi="Times New Roman" w:cs="Times New Roman"/>
          <w:noProof/>
        </w:rPr>
      </w:r>
      <w:r w:rsidRPr="00304F2D">
        <w:rPr>
          <w:rFonts w:ascii="Times New Roman" w:hAnsi="Times New Roman" w:cs="Times New Roman"/>
          <w:noProof/>
        </w:rPr>
        <w:fldChar w:fldCharType="separate"/>
      </w:r>
      <w:r w:rsidRPr="00304F2D">
        <w:rPr>
          <w:rFonts w:ascii="Times New Roman" w:hAnsi="Times New Roman" w:cs="Times New Roman"/>
          <w:noProof/>
        </w:rPr>
        <w:t>(</w:t>
      </w:r>
      <w:hyperlink w:anchor="_ENREF_6" w:tooltip="Australian Red Cross, 2012 #23914" w:history="1">
        <w:r w:rsidR="00DA6B8D" w:rsidRPr="00304F2D">
          <w:rPr>
            <w:rFonts w:ascii="Times New Roman" w:hAnsi="Times New Roman" w:cs="Times New Roman"/>
            <w:noProof/>
          </w:rPr>
          <w:t>Australian Red Cross, 2012</w:t>
        </w:r>
      </w:hyperlink>
      <w:proofErr w:type="gramStart"/>
      <w:r w:rsidRPr="00304F2D">
        <w:rPr>
          <w:rFonts w:ascii="Times New Roman" w:hAnsi="Times New Roman" w:cs="Times New Roman"/>
          <w:noProof/>
        </w:rPr>
        <w:t xml:space="preserve">; </w:t>
      </w:r>
      <w:hyperlink w:anchor="_ENREF_17" w:tooltip="Bertalli, 2011 #23853" w:history="1">
        <w:r w:rsidR="00DA6B8D" w:rsidRPr="00304F2D">
          <w:rPr>
            <w:rFonts w:ascii="Times New Roman" w:hAnsi="Times New Roman" w:cs="Times New Roman"/>
            <w:noProof/>
          </w:rPr>
          <w:t>Bertalli</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2011</w:t>
        </w:r>
      </w:hyperlink>
      <w:r w:rsidRPr="00304F2D">
        <w:rPr>
          <w:rFonts w:ascii="Times New Roman" w:hAnsi="Times New Roman" w:cs="Times New Roman"/>
          <w:noProof/>
        </w:rPr>
        <w:t>;</w:t>
      </w:r>
      <w:proofErr w:type="gramEnd"/>
      <w:r w:rsidRPr="00304F2D">
        <w:rPr>
          <w:rFonts w:ascii="Times New Roman" w:hAnsi="Times New Roman" w:cs="Times New Roman"/>
          <w:noProof/>
        </w:rPr>
        <w:t xml:space="preserve"> </w:t>
      </w:r>
      <w:hyperlink w:anchor="_ENREF_33" w:tooltip="Gonçalves, 2011 #23854" w:history="1">
        <w:r w:rsidR="00DA6B8D" w:rsidRPr="00304F2D">
          <w:rPr>
            <w:rFonts w:ascii="Times New Roman" w:hAnsi="Times New Roman" w:cs="Times New Roman"/>
            <w:noProof/>
          </w:rPr>
          <w:t>Gonçalves, 2011</w:t>
        </w:r>
      </w:hyperlink>
      <w:r w:rsidRPr="00304F2D">
        <w:rPr>
          <w:rFonts w:ascii="Times New Roman" w:hAnsi="Times New Roman" w:cs="Times New Roman"/>
          <w:noProof/>
        </w:rPr>
        <w:t>)</w:t>
      </w:r>
      <w:r w:rsidRPr="00304F2D">
        <w:rPr>
          <w:rFonts w:ascii="Times New Roman" w:hAnsi="Times New Roman" w:cs="Times New Roman"/>
          <w:noProof/>
        </w:rPr>
        <w:fldChar w:fldCharType="end"/>
      </w:r>
      <w:r w:rsidR="00D51860" w:rsidRPr="00304F2D">
        <w:rPr>
          <w:rFonts w:ascii="Times New Roman" w:hAnsi="Times New Roman" w:cs="Times New Roman"/>
        </w:rPr>
        <w:t xml:space="preserve">. </w:t>
      </w:r>
      <w:r w:rsidRPr="00304F2D">
        <w:rPr>
          <w:rFonts w:ascii="Times New Roman" w:hAnsi="Times New Roman" w:cs="Times New Roman"/>
        </w:rPr>
        <w:t xml:space="preserve">Blood donors comprise a unique and interesting group of volunteers, as they display a high degree of commitment to recipients they do not know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&lt;EndNote&gt;&lt;Cite&gt;&lt;Author&gt;Kessler&lt;/Author&gt;&lt;Year&gt;1975&lt;/Year&gt;&lt;RecNum&gt;27207&lt;/RecNum&gt;&lt;DisplayText&gt;(Kessler, 1975)&lt;/DisplayText&gt;&lt;record&gt;&lt;rec-number&gt;27207&lt;/rec-number&gt;&lt;foreign-keys&gt;&lt;key app="EN" db-id="eswazv0p5wsezae2sd8pf59gf50trdav5fsw" timestamp="0"&gt;27207&lt;/key&gt;&lt;/foreign-keys&gt;&lt;ref-type name="Journal Article"&gt;17&lt;/ref-type&gt;&lt;contributors&gt;&lt;authors&gt;&lt;author&gt;Kessler, Ronald C.&lt;/author&gt;&lt;/authors&gt;&lt;/contributors&gt;&lt;titles&gt;&lt;title&gt;A descriptive model of emergency on-call blood donation&lt;/title&gt;&lt;secondary-title&gt;Nonprofit and Voluntary Sector Quarterly&lt;/secondary-title&gt;&lt;/titles&gt;&lt;pages&gt;159-171&lt;/pages&gt;&lt;volume&gt;4&lt;/volume&gt;&lt;number&gt;3-4&lt;/number&gt;&lt;dates&gt;&lt;year&gt;1975&lt;/year&gt;&lt;/dates&gt;&lt;publisher&gt;Sage Publications&lt;/publisher&gt;&lt;isbn&gt;0899-7640&lt;/isbn&gt;&lt;urls&gt;&lt;/urls&gt;&lt;/record&gt;&lt;/Cite&gt;&lt;/EndNote&gt;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38" w:tooltip="Kessler, 1975 #27207" w:history="1">
        <w:r w:rsidR="00DA6B8D" w:rsidRPr="00304F2D">
          <w:rPr>
            <w:rFonts w:ascii="Times New Roman" w:hAnsi="Times New Roman" w:cs="Times New Roman"/>
            <w:noProof/>
          </w:rPr>
          <w:t>Kessler, 1975</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Blood donors might conceivably be more responsive to requests to donate with greater frequency, enabling blood agencies to retain very frequent donors with more succ</w:t>
      </w:r>
      <w:r w:rsidR="00D51860" w:rsidRPr="00304F2D">
        <w:rPr>
          <w:rFonts w:ascii="Times New Roman" w:hAnsi="Times New Roman" w:cs="Times New Roman"/>
        </w:rPr>
        <w:t xml:space="preserve">ess than in other markets. </w:t>
      </w:r>
      <w:r w:rsidR="00E442BF" w:rsidRPr="00304F2D">
        <w:rPr>
          <w:rFonts w:ascii="Times New Roman" w:hAnsi="Times New Roman" w:cs="Times New Roman"/>
        </w:rPr>
        <w:t>If donors commit to greater frequency of donation, it</w:t>
      </w:r>
      <w:r w:rsidRPr="00304F2D">
        <w:rPr>
          <w:rFonts w:ascii="Times New Roman" w:hAnsi="Times New Roman" w:cs="Times New Roman"/>
        </w:rPr>
        <w:t xml:space="preserve"> </w:t>
      </w:r>
      <w:r w:rsidR="00E442BF" w:rsidRPr="00304F2D">
        <w:rPr>
          <w:rFonts w:ascii="Times New Roman" w:hAnsi="Times New Roman" w:cs="Times New Roman"/>
        </w:rPr>
        <w:t xml:space="preserve">suggests </w:t>
      </w:r>
      <w:r w:rsidRPr="00304F2D">
        <w:rPr>
          <w:rFonts w:ascii="Times New Roman" w:hAnsi="Times New Roman" w:cs="Times New Roman"/>
        </w:rPr>
        <w:t xml:space="preserve">a different route to growth </w:t>
      </w:r>
      <w:r w:rsidR="00E442BF" w:rsidRPr="00304F2D">
        <w:rPr>
          <w:rFonts w:ascii="Times New Roman" w:hAnsi="Times New Roman" w:cs="Times New Roman"/>
        </w:rPr>
        <w:t>from</w:t>
      </w:r>
      <w:r w:rsidRPr="00304F2D">
        <w:rPr>
          <w:rFonts w:ascii="Times New Roman" w:hAnsi="Times New Roman" w:cs="Times New Roman"/>
        </w:rPr>
        <w:t xml:space="preserve"> other markets, i.e. growth by loyalty rather than </w:t>
      </w:r>
      <w:r w:rsidR="001B7E93">
        <w:rPr>
          <w:rFonts w:ascii="Times New Roman" w:hAnsi="Times New Roman" w:cs="Times New Roman"/>
        </w:rPr>
        <w:t xml:space="preserve">also </w:t>
      </w:r>
      <w:r w:rsidRPr="00304F2D">
        <w:rPr>
          <w:rFonts w:ascii="Times New Roman" w:hAnsi="Times New Roman" w:cs="Times New Roman"/>
        </w:rPr>
        <w:t xml:space="preserve">needing to increase market penetration. </w:t>
      </w:r>
    </w:p>
    <w:p w14:paraId="08D03507" w14:textId="7DCE7B49" w:rsidR="005722FD" w:rsidRPr="00304F2D" w:rsidRDefault="005722FD" w:rsidP="005722FD">
      <w:pPr>
        <w:spacing w:line="480" w:lineRule="auto"/>
        <w:ind w:firstLine="720"/>
        <w:rPr>
          <w:rFonts w:ascii="Times New Roman" w:hAnsi="Times New Roman" w:cs="Times New Roman"/>
        </w:rPr>
      </w:pPr>
      <w:r w:rsidRPr="00304F2D">
        <w:rPr>
          <w:rFonts w:ascii="Times New Roman" w:hAnsi="Times New Roman" w:cs="Times New Roman"/>
        </w:rPr>
        <w:t xml:space="preserve">It is important to note </w:t>
      </w:r>
      <w:r w:rsidR="002F5515" w:rsidRPr="00304F2D">
        <w:rPr>
          <w:rFonts w:ascii="Times New Roman" w:hAnsi="Times New Roman" w:cs="Times New Roman"/>
        </w:rPr>
        <w:t>the</w:t>
      </w:r>
      <w:r w:rsidRPr="00304F2D">
        <w:rPr>
          <w:rFonts w:ascii="Times New Roman" w:hAnsi="Times New Roman" w:cs="Times New Roman"/>
        </w:rPr>
        <w:t xml:space="preserve"> physical lim</w:t>
      </w:r>
      <w:r w:rsidR="00D51860" w:rsidRPr="00304F2D">
        <w:rPr>
          <w:rFonts w:ascii="Times New Roman" w:hAnsi="Times New Roman" w:cs="Times New Roman"/>
        </w:rPr>
        <w:t xml:space="preserve">itations in donating blood. </w:t>
      </w:r>
      <w:r w:rsidR="002F5515" w:rsidRPr="00304F2D">
        <w:rPr>
          <w:rFonts w:ascii="Times New Roman" w:hAnsi="Times New Roman" w:cs="Times New Roman"/>
        </w:rPr>
        <w:t xml:space="preserve">This </w:t>
      </w:r>
      <w:r w:rsidRPr="00304F2D">
        <w:rPr>
          <w:rFonts w:ascii="Times New Roman" w:hAnsi="Times New Roman" w:cs="Times New Roman"/>
        </w:rPr>
        <w:t>restrict</w:t>
      </w:r>
      <w:r w:rsidR="002F5515" w:rsidRPr="00304F2D">
        <w:rPr>
          <w:rFonts w:ascii="Times New Roman" w:hAnsi="Times New Roman" w:cs="Times New Roman"/>
        </w:rPr>
        <w:t>s</w:t>
      </w:r>
      <w:r w:rsidRPr="00304F2D">
        <w:rPr>
          <w:rFonts w:ascii="Times New Roman" w:hAnsi="Times New Roman" w:cs="Times New Roman"/>
        </w:rPr>
        <w:t xml:space="preserve"> the ability for individuals to increase how often they donate,</w:t>
      </w:r>
      <w:r w:rsidR="002F5515" w:rsidRPr="00304F2D">
        <w:rPr>
          <w:rFonts w:ascii="Times New Roman" w:hAnsi="Times New Roman" w:cs="Times New Roman"/>
        </w:rPr>
        <w:t xml:space="preserve"> with the maximum frequency of donation varying</w:t>
      </w:r>
      <w:r w:rsidRPr="00304F2D">
        <w:rPr>
          <w:rFonts w:ascii="Times New Roman" w:hAnsi="Times New Roman" w:cs="Times New Roman"/>
        </w:rPr>
        <w:t xml:space="preserve"> depending upon the type of blood </w:t>
      </w:r>
      <w:r w:rsidR="002F5515" w:rsidRPr="00304F2D">
        <w:rPr>
          <w:rFonts w:ascii="Times New Roman" w:hAnsi="Times New Roman" w:cs="Times New Roman"/>
        </w:rPr>
        <w:t>given</w:t>
      </w:r>
      <w:r w:rsidRPr="00304F2D">
        <w:rPr>
          <w:rFonts w:ascii="Times New Roman" w:hAnsi="Times New Roman" w:cs="Times New Roman"/>
        </w:rPr>
        <w:t>. The donation of blood can occur in three forms, with the two most common being whole blood and p</w:t>
      </w:r>
      <w:r w:rsidR="00D51860" w:rsidRPr="00304F2D">
        <w:rPr>
          <w:rFonts w:ascii="Times New Roman" w:hAnsi="Times New Roman" w:cs="Times New Roman"/>
        </w:rPr>
        <w:t xml:space="preserve">lasma. </w:t>
      </w:r>
      <w:r w:rsidRPr="00304F2D">
        <w:rPr>
          <w:rFonts w:ascii="Times New Roman" w:hAnsi="Times New Roman" w:cs="Times New Roman"/>
        </w:rPr>
        <w:t>Whole bl</w:t>
      </w:r>
      <w:r w:rsidR="00E442BF" w:rsidRPr="00304F2D">
        <w:rPr>
          <w:rFonts w:ascii="Times New Roman" w:hAnsi="Times New Roman" w:cs="Times New Roman"/>
        </w:rPr>
        <w:t xml:space="preserve">ood is the most </w:t>
      </w:r>
      <w:proofErr w:type="spellStart"/>
      <w:r w:rsidR="00E442BF" w:rsidRPr="00304F2D">
        <w:rPr>
          <w:rFonts w:ascii="Times New Roman" w:hAnsi="Times New Roman" w:cs="Times New Roman"/>
        </w:rPr>
        <w:t>well known</w:t>
      </w:r>
      <w:proofErr w:type="spellEnd"/>
      <w:r w:rsidR="00E442BF" w:rsidRPr="00304F2D">
        <w:rPr>
          <w:rFonts w:ascii="Times New Roman" w:hAnsi="Times New Roman" w:cs="Times New Roman"/>
        </w:rPr>
        <w:t xml:space="preserve"> form</w:t>
      </w:r>
      <w:r w:rsidRPr="00304F2D">
        <w:rPr>
          <w:rFonts w:ascii="Times New Roman" w:hAnsi="Times New Roman" w:cs="Times New Roman"/>
        </w:rPr>
        <w:t xml:space="preserve"> and has a frequency ceiling of four or five times a year</w:t>
      </w:r>
      <w:r w:rsidR="00E442BF" w:rsidRPr="00304F2D">
        <w:rPr>
          <w:rFonts w:ascii="Times New Roman" w:hAnsi="Times New Roman" w:cs="Times New Roman"/>
        </w:rPr>
        <w:t xml:space="preserve"> for health reasons</w:t>
      </w:r>
      <w:r w:rsidRPr="00304F2D">
        <w:rPr>
          <w:rFonts w:ascii="Times New Roman" w:hAnsi="Times New Roman" w:cs="Times New Roman"/>
        </w:rPr>
        <w:t xml:space="preserve"> </w:t>
      </w:r>
      <w:r w:rsidRPr="00304F2D">
        <w:rPr>
          <w:rFonts w:ascii="Times New Roman" w:hAnsi="Times New Roman" w:cs="Times New Roman"/>
          <w:noProof/>
        </w:rPr>
        <w:fldChar w:fldCharType="begin"/>
      </w:r>
      <w:r w:rsidR="00382F99" w:rsidRPr="00304F2D">
        <w:rPr>
          <w:rFonts w:ascii="Times New Roman" w:hAnsi="Times New Roman" w:cs="Times New Roman"/>
          <w:noProof/>
        </w:rPr>
        <w:instrText xml:space="preserve"> ADDIN EN.CITE &lt;EndNote&gt;&lt;Cite&gt;&lt;Author&gt;Europe&lt;/Author&gt;&lt;Year&gt;2010&lt;/Year&gt;&lt;RecNum&gt;24395&lt;/RecNum&gt;&lt;DisplayText&gt;(Council of Europe, 2010)&lt;/DisplayText&gt;&lt;record&gt;&lt;rec-number&gt;24395&lt;/rec-number&gt;&lt;foreign-keys&gt;&lt;key app="EN" db-id="eswazv0p5wsezae2sd8pf59gf50trdav5fsw" timestamp="0"&gt;24395&lt;/key&gt;&lt;/foreign-keys&gt;&lt;ref-type name="Book"&gt;6&lt;/ref-type&gt;&lt;contributors&gt;&lt;authors&gt;&lt;author&gt;Council of Europe,&lt;/author&gt;&lt;/authors&gt;&lt;/contributors&gt;&lt;titles&gt;&lt;title&gt;Guide to the preparation, use and quality assurance of blood components&lt;/title&gt;&lt;/titles&gt;&lt;edition&gt;16th&lt;/edition&gt;&lt;dates&gt;&lt;year&gt;2010&lt;/year&gt;&lt;/dates&gt;&lt;pub-location&gt;Strasbourg&lt;/pub-location&gt;&lt;publisher&gt;EDQM&lt;/publisher&gt;&lt;urls&gt;&lt;/urls&gt;&lt;/record&gt;&lt;/Cite&gt;&lt;/EndNote&gt;</w:instrText>
      </w:r>
      <w:r w:rsidRPr="00304F2D">
        <w:rPr>
          <w:rFonts w:ascii="Times New Roman" w:hAnsi="Times New Roman" w:cs="Times New Roman"/>
          <w:noProof/>
        </w:rPr>
        <w:fldChar w:fldCharType="separate"/>
      </w:r>
      <w:r w:rsidRPr="00304F2D">
        <w:rPr>
          <w:rFonts w:ascii="Times New Roman" w:hAnsi="Times New Roman" w:cs="Times New Roman"/>
          <w:noProof/>
        </w:rPr>
        <w:t>(</w:t>
      </w:r>
      <w:hyperlink w:anchor="_ENREF_22" w:tooltip="Council of Europe, 2010 #24395" w:history="1">
        <w:r w:rsidR="00DA6B8D" w:rsidRPr="00304F2D">
          <w:rPr>
            <w:rFonts w:ascii="Times New Roman" w:hAnsi="Times New Roman" w:cs="Times New Roman"/>
            <w:noProof/>
          </w:rPr>
          <w:t>Council of Europe, 2010</w:t>
        </w:r>
      </w:hyperlink>
      <w:r w:rsidRPr="00304F2D">
        <w:rPr>
          <w:rFonts w:ascii="Times New Roman" w:hAnsi="Times New Roman" w:cs="Times New Roman"/>
          <w:noProof/>
        </w:rPr>
        <w:t>)</w:t>
      </w:r>
      <w:r w:rsidRPr="00304F2D">
        <w:rPr>
          <w:rFonts w:ascii="Times New Roman" w:hAnsi="Times New Roman" w:cs="Times New Roman"/>
          <w:noProof/>
        </w:rPr>
        <w:fldChar w:fldCharType="end"/>
      </w:r>
      <w:r w:rsidRPr="00304F2D">
        <w:rPr>
          <w:rFonts w:ascii="Times New Roman" w:hAnsi="Times New Roman" w:cs="Times New Roman"/>
          <w:noProof/>
        </w:rPr>
        <w:t xml:space="preserve">. </w:t>
      </w:r>
      <w:r w:rsidRPr="00304F2D">
        <w:rPr>
          <w:rFonts w:ascii="Times New Roman" w:hAnsi="Times New Roman" w:cs="Times New Roman"/>
        </w:rPr>
        <w:t xml:space="preserve">Plasma is the next most common form, derived from a plasmapheresis donation which can be made every 2-3 weeks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&lt;EndNote&gt;&lt;Cite&gt;&lt;Author&gt;Australian Red Cross Blood Service&lt;/Author&gt;&lt;Year&gt;2014&lt;/Year&gt;&lt;RecNum&gt;27783&lt;/RecNum&gt;&lt;DisplayText&gt;(Australian Red Cross Blood Service, 2014)&lt;/DisplayText&gt;&lt;record&gt;&lt;rec-number&gt;27783&lt;/rec-number&gt;&lt;foreign-keys&gt;&lt;key app="EN" db-id="eswazv0p5wsezae2sd8pf59gf50trdav5fsw" timestamp="0"&gt;27783&lt;/key&gt;&lt;/foreign-keys&gt;&lt;ref-type name="Web Page"&gt;12&lt;/ref-type&gt;&lt;contributors&gt;&lt;authors&gt;&lt;author&gt;Australian Red Cross Blood Service, &lt;/author&gt;&lt;/authors&gt;&lt;/contributors&gt;&lt;titles&gt;&lt;title&gt;Who can give? - When can I donate next?&lt;/title&gt;&lt;/titles&gt;&lt;dates&gt;&lt;year&gt;2014&lt;/year&gt;&lt;/dates&gt;&lt;pub-location&gt;Online&lt;/pub-location&gt;&lt;urls&gt;&lt;related-urls&gt;&lt;url&gt;http://www.donateblood.com.au/who-can-give/when-can-i&lt;/url&gt;&lt;/related-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8" w:tooltip="Australian Red Cross Blood Service, 2014 #27783" w:history="1">
        <w:r w:rsidR="00DA6B8D" w:rsidRPr="00304F2D">
          <w:rPr>
            <w:rFonts w:ascii="Times New Roman" w:hAnsi="Times New Roman" w:cs="Times New Roman"/>
            <w:noProof/>
          </w:rPr>
          <w:t>Australian Red Cross Blood Service, 2014</w:t>
        </w:r>
      </w:hyperlink>
      <w:r w:rsidRPr="00304F2D">
        <w:rPr>
          <w:rFonts w:ascii="Times New Roman" w:hAnsi="Times New Roman" w:cs="Times New Roman"/>
          <w:noProof/>
        </w:rPr>
        <w:t>)</w:t>
      </w:r>
      <w:r w:rsidRPr="00304F2D">
        <w:rPr>
          <w:rFonts w:ascii="Times New Roman" w:hAnsi="Times New Roman" w:cs="Times New Roman"/>
        </w:rPr>
        <w:fldChar w:fldCharType="end"/>
      </w:r>
      <w:r w:rsidR="001B7E93">
        <w:rPr>
          <w:rFonts w:ascii="Times New Roman" w:hAnsi="Times New Roman" w:cs="Times New Roman"/>
        </w:rPr>
        <w:t>, m</w:t>
      </w:r>
      <w:r w:rsidRPr="00304F2D">
        <w:rPr>
          <w:rFonts w:ascii="Times New Roman" w:hAnsi="Times New Roman" w:cs="Times New Roman"/>
        </w:rPr>
        <w:t xml:space="preserve">aking it a desirable form of donation for blood collection agencies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&lt;EndNote&gt;&lt;Cite&gt;&lt;Author&gt;Bagot&lt;/Author&gt;&lt;Year&gt;2014&lt;/Year&gt;&lt;RecNum&gt;27425&lt;/RecNum&gt;&lt;DisplayText&gt;(Bagot&lt;style face="italic"&gt; et al.&lt;/style&gt;, 2014)&lt;/DisplayText&gt;&lt;record&gt;&lt;rec-number&gt;27425&lt;/rec-number&gt;&lt;foreign-keys&gt;&lt;key app="EN" db-id="eswazv0p5wsezae2sd8pf59gf50trdav5fsw" timestamp="0"&gt;27425&lt;/key&gt;&lt;/foreign-keys&gt;&lt;ref-type name="Journal Article"&gt;17&lt;/ref-type&gt;&lt;contributors&gt;&lt;authors&gt;&lt;author&gt;Bagot, Kathleen L.&lt;/author&gt;&lt;author&gt;Bove, Liliana L.&lt;/author&gt;&lt;author&gt;Masser, Barbara M.&lt;/author&gt;&lt;author&gt;White, Katherine M.&lt;/author&gt;&lt;/authors&gt;&lt;/contributors&gt;&lt;titles&gt;&lt;title&gt;Asking for something different from our donors: Factors influencing persuasion success&lt;/title&gt;&lt;secondary-title&gt;Transfusion&lt;/secondary-title&gt;&lt;/titles&gt;&lt;periodical&gt;&lt;full-title&gt;Transfusion&lt;/full-title&gt;&lt;/periodical&gt;&lt;pages&gt;848-855&lt;/pages&gt;&lt;volume&gt;54&lt;/volume&gt;&lt;number&gt;3&lt;/number&gt;&lt;dates&gt;&lt;year&gt;2014&lt;/year&gt;&lt;pub-dates&gt;&lt;date&gt;March&lt;/date&gt;&lt;/pub-dates&gt;&lt;/dates&gt;&lt;publisher&gt;Wiley&lt;/publisher&gt;&lt;isbn&gt;1537-2995&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10" w:tooltip="Bagot, 2014 #27425"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2014</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Plasma donations require more donor commitment as extracting plasma takes a </w:t>
      </w:r>
      <w:r w:rsidRPr="00304F2D">
        <w:rPr>
          <w:rFonts w:ascii="Times New Roman" w:hAnsi="Times New Roman" w:cs="Times New Roman"/>
        </w:rPr>
        <w:lastRenderedPageBreak/>
        <w:t xml:space="preserve">minimum of 45 minutes per donation compared with up to 15 minutes for whole blood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&lt;EndNote&gt;&lt;Cite&gt;&lt;Author&gt;Bagot&lt;/Author&gt;&lt;Year&gt;2013&lt;/Year&gt;&lt;RecNum&gt;24446&lt;/RecNum&gt;&lt;DisplayText&gt;(Bagot&lt;style face="italic"&gt; et al.&lt;/style&gt;, 2013)&lt;/DisplayText&gt;&lt;record&gt;&lt;rec-number&gt;24446&lt;/rec-number&gt;&lt;foreign-keys&gt;&lt;key app="EN" db-id="eswazv0p5wsezae2sd8pf59gf50trdav5fsw" timestamp="0"&gt;24446&lt;/key&gt;&lt;/foreign-keys&gt;&lt;ref-type name="Journal Article"&gt;17&lt;/ref-type&gt;&lt;contributors&gt;&lt;authors&gt;&lt;author&gt;Bagot, Kathleen L.&lt;/author&gt;&lt;author&gt;Bove, Liliana L.&lt;/author&gt;&lt;author&gt;Masser, Barbara M.&lt;/author&gt;&lt;author&gt;Bednall, Timothy C.&lt;/author&gt;&lt;author&gt;Buzza, Mark&lt;/author&gt;&lt;/authors&gt;&lt;/contributors&gt;&lt;titles&gt;&lt;title&gt;Perceived deterrents to being a plasmapheresis donor in a voluntary, nonremunerated environment&lt;/title&gt;&lt;secondary-title&gt;Transfusion&lt;/secondary-title&gt;&lt;/titles&gt;&lt;periodical&gt;&lt;full-title&gt;Transfusion&lt;/full-title&gt;&lt;/periodical&gt;&lt;pages&gt;1108-1119&lt;/pages&gt;&lt;volume&gt;53&lt;/volume&gt;&lt;dates&gt;&lt;year&gt;2013&lt;/year&gt;&lt;pub-dates&gt;&lt;date&gt;May&lt;/date&gt;&lt;/pub-dates&gt;&lt;/dates&gt;&lt;publisher&gt;Wiley&lt;/publisher&gt;&lt;isbn&gt;1537-2995&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9" w:tooltip="Bagot, 2013 #24446"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2013</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Promotional materials for plasma donation continue to highlight </w:t>
      </w:r>
      <w:r w:rsidR="001B7E93">
        <w:rPr>
          <w:rFonts w:ascii="Times New Roman" w:hAnsi="Times New Roman" w:cs="Times New Roman"/>
        </w:rPr>
        <w:t xml:space="preserve">the importance of </w:t>
      </w:r>
      <w:r w:rsidRPr="00304F2D">
        <w:rPr>
          <w:rFonts w:ascii="Times New Roman" w:hAnsi="Times New Roman" w:cs="Times New Roman"/>
        </w:rPr>
        <w:t xml:space="preserve">frequency: ‘By giving time every few weeks, you can help us to improve the quality of life of many patients and their families’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&lt;EndNote&gt;&lt;Cite&gt;&lt;Author&gt;Australian Red Cross Blood Service&lt;/Author&gt;&lt;Year&gt;2011&lt;/Year&gt;&lt;RecNum&gt;27784&lt;/RecNum&gt;&lt;DisplayText&gt;(Australian Red Cross Blood Service, 2011)&lt;/DisplayText&gt;&lt;record&gt;&lt;rec-number&gt;27784&lt;/rec-number&gt;&lt;foreign-keys&gt;&lt;key app="EN" db-id="eswazv0p5wsezae2sd8pf59gf50trdav5fsw" timestamp="0"&gt;27784&lt;/key&gt;&lt;/foreign-keys&gt;&lt;ref-type name="Report"&gt;27&lt;/ref-type&gt;&lt;contributors&gt;&lt;authors&gt;&lt;author&gt;Australian Red Cross Blood Service, &lt;/author&gt;&lt;/authors&gt;&lt;/contributors&gt;&lt;titles&gt;&lt;title&gt;Your plasma can help more people than you think&lt;/title&gt;&lt;secondary-title&gt;Plasma Donations&lt;/secondary-title&gt;&lt;/titles&gt;&lt;pages&gt;1-2&lt;/pages&gt;&lt;dates&gt;&lt;year&gt;2011&lt;/year&gt;&lt;pub-dates&gt;&lt;date&gt;July 11&lt;/date&gt;&lt;/pub-dates&gt;&lt;/dates&gt;&lt;pub-location&gt;Online&lt;/pub-location&gt;&lt;urls&gt;&lt;/urls&gt;&lt;/record&gt;&lt;/Cite&gt;&lt;/EndNote&gt;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7" w:tooltip="Australian Red Cross Blood Service, 2011 #27784" w:history="1">
        <w:r w:rsidR="00DA6B8D" w:rsidRPr="00304F2D">
          <w:rPr>
            <w:rFonts w:ascii="Times New Roman" w:hAnsi="Times New Roman" w:cs="Times New Roman"/>
            <w:noProof/>
          </w:rPr>
          <w:t>Australian Red Cross Blood Service, 2011</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w:t>
      </w:r>
    </w:p>
    <w:p w14:paraId="4ABE142B" w14:textId="2423AE3E" w:rsidR="005722FD" w:rsidRPr="00304F2D" w:rsidRDefault="005722FD" w:rsidP="005722FD">
      <w:pPr>
        <w:spacing w:line="480" w:lineRule="auto"/>
        <w:ind w:firstLine="720"/>
        <w:rPr>
          <w:rFonts w:ascii="Times New Roman" w:hAnsi="Times New Roman" w:cs="Times New Roman"/>
        </w:rPr>
      </w:pPr>
      <w:r w:rsidRPr="00304F2D">
        <w:rPr>
          <w:rFonts w:ascii="Times New Roman" w:hAnsi="Times New Roman" w:cs="Times New Roman"/>
        </w:rPr>
        <w:t xml:space="preserve">Frequent blood donors are also attractive as they provide volume stability, reduce the risk of receiving infected blood, and reduce recruitment costs by having a regular pool of donors </w:t>
      </w:r>
      <w:r w:rsidRPr="00304F2D">
        <w:rPr>
          <w:rFonts w:ascii="Times New Roman" w:hAnsi="Times New Roman" w:cs="Times New Roman"/>
          <w:noProof/>
        </w:rPr>
        <w:fldChar w:fldCharType="begin">
          <w:fldData xml:space="preserve">PEVuZE5vdGU+PENpdGU+PEF1dGhvcj5BbGxhaW48L0F1dGhvcj48WWVhcj4yMDExPC9ZZWFyPjxS
ZWNOdW0+MjQzOTQ8L1JlY051bT48RGlzcGxheVRleHQ+KEFsbGFpbiwgMjAxMTsgV2lsZG1hbiBh
bmQgSG9sbGluZ3N3b3J0aCwgMjAwOTsgR29nYXJ0eSwgMjAwNzsgRGV2aW5lPHN0eWxlIGZhY2U9
Iml0YWxpYyI+IGV0IGFsLjwvc3R5bGU+LCAyMDA3KTwvRGlzcGxheVRleHQ+PHJlY29yZD48cmVj
LW51bWJlcj4yNDM5NDwvcmVjLW51bWJlcj48Zm9yZWlnbi1rZXlzPjxrZXkgYXBwPSJFTiIgZGIt
aWQ9ImVzd2F6djBwNXdzZXphZTJzZDhwZjU5Z2Y1MHRyZGF2NWZzdyIgdGltZXN0YW1wPSIwIj4y
NDM5NDwva2V5PjwvZm9yZWlnbi1rZXlzPjxyZWYtdHlwZSBuYW1lPSJKb3VybmFsIEFydGljbGUi
PjE3PC9yZWYtdHlwZT48Y29udHJpYnV0b3JzPjxhdXRob3JzPjxhdXRob3I+QWxsYWluLCBKZWFu
4oCQUGllcnJlPC9hdXRob3I+PC9hdXRob3JzPjwvY29udHJpYnV0b3JzPjx0aXRsZXM+PHRpdGxl
Pk1vdmluZyBvbiBmcm9tIHZvbHVudGFyeSBub27igJByZW11bmVyYXRlZCBkb25vcnM6IHdobyBp
cyB0aGUgYmVzdCBibG9vZCBkb25vcj88L3RpdGxlPjxzZWNvbmRhcnktdGl0bGU+QnJpdGlzaCBq
b3VybmFsIG9mIGhhZW1hdG9sb2d5PC9zZWNvbmRhcnktdGl0bGU+PC90aXRsZXM+PHBhZ2VzPjc2
My03Njk8L3BhZ2VzPjx2b2x1bWU+MTU0PC92b2x1bWU+PG51bWJlcj42PC9udW1iZXI+PGRhdGVz
Pjx5ZWFyPjIwMTE8L3llYXI+PC9kYXRlcz48cHVibGlzaGVyPldpbGV5IE9ubGluZSBMaWJyYXJ5
PC9wdWJsaXNoZXI+PGlzYm4+MTM2NS0yMTQxPC9pc2JuPjx1cmxzPjwvdXJscz48L3JlY29yZD48
L0NpdGU+PENpdGU+PEF1dGhvcj5XaWxkbWFuPC9BdXRob3I+PFllYXI+MjAwOTwvWWVhcj48UmVj
TnVtPjIzODQ4PC9SZWNOdW0+PHJlY29yZD48cmVjLW51bWJlcj4yMzg0ODwvcmVjLW51bWJlcj48
Zm9yZWlnbi1rZXlzPjxrZXkgYXBwPSJFTiIgZGItaWQ9ImVzd2F6djBwNXdzZXphZTJzZDhwZjU5
Z2Y1MHRyZGF2NWZzdyIgdGltZXN0YW1wPSIwIj4yMzg0ODwva2V5PjwvZm9yZWlnbi1rZXlzPjxy
ZWYtdHlwZSBuYW1lPSJKb3VybmFsIEFydGljbGUiPjE3PC9yZWYtdHlwZT48Y29udHJpYnV0b3Jz
PjxhdXRob3JzPjxhdXRob3I+V2lsZG1hbiwgSm9obi48L2F1dGhvcj48YXV0aG9yPkhvbGxpbmdz
d29ydGgsIEJydWNlLjwvYXV0aG9yPjwvYXV0aG9ycz48L2NvbnRyaWJ1dG9ycz48dGl0bGVzPjx0
aXRsZT5CbG9vZCBkb25hdGlvbiBhbmQgdGhlIG5hdHVyZSBvZiBhbHRydWlzbTwvdGl0bGU+PHNl
Y29uZGFyeS10aXRsZT5Kb3VybmFsIG9mIGhlYWx0aCBlY29ub21pY3M8L3NlY29uZGFyeS10aXRs
ZT48L3RpdGxlcz48cGFnZXM+NDkyLTUwMzwvcGFnZXM+PHZvbHVtZT4yODwvdm9sdW1lPjxudW1i
ZXI+MjwvbnVtYmVyPjxkYXRlcz48eWVhcj4yMDA5PC95ZWFyPjwvZGF0ZXM+PHB1Ymxpc2hlcj5F
bHNldmllcjwvcHVibGlzaGVyPjxpc2JuPjAxNjctNjI5NjwvaXNibj48dXJscz48L3VybHM+PC9y
ZWNvcmQ+PC9DaXRlPjxDaXRlPjxBdXRob3I+R29nYXJ0eTwvQXV0aG9yPjxZZWFyPjIwMDc8L1ll
YXI+PFJlY051bT4yNDA0MzwvUmVjTnVtPjxyZWNvcmQ+PHJlYy1udW1iZXI+MjQwNDM8L3JlYy1u
dW1iZXI+PGZvcmVpZ24ta2V5cz48a2V5IGFwcD0iRU4iIGRiLWlkPSJlc3dhenYwcDV3c2V6YWUy
c2Q4cGY1OWdmNTB0cmRhdjVmc3ciIHRpbWVzdGFtcD0iMCI+MjQwNDM8L2tleT48L2ZvcmVpZ24t
a2V5cz48cmVmLXR5cGUgbmFtZT0iSm91cm5hbCBBcnRpY2xlIj4xNzwvcmVmLXR5cGU+PGNvbnRy
aWJ1dG9ycz48YXV0aG9ycz48YXV0aG9yPkdvZ2FydHksIEcuPC9hdXRob3I+PC9hdXRob3JzPjwv
Y29udHJpYnV0b3JzPjx0aXRsZXM+PHRpdGxlPkRvbm9yIHJlY3J1aXRtZW50IHJlc2VhcmNoPC90
aXRsZT48c2Vjb25kYXJ5LXRpdGxlPlZveCBzYW5ndWluaXM8L3NlY29uZGFyeS10aXRsZT48L3Rp
dGxlcz48cGVyaW9kaWNhbD48ZnVsbC10aXRsZT5Wb3ggc2FuZ3VpbmlzPC9mdWxsLXRpdGxlPjwv
cGVyaW9kaWNhbD48cGFnZXM+MzwvcGFnZXM+PHZvbHVtZT45Mzwvdm9sdW1lPjxudW1iZXI+OTM8
L251bWJlcj48c2VjdGlvbj4yNTctMjU4PC9zZWN0aW9uPjxkYXRlcz48eWVhcj4yMDA3PC95ZWFy
PjwvZGF0ZXM+PHVybHM+PC91cmxzPjwvcmVjb3JkPjwvQ2l0ZT48Q2l0ZT48QXV0aG9yPkRldmlu
ZTwvQXV0aG9yPjxZZWFyPjIwMDc8L1llYXI+PFJlY051bT4yNDA0MTwvUmVjTnVtPjxyZWNvcmQ+
PHJlYy1udW1iZXI+MjQwNDE8L3JlYy1udW1iZXI+PGZvcmVpZ24ta2V5cz48a2V5IGFwcD0iRU4i
IGRiLWlkPSJlc3dhenYwcDV3c2V6YWUyc2Q4cGY1OWdmNTB0cmRhdjVmc3ciIHRpbWVzdGFtcD0i
MCI+MjQwNDE8L2tleT48L2ZvcmVpZ24ta2V5cz48cmVmLXR5cGUgbmFtZT0iSm91cm5hbCBBcnRp
Y2xlIj4xNzwvcmVmLXR5cGU+PGNvbnRyaWJ1dG9ycz48YXV0aG9ycz48YXV0aG9yPkRldmluZSwg
RC48L2F1dGhvcj48YXV0aG9yPkdvbGRtYW4sIE0uPC9hdXRob3I+PGF1dGhvcj5FbmdlbGZyaWV0
LCBDLiBQLjwvYXV0aG9yPjxhdXRob3I+UmVlc2luaywgSC4gVy48L2F1dGhvcj48YXV0aG9yPkhl
dGhlcmluZ3RvbiwgQy48L2F1dGhvcj48YXV0aG9yPkhhbGwsIFMuPC9hdXRob3I+PGF1dGhvcj5T
dGVlZCwgQS48L2F1dGhvcj48YXV0aG9yPkhhcmRpbmcsIFMuPC9hdXRob3I+PGF1dGhvcj5XZXN0
bWFuLCBQLjwvYXV0aG9yPjxhdXRob3I+R29nYXJ0eSwgRy48L2F1dGhvcj48L2F1dGhvcnM+PC9j
b250cmlidXRvcnM+PHRpdGxlcz48dGl0bGU+RG9ub3IgcmVjcnVpdG1lbnQgcmVzZWFyY2g8L3Rp
dGxlPjxzZWNvbmRhcnktdGl0bGU+Vm94IHNhbmd1aW5pczwvc2Vjb25kYXJ5LXRpdGxlPjwvdGl0
bGVzPjxwZXJpb2RpY2FsPjxmdWxsLXRpdGxlPlZveCBzYW5ndWluaXM8L2Z1bGwtdGl0bGU+PC9w
ZXJpb2RpY2FsPjxwYWdlcz4yNTAtMjU5PC9wYWdlcz48dm9sdW1lPjkzPC92b2x1bWU+PG51bWJl
cj4zPC9udW1iZXI+PGRhdGVzPjx5ZWFyPjIwMDc8L3llYXI+PC9kYXRlcz48cHVibGlzaGVyPldp
bGV5IE9ubGluZSBMaWJyYXJ5PC9wdWJsaXNoZXI+PGlzYm4+MTQyMy0wNDEwPC9pc2JuPjx1cmxz
PjwvdXJscz48L3JlY29yZD48L0NpdGU+PC9FbmROb3RlPgB=
</w:fldData>
        </w:fldChar>
      </w:r>
      <w:r w:rsidR="00382F99" w:rsidRPr="00304F2D">
        <w:rPr>
          <w:rFonts w:ascii="Times New Roman" w:hAnsi="Times New Roman" w:cs="Times New Roman"/>
          <w:noProof/>
        </w:rPr>
        <w:instrText xml:space="preserve"> ADDIN EN.CITE </w:instrText>
      </w:r>
      <w:r w:rsidR="00382F99" w:rsidRPr="00304F2D">
        <w:rPr>
          <w:rFonts w:ascii="Times New Roman" w:hAnsi="Times New Roman" w:cs="Times New Roman"/>
          <w:noProof/>
        </w:rPr>
        <w:fldChar w:fldCharType="begin">
          <w:fldData xml:space="preserve">PEVuZE5vdGU+PENpdGU+PEF1dGhvcj5BbGxhaW48L0F1dGhvcj48WWVhcj4yMDExPC9ZZWFyPjxS
ZWNOdW0+MjQzOTQ8L1JlY051bT48RGlzcGxheVRleHQ+KEFsbGFpbiwgMjAxMTsgV2lsZG1hbiBh
bmQgSG9sbGluZ3N3b3J0aCwgMjAwOTsgR29nYXJ0eSwgMjAwNzsgRGV2aW5lPHN0eWxlIGZhY2U9
Iml0YWxpYyI+IGV0IGFsLjwvc3R5bGU+LCAyMDA3KTwvRGlzcGxheVRleHQ+PHJlY29yZD48cmVj
LW51bWJlcj4yNDM5NDwvcmVjLW51bWJlcj48Zm9yZWlnbi1rZXlzPjxrZXkgYXBwPSJFTiIgZGIt
aWQ9ImVzd2F6djBwNXdzZXphZTJzZDhwZjU5Z2Y1MHRyZGF2NWZzdyIgdGltZXN0YW1wPSIwIj4y
NDM5NDwva2V5PjwvZm9yZWlnbi1rZXlzPjxyZWYtdHlwZSBuYW1lPSJKb3VybmFsIEFydGljbGUi
PjE3PC9yZWYtdHlwZT48Y29udHJpYnV0b3JzPjxhdXRob3JzPjxhdXRob3I+QWxsYWluLCBKZWFu
4oCQUGllcnJlPC9hdXRob3I+PC9hdXRob3JzPjwvY29udHJpYnV0b3JzPjx0aXRsZXM+PHRpdGxl
Pk1vdmluZyBvbiBmcm9tIHZvbHVudGFyeSBub27igJByZW11bmVyYXRlZCBkb25vcnM6IHdobyBp
cyB0aGUgYmVzdCBibG9vZCBkb25vcj88L3RpdGxlPjxzZWNvbmRhcnktdGl0bGU+QnJpdGlzaCBq
b3VybmFsIG9mIGhhZW1hdG9sb2d5PC9zZWNvbmRhcnktdGl0bGU+PC90aXRsZXM+PHBhZ2VzPjc2
My03Njk8L3BhZ2VzPjx2b2x1bWU+MTU0PC92b2x1bWU+PG51bWJlcj42PC9udW1iZXI+PGRhdGVz
Pjx5ZWFyPjIwMTE8L3llYXI+PC9kYXRlcz48cHVibGlzaGVyPldpbGV5IE9ubGluZSBMaWJyYXJ5
PC9wdWJsaXNoZXI+PGlzYm4+MTM2NS0yMTQxPC9pc2JuPjx1cmxzPjwvdXJscz48L3JlY29yZD48
L0NpdGU+PENpdGU+PEF1dGhvcj5XaWxkbWFuPC9BdXRob3I+PFllYXI+MjAwOTwvWWVhcj48UmVj
TnVtPjIzODQ4PC9SZWNOdW0+PHJlY29yZD48cmVjLW51bWJlcj4yMzg0ODwvcmVjLW51bWJlcj48
Zm9yZWlnbi1rZXlzPjxrZXkgYXBwPSJFTiIgZGItaWQ9ImVzd2F6djBwNXdzZXphZTJzZDhwZjU5
Z2Y1MHRyZGF2NWZzdyIgdGltZXN0YW1wPSIwIj4yMzg0ODwva2V5PjwvZm9yZWlnbi1rZXlzPjxy
ZWYtdHlwZSBuYW1lPSJKb3VybmFsIEFydGljbGUiPjE3PC9yZWYtdHlwZT48Y29udHJpYnV0b3Jz
PjxhdXRob3JzPjxhdXRob3I+V2lsZG1hbiwgSm9obi48L2F1dGhvcj48YXV0aG9yPkhvbGxpbmdz
d29ydGgsIEJydWNlLjwvYXV0aG9yPjwvYXV0aG9ycz48L2NvbnRyaWJ1dG9ycz48dGl0bGVzPjx0
aXRsZT5CbG9vZCBkb25hdGlvbiBhbmQgdGhlIG5hdHVyZSBvZiBhbHRydWlzbTwvdGl0bGU+PHNl
Y29uZGFyeS10aXRsZT5Kb3VybmFsIG9mIGhlYWx0aCBlY29ub21pY3M8L3NlY29uZGFyeS10aXRs
ZT48L3RpdGxlcz48cGFnZXM+NDkyLTUwMzwvcGFnZXM+PHZvbHVtZT4yODwvdm9sdW1lPjxudW1i
ZXI+MjwvbnVtYmVyPjxkYXRlcz48eWVhcj4yMDA5PC95ZWFyPjwvZGF0ZXM+PHB1Ymxpc2hlcj5F
bHNldmllcjwvcHVibGlzaGVyPjxpc2JuPjAxNjctNjI5NjwvaXNibj48dXJscz48L3VybHM+PC9y
ZWNvcmQ+PC9DaXRlPjxDaXRlPjxBdXRob3I+R29nYXJ0eTwvQXV0aG9yPjxZZWFyPjIwMDc8L1ll
YXI+PFJlY051bT4yNDA0MzwvUmVjTnVtPjxyZWNvcmQ+PHJlYy1udW1iZXI+MjQwNDM8L3JlYy1u
dW1iZXI+PGZvcmVpZ24ta2V5cz48a2V5IGFwcD0iRU4iIGRiLWlkPSJlc3dhenYwcDV3c2V6YWUy
c2Q4cGY1OWdmNTB0cmRhdjVmc3ciIHRpbWVzdGFtcD0iMCI+MjQwNDM8L2tleT48L2ZvcmVpZ24t
a2V5cz48cmVmLXR5cGUgbmFtZT0iSm91cm5hbCBBcnRpY2xlIj4xNzwvcmVmLXR5cGU+PGNvbnRy
aWJ1dG9ycz48YXV0aG9ycz48YXV0aG9yPkdvZ2FydHksIEcuPC9hdXRob3I+PC9hdXRob3JzPjwv
Y29udHJpYnV0b3JzPjx0aXRsZXM+PHRpdGxlPkRvbm9yIHJlY3J1aXRtZW50IHJlc2VhcmNoPC90
aXRsZT48c2Vjb25kYXJ5LXRpdGxlPlZveCBzYW5ndWluaXM8L3NlY29uZGFyeS10aXRsZT48L3Rp
dGxlcz48cGVyaW9kaWNhbD48ZnVsbC10aXRsZT5Wb3ggc2FuZ3VpbmlzPC9mdWxsLXRpdGxlPjwv
cGVyaW9kaWNhbD48cGFnZXM+MzwvcGFnZXM+PHZvbHVtZT45Mzwvdm9sdW1lPjxudW1iZXI+OTM8
L251bWJlcj48c2VjdGlvbj4yNTctMjU4PC9zZWN0aW9uPjxkYXRlcz48eWVhcj4yMDA3PC95ZWFy
PjwvZGF0ZXM+PHVybHM+PC91cmxzPjwvcmVjb3JkPjwvQ2l0ZT48Q2l0ZT48QXV0aG9yPkRldmlu
ZTwvQXV0aG9yPjxZZWFyPjIwMDc8L1llYXI+PFJlY051bT4yNDA0MTwvUmVjTnVtPjxyZWNvcmQ+
PHJlYy1udW1iZXI+MjQwNDE8L3JlYy1udW1iZXI+PGZvcmVpZ24ta2V5cz48a2V5IGFwcD0iRU4i
IGRiLWlkPSJlc3dhenYwcDV3c2V6YWUyc2Q4cGY1OWdmNTB0cmRhdjVmc3ciIHRpbWVzdGFtcD0i
MCI+MjQwNDE8L2tleT48L2ZvcmVpZ24ta2V5cz48cmVmLXR5cGUgbmFtZT0iSm91cm5hbCBBcnRp
Y2xlIj4xNzwvcmVmLXR5cGU+PGNvbnRyaWJ1dG9ycz48YXV0aG9ycz48YXV0aG9yPkRldmluZSwg
RC48L2F1dGhvcj48YXV0aG9yPkdvbGRtYW4sIE0uPC9hdXRob3I+PGF1dGhvcj5FbmdlbGZyaWV0
LCBDLiBQLjwvYXV0aG9yPjxhdXRob3I+UmVlc2luaywgSC4gVy48L2F1dGhvcj48YXV0aG9yPkhl
dGhlcmluZ3RvbiwgQy48L2F1dGhvcj48YXV0aG9yPkhhbGwsIFMuPC9hdXRob3I+PGF1dGhvcj5T
dGVlZCwgQS48L2F1dGhvcj48YXV0aG9yPkhhcmRpbmcsIFMuPC9hdXRob3I+PGF1dGhvcj5XZXN0
bWFuLCBQLjwvYXV0aG9yPjxhdXRob3I+R29nYXJ0eSwgRy48L2F1dGhvcj48L2F1dGhvcnM+PC9j
b250cmlidXRvcnM+PHRpdGxlcz48dGl0bGU+RG9ub3IgcmVjcnVpdG1lbnQgcmVzZWFyY2g8L3Rp
dGxlPjxzZWNvbmRhcnktdGl0bGU+Vm94IHNhbmd1aW5pczwvc2Vjb25kYXJ5LXRpdGxlPjwvdGl0
bGVzPjxwZXJpb2RpY2FsPjxmdWxsLXRpdGxlPlZveCBzYW5ndWluaXM8L2Z1bGwtdGl0bGU+PC9w
ZXJpb2RpY2FsPjxwYWdlcz4yNTAtMjU5PC9wYWdlcz48dm9sdW1lPjkzPC92b2x1bWU+PG51bWJl
cj4zPC9udW1iZXI+PGRhdGVzPjx5ZWFyPjIwMDc8L3llYXI+PC9kYXRlcz48cHVibGlzaGVyPldp
bGV5IE9ubGluZSBMaWJyYXJ5PC9wdWJsaXNoZXI+PGlzYm4+MTQyMy0wNDEwPC9pc2JuPjx1cmxz
PjwvdXJscz48L3JlY29yZD48L0NpdGU+PC9FbmROb3RlPgB=
</w:fldData>
        </w:fldChar>
      </w:r>
      <w:r w:rsidR="00382F99" w:rsidRPr="00304F2D">
        <w:rPr>
          <w:rFonts w:ascii="Times New Roman" w:hAnsi="Times New Roman" w:cs="Times New Roman"/>
          <w:noProof/>
        </w:rPr>
        <w:instrText xml:space="preserve"> ADDIN EN.CITE.DATA </w:instrText>
      </w:r>
      <w:r w:rsidR="00382F99" w:rsidRPr="00304F2D">
        <w:rPr>
          <w:rFonts w:ascii="Times New Roman" w:hAnsi="Times New Roman" w:cs="Times New Roman"/>
          <w:noProof/>
        </w:rPr>
      </w:r>
      <w:r w:rsidR="00382F99" w:rsidRPr="00304F2D">
        <w:rPr>
          <w:rFonts w:ascii="Times New Roman" w:hAnsi="Times New Roman" w:cs="Times New Roman"/>
          <w:noProof/>
        </w:rPr>
        <w:fldChar w:fldCharType="end"/>
      </w:r>
      <w:r w:rsidRPr="00304F2D">
        <w:rPr>
          <w:rFonts w:ascii="Times New Roman" w:hAnsi="Times New Roman" w:cs="Times New Roman"/>
          <w:noProof/>
        </w:rPr>
      </w:r>
      <w:r w:rsidRPr="00304F2D">
        <w:rPr>
          <w:rFonts w:ascii="Times New Roman" w:hAnsi="Times New Roman" w:cs="Times New Roman"/>
          <w:noProof/>
        </w:rPr>
        <w:fldChar w:fldCharType="separate"/>
      </w:r>
      <w:r w:rsidRPr="00304F2D">
        <w:rPr>
          <w:rFonts w:ascii="Times New Roman" w:hAnsi="Times New Roman" w:cs="Times New Roman"/>
          <w:noProof/>
        </w:rPr>
        <w:t>(</w:t>
      </w:r>
      <w:hyperlink w:anchor="_ENREF_1" w:tooltip="Allain, 2011 #24394" w:history="1">
        <w:r w:rsidR="00DA6B8D" w:rsidRPr="00304F2D">
          <w:rPr>
            <w:rFonts w:ascii="Times New Roman" w:hAnsi="Times New Roman" w:cs="Times New Roman"/>
            <w:noProof/>
          </w:rPr>
          <w:t>Allain, 2011</w:t>
        </w:r>
      </w:hyperlink>
      <w:r w:rsidRPr="00304F2D">
        <w:rPr>
          <w:rFonts w:ascii="Times New Roman" w:hAnsi="Times New Roman" w:cs="Times New Roman"/>
          <w:noProof/>
        </w:rPr>
        <w:t xml:space="preserve">; </w:t>
      </w:r>
      <w:hyperlink w:anchor="_ENREF_65" w:tooltip="Wildman, 2009 #23848" w:history="1">
        <w:r w:rsidR="00DA6B8D" w:rsidRPr="00304F2D">
          <w:rPr>
            <w:rFonts w:ascii="Times New Roman" w:hAnsi="Times New Roman" w:cs="Times New Roman"/>
            <w:noProof/>
          </w:rPr>
          <w:t>Wildman and Hollingsworth, 2009</w:t>
        </w:r>
      </w:hyperlink>
      <w:r w:rsidRPr="00304F2D">
        <w:rPr>
          <w:rFonts w:ascii="Times New Roman" w:hAnsi="Times New Roman" w:cs="Times New Roman"/>
          <w:noProof/>
        </w:rPr>
        <w:t xml:space="preserve">; </w:t>
      </w:r>
      <w:hyperlink w:anchor="_ENREF_32" w:tooltip="Gogarty, 2007 #24043" w:history="1">
        <w:r w:rsidR="00DA6B8D" w:rsidRPr="00304F2D">
          <w:rPr>
            <w:rFonts w:ascii="Times New Roman" w:hAnsi="Times New Roman" w:cs="Times New Roman"/>
            <w:noProof/>
          </w:rPr>
          <w:t>Gogarty, 2007</w:t>
        </w:r>
      </w:hyperlink>
      <w:r w:rsidRPr="00304F2D">
        <w:rPr>
          <w:rFonts w:ascii="Times New Roman" w:hAnsi="Times New Roman" w:cs="Times New Roman"/>
          <w:noProof/>
        </w:rPr>
        <w:t xml:space="preserve">; </w:t>
      </w:r>
      <w:hyperlink w:anchor="_ENREF_23" w:tooltip="Devine, 2007 #24041" w:history="1">
        <w:r w:rsidR="00DA6B8D" w:rsidRPr="00304F2D">
          <w:rPr>
            <w:rFonts w:ascii="Times New Roman" w:hAnsi="Times New Roman" w:cs="Times New Roman"/>
            <w:noProof/>
          </w:rPr>
          <w:t>Devine</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2007</w:t>
        </w:r>
      </w:hyperlink>
      <w:r w:rsidRPr="00304F2D">
        <w:rPr>
          <w:rFonts w:ascii="Times New Roman" w:hAnsi="Times New Roman" w:cs="Times New Roman"/>
          <w:noProof/>
        </w:rPr>
        <w:t>)</w:t>
      </w:r>
      <w:r w:rsidRPr="00304F2D">
        <w:rPr>
          <w:rFonts w:ascii="Times New Roman" w:hAnsi="Times New Roman" w:cs="Times New Roman"/>
          <w:noProof/>
        </w:rPr>
        <w:fldChar w:fldCharType="end"/>
      </w:r>
      <w:r w:rsidRPr="00304F2D">
        <w:rPr>
          <w:rFonts w:ascii="Times New Roman" w:hAnsi="Times New Roman" w:cs="Times New Roman"/>
        </w:rPr>
        <w:t xml:space="preserve">.   Given the difficulty of attracting donors, the best strategy might be to retain donors and increase their level of giving (loyalty) </w:t>
      </w:r>
      <w:r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&lt;EndNote&gt;&lt;Cite&gt;&lt;Author&gt;Burnett&lt;/Author&gt;&lt;Year&gt;1981&lt;/Year&gt;&lt;RecNum&gt;24391&lt;/RecNum&gt;&lt;DisplayText&gt;(Burnett, 1981)&lt;/DisplayText&gt;&lt;record&gt;&lt;rec-number&gt;24391&lt;/rec-number&gt;&lt;foreign-keys&gt;&lt;key app="EN" db-id="eswazv0p5wsezae2sd8pf59gf50trdav5fsw" timestamp="0"&gt;24391&lt;/key&gt;&lt;/foreign-keys&gt;&lt;ref-type name="Journal Article"&gt;17&lt;/ref-type&gt;&lt;contributors&gt;&lt;authors&gt;&lt;author&gt;Burnett, John J.&lt;/author&gt;&lt;/authors&gt;&lt;/contributors&gt;&lt;titles&gt;&lt;title&gt;Psychographic and demographic characteristics of blood donors&lt;/title&gt;&lt;secondary-title&gt;Journal of Consumer Research&lt;/secondary-title&gt;&lt;/titles&gt;&lt;pages&gt;62-66&lt;/pages&gt;&lt;dates&gt;&lt;year&gt;1981&lt;/year&gt;&lt;/dates&gt;&lt;publisher&gt;JSTOR&lt;/publisher&gt;&lt;isbn&gt;0093-5301&lt;/isbn&gt;&lt;urls&gt;&lt;/urls&gt;&lt;/record&gt;&lt;/Cite&gt;&lt;/EndNote&gt;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18" w:tooltip="Burnett, 1981 #24391" w:history="1">
        <w:r w:rsidR="00DA6B8D" w:rsidRPr="00304F2D">
          <w:rPr>
            <w:rFonts w:ascii="Times New Roman" w:hAnsi="Times New Roman" w:cs="Times New Roman"/>
            <w:noProof/>
          </w:rPr>
          <w:t>Burnett, 1981</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w:t>
      </w:r>
    </w:p>
    <w:p w14:paraId="0D60E3FA" w14:textId="69EA3006" w:rsidR="005722FD" w:rsidRPr="00304F2D" w:rsidRDefault="00731668" w:rsidP="005722FD">
      <w:pPr>
        <w:spacing w:line="480" w:lineRule="auto"/>
        <w:ind w:firstLine="720"/>
        <w:rPr>
          <w:rFonts w:ascii="Times New Roman" w:hAnsi="Times New Roman" w:cs="Times New Roman"/>
        </w:rPr>
      </w:pPr>
      <w:r w:rsidRPr="00304F2D">
        <w:rPr>
          <w:rFonts w:ascii="Times New Roman" w:hAnsi="Times New Roman" w:cs="Times New Roman"/>
        </w:rPr>
        <w:t xml:space="preserve">The aim is to build a large pool of people reliably donating, for example at a frequency of three or four times a year </w:t>
      </w:r>
      <w:r w:rsidRPr="00304F2D">
        <w:rPr>
          <w:rFonts w:ascii="Times New Roman" w:hAnsi="Times New Roman"/>
        </w:rPr>
        <w:fldChar w:fldCharType="begin"/>
      </w:r>
      <w:r w:rsidRPr="00304F2D">
        <w:rPr>
          <w:rFonts w:ascii="Times New Roman" w:hAnsi="Times New Roman"/>
        </w:rPr>
        <w:instrText xml:space="preserve"> ADDIN EN.CITE &lt;EndNote&gt;&lt;Cite&gt;&lt;Author&gt;Tucker&lt;/Author&gt;&lt;Year&gt;1987&lt;/Year&gt;&lt;RecNum&gt;23654&lt;/RecNum&gt;&lt;DisplayText&gt;(Tucker, 1987)&lt;/DisplayText&gt;&lt;record&gt;&lt;rec-number&gt;23654&lt;/rec-number&gt;&lt;foreign-keys&gt;&lt;key app="EN" db-id="eswazv0p5wsezae2sd8pf59gf50trdav5fsw" timestamp="0"&gt;23654&lt;/key&gt;&lt;/foreign-keys&gt;&lt;ref-type name="Journal Article"&gt;17&lt;/ref-type&gt;&lt;contributors&gt;&lt;authors&gt;&lt;author&gt;Tucker, L. R.&lt;/author&gt;&lt;/authors&gt;&lt;/contributors&gt;&lt;titles&gt;&lt;title&gt;Profiling the heavy blood donor&lt;/title&gt;&lt;secondary-title&gt;Health Marketing Quarterly&lt;/secondary-title&gt;&lt;/titles&gt;&lt;pages&gt;61-74&lt;/pages&gt;&lt;volume&gt;4&lt;/volume&gt;&lt;number&gt;3-4&lt;/number&gt;&lt;dates&gt;&lt;year&gt;1987&lt;/year&gt;&lt;/dates&gt;&lt;publisher&gt;Taylor &amp;amp; Francis&lt;/publisher&gt;&lt;isbn&gt;0735-9683&lt;/isbn&gt;&lt;urls&gt;&lt;/urls&gt;&lt;/record&gt;&lt;/Cite&gt;&lt;/EndNote&gt;</w:instrText>
      </w:r>
      <w:r w:rsidRPr="00304F2D">
        <w:rPr>
          <w:rFonts w:ascii="Times New Roman" w:hAnsi="Times New Roman"/>
        </w:rPr>
        <w:fldChar w:fldCharType="separate"/>
      </w:r>
      <w:r w:rsidRPr="00304F2D">
        <w:rPr>
          <w:rFonts w:ascii="Times New Roman" w:hAnsi="Times New Roman"/>
          <w:noProof/>
        </w:rPr>
        <w:t>(</w:t>
      </w:r>
      <w:hyperlink w:anchor="_ENREF_58" w:tooltip="Tucker, 1987 #23654" w:history="1">
        <w:r w:rsidR="00DA6B8D" w:rsidRPr="00304F2D">
          <w:rPr>
            <w:rFonts w:ascii="Times New Roman" w:hAnsi="Times New Roman"/>
            <w:noProof/>
          </w:rPr>
          <w:t>Tucker, 1987</w:t>
        </w:r>
      </w:hyperlink>
      <w:r w:rsidRPr="00304F2D">
        <w:rPr>
          <w:rFonts w:ascii="Times New Roman" w:hAnsi="Times New Roman"/>
          <w:noProof/>
        </w:rPr>
        <w:t>)</w:t>
      </w:r>
      <w:r w:rsidRPr="00304F2D">
        <w:rPr>
          <w:rFonts w:ascii="Times New Roman" w:hAnsi="Times New Roman"/>
        </w:rPr>
        <w:fldChar w:fldCharType="end"/>
      </w:r>
      <w:r w:rsidRPr="00304F2D">
        <w:rPr>
          <w:rFonts w:ascii="Times New Roman" w:hAnsi="Times New Roman"/>
        </w:rPr>
        <w:t>.</w:t>
      </w:r>
      <w:r w:rsidRPr="00304F2D">
        <w:rPr>
          <w:rFonts w:ascii="Times New Roman" w:hAnsi="Times New Roman" w:cs="Times New Roman"/>
        </w:rPr>
        <w:t xml:space="preserve"> </w:t>
      </w:r>
      <w:r w:rsidR="005C4CE3" w:rsidRPr="00304F2D">
        <w:rPr>
          <w:rFonts w:ascii="Times New Roman" w:hAnsi="Times New Roman" w:cs="Times New Roman"/>
        </w:rPr>
        <w:t xml:space="preserve">Research has examined targeting current blood donors to make additional donations and to build in flexibility in the type of blood donation given </w:t>
      </w:r>
      <w:r w:rsidR="002F0751" w:rsidRPr="00304F2D">
        <w:rPr>
          <w:rFonts w:ascii="Times New Roman" w:hAnsi="Times New Roman" w:cs="Times New Roman"/>
        </w:rPr>
        <w:fldChar w:fldCharType="begin"/>
      </w:r>
      <w:r w:rsidR="002F0751" w:rsidRPr="00304F2D">
        <w:rPr>
          <w:rFonts w:ascii="Times New Roman" w:hAnsi="Times New Roman" w:cs="Times New Roman"/>
        </w:rPr>
        <w:instrText xml:space="preserve"> ADDIN EN.CITE &lt;EndNote&gt;&lt;Cite&gt;&lt;Author&gt;Bagot&lt;/Author&gt;&lt;Year&gt;2015&lt;/Year&gt;&lt;RecNum&gt;31284&lt;/RecNum&gt;&lt;DisplayText&gt;(Bagot&lt;style face="italic"&gt; et al.&lt;/style&gt;, 2015a)&lt;/DisplayText&gt;&lt;record&gt;&lt;rec-number&gt;31284&lt;/rec-number&gt;&lt;foreign-keys&gt;&lt;key app="EN" db-id="eswazv0p5wsezae2sd8pf59gf50trdav5fsw" timestamp="1460524136"&gt;31284&lt;/key&gt;&lt;/foreign-keys&gt;&lt;ref-type name="Journal Article"&gt;17&lt;/ref-type&gt;&lt;contributors&gt;&lt;authors&gt;&lt;author&gt;Bagot, Kathleen L.&lt;/author&gt;&lt;author&gt;Masser, Barbara M.&lt;/author&gt;&lt;author&gt;Starfelt, Louise C.&lt;/author&gt;&lt;author&gt;White, Katherine M.&lt;/author&gt;&lt;/authors&gt;&lt;/contributors&gt;&lt;titles&gt;&lt;title&gt;Building a flexible, voluntary donation panel: An exploration of donor willingness&lt;/title&gt;&lt;secondary-title&gt;Transfusion&lt;/secondary-title&gt;&lt;/titles&gt;&lt;periodical&gt;&lt;full-title&gt;Transfusion&lt;/full-title&gt;&lt;/periodical&gt;&lt;pages&gt;186-194&lt;/pages&gt;&lt;volume&gt;56&lt;/volume&gt;&lt;dates&gt;&lt;year&gt;2015&lt;/year&gt;&lt;/dates&gt;&lt;isbn&gt;1537-2995&lt;/isbn&gt;&lt;urls&gt;&lt;/urls&gt;&lt;electronic-resource-num&gt;doi:10.1111/trf.13278&lt;/electronic-resource-num&gt;&lt;/record&gt;&lt;/Cite&gt;&lt;/EndNote&gt;</w:instrText>
      </w:r>
      <w:r w:rsidR="002F0751" w:rsidRPr="00304F2D">
        <w:rPr>
          <w:rFonts w:ascii="Times New Roman" w:hAnsi="Times New Roman" w:cs="Times New Roman"/>
        </w:rPr>
        <w:fldChar w:fldCharType="separate"/>
      </w:r>
      <w:r w:rsidR="002F0751" w:rsidRPr="00304F2D">
        <w:rPr>
          <w:rFonts w:ascii="Times New Roman" w:hAnsi="Times New Roman" w:cs="Times New Roman"/>
          <w:noProof/>
        </w:rPr>
        <w:t>(</w:t>
      </w:r>
      <w:hyperlink w:anchor="_ENREF_11" w:tooltip="Bagot, 2015 #31284"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2015a</w:t>
        </w:r>
      </w:hyperlink>
      <w:r w:rsidR="002F0751" w:rsidRPr="00304F2D">
        <w:rPr>
          <w:rFonts w:ascii="Times New Roman" w:hAnsi="Times New Roman" w:cs="Times New Roman"/>
          <w:noProof/>
        </w:rPr>
        <w:t>)</w:t>
      </w:r>
      <w:r w:rsidR="002F0751" w:rsidRPr="00304F2D">
        <w:rPr>
          <w:rFonts w:ascii="Times New Roman" w:hAnsi="Times New Roman" w:cs="Times New Roman"/>
        </w:rPr>
        <w:fldChar w:fldCharType="end"/>
      </w:r>
      <w:r w:rsidR="00D51860" w:rsidRPr="00304F2D">
        <w:rPr>
          <w:rFonts w:ascii="Times New Roman" w:hAnsi="Times New Roman" w:cs="Times New Roman"/>
        </w:rPr>
        <w:t xml:space="preserve">. </w:t>
      </w:r>
      <w:r w:rsidR="00E442BF" w:rsidRPr="00304F2D">
        <w:rPr>
          <w:rFonts w:ascii="Times New Roman" w:hAnsi="Times New Roman" w:cs="Times New Roman"/>
        </w:rPr>
        <w:t xml:space="preserve">Increasing loyalty through provision of more frequent donations </w:t>
      </w:r>
      <w:r w:rsidR="005C4CE3" w:rsidRPr="00304F2D">
        <w:rPr>
          <w:rFonts w:ascii="Times New Roman" w:hAnsi="Times New Roman" w:cs="Times New Roman"/>
        </w:rPr>
        <w:t>has also been examined for monetary</w:t>
      </w:r>
      <w:r w:rsidR="00D51860" w:rsidRPr="00304F2D">
        <w:rPr>
          <w:rFonts w:ascii="Times New Roman" w:hAnsi="Times New Roman" w:cs="Times New Roman"/>
        </w:rPr>
        <w:t xml:space="preserve"> donations. </w:t>
      </w:r>
      <w:r w:rsidR="00E442BF" w:rsidRPr="00304F2D">
        <w:rPr>
          <w:rFonts w:ascii="Times New Roman" w:hAnsi="Times New Roman" w:cs="Times New Roman"/>
        </w:rPr>
        <w:t>O</w:t>
      </w:r>
      <w:r w:rsidR="005722FD" w:rsidRPr="00304F2D">
        <w:rPr>
          <w:rFonts w:ascii="Times New Roman" w:hAnsi="Times New Roman" w:cs="Times New Roman"/>
        </w:rPr>
        <w:t>ne non-profit hea</w:t>
      </w:r>
      <w:r w:rsidR="002F5515" w:rsidRPr="00304F2D">
        <w:rPr>
          <w:rFonts w:ascii="Times New Roman" w:hAnsi="Times New Roman" w:cs="Times New Roman"/>
        </w:rPr>
        <w:t xml:space="preserve">lthcare </w:t>
      </w:r>
      <w:proofErr w:type="spellStart"/>
      <w:r w:rsidR="002F5515" w:rsidRPr="00304F2D">
        <w:rPr>
          <w:rFonts w:ascii="Times New Roman" w:hAnsi="Times New Roman" w:cs="Times New Roman"/>
        </w:rPr>
        <w:t>organisation</w:t>
      </w:r>
      <w:proofErr w:type="spellEnd"/>
      <w:r w:rsidR="002F5515" w:rsidRPr="00304F2D">
        <w:rPr>
          <w:rFonts w:ascii="Times New Roman" w:hAnsi="Times New Roman" w:cs="Times New Roman"/>
        </w:rPr>
        <w:t xml:space="preserve"> found </w:t>
      </w:r>
      <w:r w:rsidR="005722FD" w:rsidRPr="00304F2D">
        <w:rPr>
          <w:rFonts w:ascii="Times New Roman" w:hAnsi="Times New Roman" w:cs="Times New Roman"/>
        </w:rPr>
        <w:t xml:space="preserve">donors </w:t>
      </w:r>
      <w:r w:rsidR="002F5515" w:rsidRPr="00304F2D">
        <w:rPr>
          <w:rFonts w:ascii="Times New Roman" w:hAnsi="Times New Roman" w:cs="Times New Roman"/>
        </w:rPr>
        <w:t>giving</w:t>
      </w:r>
      <w:r w:rsidR="005722FD" w:rsidRPr="00304F2D">
        <w:rPr>
          <w:rFonts w:ascii="Times New Roman" w:hAnsi="Times New Roman" w:cs="Times New Roman"/>
        </w:rPr>
        <w:t xml:space="preserve"> </w:t>
      </w:r>
      <w:r w:rsidRPr="00304F2D">
        <w:rPr>
          <w:rFonts w:ascii="Times New Roman" w:hAnsi="Times New Roman" w:cs="Times New Roman"/>
        </w:rPr>
        <w:t xml:space="preserve">funds </w:t>
      </w:r>
      <w:r w:rsidR="005722FD" w:rsidRPr="00304F2D">
        <w:rPr>
          <w:rFonts w:ascii="Times New Roman" w:hAnsi="Times New Roman" w:cs="Times New Roman"/>
        </w:rPr>
        <w:t xml:space="preserve">multiple times evaluated their relationship more strongly than one-time supporters </w:t>
      </w:r>
      <w:r w:rsidR="005722FD"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&lt;EndNote&gt;&lt;Cite&gt;&lt;Author&gt;Waters&lt;/Author&gt;&lt;Year&gt;2008&lt;/Year&gt;&lt;RecNum&gt;28774&lt;/RecNum&gt;&lt;DisplayText&gt;(Waters, 2008)&lt;/DisplayText&gt;&lt;record&gt;&lt;rec-number&gt;28774&lt;/rec-number&gt;&lt;foreign-keys&gt;&lt;key app="EN" db-id="eswazv0p5wsezae2sd8pf59gf50trdav5fsw" timestamp="0"&gt;28774&lt;/key&gt;&lt;/foreign-keys&gt;&lt;ref-type name="Journal Article"&gt;17&lt;/ref-type&gt;&lt;contributors&gt;&lt;authors&gt;&lt;author&gt;Waters, Richard D.&lt;/author&gt;&lt;/authors&gt;&lt;/contributors&gt;&lt;titles&gt;&lt;title&gt;Applying relationship management theory to the fundraising process for individual donors&lt;/title&gt;&lt;secondary-title&gt;Journal of Communication Management&lt;/secondary-title&gt;&lt;/titles&gt;&lt;pages&gt;73-87&lt;/pages&gt;&lt;volume&gt;12&lt;/volume&gt;&lt;number&gt;1&lt;/number&gt;&lt;dates&gt;&lt;year&gt;2008&lt;/year&gt;&lt;/dates&gt;&lt;publisher&gt;Emerald Group Publishing Limited&lt;/publisher&gt;&lt;isbn&gt;1363-254X&lt;/isbn&gt;&lt;urls&gt;&lt;/urls&gt;&lt;/record&gt;&lt;/Cite&gt;&lt;/EndNote&gt;</w:instrText>
      </w:r>
      <w:r w:rsidR="005722FD" w:rsidRPr="00304F2D">
        <w:rPr>
          <w:rFonts w:ascii="Times New Roman" w:hAnsi="Times New Roman" w:cs="Times New Roman"/>
        </w:rPr>
        <w:fldChar w:fldCharType="separate"/>
      </w:r>
      <w:r w:rsidR="005722FD" w:rsidRPr="00304F2D">
        <w:rPr>
          <w:rFonts w:ascii="Times New Roman" w:hAnsi="Times New Roman" w:cs="Times New Roman"/>
          <w:noProof/>
        </w:rPr>
        <w:t>(</w:t>
      </w:r>
      <w:hyperlink w:anchor="_ENREF_64" w:tooltip="Waters, 2008 #28774" w:history="1">
        <w:r w:rsidR="00DA6B8D" w:rsidRPr="00304F2D">
          <w:rPr>
            <w:rFonts w:ascii="Times New Roman" w:hAnsi="Times New Roman" w:cs="Times New Roman"/>
            <w:noProof/>
          </w:rPr>
          <w:t>Waters, 2008</w:t>
        </w:r>
      </w:hyperlink>
      <w:r w:rsidR="005722FD" w:rsidRPr="00304F2D">
        <w:rPr>
          <w:rFonts w:ascii="Times New Roman" w:hAnsi="Times New Roman" w:cs="Times New Roman"/>
          <w:noProof/>
        </w:rPr>
        <w:t>)</w:t>
      </w:r>
      <w:r w:rsidR="005722FD" w:rsidRPr="00304F2D">
        <w:rPr>
          <w:rFonts w:ascii="Times New Roman" w:hAnsi="Times New Roman" w:cs="Times New Roman"/>
        </w:rPr>
        <w:fldChar w:fldCharType="end"/>
      </w:r>
      <w:r w:rsidR="005722FD" w:rsidRPr="00304F2D">
        <w:rPr>
          <w:rFonts w:ascii="Times New Roman" w:hAnsi="Times New Roman" w:cs="Times New Roman"/>
        </w:rPr>
        <w:t xml:space="preserve">. </w:t>
      </w:r>
    </w:p>
    <w:p w14:paraId="706AEC2E" w14:textId="6EF83144" w:rsidR="0076786A" w:rsidRPr="00304F2D" w:rsidRDefault="00636B24" w:rsidP="005722FD">
      <w:pPr>
        <w:spacing w:line="480" w:lineRule="auto"/>
        <w:ind w:firstLine="720"/>
        <w:rPr>
          <w:rFonts w:ascii="Times New Roman" w:hAnsi="Times New Roman" w:cs="Times New Roman"/>
        </w:rPr>
      </w:pPr>
      <w:r w:rsidRPr="00304F2D">
        <w:rPr>
          <w:rFonts w:ascii="Times New Roman" w:hAnsi="Times New Roman" w:cs="Times New Roman"/>
        </w:rPr>
        <w:t xml:space="preserve">Increasing </w:t>
      </w:r>
      <w:r w:rsidR="00E442BF" w:rsidRPr="00304F2D">
        <w:rPr>
          <w:rFonts w:ascii="Times New Roman" w:hAnsi="Times New Roman" w:cs="Times New Roman"/>
        </w:rPr>
        <w:t xml:space="preserve">loyalty </w:t>
      </w:r>
      <w:r w:rsidR="005722FD" w:rsidRPr="00304F2D">
        <w:rPr>
          <w:rFonts w:ascii="Times New Roman" w:hAnsi="Times New Roman" w:cs="Times New Roman"/>
        </w:rPr>
        <w:t>fits with a</w:t>
      </w:r>
      <w:r w:rsidR="0076786A" w:rsidRPr="00304F2D">
        <w:rPr>
          <w:rFonts w:ascii="Times New Roman" w:hAnsi="Times New Roman" w:cs="Times New Roman"/>
        </w:rPr>
        <w:t xml:space="preserve"> much cited research </w:t>
      </w:r>
      <w:proofErr w:type="spellStart"/>
      <w:r w:rsidR="0076786A" w:rsidRPr="00304F2D">
        <w:rPr>
          <w:rFonts w:ascii="Times New Roman" w:hAnsi="Times New Roman" w:cs="Times New Roman"/>
        </w:rPr>
        <w:t>programme</w:t>
      </w:r>
      <w:proofErr w:type="spellEnd"/>
      <w:r w:rsidR="0076786A" w:rsidRPr="00304F2D">
        <w:rPr>
          <w:rFonts w:ascii="Times New Roman" w:hAnsi="Times New Roman" w:cs="Times New Roman"/>
        </w:rPr>
        <w:t xml:space="preserve">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&lt;EndNote&gt;&lt;Cite&gt;&lt;Author&gt;Reichheld&lt;/Author&gt;&lt;Year&gt;1990&lt;/Year&gt;&lt;RecNum&gt;3026&lt;/RecNum&gt;&lt;DisplayText&gt;(Reichheld and Sasser, 1990; Reichheld and Teal, 1996)&lt;/DisplayText&gt;&lt;record&gt;&lt;rec-number&gt;3026&lt;/rec-number&gt;&lt;foreign-keys&gt;&lt;key app="EN" db-id="eswazv0p5wsezae2sd8pf59gf50trdav5fsw" timestamp="0"&gt;3026&lt;/key&gt;&lt;/foreign-keys&gt;&lt;ref-type name="Journal Article"&gt;17&lt;/ref-type&gt;&lt;contributors&gt;&lt;authors&gt;&lt;author&gt;Reichheld, Frederick F&lt;/author&gt;&lt;author&gt;Sasser, W Earl Jr&lt;/author&gt;&lt;/authors&gt;&lt;/contributors&gt;&lt;titles&gt;&lt;title&gt;Zero defections: quality comes to services&lt;/title&gt;&lt;secondary-title&gt;Harvard Business Review&lt;/secondary-title&gt;&lt;/titles&gt;&lt;pages&gt;105-111&lt;/pages&gt;&lt;volume&gt;68&lt;/volume&gt;&lt;number&gt;5&lt;/number&gt;&lt;keywords&gt;&lt;keyword&gt;Customer Retention, Customer Satisfaction&lt;/keyword&gt;&lt;/keywords&gt;&lt;dates&gt;&lt;year&gt;1990&lt;/year&gt;&lt;/dates&gt;&lt;label&gt;PDF&lt;/label&gt;&lt;urls&gt;&lt;/urls&gt;&lt;/record&gt;&lt;/Cite&gt;&lt;Cite&gt;&lt;Author&gt;Reichheld&lt;/Author&gt;&lt;Year&gt;1996&lt;/Year&gt;&lt;RecNum&gt;5271&lt;/RecNum&gt;&lt;record&gt;&lt;rec-number&gt;5271&lt;/rec-number&gt;&lt;foreign-keys&gt;&lt;key app="EN" db-id="eswazv0p5wsezae2sd8pf59gf50trdav5fsw" timestamp="0"&gt;5271&lt;/key&gt;&lt;/foreign-keys&gt;&lt;ref-type name="Book"&gt;6&lt;/ref-type&gt;&lt;contributors&gt;&lt;authors&gt;&lt;author&gt;Reichheld, Frederick F&lt;/author&gt;&lt;author&gt;Teal, Thomas&lt;/author&gt;&lt;/authors&gt;&lt;/contributors&gt;&lt;titles&gt;&lt;title&gt;The Loyalty Effect:  The Hidden Force Behind Growth, Profits, and Lasting Value&lt;/title&gt;&lt;/titles&gt;&lt;pages&gt;323&lt;/pages&gt;&lt;keywords&gt;&lt;keyword&gt;Loyalty&lt;/keyword&gt;&lt;/keywords&gt;&lt;dates&gt;&lt;year&gt;1996&lt;/year&gt;&lt;/dates&gt;&lt;pub-location&gt;Boston, Massachusettes&lt;/pub-location&gt;&lt;publisher&gt;Harvard Business School Press&lt;/publisher&gt;&lt;urls&gt;&lt;/urls&gt;&lt;/record&gt;&lt;/Cite&gt;&lt;/EndNote&gt;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49" w:tooltip="Reichheld, 1990 #3026" w:history="1">
        <w:r w:rsidR="00DA6B8D" w:rsidRPr="00304F2D">
          <w:rPr>
            <w:rFonts w:ascii="Times New Roman" w:hAnsi="Times New Roman" w:cs="Times New Roman"/>
            <w:noProof/>
          </w:rPr>
          <w:t>Reichheld and Sasser, 1990</w:t>
        </w:r>
      </w:hyperlink>
      <w:r w:rsidR="0076786A" w:rsidRPr="00304F2D">
        <w:rPr>
          <w:rFonts w:ascii="Times New Roman" w:hAnsi="Times New Roman" w:cs="Times New Roman"/>
          <w:noProof/>
        </w:rPr>
        <w:t xml:space="preserve">; </w:t>
      </w:r>
      <w:hyperlink w:anchor="_ENREF_50" w:tooltip="Reichheld, 1996 #5271" w:history="1">
        <w:r w:rsidR="00DA6B8D" w:rsidRPr="00304F2D">
          <w:rPr>
            <w:rFonts w:ascii="Times New Roman" w:hAnsi="Times New Roman" w:cs="Times New Roman"/>
            <w:noProof/>
          </w:rPr>
          <w:t>Reichheld and Teal, 1996</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76786A" w:rsidRPr="00304F2D">
        <w:rPr>
          <w:rFonts w:ascii="Times New Roman" w:hAnsi="Times New Roman" w:cs="Times New Roman"/>
        </w:rPr>
        <w:t xml:space="preserve">, </w:t>
      </w:r>
      <w:r w:rsidR="002F5515" w:rsidRPr="00304F2D">
        <w:rPr>
          <w:rFonts w:ascii="Times New Roman" w:hAnsi="Times New Roman" w:cs="Times New Roman"/>
        </w:rPr>
        <w:t xml:space="preserve">claiming </w:t>
      </w:r>
      <w:r w:rsidR="0076786A" w:rsidRPr="00304F2D">
        <w:rPr>
          <w:rFonts w:ascii="Times New Roman" w:hAnsi="Times New Roman" w:cs="Times New Roman"/>
        </w:rPr>
        <w:t>a 5% increase in customer retention significantly improves profitability due to incre</w:t>
      </w:r>
      <w:r w:rsidR="00D51860" w:rsidRPr="00304F2D">
        <w:rPr>
          <w:rFonts w:ascii="Times New Roman" w:hAnsi="Times New Roman" w:cs="Times New Roman"/>
        </w:rPr>
        <w:t xml:space="preserve">ased tenure and referrals. </w:t>
      </w:r>
      <w:r w:rsidR="00DB52EA" w:rsidRPr="00304F2D">
        <w:rPr>
          <w:rFonts w:ascii="Times New Roman" w:hAnsi="Times New Roman" w:cs="Times New Roman"/>
        </w:rPr>
        <w:t>The</w:t>
      </w:r>
      <w:r w:rsidR="0076786A" w:rsidRPr="00304F2D">
        <w:rPr>
          <w:rFonts w:ascii="Times New Roman" w:hAnsi="Times New Roman" w:cs="Times New Roman"/>
        </w:rPr>
        <w:t xml:space="preserve"> logic has been transferred to the non-profit sector, </w:t>
      </w:r>
      <w:r w:rsidR="002F5515" w:rsidRPr="00304F2D">
        <w:rPr>
          <w:rFonts w:ascii="Times New Roman" w:hAnsi="Times New Roman" w:cs="Times New Roman"/>
        </w:rPr>
        <w:t>suggesting</w:t>
      </w:r>
      <w:r w:rsidR="0076786A" w:rsidRPr="00304F2D">
        <w:rPr>
          <w:rFonts w:ascii="Times New Roman" w:hAnsi="Times New Roman" w:cs="Times New Roman"/>
        </w:rPr>
        <w:t xml:space="preserve"> a loyal donor base also makes good economic sense when applied to both charity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&lt;EndNote&gt;&lt;Cite&gt;&lt;Author&gt;Merchant&lt;/Author&gt;&lt;Year&gt;2010&lt;/Year&gt;&lt;RecNum&gt;20791&lt;/RecNum&gt;&lt;DisplayText&gt;(Merchant, Ford and Sargeant, 2010)&lt;/DisplayText&gt;&lt;record&gt;&lt;rec-number&gt;20791&lt;/rec-number&gt;&lt;foreign-keys&gt;&lt;key app="EN" db-id="eswazv0p5wsezae2sd8pf59gf50trdav5fsw" timestamp="0"&gt;20791&lt;/key&gt;&lt;/foreign-keys&gt;&lt;ref-type name="Journal Article"&gt;17&lt;/ref-type&gt;&lt;contributors&gt;&lt;authors&gt;&lt;author&gt;Merchant, A&lt;/author&gt;&lt;author&gt;Ford, JB&lt;/author&gt;&lt;author&gt;Sargeant, A&lt;/author&gt;&lt;/authors&gt;&lt;/contributors&gt;&lt;titles&gt;&lt;title&gt;&amp;apos;Don&amp;apos;t forget to say thank you&amp;apos;: The effect of an acknowledgement on donor relationships&lt;/title&gt;&lt;secondary-title&gt;Journal of Marketing Management&lt;/secondary-title&gt;&lt;/titles&gt;&lt;pages&gt;593-611&lt;/pages&gt;&lt;volume&gt;26&lt;/volume&gt;&lt;number&gt;7&lt;/number&gt;&lt;section&gt;593&lt;/section&gt;&lt;dates&gt;&lt;year&gt;2010&lt;/year&gt;&lt;/dates&gt;&lt;label&gt;pdf&lt;/label&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44" w:tooltip="Merchant, 2010 #20791" w:history="1">
        <w:r w:rsidR="00DA6B8D" w:rsidRPr="00304F2D">
          <w:rPr>
            <w:rFonts w:ascii="Times New Roman" w:hAnsi="Times New Roman" w:cs="Times New Roman"/>
            <w:noProof/>
          </w:rPr>
          <w:t>Merchant, Ford and Sargeant, 2010</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76786A" w:rsidRPr="00304F2D">
        <w:rPr>
          <w:rFonts w:ascii="Times New Roman" w:hAnsi="Times New Roman" w:cs="Times New Roman"/>
        </w:rPr>
        <w:t xml:space="preserve"> and blood donations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&lt;EndNote&gt;&lt;Cite&gt;&lt;Author&gt;Gogarty&lt;/Author&gt;&lt;Year&gt;2007&lt;/Year&gt;&lt;RecNum&gt;24043&lt;/RecNum&gt;&lt;DisplayText&gt;(Gogarty, 2007)&lt;/DisplayText&gt;&lt;record&gt;&lt;rec-number&gt;24043&lt;/rec-number&gt;&lt;foreign-keys&gt;&lt;key app="EN" db-id="eswazv0p5wsezae2sd8pf59gf50trdav5fsw" timestamp="0"&gt;24043&lt;/key&gt;&lt;/foreign-keys&gt;&lt;ref-type name="Journal Article"&gt;17&lt;/ref-type&gt;&lt;contributors&gt;&lt;authors&gt;&lt;author&gt;Gogarty, G.&lt;/author&gt;&lt;/authors&gt;&lt;/contributors&gt;&lt;titles&gt;&lt;title&gt;Donor recruitment research&lt;/title&gt;&lt;secondary-title&gt;Vox sanguinis&lt;/secondary-title&gt;&lt;/titles&gt;&lt;periodical&gt;&lt;full-title&gt;Vox sanguinis&lt;/full-title&gt;&lt;/periodical&gt;&lt;pages&gt;3&lt;/pages&gt;&lt;volume&gt;93&lt;/volume&gt;&lt;number&gt;93&lt;/number&gt;&lt;section&gt;257-258&lt;/section&gt;&lt;dates&gt;&lt;year&gt;2007&lt;/year&gt;&lt;/dates&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32" w:tooltip="Gogarty, 2007 #24043" w:history="1">
        <w:r w:rsidR="00DA6B8D" w:rsidRPr="00304F2D">
          <w:rPr>
            <w:rFonts w:ascii="Times New Roman" w:hAnsi="Times New Roman" w:cs="Times New Roman"/>
            <w:noProof/>
          </w:rPr>
          <w:t>Gogarty, 2007</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D51860" w:rsidRPr="00304F2D">
        <w:rPr>
          <w:rFonts w:ascii="Times New Roman" w:hAnsi="Times New Roman" w:cs="Times New Roman"/>
        </w:rPr>
        <w:t xml:space="preserve">. </w:t>
      </w:r>
      <w:proofErr w:type="spellStart"/>
      <w:r w:rsidR="0076786A" w:rsidRPr="00304F2D">
        <w:rPr>
          <w:rFonts w:ascii="Times New Roman" w:hAnsi="Times New Roman" w:cs="Times New Roman"/>
        </w:rPr>
        <w:t>Reichheld’s</w:t>
      </w:r>
      <w:proofErr w:type="spellEnd"/>
      <w:r w:rsidR="0076786A" w:rsidRPr="00304F2D">
        <w:rPr>
          <w:rFonts w:ascii="Times New Roman" w:hAnsi="Times New Roman" w:cs="Times New Roman"/>
        </w:rPr>
        <w:t xml:space="preserve"> claims were not empirical, but deductive, based on a reduction in </w:t>
      </w:r>
      <w:r w:rsidR="00D51860" w:rsidRPr="00304F2D">
        <w:rPr>
          <w:rFonts w:ascii="Times New Roman" w:hAnsi="Times New Roman" w:cs="Times New Roman"/>
        </w:rPr>
        <w:t xml:space="preserve">defection from 15% to 10%. </w:t>
      </w:r>
      <w:r w:rsidR="00DB52EA" w:rsidRPr="00304F2D">
        <w:rPr>
          <w:rFonts w:ascii="Times New Roman" w:hAnsi="Times New Roman" w:cs="Times New Roman"/>
        </w:rPr>
        <w:t>The reduction</w:t>
      </w:r>
      <w:r w:rsidR="0076786A" w:rsidRPr="00304F2D">
        <w:rPr>
          <w:rFonts w:ascii="Times New Roman" w:hAnsi="Times New Roman" w:cs="Times New Roman"/>
        </w:rPr>
        <w:t xml:space="preserve"> is not a (small) 5% reduction, but a (substantive, and rarely achieved) 33% reduction (5/15) in t</w:t>
      </w:r>
      <w:r w:rsidR="002F5515" w:rsidRPr="00304F2D">
        <w:rPr>
          <w:rFonts w:ascii="Times New Roman" w:hAnsi="Times New Roman" w:cs="Times New Roman"/>
        </w:rPr>
        <w:t xml:space="preserve">he number of customers </w:t>
      </w:r>
      <w:r w:rsidR="0076786A" w:rsidRPr="00304F2D">
        <w:rPr>
          <w:rFonts w:ascii="Times New Roman" w:hAnsi="Times New Roman" w:cs="Times New Roman"/>
        </w:rPr>
        <w:t>defect</w:t>
      </w:r>
      <w:r w:rsidR="002F5515" w:rsidRPr="00304F2D">
        <w:rPr>
          <w:rFonts w:ascii="Times New Roman" w:hAnsi="Times New Roman" w:cs="Times New Roman"/>
        </w:rPr>
        <w:t>ing</w:t>
      </w:r>
      <w:r w:rsidR="0076786A" w:rsidRPr="00304F2D">
        <w:rPr>
          <w:rFonts w:ascii="Times New Roman" w:hAnsi="Times New Roman" w:cs="Times New Roman"/>
        </w:rPr>
        <w:t xml:space="preserve">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&lt;EndNote&gt;&lt;Cite&gt;&lt;Author&gt;Sharp&lt;/Author&gt;&lt;Year&gt;2010&lt;/Year&gt;&lt;RecNum&gt;16126&lt;/RecNum&gt;&lt;DisplayText&gt;(Sharp, 2010)&lt;/DisplayText&gt;&lt;record&gt;&lt;rec-number&gt;16126&lt;/rec-number&gt;&lt;foreign-keys&gt;&lt;key app="EN" db-id="eswazv0p5wsezae2sd8pf59gf50trdav5fsw" timestamp="0"&gt;16126&lt;/key&gt;&lt;/foreign-keys&gt;&lt;ref-type name="Book"&gt;6&lt;/ref-type&gt;&lt;contributors&gt;&lt;authors&gt;&lt;author&gt;Sharp, Byron&lt;/author&gt;&lt;/authors&gt;&lt;/contributors&gt;&lt;titles&gt;&lt;title&gt;How Brands Grow&lt;/title&gt;&lt;/titles&gt;&lt;pages&gt;160&lt;/pages&gt;&lt;dates&gt;&lt;year&gt;2010&lt;/year&gt;&lt;/dates&gt;&lt;pub-location&gt;Melbourne&lt;/pub-location&gt;&lt;publisher&gt;Oxford University Press&lt;/publisher&gt;&lt;orig-pub&gt;01/03/2010&lt;/orig-pub&gt;&lt;isbn&gt;9780195573565&lt;/isbn&gt;&lt;label&gt;PDF&lt;/label&gt;&lt;urls&gt;&lt;/urls&gt;&lt;/record&gt;&lt;/Cite&gt;&lt;/EndNote&gt;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54" w:tooltip="Sharp, 2010 #16126" w:history="1">
        <w:r w:rsidR="00DA6B8D" w:rsidRPr="00304F2D">
          <w:rPr>
            <w:rFonts w:ascii="Times New Roman" w:hAnsi="Times New Roman" w:cs="Times New Roman"/>
            <w:noProof/>
          </w:rPr>
          <w:t xml:space="preserve">Sharp, </w:t>
        </w:r>
        <w:r w:rsidR="00DA6B8D" w:rsidRPr="00304F2D">
          <w:rPr>
            <w:rFonts w:ascii="Times New Roman" w:hAnsi="Times New Roman" w:cs="Times New Roman"/>
            <w:noProof/>
          </w:rPr>
          <w:lastRenderedPageBreak/>
          <w:t>2010</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D51860" w:rsidRPr="00304F2D">
        <w:rPr>
          <w:rFonts w:ascii="Times New Roman" w:hAnsi="Times New Roman" w:cs="Times New Roman"/>
        </w:rPr>
        <w:t xml:space="preserve">. </w:t>
      </w:r>
      <w:r w:rsidR="0076786A" w:rsidRPr="00304F2D">
        <w:rPr>
          <w:rFonts w:ascii="Times New Roman" w:hAnsi="Times New Roman" w:cs="Times New Roman"/>
        </w:rPr>
        <w:t xml:space="preserve">Empirical results call into question the feasibility of the strategy to achieve the promulgated economic payoffs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&lt;EndNote&gt;&lt;Cite&gt;&lt;Author&gt;Uncles&lt;/Author&gt;&lt;Year&gt;2013&lt;/Year&gt;&lt;RecNum&gt;29921&lt;/RecNum&gt;&lt;DisplayText&gt;(Uncles, East and Lomax, 2013)&lt;/DisplayText&gt;&lt;record&gt;&lt;rec-number&gt;29921&lt;/rec-number&gt;&lt;foreign-keys&gt;&lt;key app="EN" db-id="eswazv0p5wsezae2sd8pf59gf50trdav5fsw" timestamp="0"&gt;29921&lt;/key&gt;&lt;/foreign-keys&gt;&lt;ref-type name="Journal Article"&gt;17&lt;/ref-type&gt;&lt;contributors&gt;&lt;authors&gt;&lt;author&gt;Uncles, Mark D.&lt;/author&gt;&lt;author&gt;East, Robert&lt;/author&gt;&lt;author&gt;Lomax, Wendy&lt;/author&gt;&lt;/authors&gt;&lt;/contributors&gt;&lt;titles&gt;&lt;title&gt;Good customers: The value of customers by mode of acquisition&lt;/title&gt;&lt;secondary-title&gt;Australasian Marketing Journal (AMJ)&lt;/secondary-title&gt;&lt;/titles&gt;&lt;pages&gt;119-125&lt;/pages&gt;&lt;volume&gt;21&lt;/volume&gt;&lt;number&gt;2&lt;/number&gt;&lt;dates&gt;&lt;year&gt;2013&lt;/year&gt;&lt;/dates&gt;&lt;publisher&gt;Elsevier&lt;/publisher&gt;&lt;isbn&gt;1441-3582&lt;/isbn&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59" w:tooltip="Uncles, 2013 #29921" w:history="1">
        <w:r w:rsidR="00DA6B8D" w:rsidRPr="00304F2D">
          <w:rPr>
            <w:rFonts w:ascii="Times New Roman" w:hAnsi="Times New Roman" w:cs="Times New Roman"/>
            <w:noProof/>
          </w:rPr>
          <w:t>Uncles, East and Lomax, 2013</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D51860" w:rsidRPr="00304F2D">
        <w:rPr>
          <w:rFonts w:ascii="Times New Roman" w:hAnsi="Times New Roman" w:cs="Times New Roman"/>
        </w:rPr>
        <w:t xml:space="preserve">. </w:t>
      </w:r>
      <w:r w:rsidR="0076786A" w:rsidRPr="00304F2D">
        <w:rPr>
          <w:rFonts w:ascii="Times New Roman" w:hAnsi="Times New Roman" w:cs="Times New Roman"/>
        </w:rPr>
        <w:t xml:space="preserve">Defection often occurs due to factors outside the brand’s control, and longer-tenure customers rarely bought more than shorter-tenure customers </w:t>
      </w:r>
      <w:r w:rsidR="0076786A"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&lt;EndNote&gt;&lt;Cite&gt;&lt;Author&gt;East&lt;/Author&gt;&lt;Year&gt;2006&lt;/Year&gt;&lt;RecNum&gt;12609&lt;/RecNum&gt;&lt;DisplayText&gt;(East, Hammond and Gendall, 2006)&lt;/DisplayText&gt;&lt;record&gt;&lt;rec-number&gt;12609&lt;/rec-number&gt;&lt;foreign-keys&gt;&lt;key app="EN" db-id="eswazv0p5wsezae2sd8pf59gf50trdav5fsw" timestamp="0"&gt;12609&lt;/key&gt;&lt;/foreign-keys&gt;&lt;ref-type name="Journal Article"&gt;17&lt;/ref-type&gt;&lt;contributors&gt;&lt;authors&gt;&lt;author&gt;East, Robert&lt;/author&gt;&lt;author&gt;Hammond, Kathy&lt;/author&gt;&lt;author&gt;Gendall, Philip&lt;/author&gt;&lt;/authors&gt;&lt;/contributors&gt;&lt;titles&gt;&lt;title&gt;Fact and fallacy in retention marketing&lt;/title&gt;&lt;secondary-title&gt;Journal of Marketing Management&lt;/secondary-title&gt;&lt;/titles&gt;&lt;pages&gt;5-23&lt;/pages&gt;&lt;volume&gt;22&lt;/volume&gt;&lt;dates&gt;&lt;year&gt;2006&lt;/year&gt;&lt;/dates&gt;&lt;label&gt;PDF&lt;/label&gt;&lt;urls&gt;&lt;/urls&gt;&lt;/record&gt;&lt;/Cite&gt;&lt;/EndNote&gt;</w:instrText>
      </w:r>
      <w:r w:rsidR="0076786A" w:rsidRPr="00304F2D">
        <w:rPr>
          <w:rFonts w:ascii="Times New Roman" w:hAnsi="Times New Roman" w:cs="Times New Roman"/>
        </w:rPr>
        <w:fldChar w:fldCharType="separate"/>
      </w:r>
      <w:r w:rsidR="0076786A" w:rsidRPr="00304F2D">
        <w:rPr>
          <w:rFonts w:ascii="Times New Roman" w:hAnsi="Times New Roman" w:cs="Times New Roman"/>
          <w:noProof/>
        </w:rPr>
        <w:t>(</w:t>
      </w:r>
      <w:hyperlink w:anchor="_ENREF_24" w:tooltip="East, 2006 #12609" w:history="1">
        <w:r w:rsidR="00DA6B8D" w:rsidRPr="00304F2D">
          <w:rPr>
            <w:rFonts w:ascii="Times New Roman" w:hAnsi="Times New Roman" w:cs="Times New Roman"/>
            <w:noProof/>
          </w:rPr>
          <w:t>East, Hammond and Gendall, 2006</w:t>
        </w:r>
      </w:hyperlink>
      <w:r w:rsidR="0076786A" w:rsidRPr="00304F2D">
        <w:rPr>
          <w:rFonts w:ascii="Times New Roman" w:hAnsi="Times New Roman" w:cs="Times New Roman"/>
          <w:noProof/>
        </w:rPr>
        <w:t>)</w:t>
      </w:r>
      <w:r w:rsidR="0076786A" w:rsidRPr="00304F2D">
        <w:rPr>
          <w:rFonts w:ascii="Times New Roman" w:hAnsi="Times New Roman" w:cs="Times New Roman"/>
        </w:rPr>
        <w:fldChar w:fldCharType="end"/>
      </w:r>
      <w:r w:rsidR="0076786A" w:rsidRPr="00304F2D">
        <w:rPr>
          <w:rFonts w:ascii="Times New Roman" w:hAnsi="Times New Roman" w:cs="Times New Roman"/>
        </w:rPr>
        <w:t xml:space="preserve">.   </w:t>
      </w:r>
    </w:p>
    <w:p w14:paraId="240582A6" w14:textId="4AEF66E0" w:rsidR="000A7687" w:rsidRPr="00304F2D" w:rsidRDefault="005722FD" w:rsidP="000A7687">
      <w:pPr>
        <w:spacing w:line="480" w:lineRule="auto"/>
        <w:ind w:firstLine="720"/>
        <w:rPr>
          <w:rFonts w:ascii="Times New Roman" w:hAnsi="Times New Roman" w:cs="Times New Roman"/>
        </w:rPr>
      </w:pPr>
      <w:r w:rsidRPr="00304F2D">
        <w:rPr>
          <w:rFonts w:ascii="Times New Roman" w:hAnsi="Times New Roman" w:cs="Times New Roman"/>
        </w:rPr>
        <w:t xml:space="preserve">In the non-profit sector, defections are also often outside the control of marketers.  For instance, </w:t>
      </w:r>
      <w:r w:rsidR="002667E0" w:rsidRPr="00304F2D">
        <w:rPr>
          <w:rFonts w:ascii="Times New Roman" w:hAnsi="Times New Roman" w:cs="Times New Roman"/>
        </w:rPr>
        <w:t xml:space="preserve">the </w:t>
      </w:r>
      <w:r w:rsidR="000A7687" w:rsidRPr="00304F2D">
        <w:rPr>
          <w:rFonts w:ascii="Times New Roman" w:hAnsi="Times New Roman" w:cs="Times New Roman"/>
        </w:rPr>
        <w:t>reasons why peopl</w:t>
      </w:r>
      <w:r w:rsidRPr="00304F2D">
        <w:rPr>
          <w:rFonts w:ascii="Times New Roman" w:hAnsi="Times New Roman" w:cs="Times New Roman"/>
        </w:rPr>
        <w:t>e cannot continue to give blood include</w:t>
      </w:r>
      <w:r w:rsidR="000A7687" w:rsidRPr="00304F2D">
        <w:rPr>
          <w:rFonts w:ascii="Times New Roman" w:hAnsi="Times New Roman" w:cs="Times New Roman"/>
        </w:rPr>
        <w:t xml:space="preserve"> pregnancy, travelling to suspect areas</w:t>
      </w:r>
      <w:r w:rsidR="00505F35" w:rsidRPr="00304F2D">
        <w:rPr>
          <w:rFonts w:ascii="Times New Roman" w:hAnsi="Times New Roman" w:cs="Times New Roman"/>
        </w:rPr>
        <w:t>,</w:t>
      </w:r>
      <w:r w:rsidR="00D51860" w:rsidRPr="00304F2D">
        <w:rPr>
          <w:rFonts w:ascii="Times New Roman" w:hAnsi="Times New Roman" w:cs="Times New Roman"/>
        </w:rPr>
        <w:t xml:space="preserve"> or contracting diseases. </w:t>
      </w:r>
      <w:r w:rsidR="000A7687" w:rsidRPr="00304F2D">
        <w:rPr>
          <w:rFonts w:ascii="Times New Roman" w:hAnsi="Times New Roman" w:cs="Times New Roman"/>
        </w:rPr>
        <w:t>Therefore, blood collection agencies require an influx of new donors each year</w:t>
      </w:r>
      <w:r w:rsidR="00505F35" w:rsidRPr="00304F2D">
        <w:rPr>
          <w:rFonts w:ascii="Times New Roman" w:hAnsi="Times New Roman" w:cs="Times New Roman"/>
        </w:rPr>
        <w:t>.</w:t>
      </w:r>
      <w:r w:rsidR="002331C0" w:rsidRPr="00304F2D">
        <w:rPr>
          <w:rFonts w:ascii="Times New Roman" w:hAnsi="Times New Roman" w:cs="Times New Roman"/>
        </w:rPr>
        <w:t xml:space="preserve"> </w:t>
      </w:r>
      <w:r w:rsidR="00505F35" w:rsidRPr="00304F2D">
        <w:rPr>
          <w:rFonts w:ascii="Times New Roman" w:hAnsi="Times New Roman" w:cs="Times New Roman"/>
        </w:rPr>
        <w:t>G</w:t>
      </w:r>
      <w:r w:rsidR="008B6368" w:rsidRPr="00304F2D">
        <w:rPr>
          <w:rFonts w:ascii="Times New Roman" w:hAnsi="Times New Roman" w:cs="Times New Roman"/>
        </w:rPr>
        <w:t>iven the current very low proportion of blood donors</w:t>
      </w:r>
      <w:r w:rsidR="002331C0" w:rsidRPr="00304F2D">
        <w:rPr>
          <w:rFonts w:ascii="Times New Roman" w:hAnsi="Times New Roman" w:cs="Times New Roman"/>
        </w:rPr>
        <w:t>,</w:t>
      </w:r>
      <w:r w:rsidR="008B6368" w:rsidRPr="00304F2D">
        <w:rPr>
          <w:rFonts w:ascii="Times New Roman" w:hAnsi="Times New Roman" w:cs="Times New Roman"/>
        </w:rPr>
        <w:t xml:space="preserve"> there is a large opportunity to increase penetration.</w:t>
      </w:r>
    </w:p>
    <w:p w14:paraId="6750EBBE" w14:textId="3B7AB6F3" w:rsidR="000717DD" w:rsidRPr="00304F2D" w:rsidRDefault="000A7687" w:rsidP="000A7687">
      <w:pPr>
        <w:spacing w:line="480" w:lineRule="auto"/>
        <w:ind w:firstLine="720"/>
        <w:rPr>
          <w:rFonts w:ascii="Times New Roman" w:hAnsi="Times New Roman" w:cs="Times New Roman"/>
        </w:rPr>
      </w:pPr>
      <w:r w:rsidRPr="00304F2D">
        <w:rPr>
          <w:rFonts w:ascii="Times New Roman" w:hAnsi="Times New Roman" w:cs="Times New Roman"/>
        </w:rPr>
        <w:t>Hence,</w:t>
      </w:r>
      <w:r w:rsidR="00E74B33" w:rsidRPr="00304F2D">
        <w:rPr>
          <w:rFonts w:ascii="Times New Roman" w:hAnsi="Times New Roman" w:cs="Times New Roman"/>
        </w:rPr>
        <w:t xml:space="preserve"> it is important to understand the </w:t>
      </w:r>
      <w:proofErr w:type="spellStart"/>
      <w:r w:rsidR="00E74B33" w:rsidRPr="00304F2D">
        <w:rPr>
          <w:rFonts w:ascii="Times New Roman" w:hAnsi="Times New Roman" w:cs="Times New Roman"/>
        </w:rPr>
        <w:t>behaviour</w:t>
      </w:r>
      <w:proofErr w:type="spellEnd"/>
      <w:r w:rsidR="00E74B33" w:rsidRPr="00304F2D">
        <w:rPr>
          <w:rFonts w:ascii="Times New Roman" w:hAnsi="Times New Roman" w:cs="Times New Roman"/>
        </w:rPr>
        <w:t xml:space="preserve"> of both new and frequent donors. </w:t>
      </w:r>
    </w:p>
    <w:p w14:paraId="4E780508" w14:textId="2908AAF8" w:rsidR="000717DD" w:rsidRPr="00304F2D" w:rsidRDefault="00A01244" w:rsidP="00D51860">
      <w:pPr>
        <w:spacing w:line="480" w:lineRule="auto"/>
        <w:rPr>
          <w:rFonts w:ascii="Times New Roman" w:hAnsi="Times New Roman" w:cs="Times New Roman"/>
        </w:rPr>
      </w:pPr>
      <w:r>
        <w:rPr>
          <w:rFonts w:ascii="Times New Roman" w:hAnsi="Times New Roman" w:cs="Times New Roman"/>
        </w:rPr>
        <w:t>T</w:t>
      </w:r>
      <w:r w:rsidR="000717DD" w:rsidRPr="00304F2D">
        <w:rPr>
          <w:rFonts w:ascii="Times New Roman" w:hAnsi="Times New Roman" w:cs="Times New Roman"/>
        </w:rPr>
        <w:t>o better understand how to attract donors</w:t>
      </w:r>
      <w:r w:rsidR="002667E0" w:rsidRPr="00304F2D">
        <w:rPr>
          <w:rFonts w:ascii="Times New Roman" w:hAnsi="Times New Roman" w:cs="Times New Roman"/>
        </w:rPr>
        <w:t>,</w:t>
      </w:r>
      <w:r w:rsidR="00E74B33" w:rsidRPr="00304F2D">
        <w:rPr>
          <w:rFonts w:ascii="Times New Roman" w:hAnsi="Times New Roman" w:cs="Times New Roman"/>
        </w:rPr>
        <w:t xml:space="preserve"> </w:t>
      </w:r>
      <w:r w:rsidR="000717DD" w:rsidRPr="00304F2D">
        <w:rPr>
          <w:rFonts w:ascii="Times New Roman" w:hAnsi="Times New Roman" w:cs="Times New Roman"/>
        </w:rPr>
        <w:t>prior research has explored motivations to give blood</w:t>
      </w:r>
      <w:r w:rsidR="00505F35" w:rsidRPr="00304F2D">
        <w:rPr>
          <w:rFonts w:ascii="Times New Roman" w:hAnsi="Times New Roman" w:cs="Times New Roman"/>
        </w:rPr>
        <w:t>. T</w:t>
      </w:r>
      <w:r w:rsidR="000717DD" w:rsidRPr="00304F2D">
        <w:rPr>
          <w:rFonts w:ascii="Times New Roman" w:hAnsi="Times New Roman" w:cs="Times New Roman"/>
        </w:rPr>
        <w:t>hese include gaining a ‘warm glow’</w:t>
      </w:r>
      <w:r w:rsidR="00505F35" w:rsidRPr="00304F2D">
        <w:rPr>
          <w:rFonts w:ascii="Times New Roman" w:hAnsi="Times New Roman" w:cs="Times New Roman"/>
        </w:rPr>
        <w:t>,</w:t>
      </w:r>
      <w:r w:rsidR="000717DD" w:rsidRPr="00304F2D">
        <w:rPr>
          <w:rFonts w:ascii="Times New Roman" w:hAnsi="Times New Roman" w:cs="Times New Roman"/>
        </w:rPr>
        <w:t xml:space="preserve"> or in response to incentives based on reciprocity and reinforcement of social norms </w:t>
      </w:r>
      <w:r w:rsidR="00005BA9" w:rsidRPr="00304F2D">
        <w:rPr>
          <w:rFonts w:ascii="Times New Roman" w:hAnsi="Times New Roman" w:cs="Times New Roman"/>
          <w:noProof/>
        </w:rPr>
        <w:fldChar w:fldCharType="begin"/>
      </w:r>
      <w:r w:rsidR="00382F99" w:rsidRPr="00304F2D">
        <w:rPr>
          <w:rFonts w:ascii="Times New Roman" w:hAnsi="Times New Roman" w:cs="Times New Roman"/>
          <w:noProof/>
        </w:rPr>
        <w:instrText xml:space="preserve"> ADDIN EN.CITE &lt;EndNote&gt;&lt;Cite&gt;&lt;Author&gt;Wildman&lt;/Author&gt;&lt;Year&gt;2009&lt;/Year&gt;&lt;RecNum&gt;23848&lt;/RecNum&gt;&lt;DisplayText&gt;(Wildman and Hollingsworth, 2009; Germain&lt;style face="italic"&gt; et al.&lt;/style&gt;, 2007)&lt;/DisplayText&gt;&lt;record&gt;&lt;rec-number&gt;23848&lt;/rec-number&gt;&lt;foreign-keys&gt;&lt;key app="EN" db-id="eswazv0p5wsezae2sd8pf59gf50trdav5fsw" timestamp="0"&gt;23848&lt;/key&gt;&lt;/foreign-keys&gt;&lt;ref-type name="Journal Article"&gt;17&lt;/ref-type&gt;&lt;contributors&gt;&lt;authors&gt;&lt;author&gt;Wildman, John.&lt;/author&gt;&lt;author&gt;Hollingsworth, Bruce.&lt;/author&gt;&lt;/authors&gt;&lt;/contributors&gt;&lt;titles&gt;&lt;title&gt;Blood donation and the nature of altruism&lt;/title&gt;&lt;secondary-title&gt;Journal of health economics&lt;/secondary-title&gt;&lt;/titles&gt;&lt;pages&gt;492-503&lt;/pages&gt;&lt;volume&gt;28&lt;/volume&gt;&lt;number&gt;2&lt;/number&gt;&lt;dates&gt;&lt;year&gt;2009&lt;/year&gt;&lt;/dates&gt;&lt;publisher&gt;Elsevier&lt;/publisher&gt;&lt;isbn&gt;0167-6296&lt;/isbn&gt;&lt;urls&gt;&lt;/urls&gt;&lt;/record&gt;&lt;/Cite&gt;&lt;Cite&gt;&lt;Author&gt;Germain&lt;/Author&gt;&lt;Year&gt;2007&lt;/Year&gt;&lt;RecNum&gt;23968&lt;/RecNum&gt;&lt;record&gt;&lt;rec-number&gt;23968&lt;/rec-number&gt;&lt;foreign-keys&gt;&lt;key app="EN" db-id="eswazv0p5wsezae2sd8pf59gf50trdav5fsw" timestamp="0"&gt;23968&lt;/key&gt;&lt;/foreign-keys&gt;&lt;ref-type name="Journal Article"&gt;17&lt;/ref-type&gt;&lt;contributors&gt;&lt;authors&gt;&lt;author&gt;Germain, Marc&lt;/author&gt;&lt;author&gt;Glynn, Simone A.&lt;/author&gt;&lt;author&gt;Schreiber, George B.&lt;/author&gt;&lt;author&gt;Gélinas, Stephanie&lt;/author&gt;&lt;author&gt;King, Melissa&lt;/author&gt;&lt;author&gt;Jones, Mike&lt;/author&gt;&lt;author&gt;Bethel, James&lt;/author&gt;&lt;author&gt;Tu, Yongling&lt;/author&gt;&lt;/authors&gt;&lt;/contributors&gt;&lt;titles&gt;&lt;title&gt;Determinants of return behavior: a comparison of current and lapsed donors&lt;/title&gt;&lt;secondary-title&gt;Transfusion&lt;/secondary-title&gt;&lt;/titles&gt;&lt;periodical&gt;&lt;full-title&gt;Transfusion&lt;/full-title&gt;&lt;/periodical&gt;&lt;pages&gt;1862-1870&lt;/pages&gt;&lt;volume&gt;47&lt;/volume&gt;&lt;number&gt;10&lt;/number&gt;&lt;dates&gt;&lt;year&gt;2007&lt;/year&gt;&lt;/dates&gt;&lt;publisher&gt;Wiley Online Library&lt;/publisher&gt;&lt;isbn&gt;1537-2995&lt;/isbn&gt;&lt;urls&gt;&lt;/urls&gt;&lt;/record&gt;&lt;/Cite&gt;&lt;/EndNote&gt;</w:instrText>
      </w:r>
      <w:r w:rsidR="00005BA9" w:rsidRPr="00304F2D">
        <w:rPr>
          <w:rFonts w:ascii="Times New Roman" w:hAnsi="Times New Roman" w:cs="Times New Roman"/>
          <w:noProof/>
        </w:rPr>
        <w:fldChar w:fldCharType="separate"/>
      </w:r>
      <w:r w:rsidR="00005BA9" w:rsidRPr="00304F2D">
        <w:rPr>
          <w:rFonts w:ascii="Times New Roman" w:hAnsi="Times New Roman" w:cs="Times New Roman"/>
          <w:noProof/>
        </w:rPr>
        <w:t>(</w:t>
      </w:r>
      <w:hyperlink w:anchor="_ENREF_65" w:tooltip="Wildman, 2009 #23848" w:history="1">
        <w:r w:rsidR="00DA6B8D" w:rsidRPr="00304F2D">
          <w:rPr>
            <w:rFonts w:ascii="Times New Roman" w:hAnsi="Times New Roman" w:cs="Times New Roman"/>
            <w:noProof/>
          </w:rPr>
          <w:t>Wildman and Hollingsworth, 2009</w:t>
        </w:r>
      </w:hyperlink>
      <w:r w:rsidR="00005BA9" w:rsidRPr="00304F2D">
        <w:rPr>
          <w:rFonts w:ascii="Times New Roman" w:hAnsi="Times New Roman" w:cs="Times New Roman"/>
          <w:noProof/>
        </w:rPr>
        <w:t xml:space="preserve">; </w:t>
      </w:r>
      <w:hyperlink w:anchor="_ENREF_30" w:tooltip="Germain, 2007 #23968" w:history="1">
        <w:r w:rsidR="00DA6B8D" w:rsidRPr="00304F2D">
          <w:rPr>
            <w:rFonts w:ascii="Times New Roman" w:hAnsi="Times New Roman" w:cs="Times New Roman"/>
            <w:noProof/>
          </w:rPr>
          <w:t>Germain</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2007</w:t>
        </w:r>
      </w:hyperlink>
      <w:r w:rsidR="00005BA9" w:rsidRPr="00304F2D">
        <w:rPr>
          <w:rFonts w:ascii="Times New Roman" w:hAnsi="Times New Roman" w:cs="Times New Roman"/>
          <w:noProof/>
        </w:rPr>
        <w:t>)</w:t>
      </w:r>
      <w:r w:rsidR="00005BA9" w:rsidRPr="00304F2D">
        <w:rPr>
          <w:rFonts w:ascii="Times New Roman" w:hAnsi="Times New Roman" w:cs="Times New Roman"/>
          <w:noProof/>
        </w:rPr>
        <w:fldChar w:fldCharType="end"/>
      </w:r>
      <w:r w:rsidR="00D51860" w:rsidRPr="00304F2D">
        <w:rPr>
          <w:rFonts w:ascii="Times New Roman" w:hAnsi="Times New Roman" w:cs="Times New Roman"/>
        </w:rPr>
        <w:t xml:space="preserve">. </w:t>
      </w:r>
      <w:r w:rsidR="000717DD" w:rsidRPr="00304F2D">
        <w:rPr>
          <w:rFonts w:ascii="Times New Roman" w:hAnsi="Times New Roman" w:cs="Times New Roman"/>
        </w:rPr>
        <w:t xml:space="preserve">Psychological barriers associated with first-time donations include fear of the process, inconvenience, physical reaction after donating, and fear of contracting HIV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&lt;EndNote&gt;&lt;Cite&gt;&lt;Author&gt;Thomson&lt;/Author&gt;&lt;Year&gt;1998&lt;/Year&gt;&lt;RecNum&gt;24393&lt;/RecNum&gt;&lt;DisplayText&gt;(Thomson&lt;style face="italic"&gt; et al.&lt;/style&gt;, 1998)&lt;/DisplayText&gt;&lt;record&gt;&lt;rec-number&gt;24393&lt;/rec-number&gt;&lt;foreign-keys&gt;&lt;key app="EN" db-id="eswazv0p5wsezae2sd8pf59gf50trdav5fsw" timestamp="0"&gt;24393&lt;/key&gt;&lt;/foreign-keys&gt;&lt;ref-type name="Journal Article"&gt;17&lt;/ref-type&gt;&lt;contributors&gt;&lt;authors&gt;&lt;author&gt;Thomson, R. A.&lt;/author&gt;&lt;author&gt;Bethel, J.&lt;/author&gt;&lt;author&gt;Lo, A. Y.&lt;/author&gt;&lt;author&gt;Ownby, H. E.&lt;/author&gt;&lt;author&gt;Nass, C. C.&lt;/author&gt;&lt;author&gt;Williams, A. E.&lt;/author&gt;&lt;/authors&gt;&lt;/contributors&gt;&lt;titles&gt;&lt;title&gt;Retention of “safe” blood donors. The retrovirus epidemiology donor study&lt;/title&gt;&lt;secondary-title&gt;Transfusion&lt;/secondary-title&gt;&lt;/titles&gt;&lt;periodical&gt;&lt;full-title&gt;Transfusion&lt;/full-title&gt;&lt;/periodical&gt;&lt;pages&gt;359-367&lt;/pages&gt;&lt;volume&gt;38&lt;/volume&gt;&lt;number&gt;4&lt;/number&gt;&lt;dates&gt;&lt;year&gt;1998&lt;/year&gt;&lt;/dates&gt;&lt;publisher&gt;Wiley Online Library&lt;/publisher&gt;&lt;isbn&gt;1537-2995&lt;/isbn&gt;&lt;urls&gt;&lt;/urls&gt;&lt;/record&gt;&lt;/Cite&gt;&lt;/EndNote&gt;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57" w:tooltip="Thomson, 1998 #24393" w:history="1">
        <w:r w:rsidR="00DA6B8D" w:rsidRPr="00304F2D">
          <w:rPr>
            <w:rFonts w:ascii="Times New Roman" w:hAnsi="Times New Roman" w:cs="Times New Roman"/>
            <w:noProof/>
          </w:rPr>
          <w:t>Thomson</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1998</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D51860" w:rsidRPr="00304F2D">
        <w:rPr>
          <w:rFonts w:ascii="Times New Roman" w:hAnsi="Times New Roman" w:cs="Times New Roman"/>
        </w:rPr>
        <w:t xml:space="preserve">. </w:t>
      </w:r>
      <w:r w:rsidR="000717DD" w:rsidRPr="00304F2D">
        <w:rPr>
          <w:rFonts w:ascii="Times New Roman" w:hAnsi="Times New Roman" w:cs="Times New Roman"/>
        </w:rPr>
        <w:t>However</w:t>
      </w:r>
      <w:r w:rsidR="00505F35" w:rsidRPr="00304F2D">
        <w:rPr>
          <w:rFonts w:ascii="Times New Roman" w:hAnsi="Times New Roman" w:cs="Times New Roman"/>
        </w:rPr>
        <w:t>,</w:t>
      </w:r>
      <w:r w:rsidR="000717DD" w:rsidRPr="00304F2D">
        <w:rPr>
          <w:rFonts w:ascii="Times New Roman" w:hAnsi="Times New Roman" w:cs="Times New Roman"/>
        </w:rPr>
        <w:t xml:space="preserve"> merely overcoming th</w:t>
      </w:r>
      <w:r w:rsidR="002F5515" w:rsidRPr="00304F2D">
        <w:rPr>
          <w:rFonts w:ascii="Times New Roman" w:hAnsi="Times New Roman" w:cs="Times New Roman"/>
        </w:rPr>
        <w:t>ese barriers does not guarantee</w:t>
      </w:r>
      <w:r w:rsidR="000717DD" w:rsidRPr="00304F2D">
        <w:rPr>
          <w:rFonts w:ascii="Times New Roman" w:hAnsi="Times New Roman" w:cs="Times New Roman"/>
        </w:rPr>
        <w:t xml:space="preserve"> a new donor </w:t>
      </w:r>
      <w:r w:rsidR="002F5515" w:rsidRPr="00304F2D">
        <w:rPr>
          <w:rFonts w:ascii="Times New Roman" w:hAnsi="Times New Roman" w:cs="Times New Roman"/>
        </w:rPr>
        <w:t>will become</w:t>
      </w:r>
      <w:r w:rsidR="000717DD" w:rsidRPr="00304F2D">
        <w:rPr>
          <w:rFonts w:ascii="Times New Roman" w:hAnsi="Times New Roman" w:cs="Times New Roman"/>
        </w:rPr>
        <w:t xml:space="preserve"> a </w:t>
      </w:r>
      <w:r w:rsidR="008B6368" w:rsidRPr="00304F2D">
        <w:rPr>
          <w:rFonts w:ascii="Times New Roman" w:hAnsi="Times New Roman" w:cs="Times New Roman"/>
        </w:rPr>
        <w:t xml:space="preserve">regular </w:t>
      </w:r>
      <w:r w:rsidR="000717DD" w:rsidRPr="00304F2D">
        <w:rPr>
          <w:rFonts w:ascii="Times New Roman" w:hAnsi="Times New Roman" w:cs="Times New Roman"/>
        </w:rPr>
        <w:t>donor</w:t>
      </w:r>
      <w:r w:rsidR="005722FD" w:rsidRPr="00304F2D">
        <w:rPr>
          <w:rFonts w:ascii="Times New Roman" w:hAnsi="Times New Roman" w:cs="Times New Roman"/>
        </w:rPr>
        <w:t xml:space="preserve"> </w:t>
      </w:r>
      <w:proofErr w:type="gramStart"/>
      <w:r w:rsidR="005722FD" w:rsidRPr="00304F2D">
        <w:rPr>
          <w:rFonts w:ascii="Times New Roman" w:hAnsi="Times New Roman" w:cs="Times New Roman"/>
        </w:rPr>
        <w:t>or</w:t>
      </w:r>
      <w:proofErr w:type="gramEnd"/>
      <w:r w:rsidR="005722FD" w:rsidRPr="00304F2D">
        <w:rPr>
          <w:rFonts w:ascii="Times New Roman" w:hAnsi="Times New Roman" w:cs="Times New Roman"/>
        </w:rPr>
        <w:t xml:space="preserve"> </w:t>
      </w:r>
      <w:r w:rsidR="002F5515" w:rsidRPr="00304F2D">
        <w:rPr>
          <w:rFonts w:ascii="Times New Roman" w:hAnsi="Times New Roman" w:cs="Times New Roman"/>
        </w:rPr>
        <w:t xml:space="preserve">has the potential to give </w:t>
      </w:r>
      <w:r w:rsidR="005722FD" w:rsidRPr="00304F2D">
        <w:rPr>
          <w:rFonts w:ascii="Times New Roman" w:hAnsi="Times New Roman" w:cs="Times New Roman"/>
        </w:rPr>
        <w:t>very frequently</w:t>
      </w:r>
      <w:r w:rsidR="002F5515" w:rsidRPr="00304F2D">
        <w:rPr>
          <w:rFonts w:ascii="Times New Roman" w:hAnsi="Times New Roman" w:cs="Times New Roman"/>
        </w:rPr>
        <w:t xml:space="preserve"> each year</w:t>
      </w:r>
      <w:r w:rsidR="005722FD" w:rsidRPr="00304F2D">
        <w:rPr>
          <w:rFonts w:ascii="Times New Roman" w:hAnsi="Times New Roman" w:cs="Times New Roman"/>
        </w:rPr>
        <w:t>.</w:t>
      </w:r>
      <w:r w:rsidR="00EE3CBE" w:rsidRPr="00304F2D">
        <w:rPr>
          <w:rFonts w:ascii="Times New Roman" w:hAnsi="Times New Roman" w:cs="Times New Roman"/>
        </w:rPr>
        <w:t xml:space="preserve"> Consideration of research streams in consumer goods markets and the non-profit sector leads to the following hypotheses:</w:t>
      </w:r>
    </w:p>
    <w:p w14:paraId="1172E31F" w14:textId="77777777" w:rsidR="00EE3CBE" w:rsidRPr="00304F2D" w:rsidRDefault="00EE3CBE" w:rsidP="00EE3CBE">
      <w:pPr>
        <w:spacing w:line="480" w:lineRule="auto"/>
        <w:rPr>
          <w:rFonts w:ascii="Times New Roman" w:hAnsi="Times New Roman" w:cs="Times New Roman"/>
        </w:rPr>
      </w:pPr>
      <w:r w:rsidRPr="00304F2D">
        <w:rPr>
          <w:rFonts w:ascii="Times New Roman" w:hAnsi="Times New Roman" w:cs="Times New Roman"/>
          <w:i/>
          <w:iCs/>
        </w:rPr>
        <w:t>H1:  Most supporters will give their support once or twice a year</w:t>
      </w:r>
    </w:p>
    <w:p w14:paraId="7F7FE5B0" w14:textId="01D6CF55" w:rsidR="00EE3CBE" w:rsidRPr="00304F2D" w:rsidRDefault="00EE3CBE" w:rsidP="00EE3CBE">
      <w:pPr>
        <w:spacing w:line="480" w:lineRule="auto"/>
        <w:rPr>
          <w:rFonts w:ascii="Times New Roman" w:hAnsi="Times New Roman" w:cs="Times New Roman"/>
          <w:i/>
          <w:iCs/>
        </w:rPr>
      </w:pPr>
      <w:r w:rsidRPr="00304F2D">
        <w:rPr>
          <w:rFonts w:ascii="Times New Roman" w:hAnsi="Times New Roman" w:cs="Times New Roman"/>
          <w:i/>
          <w:iCs/>
        </w:rPr>
        <w:t>H2: New donors will show higher levels of once-only donations, and reduced levels of support at very frequent levels</w:t>
      </w:r>
    </w:p>
    <w:p w14:paraId="4E5EB7B3" w14:textId="5B4A794D" w:rsidR="005D6398" w:rsidRPr="00304F2D" w:rsidRDefault="005D6398" w:rsidP="005D6398">
      <w:pPr>
        <w:spacing w:line="480" w:lineRule="auto"/>
        <w:rPr>
          <w:rFonts w:ascii="Times New Roman" w:hAnsi="Times New Roman" w:cs="Times New Roman"/>
          <w:i/>
          <w:iCs/>
        </w:rPr>
      </w:pPr>
      <w:r w:rsidRPr="00304F2D">
        <w:rPr>
          <w:rFonts w:ascii="Times New Roman" w:hAnsi="Times New Roman" w:cs="Times New Roman"/>
          <w:i/>
          <w:iCs/>
        </w:rPr>
        <w:t>H3: Infrequent donors comprise the greatest proportion of donor bases regardless of whether donor bases grow or decline</w:t>
      </w:r>
    </w:p>
    <w:p w14:paraId="76EF5908" w14:textId="77777777" w:rsidR="00E646B9" w:rsidRPr="00304F2D" w:rsidRDefault="00E646B9" w:rsidP="00DE5974">
      <w:pPr>
        <w:spacing w:line="480" w:lineRule="auto"/>
        <w:ind w:firstLine="720"/>
        <w:rPr>
          <w:rFonts w:ascii="Times New Roman" w:hAnsi="Times New Roman" w:cs="Times New Roman"/>
        </w:rPr>
      </w:pPr>
    </w:p>
    <w:p w14:paraId="2978AF3E" w14:textId="148B3290" w:rsidR="00265C3F" w:rsidRPr="00304F2D" w:rsidRDefault="005722FD" w:rsidP="00026251">
      <w:pPr>
        <w:keepNext/>
        <w:keepLines/>
        <w:spacing w:line="480" w:lineRule="auto"/>
        <w:rPr>
          <w:rFonts w:ascii="Times New Roman" w:hAnsi="Times New Roman" w:cs="Times New Roman"/>
          <w:b/>
        </w:rPr>
      </w:pPr>
      <w:r w:rsidRPr="00304F2D">
        <w:rPr>
          <w:rFonts w:ascii="Times New Roman" w:hAnsi="Times New Roman" w:cs="Times New Roman"/>
          <w:b/>
        </w:rPr>
        <w:lastRenderedPageBreak/>
        <w:t>3</w:t>
      </w:r>
      <w:r w:rsidR="00EF48E7" w:rsidRPr="00304F2D">
        <w:rPr>
          <w:rFonts w:ascii="Times New Roman" w:hAnsi="Times New Roman" w:cs="Times New Roman"/>
          <w:b/>
        </w:rPr>
        <w:t>. The C</w:t>
      </w:r>
      <w:r w:rsidR="00265C3F" w:rsidRPr="00304F2D">
        <w:rPr>
          <w:rFonts w:ascii="Times New Roman" w:hAnsi="Times New Roman" w:cs="Times New Roman"/>
          <w:b/>
        </w:rPr>
        <w:t>ontribution</w:t>
      </w:r>
      <w:r w:rsidR="00EF48E7" w:rsidRPr="00304F2D">
        <w:rPr>
          <w:rFonts w:ascii="Times New Roman" w:hAnsi="Times New Roman" w:cs="Times New Roman"/>
          <w:b/>
        </w:rPr>
        <w:t xml:space="preserve"> and Reliability of the Very F</w:t>
      </w:r>
      <w:r w:rsidR="00265C3F" w:rsidRPr="00304F2D">
        <w:rPr>
          <w:rFonts w:ascii="Times New Roman" w:hAnsi="Times New Roman" w:cs="Times New Roman"/>
          <w:b/>
        </w:rPr>
        <w:t>requent</w:t>
      </w:r>
    </w:p>
    <w:p w14:paraId="06FE54B0" w14:textId="26B56AB4" w:rsidR="000152CC" w:rsidRPr="00304F2D" w:rsidRDefault="00265C3F" w:rsidP="003D1C98">
      <w:pPr>
        <w:keepNext/>
        <w:keepLines/>
        <w:spacing w:line="480" w:lineRule="auto"/>
        <w:ind w:firstLine="720"/>
        <w:rPr>
          <w:rFonts w:ascii="Times New Roman" w:hAnsi="Times New Roman" w:cs="Times New Roman"/>
        </w:rPr>
      </w:pPr>
      <w:r w:rsidRPr="00304F2D">
        <w:rPr>
          <w:rFonts w:ascii="Times New Roman" w:hAnsi="Times New Roman" w:cs="Times New Roman"/>
        </w:rPr>
        <w:t xml:space="preserve">Frequent </w:t>
      </w:r>
      <w:r w:rsidR="006F3812" w:rsidRPr="00304F2D">
        <w:rPr>
          <w:rFonts w:ascii="Times New Roman" w:hAnsi="Times New Roman" w:cs="Times New Roman"/>
        </w:rPr>
        <w:t>purchase of</w:t>
      </w:r>
      <w:r w:rsidRPr="00304F2D">
        <w:rPr>
          <w:rFonts w:ascii="Times New Roman" w:hAnsi="Times New Roman" w:cs="Times New Roman"/>
        </w:rPr>
        <w:t xml:space="preserve"> a brand is generally considered a positive metric.  When it comes to packaged goods </w:t>
      </w:r>
      <w:proofErr w:type="gramStart"/>
      <w:r w:rsidRPr="00304F2D">
        <w:rPr>
          <w:rFonts w:ascii="Times New Roman" w:hAnsi="Times New Roman" w:cs="Times New Roman"/>
        </w:rPr>
        <w:t xml:space="preserve">sales, a </w:t>
      </w:r>
      <w:r w:rsidR="00DA28DC">
        <w:rPr>
          <w:rFonts w:ascii="Times New Roman" w:hAnsi="Times New Roman" w:cs="Times New Roman"/>
        </w:rPr>
        <w:t>consumer</w:t>
      </w:r>
      <w:r w:rsidR="00DA28DC" w:rsidRPr="00304F2D">
        <w:rPr>
          <w:rFonts w:ascii="Times New Roman" w:hAnsi="Times New Roman" w:cs="Times New Roman"/>
        </w:rPr>
        <w:t xml:space="preserve"> </w:t>
      </w:r>
      <w:r w:rsidRPr="00304F2D">
        <w:rPr>
          <w:rFonts w:ascii="Times New Roman" w:hAnsi="Times New Roman" w:cs="Times New Roman"/>
        </w:rPr>
        <w:t>buying multiple times is</w:t>
      </w:r>
      <w:proofErr w:type="gramEnd"/>
      <w:r w:rsidRPr="00304F2D">
        <w:rPr>
          <w:rFonts w:ascii="Times New Roman" w:hAnsi="Times New Roman" w:cs="Times New Roman"/>
        </w:rPr>
        <w:t>, logically, more valu</w:t>
      </w:r>
      <w:r w:rsidR="00731668" w:rsidRPr="00304F2D">
        <w:rPr>
          <w:rFonts w:ascii="Times New Roman" w:hAnsi="Times New Roman" w:cs="Times New Roman"/>
        </w:rPr>
        <w:t>able than someone buying</w:t>
      </w:r>
      <w:r w:rsidR="003D1C98" w:rsidRPr="00304F2D">
        <w:rPr>
          <w:rFonts w:ascii="Times New Roman" w:hAnsi="Times New Roman" w:cs="Times New Roman"/>
        </w:rPr>
        <w:t xml:space="preserve"> only once. </w:t>
      </w:r>
      <w:r w:rsidRPr="00304F2D">
        <w:rPr>
          <w:rFonts w:ascii="Times New Roman" w:hAnsi="Times New Roman" w:cs="Times New Roman"/>
        </w:rPr>
        <w:t>However individual contribution is not the same as segment contribution</w:t>
      </w:r>
      <w:r w:rsidR="00505F35" w:rsidRPr="00304F2D">
        <w:rPr>
          <w:rFonts w:ascii="Times New Roman" w:hAnsi="Times New Roman" w:cs="Times New Roman"/>
        </w:rPr>
        <w:t>,</w:t>
      </w:r>
      <w:r w:rsidRPr="00304F2D">
        <w:rPr>
          <w:rFonts w:ascii="Times New Roman" w:hAnsi="Times New Roman" w:cs="Times New Roman"/>
        </w:rPr>
        <w:t xml:space="preserve"> where the size</w:t>
      </w:r>
      <w:r w:rsidR="003D1C98" w:rsidRPr="00304F2D">
        <w:rPr>
          <w:rFonts w:ascii="Times New Roman" w:hAnsi="Times New Roman" w:cs="Times New Roman"/>
        </w:rPr>
        <w:t xml:space="preserve"> of the segment group matters. </w:t>
      </w:r>
      <w:r w:rsidRPr="00304F2D">
        <w:rPr>
          <w:rFonts w:ascii="Times New Roman" w:hAnsi="Times New Roman" w:cs="Times New Roman"/>
        </w:rPr>
        <w:t>A small group of very frequent buyers may contribute less than a larger group of once</w:t>
      </w:r>
      <w:r w:rsidR="00373224" w:rsidRPr="00304F2D">
        <w:rPr>
          <w:rFonts w:ascii="Times New Roman" w:hAnsi="Times New Roman" w:cs="Times New Roman"/>
        </w:rPr>
        <w:t>-</w:t>
      </w:r>
      <w:r w:rsidRPr="00304F2D">
        <w:rPr>
          <w:rFonts w:ascii="Times New Roman" w:hAnsi="Times New Roman" w:cs="Times New Roman"/>
        </w:rPr>
        <w:t>only buyers</w:t>
      </w:r>
      <w:r w:rsidR="00163830" w:rsidRPr="00304F2D">
        <w:rPr>
          <w:rFonts w:ascii="Times New Roman" w:hAnsi="Times New Roman" w:cs="Times New Roman"/>
        </w:rPr>
        <w:t xml:space="preserve">, </w:t>
      </w:r>
      <w:r w:rsidR="00467B7A" w:rsidRPr="00304F2D">
        <w:rPr>
          <w:rFonts w:ascii="Times New Roman" w:hAnsi="Times New Roman" w:cs="Times New Roman"/>
        </w:rPr>
        <w:t>simply due to the large number of people in the less frequent segment</w:t>
      </w:r>
      <w:r w:rsidRPr="00304F2D">
        <w:rPr>
          <w:rFonts w:ascii="Times New Roman" w:hAnsi="Times New Roman" w:cs="Times New Roman"/>
        </w:rPr>
        <w:t xml:space="preserve"> </w:t>
      </w:r>
      <w:r w:rsidR="00005BA9" w:rsidRPr="00304F2D">
        <w:rPr>
          <w:rFonts w:ascii="Times New Roman" w:hAnsi="Times New Roman" w:cs="Times New Roman"/>
          <w:noProof/>
        </w:rPr>
        <w:fldChar w:fldCharType="begin"/>
      </w:r>
      <w:r w:rsidR="00382F99" w:rsidRPr="00304F2D">
        <w:rPr>
          <w:rFonts w:ascii="Times New Roman" w:hAnsi="Times New Roman" w:cs="Times New Roman"/>
          <w:noProof/>
        </w:rPr>
        <w:instrText xml:space="preserve"> ADDIN EN.CITE &lt;EndNote&gt;&lt;Cite&gt;&lt;Author&gt;Anschuetz&lt;/Author&gt;&lt;Year&gt;1997&lt;/Year&gt;&lt;RecNum&gt;7103&lt;/RecNum&gt;&lt;DisplayText&gt;(Anschuetz, 1997)&lt;/DisplayText&gt;&lt;record&gt;&lt;rec-number&gt;7103&lt;/rec-number&gt;&lt;foreign-keys&gt;&lt;key app="EN" db-id="eswazv0p5wsezae2sd8pf59gf50trdav5fsw" timestamp="0"&gt;7103&lt;/key&gt;&lt;/foreign-keys&gt;&lt;ref-type name="Journal Article"&gt;17&lt;/ref-type&gt;&lt;contributors&gt;&lt;authors&gt;&lt;author&gt;Anschuetz, Ned&lt;/author&gt;&lt;/authors&gt;&lt;/contributors&gt;&lt;titles&gt;&lt;title&gt;Profiting from the &amp;apos;80-20 rule of thumb&amp;apos;&lt;/title&gt;&lt;secondary-title&gt;Journal of Advertising Research&lt;/secondary-title&gt;&lt;/titles&gt;&lt;periodical&gt;&lt;full-title&gt;Journal of Advertising Research&lt;/full-title&gt;&lt;/periodical&gt;&lt;pages&gt;51-56&lt;/pages&gt;&lt;volume&gt;37&lt;/volume&gt;&lt;number&gt;6&lt;/number&gt;&lt;keywords&gt;&lt;keyword&gt;80-20 Rule, Pareto Principle, Consumer Behavior, Brand Name Products,&lt;/keyword&gt;&lt;/keywords&gt;&lt;dates&gt;&lt;year&gt;1997&lt;/year&gt;&lt;pub-dates&gt;&lt;date&gt;November/December&lt;/date&gt;&lt;/pub-dates&gt;&lt;/dates&gt;&lt;label&gt;PDF&lt;/label&gt;&lt;urls&gt;&lt;/urls&gt;&lt;/record&gt;&lt;/Cite&gt;&lt;/EndNote&gt;</w:instrText>
      </w:r>
      <w:r w:rsidR="00005BA9" w:rsidRPr="00304F2D">
        <w:rPr>
          <w:rFonts w:ascii="Times New Roman" w:hAnsi="Times New Roman" w:cs="Times New Roman"/>
          <w:noProof/>
        </w:rPr>
        <w:fldChar w:fldCharType="separate"/>
      </w:r>
      <w:r w:rsidR="00005BA9" w:rsidRPr="00304F2D">
        <w:rPr>
          <w:rFonts w:ascii="Times New Roman" w:hAnsi="Times New Roman" w:cs="Times New Roman"/>
          <w:noProof/>
        </w:rPr>
        <w:t>(</w:t>
      </w:r>
      <w:hyperlink w:anchor="_ENREF_3" w:tooltip="Anschuetz, 1997 #7103" w:history="1">
        <w:r w:rsidR="00DA6B8D" w:rsidRPr="00304F2D">
          <w:rPr>
            <w:rFonts w:ascii="Times New Roman" w:hAnsi="Times New Roman" w:cs="Times New Roman"/>
            <w:noProof/>
          </w:rPr>
          <w:t>Anschuetz, 1997</w:t>
        </w:r>
      </w:hyperlink>
      <w:r w:rsidR="00005BA9" w:rsidRPr="00304F2D">
        <w:rPr>
          <w:rFonts w:ascii="Times New Roman" w:hAnsi="Times New Roman" w:cs="Times New Roman"/>
          <w:noProof/>
        </w:rPr>
        <w:t>)</w:t>
      </w:r>
      <w:r w:rsidR="00005BA9" w:rsidRPr="00304F2D">
        <w:rPr>
          <w:rFonts w:ascii="Times New Roman" w:hAnsi="Times New Roman" w:cs="Times New Roman"/>
          <w:noProof/>
        </w:rPr>
        <w:fldChar w:fldCharType="end"/>
      </w:r>
      <w:r w:rsidRPr="00304F2D">
        <w:rPr>
          <w:rFonts w:ascii="Times New Roman" w:hAnsi="Times New Roman" w:cs="Times New Roman"/>
        </w:rPr>
        <w:t xml:space="preserve">.   </w:t>
      </w:r>
    </w:p>
    <w:p w14:paraId="02B0F2F7" w14:textId="1C8822E8" w:rsidR="00EE3CBE" w:rsidRPr="00304F2D" w:rsidRDefault="00265C3F" w:rsidP="00EE3CBE">
      <w:pPr>
        <w:keepNext/>
        <w:keepLines/>
        <w:spacing w:line="480" w:lineRule="auto"/>
        <w:ind w:firstLine="720"/>
        <w:rPr>
          <w:rFonts w:ascii="Times New Roman" w:hAnsi="Times New Roman" w:cs="Times New Roman"/>
        </w:rPr>
      </w:pPr>
      <w:r w:rsidRPr="00304F2D">
        <w:rPr>
          <w:rFonts w:ascii="Times New Roman" w:hAnsi="Times New Roman" w:cs="Times New Roman"/>
        </w:rPr>
        <w:t xml:space="preserve">Further, frequent </w:t>
      </w:r>
      <w:r w:rsidR="00251590" w:rsidRPr="00304F2D">
        <w:rPr>
          <w:rFonts w:ascii="Times New Roman" w:hAnsi="Times New Roman" w:cs="Times New Roman"/>
        </w:rPr>
        <w:t xml:space="preserve">buying </w:t>
      </w:r>
      <w:r w:rsidRPr="00304F2D">
        <w:rPr>
          <w:rFonts w:ascii="Times New Roman" w:hAnsi="Times New Roman" w:cs="Times New Roman"/>
        </w:rPr>
        <w:t xml:space="preserve">in one year may not lead to frequent </w:t>
      </w:r>
      <w:r w:rsidR="00251590" w:rsidRPr="00304F2D">
        <w:rPr>
          <w:rFonts w:ascii="Times New Roman" w:hAnsi="Times New Roman" w:cs="Times New Roman"/>
        </w:rPr>
        <w:t xml:space="preserve">buying </w:t>
      </w:r>
      <w:r w:rsidRPr="00304F2D">
        <w:rPr>
          <w:rFonts w:ascii="Times New Roman" w:hAnsi="Times New Roman" w:cs="Times New Roman"/>
        </w:rPr>
        <w:t xml:space="preserve">in subsequent years.  </w:t>
      </w:r>
      <w:r w:rsidR="00774222" w:rsidRPr="00304F2D">
        <w:rPr>
          <w:rFonts w:ascii="Times New Roman" w:hAnsi="Times New Roman" w:cs="Times New Roman"/>
        </w:rPr>
        <w:t xml:space="preserve">An </w:t>
      </w:r>
      <w:r w:rsidRPr="00304F2D">
        <w:rPr>
          <w:rFonts w:ascii="Times New Roman" w:hAnsi="Times New Roman" w:cs="Times New Roman"/>
        </w:rPr>
        <w:t>analysis across repeat-purchase packaged goods</w:t>
      </w:r>
      <w:r w:rsidR="009E4FE2" w:rsidRPr="00304F2D">
        <w:rPr>
          <w:rFonts w:ascii="Times New Roman" w:hAnsi="Times New Roman" w:cs="Times New Roman"/>
        </w:rPr>
        <w:t xml:space="preserve"> </w:t>
      </w:r>
      <w:r w:rsidR="00774222" w:rsidRPr="00304F2D">
        <w:rPr>
          <w:rFonts w:ascii="Times New Roman" w:hAnsi="Times New Roman" w:cs="Times New Roman"/>
        </w:rPr>
        <w:t>(</w:t>
      </w:r>
      <w:proofErr w:type="spellStart"/>
      <w:r w:rsidRPr="00304F2D">
        <w:rPr>
          <w:rFonts w:ascii="Times New Roman" w:hAnsi="Times New Roman" w:cs="Times New Roman"/>
        </w:rPr>
        <w:t>Romaniuk</w:t>
      </w:r>
      <w:proofErr w:type="spellEnd"/>
      <w:r w:rsidRPr="00304F2D">
        <w:rPr>
          <w:rFonts w:ascii="Times New Roman" w:hAnsi="Times New Roman" w:cs="Times New Roman"/>
        </w:rPr>
        <w:t xml:space="preserve"> and Wight</w:t>
      </w:r>
      <w:r w:rsidR="00774222" w:rsidRPr="00304F2D">
        <w:rPr>
          <w:rFonts w:ascii="Times New Roman" w:hAnsi="Times New Roman" w:cs="Times New Roman"/>
        </w:rPr>
        <w:t>,</w:t>
      </w:r>
      <w:r w:rsidRPr="00304F2D">
        <w:rPr>
          <w:rFonts w:ascii="Times New Roman" w:hAnsi="Times New Roman" w:cs="Times New Roman"/>
        </w:rPr>
        <w:t xml:space="preserve"> </w:t>
      </w:r>
      <w:r w:rsidR="004D7056"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 ExcludeAuth="1"&gt;&lt;Author&gt;Romaniuk&lt;/Author&gt;&lt;Year&gt;2015&lt;/Year&gt;&lt;RecNum&gt;27201&lt;/RecNum&gt;&lt;DisplayText&gt;(2015)&lt;/DisplayText&gt;&lt;record&gt;&lt;rec-number&gt;27201&lt;/rec-number&gt;&lt;foreign-keys&gt;&lt;key app="EN" db-id="eswazv0p5wsezae2sd8pf59gf50trdav5fsw" timestamp="0"&gt;27201&lt;/key&gt;&lt;/foreign-keys&gt;&lt;ref-type name="Journal Article"&gt;17&lt;/ref-type&gt;&lt;contributors&gt;&lt;authors&gt;&lt;author&gt;Romaniuk, Jenni&lt;/author&gt;&lt;author&gt;Wight, Sam&lt;/author&gt;&lt;/authors&gt;&lt;/contributors&gt;&lt;titles&gt;&lt;title&gt;The stability and sales contribution of heavy buying households&lt;/title&gt;&lt;secondary-title&gt;Journal of Consumer Behaviour&lt;/secondary-title&gt;&lt;/titles&gt;&lt;pages&gt;13-20&lt;/pages&gt;&lt;volume&gt;14&lt;/volume&gt;&lt;number&gt;1&lt;/number&gt;&lt;dates&gt;&lt;year&gt;2015&lt;/year&gt;&lt;/dates&gt;&lt;urls&gt;&lt;/urls&gt;&lt;electronic-resource-num&gt;10.1002/cb.1490&lt;/electronic-resource-num&gt;&lt;/record&gt;&lt;/Cite&gt;&lt;/EndNote&gt;</w:instrText>
      </w:r>
      <w:r w:rsidR="004D7056" w:rsidRPr="00304F2D">
        <w:rPr>
          <w:rFonts w:ascii="Times New Roman" w:hAnsi="Times New Roman" w:cs="Times New Roman"/>
        </w:rPr>
        <w:fldChar w:fldCharType="separate"/>
      </w:r>
      <w:r w:rsidR="004D7056" w:rsidRPr="00304F2D">
        <w:rPr>
          <w:rFonts w:ascii="Times New Roman" w:hAnsi="Times New Roman" w:cs="Times New Roman"/>
          <w:noProof/>
        </w:rPr>
        <w:t>(</w:t>
      </w:r>
      <w:hyperlink w:anchor="_ENREF_52" w:tooltip="Romaniuk, 2015 #27201" w:history="1">
        <w:r w:rsidR="00DA6B8D" w:rsidRPr="00304F2D">
          <w:rPr>
            <w:rFonts w:ascii="Times New Roman" w:hAnsi="Times New Roman" w:cs="Times New Roman"/>
            <w:noProof/>
          </w:rPr>
          <w:t>2015</w:t>
        </w:r>
      </w:hyperlink>
      <w:r w:rsidR="004D7056" w:rsidRPr="00304F2D">
        <w:rPr>
          <w:rFonts w:ascii="Times New Roman" w:hAnsi="Times New Roman" w:cs="Times New Roman"/>
          <w:noProof/>
        </w:rPr>
        <w:t>)</w:t>
      </w:r>
      <w:r w:rsidR="004D7056" w:rsidRPr="00304F2D">
        <w:rPr>
          <w:rFonts w:ascii="Times New Roman" w:hAnsi="Times New Roman" w:cs="Times New Roman"/>
        </w:rPr>
        <w:fldChar w:fldCharType="end"/>
      </w:r>
      <w:r w:rsidR="009E4FE2" w:rsidRPr="00304F2D">
        <w:rPr>
          <w:rFonts w:ascii="Times New Roman" w:hAnsi="Times New Roman" w:cs="Times New Roman"/>
        </w:rPr>
        <w:t xml:space="preserve"> </w:t>
      </w:r>
      <w:r w:rsidRPr="00304F2D">
        <w:rPr>
          <w:rFonts w:ascii="Times New Roman" w:hAnsi="Times New Roman" w:cs="Times New Roman"/>
        </w:rPr>
        <w:t>found only around 50% of a brand’s frequent buyers in one year remain frequent buye</w:t>
      </w:r>
      <w:r w:rsidR="003D1C98" w:rsidRPr="00304F2D">
        <w:rPr>
          <w:rFonts w:ascii="Times New Roman" w:hAnsi="Times New Roman" w:cs="Times New Roman"/>
        </w:rPr>
        <w:t xml:space="preserve">rs in the following year. </w:t>
      </w:r>
      <w:r w:rsidRPr="00304F2D">
        <w:rPr>
          <w:rFonts w:ascii="Times New Roman" w:hAnsi="Times New Roman" w:cs="Times New Roman"/>
        </w:rPr>
        <w:t xml:space="preserve">Consumers may display </w:t>
      </w:r>
      <w:proofErr w:type="spellStart"/>
      <w:r w:rsidRPr="00304F2D">
        <w:rPr>
          <w:rFonts w:ascii="Times New Roman" w:hAnsi="Times New Roman" w:cs="Times New Roman"/>
        </w:rPr>
        <w:t>behavio</w:t>
      </w:r>
      <w:r w:rsidR="00005BA9" w:rsidRPr="00304F2D">
        <w:rPr>
          <w:rFonts w:ascii="Times New Roman" w:hAnsi="Times New Roman" w:cs="Times New Roman"/>
        </w:rPr>
        <w:t>u</w:t>
      </w:r>
      <w:r w:rsidRPr="00304F2D">
        <w:rPr>
          <w:rFonts w:ascii="Times New Roman" w:hAnsi="Times New Roman" w:cs="Times New Roman"/>
        </w:rPr>
        <w:t>ral</w:t>
      </w:r>
      <w:proofErr w:type="spellEnd"/>
      <w:r w:rsidRPr="00304F2D">
        <w:rPr>
          <w:rFonts w:ascii="Times New Roman" w:hAnsi="Times New Roman" w:cs="Times New Roman"/>
        </w:rPr>
        <w:t xml:space="preserve"> loyalty</w:t>
      </w:r>
      <w:r w:rsidR="00D76F0C" w:rsidRPr="00304F2D">
        <w:rPr>
          <w:rFonts w:ascii="Times New Roman" w:hAnsi="Times New Roman" w:cs="Times New Roman"/>
        </w:rPr>
        <w:t xml:space="preserve"> for a period of time</w:t>
      </w:r>
      <w:r w:rsidRPr="00304F2D">
        <w:rPr>
          <w:rFonts w:ascii="Times New Roman" w:hAnsi="Times New Roman" w:cs="Times New Roman"/>
        </w:rPr>
        <w:t xml:space="preserve"> purely due the </w:t>
      </w:r>
      <w:r w:rsidR="000B5CC9" w:rsidRPr="00304F2D">
        <w:rPr>
          <w:rFonts w:ascii="Times New Roman" w:hAnsi="Times New Roman" w:cs="Times New Roman"/>
        </w:rPr>
        <w:t xml:space="preserve">situational </w:t>
      </w:r>
      <w:r w:rsidRPr="00304F2D">
        <w:rPr>
          <w:rFonts w:ascii="Times New Roman" w:hAnsi="Times New Roman" w:cs="Times New Roman"/>
        </w:rPr>
        <w:t xml:space="preserve">convenience of acting habitually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&lt;EndNote&gt;&lt;Cite&gt;&lt;Author&gt;Quester&lt;/Author&gt;&lt;Year&gt;2003&lt;/Year&gt;&lt;RecNum&gt;19229&lt;/RecNum&gt;&lt;DisplayText&gt;(Quester and Lim, 2003)&lt;/DisplayText&gt;&lt;record&gt;&lt;rec-number&gt;19229&lt;/rec-number&gt;&lt;foreign-keys&gt;&lt;key app="EN" db-id="eswazv0p5wsezae2sd8pf59gf50trdav5fsw" timestamp="0"&gt;19229&lt;/key&gt;&lt;/foreign-keys&gt;&lt;ref-type name="Journal Article"&gt;17&lt;/ref-type&gt;&lt;contributors&gt;&lt;authors&gt;&lt;author&gt;Quester, Pascale&lt;/author&gt;&lt;author&gt;Lim, Ai Lin Lim&lt;/author&gt;&lt;/authors&gt;&lt;/contributors&gt;&lt;titles&gt;&lt;title&gt;Product involvement/brand loyalty: is there a link?&lt;/title&gt;&lt;secondary-title&gt;Journal of Product &amp;amp; Brand Management&lt;/secondary-title&gt;&lt;/titles&gt;&lt;pages&gt;22-38&lt;/pages&gt;&lt;volume&gt;12&lt;/volume&gt;&lt;number&gt;1&lt;/number&gt;&lt;section&gt;22&lt;/section&gt;&lt;dates&gt;&lt;year&gt;2003&lt;/year&gt;&lt;/dates&gt;&lt;isbn&gt;1061-0421&lt;/isbn&gt;&lt;label&gt;pdf&lt;/label&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48" w:tooltip="Quester, 2003 #19229" w:history="1">
        <w:r w:rsidR="00DA6B8D" w:rsidRPr="00304F2D">
          <w:rPr>
            <w:rFonts w:ascii="Times New Roman" w:hAnsi="Times New Roman" w:cs="Times New Roman"/>
            <w:noProof/>
          </w:rPr>
          <w:t>Quester and Lim, 2003</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Pr="00304F2D">
        <w:rPr>
          <w:rFonts w:ascii="Times New Roman" w:hAnsi="Times New Roman" w:cs="Times New Roman"/>
        </w:rPr>
        <w:t>,</w:t>
      </w:r>
      <w:r w:rsidR="006473CC" w:rsidRPr="00304F2D">
        <w:rPr>
          <w:rFonts w:ascii="Times New Roman" w:hAnsi="Times New Roman" w:cs="Times New Roman"/>
        </w:rPr>
        <w:t xml:space="preserve"> </w:t>
      </w:r>
      <w:r w:rsidR="005D6C24" w:rsidRPr="00304F2D">
        <w:rPr>
          <w:rFonts w:ascii="Times New Roman" w:hAnsi="Times New Roman" w:cs="Times New Roman"/>
        </w:rPr>
        <w:t xml:space="preserve">and so when the drivers of </w:t>
      </w:r>
      <w:r w:rsidR="00A148E2" w:rsidRPr="00304F2D">
        <w:rPr>
          <w:rFonts w:ascii="Times New Roman" w:hAnsi="Times New Roman" w:cs="Times New Roman"/>
        </w:rPr>
        <w:t xml:space="preserve">situational </w:t>
      </w:r>
      <w:r w:rsidR="005D6C24" w:rsidRPr="00304F2D">
        <w:rPr>
          <w:rFonts w:ascii="Times New Roman" w:hAnsi="Times New Roman" w:cs="Times New Roman"/>
        </w:rPr>
        <w:t xml:space="preserve">convenience change, such as moving the brand to a different shelf, so does the </w:t>
      </w:r>
      <w:proofErr w:type="spellStart"/>
      <w:r w:rsidR="00A445C6" w:rsidRPr="00304F2D">
        <w:rPr>
          <w:rFonts w:ascii="Times New Roman" w:hAnsi="Times New Roman" w:cs="Times New Roman"/>
        </w:rPr>
        <w:t>behavio</w:t>
      </w:r>
      <w:r w:rsidR="00026251" w:rsidRPr="00304F2D">
        <w:rPr>
          <w:rFonts w:ascii="Times New Roman" w:hAnsi="Times New Roman" w:cs="Times New Roman"/>
        </w:rPr>
        <w:t>u</w:t>
      </w:r>
      <w:r w:rsidR="00A445C6" w:rsidRPr="00304F2D">
        <w:rPr>
          <w:rFonts w:ascii="Times New Roman" w:hAnsi="Times New Roman" w:cs="Times New Roman"/>
        </w:rPr>
        <w:t>r</w:t>
      </w:r>
      <w:proofErr w:type="spellEnd"/>
      <w:r w:rsidR="00A445C6" w:rsidRPr="00304F2D">
        <w:rPr>
          <w:rFonts w:ascii="Times New Roman" w:hAnsi="Times New Roman" w:cs="Times New Roman"/>
        </w:rPr>
        <w:t>.</w:t>
      </w:r>
      <w:r w:rsidR="005D6C24" w:rsidRPr="00304F2D">
        <w:rPr>
          <w:rFonts w:ascii="Times New Roman" w:hAnsi="Times New Roman" w:cs="Times New Roman"/>
        </w:rPr>
        <w:t xml:space="preserve"> </w:t>
      </w:r>
      <w:r w:rsidR="00DB52EA" w:rsidRPr="00304F2D">
        <w:rPr>
          <w:rFonts w:ascii="Times New Roman" w:hAnsi="Times New Roman" w:cs="Times New Roman"/>
        </w:rPr>
        <w:t xml:space="preserve">The disruption to habitual </w:t>
      </w:r>
      <w:proofErr w:type="spellStart"/>
      <w:r w:rsidR="00DB52EA" w:rsidRPr="00304F2D">
        <w:rPr>
          <w:rFonts w:ascii="Times New Roman" w:hAnsi="Times New Roman" w:cs="Times New Roman"/>
        </w:rPr>
        <w:t>behaviour</w:t>
      </w:r>
      <w:proofErr w:type="spellEnd"/>
      <w:r w:rsidR="00DB52EA" w:rsidRPr="00304F2D">
        <w:rPr>
          <w:rFonts w:ascii="Times New Roman" w:hAnsi="Times New Roman" w:cs="Times New Roman"/>
        </w:rPr>
        <w:t xml:space="preserve"> occur</w:t>
      </w:r>
      <w:r w:rsidR="0085781C">
        <w:rPr>
          <w:rFonts w:ascii="Times New Roman" w:hAnsi="Times New Roman" w:cs="Times New Roman"/>
        </w:rPr>
        <w:t>r</w:t>
      </w:r>
      <w:r w:rsidR="00DB52EA" w:rsidRPr="00304F2D">
        <w:rPr>
          <w:rFonts w:ascii="Times New Roman" w:hAnsi="Times New Roman" w:cs="Times New Roman"/>
        </w:rPr>
        <w:t>ing</w:t>
      </w:r>
      <w:r w:rsidR="005D6C24" w:rsidRPr="00304F2D">
        <w:rPr>
          <w:rFonts w:ascii="Times New Roman" w:hAnsi="Times New Roman" w:cs="Times New Roman"/>
        </w:rPr>
        <w:t xml:space="preserve"> </w:t>
      </w:r>
      <w:r w:rsidRPr="00304F2D">
        <w:rPr>
          <w:rFonts w:ascii="Times New Roman" w:hAnsi="Times New Roman" w:cs="Times New Roman"/>
        </w:rPr>
        <w:t xml:space="preserve">could explain the lack of stability of </w:t>
      </w:r>
      <w:r w:rsidR="00505F35" w:rsidRPr="00304F2D">
        <w:rPr>
          <w:rFonts w:ascii="Times New Roman" w:hAnsi="Times New Roman" w:cs="Times New Roman"/>
        </w:rPr>
        <w:t xml:space="preserve">‘buying </w:t>
      </w:r>
      <w:r w:rsidRPr="00304F2D">
        <w:rPr>
          <w:rFonts w:ascii="Times New Roman" w:hAnsi="Times New Roman" w:cs="Times New Roman"/>
        </w:rPr>
        <w:t>freque</w:t>
      </w:r>
      <w:r w:rsidR="00505F35" w:rsidRPr="00304F2D">
        <w:rPr>
          <w:rFonts w:ascii="Times New Roman" w:hAnsi="Times New Roman" w:cs="Times New Roman"/>
        </w:rPr>
        <w:t>ncy’</w:t>
      </w:r>
      <w:r w:rsidRPr="00304F2D">
        <w:rPr>
          <w:rFonts w:ascii="Times New Roman" w:hAnsi="Times New Roman" w:cs="Times New Roman"/>
        </w:rPr>
        <w:t xml:space="preserve"> in categories such as toothpaste or soup</w:t>
      </w:r>
      <w:r w:rsidR="00505F35" w:rsidRPr="00304F2D">
        <w:rPr>
          <w:rFonts w:ascii="Times New Roman" w:hAnsi="Times New Roman" w:cs="Times New Roman"/>
        </w:rPr>
        <w:t>,</w:t>
      </w:r>
      <w:r w:rsidRPr="00304F2D">
        <w:rPr>
          <w:rFonts w:ascii="Times New Roman" w:hAnsi="Times New Roman" w:cs="Times New Roman"/>
        </w:rPr>
        <w:t xml:space="preserve"> where there is little involvement or commitment to brands.</w:t>
      </w:r>
      <w:r w:rsidR="00963A4D" w:rsidRPr="00304F2D">
        <w:rPr>
          <w:rFonts w:ascii="Times New Roman" w:hAnsi="Times New Roman" w:cs="Times New Roman"/>
        </w:rPr>
        <w:t xml:space="preserve"> </w:t>
      </w:r>
      <w:r w:rsidRPr="00304F2D">
        <w:rPr>
          <w:rFonts w:ascii="Times New Roman" w:hAnsi="Times New Roman" w:cs="Times New Roman"/>
        </w:rPr>
        <w:t xml:space="preserve">In contrast, </w:t>
      </w:r>
      <w:r w:rsidR="009A41AD" w:rsidRPr="00304F2D">
        <w:rPr>
          <w:rFonts w:ascii="Times New Roman" w:hAnsi="Times New Roman" w:cs="Times New Roman"/>
        </w:rPr>
        <w:t xml:space="preserve">because of the </w:t>
      </w:r>
      <w:r w:rsidR="00CE44C4" w:rsidRPr="00304F2D">
        <w:rPr>
          <w:rFonts w:ascii="Times New Roman" w:hAnsi="Times New Roman" w:cs="Times New Roman"/>
        </w:rPr>
        <w:t>emotional benefits gained from donating</w:t>
      </w:r>
      <w:r w:rsidR="00236940" w:rsidRPr="00304F2D">
        <w:rPr>
          <w:rFonts w:ascii="Times New Roman" w:hAnsi="Times New Roman" w:cs="Times New Roman"/>
        </w:rPr>
        <w:t>,</w:t>
      </w:r>
      <w:r w:rsidR="00CE44C4" w:rsidRPr="00304F2D">
        <w:rPr>
          <w:rFonts w:ascii="Times New Roman" w:hAnsi="Times New Roman" w:cs="Times New Roman"/>
        </w:rPr>
        <w:t xml:space="preserve"> </w:t>
      </w:r>
      <w:r w:rsidR="00236940" w:rsidRPr="00304F2D">
        <w:rPr>
          <w:rFonts w:ascii="Times New Roman" w:hAnsi="Times New Roman" w:cs="Times New Roman"/>
        </w:rPr>
        <w:t xml:space="preserve">frequent donors may develop </w:t>
      </w:r>
      <w:r w:rsidRPr="00304F2D">
        <w:rPr>
          <w:rFonts w:ascii="Times New Roman" w:hAnsi="Times New Roman" w:cs="Times New Roman"/>
        </w:rPr>
        <w:t xml:space="preserve">stronger relationships </w:t>
      </w:r>
      <w:r w:rsidR="00236940" w:rsidRPr="00304F2D">
        <w:rPr>
          <w:rFonts w:ascii="Times New Roman" w:hAnsi="Times New Roman" w:cs="Times New Roman"/>
        </w:rPr>
        <w:t xml:space="preserve">with the </w:t>
      </w:r>
      <w:proofErr w:type="spellStart"/>
      <w:r w:rsidR="00236940" w:rsidRPr="00304F2D">
        <w:rPr>
          <w:rFonts w:ascii="Times New Roman" w:hAnsi="Times New Roman" w:cs="Times New Roman"/>
        </w:rPr>
        <w:t>organisations</w:t>
      </w:r>
      <w:proofErr w:type="spellEnd"/>
      <w:r w:rsidR="00236940" w:rsidRPr="00304F2D">
        <w:rPr>
          <w:rFonts w:ascii="Times New Roman" w:hAnsi="Times New Roman" w:cs="Times New Roman"/>
        </w:rPr>
        <w:t xml:space="preserve"> they support</w:t>
      </w:r>
      <w:r w:rsidRPr="00304F2D">
        <w:rPr>
          <w:rFonts w:ascii="Times New Roman" w:hAnsi="Times New Roman" w:cs="Times New Roman"/>
        </w:rPr>
        <w:t xml:space="preserve">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&lt;EndNote&gt;&lt;Cite&gt;&lt;Author&gt;Merchant&lt;/Author&gt;&lt;Year&gt;2011&lt;/Year&gt;&lt;RecNum&gt;23635&lt;/RecNum&gt;&lt;DisplayText&gt;(Merchant, Ford and Rose, 2011; Kaplan-Polivy, 2013)&lt;/DisplayText&gt;&lt;record&gt;&lt;rec-number&gt;23635&lt;/rec-number&gt;&lt;foreign-keys&gt;&lt;key app="EN" db-id="eswazv0p5wsezae2sd8pf59gf50trdav5fsw" timestamp="0"&gt;23635&lt;/key&gt;&lt;/foreign-keys&gt;&lt;ref-type name="Journal Article"&gt;17&lt;/ref-type&gt;&lt;contributors&gt;&lt;authors&gt;&lt;author&gt;Merchant, A.&lt;/author&gt;&lt;author&gt;Ford, J. B.&lt;/author&gt;&lt;author&gt;Rose, G.&lt;/author&gt;&lt;/authors&gt;&lt;/contributors&gt;&lt;titles&gt;&lt;title&gt;How personal nostalgia influences giving to charity&lt;/title&gt;&lt;secondary-title&gt;Journal of Business Research&lt;/secondary-title&gt;&lt;/titles&gt;&lt;pages&gt;610-616&lt;/pages&gt;&lt;volume&gt;64&lt;/volume&gt;&lt;number&gt;6&lt;/number&gt;&lt;dates&gt;&lt;year&gt;2011&lt;/year&gt;&lt;/dates&gt;&lt;publisher&gt;Elsevier&lt;/publisher&gt;&lt;isbn&gt;0148-2963&lt;/isbn&gt;&lt;urls&gt;&lt;/urls&gt;&lt;/record&gt;&lt;/Cite&gt;&lt;Cite&gt;&lt;Author&gt;Kaplan-Polivy&lt;/Author&gt;&lt;Year&gt;2013&lt;/Year&gt;&lt;RecNum&gt;28751&lt;/RecNum&gt;&lt;record&gt;&lt;rec-number&gt;28751&lt;/rec-number&gt;&lt;foreign-keys&gt;&lt;key app="EN" db-id="eswazv0p5wsezae2sd8pf59gf50trdav5fsw" timestamp="0"&gt;28751&lt;/key&gt;&lt;/foreign-keys&gt;&lt;ref-type name="Book Section"&gt;5&lt;/ref-type&gt;&lt;contributors&gt;&lt;authors&gt;&lt;author&gt;Kaplan-Polivy, Deborah&lt;/author&gt;&lt;/authors&gt;&lt;/contributors&gt;&lt;titles&gt;&lt;title&gt;Determining priorities among donors&lt;/title&gt;&lt;secondary-title&gt;Donor cultivation and the donor lifecycle map: A new framework for fundraising&lt;/secondary-title&gt;&lt;/titles&gt;&lt;pages&gt;143-160&lt;/pages&gt;&lt;section&gt;7&lt;/section&gt;&lt;dates&gt;&lt;year&gt;2013&lt;/year&gt;&lt;/dates&gt;&lt;pub-location&gt;Hoboken, New Jersey&lt;/pub-location&gt;&lt;publisher&gt;John Wiley and Sons&lt;/publisher&gt;&lt;urls&gt;&lt;/urls&gt;&lt;/record&gt;&lt;/Cite&gt;&lt;/EndNote&gt;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45" w:tooltip="Merchant, 2011 #23635" w:history="1">
        <w:r w:rsidR="00DA6B8D" w:rsidRPr="00304F2D">
          <w:rPr>
            <w:rFonts w:ascii="Times New Roman" w:hAnsi="Times New Roman" w:cs="Times New Roman"/>
            <w:noProof/>
          </w:rPr>
          <w:t>Merchant, Ford and Rose, 2011</w:t>
        </w:r>
      </w:hyperlink>
      <w:r w:rsidR="00005BA9" w:rsidRPr="00304F2D">
        <w:rPr>
          <w:rFonts w:ascii="Times New Roman" w:hAnsi="Times New Roman" w:cs="Times New Roman"/>
          <w:noProof/>
        </w:rPr>
        <w:t xml:space="preserve">; </w:t>
      </w:r>
      <w:hyperlink w:anchor="_ENREF_35" w:tooltip="Kaplan-Polivy, 2013 #28751" w:history="1">
        <w:r w:rsidR="00DA6B8D" w:rsidRPr="00304F2D">
          <w:rPr>
            <w:rFonts w:ascii="Times New Roman" w:hAnsi="Times New Roman" w:cs="Times New Roman"/>
            <w:noProof/>
          </w:rPr>
          <w:t>Kaplan-Polivy, 2013</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Pr="00304F2D">
        <w:rPr>
          <w:rFonts w:ascii="Times New Roman" w:hAnsi="Times New Roman" w:cs="Times New Roman"/>
        </w:rPr>
        <w:t xml:space="preserve">. </w:t>
      </w:r>
      <w:r w:rsidR="00A53A73" w:rsidRPr="00304F2D">
        <w:rPr>
          <w:rFonts w:ascii="Times New Roman" w:hAnsi="Times New Roman" w:cs="Times New Roman"/>
        </w:rPr>
        <w:t xml:space="preserve">Non-profits can execute a negative-positive sequence, where they evoke sadness or guilt in an individual and then remedy this by presenting an opportunity to offer support </w:t>
      </w:r>
      <w:r w:rsidR="002F0751" w:rsidRPr="00304F2D">
        <w:rPr>
          <w:rFonts w:ascii="Times New Roman" w:hAnsi="Times New Roman" w:cs="Times New Roman"/>
        </w:rPr>
        <w:fldChar w:fldCharType="begin"/>
      </w:r>
      <w:r w:rsidR="002F0751" w:rsidRPr="00304F2D">
        <w:rPr>
          <w:rFonts w:ascii="Times New Roman" w:hAnsi="Times New Roman" w:cs="Times New Roman"/>
        </w:rPr>
        <w:instrText xml:space="preserve"> ADDIN EN.CITE &lt;EndNote&gt;&lt;Cite&gt;&lt;Author&gt;Bennett&lt;/Author&gt;&lt;Year&gt;2015&lt;/Year&gt;&lt;RecNum&gt;31230&lt;/RecNum&gt;&lt;DisplayText&gt;(Bennett, 2015)&lt;/DisplayText&gt;&lt;record&gt;&lt;rec-number&gt;31230&lt;/rec-number&gt;&lt;foreign-keys&gt;&lt;key app="EN" db-id="eswazv0p5wsezae2sd8pf59gf50trdav5fsw" timestamp="0"&gt;31230&lt;/key&gt;&lt;/foreign-keys&gt;&lt;ref-type name="Journal Article"&gt;17&lt;/ref-type&gt;&lt;contributors&gt;&lt;authors&gt;&lt;author&gt;Bennett, Roger&lt;/author&gt;&lt;/authors&gt;&lt;/contributors&gt;&lt;titles&gt;&lt;title&gt;Individual characteristics and the arousal of mixed emotions: Consequences for the effectiveness of charity fundraising advertisements&lt;/title&gt;&lt;secondary-title&gt;International Journal of Nonprofit and Voluntary Sector Marketing&lt;/secondary-title&gt;&lt;/titles&gt;&lt;pages&gt;188-209&lt;/pages&gt;&lt;volume&gt;20&lt;/volume&gt;&lt;number&gt;2&lt;/number&gt;&lt;dates&gt;&lt;year&gt;2015&lt;/year&gt;&lt;/dates&gt;&lt;publisher&gt;Wiley Online Library&lt;/publisher&gt;&lt;isbn&gt;1479-103X&lt;/isbn&gt;&lt;urls&gt;&lt;/urls&gt;&lt;electronic-resource-num&gt;10.1002/nvsm.1500&lt;/electronic-resource-num&gt;&lt;/record&gt;&lt;/Cite&gt;&lt;/EndNote&gt;</w:instrText>
      </w:r>
      <w:r w:rsidR="002F0751" w:rsidRPr="00304F2D">
        <w:rPr>
          <w:rFonts w:ascii="Times New Roman" w:hAnsi="Times New Roman" w:cs="Times New Roman"/>
        </w:rPr>
        <w:fldChar w:fldCharType="separate"/>
      </w:r>
      <w:r w:rsidR="002F0751" w:rsidRPr="00304F2D">
        <w:rPr>
          <w:rFonts w:ascii="Times New Roman" w:hAnsi="Times New Roman" w:cs="Times New Roman"/>
          <w:noProof/>
        </w:rPr>
        <w:t>(</w:t>
      </w:r>
      <w:hyperlink w:anchor="_ENREF_16" w:tooltip="Bennett, 2015 #31230" w:history="1">
        <w:r w:rsidR="00DA6B8D" w:rsidRPr="00304F2D">
          <w:rPr>
            <w:rFonts w:ascii="Times New Roman" w:hAnsi="Times New Roman" w:cs="Times New Roman"/>
            <w:noProof/>
          </w:rPr>
          <w:t>Bennett, 2015</w:t>
        </w:r>
      </w:hyperlink>
      <w:r w:rsidR="002F0751" w:rsidRPr="00304F2D">
        <w:rPr>
          <w:rFonts w:ascii="Times New Roman" w:hAnsi="Times New Roman" w:cs="Times New Roman"/>
          <w:noProof/>
        </w:rPr>
        <w:t>)</w:t>
      </w:r>
      <w:r w:rsidR="002F0751" w:rsidRPr="00304F2D">
        <w:rPr>
          <w:rFonts w:ascii="Times New Roman" w:hAnsi="Times New Roman" w:cs="Times New Roman"/>
        </w:rPr>
        <w:fldChar w:fldCharType="end"/>
      </w:r>
      <w:r w:rsidR="00A53A73" w:rsidRPr="00304F2D">
        <w:rPr>
          <w:rFonts w:ascii="Times New Roman" w:hAnsi="Times New Roman" w:cs="Times New Roman"/>
        </w:rPr>
        <w:t xml:space="preserve">. </w:t>
      </w:r>
      <w:r w:rsidR="00E356D1" w:rsidRPr="00304F2D">
        <w:rPr>
          <w:rFonts w:ascii="Times New Roman" w:hAnsi="Times New Roman" w:cs="Times New Roman"/>
        </w:rPr>
        <w:t>T</w:t>
      </w:r>
      <w:r w:rsidR="00DB52EA" w:rsidRPr="00304F2D">
        <w:rPr>
          <w:rFonts w:ascii="Times New Roman" w:hAnsi="Times New Roman" w:cs="Times New Roman"/>
        </w:rPr>
        <w:t xml:space="preserve">he emotional ‘warm glow’ benefit </w:t>
      </w:r>
      <w:r w:rsidR="00A53A73" w:rsidRPr="00304F2D">
        <w:rPr>
          <w:rFonts w:ascii="Times New Roman" w:hAnsi="Times New Roman" w:cs="Times New Roman"/>
        </w:rPr>
        <w:t>or</w:t>
      </w:r>
      <w:r w:rsidR="005D6398" w:rsidRPr="00304F2D">
        <w:rPr>
          <w:rFonts w:ascii="Times New Roman" w:hAnsi="Times New Roman" w:cs="Times New Roman"/>
        </w:rPr>
        <w:t xml:space="preserve"> increased happiness </w:t>
      </w:r>
      <w:r w:rsidR="00482D78">
        <w:rPr>
          <w:rFonts w:ascii="Times New Roman" w:hAnsi="Times New Roman" w:cs="Times New Roman"/>
        </w:rPr>
        <w:fldChar w:fldCharType="begin"/>
      </w:r>
      <w:r w:rsidR="00DA6B8D">
        <w:rPr>
          <w:rFonts w:ascii="Times New Roman" w:hAnsi="Times New Roman" w:cs="Times New Roman"/>
        </w:rPr>
        <w:instrText xml:space="preserve"> ADDIN EN.CITE &lt;EndNote&gt;&lt;Cite&gt;&lt;Author&gt;Chang&lt;/Author&gt;&lt;Year&gt;2014&lt;/Year&gt;&lt;RecNum&gt;28744&lt;/RecNum&gt;&lt;DisplayText&gt;(Chang, 2014)&lt;/DisplayText&gt;&lt;record&gt;&lt;rec-number&gt;28744&lt;/rec-number&gt;&lt;foreign-keys&gt;&lt;key app="EN" db-id="eswazv0p5wsezae2sd8pf59gf50trdav5fsw" timestamp="0"&gt;28744&lt;/key&gt;&lt;/foreign-keys&gt;&lt;ref-type name="Journal Article"&gt;17&lt;/ref-type&gt;&lt;contributors&gt;&lt;authors&gt;&lt;author&gt;Chang, Chingching&lt;/author&gt;&lt;/authors&gt;&lt;/contributors&gt;&lt;titles&gt;&lt;title&gt;Guilt regulation: The relative effects of altruistic versus egoistic appeals for charity advertising&lt;/title&gt;&lt;secondary-title&gt;Journal of Advertising&lt;/secondary-title&gt;&lt;/titles&gt;&lt;pages&gt;211-227&lt;/pages&gt;&lt;volume&gt;43&lt;/volume&gt;&lt;number&gt;3&lt;/number&gt;&lt;dates&gt;&lt;year&gt;2014&lt;/year&gt;&lt;/dates&gt;&lt;publisher&gt;Taylor &amp;amp; Francis&lt;/publisher&gt;&lt;urls&gt;&lt;/urls&gt;&lt;electronic-resource-num&gt;10.1080/00913367.2013.853632&lt;/electronic-resource-num&gt;&lt;/record&gt;&lt;/Cite&gt;&lt;/EndNote&gt;</w:instrText>
      </w:r>
      <w:r w:rsidR="00482D78">
        <w:rPr>
          <w:rFonts w:ascii="Times New Roman" w:hAnsi="Times New Roman" w:cs="Times New Roman"/>
        </w:rPr>
        <w:fldChar w:fldCharType="separate"/>
      </w:r>
      <w:r w:rsidR="00DA6B8D">
        <w:rPr>
          <w:rFonts w:ascii="Times New Roman" w:hAnsi="Times New Roman" w:cs="Times New Roman"/>
          <w:noProof/>
        </w:rPr>
        <w:t>(</w:t>
      </w:r>
      <w:hyperlink w:anchor="_ENREF_19" w:tooltip="Chang, 2014 #28744" w:history="1">
        <w:r w:rsidR="00DA6B8D">
          <w:rPr>
            <w:rFonts w:ascii="Times New Roman" w:hAnsi="Times New Roman" w:cs="Times New Roman"/>
            <w:noProof/>
          </w:rPr>
          <w:t>Chang, 2014</w:t>
        </w:r>
      </w:hyperlink>
      <w:r w:rsidR="00DA6B8D">
        <w:rPr>
          <w:rFonts w:ascii="Times New Roman" w:hAnsi="Times New Roman" w:cs="Times New Roman"/>
          <w:noProof/>
        </w:rPr>
        <w:t>)</w:t>
      </w:r>
      <w:r w:rsidR="00482D78">
        <w:rPr>
          <w:rFonts w:ascii="Times New Roman" w:hAnsi="Times New Roman" w:cs="Times New Roman"/>
        </w:rPr>
        <w:fldChar w:fldCharType="end"/>
      </w:r>
      <w:r w:rsidR="009314D2">
        <w:rPr>
          <w:rFonts w:ascii="Times New Roman" w:hAnsi="Times New Roman" w:cs="Times New Roman"/>
        </w:rPr>
        <w:t xml:space="preserve"> </w:t>
      </w:r>
      <w:r w:rsidR="00A53A73" w:rsidRPr="00304F2D">
        <w:rPr>
          <w:rFonts w:ascii="Times New Roman" w:hAnsi="Times New Roman" w:cs="Times New Roman"/>
        </w:rPr>
        <w:t xml:space="preserve">from </w:t>
      </w:r>
      <w:r w:rsidR="00DB52EA" w:rsidRPr="00304F2D">
        <w:rPr>
          <w:rFonts w:ascii="Times New Roman" w:hAnsi="Times New Roman" w:cs="Times New Roman"/>
        </w:rPr>
        <w:t xml:space="preserve">giving </w:t>
      </w:r>
      <w:r w:rsidR="003D1C98" w:rsidRPr="00304F2D">
        <w:rPr>
          <w:rFonts w:ascii="Times New Roman" w:hAnsi="Times New Roman" w:cs="Times New Roman"/>
        </w:rPr>
        <w:t xml:space="preserve">frequently </w:t>
      </w:r>
      <w:r w:rsidR="00D711B1" w:rsidRPr="00304F2D">
        <w:rPr>
          <w:rFonts w:ascii="Times New Roman" w:hAnsi="Times New Roman" w:cs="Times New Roman"/>
        </w:rPr>
        <w:t>c</w:t>
      </w:r>
      <w:r w:rsidR="00E356D1" w:rsidRPr="00304F2D">
        <w:rPr>
          <w:rFonts w:ascii="Times New Roman" w:hAnsi="Times New Roman" w:cs="Times New Roman"/>
        </w:rPr>
        <w:t>ould result in</w:t>
      </w:r>
      <w:r w:rsidRPr="00304F2D">
        <w:rPr>
          <w:rFonts w:ascii="Times New Roman" w:hAnsi="Times New Roman" w:cs="Times New Roman"/>
        </w:rPr>
        <w:t xml:space="preserve"> greater commitment by frequent donors</w:t>
      </w:r>
      <w:r w:rsidR="00D711B1" w:rsidRPr="00304F2D">
        <w:rPr>
          <w:rFonts w:ascii="Times New Roman" w:hAnsi="Times New Roman" w:cs="Times New Roman"/>
        </w:rPr>
        <w:t xml:space="preserve"> </w:t>
      </w:r>
      <w:r w:rsidRPr="00304F2D">
        <w:rPr>
          <w:rFonts w:ascii="Times New Roman" w:hAnsi="Times New Roman" w:cs="Times New Roman"/>
        </w:rPr>
        <w:t>and therefore great</w:t>
      </w:r>
      <w:r w:rsidR="009A41AD" w:rsidRPr="00304F2D">
        <w:rPr>
          <w:rFonts w:ascii="Times New Roman" w:hAnsi="Times New Roman" w:cs="Times New Roman"/>
        </w:rPr>
        <w:t>er</w:t>
      </w:r>
      <w:r w:rsidR="003D1C98" w:rsidRPr="00304F2D">
        <w:rPr>
          <w:rFonts w:ascii="Times New Roman" w:hAnsi="Times New Roman" w:cs="Times New Roman"/>
        </w:rPr>
        <w:t xml:space="preserve"> stability over time. </w:t>
      </w:r>
      <w:r w:rsidR="00EE3CBE" w:rsidRPr="00304F2D">
        <w:rPr>
          <w:rFonts w:ascii="Times New Roman" w:hAnsi="Times New Roman" w:cs="Times New Roman"/>
        </w:rPr>
        <w:t>We suggest</w:t>
      </w:r>
      <w:r w:rsidR="005D6398" w:rsidRPr="00304F2D">
        <w:rPr>
          <w:rFonts w:ascii="Times New Roman" w:hAnsi="Times New Roman" w:cs="Times New Roman"/>
        </w:rPr>
        <w:t xml:space="preserve"> pattern</w:t>
      </w:r>
      <w:r w:rsidR="00A53A73" w:rsidRPr="00304F2D">
        <w:rPr>
          <w:rFonts w:ascii="Times New Roman" w:hAnsi="Times New Roman" w:cs="Times New Roman"/>
        </w:rPr>
        <w:t>s may differ</w:t>
      </w:r>
      <w:r w:rsidR="005D6398" w:rsidRPr="00304F2D">
        <w:rPr>
          <w:rFonts w:ascii="Times New Roman" w:hAnsi="Times New Roman" w:cs="Times New Roman"/>
        </w:rPr>
        <w:t xml:space="preserve"> to other markets</w:t>
      </w:r>
      <w:r w:rsidR="00EE3CBE" w:rsidRPr="00304F2D">
        <w:rPr>
          <w:rFonts w:ascii="Times New Roman" w:hAnsi="Times New Roman" w:cs="Times New Roman"/>
        </w:rPr>
        <w:t>:</w:t>
      </w:r>
    </w:p>
    <w:p w14:paraId="00BFA681" w14:textId="00520773" w:rsidR="005878E5" w:rsidRPr="00304F2D" w:rsidRDefault="005D6398" w:rsidP="00607A65">
      <w:pPr>
        <w:spacing w:line="480" w:lineRule="auto"/>
        <w:rPr>
          <w:rFonts w:ascii="Times New Roman" w:hAnsi="Times New Roman" w:cs="Times New Roman"/>
          <w:i/>
          <w:iCs/>
        </w:rPr>
      </w:pPr>
      <w:r w:rsidRPr="00304F2D">
        <w:rPr>
          <w:rFonts w:ascii="Times New Roman" w:hAnsi="Times New Roman" w:cs="Times New Roman"/>
          <w:i/>
          <w:iCs/>
        </w:rPr>
        <w:t>H4</w:t>
      </w:r>
      <w:r w:rsidR="00EE3CBE" w:rsidRPr="00304F2D">
        <w:rPr>
          <w:rFonts w:ascii="Times New Roman" w:hAnsi="Times New Roman" w:cs="Times New Roman"/>
          <w:i/>
          <w:iCs/>
        </w:rPr>
        <w:t xml:space="preserve">: Very frequent non-profit donors will show greater cohort stability than buyers of consumer packaged goods  </w:t>
      </w:r>
    </w:p>
    <w:p w14:paraId="00AECEBC" w14:textId="20CFEB16" w:rsidR="00086FA8" w:rsidRPr="00304F2D" w:rsidRDefault="003D1C98" w:rsidP="00DE5974">
      <w:pPr>
        <w:spacing w:line="480" w:lineRule="auto"/>
        <w:rPr>
          <w:rFonts w:ascii="Times New Roman" w:hAnsi="Times New Roman" w:cs="Times New Roman"/>
          <w:b/>
          <w:bCs/>
        </w:rPr>
      </w:pPr>
      <w:r w:rsidRPr="00304F2D">
        <w:rPr>
          <w:rFonts w:ascii="Times New Roman" w:hAnsi="Times New Roman" w:cs="Times New Roman"/>
          <w:b/>
          <w:bCs/>
        </w:rPr>
        <w:lastRenderedPageBreak/>
        <w:t>4</w:t>
      </w:r>
      <w:r w:rsidR="00771FC5" w:rsidRPr="00304F2D">
        <w:rPr>
          <w:rFonts w:ascii="Times New Roman" w:hAnsi="Times New Roman" w:cs="Times New Roman"/>
          <w:b/>
          <w:bCs/>
        </w:rPr>
        <w:t xml:space="preserve">. </w:t>
      </w:r>
      <w:r w:rsidR="00607A65" w:rsidRPr="00304F2D">
        <w:rPr>
          <w:rFonts w:ascii="Times New Roman" w:hAnsi="Times New Roman" w:cs="Times New Roman"/>
          <w:b/>
          <w:bCs/>
        </w:rPr>
        <w:t>Material and</w:t>
      </w:r>
      <w:r w:rsidR="009D5F6A" w:rsidRPr="00304F2D">
        <w:rPr>
          <w:rFonts w:ascii="Times New Roman" w:hAnsi="Times New Roman" w:cs="Times New Roman"/>
          <w:b/>
          <w:bCs/>
        </w:rPr>
        <w:t xml:space="preserve"> </w:t>
      </w:r>
      <w:r w:rsidR="00086FA8" w:rsidRPr="00304F2D">
        <w:rPr>
          <w:rFonts w:ascii="Times New Roman" w:hAnsi="Times New Roman" w:cs="Times New Roman"/>
          <w:b/>
          <w:bCs/>
        </w:rPr>
        <w:t>Method</w:t>
      </w:r>
      <w:r w:rsidR="009D5F6A" w:rsidRPr="00304F2D">
        <w:rPr>
          <w:rFonts w:ascii="Times New Roman" w:hAnsi="Times New Roman" w:cs="Times New Roman"/>
          <w:b/>
          <w:bCs/>
        </w:rPr>
        <w:t>s</w:t>
      </w:r>
    </w:p>
    <w:p w14:paraId="279609F6" w14:textId="637A60F0" w:rsidR="00190355" w:rsidRPr="00304F2D" w:rsidRDefault="00C03E17" w:rsidP="003D1C98">
      <w:pPr>
        <w:spacing w:line="480" w:lineRule="auto"/>
        <w:rPr>
          <w:rFonts w:ascii="Times New Roman" w:hAnsi="Times New Roman" w:cs="Times New Roman"/>
        </w:rPr>
      </w:pPr>
      <w:r w:rsidRPr="00304F2D">
        <w:rPr>
          <w:rFonts w:ascii="Times New Roman" w:hAnsi="Times New Roman" w:cs="Times New Roman"/>
        </w:rPr>
        <w:t xml:space="preserve">The </w:t>
      </w:r>
      <w:r w:rsidR="00294889" w:rsidRPr="00304F2D">
        <w:rPr>
          <w:rFonts w:ascii="Times New Roman" w:hAnsi="Times New Roman" w:cs="Times New Roman"/>
        </w:rPr>
        <w:t>raw d</w:t>
      </w:r>
      <w:r w:rsidR="00FC51F1" w:rsidRPr="00304F2D">
        <w:rPr>
          <w:rFonts w:ascii="Times New Roman" w:hAnsi="Times New Roman" w:cs="Times New Roman"/>
        </w:rPr>
        <w:t>ata</w:t>
      </w:r>
      <w:r w:rsidR="00294889" w:rsidRPr="00304F2D">
        <w:rPr>
          <w:rFonts w:ascii="Times New Roman" w:hAnsi="Times New Roman" w:cs="Times New Roman"/>
        </w:rPr>
        <w:t xml:space="preserve"> on monetary donations was</w:t>
      </w:r>
      <w:r w:rsidR="00FC51F1" w:rsidRPr="00304F2D">
        <w:rPr>
          <w:rFonts w:ascii="Times New Roman" w:hAnsi="Times New Roman" w:cs="Times New Roman"/>
        </w:rPr>
        <w:t xml:space="preserve"> provided by the </w:t>
      </w:r>
      <w:r w:rsidRPr="00304F2D">
        <w:rPr>
          <w:rFonts w:ascii="Times New Roman" w:hAnsi="Times New Roman" w:cs="Times New Roman"/>
        </w:rPr>
        <w:t>Direct Market</w:t>
      </w:r>
      <w:r w:rsidR="00FC51F1" w:rsidRPr="00304F2D">
        <w:rPr>
          <w:rFonts w:ascii="Times New Roman" w:hAnsi="Times New Roman" w:cs="Times New Roman"/>
        </w:rPr>
        <w:t xml:space="preserve">ing Education Foundation (DMEF), providing </w:t>
      </w:r>
      <w:r w:rsidRPr="00304F2D">
        <w:rPr>
          <w:rFonts w:ascii="Times New Roman" w:hAnsi="Times New Roman" w:cs="Times New Roman"/>
        </w:rPr>
        <w:t xml:space="preserve">access for research purposes to a dataset from a </w:t>
      </w:r>
      <w:r w:rsidR="00190355" w:rsidRPr="00304F2D">
        <w:rPr>
          <w:rFonts w:ascii="Times New Roman" w:hAnsi="Times New Roman" w:cs="Times New Roman"/>
        </w:rPr>
        <w:t>U</w:t>
      </w:r>
      <w:r w:rsidR="000152CC" w:rsidRPr="00304F2D">
        <w:rPr>
          <w:rFonts w:ascii="Times New Roman" w:hAnsi="Times New Roman" w:cs="Times New Roman"/>
        </w:rPr>
        <w:t>.</w:t>
      </w:r>
      <w:r w:rsidR="00190355" w:rsidRPr="00304F2D">
        <w:rPr>
          <w:rFonts w:ascii="Times New Roman" w:hAnsi="Times New Roman" w:cs="Times New Roman"/>
        </w:rPr>
        <w:t>S</w:t>
      </w:r>
      <w:r w:rsidR="000152CC" w:rsidRPr="00304F2D">
        <w:rPr>
          <w:rFonts w:ascii="Times New Roman" w:hAnsi="Times New Roman" w:cs="Times New Roman"/>
        </w:rPr>
        <w:t>.</w:t>
      </w:r>
      <w:r w:rsidR="00190355" w:rsidRPr="00304F2D">
        <w:rPr>
          <w:rFonts w:ascii="Times New Roman" w:hAnsi="Times New Roman" w:cs="Times New Roman"/>
        </w:rPr>
        <w:t xml:space="preserve"> </w:t>
      </w:r>
      <w:r w:rsidR="00005BA9" w:rsidRPr="00304F2D">
        <w:rPr>
          <w:rFonts w:ascii="Times New Roman" w:hAnsi="Times New Roman" w:cs="Times New Roman"/>
        </w:rPr>
        <w:t xml:space="preserve">health related </w:t>
      </w:r>
      <w:proofErr w:type="spellStart"/>
      <w:r w:rsidR="00005BA9" w:rsidRPr="00304F2D">
        <w:rPr>
          <w:rFonts w:ascii="Times New Roman" w:hAnsi="Times New Roman" w:cs="Times New Roman"/>
        </w:rPr>
        <w:t>organis</w:t>
      </w:r>
      <w:r w:rsidRPr="00304F2D">
        <w:rPr>
          <w:rFonts w:ascii="Times New Roman" w:hAnsi="Times New Roman" w:cs="Times New Roman"/>
        </w:rPr>
        <w:t>ation</w:t>
      </w:r>
      <w:proofErr w:type="spellEnd"/>
      <w:r w:rsidRPr="00304F2D">
        <w:rPr>
          <w:rFonts w:ascii="Times New Roman" w:hAnsi="Times New Roman" w:cs="Times New Roman"/>
        </w:rPr>
        <w:t xml:space="preserve"> dating from 2007-2010. </w:t>
      </w:r>
      <w:r w:rsidR="00045F78" w:rsidRPr="00304F2D">
        <w:rPr>
          <w:rFonts w:ascii="Times New Roman" w:hAnsi="Times New Roman" w:cs="Times New Roman"/>
        </w:rPr>
        <w:t xml:space="preserve">The </w:t>
      </w:r>
      <w:r w:rsidR="00190355" w:rsidRPr="00304F2D">
        <w:rPr>
          <w:rFonts w:ascii="Times New Roman" w:hAnsi="Times New Roman" w:cs="Times New Roman"/>
        </w:rPr>
        <w:t xml:space="preserve">data </w:t>
      </w:r>
      <w:r w:rsidR="0044770A" w:rsidRPr="00304F2D">
        <w:rPr>
          <w:rFonts w:ascii="Times New Roman" w:hAnsi="Times New Roman" w:cs="Times New Roman"/>
        </w:rPr>
        <w:t xml:space="preserve">set </w:t>
      </w:r>
      <w:r w:rsidR="003E7D35" w:rsidRPr="00304F2D">
        <w:rPr>
          <w:rFonts w:ascii="Times New Roman" w:hAnsi="Times New Roman" w:cs="Times New Roman"/>
        </w:rPr>
        <w:t>comprises records of over</w:t>
      </w:r>
      <w:r w:rsidR="00AB370D" w:rsidRPr="00304F2D">
        <w:rPr>
          <w:rFonts w:ascii="Times New Roman" w:hAnsi="Times New Roman" w:cs="Times New Roman"/>
        </w:rPr>
        <w:t xml:space="preserve"> 1.</w:t>
      </w:r>
      <w:r w:rsidR="00E64242" w:rsidRPr="00304F2D">
        <w:rPr>
          <w:rFonts w:ascii="Times New Roman" w:hAnsi="Times New Roman" w:cs="Times New Roman"/>
        </w:rPr>
        <w:t>2</w:t>
      </w:r>
      <w:r w:rsidR="00045F78" w:rsidRPr="00304F2D">
        <w:rPr>
          <w:rFonts w:ascii="Times New Roman" w:hAnsi="Times New Roman" w:cs="Times New Roman"/>
        </w:rPr>
        <w:t xml:space="preserve"> million donor</w:t>
      </w:r>
      <w:r w:rsidR="003E7D35" w:rsidRPr="00304F2D">
        <w:rPr>
          <w:rFonts w:ascii="Times New Roman" w:hAnsi="Times New Roman" w:cs="Times New Roman"/>
        </w:rPr>
        <w:t>s</w:t>
      </w:r>
      <w:r w:rsidR="00505F35" w:rsidRPr="00304F2D">
        <w:rPr>
          <w:rFonts w:ascii="Times New Roman" w:hAnsi="Times New Roman" w:cs="Times New Roman"/>
        </w:rPr>
        <w:t>,</w:t>
      </w:r>
      <w:r w:rsidR="00045F78" w:rsidRPr="00304F2D">
        <w:rPr>
          <w:rFonts w:ascii="Times New Roman" w:hAnsi="Times New Roman" w:cs="Times New Roman"/>
        </w:rPr>
        <w:t xml:space="preserve"> </w:t>
      </w:r>
      <w:r w:rsidR="003E7D35" w:rsidRPr="00304F2D">
        <w:rPr>
          <w:rFonts w:ascii="Times New Roman" w:hAnsi="Times New Roman" w:cs="Times New Roman"/>
        </w:rPr>
        <w:t>of which just over 850</w:t>
      </w:r>
      <w:r w:rsidR="002A29CD" w:rsidRPr="00304F2D">
        <w:rPr>
          <w:rFonts w:ascii="Times New Roman" w:hAnsi="Times New Roman" w:cs="Times New Roman"/>
        </w:rPr>
        <w:t>,</w:t>
      </w:r>
      <w:r w:rsidR="003E7D35" w:rsidRPr="00304F2D">
        <w:rPr>
          <w:rFonts w:ascii="Times New Roman" w:hAnsi="Times New Roman" w:cs="Times New Roman"/>
        </w:rPr>
        <w:t>000</w:t>
      </w:r>
      <w:r w:rsidR="00045F78" w:rsidRPr="00304F2D">
        <w:rPr>
          <w:rFonts w:ascii="Times New Roman" w:hAnsi="Times New Roman" w:cs="Times New Roman"/>
        </w:rPr>
        <w:t xml:space="preserve"> </w:t>
      </w:r>
      <w:r w:rsidR="0030660D" w:rsidRPr="00304F2D">
        <w:rPr>
          <w:rFonts w:ascii="Times New Roman" w:hAnsi="Times New Roman" w:cs="Times New Roman"/>
        </w:rPr>
        <w:t>had</w:t>
      </w:r>
      <w:r w:rsidR="00045F78" w:rsidRPr="00304F2D">
        <w:rPr>
          <w:rFonts w:ascii="Times New Roman" w:hAnsi="Times New Roman" w:cs="Times New Roman"/>
        </w:rPr>
        <w:t xml:space="preserve"> the opportunity to donate in all three years</w:t>
      </w:r>
      <w:r w:rsidR="00774222" w:rsidRPr="00304F2D">
        <w:rPr>
          <w:rFonts w:ascii="Times New Roman" w:hAnsi="Times New Roman" w:cs="Times New Roman"/>
        </w:rPr>
        <w:t>.</w:t>
      </w:r>
      <w:r w:rsidRPr="00304F2D">
        <w:rPr>
          <w:rFonts w:ascii="Times New Roman" w:hAnsi="Times New Roman" w:cs="Times New Roman"/>
        </w:rPr>
        <w:t xml:space="preserve"> </w:t>
      </w:r>
      <w:r w:rsidR="004711D9" w:rsidRPr="00304F2D">
        <w:rPr>
          <w:rFonts w:ascii="Times New Roman" w:hAnsi="Times New Roman" w:cs="Times New Roman"/>
        </w:rPr>
        <w:t xml:space="preserve"> </w:t>
      </w:r>
      <w:r w:rsidR="0060472E" w:rsidRPr="00304F2D">
        <w:rPr>
          <w:rFonts w:ascii="Times New Roman" w:hAnsi="Times New Roman" w:cs="Times New Roman"/>
        </w:rPr>
        <w:t>The data set contains</w:t>
      </w:r>
      <w:r w:rsidR="006524C8" w:rsidRPr="00304F2D">
        <w:rPr>
          <w:rFonts w:ascii="Times New Roman" w:hAnsi="Times New Roman" w:cs="Times New Roman"/>
        </w:rPr>
        <w:t xml:space="preserve"> </w:t>
      </w:r>
      <w:r w:rsidR="00505F35" w:rsidRPr="00304F2D">
        <w:rPr>
          <w:rFonts w:ascii="Times New Roman" w:hAnsi="Times New Roman" w:cs="Times New Roman"/>
        </w:rPr>
        <w:t xml:space="preserve">a </w:t>
      </w:r>
      <w:r w:rsidR="0060472E" w:rsidRPr="00304F2D">
        <w:rPr>
          <w:rFonts w:ascii="Times New Roman" w:hAnsi="Times New Roman" w:cs="Times New Roman"/>
        </w:rPr>
        <w:t xml:space="preserve">unique donor ID along with gift date, gift amount, appeal description and appeal type. The data set was restructured to show the number of donations made each </w:t>
      </w:r>
      <w:r w:rsidR="00F93E27" w:rsidRPr="00304F2D">
        <w:rPr>
          <w:rFonts w:ascii="Times New Roman" w:hAnsi="Times New Roman" w:cs="Times New Roman"/>
        </w:rPr>
        <w:t xml:space="preserve">financial </w:t>
      </w:r>
      <w:r w:rsidR="0060472E" w:rsidRPr="00304F2D">
        <w:rPr>
          <w:rFonts w:ascii="Times New Roman" w:hAnsi="Times New Roman" w:cs="Times New Roman"/>
        </w:rPr>
        <w:t>year by each donor, along with donation amounts</w:t>
      </w:r>
      <w:r w:rsidR="00FD5F92" w:rsidRPr="00304F2D">
        <w:rPr>
          <w:rStyle w:val="FootnoteReference"/>
          <w:rFonts w:ascii="Times New Roman" w:hAnsi="Times New Roman" w:cs="Times New Roman"/>
        </w:rPr>
        <w:footnoteReference w:id="1"/>
      </w:r>
      <w:r w:rsidR="0060472E" w:rsidRPr="00304F2D">
        <w:rPr>
          <w:rFonts w:ascii="Times New Roman" w:hAnsi="Times New Roman" w:cs="Times New Roman"/>
        </w:rPr>
        <w:t xml:space="preserve">. </w:t>
      </w:r>
      <w:r w:rsidR="006524C8" w:rsidRPr="00304F2D">
        <w:rPr>
          <w:rFonts w:ascii="Times New Roman" w:hAnsi="Times New Roman" w:cs="Times New Roman"/>
        </w:rPr>
        <w:t xml:space="preserve"> </w:t>
      </w:r>
    </w:p>
    <w:p w14:paraId="0FC1017C" w14:textId="5E05C851" w:rsidR="00816057" w:rsidRPr="00304F2D" w:rsidRDefault="009A282A" w:rsidP="003F2C72">
      <w:pPr>
        <w:spacing w:line="480" w:lineRule="auto"/>
        <w:ind w:firstLine="720"/>
        <w:rPr>
          <w:rFonts w:ascii="Times New Roman" w:hAnsi="Times New Roman" w:cs="Times New Roman"/>
        </w:rPr>
      </w:pPr>
      <w:r w:rsidRPr="00304F2D">
        <w:rPr>
          <w:rFonts w:ascii="Times New Roman" w:hAnsi="Times New Roman" w:cs="Times New Roman"/>
        </w:rPr>
        <w:t>The</w:t>
      </w:r>
      <w:r w:rsidR="00086FA8" w:rsidRPr="00304F2D">
        <w:rPr>
          <w:rFonts w:ascii="Times New Roman" w:hAnsi="Times New Roman" w:cs="Times New Roman"/>
        </w:rPr>
        <w:t xml:space="preserve"> Australian </w:t>
      </w:r>
      <w:r w:rsidRPr="00304F2D">
        <w:rPr>
          <w:rFonts w:ascii="Times New Roman" w:hAnsi="Times New Roman" w:cs="Times New Roman"/>
        </w:rPr>
        <w:t>Red Cross Blood Service provided</w:t>
      </w:r>
      <w:r w:rsidR="00086FA8" w:rsidRPr="00304F2D">
        <w:rPr>
          <w:rFonts w:ascii="Times New Roman" w:hAnsi="Times New Roman" w:cs="Times New Roman"/>
        </w:rPr>
        <w:t xml:space="preserve"> a d</w:t>
      </w:r>
      <w:r w:rsidR="00190355" w:rsidRPr="00304F2D">
        <w:rPr>
          <w:rFonts w:ascii="Times New Roman" w:hAnsi="Times New Roman" w:cs="Times New Roman"/>
        </w:rPr>
        <w:t>atabase of all blood donations in the country, with</w:t>
      </w:r>
      <w:r w:rsidR="00086FA8" w:rsidRPr="00304F2D">
        <w:rPr>
          <w:rFonts w:ascii="Times New Roman" w:hAnsi="Times New Roman" w:cs="Times New Roman"/>
        </w:rPr>
        <w:t xml:space="preserve"> over 1.1 million individual blood donors in Australia for a five-</w:t>
      </w:r>
      <w:r w:rsidR="008652CE" w:rsidRPr="00304F2D">
        <w:rPr>
          <w:rFonts w:ascii="Times New Roman" w:hAnsi="Times New Roman" w:cs="Times New Roman"/>
        </w:rPr>
        <w:t>calendar-</w:t>
      </w:r>
      <w:r w:rsidR="00086FA8" w:rsidRPr="00304F2D">
        <w:rPr>
          <w:rFonts w:ascii="Times New Roman" w:hAnsi="Times New Roman" w:cs="Times New Roman"/>
        </w:rPr>
        <w:t>year time</w:t>
      </w:r>
      <w:r w:rsidR="00A10A10" w:rsidRPr="00304F2D">
        <w:rPr>
          <w:rFonts w:ascii="Times New Roman" w:hAnsi="Times New Roman" w:cs="Times New Roman"/>
        </w:rPr>
        <w:t xml:space="preserve"> </w:t>
      </w:r>
      <w:r w:rsidR="00086FA8" w:rsidRPr="00304F2D">
        <w:rPr>
          <w:rFonts w:ascii="Times New Roman" w:hAnsi="Times New Roman" w:cs="Times New Roman"/>
        </w:rPr>
        <w:t>frame (2007</w:t>
      </w:r>
      <w:r w:rsidR="00D31A58">
        <w:rPr>
          <w:rFonts w:ascii="Times New Roman" w:hAnsi="Times New Roman" w:cs="Times New Roman"/>
        </w:rPr>
        <w:t>-</w:t>
      </w:r>
      <w:r w:rsidR="00086FA8" w:rsidRPr="00304F2D">
        <w:rPr>
          <w:rFonts w:ascii="Times New Roman" w:hAnsi="Times New Roman" w:cs="Times New Roman"/>
        </w:rPr>
        <w:t>2011)</w:t>
      </w:r>
      <w:r w:rsidR="00190355" w:rsidRPr="00304F2D">
        <w:rPr>
          <w:rFonts w:ascii="Times New Roman" w:hAnsi="Times New Roman" w:cs="Times New Roman"/>
        </w:rPr>
        <w:t xml:space="preserve">. </w:t>
      </w:r>
      <w:r w:rsidR="002A072F" w:rsidRPr="00304F2D">
        <w:rPr>
          <w:rFonts w:ascii="Times New Roman" w:hAnsi="Times New Roman" w:cs="Times New Roman"/>
        </w:rPr>
        <w:t xml:space="preserve">The scope covers whole blood and </w:t>
      </w:r>
      <w:r w:rsidR="00086FA8" w:rsidRPr="00304F2D">
        <w:rPr>
          <w:rFonts w:ascii="Times New Roman" w:hAnsi="Times New Roman" w:cs="Times New Roman"/>
        </w:rPr>
        <w:t>plasma donation</w:t>
      </w:r>
      <w:r w:rsidR="002A072F" w:rsidRPr="00304F2D">
        <w:rPr>
          <w:rFonts w:ascii="Times New Roman" w:hAnsi="Times New Roman" w:cs="Times New Roman"/>
        </w:rPr>
        <w:t>s</w:t>
      </w:r>
      <w:r w:rsidR="00086FA8" w:rsidRPr="00304F2D">
        <w:rPr>
          <w:rFonts w:ascii="Times New Roman" w:hAnsi="Times New Roman" w:cs="Times New Roman"/>
        </w:rPr>
        <w:t xml:space="preserve">, with all individuals donating at least once in five years and some choosing to donate multiple </w:t>
      </w:r>
      <w:r w:rsidR="00505F35" w:rsidRPr="00304F2D">
        <w:rPr>
          <w:rFonts w:ascii="Times New Roman" w:hAnsi="Times New Roman" w:cs="Times New Roman"/>
        </w:rPr>
        <w:t>‘</w:t>
      </w:r>
      <w:r w:rsidR="00086FA8" w:rsidRPr="00304F2D">
        <w:rPr>
          <w:rFonts w:ascii="Times New Roman" w:hAnsi="Times New Roman" w:cs="Times New Roman"/>
        </w:rPr>
        <w:t>products</w:t>
      </w:r>
      <w:r w:rsidR="00505F35" w:rsidRPr="00304F2D">
        <w:rPr>
          <w:rFonts w:ascii="Times New Roman" w:hAnsi="Times New Roman" w:cs="Times New Roman"/>
        </w:rPr>
        <w:t>’</w:t>
      </w:r>
      <w:r w:rsidR="00086FA8" w:rsidRPr="00304F2D">
        <w:rPr>
          <w:rFonts w:ascii="Times New Roman" w:hAnsi="Times New Roman" w:cs="Times New Roman"/>
        </w:rPr>
        <w:t xml:space="preserve"> in the same year</w:t>
      </w:r>
      <w:r w:rsidR="00505F35" w:rsidRPr="00304F2D">
        <w:rPr>
          <w:rFonts w:ascii="Times New Roman" w:hAnsi="Times New Roman" w:cs="Times New Roman"/>
        </w:rPr>
        <w:t>,</w:t>
      </w:r>
      <w:r w:rsidR="00086FA8" w:rsidRPr="00304F2D">
        <w:rPr>
          <w:rFonts w:ascii="Times New Roman" w:hAnsi="Times New Roman" w:cs="Times New Roman"/>
        </w:rPr>
        <w:t xml:space="preserve"> </w:t>
      </w:r>
      <w:r w:rsidR="00505F35" w:rsidRPr="00304F2D">
        <w:rPr>
          <w:rFonts w:ascii="Times New Roman" w:hAnsi="Times New Roman" w:cs="Times New Roman"/>
        </w:rPr>
        <w:t>which yields</w:t>
      </w:r>
      <w:r w:rsidR="00086FA8" w:rsidRPr="00304F2D">
        <w:rPr>
          <w:rFonts w:ascii="Times New Roman" w:hAnsi="Times New Roman" w:cs="Times New Roman"/>
        </w:rPr>
        <w:t xml:space="preserve"> totals greater than 100%.  </w:t>
      </w:r>
    </w:p>
    <w:p w14:paraId="2D00898B" w14:textId="5E21EE0A" w:rsidR="00816057" w:rsidRPr="00304F2D" w:rsidRDefault="000C5E0D" w:rsidP="00FD5F92">
      <w:pPr>
        <w:spacing w:line="480" w:lineRule="auto"/>
        <w:ind w:firstLine="720"/>
        <w:rPr>
          <w:rFonts w:ascii="Times New Roman" w:hAnsi="Times New Roman" w:cs="Times New Roman"/>
        </w:rPr>
      </w:pPr>
      <w:r w:rsidRPr="00304F2D">
        <w:rPr>
          <w:rFonts w:ascii="Times New Roman" w:hAnsi="Times New Roman" w:cs="Times New Roman"/>
        </w:rPr>
        <w:t>Comparison with ABS records for 20</w:t>
      </w:r>
      <w:r w:rsidR="002F5515" w:rsidRPr="00304F2D">
        <w:rPr>
          <w:rFonts w:ascii="Times New Roman" w:hAnsi="Times New Roman" w:cs="Times New Roman"/>
        </w:rPr>
        <w:t>11 shows</w:t>
      </w:r>
      <w:r w:rsidRPr="00304F2D">
        <w:rPr>
          <w:rFonts w:ascii="Times New Roman" w:hAnsi="Times New Roman" w:cs="Times New Roman"/>
        </w:rPr>
        <w:t xml:space="preserve"> </w:t>
      </w:r>
      <w:r w:rsidR="00816057" w:rsidRPr="00304F2D">
        <w:rPr>
          <w:rFonts w:ascii="Times New Roman" w:hAnsi="Times New Roman" w:cs="Times New Roman"/>
        </w:rPr>
        <w:t xml:space="preserve">7% of the </w:t>
      </w:r>
      <w:r w:rsidR="00FD5F92" w:rsidRPr="00304F2D">
        <w:rPr>
          <w:rFonts w:ascii="Times New Roman" w:hAnsi="Times New Roman" w:cs="Times New Roman"/>
        </w:rPr>
        <w:t>eligible</w:t>
      </w:r>
      <w:r w:rsidR="00816057" w:rsidRPr="00304F2D">
        <w:rPr>
          <w:rFonts w:ascii="Times New Roman" w:hAnsi="Times New Roman" w:cs="Times New Roman"/>
        </w:rPr>
        <w:t xml:space="preserve"> 15.9 million Australians </w:t>
      </w:r>
      <w:r w:rsidR="00FD5F92" w:rsidRPr="00304F2D">
        <w:rPr>
          <w:rFonts w:ascii="Times New Roman" w:hAnsi="Times New Roman" w:cs="Times New Roman"/>
        </w:rPr>
        <w:t>(</w:t>
      </w:r>
      <w:r w:rsidRPr="00304F2D">
        <w:rPr>
          <w:rFonts w:ascii="Times New Roman" w:hAnsi="Times New Roman" w:cs="Times New Roman"/>
        </w:rPr>
        <w:t xml:space="preserve">those </w:t>
      </w:r>
      <w:r w:rsidR="009314D2">
        <w:rPr>
          <w:rFonts w:ascii="Times New Roman" w:hAnsi="Times New Roman" w:cs="Times New Roman"/>
        </w:rPr>
        <w:t>aged betwe</w:t>
      </w:r>
      <w:r w:rsidR="00FD5F92" w:rsidRPr="00304F2D">
        <w:rPr>
          <w:rFonts w:ascii="Times New Roman" w:hAnsi="Times New Roman" w:cs="Times New Roman"/>
        </w:rPr>
        <w:t>en</w:t>
      </w:r>
      <w:r w:rsidR="00D31A58">
        <w:rPr>
          <w:rFonts w:ascii="Times New Roman" w:hAnsi="Times New Roman" w:cs="Times New Roman"/>
        </w:rPr>
        <w:t xml:space="preserve"> </w:t>
      </w:r>
      <w:r w:rsidR="00816057" w:rsidRPr="00304F2D">
        <w:rPr>
          <w:rFonts w:ascii="Times New Roman" w:hAnsi="Times New Roman" w:cs="Times New Roman"/>
        </w:rPr>
        <w:t>16-70 year</w:t>
      </w:r>
      <w:r w:rsidRPr="00304F2D">
        <w:rPr>
          <w:rFonts w:ascii="Times New Roman" w:hAnsi="Times New Roman" w:cs="Times New Roman"/>
        </w:rPr>
        <w:t xml:space="preserve">s) donated blood within the 5-year timeframe studied </w:t>
      </w:r>
      <w:r w:rsidR="002A6F68"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&lt;EndNote&gt;&lt;Cite&gt;&lt;Author&gt;Australian Bureau of Statistics&lt;/Author&gt;&lt;Year&gt;2011&lt;/Year&gt;&lt;RecNum&gt;23944&lt;/RecNum&gt;&lt;DisplayText&gt;(Australian Bureau of Statistics, 2011)&lt;/DisplayText&gt;&lt;record&gt;&lt;rec-number&gt;23944&lt;/rec-number&gt;&lt;foreign-keys&gt;&lt;key app="EN" db-id="eswazv0p5wsezae2sd8pf59gf50trdav5fsw" timestamp="0"&gt;23944&lt;/key&gt;&lt;/foreign-keys&gt;&lt;ref-type name="Report"&gt;27&lt;/ref-type&gt;&lt;contributors&gt;&lt;authors&gt;&lt;author&gt;Australian Bureau of Statistics,&lt;/author&gt;&lt;/authors&gt;&lt;/contributors&gt;&lt;titles&gt;&lt;title&gt;Table 59: Estimated resident population by single year of age&lt;/title&gt;&lt;/titles&gt;&lt;dates&gt;&lt;year&gt;2011&lt;/year&gt;&lt;pub-dates&gt;&lt;date&gt;2011&lt;/date&gt;&lt;/pub-dates&gt;&lt;/dates&gt;&lt;pub-location&gt;Canberra, Australia&lt;/pub-location&gt;&lt;urls&gt;&lt;/urls&gt;&lt;/record&gt;&lt;/Cite&gt;&lt;/EndNote&gt;</w:instrText>
      </w:r>
      <w:r w:rsidR="002A6F68" w:rsidRPr="00304F2D">
        <w:rPr>
          <w:rFonts w:ascii="Times New Roman" w:hAnsi="Times New Roman" w:cs="Times New Roman"/>
        </w:rPr>
        <w:fldChar w:fldCharType="separate"/>
      </w:r>
      <w:r w:rsidR="004D7056" w:rsidRPr="00304F2D">
        <w:rPr>
          <w:rFonts w:ascii="Times New Roman" w:hAnsi="Times New Roman" w:cs="Times New Roman"/>
          <w:noProof/>
        </w:rPr>
        <w:t>(</w:t>
      </w:r>
      <w:hyperlink w:anchor="_ENREF_5" w:tooltip="Australian Bureau of Statistics, 2011 #23944" w:history="1">
        <w:r w:rsidR="00DA6B8D" w:rsidRPr="00304F2D">
          <w:rPr>
            <w:rFonts w:ascii="Times New Roman" w:hAnsi="Times New Roman" w:cs="Times New Roman"/>
            <w:noProof/>
          </w:rPr>
          <w:t>Australian Bureau of Statistics, 2011</w:t>
        </w:r>
      </w:hyperlink>
      <w:r w:rsidR="004D7056" w:rsidRPr="00304F2D">
        <w:rPr>
          <w:rFonts w:ascii="Times New Roman" w:hAnsi="Times New Roman" w:cs="Times New Roman"/>
          <w:noProof/>
        </w:rPr>
        <w:t>)</w:t>
      </w:r>
      <w:r w:rsidR="002A6F68" w:rsidRPr="00304F2D">
        <w:rPr>
          <w:rFonts w:ascii="Times New Roman" w:hAnsi="Times New Roman" w:cs="Times New Roman"/>
        </w:rPr>
        <w:fldChar w:fldCharType="end"/>
      </w:r>
      <w:r w:rsidR="00816057" w:rsidRPr="00304F2D">
        <w:rPr>
          <w:rFonts w:ascii="Times New Roman" w:hAnsi="Times New Roman" w:cs="Times New Roman"/>
        </w:rPr>
        <w:t>.</w:t>
      </w:r>
      <w:r w:rsidR="003D1C98" w:rsidRPr="00304F2D">
        <w:rPr>
          <w:rFonts w:ascii="Times New Roman" w:hAnsi="Times New Roman" w:cs="Times New Roman"/>
        </w:rPr>
        <w:t xml:space="preserve"> </w:t>
      </w:r>
      <w:r w:rsidR="00A45EB7" w:rsidRPr="00304F2D">
        <w:rPr>
          <w:rFonts w:ascii="Times New Roman" w:hAnsi="Times New Roman" w:cs="Times New Roman"/>
        </w:rPr>
        <w:t>The profile of blood donors is in line with the general Australian population</w:t>
      </w:r>
      <w:r w:rsidR="00505F35" w:rsidRPr="00304F2D">
        <w:rPr>
          <w:rFonts w:ascii="Times New Roman" w:hAnsi="Times New Roman" w:cs="Times New Roman"/>
        </w:rPr>
        <w:t>:</w:t>
      </w:r>
      <w:r w:rsidR="00A45EB7" w:rsidRPr="00304F2D">
        <w:rPr>
          <w:rFonts w:ascii="Times New Roman" w:hAnsi="Times New Roman" w:cs="Times New Roman"/>
        </w:rPr>
        <w:t xml:space="preserve"> </w:t>
      </w:r>
      <w:r w:rsidR="007630D8" w:rsidRPr="00304F2D">
        <w:rPr>
          <w:rFonts w:ascii="Times New Roman" w:hAnsi="Times New Roman" w:cs="Times New Roman"/>
        </w:rPr>
        <w:t xml:space="preserve">52% female, 48% male, 21% </w:t>
      </w:r>
      <w:r w:rsidR="00AA7041" w:rsidRPr="00304F2D">
        <w:rPr>
          <w:rFonts w:ascii="Times New Roman" w:hAnsi="Times New Roman" w:cs="Times New Roman"/>
        </w:rPr>
        <w:t xml:space="preserve">for </w:t>
      </w:r>
      <w:r w:rsidR="007630D8" w:rsidRPr="00304F2D">
        <w:rPr>
          <w:rFonts w:ascii="Times New Roman" w:hAnsi="Times New Roman" w:cs="Times New Roman"/>
        </w:rPr>
        <w:t xml:space="preserve">25 </w:t>
      </w:r>
      <w:r w:rsidR="00455F1F">
        <w:rPr>
          <w:rFonts w:ascii="Times New Roman" w:hAnsi="Times New Roman" w:cs="Times New Roman"/>
        </w:rPr>
        <w:t xml:space="preserve">years </w:t>
      </w:r>
      <w:r w:rsidR="007630D8" w:rsidRPr="00304F2D">
        <w:rPr>
          <w:rFonts w:ascii="Times New Roman" w:hAnsi="Times New Roman" w:cs="Times New Roman"/>
        </w:rPr>
        <w:t xml:space="preserve">or under, 20% </w:t>
      </w:r>
      <w:r w:rsidR="00AA7041" w:rsidRPr="00304F2D">
        <w:rPr>
          <w:rFonts w:ascii="Times New Roman" w:hAnsi="Times New Roman" w:cs="Times New Roman"/>
        </w:rPr>
        <w:t xml:space="preserve">for </w:t>
      </w:r>
      <w:r w:rsidR="007630D8" w:rsidRPr="00304F2D">
        <w:rPr>
          <w:rFonts w:ascii="Times New Roman" w:hAnsi="Times New Roman" w:cs="Times New Roman"/>
        </w:rPr>
        <w:t xml:space="preserve">26-35, 17% </w:t>
      </w:r>
      <w:r w:rsidR="00AA7041" w:rsidRPr="00304F2D">
        <w:rPr>
          <w:rFonts w:ascii="Times New Roman" w:hAnsi="Times New Roman" w:cs="Times New Roman"/>
        </w:rPr>
        <w:t xml:space="preserve">for </w:t>
      </w:r>
      <w:r w:rsidR="007630D8" w:rsidRPr="00304F2D">
        <w:rPr>
          <w:rFonts w:ascii="Times New Roman" w:hAnsi="Times New Roman" w:cs="Times New Roman"/>
        </w:rPr>
        <w:t xml:space="preserve">36-45, 20% </w:t>
      </w:r>
      <w:r w:rsidR="00AA7041" w:rsidRPr="00304F2D">
        <w:rPr>
          <w:rFonts w:ascii="Times New Roman" w:hAnsi="Times New Roman" w:cs="Times New Roman"/>
        </w:rPr>
        <w:t xml:space="preserve">for </w:t>
      </w:r>
      <w:r w:rsidR="007630D8" w:rsidRPr="00304F2D">
        <w:rPr>
          <w:rFonts w:ascii="Times New Roman" w:hAnsi="Times New Roman" w:cs="Times New Roman"/>
        </w:rPr>
        <w:t xml:space="preserve">46-55, 21% </w:t>
      </w:r>
      <w:r w:rsidR="00AA7041" w:rsidRPr="00304F2D">
        <w:rPr>
          <w:rFonts w:ascii="Times New Roman" w:hAnsi="Times New Roman" w:cs="Times New Roman"/>
        </w:rPr>
        <w:t xml:space="preserve">for </w:t>
      </w:r>
      <w:r w:rsidR="007630D8" w:rsidRPr="00304F2D">
        <w:rPr>
          <w:rFonts w:ascii="Times New Roman" w:hAnsi="Times New Roman" w:cs="Times New Roman"/>
        </w:rPr>
        <w:t>56-70</w:t>
      </w:r>
      <w:r w:rsidR="00455F1F">
        <w:rPr>
          <w:rFonts w:ascii="Times New Roman" w:hAnsi="Times New Roman" w:cs="Times New Roman"/>
        </w:rPr>
        <w:t xml:space="preserve"> years</w:t>
      </w:r>
      <w:r w:rsidR="007630D8" w:rsidRPr="00304F2D">
        <w:rPr>
          <w:rFonts w:ascii="Times New Roman" w:hAnsi="Times New Roman" w:cs="Times New Roman"/>
        </w:rPr>
        <w:t>.</w:t>
      </w:r>
      <w:r w:rsidR="00816057" w:rsidRPr="00304F2D">
        <w:rPr>
          <w:rFonts w:ascii="Times New Roman" w:hAnsi="Times New Roman" w:cs="Times New Roman"/>
        </w:rPr>
        <w:t xml:space="preserve"> </w:t>
      </w:r>
    </w:p>
    <w:p w14:paraId="37DC3B8C" w14:textId="55C42A03" w:rsidR="00CF6DF1" w:rsidRPr="00304F2D" w:rsidRDefault="0060472E" w:rsidP="00636B24">
      <w:pPr>
        <w:spacing w:line="480" w:lineRule="auto"/>
        <w:ind w:firstLine="720"/>
        <w:rPr>
          <w:rFonts w:ascii="Times New Roman" w:hAnsi="Times New Roman" w:cs="Times New Roman"/>
        </w:rPr>
      </w:pPr>
      <w:r w:rsidRPr="00304F2D">
        <w:rPr>
          <w:rFonts w:ascii="Times New Roman" w:hAnsi="Times New Roman" w:cs="Times New Roman"/>
        </w:rPr>
        <w:t xml:space="preserve">The blood donor data set was restructured to indicate the number of times individual donors provided whole blood or plasma donations in each calendar year. Descriptive statistics for both data sets report the </w:t>
      </w:r>
      <w:r w:rsidR="009A7053" w:rsidRPr="00304F2D">
        <w:rPr>
          <w:rFonts w:ascii="Times New Roman" w:hAnsi="Times New Roman" w:cs="Times New Roman"/>
        </w:rPr>
        <w:t>proportion of ind</w:t>
      </w:r>
      <w:r w:rsidR="002F5515" w:rsidRPr="00304F2D">
        <w:rPr>
          <w:rFonts w:ascii="Times New Roman" w:hAnsi="Times New Roman" w:cs="Times New Roman"/>
        </w:rPr>
        <w:t>ividuals in the donor base engaging</w:t>
      </w:r>
      <w:r w:rsidR="003D1C98" w:rsidRPr="00304F2D">
        <w:rPr>
          <w:rFonts w:ascii="Times New Roman" w:hAnsi="Times New Roman" w:cs="Times New Roman"/>
        </w:rPr>
        <w:t xml:space="preserve"> in the </w:t>
      </w:r>
      <w:proofErr w:type="spellStart"/>
      <w:r w:rsidR="003D1C98" w:rsidRPr="00304F2D">
        <w:rPr>
          <w:rFonts w:ascii="Times New Roman" w:hAnsi="Times New Roman" w:cs="Times New Roman"/>
        </w:rPr>
        <w:t>behaviour</w:t>
      </w:r>
      <w:proofErr w:type="spellEnd"/>
      <w:r w:rsidR="003D1C98" w:rsidRPr="00304F2D">
        <w:rPr>
          <w:rFonts w:ascii="Times New Roman" w:hAnsi="Times New Roman" w:cs="Times New Roman"/>
        </w:rPr>
        <w:t xml:space="preserve"> of interest. </w:t>
      </w:r>
      <w:r w:rsidR="00633A5A" w:rsidRPr="00304F2D">
        <w:rPr>
          <w:rFonts w:ascii="Times New Roman" w:hAnsi="Times New Roman" w:cs="Times New Roman"/>
        </w:rPr>
        <w:t xml:space="preserve">The frequency of donations for </w:t>
      </w:r>
      <w:r w:rsidR="002F5515" w:rsidRPr="00304F2D">
        <w:rPr>
          <w:rFonts w:ascii="Times New Roman" w:hAnsi="Times New Roman" w:cs="Times New Roman"/>
        </w:rPr>
        <w:t xml:space="preserve">the </w:t>
      </w:r>
      <w:r w:rsidR="00633A5A" w:rsidRPr="00304F2D">
        <w:rPr>
          <w:rFonts w:ascii="Times New Roman" w:hAnsi="Times New Roman" w:cs="Times New Roman"/>
        </w:rPr>
        <w:t xml:space="preserve">12-month period following becoming a new donor was </w:t>
      </w:r>
      <w:r w:rsidR="002F5515" w:rsidRPr="00304F2D">
        <w:rPr>
          <w:rFonts w:ascii="Times New Roman" w:hAnsi="Times New Roman" w:cs="Times New Roman"/>
        </w:rPr>
        <w:t xml:space="preserve">also </w:t>
      </w:r>
      <w:r w:rsidR="00633A5A" w:rsidRPr="00304F2D">
        <w:rPr>
          <w:rFonts w:ascii="Times New Roman" w:hAnsi="Times New Roman" w:cs="Times New Roman"/>
        </w:rPr>
        <w:t xml:space="preserve">extracted. </w:t>
      </w:r>
    </w:p>
    <w:p w14:paraId="7606EC61" w14:textId="03C43334" w:rsidR="00CB7321" w:rsidRPr="00304F2D" w:rsidRDefault="009A7053" w:rsidP="00026251">
      <w:pPr>
        <w:keepNext/>
        <w:keepLines/>
        <w:spacing w:line="480" w:lineRule="auto"/>
        <w:ind w:firstLine="720"/>
        <w:rPr>
          <w:rFonts w:ascii="Times New Roman" w:hAnsi="Times New Roman" w:cs="Times New Roman"/>
        </w:rPr>
      </w:pPr>
      <w:r w:rsidRPr="00304F2D">
        <w:rPr>
          <w:rFonts w:ascii="Times New Roman" w:hAnsi="Times New Roman" w:cs="Times New Roman"/>
        </w:rPr>
        <w:lastRenderedPageBreak/>
        <w:t>‘</w:t>
      </w:r>
      <w:r w:rsidR="00945831" w:rsidRPr="00304F2D">
        <w:rPr>
          <w:rFonts w:ascii="Times New Roman" w:hAnsi="Times New Roman" w:cs="Times New Roman"/>
        </w:rPr>
        <w:t>Frequent</w:t>
      </w:r>
      <w:r w:rsidRPr="00304F2D">
        <w:rPr>
          <w:rFonts w:ascii="Times New Roman" w:hAnsi="Times New Roman" w:cs="Times New Roman"/>
        </w:rPr>
        <w:t xml:space="preserve">’ donors are classified as </w:t>
      </w:r>
      <w:r w:rsidR="002F5515" w:rsidRPr="00304F2D">
        <w:rPr>
          <w:rFonts w:ascii="Times New Roman" w:hAnsi="Times New Roman" w:cs="Times New Roman"/>
        </w:rPr>
        <w:t>individuals donating</w:t>
      </w:r>
      <w:r w:rsidRPr="00304F2D">
        <w:rPr>
          <w:rFonts w:ascii="Times New Roman" w:hAnsi="Times New Roman" w:cs="Times New Roman"/>
        </w:rPr>
        <w:t xml:space="preserve"> </w:t>
      </w:r>
      <w:r w:rsidR="00CF6DF1" w:rsidRPr="00304F2D">
        <w:rPr>
          <w:rFonts w:ascii="Times New Roman" w:hAnsi="Times New Roman" w:cs="Times New Roman"/>
        </w:rPr>
        <w:t>three</w:t>
      </w:r>
      <w:r w:rsidRPr="00304F2D">
        <w:rPr>
          <w:rFonts w:ascii="Times New Roman" w:hAnsi="Times New Roman" w:cs="Times New Roman"/>
        </w:rPr>
        <w:t xml:space="preserve"> times a year</w:t>
      </w:r>
      <w:r w:rsidR="00CF6DF1" w:rsidRPr="00304F2D">
        <w:rPr>
          <w:rFonts w:ascii="Times New Roman" w:hAnsi="Times New Roman" w:cs="Times New Roman"/>
        </w:rPr>
        <w:t xml:space="preserve"> or more for whole blood and monetary donors and eight time</w:t>
      </w:r>
      <w:r w:rsidR="00455F1F">
        <w:rPr>
          <w:rFonts w:ascii="Times New Roman" w:hAnsi="Times New Roman" w:cs="Times New Roman"/>
        </w:rPr>
        <w:t>s</w:t>
      </w:r>
      <w:r w:rsidR="00CF6DF1" w:rsidRPr="00304F2D">
        <w:rPr>
          <w:rFonts w:ascii="Times New Roman" w:hAnsi="Times New Roman" w:cs="Times New Roman"/>
        </w:rPr>
        <w:t xml:space="preserve"> a year or more for plasma donors</w:t>
      </w:r>
      <w:r w:rsidRPr="00304F2D">
        <w:rPr>
          <w:rFonts w:ascii="Times New Roman" w:hAnsi="Times New Roman" w:cs="Times New Roman"/>
        </w:rPr>
        <w:t xml:space="preserve">.  The </w:t>
      </w:r>
      <w:r w:rsidR="0060472E" w:rsidRPr="00304F2D">
        <w:rPr>
          <w:rFonts w:ascii="Times New Roman" w:hAnsi="Times New Roman" w:cs="Times New Roman"/>
        </w:rPr>
        <w:t xml:space="preserve">date of donation </w:t>
      </w:r>
      <w:r w:rsidRPr="00304F2D">
        <w:rPr>
          <w:rFonts w:ascii="Times New Roman" w:hAnsi="Times New Roman" w:cs="Times New Roman"/>
        </w:rPr>
        <w:t xml:space="preserve">field along with donor </w:t>
      </w:r>
      <w:r w:rsidR="00EA2F2E" w:rsidRPr="00304F2D">
        <w:rPr>
          <w:rFonts w:ascii="Times New Roman" w:hAnsi="Times New Roman" w:cs="Times New Roman"/>
        </w:rPr>
        <w:t xml:space="preserve">ID </w:t>
      </w:r>
      <w:r w:rsidRPr="00304F2D">
        <w:rPr>
          <w:rFonts w:ascii="Times New Roman" w:hAnsi="Times New Roman" w:cs="Times New Roman"/>
        </w:rPr>
        <w:t>identified</w:t>
      </w:r>
      <w:r w:rsidR="0060472E" w:rsidRPr="00304F2D">
        <w:rPr>
          <w:rFonts w:ascii="Times New Roman" w:hAnsi="Times New Roman" w:cs="Times New Roman"/>
        </w:rPr>
        <w:t xml:space="preserve"> new donors</w:t>
      </w:r>
      <w:r w:rsidRPr="00304F2D">
        <w:rPr>
          <w:rFonts w:ascii="Times New Roman" w:hAnsi="Times New Roman" w:cs="Times New Roman"/>
        </w:rPr>
        <w:t xml:space="preserve"> for each year</w:t>
      </w:r>
      <w:r w:rsidR="0060472E" w:rsidRPr="00304F2D">
        <w:rPr>
          <w:rFonts w:ascii="Times New Roman" w:hAnsi="Times New Roman" w:cs="Times New Roman"/>
        </w:rPr>
        <w:t xml:space="preserve">. </w:t>
      </w:r>
    </w:p>
    <w:p w14:paraId="61FF9A9E" w14:textId="77777777" w:rsidR="009A7053" w:rsidRPr="00304F2D" w:rsidRDefault="009A7053" w:rsidP="00190355">
      <w:pPr>
        <w:spacing w:line="480" w:lineRule="auto"/>
        <w:ind w:firstLine="720"/>
        <w:rPr>
          <w:rFonts w:ascii="Times New Roman" w:hAnsi="Times New Roman" w:cs="Times New Roman"/>
        </w:rPr>
      </w:pPr>
    </w:p>
    <w:p w14:paraId="07AB614D" w14:textId="67263FB6" w:rsidR="00CB7321" w:rsidRPr="00304F2D" w:rsidRDefault="003D1C98" w:rsidP="00633A5A">
      <w:pPr>
        <w:keepNext/>
        <w:keepLines/>
        <w:spacing w:line="480" w:lineRule="auto"/>
        <w:rPr>
          <w:rFonts w:ascii="Times New Roman" w:hAnsi="Times New Roman" w:cs="Times New Roman"/>
          <w:b/>
          <w:bCs/>
        </w:rPr>
      </w:pPr>
      <w:r w:rsidRPr="00304F2D">
        <w:rPr>
          <w:rFonts w:ascii="Times New Roman" w:hAnsi="Times New Roman" w:cs="Times New Roman"/>
          <w:b/>
          <w:bCs/>
        </w:rPr>
        <w:t>5</w:t>
      </w:r>
      <w:r w:rsidR="00CB7321" w:rsidRPr="00304F2D">
        <w:rPr>
          <w:rFonts w:ascii="Times New Roman" w:hAnsi="Times New Roman" w:cs="Times New Roman"/>
          <w:b/>
          <w:bCs/>
        </w:rPr>
        <w:t>. Results</w:t>
      </w:r>
    </w:p>
    <w:p w14:paraId="6EDB8927" w14:textId="23F7D3D4" w:rsidR="0003601B" w:rsidRPr="00304F2D" w:rsidRDefault="003E7D35" w:rsidP="00633A5A">
      <w:pPr>
        <w:keepNext/>
        <w:keepLines/>
        <w:spacing w:line="480" w:lineRule="auto"/>
        <w:ind w:firstLine="720"/>
        <w:rPr>
          <w:rFonts w:ascii="Times New Roman" w:hAnsi="Times New Roman" w:cs="Times New Roman"/>
        </w:rPr>
      </w:pPr>
      <w:r w:rsidRPr="00304F2D">
        <w:rPr>
          <w:rFonts w:ascii="Times New Roman" w:hAnsi="Times New Roman" w:cs="Times New Roman"/>
        </w:rPr>
        <w:t>To examine</w:t>
      </w:r>
      <w:r w:rsidR="00E65B53" w:rsidRPr="00304F2D">
        <w:rPr>
          <w:rFonts w:ascii="Times New Roman" w:hAnsi="Times New Roman" w:cs="Times New Roman"/>
        </w:rPr>
        <w:t xml:space="preserve"> the </w:t>
      </w:r>
      <w:proofErr w:type="spellStart"/>
      <w:r w:rsidR="00E65B53" w:rsidRPr="00304F2D">
        <w:rPr>
          <w:rFonts w:ascii="Times New Roman" w:hAnsi="Times New Roman" w:cs="Times New Roman"/>
        </w:rPr>
        <w:t>behavio</w:t>
      </w:r>
      <w:r w:rsidR="00005BA9" w:rsidRPr="00304F2D">
        <w:rPr>
          <w:rFonts w:ascii="Times New Roman" w:hAnsi="Times New Roman" w:cs="Times New Roman"/>
        </w:rPr>
        <w:t>u</w:t>
      </w:r>
      <w:r w:rsidR="00E65B53" w:rsidRPr="00304F2D">
        <w:rPr>
          <w:rFonts w:ascii="Times New Roman" w:hAnsi="Times New Roman" w:cs="Times New Roman"/>
        </w:rPr>
        <w:t>r</w:t>
      </w:r>
      <w:proofErr w:type="spellEnd"/>
      <w:r w:rsidR="00E65B53" w:rsidRPr="00304F2D">
        <w:rPr>
          <w:rFonts w:ascii="Times New Roman" w:hAnsi="Times New Roman" w:cs="Times New Roman"/>
        </w:rPr>
        <w:t xml:space="preserve"> of new </w:t>
      </w:r>
      <w:r w:rsidR="00633A5A" w:rsidRPr="00304F2D">
        <w:rPr>
          <w:rFonts w:ascii="Times New Roman" w:hAnsi="Times New Roman" w:cs="Times New Roman"/>
        </w:rPr>
        <w:t xml:space="preserve">monetary </w:t>
      </w:r>
      <w:r w:rsidR="00E65B53" w:rsidRPr="00304F2D">
        <w:rPr>
          <w:rFonts w:ascii="Times New Roman" w:hAnsi="Times New Roman" w:cs="Times New Roman"/>
        </w:rPr>
        <w:t xml:space="preserve">donors, </w:t>
      </w:r>
      <w:r w:rsidR="006511BA" w:rsidRPr="00304F2D">
        <w:rPr>
          <w:rFonts w:ascii="Times New Roman" w:hAnsi="Times New Roman" w:cs="Times New Roman"/>
        </w:rPr>
        <w:t xml:space="preserve">we </w:t>
      </w:r>
      <w:r w:rsidRPr="00304F2D">
        <w:rPr>
          <w:rFonts w:ascii="Times New Roman" w:hAnsi="Times New Roman" w:cs="Times New Roman"/>
        </w:rPr>
        <w:t>compute</w:t>
      </w:r>
      <w:r w:rsidR="00AA7041" w:rsidRPr="00304F2D">
        <w:rPr>
          <w:rFonts w:ascii="Times New Roman" w:hAnsi="Times New Roman" w:cs="Times New Roman"/>
        </w:rPr>
        <w:t>d</w:t>
      </w:r>
      <w:r w:rsidRPr="00304F2D">
        <w:rPr>
          <w:rFonts w:ascii="Times New Roman" w:hAnsi="Times New Roman" w:cs="Times New Roman"/>
        </w:rPr>
        <w:t xml:space="preserve"> </w:t>
      </w:r>
      <w:r w:rsidR="006511BA" w:rsidRPr="00304F2D">
        <w:rPr>
          <w:rFonts w:ascii="Times New Roman" w:hAnsi="Times New Roman" w:cs="Times New Roman"/>
        </w:rPr>
        <w:t xml:space="preserve">the frequency of donation in </w:t>
      </w:r>
      <w:r w:rsidR="007F2AD8" w:rsidRPr="00304F2D">
        <w:rPr>
          <w:rFonts w:ascii="Times New Roman" w:hAnsi="Times New Roman" w:cs="Times New Roman"/>
        </w:rPr>
        <w:t>the initi</w:t>
      </w:r>
      <w:r w:rsidRPr="00304F2D">
        <w:rPr>
          <w:rFonts w:ascii="Times New Roman" w:hAnsi="Times New Roman" w:cs="Times New Roman"/>
        </w:rPr>
        <w:t xml:space="preserve">al </w:t>
      </w:r>
      <w:r w:rsidR="006511BA" w:rsidRPr="00304F2D">
        <w:rPr>
          <w:rFonts w:ascii="Times New Roman" w:hAnsi="Times New Roman" w:cs="Times New Roman"/>
        </w:rPr>
        <w:t>year, and compare</w:t>
      </w:r>
      <w:r w:rsidR="00AA7041" w:rsidRPr="00304F2D">
        <w:rPr>
          <w:rFonts w:ascii="Times New Roman" w:hAnsi="Times New Roman" w:cs="Times New Roman"/>
        </w:rPr>
        <w:t>d</w:t>
      </w:r>
      <w:r w:rsidR="006511BA" w:rsidRPr="00304F2D">
        <w:rPr>
          <w:rFonts w:ascii="Times New Roman" w:hAnsi="Times New Roman" w:cs="Times New Roman"/>
        </w:rPr>
        <w:t xml:space="preserve"> </w:t>
      </w:r>
      <w:r w:rsidR="00DB52EA" w:rsidRPr="00304F2D">
        <w:rPr>
          <w:rFonts w:ascii="Times New Roman" w:hAnsi="Times New Roman" w:cs="Times New Roman"/>
        </w:rPr>
        <w:t>the frequency of donation</w:t>
      </w:r>
      <w:r w:rsidRPr="00304F2D">
        <w:rPr>
          <w:rFonts w:ascii="Times New Roman" w:hAnsi="Times New Roman" w:cs="Times New Roman"/>
        </w:rPr>
        <w:t xml:space="preserve"> </w:t>
      </w:r>
      <w:r w:rsidR="00DB52EA" w:rsidRPr="00304F2D">
        <w:rPr>
          <w:rFonts w:ascii="Times New Roman" w:hAnsi="Times New Roman" w:cs="Times New Roman"/>
        </w:rPr>
        <w:t xml:space="preserve">for new donors </w:t>
      </w:r>
      <w:r w:rsidR="006511BA" w:rsidRPr="00304F2D">
        <w:rPr>
          <w:rFonts w:ascii="Times New Roman" w:hAnsi="Times New Roman" w:cs="Times New Roman"/>
        </w:rPr>
        <w:t>to</w:t>
      </w:r>
      <w:r w:rsidR="003D1C98" w:rsidRPr="00304F2D">
        <w:rPr>
          <w:rFonts w:ascii="Times New Roman" w:hAnsi="Times New Roman" w:cs="Times New Roman"/>
        </w:rPr>
        <w:t xml:space="preserve"> the frequency for all donors. </w:t>
      </w:r>
      <w:r w:rsidR="0003601B" w:rsidRPr="00304F2D">
        <w:rPr>
          <w:rFonts w:ascii="Times New Roman" w:hAnsi="Times New Roman" w:cs="Times New Roman"/>
        </w:rPr>
        <w:t xml:space="preserve">Given the </w:t>
      </w:r>
      <w:r w:rsidRPr="00304F2D">
        <w:rPr>
          <w:rFonts w:ascii="Times New Roman" w:hAnsi="Times New Roman" w:cs="Times New Roman"/>
        </w:rPr>
        <w:t xml:space="preserve">very large </w:t>
      </w:r>
      <w:r w:rsidR="0003601B" w:rsidRPr="00304F2D">
        <w:rPr>
          <w:rFonts w:ascii="Times New Roman" w:hAnsi="Times New Roman" w:cs="Times New Roman"/>
        </w:rPr>
        <w:t xml:space="preserve">sample sizes </w:t>
      </w:r>
      <w:r w:rsidR="00DD21D9" w:rsidRPr="00304F2D">
        <w:rPr>
          <w:rFonts w:ascii="Times New Roman" w:hAnsi="Times New Roman" w:cs="Times New Roman"/>
        </w:rPr>
        <w:t xml:space="preserve">statistical </w:t>
      </w:r>
      <w:r w:rsidR="0003601B" w:rsidRPr="00304F2D">
        <w:rPr>
          <w:rFonts w:ascii="Times New Roman" w:hAnsi="Times New Roman" w:cs="Times New Roman"/>
        </w:rPr>
        <w:t>sign</w:t>
      </w:r>
      <w:r w:rsidR="003D1C98" w:rsidRPr="00304F2D">
        <w:rPr>
          <w:rFonts w:ascii="Times New Roman" w:hAnsi="Times New Roman" w:cs="Times New Roman"/>
        </w:rPr>
        <w:t xml:space="preserve">ificance testing is redundant. </w:t>
      </w:r>
      <w:r w:rsidR="0003601B" w:rsidRPr="00304F2D">
        <w:rPr>
          <w:rFonts w:ascii="Times New Roman" w:hAnsi="Times New Roman" w:cs="Times New Roman"/>
        </w:rPr>
        <w:t xml:space="preserve">However we do </w:t>
      </w:r>
      <w:r w:rsidR="00AA7041" w:rsidRPr="00304F2D">
        <w:rPr>
          <w:rFonts w:ascii="Times New Roman" w:hAnsi="Times New Roman" w:cs="Times New Roman"/>
        </w:rPr>
        <w:t>assess</w:t>
      </w:r>
      <w:r w:rsidR="009314D2">
        <w:rPr>
          <w:rFonts w:ascii="Times New Roman" w:hAnsi="Times New Roman" w:cs="Times New Roman"/>
        </w:rPr>
        <w:t xml:space="preserve"> consistency of patterns</w:t>
      </w:r>
      <w:r w:rsidR="0003601B" w:rsidRPr="00304F2D">
        <w:rPr>
          <w:rFonts w:ascii="Times New Roman" w:hAnsi="Times New Roman" w:cs="Times New Roman"/>
        </w:rPr>
        <w:t xml:space="preserve">, where possible, across multiple years and data sets to </w:t>
      </w:r>
      <w:r w:rsidR="00E57D91" w:rsidRPr="00304F2D">
        <w:rPr>
          <w:rFonts w:ascii="Times New Roman" w:hAnsi="Times New Roman" w:cs="Times New Roman"/>
        </w:rPr>
        <w:t xml:space="preserve">confirm the robustness of any conclusions </w:t>
      </w:r>
      <w:r w:rsidR="00105834" w:rsidRPr="00304F2D">
        <w:rPr>
          <w:rFonts w:ascii="Times New Roman" w:hAnsi="Times New Roman" w:cs="Times New Roman"/>
        </w:rPr>
        <w:t xml:space="preserve">that are </w:t>
      </w:r>
      <w:r w:rsidR="00E57D91" w:rsidRPr="00304F2D">
        <w:rPr>
          <w:rFonts w:ascii="Times New Roman" w:hAnsi="Times New Roman" w:cs="Times New Roman"/>
        </w:rPr>
        <w:t>drawn</w:t>
      </w:r>
      <w:r w:rsidR="00105834" w:rsidRPr="00304F2D">
        <w:rPr>
          <w:rFonts w:ascii="Times New Roman" w:hAnsi="Times New Roman" w:cs="Times New Roman"/>
        </w:rPr>
        <w:t xml:space="preserve">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&lt;EndNote&gt;&lt;Cite&gt;&lt;Author&gt;Kennedy&lt;/Author&gt;&lt;Year&gt;2014&lt;/Year&gt;&lt;RecNum&gt;26086&lt;/RecNum&gt;&lt;DisplayText&gt;(Kennedy, Scriven and Nenycz-Thiel, 2014)&lt;/DisplayText&gt;&lt;record&gt;&lt;rec-number&gt;26086&lt;/rec-number&gt;&lt;foreign-keys&gt;&lt;key app="EN" db-id="eswazv0p5wsezae2sd8pf59gf50trdav5fsw" timestamp="0"&gt;26086&lt;/key&gt;&lt;/foreign-keys&gt;&lt;ref-type name="Journal Article"&gt;17&lt;/ref-type&gt;&lt;contributors&gt;&lt;authors&gt;&lt;author&gt;Kennedy, Rachel&lt;/author&gt;&lt;author&gt;Scriven, John&lt;/author&gt;&lt;author&gt;Nenycz-Thiel, Magda&lt;/author&gt;&lt;/authors&gt;&lt;/contributors&gt;&lt;titles&gt;&lt;title&gt;When ‘significant’ is not significant&lt;/title&gt;&lt;secondary-title&gt;International Journal of Market Research&lt;/secondary-title&gt;&lt;/titles&gt;&lt;dates&gt;&lt;year&gt;2014&lt;/year&gt;&lt;/dates&gt;&lt;urls&gt;&lt;/urls&gt;&lt;/record&gt;&lt;/Cite&gt;&lt;/EndNote&gt;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37" w:tooltip="Kennedy, 2014 #26086" w:history="1">
        <w:r w:rsidR="00DA6B8D" w:rsidRPr="00304F2D">
          <w:rPr>
            <w:rFonts w:ascii="Times New Roman" w:hAnsi="Times New Roman" w:cs="Times New Roman"/>
            <w:noProof/>
          </w:rPr>
          <w:t>Kennedy, Scriven and Nenycz-Thiel, 2014</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105834" w:rsidRPr="00304F2D">
        <w:rPr>
          <w:rFonts w:ascii="Times New Roman" w:hAnsi="Times New Roman" w:cs="Times New Roman"/>
        </w:rPr>
        <w:t>.</w:t>
      </w:r>
    </w:p>
    <w:p w14:paraId="363652CF" w14:textId="4F2FAFEA" w:rsidR="003D1C98" w:rsidRPr="00304F2D" w:rsidRDefault="003E19B4" w:rsidP="003D1C98">
      <w:pPr>
        <w:spacing w:line="480" w:lineRule="auto"/>
        <w:ind w:firstLine="720"/>
        <w:rPr>
          <w:rFonts w:ascii="Times New Roman" w:hAnsi="Times New Roman" w:cs="Times New Roman"/>
        </w:rPr>
      </w:pPr>
      <w:r w:rsidRPr="00304F2D">
        <w:rPr>
          <w:rFonts w:ascii="Times New Roman" w:hAnsi="Times New Roman" w:cs="Times New Roman"/>
        </w:rPr>
        <w:t>The results</w:t>
      </w:r>
      <w:r w:rsidR="00A27770" w:rsidRPr="00304F2D">
        <w:rPr>
          <w:rFonts w:ascii="Times New Roman" w:hAnsi="Times New Roman" w:cs="Times New Roman"/>
        </w:rPr>
        <w:t xml:space="preserve"> </w:t>
      </w:r>
      <w:r w:rsidR="00A14B4C" w:rsidRPr="00304F2D">
        <w:rPr>
          <w:rFonts w:ascii="Times New Roman" w:hAnsi="Times New Roman" w:cs="Times New Roman"/>
        </w:rPr>
        <w:t xml:space="preserve">show that most new charity </w:t>
      </w:r>
      <w:r w:rsidR="00E25BE9" w:rsidRPr="00304F2D">
        <w:rPr>
          <w:rFonts w:ascii="Times New Roman" w:hAnsi="Times New Roman" w:cs="Times New Roman"/>
        </w:rPr>
        <w:t xml:space="preserve">donors </w:t>
      </w:r>
      <w:r w:rsidRPr="00304F2D">
        <w:rPr>
          <w:rFonts w:ascii="Times New Roman" w:hAnsi="Times New Roman" w:cs="Times New Roman"/>
        </w:rPr>
        <w:t>only don</w:t>
      </w:r>
      <w:r w:rsidR="00A14B4C" w:rsidRPr="00304F2D">
        <w:rPr>
          <w:rFonts w:ascii="Times New Roman" w:hAnsi="Times New Roman" w:cs="Times New Roman"/>
        </w:rPr>
        <w:t>ate once</w:t>
      </w:r>
      <w:r w:rsidR="00633A5A" w:rsidRPr="00304F2D">
        <w:rPr>
          <w:rFonts w:ascii="Times New Roman" w:hAnsi="Times New Roman" w:cs="Times New Roman"/>
        </w:rPr>
        <w:t>, supporting our first hypothesis</w:t>
      </w:r>
      <w:r w:rsidR="007A24BF" w:rsidRPr="00304F2D">
        <w:rPr>
          <w:rFonts w:ascii="Times New Roman" w:hAnsi="Times New Roman" w:cs="Times New Roman"/>
        </w:rPr>
        <w:t xml:space="preserve"> </w:t>
      </w:r>
      <w:r w:rsidR="009447D4" w:rsidRPr="00304F2D">
        <w:rPr>
          <w:rFonts w:ascii="Times New Roman" w:hAnsi="Times New Roman" w:cs="Times New Roman"/>
        </w:rPr>
        <w:t>(Table 1</w:t>
      </w:r>
      <w:r w:rsidR="007A24BF" w:rsidRPr="00304F2D">
        <w:rPr>
          <w:rFonts w:ascii="Times New Roman" w:hAnsi="Times New Roman" w:cs="Times New Roman"/>
        </w:rPr>
        <w:t>)</w:t>
      </w:r>
      <w:r w:rsidR="003D1C98" w:rsidRPr="00304F2D">
        <w:rPr>
          <w:rFonts w:ascii="Times New Roman" w:hAnsi="Times New Roman" w:cs="Times New Roman"/>
        </w:rPr>
        <w:t xml:space="preserve">. </w:t>
      </w:r>
      <w:r w:rsidR="00633A5A" w:rsidRPr="00304F2D">
        <w:rPr>
          <w:rFonts w:ascii="Times New Roman" w:hAnsi="Times New Roman" w:cs="Times New Roman"/>
        </w:rPr>
        <w:t>Hypothesis two is also supported</w:t>
      </w:r>
      <w:r w:rsidR="00832A90" w:rsidRPr="00304F2D">
        <w:rPr>
          <w:rFonts w:ascii="Times New Roman" w:hAnsi="Times New Roman" w:cs="Times New Roman"/>
        </w:rPr>
        <w:t>,</w:t>
      </w:r>
      <w:r w:rsidR="00633A5A" w:rsidRPr="00304F2D">
        <w:rPr>
          <w:rFonts w:ascii="Times New Roman" w:hAnsi="Times New Roman" w:cs="Times New Roman"/>
        </w:rPr>
        <w:t xml:space="preserve"> </w:t>
      </w:r>
      <w:r w:rsidR="00832A90" w:rsidRPr="00304F2D">
        <w:rPr>
          <w:rFonts w:ascii="Times New Roman" w:hAnsi="Times New Roman" w:cs="Times New Roman"/>
        </w:rPr>
        <w:t>as</w:t>
      </w:r>
      <w:r w:rsidR="00633A5A" w:rsidRPr="00304F2D">
        <w:rPr>
          <w:rFonts w:ascii="Times New Roman" w:hAnsi="Times New Roman" w:cs="Times New Roman"/>
        </w:rPr>
        <w:t xml:space="preserve"> </w:t>
      </w:r>
      <w:r w:rsidR="00A14B4C" w:rsidRPr="00304F2D">
        <w:rPr>
          <w:rFonts w:ascii="Times New Roman" w:hAnsi="Times New Roman" w:cs="Times New Roman"/>
        </w:rPr>
        <w:t xml:space="preserve">the new </w:t>
      </w:r>
      <w:r w:rsidR="00E25BE9" w:rsidRPr="00304F2D">
        <w:rPr>
          <w:rFonts w:ascii="Times New Roman" w:hAnsi="Times New Roman" w:cs="Times New Roman"/>
        </w:rPr>
        <w:t xml:space="preserve">donor </w:t>
      </w:r>
      <w:r w:rsidRPr="00304F2D">
        <w:rPr>
          <w:rFonts w:ascii="Times New Roman" w:hAnsi="Times New Roman" w:cs="Times New Roman"/>
        </w:rPr>
        <w:t>cohort comprise</w:t>
      </w:r>
      <w:r w:rsidR="00B35F16" w:rsidRPr="00304F2D">
        <w:rPr>
          <w:rFonts w:ascii="Times New Roman" w:hAnsi="Times New Roman" w:cs="Times New Roman"/>
        </w:rPr>
        <w:t>s</w:t>
      </w:r>
      <w:r w:rsidRPr="00304F2D">
        <w:rPr>
          <w:rFonts w:ascii="Times New Roman" w:hAnsi="Times New Roman" w:cs="Times New Roman"/>
        </w:rPr>
        <w:t xml:space="preserve"> more </w:t>
      </w:r>
      <w:r w:rsidR="00B35F16" w:rsidRPr="00304F2D">
        <w:rPr>
          <w:rFonts w:ascii="Times New Roman" w:hAnsi="Times New Roman" w:cs="Times New Roman"/>
        </w:rPr>
        <w:t>once-</w:t>
      </w:r>
      <w:r w:rsidR="00A14B4C" w:rsidRPr="00304F2D">
        <w:rPr>
          <w:rFonts w:ascii="Times New Roman" w:hAnsi="Times New Roman" w:cs="Times New Roman"/>
        </w:rPr>
        <w:t>only donors</w:t>
      </w:r>
      <w:r w:rsidR="00802E12" w:rsidRPr="00304F2D">
        <w:rPr>
          <w:rFonts w:ascii="Times New Roman" w:hAnsi="Times New Roman" w:cs="Times New Roman"/>
        </w:rPr>
        <w:t xml:space="preserve"> than the total database (95% versus </w:t>
      </w:r>
      <w:r w:rsidR="00F23FD5" w:rsidRPr="00304F2D">
        <w:rPr>
          <w:rFonts w:ascii="Times New Roman" w:hAnsi="Times New Roman" w:cs="Times New Roman"/>
        </w:rPr>
        <w:t xml:space="preserve">around </w:t>
      </w:r>
      <w:r w:rsidR="00802E12" w:rsidRPr="00304F2D">
        <w:rPr>
          <w:rFonts w:ascii="Times New Roman" w:hAnsi="Times New Roman" w:cs="Times New Roman"/>
        </w:rPr>
        <w:t>75%)</w:t>
      </w:r>
      <w:r w:rsidR="00633A5A" w:rsidRPr="00304F2D">
        <w:rPr>
          <w:rFonts w:ascii="Times New Roman" w:hAnsi="Times New Roman" w:cs="Times New Roman"/>
        </w:rPr>
        <w:t xml:space="preserve"> and fewer 3+ donors (1% versus 10%). </w:t>
      </w:r>
      <w:r w:rsidR="003D1C98" w:rsidRPr="00304F2D">
        <w:rPr>
          <w:rFonts w:ascii="Times New Roman" w:hAnsi="Times New Roman" w:cs="Times New Roman"/>
        </w:rPr>
        <w:t xml:space="preserve"> </w:t>
      </w:r>
      <w:r w:rsidR="00A14B4C" w:rsidRPr="00304F2D">
        <w:rPr>
          <w:rFonts w:ascii="Times New Roman" w:hAnsi="Times New Roman" w:cs="Times New Roman"/>
        </w:rPr>
        <w:t xml:space="preserve">Examining new </w:t>
      </w:r>
      <w:proofErr w:type="gramStart"/>
      <w:r w:rsidR="00A14B4C" w:rsidRPr="00304F2D">
        <w:rPr>
          <w:rFonts w:ascii="Times New Roman" w:hAnsi="Times New Roman" w:cs="Times New Roman"/>
        </w:rPr>
        <w:t>supporters</w:t>
      </w:r>
      <w:proofErr w:type="gramEnd"/>
      <w:r w:rsidR="00DB52EA" w:rsidRPr="00304F2D">
        <w:rPr>
          <w:rFonts w:ascii="Times New Roman" w:hAnsi="Times New Roman" w:cs="Times New Roman"/>
        </w:rPr>
        <w:t xml:space="preserve"> shows that 95% give once, the proportion giving once</w:t>
      </w:r>
      <w:r w:rsidR="00A14B4C" w:rsidRPr="00304F2D">
        <w:rPr>
          <w:rFonts w:ascii="Times New Roman" w:hAnsi="Times New Roman" w:cs="Times New Roman"/>
        </w:rPr>
        <w:t xml:space="preserve"> reduces to 88% </w:t>
      </w:r>
      <w:r w:rsidR="00AA7041" w:rsidRPr="00304F2D">
        <w:rPr>
          <w:rFonts w:ascii="Times New Roman" w:hAnsi="Times New Roman" w:cs="Times New Roman"/>
        </w:rPr>
        <w:t>for</w:t>
      </w:r>
      <w:r w:rsidR="00A14B4C" w:rsidRPr="00304F2D">
        <w:rPr>
          <w:rFonts w:ascii="Times New Roman" w:hAnsi="Times New Roman" w:cs="Times New Roman"/>
        </w:rPr>
        <w:t xml:space="preserve"> </w:t>
      </w:r>
      <w:r w:rsidR="00B93522" w:rsidRPr="00304F2D">
        <w:rPr>
          <w:rFonts w:ascii="Times New Roman" w:hAnsi="Times New Roman" w:cs="Times New Roman"/>
        </w:rPr>
        <w:t xml:space="preserve">donors </w:t>
      </w:r>
      <w:r w:rsidR="001C2A7F" w:rsidRPr="00304F2D">
        <w:rPr>
          <w:rFonts w:ascii="Times New Roman" w:hAnsi="Times New Roman" w:cs="Times New Roman"/>
        </w:rPr>
        <w:t>that gave in the first half of the year and ha</w:t>
      </w:r>
      <w:r w:rsidR="00AA7041" w:rsidRPr="00304F2D">
        <w:rPr>
          <w:rFonts w:ascii="Times New Roman" w:hAnsi="Times New Roman" w:cs="Times New Roman"/>
        </w:rPr>
        <w:t>d</w:t>
      </w:r>
      <w:r w:rsidR="001C2A7F" w:rsidRPr="00304F2D">
        <w:rPr>
          <w:rFonts w:ascii="Times New Roman" w:hAnsi="Times New Roman" w:cs="Times New Roman"/>
        </w:rPr>
        <w:t xml:space="preserve"> more opportunity to give again</w:t>
      </w:r>
      <w:r w:rsidR="00B77C55">
        <w:rPr>
          <w:rFonts w:ascii="Times New Roman" w:hAnsi="Times New Roman" w:cs="Times New Roman"/>
        </w:rPr>
        <w:t xml:space="preserve"> that year</w:t>
      </w:r>
      <w:r w:rsidR="00EA2F2E" w:rsidRPr="00304F2D">
        <w:rPr>
          <w:rFonts w:ascii="Times New Roman" w:hAnsi="Times New Roman" w:cs="Times New Roman"/>
        </w:rPr>
        <w:t xml:space="preserve">. </w:t>
      </w:r>
      <w:r w:rsidR="00DB52EA" w:rsidRPr="00304F2D">
        <w:rPr>
          <w:rFonts w:ascii="Times New Roman" w:hAnsi="Times New Roman" w:cs="Times New Roman"/>
        </w:rPr>
        <w:t>The result</w:t>
      </w:r>
      <w:r w:rsidR="00AA7041" w:rsidRPr="00304F2D">
        <w:rPr>
          <w:rFonts w:ascii="Times New Roman" w:hAnsi="Times New Roman" w:cs="Times New Roman"/>
        </w:rPr>
        <w:t xml:space="preserve"> </w:t>
      </w:r>
      <w:r w:rsidR="001C2A7F" w:rsidRPr="00304F2D">
        <w:rPr>
          <w:rFonts w:ascii="Times New Roman" w:hAnsi="Times New Roman" w:cs="Times New Roman"/>
        </w:rPr>
        <w:t xml:space="preserve">means the high number of once-only donors is not an artifact of opportunity. </w:t>
      </w:r>
      <w:r w:rsidR="003434DB" w:rsidRPr="00304F2D">
        <w:rPr>
          <w:rFonts w:ascii="Times New Roman" w:hAnsi="Times New Roman" w:cs="Times New Roman"/>
        </w:rPr>
        <w:t xml:space="preserve">Also evident is the consistency in the frequency distribution </w:t>
      </w:r>
      <w:r w:rsidR="00192BFE" w:rsidRPr="00304F2D">
        <w:rPr>
          <w:rFonts w:ascii="Times New Roman" w:hAnsi="Times New Roman" w:cs="Times New Roman"/>
        </w:rPr>
        <w:t>for the total database each year</w:t>
      </w:r>
      <w:r w:rsidR="00B35F16" w:rsidRPr="00304F2D">
        <w:rPr>
          <w:rFonts w:ascii="Times New Roman" w:hAnsi="Times New Roman" w:cs="Times New Roman"/>
        </w:rPr>
        <w:t xml:space="preserve">.  </w:t>
      </w:r>
      <w:r w:rsidR="00481938" w:rsidRPr="00304F2D">
        <w:rPr>
          <w:rFonts w:ascii="Times New Roman" w:hAnsi="Times New Roman" w:cs="Times New Roman"/>
        </w:rPr>
        <w:t xml:space="preserve">There are </w:t>
      </w:r>
      <w:r w:rsidR="00886D3D" w:rsidRPr="00304F2D">
        <w:rPr>
          <w:rFonts w:ascii="Times New Roman" w:hAnsi="Times New Roman" w:cs="Times New Roman"/>
        </w:rPr>
        <w:t>lower proportions in all other frequency categories</w:t>
      </w:r>
      <w:r w:rsidR="007F2AD8" w:rsidRPr="00304F2D">
        <w:rPr>
          <w:rFonts w:ascii="Times New Roman" w:hAnsi="Times New Roman" w:cs="Times New Roman"/>
        </w:rPr>
        <w:t xml:space="preserve"> to compensate</w:t>
      </w:r>
      <w:r w:rsidR="00481938" w:rsidRPr="00304F2D">
        <w:rPr>
          <w:rFonts w:ascii="Times New Roman" w:hAnsi="Times New Roman" w:cs="Times New Roman"/>
        </w:rPr>
        <w:t xml:space="preserve"> for</w:t>
      </w:r>
      <w:r w:rsidR="00775AF7" w:rsidRPr="00304F2D">
        <w:rPr>
          <w:rFonts w:ascii="Times New Roman" w:hAnsi="Times New Roman" w:cs="Times New Roman"/>
        </w:rPr>
        <w:t xml:space="preserve"> this excess in once-only </w:t>
      </w:r>
      <w:r w:rsidR="009D344F" w:rsidRPr="00304F2D">
        <w:rPr>
          <w:rFonts w:ascii="Times New Roman" w:hAnsi="Times New Roman" w:cs="Times New Roman"/>
        </w:rPr>
        <w:t>donors</w:t>
      </w:r>
      <w:r w:rsidR="00886D3D" w:rsidRPr="00304F2D">
        <w:rPr>
          <w:rFonts w:ascii="Times New Roman" w:hAnsi="Times New Roman" w:cs="Times New Roman"/>
        </w:rPr>
        <w:t xml:space="preserve">. </w:t>
      </w:r>
    </w:p>
    <w:p w14:paraId="1844689F" w14:textId="2688A370" w:rsidR="00C32CE5" w:rsidRPr="00304F2D" w:rsidRDefault="00A27770" w:rsidP="004D7056">
      <w:pPr>
        <w:keepNext/>
        <w:keepLines/>
        <w:widowControl w:val="0"/>
        <w:rPr>
          <w:rFonts w:ascii="Times New Roman" w:hAnsi="Times New Roman" w:cs="Times New Roman"/>
          <w:b/>
          <w:color w:val="000000" w:themeColor="text1"/>
        </w:rPr>
      </w:pPr>
      <w:r w:rsidRPr="00304F2D">
        <w:rPr>
          <w:rFonts w:ascii="Times New Roman" w:hAnsi="Times New Roman" w:cs="Times New Roman"/>
          <w:b/>
          <w:color w:val="000000" w:themeColor="text1"/>
        </w:rPr>
        <w:t xml:space="preserve">Table </w:t>
      </w:r>
      <w:r w:rsidR="009447D4" w:rsidRPr="00304F2D">
        <w:rPr>
          <w:rFonts w:ascii="Times New Roman" w:hAnsi="Times New Roman" w:cs="Times New Roman"/>
          <w:b/>
          <w:color w:val="000000" w:themeColor="text1"/>
        </w:rPr>
        <w:t>1</w:t>
      </w:r>
    </w:p>
    <w:p w14:paraId="136E47BF" w14:textId="7F3998A2" w:rsidR="00C32CE5" w:rsidRPr="00304F2D" w:rsidRDefault="00C32CE5" w:rsidP="004D7056">
      <w:pPr>
        <w:keepNext/>
        <w:keepLines/>
        <w:widowControl w:val="0"/>
        <w:rPr>
          <w:rFonts w:ascii="Times New Roman" w:hAnsi="Times New Roman" w:cs="Times New Roman"/>
          <w:b/>
          <w:color w:val="000000" w:themeColor="text1"/>
        </w:rPr>
      </w:pPr>
      <w:r w:rsidRPr="00304F2D">
        <w:rPr>
          <w:rFonts w:ascii="Times New Roman" w:hAnsi="Times New Roman" w:cs="Times New Roman"/>
          <w:b/>
          <w:color w:val="000000" w:themeColor="text1"/>
        </w:rPr>
        <w:t xml:space="preserve">Monetary donation, </w:t>
      </w:r>
      <w:r w:rsidR="00164EAB" w:rsidRPr="00304F2D">
        <w:rPr>
          <w:rFonts w:ascii="Times New Roman" w:hAnsi="Times New Roman" w:cs="Times New Roman"/>
          <w:b/>
          <w:color w:val="000000" w:themeColor="text1"/>
        </w:rPr>
        <w:t xml:space="preserve">Total and New </w:t>
      </w:r>
      <w:r w:rsidR="00D27A5E" w:rsidRPr="00304F2D">
        <w:rPr>
          <w:rFonts w:ascii="Times New Roman" w:hAnsi="Times New Roman" w:cs="Times New Roman"/>
          <w:b/>
          <w:color w:val="000000" w:themeColor="text1"/>
        </w:rPr>
        <w:t xml:space="preserve">donor </w:t>
      </w:r>
      <w:r w:rsidRPr="00304F2D">
        <w:rPr>
          <w:rFonts w:ascii="Times New Roman" w:hAnsi="Times New Roman" w:cs="Times New Roman"/>
          <w:b/>
          <w:color w:val="000000" w:themeColor="text1"/>
        </w:rPr>
        <w:t xml:space="preserve">frequency distributions </w:t>
      </w:r>
    </w:p>
    <w:tbl>
      <w:tblPr>
        <w:tblStyle w:val="TableGrid"/>
        <w:tblW w:w="4008" w:type="pct"/>
        <w:tblInd w:w="-318" w:type="dxa"/>
        <w:tblLayout w:type="fixed"/>
        <w:tblLook w:val="04A0" w:firstRow="1" w:lastRow="0" w:firstColumn="1" w:lastColumn="0" w:noHBand="0" w:noVBand="1"/>
      </w:tblPr>
      <w:tblGrid>
        <w:gridCol w:w="2612"/>
        <w:gridCol w:w="1198"/>
        <w:gridCol w:w="1198"/>
        <w:gridCol w:w="1198"/>
        <w:gridCol w:w="1198"/>
      </w:tblGrid>
      <w:tr w:rsidR="00997DFB" w:rsidRPr="00304F2D" w14:paraId="0DD0F42D" w14:textId="77777777" w:rsidTr="00997DFB">
        <w:tc>
          <w:tcPr>
            <w:tcW w:w="1764" w:type="pct"/>
            <w:tcBorders>
              <w:top w:val="nil"/>
              <w:left w:val="nil"/>
              <w:bottom w:val="single" w:sz="4" w:space="0" w:color="auto"/>
              <w:right w:val="nil"/>
            </w:tcBorders>
          </w:tcPr>
          <w:p w14:paraId="08C335C5" w14:textId="77777777" w:rsidR="00997DFB" w:rsidRPr="00304F2D" w:rsidRDefault="00997DFB" w:rsidP="004D7056">
            <w:pPr>
              <w:keepNext/>
              <w:keepLines/>
              <w:widowControl w:val="0"/>
              <w:rPr>
                <w:rFonts w:ascii="Times New Roman" w:hAnsi="Times New Roman" w:cs="Times New Roman"/>
                <w:b/>
              </w:rPr>
            </w:pPr>
            <w:r w:rsidRPr="00304F2D">
              <w:rPr>
                <w:rFonts w:ascii="Times New Roman" w:hAnsi="Times New Roman" w:cs="Times New Roman"/>
                <w:b/>
              </w:rPr>
              <w:t>Total</w:t>
            </w:r>
          </w:p>
        </w:tc>
        <w:tc>
          <w:tcPr>
            <w:tcW w:w="809" w:type="pct"/>
            <w:tcBorders>
              <w:top w:val="nil"/>
              <w:left w:val="nil"/>
              <w:bottom w:val="single" w:sz="4" w:space="0" w:color="auto"/>
              <w:right w:val="nil"/>
            </w:tcBorders>
            <w:vAlign w:val="center"/>
          </w:tcPr>
          <w:p w14:paraId="43F26FB4" w14:textId="77777777" w:rsidR="00997DFB" w:rsidRPr="00304F2D" w:rsidRDefault="00997DFB" w:rsidP="004D7056">
            <w:pPr>
              <w:keepNext/>
              <w:keepLines/>
              <w:widowControl w:val="0"/>
              <w:jc w:val="center"/>
              <w:rPr>
                <w:rFonts w:ascii="Times New Roman" w:hAnsi="Times New Roman" w:cs="Times New Roman"/>
                <w:b/>
              </w:rPr>
            </w:pPr>
            <w:r w:rsidRPr="00304F2D">
              <w:rPr>
                <w:rFonts w:ascii="Times New Roman" w:hAnsi="Times New Roman" w:cs="Times New Roman"/>
              </w:rPr>
              <w:t>1</w:t>
            </w:r>
          </w:p>
        </w:tc>
        <w:tc>
          <w:tcPr>
            <w:tcW w:w="809" w:type="pct"/>
            <w:tcBorders>
              <w:top w:val="nil"/>
              <w:left w:val="nil"/>
              <w:bottom w:val="single" w:sz="4" w:space="0" w:color="auto"/>
              <w:right w:val="nil"/>
            </w:tcBorders>
            <w:vAlign w:val="center"/>
          </w:tcPr>
          <w:p w14:paraId="46B41B84" w14:textId="77777777" w:rsidR="00997DFB" w:rsidRPr="00304F2D" w:rsidRDefault="00997DFB" w:rsidP="004D7056">
            <w:pPr>
              <w:keepNext/>
              <w:keepLines/>
              <w:widowControl w:val="0"/>
              <w:jc w:val="center"/>
              <w:rPr>
                <w:rFonts w:ascii="Times New Roman" w:hAnsi="Times New Roman" w:cs="Times New Roman"/>
                <w:b/>
              </w:rPr>
            </w:pPr>
            <w:r w:rsidRPr="00304F2D">
              <w:rPr>
                <w:rFonts w:ascii="Times New Roman" w:hAnsi="Times New Roman" w:cs="Times New Roman"/>
              </w:rPr>
              <w:t>2</w:t>
            </w:r>
          </w:p>
        </w:tc>
        <w:tc>
          <w:tcPr>
            <w:tcW w:w="809" w:type="pct"/>
            <w:tcBorders>
              <w:top w:val="nil"/>
              <w:left w:val="nil"/>
              <w:bottom w:val="single" w:sz="4" w:space="0" w:color="auto"/>
              <w:right w:val="nil"/>
            </w:tcBorders>
            <w:vAlign w:val="center"/>
          </w:tcPr>
          <w:p w14:paraId="0690699A" w14:textId="3554EC57" w:rsidR="00997DFB" w:rsidRPr="00304F2D" w:rsidRDefault="00997DFB" w:rsidP="004D7056">
            <w:pPr>
              <w:keepNext/>
              <w:keepLines/>
              <w:widowControl w:val="0"/>
              <w:jc w:val="center"/>
              <w:rPr>
                <w:rFonts w:ascii="Times New Roman" w:hAnsi="Times New Roman" w:cs="Times New Roman"/>
                <w:b/>
              </w:rPr>
            </w:pPr>
            <w:r w:rsidRPr="00304F2D">
              <w:rPr>
                <w:rFonts w:ascii="Times New Roman" w:hAnsi="Times New Roman" w:cs="Times New Roman"/>
              </w:rPr>
              <w:t>3+</w:t>
            </w:r>
          </w:p>
        </w:tc>
        <w:tc>
          <w:tcPr>
            <w:tcW w:w="809" w:type="pct"/>
            <w:tcBorders>
              <w:top w:val="nil"/>
              <w:left w:val="nil"/>
              <w:bottom w:val="single" w:sz="4" w:space="0" w:color="auto"/>
              <w:right w:val="nil"/>
            </w:tcBorders>
          </w:tcPr>
          <w:p w14:paraId="649045C1" w14:textId="77777777"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Total</w:t>
            </w:r>
          </w:p>
        </w:tc>
      </w:tr>
      <w:tr w:rsidR="00997DFB" w:rsidRPr="00304F2D" w14:paraId="2B0C7F75" w14:textId="77777777" w:rsidTr="00997DFB">
        <w:tc>
          <w:tcPr>
            <w:tcW w:w="1764" w:type="pct"/>
            <w:tcBorders>
              <w:top w:val="nil"/>
              <w:left w:val="nil"/>
              <w:bottom w:val="single" w:sz="4" w:space="0" w:color="auto"/>
              <w:right w:val="nil"/>
            </w:tcBorders>
          </w:tcPr>
          <w:p w14:paraId="3C770929" w14:textId="2B218B40" w:rsidR="00997DFB" w:rsidRPr="00304F2D" w:rsidRDefault="00997DFB" w:rsidP="004D7056">
            <w:pPr>
              <w:keepNext/>
              <w:keepLines/>
              <w:widowControl w:val="0"/>
              <w:rPr>
                <w:rFonts w:ascii="Times New Roman" w:hAnsi="Times New Roman" w:cs="Times New Roman"/>
                <w:b/>
              </w:rPr>
            </w:pPr>
            <w:r w:rsidRPr="00304F2D">
              <w:rPr>
                <w:rFonts w:ascii="Times New Roman" w:hAnsi="Times New Roman" w:cs="Times New Roman"/>
                <w:b/>
              </w:rPr>
              <w:t>New supporters%</w:t>
            </w:r>
          </w:p>
        </w:tc>
        <w:tc>
          <w:tcPr>
            <w:tcW w:w="809" w:type="pct"/>
            <w:tcBorders>
              <w:top w:val="nil"/>
              <w:left w:val="nil"/>
              <w:bottom w:val="single" w:sz="4" w:space="0" w:color="auto"/>
              <w:right w:val="nil"/>
            </w:tcBorders>
            <w:vAlign w:val="center"/>
          </w:tcPr>
          <w:p w14:paraId="3DA74F6C"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vAlign w:val="center"/>
          </w:tcPr>
          <w:p w14:paraId="569EC0CB"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vAlign w:val="center"/>
          </w:tcPr>
          <w:p w14:paraId="23570E6E"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vAlign w:val="bottom"/>
          </w:tcPr>
          <w:p w14:paraId="41A67CBF" w14:textId="77777777" w:rsidR="00997DFB" w:rsidRPr="00304F2D" w:rsidRDefault="00997DFB" w:rsidP="004D7056">
            <w:pPr>
              <w:keepNext/>
              <w:keepLines/>
              <w:widowControl w:val="0"/>
              <w:jc w:val="center"/>
              <w:rPr>
                <w:rFonts w:ascii="Times New Roman" w:hAnsi="Times New Roman" w:cs="Times New Roman"/>
              </w:rPr>
            </w:pPr>
          </w:p>
        </w:tc>
      </w:tr>
      <w:tr w:rsidR="00997DFB" w:rsidRPr="00304F2D" w14:paraId="3829FB81" w14:textId="77777777" w:rsidTr="00997DFB">
        <w:tc>
          <w:tcPr>
            <w:tcW w:w="1764" w:type="pct"/>
            <w:tcBorders>
              <w:top w:val="nil"/>
              <w:left w:val="nil"/>
              <w:bottom w:val="single" w:sz="4" w:space="0" w:color="auto"/>
              <w:right w:val="nil"/>
            </w:tcBorders>
          </w:tcPr>
          <w:p w14:paraId="6EE9D1DD" w14:textId="51A45D0A" w:rsidR="00997DFB" w:rsidRPr="00304F2D" w:rsidRDefault="00997DFB" w:rsidP="004D7056">
            <w:pPr>
              <w:keepNext/>
              <w:keepLines/>
              <w:widowControl w:val="0"/>
              <w:rPr>
                <w:rFonts w:ascii="Times New Roman" w:hAnsi="Times New Roman" w:cs="Times New Roman"/>
                <w:b/>
              </w:rPr>
            </w:pPr>
            <w:r w:rsidRPr="00304F2D">
              <w:rPr>
                <w:rFonts w:ascii="Times New Roman" w:hAnsi="Times New Roman" w:cs="Times New Roman"/>
                <w:b/>
              </w:rPr>
              <w:t xml:space="preserve">2009/10 </w:t>
            </w:r>
            <w:r w:rsidRPr="00304F2D">
              <w:rPr>
                <w:rFonts w:ascii="Times New Roman" w:hAnsi="Times New Roman" w:cs="Times New Roman"/>
              </w:rPr>
              <w:t>(n=94,738)</w:t>
            </w:r>
          </w:p>
        </w:tc>
        <w:tc>
          <w:tcPr>
            <w:tcW w:w="809" w:type="pct"/>
            <w:tcBorders>
              <w:top w:val="nil"/>
              <w:left w:val="nil"/>
              <w:bottom w:val="single" w:sz="4" w:space="0" w:color="auto"/>
              <w:right w:val="nil"/>
            </w:tcBorders>
            <w:vAlign w:val="center"/>
          </w:tcPr>
          <w:p w14:paraId="1B24FFF3" w14:textId="5379A6FB"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95</w:t>
            </w:r>
          </w:p>
        </w:tc>
        <w:tc>
          <w:tcPr>
            <w:tcW w:w="809" w:type="pct"/>
            <w:tcBorders>
              <w:top w:val="nil"/>
              <w:left w:val="nil"/>
              <w:bottom w:val="single" w:sz="4" w:space="0" w:color="auto"/>
              <w:right w:val="nil"/>
            </w:tcBorders>
            <w:vAlign w:val="center"/>
          </w:tcPr>
          <w:p w14:paraId="757BE012" w14:textId="395A6FED"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 xml:space="preserve"> 4</w:t>
            </w:r>
          </w:p>
        </w:tc>
        <w:tc>
          <w:tcPr>
            <w:tcW w:w="809" w:type="pct"/>
            <w:tcBorders>
              <w:top w:val="nil"/>
              <w:left w:val="nil"/>
              <w:bottom w:val="single" w:sz="4" w:space="0" w:color="auto"/>
              <w:right w:val="nil"/>
            </w:tcBorders>
            <w:vAlign w:val="center"/>
          </w:tcPr>
          <w:p w14:paraId="2C5007BA" w14:textId="0AF68AFB"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1</w:t>
            </w:r>
          </w:p>
        </w:tc>
        <w:tc>
          <w:tcPr>
            <w:tcW w:w="809" w:type="pct"/>
            <w:tcBorders>
              <w:top w:val="nil"/>
              <w:left w:val="nil"/>
              <w:bottom w:val="single" w:sz="4" w:space="0" w:color="auto"/>
              <w:right w:val="nil"/>
            </w:tcBorders>
            <w:vAlign w:val="bottom"/>
          </w:tcPr>
          <w:p w14:paraId="1DDCBC21" w14:textId="67A12D8D" w:rsidR="00997DFB" w:rsidRPr="00304F2D" w:rsidRDefault="00997DFB" w:rsidP="004D7056">
            <w:pPr>
              <w:keepNext/>
              <w:keepLines/>
              <w:widowControl w:val="0"/>
              <w:jc w:val="center"/>
              <w:rPr>
                <w:rFonts w:ascii="Times New Roman" w:hAnsi="Times New Roman" w:cs="Times New Roman"/>
              </w:rPr>
            </w:pPr>
            <w:r w:rsidRPr="00304F2D">
              <w:rPr>
                <w:rFonts w:ascii="Times New Roman" w:eastAsia="Times New Roman" w:hAnsi="Times New Roman" w:cs="Times New Roman"/>
                <w:color w:val="000000"/>
              </w:rPr>
              <w:t>100</w:t>
            </w:r>
          </w:p>
        </w:tc>
      </w:tr>
      <w:tr w:rsidR="00997DFB" w:rsidRPr="00304F2D" w14:paraId="3E5DD4B4" w14:textId="77777777" w:rsidTr="00997DFB">
        <w:tc>
          <w:tcPr>
            <w:tcW w:w="1764" w:type="pct"/>
            <w:tcBorders>
              <w:top w:val="nil"/>
              <w:left w:val="nil"/>
              <w:bottom w:val="single" w:sz="4" w:space="0" w:color="auto"/>
              <w:right w:val="nil"/>
            </w:tcBorders>
          </w:tcPr>
          <w:p w14:paraId="24342DE1" w14:textId="1A5D51C6" w:rsidR="00997DFB" w:rsidRPr="00304F2D" w:rsidRDefault="00997DFB" w:rsidP="004D7056">
            <w:pPr>
              <w:keepNext/>
              <w:keepLines/>
              <w:widowControl w:val="0"/>
              <w:rPr>
                <w:rFonts w:ascii="Times New Roman" w:hAnsi="Times New Roman" w:cs="Times New Roman"/>
                <w:b/>
              </w:rPr>
            </w:pPr>
            <w:r w:rsidRPr="00304F2D">
              <w:rPr>
                <w:rFonts w:ascii="Times New Roman" w:hAnsi="Times New Roman" w:cs="Times New Roman"/>
                <w:b/>
              </w:rPr>
              <w:t>All Supporters %</w:t>
            </w:r>
          </w:p>
        </w:tc>
        <w:tc>
          <w:tcPr>
            <w:tcW w:w="809" w:type="pct"/>
            <w:tcBorders>
              <w:top w:val="nil"/>
              <w:left w:val="nil"/>
              <w:bottom w:val="single" w:sz="4" w:space="0" w:color="auto"/>
              <w:right w:val="nil"/>
            </w:tcBorders>
            <w:vAlign w:val="center"/>
          </w:tcPr>
          <w:p w14:paraId="00D0C7D1"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vAlign w:val="center"/>
          </w:tcPr>
          <w:p w14:paraId="648E3D71"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vAlign w:val="center"/>
          </w:tcPr>
          <w:p w14:paraId="3FD811D0" w14:textId="77777777" w:rsidR="00997DFB" w:rsidRPr="00304F2D" w:rsidRDefault="00997DFB" w:rsidP="004D7056">
            <w:pPr>
              <w:keepNext/>
              <w:keepLines/>
              <w:widowControl w:val="0"/>
              <w:jc w:val="center"/>
              <w:rPr>
                <w:rFonts w:ascii="Times New Roman" w:hAnsi="Times New Roman" w:cs="Times New Roman"/>
              </w:rPr>
            </w:pPr>
          </w:p>
        </w:tc>
        <w:tc>
          <w:tcPr>
            <w:tcW w:w="809" w:type="pct"/>
            <w:tcBorders>
              <w:top w:val="nil"/>
              <w:left w:val="nil"/>
              <w:bottom w:val="single" w:sz="4" w:space="0" w:color="auto"/>
              <w:right w:val="nil"/>
            </w:tcBorders>
          </w:tcPr>
          <w:p w14:paraId="53F6CE86" w14:textId="77777777" w:rsidR="00997DFB" w:rsidRPr="00304F2D" w:rsidRDefault="00997DFB" w:rsidP="004D7056">
            <w:pPr>
              <w:keepNext/>
              <w:keepLines/>
              <w:widowControl w:val="0"/>
              <w:jc w:val="center"/>
              <w:rPr>
                <w:rFonts w:ascii="Times New Roman" w:hAnsi="Times New Roman" w:cs="Times New Roman"/>
              </w:rPr>
            </w:pPr>
          </w:p>
        </w:tc>
      </w:tr>
      <w:tr w:rsidR="00997DFB" w:rsidRPr="00304F2D" w14:paraId="4C003EB5" w14:textId="77777777" w:rsidTr="00997DFB">
        <w:tc>
          <w:tcPr>
            <w:tcW w:w="1764" w:type="pct"/>
            <w:tcBorders>
              <w:top w:val="nil"/>
              <w:left w:val="nil"/>
              <w:bottom w:val="nil"/>
              <w:right w:val="nil"/>
            </w:tcBorders>
          </w:tcPr>
          <w:p w14:paraId="30B5D80E" w14:textId="77777777" w:rsidR="00997DFB" w:rsidRPr="00304F2D" w:rsidRDefault="00997DFB" w:rsidP="004D7056">
            <w:pPr>
              <w:keepNext/>
              <w:keepLines/>
              <w:widowControl w:val="0"/>
              <w:rPr>
                <w:rFonts w:ascii="Times New Roman" w:hAnsi="Times New Roman" w:cs="Times New Roman"/>
              </w:rPr>
            </w:pPr>
            <w:r w:rsidRPr="00304F2D">
              <w:rPr>
                <w:rFonts w:ascii="Times New Roman" w:hAnsi="Times New Roman" w:cs="Times New Roman"/>
                <w:b/>
              </w:rPr>
              <w:t>2007/08</w:t>
            </w:r>
            <w:r w:rsidRPr="00304F2D">
              <w:rPr>
                <w:rFonts w:ascii="Times New Roman" w:hAnsi="Times New Roman" w:cs="Times New Roman"/>
              </w:rPr>
              <w:t xml:space="preserve"> (n=647,827)</w:t>
            </w:r>
          </w:p>
        </w:tc>
        <w:tc>
          <w:tcPr>
            <w:tcW w:w="809" w:type="pct"/>
            <w:tcBorders>
              <w:top w:val="nil"/>
              <w:left w:val="nil"/>
              <w:bottom w:val="nil"/>
              <w:right w:val="nil"/>
            </w:tcBorders>
            <w:vAlign w:val="center"/>
          </w:tcPr>
          <w:p w14:paraId="4B2E62AF" w14:textId="7D07C34C"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73</w:t>
            </w:r>
          </w:p>
        </w:tc>
        <w:tc>
          <w:tcPr>
            <w:tcW w:w="809" w:type="pct"/>
            <w:tcBorders>
              <w:top w:val="nil"/>
              <w:left w:val="nil"/>
              <w:bottom w:val="nil"/>
              <w:right w:val="nil"/>
            </w:tcBorders>
            <w:vAlign w:val="center"/>
          </w:tcPr>
          <w:p w14:paraId="4D8CA5FF" w14:textId="5D84A326"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17</w:t>
            </w:r>
          </w:p>
        </w:tc>
        <w:tc>
          <w:tcPr>
            <w:tcW w:w="809" w:type="pct"/>
            <w:tcBorders>
              <w:top w:val="nil"/>
              <w:left w:val="nil"/>
              <w:bottom w:val="nil"/>
              <w:right w:val="nil"/>
            </w:tcBorders>
            <w:vAlign w:val="center"/>
          </w:tcPr>
          <w:p w14:paraId="27C8F9FC" w14:textId="4D446A91" w:rsidR="00997DFB" w:rsidRPr="00304F2D" w:rsidRDefault="00997DFB" w:rsidP="004D7056">
            <w:pPr>
              <w:keepNext/>
              <w:keepLines/>
              <w:widowControl w:val="0"/>
              <w:jc w:val="center"/>
              <w:rPr>
                <w:rFonts w:ascii="Times New Roman" w:hAnsi="Times New Roman" w:cs="Times New Roman"/>
              </w:rPr>
            </w:pPr>
            <w:r w:rsidRPr="00304F2D">
              <w:rPr>
                <w:rFonts w:ascii="Times New Roman" w:hAnsi="Times New Roman" w:cs="Times New Roman"/>
              </w:rPr>
              <w:t>10</w:t>
            </w:r>
          </w:p>
        </w:tc>
        <w:tc>
          <w:tcPr>
            <w:tcW w:w="809" w:type="pct"/>
            <w:tcBorders>
              <w:top w:val="nil"/>
              <w:left w:val="nil"/>
              <w:bottom w:val="nil"/>
              <w:right w:val="nil"/>
            </w:tcBorders>
            <w:vAlign w:val="bottom"/>
          </w:tcPr>
          <w:p w14:paraId="61426A98" w14:textId="2D5D5ABB" w:rsidR="00997DFB" w:rsidRPr="00304F2D" w:rsidRDefault="00997DFB" w:rsidP="004D7056">
            <w:pPr>
              <w:keepNext/>
              <w:keepLines/>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7F4DEBB1" w14:textId="77777777" w:rsidTr="00997DFB">
        <w:tc>
          <w:tcPr>
            <w:tcW w:w="1764" w:type="pct"/>
            <w:tcBorders>
              <w:top w:val="nil"/>
              <w:left w:val="nil"/>
              <w:bottom w:val="nil"/>
              <w:right w:val="nil"/>
            </w:tcBorders>
          </w:tcPr>
          <w:p w14:paraId="40727866" w14:textId="77777777" w:rsidR="00997DFB" w:rsidRPr="00304F2D" w:rsidRDefault="00997DFB" w:rsidP="00C32CE5">
            <w:pPr>
              <w:widowControl w:val="0"/>
              <w:rPr>
                <w:rFonts w:ascii="Times New Roman" w:hAnsi="Times New Roman" w:cs="Times New Roman"/>
              </w:rPr>
            </w:pPr>
            <w:r w:rsidRPr="00304F2D">
              <w:rPr>
                <w:rFonts w:ascii="Times New Roman" w:hAnsi="Times New Roman" w:cs="Times New Roman"/>
                <w:b/>
              </w:rPr>
              <w:t xml:space="preserve">2008/09 </w:t>
            </w:r>
            <w:r w:rsidRPr="00304F2D">
              <w:rPr>
                <w:rFonts w:ascii="Times New Roman" w:hAnsi="Times New Roman" w:cs="Times New Roman"/>
              </w:rPr>
              <w:t>(n=640,256)</w:t>
            </w:r>
          </w:p>
        </w:tc>
        <w:tc>
          <w:tcPr>
            <w:tcW w:w="809" w:type="pct"/>
            <w:tcBorders>
              <w:top w:val="nil"/>
              <w:left w:val="nil"/>
              <w:bottom w:val="nil"/>
              <w:right w:val="nil"/>
            </w:tcBorders>
            <w:vAlign w:val="center"/>
          </w:tcPr>
          <w:p w14:paraId="0281C84F" w14:textId="2DDC2BD4"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74</w:t>
            </w:r>
          </w:p>
        </w:tc>
        <w:tc>
          <w:tcPr>
            <w:tcW w:w="809" w:type="pct"/>
            <w:tcBorders>
              <w:top w:val="nil"/>
              <w:left w:val="nil"/>
              <w:bottom w:val="nil"/>
              <w:right w:val="nil"/>
            </w:tcBorders>
            <w:vAlign w:val="center"/>
          </w:tcPr>
          <w:p w14:paraId="47EE3DB7" w14:textId="4473D0A8"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16</w:t>
            </w:r>
          </w:p>
        </w:tc>
        <w:tc>
          <w:tcPr>
            <w:tcW w:w="809" w:type="pct"/>
            <w:tcBorders>
              <w:top w:val="nil"/>
              <w:left w:val="nil"/>
              <w:bottom w:val="nil"/>
              <w:right w:val="nil"/>
            </w:tcBorders>
            <w:vAlign w:val="center"/>
          </w:tcPr>
          <w:p w14:paraId="19C2661C" w14:textId="54B9176A"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9</w:t>
            </w:r>
          </w:p>
        </w:tc>
        <w:tc>
          <w:tcPr>
            <w:tcW w:w="809" w:type="pct"/>
            <w:tcBorders>
              <w:top w:val="nil"/>
              <w:left w:val="nil"/>
              <w:bottom w:val="nil"/>
              <w:right w:val="nil"/>
            </w:tcBorders>
            <w:vAlign w:val="bottom"/>
          </w:tcPr>
          <w:p w14:paraId="4B791600" w14:textId="716E8FF9"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2DAF55F1" w14:textId="77777777" w:rsidTr="00997DFB">
        <w:tc>
          <w:tcPr>
            <w:tcW w:w="1764" w:type="pct"/>
            <w:tcBorders>
              <w:top w:val="nil"/>
              <w:left w:val="nil"/>
              <w:bottom w:val="nil"/>
              <w:right w:val="nil"/>
            </w:tcBorders>
          </w:tcPr>
          <w:p w14:paraId="6B57E281" w14:textId="77777777" w:rsidR="00997DFB" w:rsidRPr="00304F2D" w:rsidRDefault="00997DFB" w:rsidP="00C32CE5">
            <w:pPr>
              <w:widowControl w:val="0"/>
              <w:rPr>
                <w:rFonts w:ascii="Times New Roman" w:hAnsi="Times New Roman" w:cs="Times New Roman"/>
              </w:rPr>
            </w:pPr>
            <w:r w:rsidRPr="00304F2D">
              <w:rPr>
                <w:rFonts w:ascii="Times New Roman" w:hAnsi="Times New Roman" w:cs="Times New Roman"/>
                <w:b/>
              </w:rPr>
              <w:t xml:space="preserve">2009/10 </w:t>
            </w:r>
            <w:r w:rsidRPr="00304F2D">
              <w:rPr>
                <w:rFonts w:ascii="Times New Roman" w:hAnsi="Times New Roman" w:cs="Times New Roman"/>
              </w:rPr>
              <w:t>(n=626,907)</w:t>
            </w:r>
          </w:p>
        </w:tc>
        <w:tc>
          <w:tcPr>
            <w:tcW w:w="809" w:type="pct"/>
            <w:tcBorders>
              <w:top w:val="nil"/>
              <w:left w:val="nil"/>
              <w:bottom w:val="nil"/>
              <w:right w:val="nil"/>
            </w:tcBorders>
            <w:vAlign w:val="center"/>
          </w:tcPr>
          <w:p w14:paraId="25995CC9" w14:textId="728A292C"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75</w:t>
            </w:r>
          </w:p>
        </w:tc>
        <w:tc>
          <w:tcPr>
            <w:tcW w:w="809" w:type="pct"/>
            <w:tcBorders>
              <w:top w:val="nil"/>
              <w:left w:val="nil"/>
              <w:bottom w:val="nil"/>
              <w:right w:val="nil"/>
            </w:tcBorders>
            <w:vAlign w:val="center"/>
          </w:tcPr>
          <w:p w14:paraId="0789507B" w14:textId="2A188D6E"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16</w:t>
            </w:r>
          </w:p>
        </w:tc>
        <w:tc>
          <w:tcPr>
            <w:tcW w:w="809" w:type="pct"/>
            <w:tcBorders>
              <w:top w:val="nil"/>
              <w:left w:val="nil"/>
              <w:bottom w:val="nil"/>
              <w:right w:val="nil"/>
            </w:tcBorders>
            <w:vAlign w:val="center"/>
          </w:tcPr>
          <w:p w14:paraId="39E140C5" w14:textId="5BC41612"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9</w:t>
            </w:r>
          </w:p>
        </w:tc>
        <w:tc>
          <w:tcPr>
            <w:tcW w:w="809" w:type="pct"/>
            <w:tcBorders>
              <w:top w:val="nil"/>
              <w:left w:val="nil"/>
              <w:bottom w:val="nil"/>
              <w:right w:val="nil"/>
            </w:tcBorders>
            <w:vAlign w:val="bottom"/>
          </w:tcPr>
          <w:p w14:paraId="42E6DCBF" w14:textId="39962DB5" w:rsidR="00997DFB" w:rsidRPr="00304F2D" w:rsidRDefault="00997DFB" w:rsidP="00C32CE5">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bl>
    <w:p w14:paraId="0379A9F8" w14:textId="77777777" w:rsidR="00086E8F" w:rsidRPr="00304F2D" w:rsidRDefault="00086E8F" w:rsidP="00D329C6">
      <w:pPr>
        <w:spacing w:line="480" w:lineRule="auto"/>
        <w:ind w:firstLine="720"/>
        <w:rPr>
          <w:rFonts w:ascii="Times New Roman" w:hAnsi="Times New Roman" w:cs="Times New Roman"/>
        </w:rPr>
      </w:pPr>
    </w:p>
    <w:p w14:paraId="25021921" w14:textId="0EB27E96" w:rsidR="00371997" w:rsidRPr="00304F2D" w:rsidRDefault="00044594" w:rsidP="003D1C98">
      <w:pPr>
        <w:spacing w:line="480" w:lineRule="auto"/>
        <w:ind w:firstLine="720"/>
        <w:rPr>
          <w:rFonts w:ascii="Times New Roman" w:hAnsi="Times New Roman" w:cs="Times New Roman"/>
        </w:rPr>
      </w:pPr>
      <w:r w:rsidRPr="00304F2D">
        <w:rPr>
          <w:rFonts w:ascii="Times New Roman" w:hAnsi="Times New Roman" w:cs="Times New Roman"/>
        </w:rPr>
        <w:lastRenderedPageBreak/>
        <w:t>Turning to blood donations</w:t>
      </w:r>
      <w:r w:rsidR="00AA7041" w:rsidRPr="00304F2D">
        <w:rPr>
          <w:rFonts w:ascii="Times New Roman" w:hAnsi="Times New Roman" w:cs="Times New Roman"/>
        </w:rPr>
        <w:t>,</w:t>
      </w:r>
      <w:r w:rsidRPr="00304F2D">
        <w:rPr>
          <w:rFonts w:ascii="Times New Roman" w:hAnsi="Times New Roman" w:cs="Times New Roman"/>
        </w:rPr>
        <w:t xml:space="preserve"> we again see </w:t>
      </w:r>
      <w:r w:rsidR="00832A90" w:rsidRPr="00304F2D">
        <w:rPr>
          <w:rFonts w:ascii="Times New Roman" w:hAnsi="Times New Roman" w:cs="Times New Roman"/>
        </w:rPr>
        <w:t>support for our first hypothesis as</w:t>
      </w:r>
      <w:r w:rsidRPr="00304F2D">
        <w:rPr>
          <w:rFonts w:ascii="Times New Roman" w:hAnsi="Times New Roman" w:cs="Times New Roman"/>
        </w:rPr>
        <w:t xml:space="preserve"> </w:t>
      </w:r>
      <w:r w:rsidR="00804F97" w:rsidRPr="00304F2D">
        <w:rPr>
          <w:rFonts w:ascii="Times New Roman" w:hAnsi="Times New Roman" w:cs="Times New Roman"/>
        </w:rPr>
        <w:t>the majority of</w:t>
      </w:r>
      <w:r w:rsidR="007A45BE" w:rsidRPr="00304F2D">
        <w:rPr>
          <w:rFonts w:ascii="Times New Roman" w:hAnsi="Times New Roman" w:cs="Times New Roman"/>
        </w:rPr>
        <w:t xml:space="preserve"> all</w:t>
      </w:r>
      <w:r w:rsidRPr="00304F2D">
        <w:rPr>
          <w:rFonts w:ascii="Times New Roman" w:hAnsi="Times New Roman" w:cs="Times New Roman"/>
        </w:rPr>
        <w:t xml:space="preserve"> donors </w:t>
      </w:r>
      <w:r w:rsidR="00804F97" w:rsidRPr="00304F2D">
        <w:rPr>
          <w:rFonts w:ascii="Times New Roman" w:hAnsi="Times New Roman" w:cs="Times New Roman"/>
        </w:rPr>
        <w:t>donate</w:t>
      </w:r>
      <w:r w:rsidR="007C25D5" w:rsidRPr="00304F2D">
        <w:rPr>
          <w:rFonts w:ascii="Times New Roman" w:hAnsi="Times New Roman" w:cs="Times New Roman"/>
        </w:rPr>
        <w:t xml:space="preserve"> just once</w:t>
      </w:r>
      <w:r w:rsidR="00AA7041" w:rsidRPr="00304F2D">
        <w:rPr>
          <w:rFonts w:ascii="Times New Roman" w:hAnsi="Times New Roman" w:cs="Times New Roman"/>
        </w:rPr>
        <w:t>,</w:t>
      </w:r>
      <w:r w:rsidR="00A033B0" w:rsidRPr="00304F2D">
        <w:rPr>
          <w:rFonts w:ascii="Times New Roman" w:hAnsi="Times New Roman" w:cs="Times New Roman"/>
        </w:rPr>
        <w:t xml:space="preserve"> </w:t>
      </w:r>
      <w:r w:rsidR="007A45BE" w:rsidRPr="00304F2D">
        <w:rPr>
          <w:rFonts w:ascii="Times New Roman" w:hAnsi="Times New Roman" w:cs="Times New Roman"/>
        </w:rPr>
        <w:t xml:space="preserve">with two-thirds donating once or twice a year </w:t>
      </w:r>
      <w:r w:rsidR="00A033B0" w:rsidRPr="00304F2D">
        <w:rPr>
          <w:rFonts w:ascii="Times New Roman" w:hAnsi="Times New Roman" w:cs="Times New Roman"/>
        </w:rPr>
        <w:t xml:space="preserve">and </w:t>
      </w:r>
      <w:r w:rsidR="00DB52EA" w:rsidRPr="00304F2D">
        <w:rPr>
          <w:rFonts w:ascii="Times New Roman" w:hAnsi="Times New Roman" w:cs="Times New Roman"/>
        </w:rPr>
        <w:t>results are</w:t>
      </w:r>
      <w:r w:rsidR="00A033B0" w:rsidRPr="00304F2D">
        <w:rPr>
          <w:rFonts w:ascii="Times New Roman" w:hAnsi="Times New Roman" w:cs="Times New Roman"/>
        </w:rPr>
        <w:t xml:space="preserve"> </w:t>
      </w:r>
      <w:r w:rsidR="007C25D5" w:rsidRPr="00304F2D">
        <w:rPr>
          <w:rFonts w:ascii="Times New Roman" w:hAnsi="Times New Roman" w:cs="Times New Roman"/>
        </w:rPr>
        <w:t>consistent across</w:t>
      </w:r>
      <w:r w:rsidR="00A033B0" w:rsidRPr="00304F2D">
        <w:rPr>
          <w:rFonts w:ascii="Times New Roman" w:hAnsi="Times New Roman" w:cs="Times New Roman"/>
        </w:rPr>
        <w:t xml:space="preserve"> </w:t>
      </w:r>
      <w:r w:rsidR="007A45BE" w:rsidRPr="00304F2D">
        <w:rPr>
          <w:rFonts w:ascii="Times New Roman" w:hAnsi="Times New Roman" w:cs="Times New Roman"/>
        </w:rPr>
        <w:t xml:space="preserve">all </w:t>
      </w:r>
      <w:r w:rsidR="00A033B0" w:rsidRPr="00304F2D">
        <w:rPr>
          <w:rFonts w:ascii="Times New Roman" w:hAnsi="Times New Roman" w:cs="Times New Roman"/>
        </w:rPr>
        <w:t>year</w:t>
      </w:r>
      <w:r w:rsidR="007C25D5" w:rsidRPr="00304F2D">
        <w:rPr>
          <w:rFonts w:ascii="Times New Roman" w:hAnsi="Times New Roman" w:cs="Times New Roman"/>
        </w:rPr>
        <w:t>s</w:t>
      </w:r>
      <w:r w:rsidR="003D1C98" w:rsidRPr="00304F2D">
        <w:rPr>
          <w:rFonts w:ascii="Times New Roman" w:hAnsi="Times New Roman" w:cs="Times New Roman"/>
        </w:rPr>
        <w:t xml:space="preserve">. </w:t>
      </w:r>
      <w:r w:rsidR="007C25D5" w:rsidRPr="00304F2D">
        <w:rPr>
          <w:rFonts w:ascii="Times New Roman" w:hAnsi="Times New Roman" w:cs="Times New Roman"/>
        </w:rPr>
        <w:t>Overall we would expect just under half to donate just once in the year</w:t>
      </w:r>
      <w:r w:rsidR="003D1C98" w:rsidRPr="00304F2D">
        <w:rPr>
          <w:rFonts w:ascii="Times New Roman" w:hAnsi="Times New Roman" w:cs="Times New Roman"/>
        </w:rPr>
        <w:t xml:space="preserve">. </w:t>
      </w:r>
      <w:r w:rsidR="007A45BE" w:rsidRPr="00304F2D">
        <w:rPr>
          <w:rFonts w:ascii="Times New Roman" w:hAnsi="Times New Roman" w:cs="Times New Roman"/>
        </w:rPr>
        <w:t>Hypothesis two also holds for donating whole blood, with higher proportions of once-only donors and fewer donating three times or more (average 29%)</w:t>
      </w:r>
      <w:r w:rsidR="00C75A59" w:rsidRPr="00304F2D">
        <w:rPr>
          <w:rFonts w:ascii="Times New Roman" w:hAnsi="Times New Roman" w:cs="Times New Roman"/>
        </w:rPr>
        <w:t>.</w:t>
      </w:r>
      <w:r w:rsidR="00371997" w:rsidRPr="00304F2D">
        <w:rPr>
          <w:rFonts w:ascii="Times New Roman" w:hAnsi="Times New Roman" w:cs="Times New Roman"/>
        </w:rPr>
        <w:t xml:space="preserve">  Results</w:t>
      </w:r>
      <w:r w:rsidR="00C75A59" w:rsidRPr="00304F2D">
        <w:rPr>
          <w:rFonts w:ascii="Times New Roman" w:hAnsi="Times New Roman" w:cs="Times New Roman"/>
        </w:rPr>
        <w:t xml:space="preserve"> suggest that new donors are unlikely to </w:t>
      </w:r>
      <w:r w:rsidR="005E34B7" w:rsidRPr="00304F2D">
        <w:rPr>
          <w:rFonts w:ascii="Times New Roman" w:hAnsi="Times New Roman" w:cs="Times New Roman"/>
        </w:rPr>
        <w:t xml:space="preserve">go from </w:t>
      </w:r>
      <w:r w:rsidR="003E7D35" w:rsidRPr="00304F2D">
        <w:rPr>
          <w:rFonts w:ascii="Times New Roman" w:hAnsi="Times New Roman" w:cs="Times New Roman"/>
        </w:rPr>
        <w:t>‘</w:t>
      </w:r>
      <w:r w:rsidR="005E34B7" w:rsidRPr="00304F2D">
        <w:rPr>
          <w:rFonts w:ascii="Times New Roman" w:hAnsi="Times New Roman" w:cs="Times New Roman"/>
        </w:rPr>
        <w:t>zero to hero</w:t>
      </w:r>
      <w:r w:rsidR="003E7D35" w:rsidRPr="00304F2D">
        <w:rPr>
          <w:rFonts w:ascii="Times New Roman" w:hAnsi="Times New Roman" w:cs="Times New Roman"/>
        </w:rPr>
        <w:t>’</w:t>
      </w:r>
      <w:r w:rsidR="005E34B7" w:rsidRPr="00304F2D">
        <w:rPr>
          <w:rFonts w:ascii="Times New Roman" w:hAnsi="Times New Roman" w:cs="Times New Roman"/>
        </w:rPr>
        <w:t>, and imm</w:t>
      </w:r>
      <w:r w:rsidR="0033503D" w:rsidRPr="00304F2D">
        <w:rPr>
          <w:rFonts w:ascii="Times New Roman" w:hAnsi="Times New Roman" w:cs="Times New Roman"/>
        </w:rPr>
        <w:t>ediately become frequent donors of blood.</w:t>
      </w:r>
      <w:r w:rsidR="00C75A59" w:rsidRPr="00304F2D">
        <w:rPr>
          <w:rFonts w:ascii="Times New Roman" w:hAnsi="Times New Roman" w:cs="Times New Roman"/>
        </w:rPr>
        <w:t xml:space="preserve"> </w:t>
      </w:r>
      <w:r w:rsidR="00616B4E" w:rsidRPr="00304F2D">
        <w:rPr>
          <w:rFonts w:ascii="Times New Roman" w:hAnsi="Times New Roman" w:cs="Times New Roman"/>
        </w:rPr>
        <w:t xml:space="preserve">Table </w:t>
      </w:r>
      <w:r w:rsidR="009447D4" w:rsidRPr="00304F2D">
        <w:rPr>
          <w:rFonts w:ascii="Times New Roman" w:hAnsi="Times New Roman" w:cs="Times New Roman"/>
        </w:rPr>
        <w:t>2</w:t>
      </w:r>
      <w:r w:rsidR="00616B4E" w:rsidRPr="00304F2D">
        <w:rPr>
          <w:rFonts w:ascii="Times New Roman" w:hAnsi="Times New Roman" w:cs="Times New Roman"/>
        </w:rPr>
        <w:t xml:space="preserve"> </w:t>
      </w:r>
      <w:r w:rsidR="007C25D5" w:rsidRPr="00304F2D">
        <w:rPr>
          <w:rFonts w:ascii="Times New Roman" w:hAnsi="Times New Roman" w:cs="Times New Roman"/>
        </w:rPr>
        <w:t xml:space="preserve">demonstrates </w:t>
      </w:r>
      <w:r w:rsidR="008A09C8" w:rsidRPr="00304F2D">
        <w:rPr>
          <w:rFonts w:ascii="Times New Roman" w:hAnsi="Times New Roman" w:cs="Times New Roman"/>
        </w:rPr>
        <w:t>remarkable consistency in the distributions over the years</w:t>
      </w:r>
      <w:r w:rsidR="002C7396" w:rsidRPr="00304F2D">
        <w:rPr>
          <w:rFonts w:ascii="Times New Roman" w:hAnsi="Times New Roman" w:cs="Times New Roman"/>
        </w:rPr>
        <w:t xml:space="preserve">, suggesting these patterns are </w:t>
      </w:r>
      <w:r w:rsidR="003501F8" w:rsidRPr="00304F2D">
        <w:rPr>
          <w:rFonts w:ascii="Times New Roman" w:hAnsi="Times New Roman" w:cs="Times New Roman"/>
        </w:rPr>
        <w:t>impervious</w:t>
      </w:r>
      <w:r w:rsidR="002C7396" w:rsidRPr="00304F2D">
        <w:rPr>
          <w:rFonts w:ascii="Times New Roman" w:hAnsi="Times New Roman" w:cs="Times New Roman"/>
        </w:rPr>
        <w:t xml:space="preserve"> to specific campaigns or initiatives</w:t>
      </w:r>
      <w:r w:rsidR="008A09C8" w:rsidRPr="00304F2D">
        <w:rPr>
          <w:rFonts w:ascii="Times New Roman" w:hAnsi="Times New Roman" w:cs="Times New Roman"/>
        </w:rPr>
        <w:t>.</w:t>
      </w:r>
    </w:p>
    <w:p w14:paraId="68E0AF50" w14:textId="77777777" w:rsidR="003D1C98" w:rsidRPr="00304F2D" w:rsidRDefault="003D1C98" w:rsidP="003D1C98">
      <w:pPr>
        <w:spacing w:line="480" w:lineRule="auto"/>
        <w:ind w:firstLine="720"/>
        <w:rPr>
          <w:rFonts w:ascii="Times New Roman" w:hAnsi="Times New Roman" w:cs="Times New Roman"/>
        </w:rPr>
      </w:pPr>
    </w:p>
    <w:p w14:paraId="13998AB7" w14:textId="1922A6A2" w:rsidR="00C32CE5" w:rsidRPr="00304F2D" w:rsidRDefault="00C32CE5" w:rsidP="00C32CE5">
      <w:pPr>
        <w:widowControl w:val="0"/>
        <w:rPr>
          <w:rFonts w:ascii="Times New Roman" w:hAnsi="Times New Roman" w:cs="Times New Roman"/>
        </w:rPr>
      </w:pPr>
      <w:r w:rsidRPr="00304F2D">
        <w:rPr>
          <w:rFonts w:ascii="Times New Roman" w:hAnsi="Times New Roman" w:cs="Times New Roman"/>
          <w:b/>
          <w:color w:val="000000" w:themeColor="text1"/>
        </w:rPr>
        <w:t xml:space="preserve">Table </w:t>
      </w:r>
      <w:r w:rsidR="009447D4" w:rsidRPr="00304F2D">
        <w:rPr>
          <w:rFonts w:ascii="Times New Roman" w:hAnsi="Times New Roman" w:cs="Times New Roman"/>
          <w:b/>
          <w:color w:val="000000" w:themeColor="text1"/>
        </w:rPr>
        <w:t>2</w:t>
      </w:r>
    </w:p>
    <w:p w14:paraId="74DF2FA6" w14:textId="3A457633" w:rsidR="00C32CE5" w:rsidRPr="00304F2D" w:rsidRDefault="00C32CE5" w:rsidP="001D4A02">
      <w:pPr>
        <w:widowControl w:val="0"/>
        <w:rPr>
          <w:rFonts w:ascii="Times New Roman" w:hAnsi="Times New Roman" w:cs="Times New Roman"/>
          <w:b/>
          <w:color w:val="000000" w:themeColor="text1"/>
        </w:rPr>
      </w:pPr>
      <w:r w:rsidRPr="00304F2D">
        <w:rPr>
          <w:rFonts w:ascii="Times New Roman" w:hAnsi="Times New Roman" w:cs="Times New Roman"/>
          <w:b/>
          <w:color w:val="000000" w:themeColor="text1"/>
        </w:rPr>
        <w:t xml:space="preserve">Whole Blood, Total and New donor frequency distributions </w:t>
      </w:r>
    </w:p>
    <w:tbl>
      <w:tblPr>
        <w:tblStyle w:val="TableGrid"/>
        <w:tblW w:w="4048" w:type="pct"/>
        <w:tblInd w:w="-318" w:type="dxa"/>
        <w:tblLayout w:type="fixed"/>
        <w:tblLook w:val="04A0" w:firstRow="1" w:lastRow="0" w:firstColumn="1" w:lastColumn="0" w:noHBand="0" w:noVBand="1"/>
      </w:tblPr>
      <w:tblGrid>
        <w:gridCol w:w="3120"/>
        <w:gridCol w:w="983"/>
        <w:gridCol w:w="1125"/>
        <w:gridCol w:w="1125"/>
        <w:gridCol w:w="1125"/>
      </w:tblGrid>
      <w:tr w:rsidR="00997DFB" w:rsidRPr="00304F2D" w14:paraId="2F424846" w14:textId="77777777" w:rsidTr="00C6049E">
        <w:tc>
          <w:tcPr>
            <w:tcW w:w="2086" w:type="pct"/>
            <w:tcBorders>
              <w:top w:val="nil"/>
              <w:left w:val="nil"/>
              <w:bottom w:val="single" w:sz="4" w:space="0" w:color="auto"/>
              <w:right w:val="nil"/>
            </w:tcBorders>
          </w:tcPr>
          <w:p w14:paraId="545B5052" w14:textId="2605D464"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 xml:space="preserve">Total </w:t>
            </w:r>
          </w:p>
        </w:tc>
        <w:tc>
          <w:tcPr>
            <w:tcW w:w="657" w:type="pct"/>
            <w:tcBorders>
              <w:top w:val="nil"/>
              <w:left w:val="nil"/>
              <w:bottom w:val="single" w:sz="4" w:space="0" w:color="auto"/>
              <w:right w:val="nil"/>
            </w:tcBorders>
            <w:vAlign w:val="center"/>
          </w:tcPr>
          <w:p w14:paraId="4E253F77" w14:textId="77777777" w:rsidR="00997DFB" w:rsidRPr="00304F2D" w:rsidRDefault="00997DFB" w:rsidP="004B1B5F">
            <w:pPr>
              <w:widowControl w:val="0"/>
              <w:jc w:val="center"/>
              <w:rPr>
                <w:rFonts w:ascii="Times New Roman" w:hAnsi="Times New Roman" w:cs="Times New Roman"/>
                <w:b/>
              </w:rPr>
            </w:pPr>
            <w:r w:rsidRPr="00304F2D">
              <w:rPr>
                <w:rFonts w:ascii="Times New Roman" w:hAnsi="Times New Roman" w:cs="Times New Roman"/>
              </w:rPr>
              <w:t>1</w:t>
            </w:r>
          </w:p>
        </w:tc>
        <w:tc>
          <w:tcPr>
            <w:tcW w:w="752" w:type="pct"/>
            <w:tcBorders>
              <w:top w:val="nil"/>
              <w:left w:val="nil"/>
              <w:bottom w:val="single" w:sz="4" w:space="0" w:color="auto"/>
              <w:right w:val="nil"/>
            </w:tcBorders>
            <w:vAlign w:val="center"/>
          </w:tcPr>
          <w:p w14:paraId="0600A4BB" w14:textId="77777777" w:rsidR="00997DFB" w:rsidRPr="00304F2D" w:rsidRDefault="00997DFB" w:rsidP="004B1B5F">
            <w:pPr>
              <w:widowControl w:val="0"/>
              <w:jc w:val="center"/>
              <w:rPr>
                <w:rFonts w:ascii="Times New Roman" w:hAnsi="Times New Roman" w:cs="Times New Roman"/>
                <w:b/>
              </w:rPr>
            </w:pPr>
            <w:r w:rsidRPr="00304F2D">
              <w:rPr>
                <w:rFonts w:ascii="Times New Roman" w:hAnsi="Times New Roman" w:cs="Times New Roman"/>
              </w:rPr>
              <w:t>2</w:t>
            </w:r>
          </w:p>
        </w:tc>
        <w:tc>
          <w:tcPr>
            <w:tcW w:w="752" w:type="pct"/>
            <w:tcBorders>
              <w:top w:val="nil"/>
              <w:left w:val="nil"/>
              <w:bottom w:val="single" w:sz="4" w:space="0" w:color="auto"/>
              <w:right w:val="nil"/>
            </w:tcBorders>
            <w:vAlign w:val="center"/>
          </w:tcPr>
          <w:p w14:paraId="61BC4E02" w14:textId="4A86A3DF" w:rsidR="00997DFB" w:rsidRPr="00304F2D" w:rsidRDefault="00997DFB" w:rsidP="004B1B5F">
            <w:pPr>
              <w:widowControl w:val="0"/>
              <w:jc w:val="center"/>
              <w:rPr>
                <w:rFonts w:ascii="Times New Roman" w:hAnsi="Times New Roman" w:cs="Times New Roman"/>
                <w:b/>
              </w:rPr>
            </w:pPr>
            <w:r w:rsidRPr="00304F2D">
              <w:rPr>
                <w:rFonts w:ascii="Times New Roman" w:hAnsi="Times New Roman" w:cs="Times New Roman"/>
              </w:rPr>
              <w:t>3+</w:t>
            </w:r>
          </w:p>
        </w:tc>
        <w:tc>
          <w:tcPr>
            <w:tcW w:w="752" w:type="pct"/>
            <w:tcBorders>
              <w:top w:val="nil"/>
              <w:left w:val="nil"/>
              <w:bottom w:val="single" w:sz="4" w:space="0" w:color="auto"/>
              <w:right w:val="nil"/>
            </w:tcBorders>
          </w:tcPr>
          <w:p w14:paraId="585E2870" w14:textId="77777777" w:rsidR="00997DFB" w:rsidRPr="00304F2D" w:rsidRDefault="00997DFB" w:rsidP="004B1B5F">
            <w:pPr>
              <w:widowControl w:val="0"/>
              <w:jc w:val="center"/>
              <w:rPr>
                <w:rFonts w:ascii="Times New Roman" w:hAnsi="Times New Roman" w:cs="Times New Roman"/>
              </w:rPr>
            </w:pPr>
            <w:r w:rsidRPr="00304F2D">
              <w:rPr>
                <w:rFonts w:ascii="Times New Roman" w:hAnsi="Times New Roman" w:cs="Times New Roman"/>
              </w:rPr>
              <w:t>Total</w:t>
            </w:r>
          </w:p>
        </w:tc>
      </w:tr>
      <w:tr w:rsidR="00997DFB" w:rsidRPr="00304F2D" w14:paraId="6F4C7DF3" w14:textId="77777777" w:rsidTr="00C6049E">
        <w:tc>
          <w:tcPr>
            <w:tcW w:w="2086" w:type="pct"/>
            <w:tcBorders>
              <w:top w:val="nil"/>
              <w:left w:val="nil"/>
              <w:bottom w:val="single" w:sz="4" w:space="0" w:color="auto"/>
              <w:right w:val="nil"/>
            </w:tcBorders>
          </w:tcPr>
          <w:p w14:paraId="1CDB7B60" w14:textId="48B1BF6B"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2007 %</w:t>
            </w:r>
          </w:p>
        </w:tc>
        <w:tc>
          <w:tcPr>
            <w:tcW w:w="657" w:type="pct"/>
            <w:tcBorders>
              <w:top w:val="nil"/>
              <w:left w:val="nil"/>
              <w:bottom w:val="single" w:sz="4" w:space="0" w:color="auto"/>
              <w:right w:val="nil"/>
            </w:tcBorders>
            <w:vAlign w:val="center"/>
          </w:tcPr>
          <w:p w14:paraId="2B18D277" w14:textId="77777777" w:rsidR="00997DFB" w:rsidRPr="00304F2D" w:rsidRDefault="00997DFB" w:rsidP="004B1B5F">
            <w:pPr>
              <w:widowControl w:val="0"/>
              <w:jc w:val="center"/>
              <w:rPr>
                <w:rFonts w:ascii="Times New Roman" w:hAnsi="Times New Roman" w:cs="Times New Roman"/>
              </w:rPr>
            </w:pPr>
          </w:p>
        </w:tc>
        <w:tc>
          <w:tcPr>
            <w:tcW w:w="752" w:type="pct"/>
            <w:tcBorders>
              <w:top w:val="nil"/>
              <w:left w:val="nil"/>
              <w:bottom w:val="single" w:sz="4" w:space="0" w:color="auto"/>
              <w:right w:val="nil"/>
            </w:tcBorders>
            <w:vAlign w:val="center"/>
          </w:tcPr>
          <w:p w14:paraId="724EE8BB" w14:textId="77777777" w:rsidR="00997DFB" w:rsidRPr="00304F2D" w:rsidRDefault="00997DFB" w:rsidP="004B1B5F">
            <w:pPr>
              <w:widowControl w:val="0"/>
              <w:jc w:val="center"/>
              <w:rPr>
                <w:rFonts w:ascii="Times New Roman" w:hAnsi="Times New Roman" w:cs="Times New Roman"/>
              </w:rPr>
            </w:pPr>
          </w:p>
        </w:tc>
        <w:tc>
          <w:tcPr>
            <w:tcW w:w="752" w:type="pct"/>
            <w:tcBorders>
              <w:top w:val="nil"/>
              <w:left w:val="nil"/>
              <w:bottom w:val="single" w:sz="4" w:space="0" w:color="auto"/>
              <w:right w:val="nil"/>
            </w:tcBorders>
            <w:vAlign w:val="center"/>
          </w:tcPr>
          <w:p w14:paraId="58435567" w14:textId="77777777" w:rsidR="00997DFB" w:rsidRPr="00304F2D" w:rsidRDefault="00997DFB" w:rsidP="004B1B5F">
            <w:pPr>
              <w:widowControl w:val="0"/>
              <w:jc w:val="center"/>
              <w:rPr>
                <w:rFonts w:ascii="Times New Roman" w:hAnsi="Times New Roman" w:cs="Times New Roman"/>
              </w:rPr>
            </w:pPr>
          </w:p>
        </w:tc>
        <w:tc>
          <w:tcPr>
            <w:tcW w:w="752" w:type="pct"/>
            <w:tcBorders>
              <w:top w:val="nil"/>
              <w:left w:val="nil"/>
              <w:bottom w:val="single" w:sz="4" w:space="0" w:color="auto"/>
              <w:right w:val="nil"/>
            </w:tcBorders>
          </w:tcPr>
          <w:p w14:paraId="1727DCC0" w14:textId="77777777" w:rsidR="00997DFB" w:rsidRPr="00304F2D" w:rsidRDefault="00997DFB" w:rsidP="004B1B5F">
            <w:pPr>
              <w:widowControl w:val="0"/>
              <w:jc w:val="center"/>
              <w:rPr>
                <w:rFonts w:ascii="Times New Roman" w:hAnsi="Times New Roman" w:cs="Times New Roman"/>
              </w:rPr>
            </w:pPr>
          </w:p>
        </w:tc>
      </w:tr>
      <w:tr w:rsidR="00997DFB" w:rsidRPr="00304F2D" w14:paraId="3E44A9EF" w14:textId="77777777" w:rsidTr="00C6049E">
        <w:tc>
          <w:tcPr>
            <w:tcW w:w="2086" w:type="pct"/>
            <w:tcBorders>
              <w:top w:val="nil"/>
              <w:left w:val="nil"/>
              <w:bottom w:val="nil"/>
              <w:right w:val="nil"/>
            </w:tcBorders>
          </w:tcPr>
          <w:p w14:paraId="6488C910" w14:textId="1593B21E" w:rsidR="00997DFB" w:rsidRPr="00304F2D" w:rsidRDefault="00997DFB" w:rsidP="004B1B5F">
            <w:pPr>
              <w:widowControl w:val="0"/>
              <w:rPr>
                <w:rFonts w:ascii="Times New Roman" w:hAnsi="Times New Roman" w:cs="Times New Roman"/>
              </w:rPr>
            </w:pPr>
            <w:r w:rsidRPr="00304F2D">
              <w:rPr>
                <w:rFonts w:ascii="Times New Roman" w:hAnsi="Times New Roman" w:cs="Times New Roman"/>
                <w:b/>
              </w:rPr>
              <w:t>New Donors</w:t>
            </w:r>
            <w:r w:rsidR="00C6049E" w:rsidRPr="00304F2D">
              <w:rPr>
                <w:rFonts w:ascii="Times New Roman" w:hAnsi="Times New Roman" w:cs="Times New Roman"/>
              </w:rPr>
              <w:t xml:space="preserve"> (n=126,214</w:t>
            </w:r>
            <w:r w:rsidRPr="00304F2D">
              <w:rPr>
                <w:rFonts w:ascii="Times New Roman" w:hAnsi="Times New Roman" w:cs="Times New Roman"/>
              </w:rPr>
              <w:t>)</w:t>
            </w:r>
          </w:p>
        </w:tc>
        <w:tc>
          <w:tcPr>
            <w:tcW w:w="657" w:type="pct"/>
            <w:tcBorders>
              <w:top w:val="nil"/>
              <w:left w:val="nil"/>
              <w:bottom w:val="nil"/>
              <w:right w:val="nil"/>
            </w:tcBorders>
            <w:vAlign w:val="center"/>
          </w:tcPr>
          <w:p w14:paraId="6E965954" w14:textId="4A5D3B8F" w:rsidR="00997DFB" w:rsidRPr="00304F2D" w:rsidRDefault="00C6049E" w:rsidP="004B1B5F">
            <w:pPr>
              <w:widowControl w:val="0"/>
              <w:jc w:val="center"/>
              <w:rPr>
                <w:rFonts w:ascii="Times New Roman" w:hAnsi="Times New Roman" w:cs="Times New Roman"/>
              </w:rPr>
            </w:pPr>
            <w:r w:rsidRPr="00304F2D">
              <w:rPr>
                <w:rFonts w:ascii="Times New Roman" w:eastAsia="Times New Roman" w:hAnsi="Times New Roman" w:cs="Times New Roman"/>
                <w:color w:val="000000"/>
              </w:rPr>
              <w:t>47</w:t>
            </w:r>
          </w:p>
        </w:tc>
        <w:tc>
          <w:tcPr>
            <w:tcW w:w="752" w:type="pct"/>
            <w:tcBorders>
              <w:top w:val="nil"/>
              <w:left w:val="nil"/>
              <w:bottom w:val="nil"/>
              <w:right w:val="nil"/>
            </w:tcBorders>
            <w:vAlign w:val="center"/>
          </w:tcPr>
          <w:p w14:paraId="18EDE8A6" w14:textId="4B722377" w:rsidR="00997DFB" w:rsidRPr="00304F2D" w:rsidRDefault="00C6049E" w:rsidP="004B1B5F">
            <w:pPr>
              <w:widowControl w:val="0"/>
              <w:jc w:val="center"/>
              <w:rPr>
                <w:rFonts w:ascii="Times New Roman" w:hAnsi="Times New Roman" w:cs="Times New Roman"/>
              </w:rPr>
            </w:pPr>
            <w:r w:rsidRPr="00304F2D">
              <w:rPr>
                <w:rFonts w:ascii="Times New Roman" w:eastAsia="Times New Roman" w:hAnsi="Times New Roman" w:cs="Times New Roman"/>
                <w:color w:val="000000"/>
              </w:rPr>
              <w:t>25</w:t>
            </w:r>
          </w:p>
        </w:tc>
        <w:tc>
          <w:tcPr>
            <w:tcW w:w="752" w:type="pct"/>
            <w:tcBorders>
              <w:top w:val="nil"/>
              <w:left w:val="nil"/>
              <w:bottom w:val="nil"/>
              <w:right w:val="nil"/>
            </w:tcBorders>
            <w:vAlign w:val="center"/>
          </w:tcPr>
          <w:p w14:paraId="7A02E8F7" w14:textId="2C160DBA" w:rsidR="00997DFB" w:rsidRPr="00304F2D" w:rsidRDefault="00C6049E" w:rsidP="00C6049E">
            <w:pPr>
              <w:widowControl w:val="0"/>
              <w:jc w:val="center"/>
              <w:rPr>
                <w:rFonts w:ascii="Times New Roman" w:hAnsi="Times New Roman" w:cs="Times New Roman"/>
              </w:rPr>
            </w:pPr>
            <w:r w:rsidRPr="00304F2D">
              <w:rPr>
                <w:rFonts w:ascii="Times New Roman" w:eastAsia="Times New Roman" w:hAnsi="Times New Roman" w:cs="Times New Roman"/>
                <w:color w:val="000000"/>
              </w:rPr>
              <w:t>28</w:t>
            </w:r>
          </w:p>
        </w:tc>
        <w:tc>
          <w:tcPr>
            <w:tcW w:w="752" w:type="pct"/>
            <w:tcBorders>
              <w:top w:val="nil"/>
              <w:left w:val="nil"/>
              <w:bottom w:val="nil"/>
              <w:right w:val="nil"/>
            </w:tcBorders>
            <w:vAlign w:val="bottom"/>
          </w:tcPr>
          <w:p w14:paraId="70F691CF" w14:textId="7A155A5A"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192D4760" w14:textId="77777777" w:rsidTr="00C6049E">
        <w:tc>
          <w:tcPr>
            <w:tcW w:w="2086" w:type="pct"/>
            <w:tcBorders>
              <w:top w:val="nil"/>
              <w:left w:val="nil"/>
              <w:bottom w:val="single" w:sz="4" w:space="0" w:color="auto"/>
              <w:right w:val="nil"/>
            </w:tcBorders>
          </w:tcPr>
          <w:p w14:paraId="6B3819DA" w14:textId="5636447A" w:rsidR="00997DFB" w:rsidRPr="00304F2D" w:rsidRDefault="00C6049E" w:rsidP="004B1B5F">
            <w:pPr>
              <w:widowControl w:val="0"/>
              <w:rPr>
                <w:rFonts w:ascii="Times New Roman" w:hAnsi="Times New Roman" w:cs="Times New Roman"/>
                <w:b/>
              </w:rPr>
            </w:pPr>
            <w:r w:rsidRPr="00304F2D">
              <w:rPr>
                <w:rFonts w:ascii="Times New Roman" w:hAnsi="Times New Roman" w:cs="Times New Roman"/>
                <w:b/>
              </w:rPr>
              <w:t xml:space="preserve">Existing </w:t>
            </w:r>
            <w:r w:rsidR="00482D78">
              <w:rPr>
                <w:rFonts w:ascii="Times New Roman" w:hAnsi="Times New Roman" w:cs="Times New Roman"/>
                <w:b/>
              </w:rPr>
              <w:t>D</w:t>
            </w:r>
            <w:r w:rsidR="00997DFB" w:rsidRPr="00304F2D">
              <w:rPr>
                <w:rFonts w:ascii="Times New Roman" w:hAnsi="Times New Roman" w:cs="Times New Roman"/>
                <w:b/>
              </w:rPr>
              <w:t>onors</w:t>
            </w:r>
            <w:r w:rsidRPr="00304F2D">
              <w:rPr>
                <w:rFonts w:ascii="Times New Roman" w:hAnsi="Times New Roman" w:cs="Times New Roman"/>
              </w:rPr>
              <w:t xml:space="preserve"> (n=335,567</w:t>
            </w:r>
            <w:r w:rsidR="00997DFB" w:rsidRPr="00304F2D">
              <w:rPr>
                <w:rFonts w:ascii="Times New Roman" w:hAnsi="Times New Roman" w:cs="Times New Roman"/>
              </w:rPr>
              <w:t>)</w:t>
            </w:r>
          </w:p>
        </w:tc>
        <w:tc>
          <w:tcPr>
            <w:tcW w:w="657" w:type="pct"/>
            <w:tcBorders>
              <w:top w:val="nil"/>
              <w:left w:val="nil"/>
              <w:bottom w:val="single" w:sz="4" w:space="0" w:color="auto"/>
              <w:right w:val="nil"/>
            </w:tcBorders>
            <w:vAlign w:val="center"/>
          </w:tcPr>
          <w:p w14:paraId="6244ACD7" w14:textId="2D720FB3"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w:t>
            </w:r>
            <w:r w:rsidR="00C6049E" w:rsidRPr="00304F2D">
              <w:rPr>
                <w:rFonts w:ascii="Times New Roman" w:eastAsia="Times New Roman" w:hAnsi="Times New Roman" w:cs="Times New Roman"/>
                <w:color w:val="000000"/>
              </w:rPr>
              <w:t>1</w:t>
            </w:r>
          </w:p>
        </w:tc>
        <w:tc>
          <w:tcPr>
            <w:tcW w:w="752" w:type="pct"/>
            <w:tcBorders>
              <w:top w:val="nil"/>
              <w:left w:val="nil"/>
              <w:bottom w:val="single" w:sz="4" w:space="0" w:color="auto"/>
              <w:right w:val="nil"/>
            </w:tcBorders>
            <w:vAlign w:val="center"/>
          </w:tcPr>
          <w:p w14:paraId="7FA79CA0" w14:textId="70365F86"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w:t>
            </w:r>
            <w:r w:rsidR="00C6049E" w:rsidRPr="00304F2D">
              <w:rPr>
                <w:rFonts w:ascii="Times New Roman" w:eastAsia="Times New Roman" w:hAnsi="Times New Roman" w:cs="Times New Roman"/>
                <w:color w:val="000000"/>
              </w:rPr>
              <w:t>6</w:t>
            </w:r>
          </w:p>
        </w:tc>
        <w:tc>
          <w:tcPr>
            <w:tcW w:w="752" w:type="pct"/>
            <w:tcBorders>
              <w:top w:val="nil"/>
              <w:left w:val="nil"/>
              <w:bottom w:val="single" w:sz="4" w:space="0" w:color="auto"/>
              <w:right w:val="nil"/>
            </w:tcBorders>
            <w:vAlign w:val="center"/>
          </w:tcPr>
          <w:p w14:paraId="5C30B53D" w14:textId="667C232C"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33</w:t>
            </w:r>
          </w:p>
        </w:tc>
        <w:tc>
          <w:tcPr>
            <w:tcW w:w="752" w:type="pct"/>
            <w:tcBorders>
              <w:top w:val="nil"/>
              <w:left w:val="nil"/>
              <w:bottom w:val="single" w:sz="4" w:space="0" w:color="auto"/>
              <w:right w:val="nil"/>
            </w:tcBorders>
            <w:vAlign w:val="bottom"/>
          </w:tcPr>
          <w:p w14:paraId="184138D0" w14:textId="7A5DC32C"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6F9BDFD4" w14:textId="77777777" w:rsidTr="00C6049E">
        <w:tc>
          <w:tcPr>
            <w:tcW w:w="2086" w:type="pct"/>
            <w:tcBorders>
              <w:top w:val="single" w:sz="4" w:space="0" w:color="auto"/>
              <w:left w:val="nil"/>
              <w:bottom w:val="single" w:sz="4" w:space="0" w:color="auto"/>
              <w:right w:val="nil"/>
            </w:tcBorders>
          </w:tcPr>
          <w:p w14:paraId="7917F01C" w14:textId="66094376"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2008 %</w:t>
            </w:r>
          </w:p>
        </w:tc>
        <w:tc>
          <w:tcPr>
            <w:tcW w:w="657" w:type="pct"/>
            <w:tcBorders>
              <w:top w:val="single" w:sz="4" w:space="0" w:color="auto"/>
              <w:left w:val="nil"/>
              <w:bottom w:val="single" w:sz="4" w:space="0" w:color="auto"/>
              <w:right w:val="nil"/>
            </w:tcBorders>
            <w:vAlign w:val="center"/>
          </w:tcPr>
          <w:p w14:paraId="266351E4"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4B496B13"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5A9D8A2C"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bottom"/>
          </w:tcPr>
          <w:p w14:paraId="411F7A19" w14:textId="77777777" w:rsidR="00997DFB" w:rsidRPr="00304F2D" w:rsidRDefault="00997DFB" w:rsidP="004B1B5F">
            <w:pPr>
              <w:widowControl w:val="0"/>
              <w:jc w:val="center"/>
              <w:rPr>
                <w:rFonts w:ascii="Times New Roman" w:eastAsia="Times New Roman" w:hAnsi="Times New Roman" w:cs="Times New Roman"/>
                <w:color w:val="000000"/>
              </w:rPr>
            </w:pPr>
          </w:p>
        </w:tc>
      </w:tr>
      <w:tr w:rsidR="00997DFB" w:rsidRPr="00304F2D" w14:paraId="0CF5D40A" w14:textId="77777777" w:rsidTr="00C6049E">
        <w:tc>
          <w:tcPr>
            <w:tcW w:w="2086" w:type="pct"/>
            <w:tcBorders>
              <w:top w:val="single" w:sz="4" w:space="0" w:color="auto"/>
              <w:left w:val="nil"/>
              <w:bottom w:val="nil"/>
              <w:right w:val="nil"/>
            </w:tcBorders>
          </w:tcPr>
          <w:p w14:paraId="49E6C48C" w14:textId="3C5DA517" w:rsidR="00997DFB" w:rsidRPr="00304F2D" w:rsidRDefault="00997DFB" w:rsidP="004B1B5F">
            <w:pPr>
              <w:widowControl w:val="0"/>
              <w:rPr>
                <w:rFonts w:ascii="Times New Roman" w:hAnsi="Times New Roman" w:cs="Times New Roman"/>
              </w:rPr>
            </w:pPr>
            <w:r w:rsidRPr="00304F2D">
              <w:rPr>
                <w:rFonts w:ascii="Times New Roman" w:hAnsi="Times New Roman" w:cs="Times New Roman"/>
                <w:b/>
              </w:rPr>
              <w:t>New Donors</w:t>
            </w:r>
            <w:r w:rsidR="00C6049E" w:rsidRPr="00304F2D">
              <w:rPr>
                <w:rFonts w:ascii="Times New Roman" w:hAnsi="Times New Roman" w:cs="Times New Roman"/>
              </w:rPr>
              <w:t xml:space="preserve"> (n=126,928</w:t>
            </w:r>
            <w:r w:rsidRPr="00304F2D">
              <w:rPr>
                <w:rFonts w:ascii="Times New Roman" w:hAnsi="Times New Roman" w:cs="Times New Roman"/>
              </w:rPr>
              <w:t>)</w:t>
            </w:r>
          </w:p>
        </w:tc>
        <w:tc>
          <w:tcPr>
            <w:tcW w:w="657" w:type="pct"/>
            <w:tcBorders>
              <w:top w:val="single" w:sz="4" w:space="0" w:color="auto"/>
              <w:left w:val="nil"/>
              <w:bottom w:val="nil"/>
              <w:right w:val="nil"/>
            </w:tcBorders>
            <w:vAlign w:val="center"/>
          </w:tcPr>
          <w:p w14:paraId="350F0481" w14:textId="370727BE"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hAnsi="Times New Roman" w:cs="Times New Roman"/>
              </w:rPr>
              <w:t>46</w:t>
            </w:r>
          </w:p>
        </w:tc>
        <w:tc>
          <w:tcPr>
            <w:tcW w:w="752" w:type="pct"/>
            <w:tcBorders>
              <w:top w:val="single" w:sz="4" w:space="0" w:color="auto"/>
              <w:left w:val="nil"/>
              <w:bottom w:val="nil"/>
              <w:right w:val="nil"/>
            </w:tcBorders>
            <w:vAlign w:val="center"/>
          </w:tcPr>
          <w:p w14:paraId="1C2C93F2" w14:textId="7379118A"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hAnsi="Times New Roman" w:cs="Times New Roman"/>
              </w:rPr>
              <w:t>2</w:t>
            </w:r>
            <w:r w:rsidR="00C6049E" w:rsidRPr="00304F2D">
              <w:rPr>
                <w:rFonts w:ascii="Times New Roman" w:hAnsi="Times New Roman" w:cs="Times New Roman"/>
              </w:rPr>
              <w:t>5</w:t>
            </w:r>
          </w:p>
        </w:tc>
        <w:tc>
          <w:tcPr>
            <w:tcW w:w="752" w:type="pct"/>
            <w:tcBorders>
              <w:top w:val="single" w:sz="4" w:space="0" w:color="auto"/>
              <w:left w:val="nil"/>
              <w:bottom w:val="nil"/>
              <w:right w:val="nil"/>
            </w:tcBorders>
            <w:vAlign w:val="center"/>
          </w:tcPr>
          <w:p w14:paraId="75345E89" w14:textId="00FDBBC9"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hAnsi="Times New Roman" w:cs="Times New Roman"/>
              </w:rPr>
              <w:t>29</w:t>
            </w:r>
          </w:p>
        </w:tc>
        <w:tc>
          <w:tcPr>
            <w:tcW w:w="752" w:type="pct"/>
            <w:tcBorders>
              <w:top w:val="single" w:sz="4" w:space="0" w:color="auto"/>
              <w:left w:val="nil"/>
              <w:bottom w:val="nil"/>
              <w:right w:val="nil"/>
            </w:tcBorders>
            <w:vAlign w:val="bottom"/>
          </w:tcPr>
          <w:p w14:paraId="42CB512C" w14:textId="69E6AE95"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45930C87" w14:textId="77777777" w:rsidTr="00C6049E">
        <w:tc>
          <w:tcPr>
            <w:tcW w:w="2086" w:type="pct"/>
            <w:tcBorders>
              <w:top w:val="nil"/>
              <w:left w:val="nil"/>
              <w:bottom w:val="single" w:sz="4" w:space="0" w:color="auto"/>
              <w:right w:val="nil"/>
            </w:tcBorders>
          </w:tcPr>
          <w:p w14:paraId="4DD428F2" w14:textId="274DD792" w:rsidR="00997DFB" w:rsidRPr="00304F2D" w:rsidRDefault="00C6049E" w:rsidP="004B1B5F">
            <w:pPr>
              <w:widowControl w:val="0"/>
              <w:rPr>
                <w:rFonts w:ascii="Times New Roman" w:hAnsi="Times New Roman" w:cs="Times New Roman"/>
                <w:b/>
              </w:rPr>
            </w:pPr>
            <w:r w:rsidRPr="00304F2D">
              <w:rPr>
                <w:rFonts w:ascii="Times New Roman" w:hAnsi="Times New Roman" w:cs="Times New Roman"/>
                <w:b/>
              </w:rPr>
              <w:t>Existing</w:t>
            </w:r>
            <w:r w:rsidR="00482D78">
              <w:rPr>
                <w:rFonts w:ascii="Times New Roman" w:hAnsi="Times New Roman" w:cs="Times New Roman"/>
                <w:b/>
              </w:rPr>
              <w:t xml:space="preserve"> D</w:t>
            </w:r>
            <w:r w:rsidR="00997DFB" w:rsidRPr="00304F2D">
              <w:rPr>
                <w:rFonts w:ascii="Times New Roman" w:hAnsi="Times New Roman" w:cs="Times New Roman"/>
                <w:b/>
              </w:rPr>
              <w:t>onors</w:t>
            </w:r>
            <w:r w:rsidRPr="00304F2D">
              <w:rPr>
                <w:rFonts w:ascii="Times New Roman" w:hAnsi="Times New Roman" w:cs="Times New Roman"/>
              </w:rPr>
              <w:t xml:space="preserve"> (n=347,050</w:t>
            </w:r>
            <w:r w:rsidR="00997DFB" w:rsidRPr="00304F2D">
              <w:rPr>
                <w:rFonts w:ascii="Times New Roman" w:hAnsi="Times New Roman" w:cs="Times New Roman"/>
              </w:rPr>
              <w:t>)</w:t>
            </w:r>
          </w:p>
        </w:tc>
        <w:tc>
          <w:tcPr>
            <w:tcW w:w="657" w:type="pct"/>
            <w:tcBorders>
              <w:top w:val="nil"/>
              <w:left w:val="nil"/>
              <w:bottom w:val="single" w:sz="4" w:space="0" w:color="auto"/>
              <w:right w:val="nil"/>
            </w:tcBorders>
            <w:vAlign w:val="center"/>
          </w:tcPr>
          <w:p w14:paraId="5F33B749" w14:textId="2CD1867B"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w:t>
            </w:r>
            <w:r w:rsidR="00C6049E" w:rsidRPr="00304F2D">
              <w:rPr>
                <w:rFonts w:ascii="Times New Roman" w:eastAsia="Times New Roman" w:hAnsi="Times New Roman" w:cs="Times New Roman"/>
                <w:color w:val="000000"/>
              </w:rPr>
              <w:t>1</w:t>
            </w:r>
          </w:p>
        </w:tc>
        <w:tc>
          <w:tcPr>
            <w:tcW w:w="752" w:type="pct"/>
            <w:tcBorders>
              <w:top w:val="nil"/>
              <w:left w:val="nil"/>
              <w:bottom w:val="single" w:sz="4" w:space="0" w:color="auto"/>
              <w:right w:val="nil"/>
            </w:tcBorders>
            <w:vAlign w:val="center"/>
          </w:tcPr>
          <w:p w14:paraId="5E0B5085" w14:textId="3074C79D"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w:t>
            </w:r>
            <w:r w:rsidR="00C6049E" w:rsidRPr="00304F2D">
              <w:rPr>
                <w:rFonts w:ascii="Times New Roman" w:eastAsia="Times New Roman" w:hAnsi="Times New Roman" w:cs="Times New Roman"/>
                <w:color w:val="000000"/>
              </w:rPr>
              <w:t>6</w:t>
            </w:r>
          </w:p>
        </w:tc>
        <w:tc>
          <w:tcPr>
            <w:tcW w:w="752" w:type="pct"/>
            <w:tcBorders>
              <w:top w:val="nil"/>
              <w:left w:val="nil"/>
              <w:bottom w:val="single" w:sz="4" w:space="0" w:color="auto"/>
              <w:right w:val="nil"/>
            </w:tcBorders>
            <w:vAlign w:val="center"/>
          </w:tcPr>
          <w:p w14:paraId="731CF8D2" w14:textId="5D599745"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32</w:t>
            </w:r>
          </w:p>
        </w:tc>
        <w:tc>
          <w:tcPr>
            <w:tcW w:w="752" w:type="pct"/>
            <w:tcBorders>
              <w:top w:val="nil"/>
              <w:left w:val="nil"/>
              <w:bottom w:val="single" w:sz="4" w:space="0" w:color="auto"/>
              <w:right w:val="nil"/>
            </w:tcBorders>
            <w:vAlign w:val="bottom"/>
          </w:tcPr>
          <w:p w14:paraId="60D424C2" w14:textId="0E053DA5"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58934D84" w14:textId="77777777" w:rsidTr="00C6049E">
        <w:tc>
          <w:tcPr>
            <w:tcW w:w="2086" w:type="pct"/>
            <w:tcBorders>
              <w:top w:val="single" w:sz="4" w:space="0" w:color="auto"/>
              <w:left w:val="nil"/>
              <w:bottom w:val="single" w:sz="4" w:space="0" w:color="auto"/>
              <w:right w:val="nil"/>
            </w:tcBorders>
          </w:tcPr>
          <w:p w14:paraId="35548005" w14:textId="0C6DECAC"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2009 %</w:t>
            </w:r>
          </w:p>
        </w:tc>
        <w:tc>
          <w:tcPr>
            <w:tcW w:w="657" w:type="pct"/>
            <w:tcBorders>
              <w:top w:val="single" w:sz="4" w:space="0" w:color="auto"/>
              <w:left w:val="nil"/>
              <w:bottom w:val="single" w:sz="4" w:space="0" w:color="auto"/>
              <w:right w:val="nil"/>
            </w:tcBorders>
            <w:vAlign w:val="center"/>
          </w:tcPr>
          <w:p w14:paraId="05C005A7"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32A5963C"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158148FA"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bottom"/>
          </w:tcPr>
          <w:p w14:paraId="7BBB3954" w14:textId="77777777" w:rsidR="00997DFB" w:rsidRPr="00304F2D" w:rsidRDefault="00997DFB" w:rsidP="004B1B5F">
            <w:pPr>
              <w:widowControl w:val="0"/>
              <w:jc w:val="center"/>
              <w:rPr>
                <w:rFonts w:ascii="Times New Roman" w:eastAsia="Times New Roman" w:hAnsi="Times New Roman" w:cs="Times New Roman"/>
                <w:color w:val="000000"/>
              </w:rPr>
            </w:pPr>
          </w:p>
        </w:tc>
      </w:tr>
      <w:tr w:rsidR="00997DFB" w:rsidRPr="00304F2D" w14:paraId="6AF021CE" w14:textId="77777777" w:rsidTr="00C6049E">
        <w:tc>
          <w:tcPr>
            <w:tcW w:w="2086" w:type="pct"/>
            <w:tcBorders>
              <w:top w:val="single" w:sz="4" w:space="0" w:color="auto"/>
              <w:left w:val="nil"/>
              <w:bottom w:val="nil"/>
              <w:right w:val="nil"/>
            </w:tcBorders>
          </w:tcPr>
          <w:p w14:paraId="2611A07D" w14:textId="1B8A561E" w:rsidR="00997DFB" w:rsidRPr="00304F2D" w:rsidRDefault="00997DFB" w:rsidP="004B1B5F">
            <w:pPr>
              <w:widowControl w:val="0"/>
              <w:rPr>
                <w:rFonts w:ascii="Times New Roman" w:hAnsi="Times New Roman" w:cs="Times New Roman"/>
              </w:rPr>
            </w:pPr>
            <w:r w:rsidRPr="00304F2D">
              <w:rPr>
                <w:rFonts w:ascii="Times New Roman" w:hAnsi="Times New Roman" w:cs="Times New Roman"/>
                <w:b/>
              </w:rPr>
              <w:t>New Donors</w:t>
            </w:r>
            <w:r w:rsidR="00C6049E" w:rsidRPr="00304F2D">
              <w:rPr>
                <w:rFonts w:ascii="Times New Roman" w:hAnsi="Times New Roman" w:cs="Times New Roman"/>
              </w:rPr>
              <w:t xml:space="preserve"> (n=140,44</w:t>
            </w:r>
            <w:r w:rsidRPr="00304F2D">
              <w:rPr>
                <w:rFonts w:ascii="Times New Roman" w:hAnsi="Times New Roman" w:cs="Times New Roman"/>
              </w:rPr>
              <w:t>7)</w:t>
            </w:r>
          </w:p>
        </w:tc>
        <w:tc>
          <w:tcPr>
            <w:tcW w:w="657" w:type="pct"/>
            <w:tcBorders>
              <w:top w:val="single" w:sz="4" w:space="0" w:color="auto"/>
              <w:left w:val="nil"/>
              <w:bottom w:val="nil"/>
              <w:right w:val="nil"/>
            </w:tcBorders>
            <w:vAlign w:val="center"/>
          </w:tcPr>
          <w:p w14:paraId="0D46A598" w14:textId="36EF4550"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45</w:t>
            </w:r>
          </w:p>
        </w:tc>
        <w:tc>
          <w:tcPr>
            <w:tcW w:w="752" w:type="pct"/>
            <w:tcBorders>
              <w:top w:val="single" w:sz="4" w:space="0" w:color="auto"/>
              <w:left w:val="nil"/>
              <w:bottom w:val="nil"/>
              <w:right w:val="nil"/>
            </w:tcBorders>
            <w:vAlign w:val="center"/>
          </w:tcPr>
          <w:p w14:paraId="6A4B64F3" w14:textId="3EE6B083"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25</w:t>
            </w:r>
          </w:p>
        </w:tc>
        <w:tc>
          <w:tcPr>
            <w:tcW w:w="752" w:type="pct"/>
            <w:tcBorders>
              <w:top w:val="single" w:sz="4" w:space="0" w:color="auto"/>
              <w:left w:val="nil"/>
              <w:bottom w:val="nil"/>
              <w:right w:val="nil"/>
            </w:tcBorders>
            <w:vAlign w:val="center"/>
          </w:tcPr>
          <w:p w14:paraId="696CA8F9" w14:textId="5ECB4594"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29</w:t>
            </w:r>
          </w:p>
        </w:tc>
        <w:tc>
          <w:tcPr>
            <w:tcW w:w="752" w:type="pct"/>
            <w:tcBorders>
              <w:top w:val="single" w:sz="4" w:space="0" w:color="auto"/>
              <w:left w:val="nil"/>
              <w:bottom w:val="nil"/>
              <w:right w:val="nil"/>
            </w:tcBorders>
            <w:vAlign w:val="bottom"/>
          </w:tcPr>
          <w:p w14:paraId="48AB33D4" w14:textId="5C186FCA"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66836385" w14:textId="77777777" w:rsidTr="00C6049E">
        <w:tc>
          <w:tcPr>
            <w:tcW w:w="2086" w:type="pct"/>
            <w:tcBorders>
              <w:top w:val="nil"/>
              <w:left w:val="nil"/>
              <w:bottom w:val="single" w:sz="4" w:space="0" w:color="auto"/>
              <w:right w:val="nil"/>
            </w:tcBorders>
          </w:tcPr>
          <w:p w14:paraId="194DDB37" w14:textId="7A8B0FA6" w:rsidR="00997DFB" w:rsidRPr="00304F2D" w:rsidRDefault="00C6049E" w:rsidP="004B1B5F">
            <w:pPr>
              <w:widowControl w:val="0"/>
              <w:rPr>
                <w:rFonts w:ascii="Times New Roman" w:hAnsi="Times New Roman" w:cs="Times New Roman"/>
                <w:b/>
              </w:rPr>
            </w:pPr>
            <w:r w:rsidRPr="00304F2D">
              <w:rPr>
                <w:rFonts w:ascii="Times New Roman" w:hAnsi="Times New Roman" w:cs="Times New Roman"/>
                <w:b/>
              </w:rPr>
              <w:t>Existing</w:t>
            </w:r>
            <w:r w:rsidR="00482D78">
              <w:rPr>
                <w:rFonts w:ascii="Times New Roman" w:hAnsi="Times New Roman" w:cs="Times New Roman"/>
                <w:b/>
              </w:rPr>
              <w:t xml:space="preserve"> D</w:t>
            </w:r>
            <w:r w:rsidR="00997DFB" w:rsidRPr="00304F2D">
              <w:rPr>
                <w:rFonts w:ascii="Times New Roman" w:hAnsi="Times New Roman" w:cs="Times New Roman"/>
                <w:b/>
              </w:rPr>
              <w:t>onors</w:t>
            </w:r>
            <w:r w:rsidRPr="00304F2D">
              <w:rPr>
                <w:rFonts w:ascii="Times New Roman" w:hAnsi="Times New Roman" w:cs="Times New Roman"/>
              </w:rPr>
              <w:t xml:space="preserve"> (n=358,937</w:t>
            </w:r>
            <w:r w:rsidR="00997DFB" w:rsidRPr="00304F2D">
              <w:rPr>
                <w:rFonts w:ascii="Times New Roman" w:hAnsi="Times New Roman" w:cs="Times New Roman"/>
              </w:rPr>
              <w:t>)</w:t>
            </w:r>
          </w:p>
        </w:tc>
        <w:tc>
          <w:tcPr>
            <w:tcW w:w="657" w:type="pct"/>
            <w:tcBorders>
              <w:top w:val="nil"/>
              <w:left w:val="nil"/>
              <w:bottom w:val="single" w:sz="4" w:space="0" w:color="auto"/>
              <w:right w:val="nil"/>
            </w:tcBorders>
            <w:vAlign w:val="center"/>
          </w:tcPr>
          <w:p w14:paraId="5ADF9EBA" w14:textId="62889FF7"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42</w:t>
            </w:r>
          </w:p>
        </w:tc>
        <w:tc>
          <w:tcPr>
            <w:tcW w:w="752" w:type="pct"/>
            <w:tcBorders>
              <w:top w:val="nil"/>
              <w:left w:val="nil"/>
              <w:bottom w:val="single" w:sz="4" w:space="0" w:color="auto"/>
              <w:right w:val="nil"/>
            </w:tcBorders>
            <w:vAlign w:val="center"/>
          </w:tcPr>
          <w:p w14:paraId="4FD925ED" w14:textId="4C2AC1E6"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26</w:t>
            </w:r>
          </w:p>
        </w:tc>
        <w:tc>
          <w:tcPr>
            <w:tcW w:w="752" w:type="pct"/>
            <w:tcBorders>
              <w:top w:val="nil"/>
              <w:left w:val="nil"/>
              <w:bottom w:val="single" w:sz="4" w:space="0" w:color="auto"/>
              <w:right w:val="nil"/>
            </w:tcBorders>
            <w:vAlign w:val="center"/>
          </w:tcPr>
          <w:p w14:paraId="5890E590" w14:textId="2485E314"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32</w:t>
            </w:r>
          </w:p>
        </w:tc>
        <w:tc>
          <w:tcPr>
            <w:tcW w:w="752" w:type="pct"/>
            <w:tcBorders>
              <w:top w:val="nil"/>
              <w:left w:val="nil"/>
              <w:bottom w:val="single" w:sz="4" w:space="0" w:color="auto"/>
              <w:right w:val="nil"/>
            </w:tcBorders>
            <w:vAlign w:val="bottom"/>
          </w:tcPr>
          <w:p w14:paraId="746F224A" w14:textId="43CFAFAD"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47B27B70" w14:textId="77777777" w:rsidTr="00C6049E">
        <w:tc>
          <w:tcPr>
            <w:tcW w:w="2086" w:type="pct"/>
            <w:tcBorders>
              <w:top w:val="single" w:sz="4" w:space="0" w:color="auto"/>
              <w:left w:val="nil"/>
              <w:bottom w:val="single" w:sz="4" w:space="0" w:color="auto"/>
              <w:right w:val="nil"/>
            </w:tcBorders>
          </w:tcPr>
          <w:p w14:paraId="598DE238" w14:textId="701D3E0D"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2010 %</w:t>
            </w:r>
          </w:p>
        </w:tc>
        <w:tc>
          <w:tcPr>
            <w:tcW w:w="657" w:type="pct"/>
            <w:tcBorders>
              <w:top w:val="single" w:sz="4" w:space="0" w:color="auto"/>
              <w:left w:val="nil"/>
              <w:bottom w:val="single" w:sz="4" w:space="0" w:color="auto"/>
              <w:right w:val="nil"/>
            </w:tcBorders>
            <w:vAlign w:val="center"/>
          </w:tcPr>
          <w:p w14:paraId="332C76AE"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4BD1C01C"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48C3D647"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bottom"/>
          </w:tcPr>
          <w:p w14:paraId="4E199D40" w14:textId="77777777" w:rsidR="00997DFB" w:rsidRPr="00304F2D" w:rsidRDefault="00997DFB" w:rsidP="004B1B5F">
            <w:pPr>
              <w:widowControl w:val="0"/>
              <w:jc w:val="center"/>
              <w:rPr>
                <w:rFonts w:ascii="Times New Roman" w:eastAsia="Times New Roman" w:hAnsi="Times New Roman" w:cs="Times New Roman"/>
                <w:color w:val="000000"/>
              </w:rPr>
            </w:pPr>
          </w:p>
        </w:tc>
      </w:tr>
      <w:tr w:rsidR="00997DFB" w:rsidRPr="00304F2D" w14:paraId="50DB72E8" w14:textId="77777777" w:rsidTr="00C6049E">
        <w:tc>
          <w:tcPr>
            <w:tcW w:w="2086" w:type="pct"/>
            <w:tcBorders>
              <w:top w:val="single" w:sz="4" w:space="0" w:color="auto"/>
              <w:left w:val="nil"/>
              <w:bottom w:val="nil"/>
              <w:right w:val="nil"/>
            </w:tcBorders>
          </w:tcPr>
          <w:p w14:paraId="253653B4" w14:textId="2E24C195" w:rsidR="00997DFB" w:rsidRPr="00304F2D" w:rsidRDefault="00C6049E" w:rsidP="004B1B5F">
            <w:pPr>
              <w:widowControl w:val="0"/>
              <w:rPr>
                <w:rFonts w:ascii="Times New Roman" w:hAnsi="Times New Roman" w:cs="Times New Roman"/>
              </w:rPr>
            </w:pPr>
            <w:r w:rsidRPr="00304F2D">
              <w:rPr>
                <w:rFonts w:ascii="Times New Roman" w:hAnsi="Times New Roman" w:cs="Times New Roman"/>
                <w:b/>
              </w:rPr>
              <w:t>New Donors</w:t>
            </w:r>
            <w:r w:rsidRPr="00304F2D">
              <w:rPr>
                <w:rFonts w:ascii="Times New Roman" w:hAnsi="Times New Roman" w:cs="Times New Roman"/>
              </w:rPr>
              <w:t xml:space="preserve"> (n=114,538</w:t>
            </w:r>
            <w:r w:rsidR="00997DFB" w:rsidRPr="00304F2D">
              <w:rPr>
                <w:rFonts w:ascii="Times New Roman" w:hAnsi="Times New Roman" w:cs="Times New Roman"/>
              </w:rPr>
              <w:t>)</w:t>
            </w:r>
          </w:p>
        </w:tc>
        <w:tc>
          <w:tcPr>
            <w:tcW w:w="657" w:type="pct"/>
            <w:tcBorders>
              <w:top w:val="single" w:sz="4" w:space="0" w:color="auto"/>
              <w:left w:val="nil"/>
              <w:bottom w:val="nil"/>
              <w:right w:val="nil"/>
            </w:tcBorders>
            <w:vAlign w:val="center"/>
          </w:tcPr>
          <w:p w14:paraId="3035D5F7" w14:textId="22D621BA" w:rsidR="00997DFB" w:rsidRPr="00304F2D" w:rsidRDefault="00C6049E" w:rsidP="00C6049E">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43</w:t>
            </w:r>
          </w:p>
        </w:tc>
        <w:tc>
          <w:tcPr>
            <w:tcW w:w="752" w:type="pct"/>
            <w:tcBorders>
              <w:top w:val="single" w:sz="4" w:space="0" w:color="auto"/>
              <w:left w:val="nil"/>
              <w:bottom w:val="nil"/>
              <w:right w:val="nil"/>
            </w:tcBorders>
            <w:vAlign w:val="center"/>
          </w:tcPr>
          <w:p w14:paraId="1C5E39B4" w14:textId="73F3C9D7"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27</w:t>
            </w:r>
          </w:p>
        </w:tc>
        <w:tc>
          <w:tcPr>
            <w:tcW w:w="752" w:type="pct"/>
            <w:tcBorders>
              <w:top w:val="single" w:sz="4" w:space="0" w:color="auto"/>
              <w:left w:val="nil"/>
              <w:bottom w:val="nil"/>
              <w:right w:val="nil"/>
            </w:tcBorders>
            <w:vAlign w:val="center"/>
          </w:tcPr>
          <w:p w14:paraId="65D8611D" w14:textId="3BF4A641"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w:t>
            </w:r>
            <w:r w:rsidR="00997DFB" w:rsidRPr="00304F2D">
              <w:rPr>
                <w:rFonts w:ascii="Times New Roman" w:eastAsia="Times New Roman" w:hAnsi="Times New Roman" w:cs="Times New Roman"/>
                <w:color w:val="000000"/>
              </w:rPr>
              <w:t>0</w:t>
            </w:r>
          </w:p>
        </w:tc>
        <w:tc>
          <w:tcPr>
            <w:tcW w:w="752" w:type="pct"/>
            <w:tcBorders>
              <w:top w:val="single" w:sz="4" w:space="0" w:color="auto"/>
              <w:left w:val="nil"/>
              <w:bottom w:val="nil"/>
              <w:right w:val="nil"/>
            </w:tcBorders>
            <w:vAlign w:val="bottom"/>
          </w:tcPr>
          <w:p w14:paraId="18DC2746" w14:textId="40602747"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4D17AED5" w14:textId="77777777" w:rsidTr="00C6049E">
        <w:tc>
          <w:tcPr>
            <w:tcW w:w="2086" w:type="pct"/>
            <w:tcBorders>
              <w:top w:val="nil"/>
              <w:left w:val="nil"/>
              <w:bottom w:val="single" w:sz="4" w:space="0" w:color="auto"/>
              <w:right w:val="nil"/>
            </w:tcBorders>
          </w:tcPr>
          <w:p w14:paraId="0DD41D41" w14:textId="1FFB22BE" w:rsidR="00997DFB" w:rsidRPr="00304F2D" w:rsidRDefault="00C6049E" w:rsidP="004B1B5F">
            <w:pPr>
              <w:widowControl w:val="0"/>
              <w:rPr>
                <w:rFonts w:ascii="Times New Roman" w:hAnsi="Times New Roman" w:cs="Times New Roman"/>
                <w:b/>
              </w:rPr>
            </w:pPr>
            <w:r w:rsidRPr="00304F2D">
              <w:rPr>
                <w:rFonts w:ascii="Times New Roman" w:hAnsi="Times New Roman" w:cs="Times New Roman"/>
                <w:b/>
              </w:rPr>
              <w:t>Existing</w:t>
            </w:r>
            <w:r w:rsidR="00482D78">
              <w:rPr>
                <w:rFonts w:ascii="Times New Roman" w:hAnsi="Times New Roman" w:cs="Times New Roman"/>
                <w:b/>
              </w:rPr>
              <w:t xml:space="preserve"> D</w:t>
            </w:r>
            <w:r w:rsidR="00997DFB" w:rsidRPr="00304F2D">
              <w:rPr>
                <w:rFonts w:ascii="Times New Roman" w:hAnsi="Times New Roman" w:cs="Times New Roman"/>
                <w:b/>
              </w:rPr>
              <w:t>onors</w:t>
            </w:r>
            <w:r w:rsidRPr="00304F2D">
              <w:rPr>
                <w:rFonts w:ascii="Times New Roman" w:hAnsi="Times New Roman" w:cs="Times New Roman"/>
              </w:rPr>
              <w:t xml:space="preserve"> (n=364,706</w:t>
            </w:r>
            <w:r w:rsidR="00997DFB" w:rsidRPr="00304F2D">
              <w:rPr>
                <w:rFonts w:ascii="Times New Roman" w:hAnsi="Times New Roman" w:cs="Times New Roman"/>
              </w:rPr>
              <w:t>)</w:t>
            </w:r>
          </w:p>
        </w:tc>
        <w:tc>
          <w:tcPr>
            <w:tcW w:w="657" w:type="pct"/>
            <w:tcBorders>
              <w:top w:val="nil"/>
              <w:left w:val="nil"/>
              <w:bottom w:val="single" w:sz="4" w:space="0" w:color="auto"/>
              <w:right w:val="nil"/>
            </w:tcBorders>
            <w:vAlign w:val="center"/>
          </w:tcPr>
          <w:p w14:paraId="1D72FA77" w14:textId="0FC45AE5"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w:t>
            </w:r>
            <w:r w:rsidR="00C6049E" w:rsidRPr="00304F2D">
              <w:rPr>
                <w:rFonts w:ascii="Times New Roman" w:eastAsia="Times New Roman" w:hAnsi="Times New Roman" w:cs="Times New Roman"/>
                <w:color w:val="000000"/>
              </w:rPr>
              <w:t>1</w:t>
            </w:r>
          </w:p>
        </w:tc>
        <w:tc>
          <w:tcPr>
            <w:tcW w:w="752" w:type="pct"/>
            <w:tcBorders>
              <w:top w:val="nil"/>
              <w:left w:val="nil"/>
              <w:bottom w:val="single" w:sz="4" w:space="0" w:color="auto"/>
              <w:right w:val="nil"/>
            </w:tcBorders>
            <w:vAlign w:val="center"/>
          </w:tcPr>
          <w:p w14:paraId="5EFF7561" w14:textId="5740D026"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27</w:t>
            </w:r>
          </w:p>
        </w:tc>
        <w:tc>
          <w:tcPr>
            <w:tcW w:w="752" w:type="pct"/>
            <w:tcBorders>
              <w:top w:val="nil"/>
              <w:left w:val="nil"/>
              <w:bottom w:val="single" w:sz="4" w:space="0" w:color="auto"/>
              <w:right w:val="nil"/>
            </w:tcBorders>
            <w:vAlign w:val="center"/>
          </w:tcPr>
          <w:p w14:paraId="0946F564" w14:textId="5AFC8C32"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32</w:t>
            </w:r>
          </w:p>
        </w:tc>
        <w:tc>
          <w:tcPr>
            <w:tcW w:w="752" w:type="pct"/>
            <w:tcBorders>
              <w:top w:val="nil"/>
              <w:left w:val="nil"/>
              <w:bottom w:val="single" w:sz="4" w:space="0" w:color="auto"/>
              <w:right w:val="nil"/>
            </w:tcBorders>
            <w:vAlign w:val="bottom"/>
          </w:tcPr>
          <w:p w14:paraId="0555F153" w14:textId="6444D9B0"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5F16B1B6" w14:textId="77777777" w:rsidTr="00C6049E">
        <w:tc>
          <w:tcPr>
            <w:tcW w:w="2086" w:type="pct"/>
            <w:tcBorders>
              <w:top w:val="single" w:sz="4" w:space="0" w:color="auto"/>
              <w:left w:val="nil"/>
              <w:bottom w:val="single" w:sz="4" w:space="0" w:color="auto"/>
              <w:right w:val="nil"/>
            </w:tcBorders>
          </w:tcPr>
          <w:p w14:paraId="209AFC43" w14:textId="2CE26213" w:rsidR="00997DFB" w:rsidRPr="00304F2D" w:rsidRDefault="00997DFB" w:rsidP="004B1B5F">
            <w:pPr>
              <w:widowControl w:val="0"/>
              <w:rPr>
                <w:rFonts w:ascii="Times New Roman" w:hAnsi="Times New Roman" w:cs="Times New Roman"/>
                <w:b/>
              </w:rPr>
            </w:pPr>
            <w:r w:rsidRPr="00304F2D">
              <w:rPr>
                <w:rFonts w:ascii="Times New Roman" w:hAnsi="Times New Roman" w:cs="Times New Roman"/>
                <w:b/>
              </w:rPr>
              <w:t>2011 %</w:t>
            </w:r>
          </w:p>
        </w:tc>
        <w:tc>
          <w:tcPr>
            <w:tcW w:w="657" w:type="pct"/>
            <w:tcBorders>
              <w:top w:val="single" w:sz="4" w:space="0" w:color="auto"/>
              <w:left w:val="nil"/>
              <w:bottom w:val="single" w:sz="4" w:space="0" w:color="auto"/>
              <w:right w:val="nil"/>
            </w:tcBorders>
            <w:vAlign w:val="center"/>
          </w:tcPr>
          <w:p w14:paraId="74CC4731"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5BD40D1F"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center"/>
          </w:tcPr>
          <w:p w14:paraId="710854DF" w14:textId="77777777" w:rsidR="00997DFB" w:rsidRPr="00304F2D" w:rsidRDefault="00997DFB" w:rsidP="004B1B5F">
            <w:pPr>
              <w:widowControl w:val="0"/>
              <w:jc w:val="center"/>
              <w:rPr>
                <w:rFonts w:ascii="Times New Roman" w:eastAsia="Times New Roman" w:hAnsi="Times New Roman" w:cs="Times New Roman"/>
                <w:color w:val="000000"/>
              </w:rPr>
            </w:pPr>
          </w:p>
        </w:tc>
        <w:tc>
          <w:tcPr>
            <w:tcW w:w="752" w:type="pct"/>
            <w:tcBorders>
              <w:top w:val="single" w:sz="4" w:space="0" w:color="auto"/>
              <w:left w:val="nil"/>
              <w:bottom w:val="single" w:sz="4" w:space="0" w:color="auto"/>
              <w:right w:val="nil"/>
            </w:tcBorders>
            <w:vAlign w:val="bottom"/>
          </w:tcPr>
          <w:p w14:paraId="6DB8A173" w14:textId="77777777" w:rsidR="00997DFB" w:rsidRPr="00304F2D" w:rsidRDefault="00997DFB" w:rsidP="004B1B5F">
            <w:pPr>
              <w:widowControl w:val="0"/>
              <w:jc w:val="center"/>
              <w:rPr>
                <w:rFonts w:ascii="Times New Roman" w:eastAsia="Times New Roman" w:hAnsi="Times New Roman" w:cs="Times New Roman"/>
                <w:color w:val="000000"/>
              </w:rPr>
            </w:pPr>
          </w:p>
        </w:tc>
      </w:tr>
      <w:tr w:rsidR="00997DFB" w:rsidRPr="00304F2D" w14:paraId="5F9BC9C3" w14:textId="77777777" w:rsidTr="00C6049E">
        <w:tc>
          <w:tcPr>
            <w:tcW w:w="2086" w:type="pct"/>
            <w:tcBorders>
              <w:top w:val="single" w:sz="4" w:space="0" w:color="auto"/>
              <w:left w:val="nil"/>
              <w:bottom w:val="nil"/>
              <w:right w:val="nil"/>
            </w:tcBorders>
          </w:tcPr>
          <w:p w14:paraId="04AC738E" w14:textId="4E073D75" w:rsidR="00997DFB" w:rsidRPr="00304F2D" w:rsidRDefault="00997DFB" w:rsidP="004B1B5F">
            <w:pPr>
              <w:widowControl w:val="0"/>
              <w:rPr>
                <w:rFonts w:ascii="Times New Roman" w:hAnsi="Times New Roman" w:cs="Times New Roman"/>
              </w:rPr>
            </w:pPr>
            <w:r w:rsidRPr="00304F2D">
              <w:rPr>
                <w:rFonts w:ascii="Times New Roman" w:hAnsi="Times New Roman" w:cs="Times New Roman"/>
                <w:b/>
              </w:rPr>
              <w:t>New Donors</w:t>
            </w:r>
            <w:r w:rsidR="00C6049E" w:rsidRPr="00304F2D">
              <w:rPr>
                <w:rFonts w:ascii="Times New Roman" w:hAnsi="Times New Roman" w:cs="Times New Roman"/>
              </w:rPr>
              <w:t xml:space="preserve"> (n=123,184</w:t>
            </w:r>
            <w:r w:rsidRPr="00304F2D">
              <w:rPr>
                <w:rFonts w:ascii="Times New Roman" w:hAnsi="Times New Roman" w:cs="Times New Roman"/>
              </w:rPr>
              <w:t>)</w:t>
            </w:r>
          </w:p>
        </w:tc>
        <w:tc>
          <w:tcPr>
            <w:tcW w:w="657" w:type="pct"/>
            <w:tcBorders>
              <w:top w:val="single" w:sz="4" w:space="0" w:color="auto"/>
              <w:left w:val="nil"/>
              <w:bottom w:val="nil"/>
              <w:right w:val="nil"/>
            </w:tcBorders>
            <w:vAlign w:val="center"/>
          </w:tcPr>
          <w:p w14:paraId="66D9B94B" w14:textId="448B5255"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45</w:t>
            </w:r>
          </w:p>
        </w:tc>
        <w:tc>
          <w:tcPr>
            <w:tcW w:w="752" w:type="pct"/>
            <w:tcBorders>
              <w:top w:val="single" w:sz="4" w:space="0" w:color="auto"/>
              <w:left w:val="nil"/>
              <w:bottom w:val="nil"/>
              <w:right w:val="nil"/>
            </w:tcBorders>
            <w:vAlign w:val="center"/>
          </w:tcPr>
          <w:p w14:paraId="49A6609D" w14:textId="54FE6C35"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27</w:t>
            </w:r>
          </w:p>
        </w:tc>
        <w:tc>
          <w:tcPr>
            <w:tcW w:w="752" w:type="pct"/>
            <w:tcBorders>
              <w:top w:val="single" w:sz="4" w:space="0" w:color="auto"/>
              <w:left w:val="nil"/>
              <w:bottom w:val="nil"/>
              <w:right w:val="nil"/>
            </w:tcBorders>
            <w:vAlign w:val="center"/>
          </w:tcPr>
          <w:p w14:paraId="0ED5563B" w14:textId="1E177A27" w:rsidR="00997DFB" w:rsidRPr="00304F2D" w:rsidRDefault="00C6049E"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28</w:t>
            </w:r>
          </w:p>
        </w:tc>
        <w:tc>
          <w:tcPr>
            <w:tcW w:w="752" w:type="pct"/>
            <w:tcBorders>
              <w:top w:val="single" w:sz="4" w:space="0" w:color="auto"/>
              <w:left w:val="nil"/>
              <w:bottom w:val="nil"/>
              <w:right w:val="nil"/>
            </w:tcBorders>
            <w:vAlign w:val="bottom"/>
          </w:tcPr>
          <w:p w14:paraId="77ADBF96" w14:textId="5B519819" w:rsidR="00997DFB" w:rsidRPr="00304F2D" w:rsidRDefault="00997DFB" w:rsidP="004B1B5F">
            <w:pPr>
              <w:widowControl w:val="0"/>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100</w:t>
            </w:r>
          </w:p>
        </w:tc>
      </w:tr>
      <w:tr w:rsidR="00997DFB" w:rsidRPr="00304F2D" w14:paraId="22EE5D9E" w14:textId="77777777" w:rsidTr="00C6049E">
        <w:tc>
          <w:tcPr>
            <w:tcW w:w="2086" w:type="pct"/>
            <w:tcBorders>
              <w:top w:val="nil"/>
              <w:left w:val="nil"/>
              <w:bottom w:val="single" w:sz="4" w:space="0" w:color="auto"/>
              <w:right w:val="nil"/>
            </w:tcBorders>
          </w:tcPr>
          <w:p w14:paraId="769829CF" w14:textId="61E3A10B" w:rsidR="00997DFB" w:rsidRPr="00304F2D" w:rsidRDefault="00482D78" w:rsidP="00C6049E">
            <w:pPr>
              <w:widowControl w:val="0"/>
              <w:rPr>
                <w:rFonts w:ascii="Times New Roman" w:hAnsi="Times New Roman" w:cs="Times New Roman"/>
                <w:b/>
              </w:rPr>
            </w:pPr>
            <w:r>
              <w:rPr>
                <w:rFonts w:ascii="Times New Roman" w:hAnsi="Times New Roman" w:cs="Times New Roman"/>
                <w:b/>
              </w:rPr>
              <w:t>Existing Donors</w:t>
            </w:r>
            <w:r w:rsidR="00997DFB" w:rsidRPr="00304F2D">
              <w:rPr>
                <w:rFonts w:ascii="Times New Roman" w:hAnsi="Times New Roman" w:cs="Times New Roman"/>
              </w:rPr>
              <w:t xml:space="preserve"> (n=</w:t>
            </w:r>
            <w:r w:rsidR="00C6049E" w:rsidRPr="00304F2D">
              <w:rPr>
                <w:rFonts w:ascii="Times New Roman" w:hAnsi="Times New Roman" w:cs="Times New Roman"/>
              </w:rPr>
              <w:t>361,115</w:t>
            </w:r>
            <w:r w:rsidR="00997DFB" w:rsidRPr="00304F2D">
              <w:rPr>
                <w:rFonts w:ascii="Times New Roman" w:hAnsi="Times New Roman" w:cs="Times New Roman"/>
              </w:rPr>
              <w:t xml:space="preserve">) </w:t>
            </w:r>
          </w:p>
        </w:tc>
        <w:tc>
          <w:tcPr>
            <w:tcW w:w="657" w:type="pct"/>
            <w:tcBorders>
              <w:top w:val="nil"/>
              <w:left w:val="nil"/>
              <w:bottom w:val="single" w:sz="4" w:space="0" w:color="auto"/>
              <w:right w:val="nil"/>
            </w:tcBorders>
            <w:vAlign w:val="center"/>
          </w:tcPr>
          <w:p w14:paraId="4688E096" w14:textId="1D2367CF" w:rsidR="00997DFB" w:rsidRPr="00304F2D" w:rsidRDefault="00C6049E" w:rsidP="004B1B5F">
            <w:pPr>
              <w:widowControl w:val="0"/>
              <w:jc w:val="center"/>
              <w:rPr>
                <w:rFonts w:ascii="Times New Roman" w:eastAsia="Times New Roman" w:hAnsi="Times New Roman" w:cs="Times New Roman"/>
                <w:b/>
                <w:color w:val="000000"/>
              </w:rPr>
            </w:pPr>
            <w:r w:rsidRPr="00304F2D">
              <w:rPr>
                <w:rFonts w:ascii="Times New Roman" w:eastAsia="Times New Roman" w:hAnsi="Times New Roman" w:cs="Times New Roman"/>
                <w:color w:val="000000"/>
              </w:rPr>
              <w:t>43</w:t>
            </w:r>
          </w:p>
        </w:tc>
        <w:tc>
          <w:tcPr>
            <w:tcW w:w="752" w:type="pct"/>
            <w:tcBorders>
              <w:top w:val="nil"/>
              <w:left w:val="nil"/>
              <w:bottom w:val="single" w:sz="4" w:space="0" w:color="auto"/>
              <w:right w:val="nil"/>
            </w:tcBorders>
            <w:vAlign w:val="center"/>
          </w:tcPr>
          <w:p w14:paraId="0C1CB409" w14:textId="2EBA6452" w:rsidR="00997DFB" w:rsidRPr="00304F2D" w:rsidRDefault="00997DFB" w:rsidP="004B1B5F">
            <w:pPr>
              <w:widowControl w:val="0"/>
              <w:jc w:val="center"/>
              <w:rPr>
                <w:rFonts w:ascii="Times New Roman" w:eastAsia="Times New Roman" w:hAnsi="Times New Roman" w:cs="Times New Roman"/>
                <w:b/>
                <w:color w:val="000000"/>
              </w:rPr>
            </w:pPr>
            <w:r w:rsidRPr="00304F2D">
              <w:rPr>
                <w:rFonts w:ascii="Times New Roman" w:eastAsia="Times New Roman" w:hAnsi="Times New Roman" w:cs="Times New Roman"/>
                <w:color w:val="000000"/>
              </w:rPr>
              <w:t>2</w:t>
            </w:r>
            <w:r w:rsidR="00C6049E" w:rsidRPr="00304F2D">
              <w:rPr>
                <w:rFonts w:ascii="Times New Roman" w:eastAsia="Times New Roman" w:hAnsi="Times New Roman" w:cs="Times New Roman"/>
                <w:color w:val="000000"/>
              </w:rPr>
              <w:t>7</w:t>
            </w:r>
          </w:p>
        </w:tc>
        <w:tc>
          <w:tcPr>
            <w:tcW w:w="752" w:type="pct"/>
            <w:tcBorders>
              <w:top w:val="nil"/>
              <w:left w:val="nil"/>
              <w:bottom w:val="single" w:sz="4" w:space="0" w:color="auto"/>
              <w:right w:val="nil"/>
            </w:tcBorders>
            <w:vAlign w:val="center"/>
          </w:tcPr>
          <w:p w14:paraId="44337311" w14:textId="4C3C4DFA" w:rsidR="00997DFB" w:rsidRPr="00304F2D" w:rsidRDefault="00C6049E" w:rsidP="004B1B5F">
            <w:pPr>
              <w:widowControl w:val="0"/>
              <w:jc w:val="center"/>
              <w:rPr>
                <w:rFonts w:ascii="Times New Roman" w:eastAsia="Times New Roman" w:hAnsi="Times New Roman" w:cs="Times New Roman"/>
                <w:b/>
                <w:color w:val="000000"/>
              </w:rPr>
            </w:pPr>
            <w:r w:rsidRPr="00304F2D">
              <w:rPr>
                <w:rFonts w:ascii="Times New Roman" w:eastAsia="Times New Roman" w:hAnsi="Times New Roman" w:cs="Times New Roman"/>
                <w:color w:val="000000"/>
              </w:rPr>
              <w:t>30</w:t>
            </w:r>
          </w:p>
        </w:tc>
        <w:tc>
          <w:tcPr>
            <w:tcW w:w="752" w:type="pct"/>
            <w:tcBorders>
              <w:top w:val="nil"/>
              <w:left w:val="nil"/>
              <w:bottom w:val="single" w:sz="4" w:space="0" w:color="auto"/>
              <w:right w:val="nil"/>
            </w:tcBorders>
            <w:vAlign w:val="bottom"/>
          </w:tcPr>
          <w:p w14:paraId="107CE874" w14:textId="4E5BA406" w:rsidR="00997DFB" w:rsidRPr="00304F2D" w:rsidRDefault="00997DFB" w:rsidP="004B1B5F">
            <w:pPr>
              <w:widowControl w:val="0"/>
              <w:jc w:val="center"/>
              <w:rPr>
                <w:rFonts w:ascii="Times New Roman" w:eastAsia="Times New Roman" w:hAnsi="Times New Roman" w:cs="Times New Roman"/>
                <w:b/>
                <w:color w:val="000000"/>
              </w:rPr>
            </w:pPr>
            <w:r w:rsidRPr="00304F2D">
              <w:rPr>
                <w:rFonts w:ascii="Times New Roman" w:eastAsia="Times New Roman" w:hAnsi="Times New Roman" w:cs="Times New Roman"/>
                <w:color w:val="000000"/>
              </w:rPr>
              <w:t>100</w:t>
            </w:r>
          </w:p>
        </w:tc>
      </w:tr>
    </w:tbl>
    <w:p w14:paraId="3D94CE5C" w14:textId="77777777" w:rsidR="0093203C" w:rsidRPr="00304F2D" w:rsidRDefault="0093203C" w:rsidP="001F029C">
      <w:pPr>
        <w:spacing w:line="480" w:lineRule="auto"/>
        <w:rPr>
          <w:rFonts w:ascii="Times New Roman" w:hAnsi="Times New Roman" w:cs="Times New Roman"/>
        </w:rPr>
      </w:pPr>
    </w:p>
    <w:p w14:paraId="36E072A1" w14:textId="1FCE0B89" w:rsidR="00C32CE5" w:rsidRPr="00304F2D" w:rsidRDefault="00C32CE5" w:rsidP="004D7056">
      <w:pPr>
        <w:keepNext/>
        <w:keepLines/>
        <w:widowControl w:val="0"/>
        <w:rPr>
          <w:rFonts w:ascii="Times New Roman" w:hAnsi="Times New Roman" w:cs="Times New Roman"/>
          <w:b/>
        </w:rPr>
      </w:pPr>
      <w:r w:rsidRPr="00304F2D">
        <w:rPr>
          <w:rFonts w:ascii="Times New Roman" w:hAnsi="Times New Roman" w:cs="Times New Roman"/>
          <w:b/>
        </w:rPr>
        <w:lastRenderedPageBreak/>
        <w:t xml:space="preserve">Table </w:t>
      </w:r>
      <w:r w:rsidR="009447D4" w:rsidRPr="00304F2D">
        <w:rPr>
          <w:rFonts w:ascii="Times New Roman" w:hAnsi="Times New Roman" w:cs="Times New Roman"/>
          <w:b/>
        </w:rPr>
        <w:t>3</w:t>
      </w:r>
    </w:p>
    <w:p w14:paraId="5B9A6347" w14:textId="77777777" w:rsidR="00C32CE5" w:rsidRPr="00304F2D" w:rsidRDefault="00C32CE5" w:rsidP="004D7056">
      <w:pPr>
        <w:keepNext/>
        <w:keepLines/>
        <w:widowControl w:val="0"/>
        <w:rPr>
          <w:rFonts w:ascii="Times New Roman" w:hAnsi="Times New Roman" w:cs="Times New Roman"/>
          <w:b/>
        </w:rPr>
      </w:pPr>
      <w:r w:rsidRPr="00304F2D">
        <w:rPr>
          <w:rFonts w:ascii="Times New Roman" w:hAnsi="Times New Roman" w:cs="Times New Roman"/>
          <w:b/>
        </w:rPr>
        <w:t xml:space="preserve">Plasma Donors, Total and New Donor frequency distribution </w:t>
      </w:r>
    </w:p>
    <w:p w14:paraId="4CDF7DFF" w14:textId="77777777" w:rsidR="00C32CE5" w:rsidRPr="00304F2D" w:rsidRDefault="00C32CE5" w:rsidP="004D7056">
      <w:pPr>
        <w:keepNext/>
        <w:keepLines/>
        <w:widowControl w:val="0"/>
        <w:rPr>
          <w:rFonts w:ascii="Times New Roman" w:hAnsi="Times New Roman" w:cs="Times New Roman"/>
          <w:b/>
        </w:rPr>
      </w:pPr>
    </w:p>
    <w:tbl>
      <w:tblPr>
        <w:tblStyle w:val="TableGrid"/>
        <w:tblW w:w="3830" w:type="pct"/>
        <w:tblInd w:w="-318" w:type="dxa"/>
        <w:tblLayout w:type="fixed"/>
        <w:tblLook w:val="04A0" w:firstRow="1" w:lastRow="0" w:firstColumn="1" w:lastColumn="0" w:noHBand="0" w:noVBand="1"/>
      </w:tblPr>
      <w:tblGrid>
        <w:gridCol w:w="3262"/>
        <w:gridCol w:w="568"/>
        <w:gridCol w:w="567"/>
        <w:gridCol w:w="577"/>
        <w:gridCol w:w="710"/>
        <w:gridCol w:w="536"/>
        <w:gridCol w:w="856"/>
      </w:tblGrid>
      <w:tr w:rsidR="00633965" w:rsidRPr="00304F2D" w14:paraId="36F88993" w14:textId="77777777" w:rsidTr="00633965">
        <w:tc>
          <w:tcPr>
            <w:tcW w:w="2304" w:type="pct"/>
            <w:tcBorders>
              <w:top w:val="nil"/>
              <w:left w:val="nil"/>
              <w:bottom w:val="single" w:sz="4" w:space="0" w:color="auto"/>
              <w:right w:val="nil"/>
            </w:tcBorders>
          </w:tcPr>
          <w:p w14:paraId="34F18C5C" w14:textId="77777777" w:rsidR="00131A70" w:rsidRPr="00304F2D" w:rsidRDefault="00131A70" w:rsidP="004D7056">
            <w:pPr>
              <w:keepNext/>
              <w:keepLines/>
              <w:widowControl w:val="0"/>
              <w:rPr>
                <w:rFonts w:ascii="Times New Roman" w:hAnsi="Times New Roman" w:cs="Times New Roman"/>
                <w:b/>
              </w:rPr>
            </w:pPr>
            <w:r w:rsidRPr="00304F2D">
              <w:rPr>
                <w:rFonts w:ascii="Times New Roman" w:hAnsi="Times New Roman" w:cs="Times New Roman"/>
                <w:b/>
              </w:rPr>
              <w:t>Total</w:t>
            </w:r>
          </w:p>
        </w:tc>
        <w:tc>
          <w:tcPr>
            <w:tcW w:w="401" w:type="pct"/>
            <w:tcBorders>
              <w:top w:val="nil"/>
              <w:left w:val="nil"/>
              <w:bottom w:val="single" w:sz="4" w:space="0" w:color="auto"/>
              <w:right w:val="nil"/>
            </w:tcBorders>
            <w:vAlign w:val="center"/>
          </w:tcPr>
          <w:p w14:paraId="31A26E67" w14:textId="77777777" w:rsidR="00131A70" w:rsidRPr="00304F2D" w:rsidRDefault="00131A70" w:rsidP="004D7056">
            <w:pPr>
              <w:keepNext/>
              <w:keepLines/>
              <w:widowControl w:val="0"/>
              <w:jc w:val="center"/>
              <w:rPr>
                <w:rFonts w:ascii="Times New Roman" w:hAnsi="Times New Roman" w:cs="Times New Roman"/>
                <w:b/>
              </w:rPr>
            </w:pPr>
            <w:r w:rsidRPr="00304F2D">
              <w:rPr>
                <w:rFonts w:ascii="Times New Roman" w:hAnsi="Times New Roman" w:cs="Times New Roman"/>
              </w:rPr>
              <w:t>1</w:t>
            </w:r>
          </w:p>
        </w:tc>
        <w:tc>
          <w:tcPr>
            <w:tcW w:w="401" w:type="pct"/>
            <w:tcBorders>
              <w:top w:val="nil"/>
              <w:left w:val="nil"/>
              <w:bottom w:val="single" w:sz="4" w:space="0" w:color="auto"/>
              <w:right w:val="nil"/>
            </w:tcBorders>
            <w:vAlign w:val="center"/>
          </w:tcPr>
          <w:p w14:paraId="3F723C1C" w14:textId="77777777" w:rsidR="00131A70" w:rsidRPr="00304F2D" w:rsidRDefault="00131A70" w:rsidP="004D7056">
            <w:pPr>
              <w:keepNext/>
              <w:keepLines/>
              <w:widowControl w:val="0"/>
              <w:jc w:val="center"/>
              <w:rPr>
                <w:rFonts w:ascii="Times New Roman" w:hAnsi="Times New Roman" w:cs="Times New Roman"/>
                <w:b/>
              </w:rPr>
            </w:pPr>
            <w:r w:rsidRPr="00304F2D">
              <w:rPr>
                <w:rFonts w:ascii="Times New Roman" w:hAnsi="Times New Roman" w:cs="Times New Roman"/>
              </w:rPr>
              <w:t>2</w:t>
            </w:r>
          </w:p>
        </w:tc>
        <w:tc>
          <w:tcPr>
            <w:tcW w:w="408" w:type="pct"/>
            <w:tcBorders>
              <w:top w:val="nil"/>
              <w:left w:val="nil"/>
              <w:bottom w:val="single" w:sz="4" w:space="0" w:color="auto"/>
              <w:right w:val="nil"/>
            </w:tcBorders>
            <w:vAlign w:val="center"/>
          </w:tcPr>
          <w:p w14:paraId="1C78DE15" w14:textId="77777777" w:rsidR="00131A70" w:rsidRPr="00304F2D" w:rsidRDefault="00131A70" w:rsidP="004D7056">
            <w:pPr>
              <w:keepNext/>
              <w:keepLines/>
              <w:widowControl w:val="0"/>
              <w:jc w:val="center"/>
              <w:rPr>
                <w:rFonts w:ascii="Times New Roman" w:hAnsi="Times New Roman" w:cs="Times New Roman"/>
                <w:b/>
              </w:rPr>
            </w:pPr>
            <w:r w:rsidRPr="00304F2D">
              <w:rPr>
                <w:rFonts w:ascii="Times New Roman" w:hAnsi="Times New Roman" w:cs="Times New Roman"/>
              </w:rPr>
              <w:t>3</w:t>
            </w:r>
          </w:p>
        </w:tc>
        <w:tc>
          <w:tcPr>
            <w:tcW w:w="502" w:type="pct"/>
            <w:tcBorders>
              <w:top w:val="nil"/>
              <w:left w:val="nil"/>
              <w:bottom w:val="single" w:sz="4" w:space="0" w:color="auto"/>
              <w:right w:val="nil"/>
            </w:tcBorders>
          </w:tcPr>
          <w:p w14:paraId="63EC9249" w14:textId="13CF01C8"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4-7</w:t>
            </w:r>
          </w:p>
        </w:tc>
        <w:tc>
          <w:tcPr>
            <w:tcW w:w="379" w:type="pct"/>
            <w:tcBorders>
              <w:top w:val="nil"/>
              <w:left w:val="nil"/>
              <w:bottom w:val="single" w:sz="4" w:space="0" w:color="auto"/>
              <w:right w:val="nil"/>
            </w:tcBorders>
            <w:vAlign w:val="center"/>
          </w:tcPr>
          <w:p w14:paraId="75434F33" w14:textId="77777777" w:rsidR="00131A70" w:rsidRPr="00304F2D" w:rsidRDefault="00131A70" w:rsidP="004D7056">
            <w:pPr>
              <w:keepNext/>
              <w:keepLines/>
              <w:widowControl w:val="0"/>
              <w:jc w:val="center"/>
              <w:rPr>
                <w:rFonts w:ascii="Times New Roman" w:hAnsi="Times New Roman" w:cs="Times New Roman"/>
                <w:b/>
              </w:rPr>
            </w:pPr>
            <w:r w:rsidRPr="00304F2D">
              <w:rPr>
                <w:rFonts w:ascii="Times New Roman" w:hAnsi="Times New Roman" w:cs="Times New Roman"/>
              </w:rPr>
              <w:t>8+</w:t>
            </w:r>
          </w:p>
        </w:tc>
        <w:tc>
          <w:tcPr>
            <w:tcW w:w="606" w:type="pct"/>
            <w:tcBorders>
              <w:top w:val="nil"/>
              <w:left w:val="nil"/>
              <w:bottom w:val="single" w:sz="4" w:space="0" w:color="auto"/>
              <w:right w:val="nil"/>
            </w:tcBorders>
          </w:tcPr>
          <w:p w14:paraId="32425D0D" w14:textId="77777777"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Total</w:t>
            </w:r>
          </w:p>
        </w:tc>
      </w:tr>
      <w:tr w:rsidR="00633965" w:rsidRPr="00304F2D" w14:paraId="18D38188" w14:textId="77777777" w:rsidTr="00633965">
        <w:tc>
          <w:tcPr>
            <w:tcW w:w="2304" w:type="pct"/>
            <w:tcBorders>
              <w:top w:val="nil"/>
              <w:left w:val="nil"/>
              <w:bottom w:val="single" w:sz="4" w:space="0" w:color="auto"/>
              <w:right w:val="nil"/>
            </w:tcBorders>
          </w:tcPr>
          <w:p w14:paraId="77C29BAC" w14:textId="144912E5" w:rsidR="00131A70" w:rsidRPr="00304F2D" w:rsidRDefault="00131A70" w:rsidP="004D7056">
            <w:pPr>
              <w:keepNext/>
              <w:keepLines/>
              <w:widowControl w:val="0"/>
              <w:rPr>
                <w:rFonts w:ascii="Times New Roman" w:hAnsi="Times New Roman" w:cs="Times New Roman"/>
                <w:b/>
              </w:rPr>
            </w:pPr>
            <w:r w:rsidRPr="00304F2D">
              <w:rPr>
                <w:rFonts w:ascii="Times New Roman" w:hAnsi="Times New Roman" w:cs="Times New Roman"/>
                <w:b/>
              </w:rPr>
              <w:t>2007 %</w:t>
            </w:r>
          </w:p>
        </w:tc>
        <w:tc>
          <w:tcPr>
            <w:tcW w:w="401" w:type="pct"/>
            <w:tcBorders>
              <w:top w:val="nil"/>
              <w:left w:val="nil"/>
              <w:bottom w:val="single" w:sz="4" w:space="0" w:color="auto"/>
              <w:right w:val="nil"/>
            </w:tcBorders>
            <w:vAlign w:val="center"/>
          </w:tcPr>
          <w:p w14:paraId="7FDB1C6D" w14:textId="77777777" w:rsidR="00131A70" w:rsidRPr="00304F2D" w:rsidRDefault="00131A70" w:rsidP="004D7056">
            <w:pPr>
              <w:keepNext/>
              <w:keepLines/>
              <w:widowControl w:val="0"/>
              <w:jc w:val="center"/>
              <w:rPr>
                <w:rFonts w:ascii="Times New Roman" w:hAnsi="Times New Roman" w:cs="Times New Roman"/>
              </w:rPr>
            </w:pPr>
          </w:p>
        </w:tc>
        <w:tc>
          <w:tcPr>
            <w:tcW w:w="401" w:type="pct"/>
            <w:tcBorders>
              <w:top w:val="nil"/>
              <w:left w:val="nil"/>
              <w:bottom w:val="single" w:sz="4" w:space="0" w:color="auto"/>
              <w:right w:val="nil"/>
            </w:tcBorders>
            <w:vAlign w:val="center"/>
          </w:tcPr>
          <w:p w14:paraId="13DE870C" w14:textId="77777777" w:rsidR="00131A70" w:rsidRPr="00304F2D" w:rsidRDefault="00131A70" w:rsidP="004D7056">
            <w:pPr>
              <w:keepNext/>
              <w:keepLines/>
              <w:widowControl w:val="0"/>
              <w:jc w:val="center"/>
              <w:rPr>
                <w:rFonts w:ascii="Times New Roman" w:hAnsi="Times New Roman" w:cs="Times New Roman"/>
              </w:rPr>
            </w:pPr>
          </w:p>
        </w:tc>
        <w:tc>
          <w:tcPr>
            <w:tcW w:w="408" w:type="pct"/>
            <w:tcBorders>
              <w:top w:val="nil"/>
              <w:left w:val="nil"/>
              <w:bottom w:val="single" w:sz="4" w:space="0" w:color="auto"/>
              <w:right w:val="nil"/>
            </w:tcBorders>
            <w:vAlign w:val="center"/>
          </w:tcPr>
          <w:p w14:paraId="5AEF9E2A" w14:textId="77777777" w:rsidR="00131A70" w:rsidRPr="00304F2D" w:rsidRDefault="00131A70" w:rsidP="004D7056">
            <w:pPr>
              <w:keepNext/>
              <w:keepLines/>
              <w:widowControl w:val="0"/>
              <w:jc w:val="center"/>
              <w:rPr>
                <w:rFonts w:ascii="Times New Roman" w:hAnsi="Times New Roman" w:cs="Times New Roman"/>
              </w:rPr>
            </w:pPr>
          </w:p>
        </w:tc>
        <w:tc>
          <w:tcPr>
            <w:tcW w:w="502" w:type="pct"/>
            <w:tcBorders>
              <w:top w:val="nil"/>
              <w:left w:val="nil"/>
              <w:bottom w:val="single" w:sz="4" w:space="0" w:color="auto"/>
              <w:right w:val="nil"/>
            </w:tcBorders>
          </w:tcPr>
          <w:p w14:paraId="3593A40D" w14:textId="77777777" w:rsidR="00131A70" w:rsidRPr="00304F2D" w:rsidRDefault="00131A70" w:rsidP="004D7056">
            <w:pPr>
              <w:keepNext/>
              <w:keepLines/>
              <w:widowControl w:val="0"/>
              <w:jc w:val="center"/>
              <w:rPr>
                <w:rFonts w:ascii="Times New Roman" w:hAnsi="Times New Roman" w:cs="Times New Roman"/>
              </w:rPr>
            </w:pPr>
          </w:p>
        </w:tc>
        <w:tc>
          <w:tcPr>
            <w:tcW w:w="379" w:type="pct"/>
            <w:tcBorders>
              <w:top w:val="nil"/>
              <w:left w:val="nil"/>
              <w:bottom w:val="single" w:sz="4" w:space="0" w:color="auto"/>
              <w:right w:val="nil"/>
            </w:tcBorders>
            <w:vAlign w:val="center"/>
          </w:tcPr>
          <w:p w14:paraId="219DD2BA" w14:textId="77777777" w:rsidR="00131A70" w:rsidRPr="00304F2D" w:rsidRDefault="00131A70" w:rsidP="004D7056">
            <w:pPr>
              <w:keepNext/>
              <w:keepLines/>
              <w:widowControl w:val="0"/>
              <w:jc w:val="center"/>
              <w:rPr>
                <w:rFonts w:ascii="Times New Roman" w:hAnsi="Times New Roman" w:cs="Times New Roman"/>
              </w:rPr>
            </w:pPr>
          </w:p>
        </w:tc>
        <w:tc>
          <w:tcPr>
            <w:tcW w:w="606" w:type="pct"/>
            <w:tcBorders>
              <w:top w:val="nil"/>
              <w:left w:val="nil"/>
              <w:bottom w:val="single" w:sz="4" w:space="0" w:color="auto"/>
              <w:right w:val="nil"/>
            </w:tcBorders>
          </w:tcPr>
          <w:p w14:paraId="3EA9F2C7" w14:textId="77777777" w:rsidR="00131A70" w:rsidRPr="00304F2D" w:rsidRDefault="00131A70" w:rsidP="004D7056">
            <w:pPr>
              <w:keepNext/>
              <w:keepLines/>
              <w:widowControl w:val="0"/>
              <w:jc w:val="center"/>
              <w:rPr>
                <w:rFonts w:ascii="Times New Roman" w:hAnsi="Times New Roman" w:cs="Times New Roman"/>
              </w:rPr>
            </w:pPr>
          </w:p>
        </w:tc>
      </w:tr>
      <w:tr w:rsidR="00633965" w:rsidRPr="00304F2D" w14:paraId="06D914ED" w14:textId="77777777" w:rsidTr="00633965">
        <w:tc>
          <w:tcPr>
            <w:tcW w:w="2304" w:type="pct"/>
            <w:tcBorders>
              <w:top w:val="nil"/>
              <w:left w:val="nil"/>
              <w:bottom w:val="nil"/>
              <w:right w:val="nil"/>
            </w:tcBorders>
          </w:tcPr>
          <w:p w14:paraId="051CEB98" w14:textId="20AFA9FC" w:rsidR="00131A70" w:rsidRPr="00304F2D" w:rsidRDefault="00131A70" w:rsidP="00633965">
            <w:pPr>
              <w:keepNext/>
              <w:keepLines/>
              <w:widowControl w:val="0"/>
              <w:rPr>
                <w:rFonts w:ascii="Times New Roman" w:hAnsi="Times New Roman" w:cs="Times New Roman"/>
              </w:rPr>
            </w:pPr>
            <w:r w:rsidRPr="00304F2D">
              <w:rPr>
                <w:rFonts w:ascii="Times New Roman" w:hAnsi="Times New Roman" w:cs="Times New Roman"/>
                <w:b/>
              </w:rPr>
              <w:t>New Donors</w:t>
            </w:r>
            <w:r w:rsidR="00633965" w:rsidRPr="00304F2D">
              <w:rPr>
                <w:rFonts w:ascii="Times New Roman" w:hAnsi="Times New Roman" w:cs="Times New Roman"/>
              </w:rPr>
              <w:t xml:space="preserve"> (n=37,002</w:t>
            </w:r>
            <w:r w:rsidRPr="00304F2D">
              <w:rPr>
                <w:rFonts w:ascii="Times New Roman" w:hAnsi="Times New Roman" w:cs="Times New Roman"/>
              </w:rPr>
              <w:t>)</w:t>
            </w:r>
          </w:p>
        </w:tc>
        <w:tc>
          <w:tcPr>
            <w:tcW w:w="401" w:type="pct"/>
            <w:tcBorders>
              <w:top w:val="nil"/>
              <w:left w:val="nil"/>
              <w:bottom w:val="nil"/>
              <w:right w:val="nil"/>
            </w:tcBorders>
          </w:tcPr>
          <w:p w14:paraId="4186C7A3" w14:textId="0A252F4C"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31</w:t>
            </w:r>
          </w:p>
        </w:tc>
        <w:tc>
          <w:tcPr>
            <w:tcW w:w="401" w:type="pct"/>
            <w:tcBorders>
              <w:top w:val="nil"/>
              <w:left w:val="nil"/>
              <w:bottom w:val="nil"/>
              <w:right w:val="nil"/>
            </w:tcBorders>
          </w:tcPr>
          <w:p w14:paraId="6AA59280" w14:textId="4B6228D0"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17</w:t>
            </w:r>
          </w:p>
        </w:tc>
        <w:tc>
          <w:tcPr>
            <w:tcW w:w="408" w:type="pct"/>
            <w:tcBorders>
              <w:top w:val="nil"/>
              <w:left w:val="nil"/>
              <w:bottom w:val="nil"/>
              <w:right w:val="nil"/>
            </w:tcBorders>
          </w:tcPr>
          <w:p w14:paraId="6CF233FB" w14:textId="38E958A9"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10</w:t>
            </w:r>
          </w:p>
        </w:tc>
        <w:tc>
          <w:tcPr>
            <w:tcW w:w="502" w:type="pct"/>
            <w:tcBorders>
              <w:top w:val="nil"/>
              <w:left w:val="nil"/>
              <w:bottom w:val="nil"/>
              <w:right w:val="nil"/>
            </w:tcBorders>
            <w:vAlign w:val="bottom"/>
          </w:tcPr>
          <w:p w14:paraId="22C10B36" w14:textId="228DB4EA" w:rsidR="00131A70" w:rsidRPr="00304F2D" w:rsidRDefault="00633965" w:rsidP="00633965">
            <w:pPr>
              <w:keepNext/>
              <w:keepLines/>
              <w:widowControl w:val="0"/>
              <w:rPr>
                <w:rFonts w:ascii="Times New Roman" w:hAnsi="Times New Roman" w:cs="Times New Roman"/>
              </w:rPr>
            </w:pPr>
            <w:r w:rsidRPr="00304F2D">
              <w:rPr>
                <w:rFonts w:ascii="Times New Roman" w:hAnsi="Times New Roman" w:cs="Times New Roman"/>
              </w:rPr>
              <w:t xml:space="preserve">  21</w:t>
            </w:r>
          </w:p>
        </w:tc>
        <w:tc>
          <w:tcPr>
            <w:tcW w:w="379" w:type="pct"/>
            <w:tcBorders>
              <w:top w:val="nil"/>
              <w:left w:val="nil"/>
              <w:bottom w:val="nil"/>
              <w:right w:val="nil"/>
            </w:tcBorders>
          </w:tcPr>
          <w:p w14:paraId="0BB87CBF" w14:textId="1F6FEE7C"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22</w:t>
            </w:r>
          </w:p>
        </w:tc>
        <w:tc>
          <w:tcPr>
            <w:tcW w:w="606" w:type="pct"/>
            <w:tcBorders>
              <w:top w:val="nil"/>
              <w:left w:val="nil"/>
              <w:bottom w:val="nil"/>
              <w:right w:val="nil"/>
            </w:tcBorders>
          </w:tcPr>
          <w:p w14:paraId="3F965F76" w14:textId="52FA7507"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3419CE93" w14:textId="77777777" w:rsidTr="00633965">
        <w:tc>
          <w:tcPr>
            <w:tcW w:w="2304" w:type="pct"/>
            <w:tcBorders>
              <w:top w:val="nil"/>
              <w:left w:val="nil"/>
              <w:bottom w:val="nil"/>
              <w:right w:val="nil"/>
            </w:tcBorders>
          </w:tcPr>
          <w:p w14:paraId="1A29491E" w14:textId="6C8BB2FF" w:rsidR="00131A70" w:rsidRPr="00304F2D" w:rsidRDefault="00633965" w:rsidP="004D7056">
            <w:pPr>
              <w:keepNext/>
              <w:keepLines/>
              <w:widowControl w:val="0"/>
              <w:rPr>
                <w:rFonts w:ascii="Times New Roman" w:hAnsi="Times New Roman" w:cs="Times New Roman"/>
              </w:rPr>
            </w:pPr>
            <w:r w:rsidRPr="00304F2D">
              <w:rPr>
                <w:rFonts w:ascii="Times New Roman" w:hAnsi="Times New Roman" w:cs="Times New Roman"/>
                <w:b/>
              </w:rPr>
              <w:t>Existing</w:t>
            </w:r>
            <w:r w:rsidR="00131A70" w:rsidRPr="00304F2D">
              <w:rPr>
                <w:rFonts w:ascii="Times New Roman" w:hAnsi="Times New Roman" w:cs="Times New Roman"/>
                <w:b/>
              </w:rPr>
              <w:t xml:space="preserve"> Donors</w:t>
            </w:r>
            <w:r w:rsidRPr="00304F2D">
              <w:rPr>
                <w:rFonts w:ascii="Times New Roman" w:hAnsi="Times New Roman" w:cs="Times New Roman"/>
              </w:rPr>
              <w:t xml:space="preserve"> (n=31,936</w:t>
            </w:r>
            <w:r w:rsidR="00131A70" w:rsidRPr="00304F2D">
              <w:rPr>
                <w:rFonts w:ascii="Times New Roman" w:hAnsi="Times New Roman" w:cs="Times New Roman"/>
              </w:rPr>
              <w:t>)</w:t>
            </w:r>
          </w:p>
        </w:tc>
        <w:tc>
          <w:tcPr>
            <w:tcW w:w="401" w:type="pct"/>
            <w:tcBorders>
              <w:top w:val="nil"/>
              <w:left w:val="nil"/>
              <w:bottom w:val="nil"/>
              <w:right w:val="nil"/>
            </w:tcBorders>
            <w:vAlign w:val="bottom"/>
          </w:tcPr>
          <w:p w14:paraId="3CE6C3F6" w14:textId="40F2C922"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25</w:t>
            </w:r>
          </w:p>
        </w:tc>
        <w:tc>
          <w:tcPr>
            <w:tcW w:w="401" w:type="pct"/>
            <w:tcBorders>
              <w:top w:val="nil"/>
              <w:left w:val="nil"/>
              <w:bottom w:val="nil"/>
              <w:right w:val="nil"/>
            </w:tcBorders>
            <w:vAlign w:val="bottom"/>
          </w:tcPr>
          <w:p w14:paraId="7BF899D1" w14:textId="03714E95"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w:t>
            </w:r>
            <w:r w:rsidR="00633965" w:rsidRPr="00304F2D">
              <w:rPr>
                <w:rFonts w:ascii="Times New Roman" w:hAnsi="Times New Roman" w:cs="Times New Roman"/>
              </w:rPr>
              <w:t>6</w:t>
            </w:r>
          </w:p>
        </w:tc>
        <w:tc>
          <w:tcPr>
            <w:tcW w:w="408" w:type="pct"/>
            <w:tcBorders>
              <w:top w:val="nil"/>
              <w:left w:val="nil"/>
              <w:bottom w:val="nil"/>
              <w:right w:val="nil"/>
            </w:tcBorders>
            <w:vAlign w:val="bottom"/>
          </w:tcPr>
          <w:p w14:paraId="0B31E4E2" w14:textId="5C9BA70B"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w:t>
            </w:r>
          </w:p>
        </w:tc>
        <w:tc>
          <w:tcPr>
            <w:tcW w:w="502" w:type="pct"/>
            <w:tcBorders>
              <w:top w:val="nil"/>
              <w:left w:val="nil"/>
              <w:bottom w:val="nil"/>
              <w:right w:val="nil"/>
            </w:tcBorders>
            <w:vAlign w:val="bottom"/>
          </w:tcPr>
          <w:p w14:paraId="1426729E" w14:textId="17A88DE2"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2</w:t>
            </w:r>
            <w:r w:rsidR="00633965" w:rsidRPr="00304F2D">
              <w:rPr>
                <w:rFonts w:ascii="Times New Roman" w:hAnsi="Times New Roman" w:cs="Times New Roman"/>
              </w:rPr>
              <w:t>3</w:t>
            </w:r>
          </w:p>
        </w:tc>
        <w:tc>
          <w:tcPr>
            <w:tcW w:w="379" w:type="pct"/>
            <w:tcBorders>
              <w:top w:val="nil"/>
              <w:left w:val="nil"/>
              <w:bottom w:val="nil"/>
              <w:right w:val="nil"/>
            </w:tcBorders>
            <w:vAlign w:val="bottom"/>
          </w:tcPr>
          <w:p w14:paraId="645E2ABB" w14:textId="01974063"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2</w:t>
            </w:r>
            <w:r w:rsidR="00633965" w:rsidRPr="00304F2D">
              <w:rPr>
                <w:rFonts w:ascii="Times New Roman" w:hAnsi="Times New Roman" w:cs="Times New Roman"/>
              </w:rPr>
              <w:t>5</w:t>
            </w:r>
          </w:p>
        </w:tc>
        <w:tc>
          <w:tcPr>
            <w:tcW w:w="606" w:type="pct"/>
            <w:tcBorders>
              <w:top w:val="nil"/>
              <w:left w:val="nil"/>
              <w:bottom w:val="nil"/>
              <w:right w:val="nil"/>
            </w:tcBorders>
            <w:vAlign w:val="bottom"/>
          </w:tcPr>
          <w:p w14:paraId="0B9A28BF" w14:textId="2565F1D0"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616BF64B" w14:textId="77777777" w:rsidTr="00633965">
        <w:tc>
          <w:tcPr>
            <w:tcW w:w="2304" w:type="pct"/>
            <w:tcBorders>
              <w:top w:val="nil"/>
              <w:left w:val="nil"/>
              <w:bottom w:val="nil"/>
              <w:right w:val="nil"/>
            </w:tcBorders>
          </w:tcPr>
          <w:p w14:paraId="1280F443" w14:textId="087B565E" w:rsidR="00131A70" w:rsidRPr="00304F2D" w:rsidRDefault="00131A70" w:rsidP="004D7056">
            <w:pPr>
              <w:keepNext/>
              <w:keepLines/>
              <w:widowControl w:val="0"/>
              <w:rPr>
                <w:rFonts w:ascii="Times New Roman" w:hAnsi="Times New Roman" w:cs="Times New Roman"/>
                <w:b/>
              </w:rPr>
            </w:pPr>
            <w:r w:rsidRPr="00304F2D">
              <w:rPr>
                <w:rFonts w:ascii="Times New Roman" w:hAnsi="Times New Roman" w:cs="Times New Roman"/>
                <w:b/>
              </w:rPr>
              <w:t>2008 %</w:t>
            </w:r>
          </w:p>
        </w:tc>
        <w:tc>
          <w:tcPr>
            <w:tcW w:w="401" w:type="pct"/>
            <w:tcBorders>
              <w:top w:val="nil"/>
              <w:left w:val="nil"/>
              <w:bottom w:val="nil"/>
              <w:right w:val="nil"/>
            </w:tcBorders>
            <w:vAlign w:val="bottom"/>
          </w:tcPr>
          <w:p w14:paraId="782777FE" w14:textId="77777777" w:rsidR="00131A70" w:rsidRPr="00304F2D" w:rsidRDefault="00131A70" w:rsidP="004D7056">
            <w:pPr>
              <w:keepNext/>
              <w:keepLines/>
              <w:widowControl w:val="0"/>
              <w:jc w:val="center"/>
              <w:rPr>
                <w:rFonts w:ascii="Times New Roman" w:hAnsi="Times New Roman" w:cs="Times New Roman"/>
              </w:rPr>
            </w:pPr>
          </w:p>
        </w:tc>
        <w:tc>
          <w:tcPr>
            <w:tcW w:w="401" w:type="pct"/>
            <w:tcBorders>
              <w:top w:val="nil"/>
              <w:left w:val="nil"/>
              <w:bottom w:val="nil"/>
              <w:right w:val="nil"/>
            </w:tcBorders>
            <w:vAlign w:val="bottom"/>
          </w:tcPr>
          <w:p w14:paraId="1D333A52" w14:textId="77777777" w:rsidR="00131A70" w:rsidRPr="00304F2D" w:rsidRDefault="00131A70" w:rsidP="004D7056">
            <w:pPr>
              <w:keepNext/>
              <w:keepLines/>
              <w:widowControl w:val="0"/>
              <w:jc w:val="center"/>
              <w:rPr>
                <w:rFonts w:ascii="Times New Roman" w:hAnsi="Times New Roman" w:cs="Times New Roman"/>
              </w:rPr>
            </w:pPr>
          </w:p>
        </w:tc>
        <w:tc>
          <w:tcPr>
            <w:tcW w:w="408" w:type="pct"/>
            <w:tcBorders>
              <w:top w:val="nil"/>
              <w:left w:val="nil"/>
              <w:bottom w:val="nil"/>
              <w:right w:val="nil"/>
            </w:tcBorders>
            <w:vAlign w:val="bottom"/>
          </w:tcPr>
          <w:p w14:paraId="515116C2" w14:textId="77777777" w:rsidR="00131A70" w:rsidRPr="00304F2D" w:rsidRDefault="00131A70" w:rsidP="004D7056">
            <w:pPr>
              <w:keepNext/>
              <w:keepLines/>
              <w:widowControl w:val="0"/>
              <w:jc w:val="center"/>
              <w:rPr>
                <w:rFonts w:ascii="Times New Roman" w:hAnsi="Times New Roman" w:cs="Times New Roman"/>
              </w:rPr>
            </w:pPr>
          </w:p>
        </w:tc>
        <w:tc>
          <w:tcPr>
            <w:tcW w:w="502" w:type="pct"/>
            <w:tcBorders>
              <w:top w:val="nil"/>
              <w:left w:val="nil"/>
              <w:bottom w:val="nil"/>
              <w:right w:val="nil"/>
            </w:tcBorders>
            <w:vAlign w:val="bottom"/>
          </w:tcPr>
          <w:p w14:paraId="2EE2E872" w14:textId="77777777" w:rsidR="00131A70" w:rsidRPr="00304F2D" w:rsidRDefault="00131A70" w:rsidP="004D7056">
            <w:pPr>
              <w:keepNext/>
              <w:keepLines/>
              <w:widowControl w:val="0"/>
              <w:jc w:val="center"/>
              <w:rPr>
                <w:rFonts w:ascii="Times New Roman" w:hAnsi="Times New Roman" w:cs="Times New Roman"/>
              </w:rPr>
            </w:pPr>
          </w:p>
        </w:tc>
        <w:tc>
          <w:tcPr>
            <w:tcW w:w="379" w:type="pct"/>
            <w:tcBorders>
              <w:top w:val="nil"/>
              <w:left w:val="nil"/>
              <w:bottom w:val="nil"/>
              <w:right w:val="nil"/>
            </w:tcBorders>
            <w:vAlign w:val="bottom"/>
          </w:tcPr>
          <w:p w14:paraId="18C7299B" w14:textId="77777777" w:rsidR="00131A70" w:rsidRPr="00304F2D" w:rsidRDefault="00131A70" w:rsidP="004D7056">
            <w:pPr>
              <w:keepNext/>
              <w:keepLines/>
              <w:widowControl w:val="0"/>
              <w:jc w:val="center"/>
              <w:rPr>
                <w:rFonts w:ascii="Times New Roman" w:hAnsi="Times New Roman" w:cs="Times New Roman"/>
              </w:rPr>
            </w:pPr>
          </w:p>
        </w:tc>
        <w:tc>
          <w:tcPr>
            <w:tcW w:w="606" w:type="pct"/>
            <w:tcBorders>
              <w:top w:val="nil"/>
              <w:left w:val="nil"/>
              <w:bottom w:val="nil"/>
              <w:right w:val="nil"/>
            </w:tcBorders>
            <w:vAlign w:val="bottom"/>
          </w:tcPr>
          <w:p w14:paraId="2B93D555" w14:textId="77777777" w:rsidR="00131A70" w:rsidRPr="00304F2D" w:rsidRDefault="00131A70" w:rsidP="004D7056">
            <w:pPr>
              <w:keepNext/>
              <w:keepLines/>
              <w:widowControl w:val="0"/>
              <w:jc w:val="center"/>
              <w:rPr>
                <w:rFonts w:ascii="Times New Roman" w:hAnsi="Times New Roman" w:cs="Times New Roman"/>
              </w:rPr>
            </w:pPr>
          </w:p>
        </w:tc>
      </w:tr>
      <w:tr w:rsidR="00633965" w:rsidRPr="00304F2D" w14:paraId="684B7588" w14:textId="77777777" w:rsidTr="00633965">
        <w:tc>
          <w:tcPr>
            <w:tcW w:w="2304" w:type="pct"/>
            <w:tcBorders>
              <w:top w:val="nil"/>
              <w:left w:val="nil"/>
              <w:bottom w:val="nil"/>
              <w:right w:val="nil"/>
            </w:tcBorders>
          </w:tcPr>
          <w:p w14:paraId="51048085" w14:textId="67D43610" w:rsidR="00131A70" w:rsidRPr="00304F2D" w:rsidRDefault="00131A70" w:rsidP="004D7056">
            <w:pPr>
              <w:keepNext/>
              <w:keepLines/>
              <w:widowControl w:val="0"/>
              <w:rPr>
                <w:rFonts w:ascii="Times New Roman" w:hAnsi="Times New Roman" w:cs="Times New Roman"/>
              </w:rPr>
            </w:pPr>
            <w:r w:rsidRPr="00304F2D">
              <w:rPr>
                <w:rFonts w:ascii="Times New Roman" w:hAnsi="Times New Roman" w:cs="Times New Roman"/>
                <w:b/>
              </w:rPr>
              <w:t>New Donors</w:t>
            </w:r>
            <w:r w:rsidRPr="00304F2D">
              <w:rPr>
                <w:rFonts w:ascii="Times New Roman" w:hAnsi="Times New Roman" w:cs="Times New Roman"/>
              </w:rPr>
              <w:t xml:space="preserve"> (n=4</w:t>
            </w:r>
            <w:r w:rsidR="00633965" w:rsidRPr="00304F2D">
              <w:rPr>
                <w:rFonts w:ascii="Times New Roman" w:hAnsi="Times New Roman" w:cs="Times New Roman"/>
              </w:rPr>
              <w:t>2,</w:t>
            </w:r>
            <w:r w:rsidRPr="00304F2D">
              <w:rPr>
                <w:rFonts w:ascii="Times New Roman" w:hAnsi="Times New Roman" w:cs="Times New Roman"/>
              </w:rPr>
              <w:t>1</w:t>
            </w:r>
            <w:r w:rsidR="00633965" w:rsidRPr="00304F2D">
              <w:rPr>
                <w:rFonts w:ascii="Times New Roman" w:hAnsi="Times New Roman" w:cs="Times New Roman"/>
              </w:rPr>
              <w:t>54</w:t>
            </w:r>
            <w:r w:rsidRPr="00304F2D">
              <w:rPr>
                <w:rFonts w:ascii="Times New Roman" w:hAnsi="Times New Roman" w:cs="Times New Roman"/>
              </w:rPr>
              <w:t xml:space="preserve">) </w:t>
            </w:r>
          </w:p>
        </w:tc>
        <w:tc>
          <w:tcPr>
            <w:tcW w:w="401" w:type="pct"/>
            <w:tcBorders>
              <w:top w:val="nil"/>
              <w:left w:val="nil"/>
              <w:bottom w:val="nil"/>
              <w:right w:val="nil"/>
            </w:tcBorders>
          </w:tcPr>
          <w:p w14:paraId="34C33F8A" w14:textId="248747C9"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31</w:t>
            </w:r>
          </w:p>
        </w:tc>
        <w:tc>
          <w:tcPr>
            <w:tcW w:w="401" w:type="pct"/>
            <w:tcBorders>
              <w:top w:val="nil"/>
              <w:left w:val="nil"/>
              <w:bottom w:val="nil"/>
              <w:right w:val="nil"/>
            </w:tcBorders>
          </w:tcPr>
          <w:p w14:paraId="41696713" w14:textId="4FCA8476"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16</w:t>
            </w:r>
          </w:p>
        </w:tc>
        <w:tc>
          <w:tcPr>
            <w:tcW w:w="408" w:type="pct"/>
            <w:tcBorders>
              <w:top w:val="nil"/>
              <w:left w:val="nil"/>
              <w:bottom w:val="nil"/>
              <w:right w:val="nil"/>
            </w:tcBorders>
          </w:tcPr>
          <w:p w14:paraId="03A42ADC" w14:textId="5A6439BF"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w:t>
            </w:r>
          </w:p>
        </w:tc>
        <w:tc>
          <w:tcPr>
            <w:tcW w:w="502" w:type="pct"/>
            <w:tcBorders>
              <w:top w:val="nil"/>
              <w:left w:val="nil"/>
              <w:bottom w:val="nil"/>
              <w:right w:val="nil"/>
            </w:tcBorders>
            <w:vAlign w:val="bottom"/>
          </w:tcPr>
          <w:p w14:paraId="4C0CDD10" w14:textId="614E2842"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21</w:t>
            </w:r>
          </w:p>
        </w:tc>
        <w:tc>
          <w:tcPr>
            <w:tcW w:w="379" w:type="pct"/>
            <w:tcBorders>
              <w:top w:val="nil"/>
              <w:left w:val="nil"/>
              <w:bottom w:val="nil"/>
              <w:right w:val="nil"/>
            </w:tcBorders>
          </w:tcPr>
          <w:p w14:paraId="352EC288" w14:textId="1AE93D1C"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22</w:t>
            </w:r>
          </w:p>
        </w:tc>
        <w:tc>
          <w:tcPr>
            <w:tcW w:w="606" w:type="pct"/>
            <w:tcBorders>
              <w:top w:val="nil"/>
              <w:left w:val="nil"/>
              <w:bottom w:val="nil"/>
              <w:right w:val="nil"/>
            </w:tcBorders>
          </w:tcPr>
          <w:p w14:paraId="5DE9AAD4" w14:textId="60FBFEF9"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1D3D98B5" w14:textId="77777777" w:rsidTr="00633965">
        <w:tc>
          <w:tcPr>
            <w:tcW w:w="2304" w:type="pct"/>
            <w:tcBorders>
              <w:top w:val="nil"/>
              <w:left w:val="nil"/>
              <w:bottom w:val="nil"/>
              <w:right w:val="nil"/>
            </w:tcBorders>
          </w:tcPr>
          <w:p w14:paraId="32CBEC99" w14:textId="3351BE9A" w:rsidR="00131A70" w:rsidRPr="00304F2D" w:rsidRDefault="00633965" w:rsidP="004D7056">
            <w:pPr>
              <w:keepNext/>
              <w:keepLines/>
              <w:widowControl w:val="0"/>
              <w:rPr>
                <w:rFonts w:ascii="Times New Roman" w:hAnsi="Times New Roman" w:cs="Times New Roman"/>
              </w:rPr>
            </w:pPr>
            <w:r w:rsidRPr="00304F2D">
              <w:rPr>
                <w:rFonts w:ascii="Times New Roman" w:hAnsi="Times New Roman" w:cs="Times New Roman"/>
                <w:b/>
              </w:rPr>
              <w:t>Existing</w:t>
            </w:r>
            <w:r w:rsidR="00131A70" w:rsidRPr="00304F2D">
              <w:rPr>
                <w:rFonts w:ascii="Times New Roman" w:hAnsi="Times New Roman" w:cs="Times New Roman"/>
                <w:b/>
              </w:rPr>
              <w:t xml:space="preserve"> Donors</w:t>
            </w:r>
            <w:r w:rsidRPr="00304F2D">
              <w:rPr>
                <w:rFonts w:ascii="Times New Roman" w:hAnsi="Times New Roman" w:cs="Times New Roman"/>
              </w:rPr>
              <w:t xml:space="preserve"> (n=37,022</w:t>
            </w:r>
            <w:r w:rsidR="00131A70" w:rsidRPr="00304F2D">
              <w:rPr>
                <w:rFonts w:ascii="Times New Roman" w:hAnsi="Times New Roman" w:cs="Times New Roman"/>
              </w:rPr>
              <w:t>)</w:t>
            </w:r>
          </w:p>
        </w:tc>
        <w:tc>
          <w:tcPr>
            <w:tcW w:w="401" w:type="pct"/>
            <w:tcBorders>
              <w:top w:val="nil"/>
              <w:left w:val="nil"/>
              <w:bottom w:val="nil"/>
              <w:right w:val="nil"/>
            </w:tcBorders>
            <w:vAlign w:val="bottom"/>
          </w:tcPr>
          <w:p w14:paraId="54407961" w14:textId="5EE5BB7E"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26</w:t>
            </w:r>
          </w:p>
        </w:tc>
        <w:tc>
          <w:tcPr>
            <w:tcW w:w="401" w:type="pct"/>
            <w:tcBorders>
              <w:top w:val="nil"/>
              <w:left w:val="nil"/>
              <w:bottom w:val="nil"/>
              <w:right w:val="nil"/>
            </w:tcBorders>
            <w:vAlign w:val="bottom"/>
          </w:tcPr>
          <w:p w14:paraId="487D693C" w14:textId="064358C6"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16</w:t>
            </w:r>
          </w:p>
        </w:tc>
        <w:tc>
          <w:tcPr>
            <w:tcW w:w="408" w:type="pct"/>
            <w:tcBorders>
              <w:top w:val="nil"/>
              <w:left w:val="nil"/>
              <w:bottom w:val="nil"/>
              <w:right w:val="nil"/>
            </w:tcBorders>
            <w:vAlign w:val="bottom"/>
          </w:tcPr>
          <w:p w14:paraId="0E3B0B53" w14:textId="25D61B8B"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11</w:t>
            </w:r>
          </w:p>
        </w:tc>
        <w:tc>
          <w:tcPr>
            <w:tcW w:w="502" w:type="pct"/>
            <w:tcBorders>
              <w:top w:val="nil"/>
              <w:left w:val="nil"/>
              <w:bottom w:val="nil"/>
              <w:right w:val="nil"/>
            </w:tcBorders>
            <w:vAlign w:val="bottom"/>
          </w:tcPr>
          <w:p w14:paraId="0A2E318B" w14:textId="47BACE0F" w:rsidR="00131A70" w:rsidRPr="00304F2D" w:rsidRDefault="00131A70" w:rsidP="00633965">
            <w:pPr>
              <w:keepNext/>
              <w:keepLines/>
              <w:widowControl w:val="0"/>
              <w:jc w:val="center"/>
              <w:rPr>
                <w:rFonts w:ascii="Times New Roman" w:hAnsi="Times New Roman" w:cs="Times New Roman"/>
              </w:rPr>
            </w:pPr>
            <w:r w:rsidRPr="00304F2D">
              <w:rPr>
                <w:rFonts w:ascii="Times New Roman" w:hAnsi="Times New Roman" w:cs="Times New Roman"/>
              </w:rPr>
              <w:t>2</w:t>
            </w:r>
            <w:r w:rsidR="00633965" w:rsidRPr="00304F2D">
              <w:rPr>
                <w:rFonts w:ascii="Times New Roman" w:hAnsi="Times New Roman" w:cs="Times New Roman"/>
              </w:rPr>
              <w:t>2</w:t>
            </w:r>
          </w:p>
        </w:tc>
        <w:tc>
          <w:tcPr>
            <w:tcW w:w="379" w:type="pct"/>
            <w:tcBorders>
              <w:top w:val="nil"/>
              <w:left w:val="nil"/>
              <w:bottom w:val="nil"/>
              <w:right w:val="nil"/>
            </w:tcBorders>
            <w:vAlign w:val="bottom"/>
          </w:tcPr>
          <w:p w14:paraId="6394C591" w14:textId="4A08F59D"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24</w:t>
            </w:r>
          </w:p>
        </w:tc>
        <w:tc>
          <w:tcPr>
            <w:tcW w:w="606" w:type="pct"/>
            <w:tcBorders>
              <w:top w:val="nil"/>
              <w:left w:val="nil"/>
              <w:bottom w:val="nil"/>
              <w:right w:val="nil"/>
            </w:tcBorders>
            <w:vAlign w:val="bottom"/>
          </w:tcPr>
          <w:p w14:paraId="5D6C4270" w14:textId="2DDF0CD4"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7B934826" w14:textId="77777777" w:rsidTr="00633965">
        <w:tc>
          <w:tcPr>
            <w:tcW w:w="2304" w:type="pct"/>
            <w:tcBorders>
              <w:top w:val="nil"/>
              <w:left w:val="nil"/>
              <w:bottom w:val="nil"/>
              <w:right w:val="nil"/>
            </w:tcBorders>
          </w:tcPr>
          <w:p w14:paraId="64457F28" w14:textId="7EAD05D3" w:rsidR="00131A70" w:rsidRPr="00304F2D" w:rsidRDefault="00131A70" w:rsidP="004D7056">
            <w:pPr>
              <w:keepNext/>
              <w:keepLines/>
              <w:widowControl w:val="0"/>
              <w:rPr>
                <w:rFonts w:ascii="Times New Roman" w:hAnsi="Times New Roman" w:cs="Times New Roman"/>
                <w:b/>
              </w:rPr>
            </w:pPr>
            <w:r w:rsidRPr="00304F2D">
              <w:rPr>
                <w:rFonts w:ascii="Times New Roman" w:hAnsi="Times New Roman" w:cs="Times New Roman"/>
                <w:b/>
              </w:rPr>
              <w:t>2009 %</w:t>
            </w:r>
          </w:p>
        </w:tc>
        <w:tc>
          <w:tcPr>
            <w:tcW w:w="401" w:type="pct"/>
            <w:tcBorders>
              <w:top w:val="nil"/>
              <w:left w:val="nil"/>
              <w:bottom w:val="nil"/>
              <w:right w:val="nil"/>
            </w:tcBorders>
            <w:vAlign w:val="bottom"/>
          </w:tcPr>
          <w:p w14:paraId="592C1F56" w14:textId="77777777" w:rsidR="00131A70" w:rsidRPr="00304F2D" w:rsidRDefault="00131A70" w:rsidP="004D7056">
            <w:pPr>
              <w:keepNext/>
              <w:keepLines/>
              <w:widowControl w:val="0"/>
              <w:jc w:val="center"/>
              <w:rPr>
                <w:rFonts w:ascii="Times New Roman" w:hAnsi="Times New Roman" w:cs="Times New Roman"/>
              </w:rPr>
            </w:pPr>
          </w:p>
        </w:tc>
        <w:tc>
          <w:tcPr>
            <w:tcW w:w="401" w:type="pct"/>
            <w:tcBorders>
              <w:top w:val="nil"/>
              <w:left w:val="nil"/>
              <w:bottom w:val="nil"/>
              <w:right w:val="nil"/>
            </w:tcBorders>
            <w:vAlign w:val="bottom"/>
          </w:tcPr>
          <w:p w14:paraId="0CBAFF1C" w14:textId="77777777" w:rsidR="00131A70" w:rsidRPr="00304F2D" w:rsidRDefault="00131A70" w:rsidP="004D7056">
            <w:pPr>
              <w:keepNext/>
              <w:keepLines/>
              <w:widowControl w:val="0"/>
              <w:jc w:val="center"/>
              <w:rPr>
                <w:rFonts w:ascii="Times New Roman" w:hAnsi="Times New Roman" w:cs="Times New Roman"/>
              </w:rPr>
            </w:pPr>
          </w:p>
        </w:tc>
        <w:tc>
          <w:tcPr>
            <w:tcW w:w="408" w:type="pct"/>
            <w:tcBorders>
              <w:top w:val="nil"/>
              <w:left w:val="nil"/>
              <w:bottom w:val="nil"/>
              <w:right w:val="nil"/>
            </w:tcBorders>
            <w:vAlign w:val="bottom"/>
          </w:tcPr>
          <w:p w14:paraId="7CD998FB" w14:textId="77777777" w:rsidR="00131A70" w:rsidRPr="00304F2D" w:rsidRDefault="00131A70" w:rsidP="004D7056">
            <w:pPr>
              <w:keepNext/>
              <w:keepLines/>
              <w:widowControl w:val="0"/>
              <w:jc w:val="center"/>
              <w:rPr>
                <w:rFonts w:ascii="Times New Roman" w:hAnsi="Times New Roman" w:cs="Times New Roman"/>
              </w:rPr>
            </w:pPr>
          </w:p>
        </w:tc>
        <w:tc>
          <w:tcPr>
            <w:tcW w:w="502" w:type="pct"/>
            <w:tcBorders>
              <w:top w:val="nil"/>
              <w:left w:val="nil"/>
              <w:bottom w:val="nil"/>
              <w:right w:val="nil"/>
            </w:tcBorders>
            <w:vAlign w:val="bottom"/>
          </w:tcPr>
          <w:p w14:paraId="42CEBDC9" w14:textId="77777777" w:rsidR="00131A70" w:rsidRPr="00304F2D" w:rsidRDefault="00131A70" w:rsidP="004D7056">
            <w:pPr>
              <w:keepNext/>
              <w:keepLines/>
              <w:widowControl w:val="0"/>
              <w:jc w:val="center"/>
              <w:rPr>
                <w:rFonts w:ascii="Times New Roman" w:hAnsi="Times New Roman" w:cs="Times New Roman"/>
              </w:rPr>
            </w:pPr>
          </w:p>
        </w:tc>
        <w:tc>
          <w:tcPr>
            <w:tcW w:w="379" w:type="pct"/>
            <w:tcBorders>
              <w:top w:val="nil"/>
              <w:left w:val="nil"/>
              <w:bottom w:val="nil"/>
              <w:right w:val="nil"/>
            </w:tcBorders>
            <w:vAlign w:val="bottom"/>
          </w:tcPr>
          <w:p w14:paraId="6102585D" w14:textId="77777777" w:rsidR="00131A70" w:rsidRPr="00304F2D" w:rsidRDefault="00131A70" w:rsidP="004D7056">
            <w:pPr>
              <w:keepNext/>
              <w:keepLines/>
              <w:widowControl w:val="0"/>
              <w:jc w:val="center"/>
              <w:rPr>
                <w:rFonts w:ascii="Times New Roman" w:hAnsi="Times New Roman" w:cs="Times New Roman"/>
              </w:rPr>
            </w:pPr>
          </w:p>
        </w:tc>
        <w:tc>
          <w:tcPr>
            <w:tcW w:w="606" w:type="pct"/>
            <w:tcBorders>
              <w:top w:val="nil"/>
              <w:left w:val="nil"/>
              <w:bottom w:val="nil"/>
              <w:right w:val="nil"/>
            </w:tcBorders>
            <w:vAlign w:val="bottom"/>
          </w:tcPr>
          <w:p w14:paraId="3204C200" w14:textId="77777777" w:rsidR="00131A70" w:rsidRPr="00304F2D" w:rsidRDefault="00131A70" w:rsidP="004D7056">
            <w:pPr>
              <w:keepNext/>
              <w:keepLines/>
              <w:widowControl w:val="0"/>
              <w:jc w:val="center"/>
              <w:rPr>
                <w:rFonts w:ascii="Times New Roman" w:hAnsi="Times New Roman" w:cs="Times New Roman"/>
              </w:rPr>
            </w:pPr>
          </w:p>
        </w:tc>
      </w:tr>
      <w:tr w:rsidR="00633965" w:rsidRPr="00304F2D" w14:paraId="2DA90F92" w14:textId="77777777" w:rsidTr="00633965">
        <w:tc>
          <w:tcPr>
            <w:tcW w:w="2304" w:type="pct"/>
            <w:tcBorders>
              <w:top w:val="nil"/>
              <w:left w:val="nil"/>
              <w:bottom w:val="nil"/>
              <w:right w:val="nil"/>
            </w:tcBorders>
          </w:tcPr>
          <w:p w14:paraId="31E8DF8A" w14:textId="759FD2AB" w:rsidR="00131A70" w:rsidRPr="00304F2D" w:rsidRDefault="00131A70" w:rsidP="004D7056">
            <w:pPr>
              <w:keepNext/>
              <w:keepLines/>
              <w:widowControl w:val="0"/>
              <w:rPr>
                <w:rFonts w:ascii="Times New Roman" w:hAnsi="Times New Roman" w:cs="Times New Roman"/>
              </w:rPr>
            </w:pPr>
            <w:r w:rsidRPr="00304F2D">
              <w:rPr>
                <w:rFonts w:ascii="Times New Roman" w:hAnsi="Times New Roman" w:cs="Times New Roman"/>
                <w:b/>
              </w:rPr>
              <w:t>New Donors</w:t>
            </w:r>
            <w:r w:rsidR="00633965" w:rsidRPr="00304F2D">
              <w:rPr>
                <w:rFonts w:ascii="Times New Roman" w:hAnsi="Times New Roman" w:cs="Times New Roman"/>
              </w:rPr>
              <w:t xml:space="preserve"> (n=53,541</w:t>
            </w:r>
            <w:r w:rsidRPr="00304F2D">
              <w:rPr>
                <w:rFonts w:ascii="Times New Roman" w:hAnsi="Times New Roman" w:cs="Times New Roman"/>
              </w:rPr>
              <w:t>)</w:t>
            </w:r>
          </w:p>
        </w:tc>
        <w:tc>
          <w:tcPr>
            <w:tcW w:w="401" w:type="pct"/>
            <w:tcBorders>
              <w:top w:val="nil"/>
              <w:left w:val="nil"/>
              <w:bottom w:val="nil"/>
              <w:right w:val="nil"/>
            </w:tcBorders>
          </w:tcPr>
          <w:p w14:paraId="4DD471A5" w14:textId="65A62523"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33</w:t>
            </w:r>
          </w:p>
        </w:tc>
        <w:tc>
          <w:tcPr>
            <w:tcW w:w="401" w:type="pct"/>
            <w:tcBorders>
              <w:top w:val="nil"/>
              <w:left w:val="nil"/>
              <w:bottom w:val="nil"/>
              <w:right w:val="nil"/>
            </w:tcBorders>
          </w:tcPr>
          <w:p w14:paraId="6A18AFD7" w14:textId="76BF9425"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18</w:t>
            </w:r>
          </w:p>
        </w:tc>
        <w:tc>
          <w:tcPr>
            <w:tcW w:w="408" w:type="pct"/>
            <w:tcBorders>
              <w:top w:val="nil"/>
              <w:left w:val="nil"/>
              <w:bottom w:val="nil"/>
              <w:right w:val="nil"/>
            </w:tcBorders>
          </w:tcPr>
          <w:p w14:paraId="501EB055" w14:textId="49CBC358"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11</w:t>
            </w:r>
          </w:p>
        </w:tc>
        <w:tc>
          <w:tcPr>
            <w:tcW w:w="502" w:type="pct"/>
            <w:tcBorders>
              <w:top w:val="nil"/>
              <w:left w:val="nil"/>
              <w:bottom w:val="nil"/>
              <w:right w:val="nil"/>
            </w:tcBorders>
            <w:vAlign w:val="bottom"/>
          </w:tcPr>
          <w:p w14:paraId="445F95EE" w14:textId="2E20D46A"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20</w:t>
            </w:r>
          </w:p>
        </w:tc>
        <w:tc>
          <w:tcPr>
            <w:tcW w:w="379" w:type="pct"/>
            <w:tcBorders>
              <w:top w:val="nil"/>
              <w:left w:val="nil"/>
              <w:bottom w:val="nil"/>
              <w:right w:val="nil"/>
            </w:tcBorders>
          </w:tcPr>
          <w:p w14:paraId="16101AD3" w14:textId="3F4A0FDD" w:rsidR="00131A70" w:rsidRPr="00304F2D" w:rsidRDefault="00633965" w:rsidP="004D7056">
            <w:pPr>
              <w:keepNext/>
              <w:keepLines/>
              <w:widowControl w:val="0"/>
              <w:jc w:val="center"/>
              <w:rPr>
                <w:rFonts w:ascii="Times New Roman" w:hAnsi="Times New Roman" w:cs="Times New Roman"/>
              </w:rPr>
            </w:pPr>
            <w:r w:rsidRPr="00304F2D">
              <w:rPr>
                <w:rFonts w:ascii="Times New Roman" w:hAnsi="Times New Roman" w:cs="Times New Roman"/>
              </w:rPr>
              <w:t>18</w:t>
            </w:r>
          </w:p>
        </w:tc>
        <w:tc>
          <w:tcPr>
            <w:tcW w:w="606" w:type="pct"/>
            <w:tcBorders>
              <w:top w:val="nil"/>
              <w:left w:val="nil"/>
              <w:bottom w:val="nil"/>
              <w:right w:val="nil"/>
            </w:tcBorders>
          </w:tcPr>
          <w:p w14:paraId="02E1DB5C" w14:textId="775D7551" w:rsidR="00131A70" w:rsidRPr="00304F2D" w:rsidRDefault="00131A70" w:rsidP="004D7056">
            <w:pPr>
              <w:keepNext/>
              <w:keepLines/>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6FBF0181" w14:textId="77777777" w:rsidTr="00633965">
        <w:tc>
          <w:tcPr>
            <w:tcW w:w="2304" w:type="pct"/>
            <w:tcBorders>
              <w:top w:val="nil"/>
              <w:left w:val="nil"/>
              <w:bottom w:val="nil"/>
              <w:right w:val="nil"/>
            </w:tcBorders>
          </w:tcPr>
          <w:p w14:paraId="2F980A15" w14:textId="128565D4" w:rsidR="00131A70" w:rsidRPr="00304F2D" w:rsidRDefault="00482D78" w:rsidP="00C32CE5">
            <w:pPr>
              <w:widowControl w:val="0"/>
              <w:rPr>
                <w:rFonts w:ascii="Times New Roman" w:hAnsi="Times New Roman" w:cs="Times New Roman"/>
              </w:rPr>
            </w:pPr>
            <w:r>
              <w:rPr>
                <w:rFonts w:ascii="Times New Roman" w:hAnsi="Times New Roman" w:cs="Times New Roman"/>
                <w:b/>
              </w:rPr>
              <w:t>Existing</w:t>
            </w:r>
            <w:r w:rsidR="00131A70" w:rsidRPr="00304F2D">
              <w:rPr>
                <w:rFonts w:ascii="Times New Roman" w:hAnsi="Times New Roman" w:cs="Times New Roman"/>
                <w:b/>
              </w:rPr>
              <w:t xml:space="preserve"> Donors</w:t>
            </w:r>
            <w:r w:rsidR="00633965" w:rsidRPr="00304F2D">
              <w:rPr>
                <w:rFonts w:ascii="Times New Roman" w:hAnsi="Times New Roman" w:cs="Times New Roman"/>
              </w:rPr>
              <w:t xml:space="preserve"> (n=46,</w:t>
            </w:r>
            <w:r w:rsidR="00131A70" w:rsidRPr="00304F2D">
              <w:rPr>
                <w:rFonts w:ascii="Times New Roman" w:hAnsi="Times New Roman" w:cs="Times New Roman"/>
              </w:rPr>
              <w:t>5</w:t>
            </w:r>
            <w:r w:rsidR="00633965" w:rsidRPr="00304F2D">
              <w:rPr>
                <w:rFonts w:ascii="Times New Roman" w:hAnsi="Times New Roman" w:cs="Times New Roman"/>
              </w:rPr>
              <w:t>15</w:t>
            </w:r>
            <w:r w:rsidR="00131A70" w:rsidRPr="00304F2D">
              <w:rPr>
                <w:rFonts w:ascii="Times New Roman" w:hAnsi="Times New Roman" w:cs="Times New Roman"/>
              </w:rPr>
              <w:t>)</w:t>
            </w:r>
          </w:p>
        </w:tc>
        <w:tc>
          <w:tcPr>
            <w:tcW w:w="401" w:type="pct"/>
            <w:tcBorders>
              <w:top w:val="nil"/>
              <w:left w:val="nil"/>
              <w:bottom w:val="nil"/>
              <w:right w:val="nil"/>
            </w:tcBorders>
            <w:vAlign w:val="bottom"/>
          </w:tcPr>
          <w:p w14:paraId="76C7A4E9" w14:textId="372DBA0C"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28</w:t>
            </w:r>
          </w:p>
        </w:tc>
        <w:tc>
          <w:tcPr>
            <w:tcW w:w="401" w:type="pct"/>
            <w:tcBorders>
              <w:top w:val="nil"/>
              <w:left w:val="nil"/>
              <w:bottom w:val="nil"/>
              <w:right w:val="nil"/>
            </w:tcBorders>
            <w:vAlign w:val="bottom"/>
          </w:tcPr>
          <w:p w14:paraId="640E8451" w14:textId="5FD741EC"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18</w:t>
            </w:r>
          </w:p>
        </w:tc>
        <w:tc>
          <w:tcPr>
            <w:tcW w:w="408" w:type="pct"/>
            <w:tcBorders>
              <w:top w:val="nil"/>
              <w:left w:val="nil"/>
              <w:bottom w:val="nil"/>
              <w:right w:val="nil"/>
            </w:tcBorders>
            <w:vAlign w:val="bottom"/>
          </w:tcPr>
          <w:p w14:paraId="1BF6F311" w14:textId="567EC781"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11</w:t>
            </w:r>
          </w:p>
        </w:tc>
        <w:tc>
          <w:tcPr>
            <w:tcW w:w="502" w:type="pct"/>
            <w:tcBorders>
              <w:top w:val="nil"/>
              <w:left w:val="nil"/>
              <w:bottom w:val="nil"/>
              <w:right w:val="nil"/>
            </w:tcBorders>
            <w:vAlign w:val="bottom"/>
          </w:tcPr>
          <w:p w14:paraId="6BD78C45" w14:textId="586F4B7F"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22</w:t>
            </w:r>
          </w:p>
        </w:tc>
        <w:tc>
          <w:tcPr>
            <w:tcW w:w="379" w:type="pct"/>
            <w:tcBorders>
              <w:top w:val="nil"/>
              <w:left w:val="nil"/>
              <w:bottom w:val="nil"/>
              <w:right w:val="nil"/>
            </w:tcBorders>
            <w:vAlign w:val="bottom"/>
          </w:tcPr>
          <w:p w14:paraId="123BF09B" w14:textId="5D7154EC"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21</w:t>
            </w:r>
          </w:p>
        </w:tc>
        <w:tc>
          <w:tcPr>
            <w:tcW w:w="606" w:type="pct"/>
            <w:tcBorders>
              <w:top w:val="nil"/>
              <w:left w:val="nil"/>
              <w:bottom w:val="nil"/>
              <w:right w:val="nil"/>
            </w:tcBorders>
            <w:vAlign w:val="bottom"/>
          </w:tcPr>
          <w:p w14:paraId="208A2BCC" w14:textId="5E582A59"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007F1390" w14:textId="77777777" w:rsidTr="00633965">
        <w:tc>
          <w:tcPr>
            <w:tcW w:w="2304" w:type="pct"/>
            <w:tcBorders>
              <w:top w:val="nil"/>
              <w:left w:val="nil"/>
              <w:bottom w:val="nil"/>
              <w:right w:val="nil"/>
            </w:tcBorders>
          </w:tcPr>
          <w:p w14:paraId="0B672564" w14:textId="4EC559E6" w:rsidR="00131A70" w:rsidRPr="00304F2D" w:rsidRDefault="00131A70" w:rsidP="00C32CE5">
            <w:pPr>
              <w:widowControl w:val="0"/>
              <w:rPr>
                <w:rFonts w:ascii="Times New Roman" w:hAnsi="Times New Roman" w:cs="Times New Roman"/>
                <w:b/>
              </w:rPr>
            </w:pPr>
            <w:r w:rsidRPr="00304F2D">
              <w:rPr>
                <w:rFonts w:ascii="Times New Roman" w:hAnsi="Times New Roman" w:cs="Times New Roman"/>
                <w:b/>
              </w:rPr>
              <w:t>2010 %</w:t>
            </w:r>
          </w:p>
        </w:tc>
        <w:tc>
          <w:tcPr>
            <w:tcW w:w="401" w:type="pct"/>
            <w:tcBorders>
              <w:top w:val="nil"/>
              <w:left w:val="nil"/>
              <w:bottom w:val="nil"/>
              <w:right w:val="nil"/>
            </w:tcBorders>
            <w:vAlign w:val="bottom"/>
          </w:tcPr>
          <w:p w14:paraId="0F121FE8" w14:textId="77777777" w:rsidR="00131A70" w:rsidRPr="00304F2D" w:rsidRDefault="00131A70" w:rsidP="00C32CE5">
            <w:pPr>
              <w:widowControl w:val="0"/>
              <w:jc w:val="center"/>
              <w:rPr>
                <w:rFonts w:ascii="Times New Roman" w:hAnsi="Times New Roman" w:cs="Times New Roman"/>
              </w:rPr>
            </w:pPr>
          </w:p>
        </w:tc>
        <w:tc>
          <w:tcPr>
            <w:tcW w:w="401" w:type="pct"/>
            <w:tcBorders>
              <w:top w:val="nil"/>
              <w:left w:val="nil"/>
              <w:bottom w:val="nil"/>
              <w:right w:val="nil"/>
            </w:tcBorders>
            <w:vAlign w:val="bottom"/>
          </w:tcPr>
          <w:p w14:paraId="455ED20F" w14:textId="77777777" w:rsidR="00131A70" w:rsidRPr="00304F2D" w:rsidRDefault="00131A70" w:rsidP="00C32CE5">
            <w:pPr>
              <w:widowControl w:val="0"/>
              <w:jc w:val="center"/>
              <w:rPr>
                <w:rFonts w:ascii="Times New Roman" w:hAnsi="Times New Roman" w:cs="Times New Roman"/>
              </w:rPr>
            </w:pPr>
          </w:p>
        </w:tc>
        <w:tc>
          <w:tcPr>
            <w:tcW w:w="408" w:type="pct"/>
            <w:tcBorders>
              <w:top w:val="nil"/>
              <w:left w:val="nil"/>
              <w:bottom w:val="nil"/>
              <w:right w:val="nil"/>
            </w:tcBorders>
            <w:vAlign w:val="bottom"/>
          </w:tcPr>
          <w:p w14:paraId="61AD6DED" w14:textId="77777777" w:rsidR="00131A70" w:rsidRPr="00304F2D" w:rsidRDefault="00131A70" w:rsidP="00C32CE5">
            <w:pPr>
              <w:widowControl w:val="0"/>
              <w:jc w:val="center"/>
              <w:rPr>
                <w:rFonts w:ascii="Times New Roman" w:hAnsi="Times New Roman" w:cs="Times New Roman"/>
              </w:rPr>
            </w:pPr>
          </w:p>
        </w:tc>
        <w:tc>
          <w:tcPr>
            <w:tcW w:w="502" w:type="pct"/>
            <w:tcBorders>
              <w:top w:val="nil"/>
              <w:left w:val="nil"/>
              <w:bottom w:val="nil"/>
              <w:right w:val="nil"/>
            </w:tcBorders>
            <w:vAlign w:val="bottom"/>
          </w:tcPr>
          <w:p w14:paraId="555F0D30" w14:textId="77777777" w:rsidR="00131A70" w:rsidRPr="00304F2D" w:rsidRDefault="00131A70" w:rsidP="00C32CE5">
            <w:pPr>
              <w:widowControl w:val="0"/>
              <w:jc w:val="center"/>
              <w:rPr>
                <w:rFonts w:ascii="Times New Roman" w:hAnsi="Times New Roman" w:cs="Times New Roman"/>
              </w:rPr>
            </w:pPr>
          </w:p>
        </w:tc>
        <w:tc>
          <w:tcPr>
            <w:tcW w:w="379" w:type="pct"/>
            <w:tcBorders>
              <w:top w:val="nil"/>
              <w:left w:val="nil"/>
              <w:bottom w:val="nil"/>
              <w:right w:val="nil"/>
            </w:tcBorders>
            <w:vAlign w:val="bottom"/>
          </w:tcPr>
          <w:p w14:paraId="0ED0553B" w14:textId="77777777" w:rsidR="00131A70" w:rsidRPr="00304F2D" w:rsidRDefault="00131A70" w:rsidP="00C32CE5">
            <w:pPr>
              <w:widowControl w:val="0"/>
              <w:jc w:val="center"/>
              <w:rPr>
                <w:rFonts w:ascii="Times New Roman" w:hAnsi="Times New Roman" w:cs="Times New Roman"/>
              </w:rPr>
            </w:pPr>
          </w:p>
        </w:tc>
        <w:tc>
          <w:tcPr>
            <w:tcW w:w="606" w:type="pct"/>
            <w:tcBorders>
              <w:top w:val="nil"/>
              <w:left w:val="nil"/>
              <w:bottom w:val="nil"/>
              <w:right w:val="nil"/>
            </w:tcBorders>
            <w:vAlign w:val="bottom"/>
          </w:tcPr>
          <w:p w14:paraId="69627067" w14:textId="77777777" w:rsidR="00131A70" w:rsidRPr="00304F2D" w:rsidRDefault="00131A70" w:rsidP="00C32CE5">
            <w:pPr>
              <w:widowControl w:val="0"/>
              <w:jc w:val="center"/>
              <w:rPr>
                <w:rFonts w:ascii="Times New Roman" w:hAnsi="Times New Roman" w:cs="Times New Roman"/>
              </w:rPr>
            </w:pPr>
          </w:p>
        </w:tc>
      </w:tr>
      <w:tr w:rsidR="00633965" w:rsidRPr="00304F2D" w14:paraId="5C5D6A4F" w14:textId="77777777" w:rsidTr="00633965">
        <w:tc>
          <w:tcPr>
            <w:tcW w:w="2304" w:type="pct"/>
            <w:tcBorders>
              <w:top w:val="nil"/>
              <w:left w:val="nil"/>
              <w:bottom w:val="nil"/>
              <w:right w:val="nil"/>
            </w:tcBorders>
          </w:tcPr>
          <w:p w14:paraId="49C721E4" w14:textId="5312874C" w:rsidR="00131A70" w:rsidRPr="00304F2D" w:rsidRDefault="00131A70" w:rsidP="00C32CE5">
            <w:pPr>
              <w:widowControl w:val="0"/>
              <w:rPr>
                <w:rFonts w:ascii="Times New Roman" w:hAnsi="Times New Roman" w:cs="Times New Roman"/>
              </w:rPr>
            </w:pPr>
            <w:r w:rsidRPr="00304F2D">
              <w:rPr>
                <w:rFonts w:ascii="Times New Roman" w:hAnsi="Times New Roman" w:cs="Times New Roman"/>
                <w:b/>
              </w:rPr>
              <w:t>New Donors</w:t>
            </w:r>
            <w:r w:rsidR="00633965" w:rsidRPr="00304F2D">
              <w:rPr>
                <w:rFonts w:ascii="Times New Roman" w:hAnsi="Times New Roman" w:cs="Times New Roman"/>
              </w:rPr>
              <w:t xml:space="preserve"> (n=62,252</w:t>
            </w:r>
            <w:r w:rsidRPr="00304F2D">
              <w:rPr>
                <w:rFonts w:ascii="Times New Roman" w:hAnsi="Times New Roman" w:cs="Times New Roman"/>
              </w:rPr>
              <w:t>)</w:t>
            </w:r>
          </w:p>
        </w:tc>
        <w:tc>
          <w:tcPr>
            <w:tcW w:w="401" w:type="pct"/>
            <w:tcBorders>
              <w:top w:val="nil"/>
              <w:left w:val="nil"/>
              <w:bottom w:val="nil"/>
              <w:right w:val="nil"/>
            </w:tcBorders>
          </w:tcPr>
          <w:p w14:paraId="776C0E1A" w14:textId="35261A43"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32</w:t>
            </w:r>
          </w:p>
        </w:tc>
        <w:tc>
          <w:tcPr>
            <w:tcW w:w="401" w:type="pct"/>
            <w:tcBorders>
              <w:top w:val="nil"/>
              <w:left w:val="nil"/>
              <w:bottom w:val="nil"/>
              <w:right w:val="nil"/>
            </w:tcBorders>
          </w:tcPr>
          <w:p w14:paraId="0765F954" w14:textId="1D6A25CD"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18</w:t>
            </w:r>
          </w:p>
        </w:tc>
        <w:tc>
          <w:tcPr>
            <w:tcW w:w="408" w:type="pct"/>
            <w:tcBorders>
              <w:top w:val="nil"/>
              <w:left w:val="nil"/>
              <w:bottom w:val="nil"/>
              <w:right w:val="nil"/>
            </w:tcBorders>
          </w:tcPr>
          <w:p w14:paraId="6E1AC4FC" w14:textId="7DEE3785"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11</w:t>
            </w:r>
          </w:p>
        </w:tc>
        <w:tc>
          <w:tcPr>
            <w:tcW w:w="502" w:type="pct"/>
            <w:tcBorders>
              <w:top w:val="nil"/>
              <w:left w:val="nil"/>
              <w:bottom w:val="nil"/>
              <w:right w:val="nil"/>
            </w:tcBorders>
            <w:vAlign w:val="bottom"/>
          </w:tcPr>
          <w:p w14:paraId="1403DD9A" w14:textId="0E705F98"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21</w:t>
            </w:r>
          </w:p>
        </w:tc>
        <w:tc>
          <w:tcPr>
            <w:tcW w:w="379" w:type="pct"/>
            <w:tcBorders>
              <w:top w:val="nil"/>
              <w:left w:val="nil"/>
              <w:bottom w:val="nil"/>
              <w:right w:val="nil"/>
            </w:tcBorders>
          </w:tcPr>
          <w:p w14:paraId="659896D0" w14:textId="3171BB5C"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18</w:t>
            </w:r>
          </w:p>
        </w:tc>
        <w:tc>
          <w:tcPr>
            <w:tcW w:w="606" w:type="pct"/>
            <w:tcBorders>
              <w:top w:val="nil"/>
              <w:left w:val="nil"/>
              <w:bottom w:val="nil"/>
              <w:right w:val="nil"/>
            </w:tcBorders>
          </w:tcPr>
          <w:p w14:paraId="29DE9DEE" w14:textId="14E348B8"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18CDAB22" w14:textId="77777777" w:rsidTr="00633965">
        <w:tc>
          <w:tcPr>
            <w:tcW w:w="2304" w:type="pct"/>
            <w:tcBorders>
              <w:top w:val="nil"/>
              <w:left w:val="nil"/>
              <w:bottom w:val="nil"/>
              <w:right w:val="nil"/>
            </w:tcBorders>
          </w:tcPr>
          <w:p w14:paraId="2AA14CAD" w14:textId="6FAAC8D9" w:rsidR="00131A70" w:rsidRPr="00304F2D" w:rsidRDefault="00633965" w:rsidP="00633965">
            <w:pPr>
              <w:widowControl w:val="0"/>
              <w:rPr>
                <w:rFonts w:ascii="Times New Roman" w:hAnsi="Times New Roman" w:cs="Times New Roman"/>
              </w:rPr>
            </w:pPr>
            <w:r w:rsidRPr="00304F2D">
              <w:rPr>
                <w:rFonts w:ascii="Times New Roman" w:hAnsi="Times New Roman" w:cs="Times New Roman"/>
                <w:b/>
              </w:rPr>
              <w:t>Existing</w:t>
            </w:r>
            <w:r w:rsidR="00131A70" w:rsidRPr="00304F2D">
              <w:rPr>
                <w:rFonts w:ascii="Times New Roman" w:hAnsi="Times New Roman" w:cs="Times New Roman"/>
                <w:b/>
              </w:rPr>
              <w:t xml:space="preserve"> Donors</w:t>
            </w:r>
            <w:r w:rsidRPr="00304F2D">
              <w:rPr>
                <w:rFonts w:ascii="Times New Roman" w:hAnsi="Times New Roman" w:cs="Times New Roman"/>
              </w:rPr>
              <w:t xml:space="preserve"> (n=54,523</w:t>
            </w:r>
            <w:r w:rsidR="00131A70" w:rsidRPr="00304F2D">
              <w:rPr>
                <w:rFonts w:ascii="Times New Roman" w:hAnsi="Times New Roman" w:cs="Times New Roman"/>
              </w:rPr>
              <w:t>)</w:t>
            </w:r>
          </w:p>
        </w:tc>
        <w:tc>
          <w:tcPr>
            <w:tcW w:w="401" w:type="pct"/>
            <w:tcBorders>
              <w:top w:val="nil"/>
              <w:left w:val="nil"/>
              <w:bottom w:val="nil"/>
              <w:right w:val="nil"/>
            </w:tcBorders>
            <w:vAlign w:val="bottom"/>
          </w:tcPr>
          <w:p w14:paraId="09076131" w14:textId="1850ABCB"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28</w:t>
            </w:r>
          </w:p>
        </w:tc>
        <w:tc>
          <w:tcPr>
            <w:tcW w:w="401" w:type="pct"/>
            <w:tcBorders>
              <w:top w:val="nil"/>
              <w:left w:val="nil"/>
              <w:bottom w:val="nil"/>
              <w:right w:val="nil"/>
            </w:tcBorders>
            <w:vAlign w:val="bottom"/>
          </w:tcPr>
          <w:p w14:paraId="7B284E31" w14:textId="21D726AF"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18</w:t>
            </w:r>
          </w:p>
        </w:tc>
        <w:tc>
          <w:tcPr>
            <w:tcW w:w="408" w:type="pct"/>
            <w:tcBorders>
              <w:top w:val="nil"/>
              <w:left w:val="nil"/>
              <w:bottom w:val="nil"/>
              <w:right w:val="nil"/>
            </w:tcBorders>
            <w:vAlign w:val="bottom"/>
          </w:tcPr>
          <w:p w14:paraId="544CB33F" w14:textId="230C2E1A"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12</w:t>
            </w:r>
          </w:p>
        </w:tc>
        <w:tc>
          <w:tcPr>
            <w:tcW w:w="502" w:type="pct"/>
            <w:tcBorders>
              <w:top w:val="nil"/>
              <w:left w:val="nil"/>
              <w:bottom w:val="nil"/>
              <w:right w:val="nil"/>
            </w:tcBorders>
            <w:vAlign w:val="bottom"/>
          </w:tcPr>
          <w:p w14:paraId="1D85650F" w14:textId="6BCBC192"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23</w:t>
            </w:r>
          </w:p>
        </w:tc>
        <w:tc>
          <w:tcPr>
            <w:tcW w:w="379" w:type="pct"/>
            <w:tcBorders>
              <w:top w:val="nil"/>
              <w:left w:val="nil"/>
              <w:bottom w:val="nil"/>
              <w:right w:val="nil"/>
            </w:tcBorders>
            <w:vAlign w:val="bottom"/>
          </w:tcPr>
          <w:p w14:paraId="1066EAC1" w14:textId="365F5C5E" w:rsidR="00131A70" w:rsidRPr="00304F2D" w:rsidRDefault="00633965" w:rsidP="00C32CE5">
            <w:pPr>
              <w:widowControl w:val="0"/>
              <w:jc w:val="center"/>
              <w:rPr>
                <w:rFonts w:ascii="Times New Roman" w:hAnsi="Times New Roman" w:cs="Times New Roman"/>
              </w:rPr>
            </w:pPr>
            <w:r w:rsidRPr="00304F2D">
              <w:rPr>
                <w:rFonts w:ascii="Times New Roman" w:hAnsi="Times New Roman" w:cs="Times New Roman"/>
              </w:rPr>
              <w:t>21</w:t>
            </w:r>
          </w:p>
        </w:tc>
        <w:tc>
          <w:tcPr>
            <w:tcW w:w="606" w:type="pct"/>
            <w:tcBorders>
              <w:top w:val="nil"/>
              <w:left w:val="nil"/>
              <w:bottom w:val="nil"/>
              <w:right w:val="nil"/>
            </w:tcBorders>
            <w:vAlign w:val="bottom"/>
          </w:tcPr>
          <w:p w14:paraId="5748A423" w14:textId="51ADD578"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100</w:t>
            </w:r>
          </w:p>
        </w:tc>
      </w:tr>
      <w:tr w:rsidR="00633965" w:rsidRPr="00304F2D" w14:paraId="7A34E662" w14:textId="77777777" w:rsidTr="00633965">
        <w:tc>
          <w:tcPr>
            <w:tcW w:w="2304" w:type="pct"/>
            <w:tcBorders>
              <w:top w:val="nil"/>
              <w:left w:val="nil"/>
              <w:bottom w:val="nil"/>
              <w:right w:val="nil"/>
            </w:tcBorders>
          </w:tcPr>
          <w:p w14:paraId="739451D7" w14:textId="0416BC47" w:rsidR="00131A70" w:rsidRPr="00304F2D" w:rsidRDefault="00131A70" w:rsidP="00C32CE5">
            <w:pPr>
              <w:widowControl w:val="0"/>
              <w:rPr>
                <w:rFonts w:ascii="Times New Roman" w:hAnsi="Times New Roman" w:cs="Times New Roman"/>
                <w:b/>
              </w:rPr>
            </w:pPr>
            <w:r w:rsidRPr="00304F2D">
              <w:rPr>
                <w:rFonts w:ascii="Times New Roman" w:hAnsi="Times New Roman" w:cs="Times New Roman"/>
                <w:b/>
              </w:rPr>
              <w:t>2011 %</w:t>
            </w:r>
          </w:p>
        </w:tc>
        <w:tc>
          <w:tcPr>
            <w:tcW w:w="401" w:type="pct"/>
            <w:tcBorders>
              <w:top w:val="nil"/>
              <w:left w:val="nil"/>
              <w:bottom w:val="nil"/>
              <w:right w:val="nil"/>
            </w:tcBorders>
            <w:vAlign w:val="bottom"/>
          </w:tcPr>
          <w:p w14:paraId="1C14A83C" w14:textId="77777777" w:rsidR="00131A70" w:rsidRPr="00304F2D" w:rsidRDefault="00131A70" w:rsidP="00C32CE5">
            <w:pPr>
              <w:widowControl w:val="0"/>
              <w:jc w:val="center"/>
              <w:rPr>
                <w:rFonts w:ascii="Times New Roman" w:hAnsi="Times New Roman" w:cs="Times New Roman"/>
              </w:rPr>
            </w:pPr>
          </w:p>
        </w:tc>
        <w:tc>
          <w:tcPr>
            <w:tcW w:w="401" w:type="pct"/>
            <w:tcBorders>
              <w:top w:val="nil"/>
              <w:left w:val="nil"/>
              <w:bottom w:val="nil"/>
              <w:right w:val="nil"/>
            </w:tcBorders>
            <w:vAlign w:val="bottom"/>
          </w:tcPr>
          <w:p w14:paraId="5F86B47A" w14:textId="77777777" w:rsidR="00131A70" w:rsidRPr="00304F2D" w:rsidRDefault="00131A70" w:rsidP="00C32CE5">
            <w:pPr>
              <w:widowControl w:val="0"/>
              <w:jc w:val="center"/>
              <w:rPr>
                <w:rFonts w:ascii="Times New Roman" w:hAnsi="Times New Roman" w:cs="Times New Roman"/>
              </w:rPr>
            </w:pPr>
          </w:p>
        </w:tc>
        <w:tc>
          <w:tcPr>
            <w:tcW w:w="408" w:type="pct"/>
            <w:tcBorders>
              <w:top w:val="nil"/>
              <w:left w:val="nil"/>
              <w:bottom w:val="nil"/>
              <w:right w:val="nil"/>
            </w:tcBorders>
            <w:vAlign w:val="bottom"/>
          </w:tcPr>
          <w:p w14:paraId="4DC68C61" w14:textId="77777777" w:rsidR="00131A70" w:rsidRPr="00304F2D" w:rsidRDefault="00131A70" w:rsidP="00C32CE5">
            <w:pPr>
              <w:widowControl w:val="0"/>
              <w:jc w:val="center"/>
              <w:rPr>
                <w:rFonts w:ascii="Times New Roman" w:hAnsi="Times New Roman" w:cs="Times New Roman"/>
              </w:rPr>
            </w:pPr>
          </w:p>
        </w:tc>
        <w:tc>
          <w:tcPr>
            <w:tcW w:w="502" w:type="pct"/>
            <w:tcBorders>
              <w:top w:val="nil"/>
              <w:left w:val="nil"/>
              <w:bottom w:val="nil"/>
              <w:right w:val="nil"/>
            </w:tcBorders>
            <w:vAlign w:val="bottom"/>
          </w:tcPr>
          <w:p w14:paraId="550439D5" w14:textId="77777777" w:rsidR="00131A70" w:rsidRPr="00304F2D" w:rsidRDefault="00131A70" w:rsidP="00C32CE5">
            <w:pPr>
              <w:widowControl w:val="0"/>
              <w:jc w:val="center"/>
              <w:rPr>
                <w:rFonts w:ascii="Times New Roman" w:hAnsi="Times New Roman" w:cs="Times New Roman"/>
              </w:rPr>
            </w:pPr>
          </w:p>
        </w:tc>
        <w:tc>
          <w:tcPr>
            <w:tcW w:w="379" w:type="pct"/>
            <w:tcBorders>
              <w:top w:val="nil"/>
              <w:left w:val="nil"/>
              <w:bottom w:val="nil"/>
              <w:right w:val="nil"/>
            </w:tcBorders>
            <w:vAlign w:val="bottom"/>
          </w:tcPr>
          <w:p w14:paraId="3AB1F632" w14:textId="77777777" w:rsidR="00131A70" w:rsidRPr="00304F2D" w:rsidRDefault="00131A70" w:rsidP="00C32CE5">
            <w:pPr>
              <w:widowControl w:val="0"/>
              <w:jc w:val="center"/>
              <w:rPr>
                <w:rFonts w:ascii="Times New Roman" w:hAnsi="Times New Roman" w:cs="Times New Roman"/>
              </w:rPr>
            </w:pPr>
          </w:p>
        </w:tc>
        <w:tc>
          <w:tcPr>
            <w:tcW w:w="606" w:type="pct"/>
            <w:tcBorders>
              <w:top w:val="nil"/>
              <w:left w:val="nil"/>
              <w:bottom w:val="nil"/>
              <w:right w:val="nil"/>
            </w:tcBorders>
            <w:vAlign w:val="bottom"/>
          </w:tcPr>
          <w:p w14:paraId="583EBF11" w14:textId="77777777" w:rsidR="00131A70" w:rsidRPr="00304F2D" w:rsidRDefault="00131A70" w:rsidP="00C32CE5">
            <w:pPr>
              <w:widowControl w:val="0"/>
              <w:jc w:val="center"/>
              <w:rPr>
                <w:rFonts w:ascii="Times New Roman" w:hAnsi="Times New Roman" w:cs="Times New Roman"/>
              </w:rPr>
            </w:pPr>
          </w:p>
        </w:tc>
      </w:tr>
      <w:tr w:rsidR="00633965" w:rsidRPr="00304F2D" w14:paraId="7A4E5F84" w14:textId="77777777" w:rsidTr="00633965">
        <w:tc>
          <w:tcPr>
            <w:tcW w:w="2304" w:type="pct"/>
            <w:tcBorders>
              <w:top w:val="nil"/>
              <w:left w:val="nil"/>
              <w:bottom w:val="nil"/>
              <w:right w:val="nil"/>
            </w:tcBorders>
          </w:tcPr>
          <w:p w14:paraId="06C4310B" w14:textId="1866307C" w:rsidR="00131A70" w:rsidRPr="00304F2D" w:rsidRDefault="00131A70" w:rsidP="00C32CE5">
            <w:pPr>
              <w:widowControl w:val="0"/>
              <w:rPr>
                <w:rFonts w:ascii="Times New Roman" w:hAnsi="Times New Roman" w:cs="Times New Roman"/>
              </w:rPr>
            </w:pPr>
            <w:r w:rsidRPr="00304F2D">
              <w:rPr>
                <w:rFonts w:ascii="Times New Roman" w:hAnsi="Times New Roman" w:cs="Times New Roman"/>
                <w:b/>
              </w:rPr>
              <w:t>New Donors</w:t>
            </w:r>
            <w:r w:rsidRPr="00304F2D">
              <w:rPr>
                <w:rFonts w:ascii="Times New Roman" w:hAnsi="Times New Roman" w:cs="Times New Roman"/>
              </w:rPr>
              <w:t xml:space="preserve"> (n=</w:t>
            </w:r>
            <w:r w:rsidR="007645F9" w:rsidRPr="00304F2D">
              <w:rPr>
                <w:rFonts w:ascii="Times New Roman" w:eastAsia="Times New Roman" w:hAnsi="Times New Roman" w:cs="Times New Roman"/>
                <w:color w:val="000000"/>
              </w:rPr>
              <w:t>71,871</w:t>
            </w:r>
            <w:r w:rsidRPr="00304F2D">
              <w:rPr>
                <w:rFonts w:ascii="Times New Roman" w:hAnsi="Times New Roman" w:cs="Times New Roman"/>
              </w:rPr>
              <w:t>)</w:t>
            </w:r>
          </w:p>
        </w:tc>
        <w:tc>
          <w:tcPr>
            <w:tcW w:w="401" w:type="pct"/>
            <w:tcBorders>
              <w:top w:val="nil"/>
              <w:left w:val="nil"/>
              <w:bottom w:val="nil"/>
              <w:right w:val="nil"/>
            </w:tcBorders>
          </w:tcPr>
          <w:p w14:paraId="2F9A2C64" w14:textId="036103CA" w:rsidR="00131A70" w:rsidRPr="00304F2D" w:rsidRDefault="007645F9" w:rsidP="00C32CE5">
            <w:pPr>
              <w:widowControl w:val="0"/>
              <w:jc w:val="center"/>
              <w:rPr>
                <w:rFonts w:ascii="Times New Roman" w:hAnsi="Times New Roman" w:cs="Times New Roman"/>
              </w:rPr>
            </w:pPr>
            <w:r w:rsidRPr="00304F2D">
              <w:rPr>
                <w:rFonts w:ascii="Times New Roman" w:eastAsia="Times New Roman" w:hAnsi="Times New Roman" w:cs="Times New Roman"/>
                <w:color w:val="000000"/>
              </w:rPr>
              <w:t>34</w:t>
            </w:r>
          </w:p>
        </w:tc>
        <w:tc>
          <w:tcPr>
            <w:tcW w:w="401" w:type="pct"/>
            <w:tcBorders>
              <w:top w:val="nil"/>
              <w:left w:val="nil"/>
              <w:bottom w:val="nil"/>
              <w:right w:val="nil"/>
            </w:tcBorders>
          </w:tcPr>
          <w:p w14:paraId="48A5D769" w14:textId="0A3666D9" w:rsidR="00131A70" w:rsidRPr="00304F2D" w:rsidRDefault="007645F9" w:rsidP="00C32CE5">
            <w:pPr>
              <w:widowControl w:val="0"/>
              <w:jc w:val="center"/>
              <w:rPr>
                <w:rFonts w:ascii="Times New Roman" w:hAnsi="Times New Roman" w:cs="Times New Roman"/>
              </w:rPr>
            </w:pPr>
            <w:r w:rsidRPr="00304F2D">
              <w:rPr>
                <w:rFonts w:ascii="Times New Roman" w:eastAsia="Times New Roman" w:hAnsi="Times New Roman" w:cs="Times New Roman"/>
                <w:color w:val="000000"/>
              </w:rPr>
              <w:t>17</w:t>
            </w:r>
          </w:p>
        </w:tc>
        <w:tc>
          <w:tcPr>
            <w:tcW w:w="408" w:type="pct"/>
            <w:tcBorders>
              <w:top w:val="nil"/>
              <w:left w:val="nil"/>
              <w:bottom w:val="nil"/>
              <w:right w:val="nil"/>
            </w:tcBorders>
          </w:tcPr>
          <w:p w14:paraId="1D45C43E" w14:textId="480441C6" w:rsidR="00131A70" w:rsidRPr="00304F2D" w:rsidRDefault="00131A70" w:rsidP="00C32CE5">
            <w:pPr>
              <w:widowControl w:val="0"/>
              <w:jc w:val="center"/>
              <w:rPr>
                <w:rFonts w:ascii="Times New Roman" w:hAnsi="Times New Roman" w:cs="Times New Roman"/>
              </w:rPr>
            </w:pPr>
            <w:r w:rsidRPr="00304F2D">
              <w:rPr>
                <w:rFonts w:ascii="Times New Roman" w:eastAsia="Times New Roman" w:hAnsi="Times New Roman" w:cs="Times New Roman"/>
                <w:color w:val="000000"/>
              </w:rPr>
              <w:t>11</w:t>
            </w:r>
          </w:p>
        </w:tc>
        <w:tc>
          <w:tcPr>
            <w:tcW w:w="502" w:type="pct"/>
            <w:tcBorders>
              <w:top w:val="nil"/>
              <w:left w:val="nil"/>
              <w:bottom w:val="nil"/>
              <w:right w:val="nil"/>
            </w:tcBorders>
            <w:vAlign w:val="bottom"/>
          </w:tcPr>
          <w:p w14:paraId="188643FC" w14:textId="32C7918A" w:rsidR="00131A70" w:rsidRPr="00304F2D" w:rsidRDefault="007645F9" w:rsidP="00C32CE5">
            <w:pPr>
              <w:widowControl w:val="0"/>
              <w:jc w:val="center"/>
              <w:rPr>
                <w:rFonts w:ascii="Times New Roman" w:hAnsi="Times New Roman" w:cs="Times New Roman"/>
              </w:rPr>
            </w:pPr>
            <w:r w:rsidRPr="00304F2D">
              <w:rPr>
                <w:rFonts w:ascii="Times New Roman" w:hAnsi="Times New Roman" w:cs="Times New Roman"/>
              </w:rPr>
              <w:t>20</w:t>
            </w:r>
          </w:p>
        </w:tc>
        <w:tc>
          <w:tcPr>
            <w:tcW w:w="379" w:type="pct"/>
            <w:tcBorders>
              <w:top w:val="nil"/>
              <w:left w:val="nil"/>
              <w:bottom w:val="nil"/>
              <w:right w:val="nil"/>
            </w:tcBorders>
          </w:tcPr>
          <w:p w14:paraId="1ACDE921" w14:textId="747198A0" w:rsidR="00131A70" w:rsidRPr="00304F2D" w:rsidRDefault="007645F9" w:rsidP="00C32CE5">
            <w:pPr>
              <w:widowControl w:val="0"/>
              <w:jc w:val="center"/>
              <w:rPr>
                <w:rFonts w:ascii="Times New Roman" w:hAnsi="Times New Roman" w:cs="Times New Roman"/>
              </w:rPr>
            </w:pPr>
            <w:r w:rsidRPr="00304F2D">
              <w:rPr>
                <w:rFonts w:ascii="Times New Roman" w:eastAsia="Times New Roman" w:hAnsi="Times New Roman" w:cs="Times New Roman"/>
                <w:color w:val="000000"/>
              </w:rPr>
              <w:t>17</w:t>
            </w:r>
          </w:p>
        </w:tc>
        <w:tc>
          <w:tcPr>
            <w:tcW w:w="606" w:type="pct"/>
            <w:tcBorders>
              <w:top w:val="nil"/>
              <w:left w:val="nil"/>
              <w:bottom w:val="nil"/>
              <w:right w:val="nil"/>
            </w:tcBorders>
          </w:tcPr>
          <w:p w14:paraId="68756270" w14:textId="6338EB20" w:rsidR="00131A70" w:rsidRPr="00304F2D" w:rsidRDefault="00131A70" w:rsidP="00C32CE5">
            <w:pPr>
              <w:widowControl w:val="0"/>
              <w:jc w:val="center"/>
              <w:rPr>
                <w:rFonts w:ascii="Times New Roman" w:hAnsi="Times New Roman" w:cs="Times New Roman"/>
              </w:rPr>
            </w:pPr>
            <w:r w:rsidRPr="00304F2D">
              <w:rPr>
                <w:rFonts w:ascii="Times New Roman" w:eastAsia="Times New Roman" w:hAnsi="Times New Roman" w:cs="Times New Roman"/>
                <w:color w:val="000000"/>
              </w:rPr>
              <w:t>100</w:t>
            </w:r>
          </w:p>
        </w:tc>
      </w:tr>
      <w:tr w:rsidR="00633965" w:rsidRPr="00304F2D" w14:paraId="4EDB2C80" w14:textId="77777777" w:rsidTr="00633965">
        <w:tc>
          <w:tcPr>
            <w:tcW w:w="2304" w:type="pct"/>
            <w:tcBorders>
              <w:top w:val="nil"/>
              <w:left w:val="nil"/>
              <w:bottom w:val="single" w:sz="4" w:space="0" w:color="auto"/>
              <w:right w:val="nil"/>
            </w:tcBorders>
          </w:tcPr>
          <w:p w14:paraId="6DB77414" w14:textId="6129738C" w:rsidR="00131A70" w:rsidRPr="00304F2D" w:rsidRDefault="00633965" w:rsidP="00C32CE5">
            <w:pPr>
              <w:widowControl w:val="0"/>
              <w:rPr>
                <w:rFonts w:ascii="Times New Roman" w:hAnsi="Times New Roman" w:cs="Times New Roman"/>
              </w:rPr>
            </w:pPr>
            <w:r w:rsidRPr="00304F2D">
              <w:rPr>
                <w:rFonts w:ascii="Times New Roman" w:hAnsi="Times New Roman" w:cs="Times New Roman"/>
                <w:b/>
              </w:rPr>
              <w:t xml:space="preserve">Existing </w:t>
            </w:r>
            <w:r w:rsidR="00131A70" w:rsidRPr="00304F2D">
              <w:rPr>
                <w:rFonts w:ascii="Times New Roman" w:hAnsi="Times New Roman" w:cs="Times New Roman"/>
                <w:b/>
              </w:rPr>
              <w:t>Donors</w:t>
            </w:r>
            <w:r w:rsidR="007645F9" w:rsidRPr="00304F2D">
              <w:rPr>
                <w:rFonts w:ascii="Times New Roman" w:hAnsi="Times New Roman" w:cs="Times New Roman"/>
              </w:rPr>
              <w:t xml:space="preserve"> (n=63,641</w:t>
            </w:r>
            <w:r w:rsidR="00131A70" w:rsidRPr="00304F2D">
              <w:rPr>
                <w:rFonts w:ascii="Times New Roman" w:hAnsi="Times New Roman" w:cs="Times New Roman"/>
              </w:rPr>
              <w:t>)</w:t>
            </w:r>
          </w:p>
        </w:tc>
        <w:tc>
          <w:tcPr>
            <w:tcW w:w="401" w:type="pct"/>
            <w:tcBorders>
              <w:top w:val="nil"/>
              <w:left w:val="nil"/>
              <w:bottom w:val="single" w:sz="4" w:space="0" w:color="auto"/>
              <w:right w:val="nil"/>
            </w:tcBorders>
            <w:vAlign w:val="bottom"/>
          </w:tcPr>
          <w:p w14:paraId="31ED1FB9" w14:textId="5B1C5DB3" w:rsidR="00131A70" w:rsidRPr="00304F2D" w:rsidRDefault="007645F9" w:rsidP="00C32CE5">
            <w:pPr>
              <w:widowControl w:val="0"/>
              <w:jc w:val="center"/>
              <w:rPr>
                <w:rFonts w:ascii="Times New Roman" w:hAnsi="Times New Roman" w:cs="Times New Roman"/>
              </w:rPr>
            </w:pPr>
            <w:r w:rsidRPr="00304F2D">
              <w:rPr>
                <w:rFonts w:ascii="Times New Roman" w:hAnsi="Times New Roman" w:cs="Times New Roman"/>
              </w:rPr>
              <w:t>30</w:t>
            </w:r>
          </w:p>
        </w:tc>
        <w:tc>
          <w:tcPr>
            <w:tcW w:w="401" w:type="pct"/>
            <w:tcBorders>
              <w:top w:val="nil"/>
              <w:left w:val="nil"/>
              <w:bottom w:val="single" w:sz="4" w:space="0" w:color="auto"/>
              <w:right w:val="nil"/>
            </w:tcBorders>
            <w:vAlign w:val="bottom"/>
          </w:tcPr>
          <w:p w14:paraId="70E6CACE" w14:textId="797D7C6A"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17</w:t>
            </w:r>
          </w:p>
        </w:tc>
        <w:tc>
          <w:tcPr>
            <w:tcW w:w="408" w:type="pct"/>
            <w:tcBorders>
              <w:top w:val="nil"/>
              <w:left w:val="nil"/>
              <w:bottom w:val="single" w:sz="4" w:space="0" w:color="auto"/>
              <w:right w:val="nil"/>
            </w:tcBorders>
            <w:vAlign w:val="bottom"/>
          </w:tcPr>
          <w:p w14:paraId="60FF2F6E" w14:textId="79A62D30" w:rsidR="00131A70" w:rsidRPr="00304F2D" w:rsidRDefault="007645F9" w:rsidP="00C32CE5">
            <w:pPr>
              <w:widowControl w:val="0"/>
              <w:jc w:val="center"/>
              <w:rPr>
                <w:rFonts w:ascii="Times New Roman" w:hAnsi="Times New Roman" w:cs="Times New Roman"/>
              </w:rPr>
            </w:pPr>
            <w:r w:rsidRPr="00304F2D">
              <w:rPr>
                <w:rFonts w:ascii="Times New Roman" w:hAnsi="Times New Roman" w:cs="Times New Roman"/>
              </w:rPr>
              <w:t>12</w:t>
            </w:r>
          </w:p>
        </w:tc>
        <w:tc>
          <w:tcPr>
            <w:tcW w:w="502" w:type="pct"/>
            <w:tcBorders>
              <w:top w:val="nil"/>
              <w:left w:val="nil"/>
              <w:bottom w:val="single" w:sz="4" w:space="0" w:color="auto"/>
              <w:right w:val="nil"/>
            </w:tcBorders>
            <w:vAlign w:val="bottom"/>
          </w:tcPr>
          <w:p w14:paraId="38CB6CB2" w14:textId="54D47E5E" w:rsidR="00131A70" w:rsidRPr="00304F2D" w:rsidRDefault="007645F9" w:rsidP="00C32CE5">
            <w:pPr>
              <w:widowControl w:val="0"/>
              <w:jc w:val="center"/>
              <w:rPr>
                <w:rFonts w:ascii="Times New Roman" w:hAnsi="Times New Roman" w:cs="Times New Roman"/>
              </w:rPr>
            </w:pPr>
            <w:r w:rsidRPr="00304F2D">
              <w:rPr>
                <w:rFonts w:ascii="Times New Roman" w:hAnsi="Times New Roman" w:cs="Times New Roman"/>
              </w:rPr>
              <w:t>22</w:t>
            </w:r>
          </w:p>
        </w:tc>
        <w:tc>
          <w:tcPr>
            <w:tcW w:w="379" w:type="pct"/>
            <w:tcBorders>
              <w:top w:val="nil"/>
              <w:left w:val="nil"/>
              <w:bottom w:val="single" w:sz="4" w:space="0" w:color="auto"/>
              <w:right w:val="nil"/>
            </w:tcBorders>
            <w:vAlign w:val="bottom"/>
          </w:tcPr>
          <w:p w14:paraId="665DF81E" w14:textId="27C489FD" w:rsidR="00131A70" w:rsidRPr="00304F2D" w:rsidRDefault="007645F9" w:rsidP="00C32CE5">
            <w:pPr>
              <w:widowControl w:val="0"/>
              <w:jc w:val="center"/>
              <w:rPr>
                <w:rFonts w:ascii="Times New Roman" w:hAnsi="Times New Roman" w:cs="Times New Roman"/>
              </w:rPr>
            </w:pPr>
            <w:r w:rsidRPr="00304F2D">
              <w:rPr>
                <w:rFonts w:ascii="Times New Roman" w:hAnsi="Times New Roman" w:cs="Times New Roman"/>
              </w:rPr>
              <w:t>19</w:t>
            </w:r>
          </w:p>
        </w:tc>
        <w:tc>
          <w:tcPr>
            <w:tcW w:w="606" w:type="pct"/>
            <w:tcBorders>
              <w:top w:val="nil"/>
              <w:left w:val="nil"/>
              <w:bottom w:val="single" w:sz="4" w:space="0" w:color="auto"/>
              <w:right w:val="nil"/>
            </w:tcBorders>
            <w:vAlign w:val="bottom"/>
          </w:tcPr>
          <w:p w14:paraId="3E0487D1" w14:textId="36FEACD3" w:rsidR="00131A70" w:rsidRPr="00304F2D" w:rsidRDefault="00131A70" w:rsidP="00C32CE5">
            <w:pPr>
              <w:widowControl w:val="0"/>
              <w:jc w:val="center"/>
              <w:rPr>
                <w:rFonts w:ascii="Times New Roman" w:hAnsi="Times New Roman" w:cs="Times New Roman"/>
              </w:rPr>
            </w:pPr>
            <w:r w:rsidRPr="00304F2D">
              <w:rPr>
                <w:rFonts w:ascii="Times New Roman" w:hAnsi="Times New Roman" w:cs="Times New Roman"/>
              </w:rPr>
              <w:t>100</w:t>
            </w:r>
          </w:p>
        </w:tc>
      </w:tr>
    </w:tbl>
    <w:p w14:paraId="621637AF" w14:textId="77777777" w:rsidR="00C6049E" w:rsidRPr="00304F2D" w:rsidRDefault="00C6049E" w:rsidP="001F029C">
      <w:pPr>
        <w:spacing w:line="480" w:lineRule="auto"/>
        <w:ind w:firstLine="720"/>
        <w:rPr>
          <w:rFonts w:ascii="Times New Roman" w:hAnsi="Times New Roman" w:cs="Times New Roman"/>
        </w:rPr>
      </w:pPr>
    </w:p>
    <w:p w14:paraId="2592BB03" w14:textId="22A01F9A" w:rsidR="001F029C" w:rsidRPr="00304F2D" w:rsidRDefault="00451127" w:rsidP="001F029C">
      <w:pPr>
        <w:spacing w:line="480" w:lineRule="auto"/>
        <w:ind w:firstLine="720"/>
        <w:rPr>
          <w:rFonts w:ascii="Times New Roman" w:hAnsi="Times New Roman" w:cs="Times New Roman"/>
        </w:rPr>
      </w:pPr>
      <w:r w:rsidRPr="00304F2D">
        <w:rPr>
          <w:rFonts w:ascii="Times New Roman" w:hAnsi="Times New Roman" w:cs="Times New Roman"/>
        </w:rPr>
        <w:t>Fi</w:t>
      </w:r>
      <w:r w:rsidR="001F029C" w:rsidRPr="00304F2D">
        <w:rPr>
          <w:rFonts w:ascii="Times New Roman" w:hAnsi="Times New Roman" w:cs="Times New Roman"/>
        </w:rPr>
        <w:t>nal</w:t>
      </w:r>
      <w:r w:rsidR="007C25D5" w:rsidRPr="00304F2D">
        <w:rPr>
          <w:rFonts w:ascii="Times New Roman" w:hAnsi="Times New Roman" w:cs="Times New Roman"/>
        </w:rPr>
        <w:t>ly</w:t>
      </w:r>
      <w:r w:rsidR="00EA2F2E" w:rsidRPr="00304F2D">
        <w:rPr>
          <w:rFonts w:ascii="Times New Roman" w:hAnsi="Times New Roman" w:cs="Times New Roman"/>
        </w:rPr>
        <w:t>,</w:t>
      </w:r>
      <w:r w:rsidR="007C25D5" w:rsidRPr="00304F2D">
        <w:rPr>
          <w:rFonts w:ascii="Times New Roman" w:hAnsi="Times New Roman" w:cs="Times New Roman"/>
        </w:rPr>
        <w:t xml:space="preserve"> </w:t>
      </w:r>
      <w:r w:rsidR="00AA7041" w:rsidRPr="00304F2D">
        <w:rPr>
          <w:rFonts w:ascii="Times New Roman" w:hAnsi="Times New Roman" w:cs="Times New Roman"/>
        </w:rPr>
        <w:t xml:space="preserve">in Table 3 </w:t>
      </w:r>
      <w:r w:rsidR="007C25D5" w:rsidRPr="00304F2D">
        <w:rPr>
          <w:rFonts w:ascii="Times New Roman" w:hAnsi="Times New Roman" w:cs="Times New Roman"/>
        </w:rPr>
        <w:t>we examine</w:t>
      </w:r>
      <w:r w:rsidR="001F029C" w:rsidRPr="00304F2D">
        <w:rPr>
          <w:rFonts w:ascii="Times New Roman" w:hAnsi="Times New Roman" w:cs="Times New Roman"/>
        </w:rPr>
        <w:t xml:space="preserve"> plasma donors, where there are a higher</w:t>
      </w:r>
      <w:r w:rsidR="003D1C98" w:rsidRPr="00304F2D">
        <w:rPr>
          <w:rFonts w:ascii="Times New Roman" w:hAnsi="Times New Roman" w:cs="Times New Roman"/>
        </w:rPr>
        <w:t xml:space="preserve"> number of possible donations. </w:t>
      </w:r>
      <w:r w:rsidR="0014267F" w:rsidRPr="00304F2D">
        <w:rPr>
          <w:rFonts w:ascii="Times New Roman" w:hAnsi="Times New Roman" w:cs="Times New Roman"/>
        </w:rPr>
        <w:t xml:space="preserve">As with whole blood, just under a half </w:t>
      </w:r>
      <w:r w:rsidR="00167D98">
        <w:rPr>
          <w:rFonts w:ascii="Times New Roman" w:hAnsi="Times New Roman" w:cs="Times New Roman"/>
        </w:rPr>
        <w:t xml:space="preserve">of donors </w:t>
      </w:r>
      <w:r w:rsidR="0014267F" w:rsidRPr="00304F2D">
        <w:rPr>
          <w:rFonts w:ascii="Times New Roman" w:hAnsi="Times New Roman" w:cs="Times New Roman"/>
        </w:rPr>
        <w:t>provide plasma once or twice a year, strengthening support for the first hypothesis.</w:t>
      </w:r>
      <w:r w:rsidR="003D1C98" w:rsidRPr="00304F2D">
        <w:rPr>
          <w:rFonts w:ascii="Times New Roman" w:hAnsi="Times New Roman" w:cs="Times New Roman"/>
        </w:rPr>
        <w:t xml:space="preserve"> </w:t>
      </w:r>
      <w:r w:rsidR="001F029C" w:rsidRPr="00304F2D">
        <w:rPr>
          <w:rFonts w:ascii="Times New Roman" w:hAnsi="Times New Roman" w:cs="Times New Roman"/>
        </w:rPr>
        <w:t xml:space="preserve">We find the most common frequency for new </w:t>
      </w:r>
      <w:r w:rsidR="002B3D96" w:rsidRPr="00304F2D">
        <w:rPr>
          <w:rFonts w:ascii="Times New Roman" w:hAnsi="Times New Roman" w:cs="Times New Roman"/>
        </w:rPr>
        <w:t xml:space="preserve">plasma </w:t>
      </w:r>
      <w:r w:rsidR="001F029C" w:rsidRPr="00304F2D">
        <w:rPr>
          <w:rFonts w:ascii="Times New Roman" w:hAnsi="Times New Roman" w:cs="Times New Roman"/>
        </w:rPr>
        <w:t xml:space="preserve">donors is </w:t>
      </w:r>
      <w:r w:rsidR="0002204F" w:rsidRPr="00304F2D">
        <w:rPr>
          <w:rFonts w:ascii="Times New Roman" w:hAnsi="Times New Roman" w:cs="Times New Roman"/>
        </w:rPr>
        <w:t xml:space="preserve">again </w:t>
      </w:r>
      <w:r w:rsidR="001F029C" w:rsidRPr="00304F2D">
        <w:rPr>
          <w:rFonts w:ascii="Times New Roman" w:hAnsi="Times New Roman" w:cs="Times New Roman"/>
        </w:rPr>
        <w:t xml:space="preserve">once </w:t>
      </w:r>
      <w:r w:rsidR="0002204F" w:rsidRPr="00304F2D">
        <w:rPr>
          <w:rFonts w:ascii="Times New Roman" w:hAnsi="Times New Roman" w:cs="Times New Roman"/>
        </w:rPr>
        <w:t>for about</w:t>
      </w:r>
      <w:r w:rsidR="007645F9" w:rsidRPr="00304F2D">
        <w:rPr>
          <w:rFonts w:ascii="Times New Roman" w:hAnsi="Times New Roman" w:cs="Times New Roman"/>
        </w:rPr>
        <w:t xml:space="preserve"> a third </w:t>
      </w:r>
      <w:r w:rsidR="001F029C" w:rsidRPr="00304F2D">
        <w:rPr>
          <w:rFonts w:ascii="Times New Roman" w:hAnsi="Times New Roman" w:cs="Times New Roman"/>
        </w:rPr>
        <w:t>of new donors</w:t>
      </w:r>
      <w:r w:rsidR="002B3D96" w:rsidRPr="00304F2D">
        <w:rPr>
          <w:rFonts w:ascii="Times New Roman" w:hAnsi="Times New Roman" w:cs="Times New Roman"/>
        </w:rPr>
        <w:t xml:space="preserve"> (32%)</w:t>
      </w:r>
      <w:r w:rsidR="001F029C" w:rsidRPr="00304F2D">
        <w:rPr>
          <w:rFonts w:ascii="Times New Roman" w:hAnsi="Times New Roman" w:cs="Times New Roman"/>
        </w:rPr>
        <w:t xml:space="preserve">, </w:t>
      </w:r>
      <w:r w:rsidR="0002204F" w:rsidRPr="00304F2D">
        <w:rPr>
          <w:rFonts w:ascii="Times New Roman" w:hAnsi="Times New Roman" w:cs="Times New Roman"/>
        </w:rPr>
        <w:t xml:space="preserve">which </w:t>
      </w:r>
      <w:r w:rsidR="001F029C" w:rsidRPr="00304F2D">
        <w:rPr>
          <w:rFonts w:ascii="Times New Roman" w:hAnsi="Times New Roman" w:cs="Times New Roman"/>
        </w:rPr>
        <w:t>is consistent across the five years</w:t>
      </w:r>
      <w:r w:rsidR="00185767" w:rsidRPr="00304F2D">
        <w:rPr>
          <w:rFonts w:ascii="Times New Roman" w:hAnsi="Times New Roman" w:cs="Times New Roman"/>
        </w:rPr>
        <w:t>,</w:t>
      </w:r>
      <w:r w:rsidR="001F029C" w:rsidRPr="00304F2D">
        <w:rPr>
          <w:rFonts w:ascii="Times New Roman" w:hAnsi="Times New Roman" w:cs="Times New Roman"/>
        </w:rPr>
        <w:t xml:space="preserve"> and </w:t>
      </w:r>
      <w:r w:rsidR="0002204F" w:rsidRPr="00304F2D">
        <w:rPr>
          <w:rFonts w:ascii="Times New Roman" w:hAnsi="Times New Roman" w:cs="Times New Roman"/>
        </w:rPr>
        <w:t>compares</w:t>
      </w:r>
      <w:r w:rsidR="001F029C" w:rsidRPr="00304F2D">
        <w:rPr>
          <w:rFonts w:ascii="Times New Roman" w:hAnsi="Times New Roman" w:cs="Times New Roman"/>
        </w:rPr>
        <w:t xml:space="preserve"> </w:t>
      </w:r>
      <w:r w:rsidR="0002204F" w:rsidRPr="00304F2D">
        <w:rPr>
          <w:rFonts w:ascii="Times New Roman" w:hAnsi="Times New Roman" w:cs="Times New Roman"/>
        </w:rPr>
        <w:t>to</w:t>
      </w:r>
      <w:r w:rsidR="002B3D96" w:rsidRPr="00304F2D">
        <w:rPr>
          <w:rFonts w:ascii="Times New Roman" w:hAnsi="Times New Roman" w:cs="Times New Roman"/>
        </w:rPr>
        <w:t xml:space="preserve"> a little over a quarter (</w:t>
      </w:r>
      <w:r w:rsidR="007645F9" w:rsidRPr="00304F2D">
        <w:rPr>
          <w:rFonts w:ascii="Times New Roman" w:hAnsi="Times New Roman" w:cs="Times New Roman"/>
        </w:rPr>
        <w:t>27</w:t>
      </w:r>
      <w:r w:rsidR="001F029C" w:rsidRPr="00304F2D">
        <w:rPr>
          <w:rFonts w:ascii="Times New Roman" w:hAnsi="Times New Roman" w:cs="Times New Roman"/>
        </w:rPr>
        <w:t>%</w:t>
      </w:r>
      <w:r w:rsidR="002B3D96" w:rsidRPr="00304F2D">
        <w:rPr>
          <w:rFonts w:ascii="Times New Roman" w:hAnsi="Times New Roman" w:cs="Times New Roman"/>
        </w:rPr>
        <w:t>)</w:t>
      </w:r>
      <w:r w:rsidR="001F029C" w:rsidRPr="00304F2D">
        <w:rPr>
          <w:rFonts w:ascii="Times New Roman" w:hAnsi="Times New Roman" w:cs="Times New Roman"/>
        </w:rPr>
        <w:t xml:space="preserve"> of </w:t>
      </w:r>
      <w:r w:rsidR="002B3D96" w:rsidRPr="00304F2D">
        <w:rPr>
          <w:rFonts w:ascii="Times New Roman" w:hAnsi="Times New Roman" w:cs="Times New Roman"/>
        </w:rPr>
        <w:t>existing plasma donors donating once in 12 months</w:t>
      </w:r>
      <w:r w:rsidR="003D1C98" w:rsidRPr="00304F2D">
        <w:rPr>
          <w:rFonts w:ascii="Times New Roman" w:hAnsi="Times New Roman" w:cs="Times New Roman"/>
        </w:rPr>
        <w:t xml:space="preserve">. </w:t>
      </w:r>
      <w:r w:rsidR="001F029C" w:rsidRPr="00304F2D">
        <w:rPr>
          <w:rFonts w:ascii="Times New Roman" w:hAnsi="Times New Roman" w:cs="Times New Roman"/>
        </w:rPr>
        <w:t xml:space="preserve">New donors are also </w:t>
      </w:r>
      <w:r w:rsidR="007645F9" w:rsidRPr="00304F2D">
        <w:rPr>
          <w:rFonts w:ascii="Times New Roman" w:hAnsi="Times New Roman" w:cs="Times New Roman"/>
        </w:rPr>
        <w:t xml:space="preserve">slightly </w:t>
      </w:r>
      <w:r w:rsidR="001F029C" w:rsidRPr="00304F2D">
        <w:rPr>
          <w:rFonts w:ascii="Times New Roman" w:hAnsi="Times New Roman" w:cs="Times New Roman"/>
        </w:rPr>
        <w:t xml:space="preserve">less likely to be 8+ </w:t>
      </w:r>
      <w:r w:rsidR="007645F9" w:rsidRPr="00304F2D">
        <w:rPr>
          <w:rFonts w:ascii="Times New Roman" w:hAnsi="Times New Roman" w:cs="Times New Roman"/>
        </w:rPr>
        <w:t>times donors (19</w:t>
      </w:r>
      <w:r w:rsidR="001F029C" w:rsidRPr="00304F2D">
        <w:rPr>
          <w:rFonts w:ascii="Times New Roman" w:hAnsi="Times New Roman" w:cs="Times New Roman"/>
        </w:rPr>
        <w:t>%</w:t>
      </w:r>
      <w:r w:rsidR="007645F9" w:rsidRPr="00304F2D">
        <w:rPr>
          <w:rFonts w:ascii="Times New Roman" w:hAnsi="Times New Roman" w:cs="Times New Roman"/>
        </w:rPr>
        <w:t xml:space="preserve"> versus 22</w:t>
      </w:r>
      <w:r w:rsidR="003D1C98" w:rsidRPr="00304F2D">
        <w:rPr>
          <w:rFonts w:ascii="Times New Roman" w:hAnsi="Times New Roman" w:cs="Times New Roman"/>
        </w:rPr>
        <w:t xml:space="preserve">%). </w:t>
      </w:r>
      <w:r w:rsidR="00371997" w:rsidRPr="00304F2D">
        <w:rPr>
          <w:rFonts w:ascii="Times New Roman" w:hAnsi="Times New Roman" w:cs="Times New Roman"/>
        </w:rPr>
        <w:t>Results support</w:t>
      </w:r>
      <w:r w:rsidR="0014267F" w:rsidRPr="00304F2D">
        <w:rPr>
          <w:rFonts w:ascii="Times New Roman" w:hAnsi="Times New Roman" w:cs="Times New Roman"/>
        </w:rPr>
        <w:t xml:space="preserve"> hypothesis two and</w:t>
      </w:r>
      <w:r w:rsidR="00371997" w:rsidRPr="00304F2D">
        <w:rPr>
          <w:rFonts w:ascii="Times New Roman" w:hAnsi="Times New Roman" w:cs="Times New Roman"/>
        </w:rPr>
        <w:t xml:space="preserve"> confirm</w:t>
      </w:r>
      <w:r w:rsidR="0014267F" w:rsidRPr="00304F2D">
        <w:rPr>
          <w:rFonts w:ascii="Times New Roman" w:hAnsi="Times New Roman" w:cs="Times New Roman"/>
        </w:rPr>
        <w:t xml:space="preserve"> </w:t>
      </w:r>
      <w:r w:rsidR="002B3D96" w:rsidRPr="00304F2D">
        <w:rPr>
          <w:rFonts w:ascii="Times New Roman" w:hAnsi="Times New Roman" w:cs="Times New Roman"/>
        </w:rPr>
        <w:t>that the vast majority</w:t>
      </w:r>
      <w:r w:rsidR="007645F9" w:rsidRPr="00304F2D">
        <w:rPr>
          <w:rFonts w:ascii="Times New Roman" w:hAnsi="Times New Roman" w:cs="Times New Roman"/>
        </w:rPr>
        <w:t xml:space="preserve"> of </w:t>
      </w:r>
      <w:r w:rsidR="001F029C" w:rsidRPr="00304F2D">
        <w:rPr>
          <w:rFonts w:ascii="Times New Roman" w:hAnsi="Times New Roman" w:cs="Times New Roman"/>
        </w:rPr>
        <w:t xml:space="preserve">new </w:t>
      </w:r>
      <w:r w:rsidR="007645F9" w:rsidRPr="00304F2D">
        <w:rPr>
          <w:rFonts w:ascii="Times New Roman" w:hAnsi="Times New Roman" w:cs="Times New Roman"/>
        </w:rPr>
        <w:t xml:space="preserve">plasma </w:t>
      </w:r>
      <w:r w:rsidR="001F029C" w:rsidRPr="00304F2D">
        <w:rPr>
          <w:rFonts w:ascii="Times New Roman" w:hAnsi="Times New Roman" w:cs="Times New Roman"/>
        </w:rPr>
        <w:t xml:space="preserve">donors are </w:t>
      </w:r>
      <w:r w:rsidR="007645F9" w:rsidRPr="00304F2D">
        <w:rPr>
          <w:rFonts w:ascii="Times New Roman" w:hAnsi="Times New Roman" w:cs="Times New Roman"/>
        </w:rPr>
        <w:t>not</w:t>
      </w:r>
      <w:r w:rsidR="001F029C" w:rsidRPr="00304F2D">
        <w:rPr>
          <w:rFonts w:ascii="Times New Roman" w:hAnsi="Times New Roman" w:cs="Times New Roman"/>
        </w:rPr>
        <w:t xml:space="preserve"> </w:t>
      </w:r>
      <w:r w:rsidR="00CA3C98" w:rsidRPr="00304F2D">
        <w:rPr>
          <w:rFonts w:ascii="Times New Roman" w:hAnsi="Times New Roman" w:cs="Times New Roman"/>
        </w:rPr>
        <w:t xml:space="preserve">frequent </w:t>
      </w:r>
      <w:r w:rsidR="001F029C" w:rsidRPr="00304F2D">
        <w:rPr>
          <w:rFonts w:ascii="Times New Roman" w:hAnsi="Times New Roman" w:cs="Times New Roman"/>
        </w:rPr>
        <w:t>donors.</w:t>
      </w:r>
      <w:r w:rsidR="0014267F" w:rsidRPr="00304F2D">
        <w:rPr>
          <w:rFonts w:ascii="Times New Roman" w:hAnsi="Times New Roman" w:cs="Times New Roman"/>
        </w:rPr>
        <w:t xml:space="preserve"> We also see that over the five years the</w:t>
      </w:r>
      <w:r w:rsidR="002B3D96" w:rsidRPr="00304F2D">
        <w:rPr>
          <w:rFonts w:ascii="Times New Roman" w:hAnsi="Times New Roman" w:cs="Times New Roman"/>
        </w:rPr>
        <w:t xml:space="preserve"> proportion of existing donors giving plasma eight times or more a year has declined from around one in four to one in five</w:t>
      </w:r>
      <w:r w:rsidR="0014267F" w:rsidRPr="00304F2D">
        <w:rPr>
          <w:rFonts w:ascii="Times New Roman" w:hAnsi="Times New Roman" w:cs="Times New Roman"/>
        </w:rPr>
        <w:t xml:space="preserve">, whereas the number of plasma donors has doubled. </w:t>
      </w:r>
    </w:p>
    <w:p w14:paraId="4AFBBD13" w14:textId="5D4E8E58" w:rsidR="00CB7321" w:rsidRPr="00304F2D" w:rsidRDefault="00CB7321" w:rsidP="008B1754">
      <w:pPr>
        <w:spacing w:line="480" w:lineRule="auto"/>
        <w:ind w:firstLine="720"/>
        <w:rPr>
          <w:rFonts w:ascii="Times New Roman" w:hAnsi="Times New Roman" w:cs="Times New Roman"/>
        </w:rPr>
      </w:pPr>
      <w:r w:rsidRPr="00304F2D">
        <w:rPr>
          <w:rFonts w:ascii="Times New Roman" w:hAnsi="Times New Roman" w:cs="Times New Roman"/>
        </w:rPr>
        <w:t>The pattern of frequency distribution for all years and blood products is the reverse ‘J’ shaped pattern observed in packaged consumer goods: as the frequency of donations increase, the number of donors (dramatically) decreases</w:t>
      </w:r>
      <w:r w:rsidR="00AF01E3" w:rsidRPr="00304F2D">
        <w:rPr>
          <w:rFonts w:ascii="Times New Roman" w:hAnsi="Times New Roman" w:cs="Times New Roman"/>
        </w:rPr>
        <w:t xml:space="preserve">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&lt;EndNote&gt;&lt;Cite&gt;&lt;Author&gt;Ehrenberg&lt;/Author&gt;&lt;Year&gt;2000&lt;/Year&gt;&lt;RecNum&gt;442&lt;/RecNum&gt;&lt;DisplayText&gt;(Ehrenberg, 2000)&lt;/DisplayText&gt;&lt;record&gt;&lt;rec-number&gt;442&lt;/rec-number&gt;&lt;foreign-keys&gt;&lt;key app="EN" db-id="eswazv0p5wsezae2sd8pf59gf50trdav5fsw" timestamp="0"&gt;442&lt;/key&gt;&lt;/foreign-keys&gt;&lt;ref-type name="Journal Article"&gt;17&lt;/ref-type&gt;&lt;contributors&gt;&lt;authors&gt;&lt;author&gt;Ehrenberg, Andrew&lt;/author&gt;&lt;/authors&gt;&lt;/contributors&gt;&lt;titles&gt;&lt;title&gt;Repeat-Buying: facts, theory and applications&lt;/title&gt;&lt;secondary-title&gt;Journal of Empirical Generalisations in Marketing Science&lt;/secondary-title&gt;&lt;/titles&gt;&lt;pages&gt;392-770&lt;/pages&gt;&lt;volume&gt;5&lt;/volume&gt;&lt;edition&gt;3rd&lt;/edition&gt;&lt;keywords&gt;&lt;keyword&gt;Brand, Brand Loyalty&lt;/keyword&gt;&lt;/keywords&gt;&lt;dates&gt;&lt;year&gt;2000&lt;/year&gt;&lt;/dates&gt;&lt;urls&gt;&lt;/urls&gt;&lt;/record&gt;&lt;/Cite&gt;&lt;/EndNote&gt;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26" w:tooltip="Ehrenberg, 2000 #442" w:history="1">
        <w:r w:rsidR="00DA6B8D" w:rsidRPr="00304F2D">
          <w:rPr>
            <w:rFonts w:ascii="Times New Roman" w:hAnsi="Times New Roman" w:cs="Times New Roman"/>
            <w:noProof/>
          </w:rPr>
          <w:t>Ehrenberg, 2000</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Pr="00304F2D">
        <w:rPr>
          <w:rFonts w:ascii="Times New Roman" w:hAnsi="Times New Roman" w:cs="Times New Roman"/>
        </w:rPr>
        <w:t>.</w:t>
      </w:r>
    </w:p>
    <w:p w14:paraId="6D3EFA2D" w14:textId="38E1B44F" w:rsidR="00B07C96" w:rsidRPr="00304F2D" w:rsidRDefault="00B07C96" w:rsidP="00B07C96">
      <w:pPr>
        <w:spacing w:line="480" w:lineRule="auto"/>
        <w:ind w:firstLine="720"/>
        <w:rPr>
          <w:rFonts w:ascii="Times New Roman" w:hAnsi="Times New Roman" w:cs="Times New Roman"/>
        </w:rPr>
      </w:pPr>
      <w:r w:rsidRPr="00304F2D">
        <w:rPr>
          <w:rFonts w:ascii="Times New Roman" w:hAnsi="Times New Roman" w:cs="Times New Roman"/>
        </w:rPr>
        <w:t xml:space="preserve">To investigate whether the patterns are consistent when the overall volume of donation changes (H3), we investigated the patterns and distributions that accompany overall </w:t>
      </w:r>
      <w:r w:rsidR="003D1C98" w:rsidRPr="00304F2D">
        <w:rPr>
          <w:rFonts w:ascii="Times New Roman" w:hAnsi="Times New Roman" w:cs="Times New Roman"/>
        </w:rPr>
        <w:lastRenderedPageBreak/>
        <w:t xml:space="preserve">changes in donation levels. </w:t>
      </w:r>
      <w:r w:rsidRPr="00304F2D">
        <w:rPr>
          <w:rFonts w:ascii="Times New Roman" w:hAnsi="Times New Roman" w:cs="Times New Roman"/>
        </w:rPr>
        <w:t xml:space="preserve">There is consistency, despite movement in the total size of </w:t>
      </w:r>
      <w:r w:rsidR="003D1C98" w:rsidRPr="00304F2D">
        <w:rPr>
          <w:rFonts w:ascii="Times New Roman" w:hAnsi="Times New Roman" w:cs="Times New Roman"/>
        </w:rPr>
        <w:t xml:space="preserve">the donor base. </w:t>
      </w:r>
      <w:r w:rsidRPr="00304F2D">
        <w:rPr>
          <w:rFonts w:ascii="Times New Roman" w:hAnsi="Times New Roman" w:cs="Times New Roman"/>
        </w:rPr>
        <w:t>The total number of charity donors decreased by 3% over the three-year period, 1%</w:t>
      </w:r>
      <w:r w:rsidR="003D1C98" w:rsidRPr="00304F2D">
        <w:rPr>
          <w:rFonts w:ascii="Times New Roman" w:hAnsi="Times New Roman" w:cs="Times New Roman"/>
        </w:rPr>
        <w:t xml:space="preserve"> in 2008-</w:t>
      </w:r>
      <w:r w:rsidR="00C65E7A">
        <w:rPr>
          <w:rFonts w:ascii="Times New Roman" w:hAnsi="Times New Roman" w:cs="Times New Roman"/>
        </w:rPr>
        <w:t>20</w:t>
      </w:r>
      <w:r w:rsidR="003D1C98" w:rsidRPr="00304F2D">
        <w:rPr>
          <w:rFonts w:ascii="Times New Roman" w:hAnsi="Times New Roman" w:cs="Times New Roman"/>
        </w:rPr>
        <w:t>09 and 2% in 2009-</w:t>
      </w:r>
      <w:r w:rsidR="00C65E7A">
        <w:rPr>
          <w:rFonts w:ascii="Times New Roman" w:hAnsi="Times New Roman" w:cs="Times New Roman"/>
        </w:rPr>
        <w:t>20</w:t>
      </w:r>
      <w:r w:rsidR="003D1C98" w:rsidRPr="00304F2D">
        <w:rPr>
          <w:rFonts w:ascii="Times New Roman" w:hAnsi="Times New Roman" w:cs="Times New Roman"/>
        </w:rPr>
        <w:t xml:space="preserve">10. </w:t>
      </w:r>
      <w:r w:rsidRPr="00304F2D">
        <w:rPr>
          <w:rFonts w:ascii="Times New Roman" w:hAnsi="Times New Roman" w:cs="Times New Roman"/>
        </w:rPr>
        <w:t>The total sum donated also declined (4% over the three-year period, with 2008-</w:t>
      </w:r>
      <w:r w:rsidR="00C65E7A">
        <w:rPr>
          <w:rFonts w:ascii="Times New Roman" w:hAnsi="Times New Roman" w:cs="Times New Roman"/>
        </w:rPr>
        <w:t>20</w:t>
      </w:r>
      <w:r w:rsidRPr="00304F2D">
        <w:rPr>
          <w:rFonts w:ascii="Times New Roman" w:hAnsi="Times New Roman" w:cs="Times New Roman"/>
        </w:rPr>
        <w:t>09 showing a decline of 4.7% in revenue, with a slight recovery in 2009-</w:t>
      </w:r>
      <w:r w:rsidR="00C65E7A">
        <w:rPr>
          <w:rFonts w:ascii="Times New Roman" w:hAnsi="Times New Roman" w:cs="Times New Roman"/>
        </w:rPr>
        <w:t>20</w:t>
      </w:r>
      <w:r w:rsidRPr="00304F2D">
        <w:rPr>
          <w:rFonts w:ascii="Times New Roman" w:hAnsi="Times New Roman" w:cs="Times New Roman"/>
        </w:rPr>
        <w:t xml:space="preserve">10). The 4% decline translates into a reduction of $1.3 million in revenue for the charity, fewer supporters that show reduced loyalty in terms of the mean amount donated. The decline reflects the period known as the Global Financial Crisis (GFC), where steep declines were recorded in giving by individuals in 2008 and in 2009 before the first signs of a recovery in giving to charity in 2010 </w:t>
      </w:r>
      <w:r w:rsidRPr="00304F2D">
        <w:rPr>
          <w:rFonts w:ascii="Times New Roman" w:hAnsi="Times New Roman" w:cs="Times New Roman"/>
        </w:rPr>
        <w:fldChar w:fldCharType="begin"/>
      </w:r>
      <w:r w:rsidRPr="00304F2D">
        <w:rPr>
          <w:rFonts w:ascii="Times New Roman" w:hAnsi="Times New Roman" w:cs="Times New Roman"/>
        </w:rPr>
        <w:instrText xml:space="preserve"> ADDIN EN.CITE &lt;EndNote&gt;&lt;Cite&gt;&lt;Author&gt;Giving USA Foundation&lt;/Author&gt;&lt;Year&gt;2011&lt;/Year&gt;&lt;RecNum&gt;20786&lt;/RecNum&gt;&lt;DisplayText&gt;(Giving USA Foundation, 2011)&lt;/DisplayText&gt;&lt;record&gt;&lt;rec-number&gt;20786&lt;/rec-number&gt;&lt;foreign-keys&gt;&lt;key app="EN" db-id="eswazv0p5wsezae2sd8pf59gf50trdav5fsw" timestamp="0"&gt;20786&lt;/key&gt;&lt;/foreign-keys&gt;&lt;ref-type name="Report"&gt;27&lt;/ref-type&gt;&lt;contributors&gt;&lt;authors&gt;&lt;author&gt;Giving USA Foundation,&lt;/author&gt;&lt;/authors&gt;&lt;/contributors&gt;&lt;titles&gt;&lt;title&gt;Giving USA 2011: The Annual Report on Philanthropy for the Year 2010&lt;/title&gt;&lt;/titles&gt;&lt;pages&gt;34&lt;/pages&gt;&lt;dates&gt;&lt;year&gt;2011&lt;/year&gt;&lt;/dates&gt;&lt;pub-location&gt;Indiana&lt;/pub-location&gt;&lt;publisher&gt;Giving USA Foundation&lt;/publisher&gt;&lt;label&gt;pdf&lt;/label&gt;&lt;urls&gt;&lt;/urls&gt;&lt;/record&gt;&lt;/Cite&gt;&lt;/EndNote&gt;</w:instrText>
      </w:r>
      <w:r w:rsidRPr="00304F2D">
        <w:rPr>
          <w:rFonts w:ascii="Times New Roman" w:hAnsi="Times New Roman" w:cs="Times New Roman"/>
        </w:rPr>
        <w:fldChar w:fldCharType="separate"/>
      </w:r>
      <w:r w:rsidRPr="00304F2D">
        <w:rPr>
          <w:rFonts w:ascii="Times New Roman" w:hAnsi="Times New Roman" w:cs="Times New Roman"/>
          <w:noProof/>
        </w:rPr>
        <w:t>(</w:t>
      </w:r>
      <w:hyperlink w:anchor="_ENREF_31" w:tooltip="Giving USA Foundation, 2011 #20786" w:history="1">
        <w:r w:rsidR="00DA6B8D" w:rsidRPr="00304F2D">
          <w:rPr>
            <w:rFonts w:ascii="Times New Roman" w:hAnsi="Times New Roman" w:cs="Times New Roman"/>
            <w:noProof/>
          </w:rPr>
          <w:t>Giving USA Foundation, 2011</w:t>
        </w:r>
      </w:hyperlink>
      <w:r w:rsidRPr="00304F2D">
        <w:rPr>
          <w:rFonts w:ascii="Times New Roman" w:hAnsi="Times New Roman" w:cs="Times New Roman"/>
          <w:noProof/>
        </w:rPr>
        <w:t>)</w:t>
      </w:r>
      <w:r w:rsidRPr="00304F2D">
        <w:rPr>
          <w:rFonts w:ascii="Times New Roman" w:hAnsi="Times New Roman" w:cs="Times New Roman"/>
        </w:rPr>
        <w:fldChar w:fldCharType="end"/>
      </w:r>
      <w:r w:rsidRPr="00304F2D">
        <w:rPr>
          <w:rFonts w:ascii="Times New Roman" w:hAnsi="Times New Roman" w:cs="Times New Roman"/>
        </w:rPr>
        <w:t xml:space="preserve">. </w:t>
      </w:r>
    </w:p>
    <w:p w14:paraId="1CEDE38B" w14:textId="115DE972" w:rsidR="00B07C96" w:rsidRPr="00304F2D" w:rsidRDefault="00B07C96" w:rsidP="00B07C96">
      <w:pPr>
        <w:spacing w:line="480" w:lineRule="auto"/>
        <w:ind w:firstLine="720"/>
        <w:rPr>
          <w:rFonts w:ascii="Times New Roman" w:hAnsi="Times New Roman" w:cs="Times New Roman"/>
        </w:rPr>
      </w:pPr>
      <w:r w:rsidRPr="00304F2D">
        <w:rPr>
          <w:rFonts w:ascii="Times New Roman" w:hAnsi="Times New Roman" w:cs="Times New Roman"/>
        </w:rPr>
        <w:t xml:space="preserve">Results show that despite a decline in the donor base and amounts given there </w:t>
      </w:r>
      <w:r w:rsidR="00C12EFE">
        <w:rPr>
          <w:rFonts w:ascii="Times New Roman" w:hAnsi="Times New Roman" w:cs="Times New Roman"/>
        </w:rPr>
        <w:t>i</w:t>
      </w:r>
      <w:r w:rsidRPr="00304F2D">
        <w:rPr>
          <w:rFonts w:ascii="Times New Roman" w:hAnsi="Times New Roman" w:cs="Times New Roman"/>
        </w:rPr>
        <w:t xml:space="preserve">s consistency in </w:t>
      </w:r>
      <w:r w:rsidR="00C12EFE">
        <w:rPr>
          <w:rFonts w:ascii="Times New Roman" w:hAnsi="Times New Roman" w:cs="Times New Roman"/>
        </w:rPr>
        <w:t xml:space="preserve">the </w:t>
      </w:r>
      <w:r w:rsidRPr="00304F2D">
        <w:rPr>
          <w:rFonts w:ascii="Times New Roman" w:hAnsi="Times New Roman" w:cs="Times New Roman"/>
        </w:rPr>
        <w:t xml:space="preserve">pattern. The distribution of many infrequent donors, the recruitment of predominantly infrequent donors, and the instability of frequent supporters all remained consistent. In another example, the number of plasma donations grew dramatically, increasing by 75% over the five-year period from 8% in 2007 to </w:t>
      </w:r>
      <w:r w:rsidR="003D1C98" w:rsidRPr="00304F2D">
        <w:rPr>
          <w:rFonts w:ascii="Times New Roman" w:hAnsi="Times New Roman" w:cs="Times New Roman"/>
        </w:rPr>
        <w:t xml:space="preserve">14% in 2011. </w:t>
      </w:r>
      <w:r w:rsidRPr="00304F2D">
        <w:rPr>
          <w:rFonts w:ascii="Times New Roman" w:hAnsi="Times New Roman" w:cs="Times New Roman"/>
        </w:rPr>
        <w:t>Two thirds of the increase in plasma donations is offset by a reduction</w:t>
      </w:r>
      <w:r w:rsidR="003D1C98" w:rsidRPr="00304F2D">
        <w:rPr>
          <w:rFonts w:ascii="Times New Roman" w:hAnsi="Times New Roman" w:cs="Times New Roman"/>
        </w:rPr>
        <w:t xml:space="preserve"> in whole blood donations. </w:t>
      </w:r>
      <w:r w:rsidRPr="00304F2D">
        <w:rPr>
          <w:rFonts w:ascii="Times New Roman" w:hAnsi="Times New Roman" w:cs="Times New Roman"/>
        </w:rPr>
        <w:t xml:space="preserve">Increased demand for plasma lead to recruitment of plasma donors from the whole blood donor base </w:t>
      </w:r>
      <w:r w:rsidRPr="00304F2D">
        <w:rPr>
          <w:rFonts w:ascii="Times New Roman" w:hAnsi="Times New Roman" w:cs="Times New Roman"/>
          <w:noProof/>
        </w:rPr>
        <w:fldChar w:fldCharType="begin"/>
      </w:r>
      <w:r w:rsidRPr="00304F2D">
        <w:rPr>
          <w:rFonts w:ascii="Times New Roman" w:hAnsi="Times New Roman" w:cs="Times New Roman"/>
          <w:noProof/>
        </w:rPr>
        <w:instrText xml:space="preserve"> ADDIN EN.CITE &lt;EndNote&gt;&lt;Cite&gt;&lt;Author&gt;Bagot&lt;/Author&gt;&lt;Year&gt;2013&lt;/Year&gt;&lt;RecNum&gt;24446&lt;/RecNum&gt;&lt;DisplayText&gt;(Bagot&lt;style face="italic"&gt; et al.&lt;/style&gt;, 2013)&lt;/DisplayText&gt;&lt;record&gt;&lt;rec-number&gt;24446&lt;/rec-number&gt;&lt;foreign-keys&gt;&lt;key app="EN" db-id="eswazv0p5wsezae2sd8pf59gf50trdav5fsw" timestamp="0"&gt;24446&lt;/key&gt;&lt;/foreign-keys&gt;&lt;ref-type name="Journal Article"&gt;17&lt;/ref-type&gt;&lt;contributors&gt;&lt;authors&gt;&lt;author&gt;Bagot, Kathleen L.&lt;/author&gt;&lt;author&gt;Bove, Liliana L.&lt;/author&gt;&lt;author&gt;Masser, Barbara M.&lt;/author&gt;&lt;author&gt;Bednall, Timothy C.&lt;/author&gt;&lt;author&gt;Buzza, Mark&lt;/author&gt;&lt;/authors&gt;&lt;/contributors&gt;&lt;titles&gt;&lt;title&gt;Perceived deterrents to being a plasmapheresis donor in a voluntary, nonremunerated environment&lt;/title&gt;&lt;secondary-title&gt;Transfusion&lt;/secondary-title&gt;&lt;/titles&gt;&lt;periodical&gt;&lt;full-title&gt;Transfusion&lt;/full-title&gt;&lt;/periodical&gt;&lt;pages&gt;1108-1119&lt;/pages&gt;&lt;volume&gt;53&lt;/volume&gt;&lt;dates&gt;&lt;year&gt;2013&lt;/year&gt;&lt;pub-dates&gt;&lt;date&gt;May&lt;/date&gt;&lt;/pub-dates&gt;&lt;/dates&gt;&lt;publisher&gt;Wiley&lt;/publisher&gt;&lt;isbn&gt;1537-2995&lt;/isbn&gt;&lt;urls&gt;&lt;/urls&gt;&lt;/record&gt;&lt;/Cite&gt;&lt;/EndNote&gt;</w:instrText>
      </w:r>
      <w:r w:rsidRPr="00304F2D">
        <w:rPr>
          <w:rFonts w:ascii="Times New Roman" w:hAnsi="Times New Roman" w:cs="Times New Roman"/>
          <w:noProof/>
        </w:rPr>
        <w:fldChar w:fldCharType="separate"/>
      </w:r>
      <w:r w:rsidRPr="00304F2D">
        <w:rPr>
          <w:rFonts w:ascii="Times New Roman" w:hAnsi="Times New Roman" w:cs="Times New Roman"/>
          <w:noProof/>
        </w:rPr>
        <w:t>(</w:t>
      </w:r>
      <w:hyperlink w:anchor="_ENREF_9" w:tooltip="Bagot, 2013 #24446"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2013</w:t>
        </w:r>
      </w:hyperlink>
      <w:r w:rsidRPr="00304F2D">
        <w:rPr>
          <w:rFonts w:ascii="Times New Roman" w:hAnsi="Times New Roman" w:cs="Times New Roman"/>
          <w:noProof/>
        </w:rPr>
        <w:t>)</w:t>
      </w:r>
      <w:r w:rsidRPr="00304F2D">
        <w:rPr>
          <w:rFonts w:ascii="Times New Roman" w:hAnsi="Times New Roman" w:cs="Times New Roman"/>
          <w:noProof/>
        </w:rPr>
        <w:fldChar w:fldCharType="end"/>
      </w:r>
      <w:r w:rsidRPr="00304F2D">
        <w:rPr>
          <w:rFonts w:ascii="Times New Roman" w:hAnsi="Times New Roman" w:cs="Times New Roman"/>
        </w:rPr>
        <w:t>.  Results show consistent patterns, regardless of whether the donor base grows or declines</w:t>
      </w:r>
      <w:r w:rsidR="00C12EFE">
        <w:rPr>
          <w:rFonts w:ascii="Times New Roman" w:hAnsi="Times New Roman" w:cs="Times New Roman"/>
        </w:rPr>
        <w:t>;</w:t>
      </w:r>
      <w:r w:rsidRPr="00304F2D">
        <w:rPr>
          <w:rFonts w:ascii="Times New Roman" w:hAnsi="Times New Roman" w:cs="Times New Roman"/>
        </w:rPr>
        <w:t xml:space="preserve"> infrequent donors comprise the largest proportion of donor bases supporting H3.</w:t>
      </w:r>
    </w:p>
    <w:p w14:paraId="7FCDB60F" w14:textId="299BB3BB" w:rsidR="004D7056" w:rsidRPr="00304F2D" w:rsidRDefault="00AC0BE1" w:rsidP="00616B4E">
      <w:pPr>
        <w:spacing w:line="480" w:lineRule="auto"/>
        <w:ind w:firstLine="720"/>
        <w:rPr>
          <w:rFonts w:ascii="Times New Roman" w:hAnsi="Times New Roman" w:cs="Times New Roman"/>
        </w:rPr>
      </w:pPr>
      <w:r w:rsidRPr="00304F2D">
        <w:rPr>
          <w:rFonts w:ascii="Times New Roman" w:hAnsi="Times New Roman" w:cs="Times New Roman"/>
        </w:rPr>
        <w:t xml:space="preserve">To </w:t>
      </w:r>
      <w:r w:rsidR="00DB265C" w:rsidRPr="00304F2D">
        <w:rPr>
          <w:rFonts w:ascii="Times New Roman" w:hAnsi="Times New Roman" w:cs="Times New Roman"/>
        </w:rPr>
        <w:t>examine</w:t>
      </w:r>
      <w:r w:rsidRPr="00304F2D">
        <w:rPr>
          <w:rFonts w:ascii="Times New Roman" w:hAnsi="Times New Roman" w:cs="Times New Roman"/>
        </w:rPr>
        <w:t xml:space="preserve"> the stability of more frequent donors over time</w:t>
      </w:r>
      <w:r w:rsidR="003D1C98" w:rsidRPr="00304F2D">
        <w:rPr>
          <w:rFonts w:ascii="Times New Roman" w:hAnsi="Times New Roman" w:cs="Times New Roman"/>
        </w:rPr>
        <w:t xml:space="preserve"> (H4</w:t>
      </w:r>
      <w:r w:rsidR="00DB265C" w:rsidRPr="00304F2D">
        <w:rPr>
          <w:rFonts w:ascii="Times New Roman" w:hAnsi="Times New Roman" w:cs="Times New Roman"/>
        </w:rPr>
        <w:t>)</w:t>
      </w:r>
      <w:r w:rsidRPr="00304F2D">
        <w:rPr>
          <w:rFonts w:ascii="Times New Roman" w:hAnsi="Times New Roman" w:cs="Times New Roman"/>
        </w:rPr>
        <w:t xml:space="preserve">, we </w:t>
      </w:r>
      <w:r w:rsidR="00475BC8" w:rsidRPr="00304F2D">
        <w:rPr>
          <w:rFonts w:ascii="Times New Roman" w:hAnsi="Times New Roman" w:cs="Times New Roman"/>
        </w:rPr>
        <w:t>identified more frequent donors</w:t>
      </w:r>
      <w:r w:rsidR="00731668" w:rsidRPr="00304F2D">
        <w:rPr>
          <w:rFonts w:ascii="Times New Roman" w:hAnsi="Times New Roman" w:cs="Times New Roman"/>
        </w:rPr>
        <w:t xml:space="preserve"> in one year (3+ for money and whole </w:t>
      </w:r>
      <w:r w:rsidR="00D04712">
        <w:rPr>
          <w:rFonts w:ascii="Times New Roman" w:hAnsi="Times New Roman" w:cs="Times New Roman"/>
        </w:rPr>
        <w:t>b</w:t>
      </w:r>
      <w:r w:rsidR="00731668" w:rsidRPr="00304F2D">
        <w:rPr>
          <w:rFonts w:ascii="Times New Roman" w:hAnsi="Times New Roman" w:cs="Times New Roman"/>
        </w:rPr>
        <w:t>lood, 8+ for p</w:t>
      </w:r>
      <w:r w:rsidR="00475BC8" w:rsidRPr="00304F2D">
        <w:rPr>
          <w:rFonts w:ascii="Times New Roman" w:hAnsi="Times New Roman" w:cs="Times New Roman"/>
        </w:rPr>
        <w:t xml:space="preserve">lasma), and then </w:t>
      </w:r>
      <w:r w:rsidR="00576B96" w:rsidRPr="00304F2D">
        <w:rPr>
          <w:rFonts w:ascii="Times New Roman" w:hAnsi="Times New Roman" w:cs="Times New Roman"/>
        </w:rPr>
        <w:t>identified the propor</w:t>
      </w:r>
      <w:r w:rsidR="00371997" w:rsidRPr="00304F2D">
        <w:rPr>
          <w:rFonts w:ascii="Times New Roman" w:hAnsi="Times New Roman" w:cs="Times New Roman"/>
        </w:rPr>
        <w:t>tion of the</w:t>
      </w:r>
      <w:r w:rsidR="00576B96" w:rsidRPr="00304F2D">
        <w:rPr>
          <w:rFonts w:ascii="Times New Roman" w:hAnsi="Times New Roman" w:cs="Times New Roman"/>
        </w:rPr>
        <w:t xml:space="preserve"> </w:t>
      </w:r>
      <w:r w:rsidR="00DB265C" w:rsidRPr="00304F2D">
        <w:rPr>
          <w:rFonts w:ascii="Times New Roman" w:hAnsi="Times New Roman" w:cs="Times New Roman"/>
        </w:rPr>
        <w:t xml:space="preserve">sub-group </w:t>
      </w:r>
      <w:r w:rsidR="00576B96" w:rsidRPr="00304F2D">
        <w:rPr>
          <w:rFonts w:ascii="Times New Roman" w:hAnsi="Times New Roman" w:cs="Times New Roman"/>
        </w:rPr>
        <w:t>that continued to donate at th</w:t>
      </w:r>
      <w:r w:rsidR="003D1C98" w:rsidRPr="00304F2D">
        <w:rPr>
          <w:rFonts w:ascii="Times New Roman" w:hAnsi="Times New Roman" w:cs="Times New Roman"/>
        </w:rPr>
        <w:t xml:space="preserve">e same level in the next year. </w:t>
      </w:r>
      <w:r w:rsidR="00017A6C" w:rsidRPr="00304F2D">
        <w:rPr>
          <w:rFonts w:ascii="Times New Roman" w:hAnsi="Times New Roman" w:cs="Times New Roman"/>
        </w:rPr>
        <w:t>For example</w:t>
      </w:r>
      <w:r w:rsidR="00CE6CB8" w:rsidRPr="00304F2D">
        <w:rPr>
          <w:rFonts w:ascii="Times New Roman" w:hAnsi="Times New Roman" w:cs="Times New Roman"/>
        </w:rPr>
        <w:t xml:space="preserve"> the first column of Table 4</w:t>
      </w:r>
      <w:r w:rsidR="00DB265C" w:rsidRPr="00304F2D">
        <w:rPr>
          <w:rFonts w:ascii="Times New Roman" w:hAnsi="Times New Roman" w:cs="Times New Roman"/>
        </w:rPr>
        <w:t xml:space="preserve"> reveals that 8% donated money</w:t>
      </w:r>
      <w:r w:rsidR="00017A6C" w:rsidRPr="00304F2D">
        <w:rPr>
          <w:rFonts w:ascii="Times New Roman" w:hAnsi="Times New Roman" w:cs="Times New Roman"/>
        </w:rPr>
        <w:t xml:space="preserve"> 3+ times in 2007-2008 year and </w:t>
      </w:r>
      <w:r w:rsidR="00DB265C" w:rsidRPr="00304F2D">
        <w:rPr>
          <w:rFonts w:ascii="Times New Roman" w:hAnsi="Times New Roman" w:cs="Times New Roman"/>
        </w:rPr>
        <w:t>(</w:t>
      </w:r>
      <w:r w:rsidR="00017A6C" w:rsidRPr="00304F2D">
        <w:rPr>
          <w:rFonts w:ascii="Times New Roman" w:hAnsi="Times New Roman" w:cs="Times New Roman"/>
        </w:rPr>
        <w:t>of that 8%</w:t>
      </w:r>
      <w:r w:rsidR="00DB265C" w:rsidRPr="00304F2D">
        <w:rPr>
          <w:rFonts w:ascii="Times New Roman" w:hAnsi="Times New Roman" w:cs="Times New Roman"/>
        </w:rPr>
        <w:t>)</w:t>
      </w:r>
      <w:r w:rsidR="00017A6C" w:rsidRPr="00304F2D">
        <w:rPr>
          <w:rFonts w:ascii="Times New Roman" w:hAnsi="Times New Roman" w:cs="Times New Roman"/>
        </w:rPr>
        <w:t>, 37% continued to donate 3+ times in the subsequent year.</w:t>
      </w:r>
    </w:p>
    <w:p w14:paraId="3192E36A" w14:textId="554AD0E5" w:rsidR="00B07C96" w:rsidRPr="00304F2D" w:rsidRDefault="00017A6C" w:rsidP="00616B4E">
      <w:pPr>
        <w:spacing w:line="480" w:lineRule="auto"/>
        <w:ind w:firstLine="720"/>
        <w:rPr>
          <w:rFonts w:ascii="Times New Roman" w:hAnsi="Times New Roman" w:cs="Times New Roman"/>
        </w:rPr>
      </w:pPr>
      <w:r w:rsidRPr="00304F2D">
        <w:rPr>
          <w:rFonts w:ascii="Times New Roman" w:hAnsi="Times New Roman" w:cs="Times New Roman"/>
        </w:rPr>
        <w:lastRenderedPageBreak/>
        <w:t xml:space="preserve">That means 63% donated less frequently (twice, once or not at all).  </w:t>
      </w:r>
      <w:r w:rsidR="00135F43" w:rsidRPr="00304F2D">
        <w:rPr>
          <w:rFonts w:ascii="Times New Roman" w:hAnsi="Times New Roman" w:cs="Times New Roman"/>
        </w:rPr>
        <w:t>Overall, we see that frequent donors are not consistent i</w:t>
      </w:r>
      <w:r w:rsidR="003D1C98" w:rsidRPr="00304F2D">
        <w:rPr>
          <w:rFonts w:ascii="Times New Roman" w:hAnsi="Times New Roman" w:cs="Times New Roman"/>
        </w:rPr>
        <w:t xml:space="preserve">n their </w:t>
      </w:r>
      <w:proofErr w:type="spellStart"/>
      <w:r w:rsidR="003D1C98" w:rsidRPr="00304F2D">
        <w:rPr>
          <w:rFonts w:ascii="Times New Roman" w:hAnsi="Times New Roman" w:cs="Times New Roman"/>
        </w:rPr>
        <w:t>behaviour</w:t>
      </w:r>
      <w:proofErr w:type="spellEnd"/>
      <w:r w:rsidR="003D1C98" w:rsidRPr="00304F2D">
        <w:rPr>
          <w:rFonts w:ascii="Times New Roman" w:hAnsi="Times New Roman" w:cs="Times New Roman"/>
        </w:rPr>
        <w:t xml:space="preserve"> year-on-year. </w:t>
      </w:r>
      <w:r w:rsidR="006D067C" w:rsidRPr="00304F2D">
        <w:rPr>
          <w:rFonts w:ascii="Times New Roman" w:hAnsi="Times New Roman" w:cs="Times New Roman"/>
        </w:rPr>
        <w:t xml:space="preserve">The results show 37% stability for </w:t>
      </w:r>
      <w:r w:rsidR="00A31F38" w:rsidRPr="00304F2D">
        <w:rPr>
          <w:rFonts w:ascii="Times New Roman" w:hAnsi="Times New Roman" w:cs="Times New Roman"/>
        </w:rPr>
        <w:t>m</w:t>
      </w:r>
      <w:r w:rsidR="006D067C" w:rsidRPr="00304F2D">
        <w:rPr>
          <w:rFonts w:ascii="Times New Roman" w:hAnsi="Times New Roman" w:cs="Times New Roman"/>
        </w:rPr>
        <w:t>oney, 51% stability for blood and 62% stability for plasma</w:t>
      </w:r>
      <w:r w:rsidR="00775AF7" w:rsidRPr="00304F2D">
        <w:rPr>
          <w:rFonts w:ascii="Times New Roman" w:hAnsi="Times New Roman" w:cs="Times New Roman"/>
        </w:rPr>
        <w:t xml:space="preserve"> with very little variation ac</w:t>
      </w:r>
      <w:r w:rsidR="00DB265C" w:rsidRPr="00304F2D">
        <w:rPr>
          <w:rFonts w:ascii="Times New Roman" w:hAnsi="Times New Roman" w:cs="Times New Roman"/>
        </w:rPr>
        <w:t>ro</w:t>
      </w:r>
      <w:r w:rsidR="00775AF7" w:rsidRPr="00304F2D">
        <w:rPr>
          <w:rFonts w:ascii="Times New Roman" w:hAnsi="Times New Roman" w:cs="Times New Roman"/>
        </w:rPr>
        <w:t>s</w:t>
      </w:r>
      <w:r w:rsidR="00DB265C" w:rsidRPr="00304F2D">
        <w:rPr>
          <w:rFonts w:ascii="Times New Roman" w:hAnsi="Times New Roman" w:cs="Times New Roman"/>
        </w:rPr>
        <w:t>s the years</w:t>
      </w:r>
      <w:r w:rsidR="003D1C98" w:rsidRPr="00304F2D">
        <w:rPr>
          <w:rFonts w:ascii="Times New Roman" w:hAnsi="Times New Roman" w:cs="Times New Roman"/>
        </w:rPr>
        <w:t xml:space="preserve">. </w:t>
      </w:r>
      <w:r w:rsidR="00B07C96" w:rsidRPr="00304F2D">
        <w:rPr>
          <w:rFonts w:ascii="Times New Roman" w:hAnsi="Times New Roman" w:cs="Times New Roman"/>
        </w:rPr>
        <w:t>Hypothesis four</w:t>
      </w:r>
      <w:r w:rsidR="00135F43" w:rsidRPr="00304F2D">
        <w:rPr>
          <w:rFonts w:ascii="Times New Roman" w:hAnsi="Times New Roman" w:cs="Times New Roman"/>
        </w:rPr>
        <w:t xml:space="preserve"> is not supported for donors of money or blood as greater instability is shown for the cohort of monetary donors and whole blood donor stability is around the same as buyers of consumer packaged goods. </w:t>
      </w:r>
    </w:p>
    <w:p w14:paraId="7802527D" w14:textId="6B2B3990" w:rsidR="004D7056" w:rsidRPr="00304F2D" w:rsidRDefault="000152CC" w:rsidP="00616B4E">
      <w:pPr>
        <w:spacing w:line="480" w:lineRule="auto"/>
        <w:ind w:firstLine="720"/>
        <w:rPr>
          <w:rFonts w:ascii="Times New Roman" w:hAnsi="Times New Roman" w:cs="Times New Roman"/>
        </w:rPr>
      </w:pPr>
      <w:r w:rsidRPr="00304F2D">
        <w:rPr>
          <w:rFonts w:ascii="Times New Roman" w:hAnsi="Times New Roman" w:cs="Times New Roman"/>
        </w:rPr>
        <w:t>Table 4</w:t>
      </w:r>
      <w:r w:rsidR="00C613AD" w:rsidRPr="00304F2D">
        <w:rPr>
          <w:rFonts w:ascii="Times New Roman" w:hAnsi="Times New Roman" w:cs="Times New Roman"/>
        </w:rPr>
        <w:t xml:space="preserve"> shows that plasma donors display greater stability of frequent donors </w:t>
      </w:r>
      <w:r w:rsidR="00A27770" w:rsidRPr="00304F2D">
        <w:rPr>
          <w:rFonts w:ascii="Times New Roman" w:hAnsi="Times New Roman" w:cs="Times New Roman"/>
        </w:rPr>
        <w:t>and Table</w:t>
      </w:r>
      <w:r w:rsidRPr="00304F2D">
        <w:rPr>
          <w:rFonts w:ascii="Times New Roman" w:hAnsi="Times New Roman" w:cs="Times New Roman"/>
        </w:rPr>
        <w:t xml:space="preserve"> 3</w:t>
      </w:r>
      <w:r w:rsidR="00A27770" w:rsidRPr="00304F2D">
        <w:rPr>
          <w:rFonts w:ascii="Times New Roman" w:hAnsi="Times New Roman" w:cs="Times New Roman"/>
        </w:rPr>
        <w:t xml:space="preserve"> </w:t>
      </w:r>
      <w:r w:rsidR="00A31F38" w:rsidRPr="00304F2D">
        <w:rPr>
          <w:rFonts w:ascii="Times New Roman" w:hAnsi="Times New Roman" w:cs="Times New Roman"/>
        </w:rPr>
        <w:t xml:space="preserve">shows </w:t>
      </w:r>
      <w:r w:rsidR="00A27770" w:rsidRPr="00304F2D">
        <w:rPr>
          <w:rFonts w:ascii="Times New Roman" w:hAnsi="Times New Roman" w:cs="Times New Roman"/>
        </w:rPr>
        <w:t xml:space="preserve">that the proportion of once-only donors is lowest for </w:t>
      </w:r>
      <w:r w:rsidR="00371997" w:rsidRPr="00304F2D">
        <w:rPr>
          <w:rFonts w:ascii="Times New Roman" w:hAnsi="Times New Roman" w:cs="Times New Roman"/>
        </w:rPr>
        <w:t xml:space="preserve">existing </w:t>
      </w:r>
      <w:r w:rsidR="00A27770" w:rsidRPr="00304F2D">
        <w:rPr>
          <w:rFonts w:ascii="Times New Roman" w:hAnsi="Times New Roman" w:cs="Times New Roman"/>
        </w:rPr>
        <w:t xml:space="preserve">plasma </w:t>
      </w:r>
      <w:r w:rsidR="00371997" w:rsidRPr="00304F2D">
        <w:rPr>
          <w:rFonts w:ascii="Times New Roman" w:hAnsi="Times New Roman" w:cs="Times New Roman"/>
        </w:rPr>
        <w:t>donors (27</w:t>
      </w:r>
      <w:r w:rsidR="00A27770" w:rsidRPr="00304F2D">
        <w:rPr>
          <w:rFonts w:ascii="Times New Roman" w:hAnsi="Times New Roman" w:cs="Times New Roman"/>
        </w:rPr>
        <w:t>%)</w:t>
      </w:r>
      <w:r w:rsidR="00371997" w:rsidRPr="00304F2D">
        <w:rPr>
          <w:rFonts w:ascii="Times New Roman" w:hAnsi="Times New Roman" w:cs="Times New Roman"/>
        </w:rPr>
        <w:t xml:space="preserve">, </w:t>
      </w:r>
      <w:r w:rsidR="00A27770" w:rsidRPr="00304F2D">
        <w:rPr>
          <w:rFonts w:ascii="Times New Roman" w:hAnsi="Times New Roman" w:cs="Times New Roman"/>
        </w:rPr>
        <w:t>compare</w:t>
      </w:r>
      <w:r w:rsidR="00371997" w:rsidRPr="00304F2D">
        <w:rPr>
          <w:rFonts w:ascii="Times New Roman" w:hAnsi="Times New Roman" w:cs="Times New Roman"/>
        </w:rPr>
        <w:t>d</w:t>
      </w:r>
      <w:r w:rsidR="00A27770" w:rsidRPr="00304F2D">
        <w:rPr>
          <w:rFonts w:ascii="Times New Roman" w:hAnsi="Times New Roman" w:cs="Times New Roman"/>
        </w:rPr>
        <w:t xml:space="preserve"> </w:t>
      </w:r>
      <w:r w:rsidR="00185767" w:rsidRPr="00304F2D">
        <w:rPr>
          <w:rFonts w:ascii="Times New Roman" w:hAnsi="Times New Roman" w:cs="Times New Roman"/>
        </w:rPr>
        <w:t>with</w:t>
      </w:r>
      <w:r w:rsidR="00371997" w:rsidRPr="00304F2D">
        <w:rPr>
          <w:rFonts w:ascii="Times New Roman" w:hAnsi="Times New Roman" w:cs="Times New Roman"/>
        </w:rPr>
        <w:t xml:space="preserve"> 42</w:t>
      </w:r>
      <w:r w:rsidR="004043B0" w:rsidRPr="00304F2D">
        <w:rPr>
          <w:rFonts w:ascii="Times New Roman" w:hAnsi="Times New Roman" w:cs="Times New Roman"/>
        </w:rPr>
        <w:t xml:space="preserve">% for </w:t>
      </w:r>
      <w:r w:rsidR="00371997" w:rsidRPr="00304F2D">
        <w:rPr>
          <w:rFonts w:ascii="Times New Roman" w:hAnsi="Times New Roman" w:cs="Times New Roman"/>
        </w:rPr>
        <w:t xml:space="preserve">existing </w:t>
      </w:r>
      <w:r w:rsidR="004043B0" w:rsidRPr="00304F2D">
        <w:rPr>
          <w:rFonts w:ascii="Times New Roman" w:hAnsi="Times New Roman" w:cs="Times New Roman"/>
        </w:rPr>
        <w:t>whole blood donors</w:t>
      </w:r>
      <w:r w:rsidR="00A31F38" w:rsidRPr="00304F2D">
        <w:rPr>
          <w:rFonts w:ascii="Times New Roman" w:hAnsi="Times New Roman" w:cs="Times New Roman"/>
        </w:rPr>
        <w:t xml:space="preserve"> (Table 2)</w:t>
      </w:r>
      <w:r w:rsidR="004043B0" w:rsidRPr="00304F2D">
        <w:rPr>
          <w:rFonts w:ascii="Times New Roman" w:hAnsi="Times New Roman" w:cs="Times New Roman"/>
        </w:rPr>
        <w:t xml:space="preserve">.  </w:t>
      </w:r>
    </w:p>
    <w:p w14:paraId="4D6705B4" w14:textId="7C5FF4B3" w:rsidR="0064529E" w:rsidRPr="00304F2D" w:rsidRDefault="004043B0" w:rsidP="00616B4E">
      <w:pPr>
        <w:spacing w:line="480" w:lineRule="auto"/>
        <w:ind w:firstLine="720"/>
        <w:rPr>
          <w:rFonts w:ascii="Times New Roman" w:hAnsi="Times New Roman" w:cs="Times New Roman"/>
        </w:rPr>
      </w:pPr>
      <w:r w:rsidRPr="00304F2D">
        <w:rPr>
          <w:rFonts w:ascii="Times New Roman" w:hAnsi="Times New Roman" w:cs="Times New Roman"/>
        </w:rPr>
        <w:t>Australian p</w:t>
      </w:r>
      <w:r w:rsidR="00A27770" w:rsidRPr="00304F2D">
        <w:rPr>
          <w:rFonts w:ascii="Times New Roman" w:hAnsi="Times New Roman" w:cs="Times New Roman"/>
        </w:rPr>
        <w:t xml:space="preserve">lasma </w:t>
      </w:r>
      <w:r w:rsidR="00731668" w:rsidRPr="00304F2D">
        <w:rPr>
          <w:rFonts w:ascii="Times New Roman" w:hAnsi="Times New Roman" w:cs="Times New Roman"/>
        </w:rPr>
        <w:t xml:space="preserve">donors are recruited from whole </w:t>
      </w:r>
      <w:r w:rsidR="00A27770" w:rsidRPr="00304F2D">
        <w:rPr>
          <w:rFonts w:ascii="Times New Roman" w:hAnsi="Times New Roman" w:cs="Times New Roman"/>
        </w:rPr>
        <w:t>blood donors, i.e. they are already qualified blood donors that have agreed to undertake a more complex form of blood donation</w:t>
      </w:r>
      <w:r w:rsidR="00C013E7" w:rsidRPr="00304F2D">
        <w:rPr>
          <w:rFonts w:ascii="Times New Roman" w:hAnsi="Times New Roman" w:cs="Times New Roman"/>
        </w:rPr>
        <w:t xml:space="preserve"> </w:t>
      </w:r>
      <w:r w:rsidR="002F0751" w:rsidRPr="00304F2D">
        <w:rPr>
          <w:rFonts w:ascii="Times New Roman" w:hAnsi="Times New Roman" w:cs="Times New Roman"/>
        </w:rPr>
        <w:fldChar w:fldCharType="begin"/>
      </w:r>
      <w:r w:rsidR="002F0751" w:rsidRPr="00304F2D">
        <w:rPr>
          <w:rFonts w:ascii="Times New Roman" w:hAnsi="Times New Roman" w:cs="Times New Roman"/>
        </w:rPr>
        <w:instrText xml:space="preserve"> ADDIN EN.CITE &lt;EndNote&gt;&lt;Cite&gt;&lt;Author&gt;Bagot&lt;/Author&gt;&lt;Year&gt;2015&lt;/Year&gt;&lt;RecNum&gt;31284&lt;/RecNum&gt;&lt;DisplayText&gt;(Bagot&lt;style face="italic"&gt; et al.&lt;/style&gt;, 2015a)&lt;/DisplayText&gt;&lt;record&gt;&lt;rec-number&gt;31284&lt;/rec-number&gt;&lt;foreign-keys&gt;&lt;key app="EN" db-id="eswazv0p5wsezae2sd8pf59gf50trdav5fsw" timestamp="1460524136"&gt;31284&lt;/key&gt;&lt;/foreign-keys&gt;&lt;ref-type name="Journal Article"&gt;17&lt;/ref-type&gt;&lt;contributors&gt;&lt;authors&gt;&lt;author&gt;Bagot, Kathleen L.&lt;/author&gt;&lt;author&gt;Masser, Barbara M.&lt;/author&gt;&lt;author&gt;Starfelt, Louise C.&lt;/author&gt;&lt;author&gt;White, Katherine M.&lt;/author&gt;&lt;/authors&gt;&lt;/contributors&gt;&lt;titles&gt;&lt;title&gt;Building a flexible, voluntary donation panel: An exploration of donor willingness&lt;/title&gt;&lt;secondary-title&gt;Transfusion&lt;/secondary-title&gt;&lt;/titles&gt;&lt;periodical&gt;&lt;full-title&gt;Transfusion&lt;/full-title&gt;&lt;/periodical&gt;&lt;pages&gt;186-194&lt;/pages&gt;&lt;volume&gt;56&lt;/volume&gt;&lt;dates&gt;&lt;year&gt;2015&lt;/year&gt;&lt;/dates&gt;&lt;isbn&gt;1537-2995&lt;/isbn&gt;&lt;urls&gt;&lt;/urls&gt;&lt;electronic-resource-num&gt;doi:10.1111/trf.13278&lt;/electronic-resource-num&gt;&lt;/record&gt;&lt;/Cite&gt;&lt;/EndNote&gt;</w:instrText>
      </w:r>
      <w:r w:rsidR="002F0751" w:rsidRPr="00304F2D">
        <w:rPr>
          <w:rFonts w:ascii="Times New Roman" w:hAnsi="Times New Roman" w:cs="Times New Roman"/>
        </w:rPr>
        <w:fldChar w:fldCharType="separate"/>
      </w:r>
      <w:r w:rsidR="002F0751" w:rsidRPr="00304F2D">
        <w:rPr>
          <w:rFonts w:ascii="Times New Roman" w:hAnsi="Times New Roman" w:cs="Times New Roman"/>
          <w:noProof/>
        </w:rPr>
        <w:t>(</w:t>
      </w:r>
      <w:hyperlink w:anchor="_ENREF_11" w:tooltip="Bagot, 2015 #31284"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2015a</w:t>
        </w:r>
      </w:hyperlink>
      <w:r w:rsidR="002F0751" w:rsidRPr="00304F2D">
        <w:rPr>
          <w:rFonts w:ascii="Times New Roman" w:hAnsi="Times New Roman" w:cs="Times New Roman"/>
          <w:noProof/>
        </w:rPr>
        <w:t>)</w:t>
      </w:r>
      <w:r w:rsidR="002F0751" w:rsidRPr="00304F2D">
        <w:rPr>
          <w:rFonts w:ascii="Times New Roman" w:hAnsi="Times New Roman" w:cs="Times New Roman"/>
        </w:rPr>
        <w:fldChar w:fldCharType="end"/>
      </w:r>
      <w:r w:rsidRPr="00304F2D">
        <w:rPr>
          <w:rFonts w:ascii="Times New Roman" w:hAnsi="Times New Roman" w:cs="Times New Roman"/>
        </w:rPr>
        <w:t xml:space="preserve">. </w:t>
      </w:r>
      <w:r w:rsidR="00371997" w:rsidRPr="00304F2D">
        <w:rPr>
          <w:rFonts w:ascii="Times New Roman" w:hAnsi="Times New Roman" w:cs="Times New Roman"/>
        </w:rPr>
        <w:t>The process is the same</w:t>
      </w:r>
      <w:r w:rsidRPr="00304F2D">
        <w:rPr>
          <w:rFonts w:ascii="Times New Roman" w:hAnsi="Times New Roman" w:cs="Times New Roman"/>
        </w:rPr>
        <w:t xml:space="preserve"> for plasma donors in the Netherlands where research shows that motivational differences </w:t>
      </w:r>
      <w:r w:rsidR="00185767" w:rsidRPr="00304F2D">
        <w:rPr>
          <w:rFonts w:ascii="Times New Roman" w:hAnsi="Times New Roman" w:cs="Times New Roman"/>
        </w:rPr>
        <w:t xml:space="preserve">between plasma and whole blood donors </w:t>
      </w:r>
      <w:r w:rsidRPr="00304F2D">
        <w:rPr>
          <w:rFonts w:ascii="Times New Roman" w:hAnsi="Times New Roman" w:cs="Times New Roman"/>
        </w:rPr>
        <w:t>exist</w:t>
      </w:r>
      <w:r w:rsidR="00185767" w:rsidRPr="00304F2D">
        <w:rPr>
          <w:rFonts w:ascii="Times New Roman" w:hAnsi="Times New Roman" w:cs="Times New Roman"/>
        </w:rPr>
        <w:t>ed</w:t>
      </w:r>
      <w:r w:rsidRPr="00304F2D">
        <w:rPr>
          <w:rFonts w:ascii="Times New Roman" w:hAnsi="Times New Roman" w:cs="Times New Roman"/>
        </w:rPr>
        <w:t xml:space="preserve"> prior to giving any form of blood</w:t>
      </w:r>
      <w:r w:rsidR="003D1C98" w:rsidRPr="00304F2D">
        <w:rPr>
          <w:rFonts w:ascii="Times New Roman" w:hAnsi="Times New Roman" w:cs="Times New Roman"/>
        </w:rPr>
        <w:t xml:space="preserve">. </w:t>
      </w:r>
      <w:r w:rsidR="00482D78">
        <w:rPr>
          <w:rFonts w:ascii="Times New Roman" w:hAnsi="Times New Roman" w:cs="Times New Roman"/>
        </w:rPr>
        <w:t>Plasma donors</w:t>
      </w:r>
      <w:r w:rsidR="00183AEF" w:rsidRPr="00304F2D">
        <w:rPr>
          <w:rFonts w:ascii="Times New Roman" w:hAnsi="Times New Roman" w:cs="Times New Roman"/>
        </w:rPr>
        <w:t xml:space="preserve"> show</w:t>
      </w:r>
      <w:r w:rsidR="00185767" w:rsidRPr="00304F2D">
        <w:rPr>
          <w:rFonts w:ascii="Times New Roman" w:hAnsi="Times New Roman" w:cs="Times New Roman"/>
        </w:rPr>
        <w:t>ed</w:t>
      </w:r>
      <w:r w:rsidR="00183AEF" w:rsidRPr="00304F2D">
        <w:rPr>
          <w:rFonts w:ascii="Times New Roman" w:hAnsi="Times New Roman" w:cs="Times New Roman"/>
        </w:rPr>
        <w:t xml:space="preserve"> greater levels of self-efficacy, less anxiety towards donating blood and higher levels of conscientiousness</w:t>
      </w:r>
      <w:r w:rsidRPr="00304F2D">
        <w:rPr>
          <w:rFonts w:ascii="Times New Roman" w:hAnsi="Times New Roman" w:cs="Times New Roman"/>
        </w:rPr>
        <w:t xml:space="preserve"> </w:t>
      </w:r>
      <w:r w:rsidR="002A6F68"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&lt;EndNote&gt;&lt;Cite&gt;&lt;Author&gt;Veldhuizen&lt;/Author&gt;&lt;Year&gt;2013&lt;/Year&gt;&lt;RecNum&gt;24449&lt;/RecNum&gt;&lt;DisplayText&gt;(Veldhuizen and van Dongen, 2013)&lt;/DisplayText&gt;&lt;record&gt;&lt;rec-number&gt;24449&lt;/rec-number&gt;&lt;foreign-keys&gt;&lt;key app="EN" db-id="eswazv0p5wsezae2sd8pf59gf50trdav5fsw" timestamp="0"&gt;24449&lt;/key&gt;&lt;/foreign-keys&gt;&lt;ref-type name="Journal Article"&gt;17&lt;/ref-type&gt;&lt;contributors&gt;&lt;authors&gt;&lt;author&gt;Veldhuizen, Ingrid&lt;/author&gt;&lt;author&gt;van Dongen, Anne&lt;/author&gt;&lt;/authors&gt;&lt;/contributors&gt;&lt;titles&gt;&lt;title&gt;Motivational differences between whole blood and plasma donors already exist before their first donation experience&lt;/title&gt;&lt;secondary-title&gt;Transfusion&lt;/secondary-title&gt;&lt;/titles&gt;&lt;periodical&gt;&lt;full-title&gt;Transfusion&lt;/full-title&gt;&lt;/periodical&gt;&lt;pages&gt;1678-1686&lt;/pages&gt;&lt;volume&gt;53&lt;/volume&gt;&lt;number&gt;8&lt;/number&gt;&lt;dates&gt;&lt;year&gt;2013&lt;/year&gt;&lt;/dates&gt;&lt;publisher&gt;Wiley Online Library&lt;/publisher&gt;&lt;isbn&gt;1537-2995&lt;/isbn&gt;&lt;urls&gt;&lt;/urls&gt;&lt;/record&gt;&lt;/Cite&gt;&lt;/EndNote&gt;</w:instrText>
      </w:r>
      <w:r w:rsidR="002A6F68" w:rsidRPr="00304F2D">
        <w:rPr>
          <w:rFonts w:ascii="Times New Roman" w:hAnsi="Times New Roman" w:cs="Times New Roman"/>
        </w:rPr>
        <w:fldChar w:fldCharType="separate"/>
      </w:r>
      <w:r w:rsidR="002A6F68" w:rsidRPr="00304F2D">
        <w:rPr>
          <w:rFonts w:ascii="Times New Roman" w:hAnsi="Times New Roman" w:cs="Times New Roman"/>
          <w:noProof/>
        </w:rPr>
        <w:t>(</w:t>
      </w:r>
      <w:hyperlink w:anchor="_ENREF_63" w:tooltip="Veldhuizen, 2013 #24449" w:history="1">
        <w:r w:rsidR="00DA6B8D" w:rsidRPr="00304F2D">
          <w:rPr>
            <w:rFonts w:ascii="Times New Roman" w:hAnsi="Times New Roman" w:cs="Times New Roman"/>
            <w:noProof/>
          </w:rPr>
          <w:t>Veldhuizen and van Dongen, 2013</w:t>
        </w:r>
      </w:hyperlink>
      <w:r w:rsidR="002A6F68" w:rsidRPr="00304F2D">
        <w:rPr>
          <w:rFonts w:ascii="Times New Roman" w:hAnsi="Times New Roman" w:cs="Times New Roman"/>
          <w:noProof/>
        </w:rPr>
        <w:t>)</w:t>
      </w:r>
      <w:r w:rsidR="002A6F68" w:rsidRPr="00304F2D">
        <w:rPr>
          <w:rFonts w:ascii="Times New Roman" w:hAnsi="Times New Roman" w:cs="Times New Roman"/>
        </w:rPr>
        <w:fldChar w:fldCharType="end"/>
      </w:r>
      <w:r w:rsidR="003D1C98" w:rsidRPr="00304F2D">
        <w:rPr>
          <w:rFonts w:ascii="Times New Roman" w:hAnsi="Times New Roman" w:cs="Times New Roman"/>
        </w:rPr>
        <w:t xml:space="preserve">. </w:t>
      </w:r>
      <w:r w:rsidR="00183AEF" w:rsidRPr="00304F2D">
        <w:rPr>
          <w:rFonts w:ascii="Times New Roman" w:hAnsi="Times New Roman" w:cs="Times New Roman"/>
        </w:rPr>
        <w:t xml:space="preserve">The </w:t>
      </w:r>
      <w:r w:rsidR="000152CC" w:rsidRPr="00304F2D">
        <w:rPr>
          <w:rFonts w:ascii="Times New Roman" w:hAnsi="Times New Roman" w:cs="Times New Roman"/>
        </w:rPr>
        <w:t>greater stability of frequent plasma donors</w:t>
      </w:r>
      <w:r w:rsidR="00183AEF" w:rsidRPr="00304F2D">
        <w:rPr>
          <w:rFonts w:ascii="Times New Roman" w:hAnsi="Times New Roman" w:cs="Times New Roman"/>
        </w:rPr>
        <w:t xml:space="preserve"> </w:t>
      </w:r>
      <w:r w:rsidR="00B07C96" w:rsidRPr="00304F2D">
        <w:rPr>
          <w:rFonts w:ascii="Times New Roman" w:hAnsi="Times New Roman" w:cs="Times New Roman"/>
        </w:rPr>
        <w:t xml:space="preserve">compared to whole blood donors </w:t>
      </w:r>
      <w:r w:rsidR="00183AEF" w:rsidRPr="00304F2D">
        <w:rPr>
          <w:rFonts w:ascii="Times New Roman" w:hAnsi="Times New Roman" w:cs="Times New Roman"/>
        </w:rPr>
        <w:t>suggest</w:t>
      </w:r>
      <w:r w:rsidR="000152CC" w:rsidRPr="00304F2D">
        <w:rPr>
          <w:rFonts w:ascii="Times New Roman" w:hAnsi="Times New Roman" w:cs="Times New Roman"/>
        </w:rPr>
        <w:t>s</w:t>
      </w:r>
      <w:r w:rsidR="00183AEF" w:rsidRPr="00304F2D">
        <w:rPr>
          <w:rFonts w:ascii="Times New Roman" w:hAnsi="Times New Roman" w:cs="Times New Roman"/>
        </w:rPr>
        <w:t xml:space="preserve"> that the </w:t>
      </w:r>
      <w:r w:rsidR="00D95D79" w:rsidRPr="00304F2D">
        <w:rPr>
          <w:rFonts w:ascii="Times New Roman" w:hAnsi="Times New Roman" w:cs="Times New Roman"/>
        </w:rPr>
        <w:t>Blood Service</w:t>
      </w:r>
      <w:r w:rsidR="00183AEF" w:rsidRPr="00304F2D">
        <w:rPr>
          <w:rFonts w:ascii="Times New Roman" w:hAnsi="Times New Roman" w:cs="Times New Roman"/>
        </w:rPr>
        <w:t xml:space="preserve"> has developed skills to identify </w:t>
      </w:r>
      <w:r w:rsidR="00051FF5" w:rsidRPr="00304F2D">
        <w:rPr>
          <w:rFonts w:ascii="Times New Roman" w:hAnsi="Times New Roman" w:cs="Times New Roman"/>
        </w:rPr>
        <w:t xml:space="preserve">high-retention </w:t>
      </w:r>
      <w:r w:rsidR="00183AEF" w:rsidRPr="00304F2D">
        <w:rPr>
          <w:rFonts w:ascii="Times New Roman" w:hAnsi="Times New Roman" w:cs="Times New Roman"/>
        </w:rPr>
        <w:t xml:space="preserve">donors </w:t>
      </w:r>
      <w:r w:rsidR="00D37176" w:rsidRPr="00304F2D">
        <w:rPr>
          <w:rFonts w:ascii="Times New Roman" w:hAnsi="Times New Roman" w:cs="Times New Roman"/>
        </w:rPr>
        <w:t xml:space="preserve">when inviting donors </w:t>
      </w:r>
      <w:r w:rsidR="00183AEF" w:rsidRPr="00304F2D">
        <w:rPr>
          <w:rFonts w:ascii="Times New Roman" w:hAnsi="Times New Roman" w:cs="Times New Roman"/>
        </w:rPr>
        <w:t>to join the plasma blood panel</w:t>
      </w:r>
      <w:r w:rsidRPr="00304F2D">
        <w:rPr>
          <w:rFonts w:ascii="Times New Roman" w:hAnsi="Times New Roman" w:cs="Times New Roman"/>
        </w:rPr>
        <w:t>.</w:t>
      </w:r>
      <w:r w:rsidR="00D37176" w:rsidRPr="00304F2D">
        <w:rPr>
          <w:rFonts w:ascii="Times New Roman" w:hAnsi="Times New Roman" w:cs="Times New Roman"/>
        </w:rPr>
        <w:t xml:space="preserve"> </w:t>
      </w:r>
    </w:p>
    <w:p w14:paraId="1E8088F8" w14:textId="77777777" w:rsidR="006E55DE" w:rsidRPr="00304F2D" w:rsidRDefault="006E55DE" w:rsidP="006E55DE">
      <w:pPr>
        <w:rPr>
          <w:rFonts w:ascii="Times New Roman" w:hAnsi="Times New Roman" w:cs="Times New Roman"/>
          <w:b/>
          <w:bCs/>
          <w:color w:val="000000" w:themeColor="text1"/>
          <w:szCs w:val="18"/>
        </w:rPr>
      </w:pPr>
    </w:p>
    <w:p w14:paraId="44135BFA" w14:textId="108C76AE" w:rsidR="006E55DE" w:rsidRPr="00304F2D" w:rsidRDefault="006E55DE" w:rsidP="00B07C96">
      <w:pPr>
        <w:pStyle w:val="Caption"/>
        <w:spacing w:after="0"/>
        <w:rPr>
          <w:rFonts w:ascii="Times New Roman" w:hAnsi="Times New Roman" w:cs="Times New Roman"/>
          <w:color w:val="000000" w:themeColor="text1"/>
          <w:sz w:val="24"/>
        </w:rPr>
      </w:pPr>
      <w:r w:rsidRPr="00304F2D">
        <w:rPr>
          <w:rFonts w:ascii="Times New Roman" w:hAnsi="Times New Roman" w:cs="Times New Roman"/>
          <w:color w:val="000000" w:themeColor="text1"/>
          <w:sz w:val="24"/>
        </w:rPr>
        <w:t>Table</w:t>
      </w:r>
      <w:r w:rsidR="00CE6CB8" w:rsidRPr="00304F2D">
        <w:rPr>
          <w:rFonts w:ascii="Times New Roman" w:hAnsi="Times New Roman" w:cs="Times New Roman"/>
          <w:color w:val="000000" w:themeColor="text1"/>
          <w:sz w:val="24"/>
        </w:rPr>
        <w:t xml:space="preserve"> 4</w:t>
      </w:r>
      <w:r w:rsidRPr="00304F2D">
        <w:rPr>
          <w:rFonts w:ascii="Times New Roman" w:hAnsi="Times New Roman" w:cs="Times New Roman"/>
          <w:color w:val="000000" w:themeColor="text1"/>
          <w:sz w:val="24"/>
        </w:rPr>
        <w:t>: Cohort stability of charity, whole blood and plasma donors</w:t>
      </w:r>
    </w:p>
    <w:p w14:paraId="35BC540C" w14:textId="77777777" w:rsidR="006E55DE" w:rsidRPr="00304F2D" w:rsidRDefault="006E55DE" w:rsidP="00B07C96">
      <w:pPr>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89"/>
        <w:gridCol w:w="1192"/>
        <w:gridCol w:w="1192"/>
        <w:gridCol w:w="1190"/>
        <w:gridCol w:w="1192"/>
        <w:gridCol w:w="1190"/>
      </w:tblGrid>
      <w:tr w:rsidR="006E55DE" w:rsidRPr="00304F2D" w14:paraId="1B575212" w14:textId="77777777" w:rsidTr="006E55DE">
        <w:tc>
          <w:tcPr>
            <w:tcW w:w="1133" w:type="pct"/>
            <w:tcBorders>
              <w:top w:val="single" w:sz="4" w:space="0" w:color="auto"/>
            </w:tcBorders>
          </w:tcPr>
          <w:p w14:paraId="14F11C1D" w14:textId="77777777" w:rsidR="006E55DE" w:rsidRPr="00304F2D" w:rsidRDefault="006E55DE" w:rsidP="00B07C96">
            <w:pPr>
              <w:rPr>
                <w:rFonts w:ascii="Times New Roman" w:eastAsia="Times New Roman" w:hAnsi="Times New Roman" w:cs="Times New Roman"/>
                <w:color w:val="000000"/>
              </w:rPr>
            </w:pPr>
          </w:p>
        </w:tc>
        <w:tc>
          <w:tcPr>
            <w:tcW w:w="1289" w:type="pct"/>
            <w:gridSpan w:val="2"/>
            <w:tcBorders>
              <w:top w:val="single" w:sz="4" w:space="0" w:color="auto"/>
            </w:tcBorders>
          </w:tcPr>
          <w:p w14:paraId="00D05084" w14:textId="77777777" w:rsidR="006E55DE" w:rsidRPr="00304F2D" w:rsidRDefault="006E55DE" w:rsidP="00B07C96">
            <w:pPr>
              <w:jc w:val="center"/>
              <w:rPr>
                <w:rFonts w:ascii="Times New Roman" w:eastAsia="Times New Roman" w:hAnsi="Times New Roman" w:cs="Times New Roman"/>
                <w:b/>
              </w:rPr>
            </w:pPr>
            <w:r w:rsidRPr="00304F2D">
              <w:rPr>
                <w:rFonts w:ascii="Times New Roman" w:eastAsia="Times New Roman" w:hAnsi="Times New Roman" w:cs="Times New Roman"/>
                <w:b/>
              </w:rPr>
              <w:t>Money</w:t>
            </w:r>
          </w:p>
          <w:p w14:paraId="52AD9279" w14:textId="17C73783"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 xml:space="preserve">3+ </w:t>
            </w:r>
            <w:r w:rsidR="00775AF7" w:rsidRPr="00304F2D">
              <w:rPr>
                <w:rFonts w:ascii="Times New Roman" w:eastAsia="Times New Roman" w:hAnsi="Times New Roman" w:cs="Times New Roman"/>
                <w:b/>
                <w:color w:val="000000"/>
              </w:rPr>
              <w:t>times supporters</w:t>
            </w:r>
          </w:p>
        </w:tc>
        <w:tc>
          <w:tcPr>
            <w:tcW w:w="1289" w:type="pct"/>
            <w:gridSpan w:val="2"/>
            <w:tcBorders>
              <w:top w:val="single" w:sz="4" w:space="0" w:color="auto"/>
            </w:tcBorders>
          </w:tcPr>
          <w:p w14:paraId="67D9007A"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Whole blood</w:t>
            </w:r>
          </w:p>
          <w:p w14:paraId="0AF4296E"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3+ times donors</w:t>
            </w:r>
          </w:p>
        </w:tc>
        <w:tc>
          <w:tcPr>
            <w:tcW w:w="1289" w:type="pct"/>
            <w:gridSpan w:val="2"/>
            <w:tcBorders>
              <w:top w:val="single" w:sz="4" w:space="0" w:color="auto"/>
            </w:tcBorders>
          </w:tcPr>
          <w:p w14:paraId="53E62405"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Plasma</w:t>
            </w:r>
          </w:p>
          <w:p w14:paraId="3F00C376"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8+ times donors</w:t>
            </w:r>
          </w:p>
        </w:tc>
      </w:tr>
      <w:tr w:rsidR="006E55DE" w:rsidRPr="00304F2D" w14:paraId="000690F6" w14:textId="77777777" w:rsidTr="006E55DE">
        <w:tc>
          <w:tcPr>
            <w:tcW w:w="1133" w:type="pct"/>
            <w:tcBorders>
              <w:top w:val="single" w:sz="4" w:space="0" w:color="auto"/>
            </w:tcBorders>
          </w:tcPr>
          <w:p w14:paraId="7FF44BF6" w14:textId="77777777" w:rsidR="006E55DE" w:rsidRPr="00304F2D" w:rsidRDefault="006E55DE" w:rsidP="00B07C96">
            <w:pPr>
              <w:rPr>
                <w:rFonts w:ascii="Times New Roman" w:hAnsi="Times New Roman" w:cs="Times New Roman"/>
              </w:rPr>
            </w:pPr>
          </w:p>
        </w:tc>
        <w:tc>
          <w:tcPr>
            <w:tcW w:w="644" w:type="pct"/>
            <w:tcBorders>
              <w:top w:val="single" w:sz="4" w:space="0" w:color="auto"/>
            </w:tcBorders>
          </w:tcPr>
          <w:p w14:paraId="5A130AE3"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Donors in T1 %</w:t>
            </w:r>
          </w:p>
        </w:tc>
        <w:tc>
          <w:tcPr>
            <w:tcW w:w="645" w:type="pct"/>
            <w:tcBorders>
              <w:top w:val="single" w:sz="4" w:space="0" w:color="auto"/>
            </w:tcBorders>
          </w:tcPr>
          <w:p w14:paraId="27957D4F"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T1 that remain at T2 %</w:t>
            </w:r>
          </w:p>
        </w:tc>
        <w:tc>
          <w:tcPr>
            <w:tcW w:w="645" w:type="pct"/>
            <w:tcBorders>
              <w:top w:val="single" w:sz="4" w:space="0" w:color="auto"/>
            </w:tcBorders>
          </w:tcPr>
          <w:p w14:paraId="2CF5072F"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Donors in T1 %</w:t>
            </w:r>
          </w:p>
        </w:tc>
        <w:tc>
          <w:tcPr>
            <w:tcW w:w="644" w:type="pct"/>
            <w:tcBorders>
              <w:top w:val="single" w:sz="4" w:space="0" w:color="auto"/>
            </w:tcBorders>
          </w:tcPr>
          <w:p w14:paraId="4F21547D"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T1 that remain at T2 %</w:t>
            </w:r>
          </w:p>
        </w:tc>
        <w:tc>
          <w:tcPr>
            <w:tcW w:w="645" w:type="pct"/>
            <w:tcBorders>
              <w:top w:val="single" w:sz="4" w:space="0" w:color="auto"/>
            </w:tcBorders>
          </w:tcPr>
          <w:p w14:paraId="4CB32503"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Donors in T1 %</w:t>
            </w:r>
          </w:p>
        </w:tc>
        <w:tc>
          <w:tcPr>
            <w:tcW w:w="645" w:type="pct"/>
            <w:tcBorders>
              <w:top w:val="single" w:sz="4" w:space="0" w:color="auto"/>
            </w:tcBorders>
          </w:tcPr>
          <w:p w14:paraId="0F9FC99F"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b/>
                <w:color w:val="000000"/>
              </w:rPr>
              <w:t>T1 that remain at T2 %</w:t>
            </w:r>
          </w:p>
        </w:tc>
      </w:tr>
      <w:tr w:rsidR="006E55DE" w:rsidRPr="00304F2D" w14:paraId="24B2E7E9" w14:textId="77777777" w:rsidTr="006E55DE">
        <w:tc>
          <w:tcPr>
            <w:tcW w:w="1133" w:type="pct"/>
            <w:tcBorders>
              <w:top w:val="single" w:sz="4" w:space="0" w:color="auto"/>
            </w:tcBorders>
          </w:tcPr>
          <w:p w14:paraId="16F3E9B0" w14:textId="323CB15E" w:rsidR="006E55DE" w:rsidRPr="00304F2D" w:rsidRDefault="006E55DE" w:rsidP="00B07C96">
            <w:pPr>
              <w:rPr>
                <w:rFonts w:ascii="Times New Roman" w:eastAsia="Times New Roman" w:hAnsi="Times New Roman" w:cs="Times New Roman"/>
                <w:color w:val="000000"/>
              </w:rPr>
            </w:pPr>
            <w:r w:rsidRPr="00304F2D">
              <w:rPr>
                <w:rFonts w:ascii="Times New Roman" w:eastAsia="Times New Roman" w:hAnsi="Times New Roman" w:cs="Times New Roman"/>
                <w:color w:val="000000"/>
              </w:rPr>
              <w:t>2007-2008</w:t>
            </w:r>
          </w:p>
        </w:tc>
        <w:tc>
          <w:tcPr>
            <w:tcW w:w="644" w:type="pct"/>
            <w:tcBorders>
              <w:top w:val="single" w:sz="4" w:space="0" w:color="auto"/>
            </w:tcBorders>
          </w:tcPr>
          <w:p w14:paraId="2658C0E2" w14:textId="1C66C520" w:rsidR="006E55DE" w:rsidRPr="00304F2D" w:rsidRDefault="001A263F"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8</w:t>
            </w:r>
          </w:p>
        </w:tc>
        <w:tc>
          <w:tcPr>
            <w:tcW w:w="645" w:type="pct"/>
            <w:tcBorders>
              <w:top w:val="single" w:sz="4" w:space="0" w:color="auto"/>
            </w:tcBorders>
          </w:tcPr>
          <w:p w14:paraId="35EC6B39" w14:textId="1F450754" w:rsidR="006E55DE" w:rsidRPr="00304F2D" w:rsidRDefault="0042483C"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37</w:t>
            </w:r>
          </w:p>
        </w:tc>
        <w:tc>
          <w:tcPr>
            <w:tcW w:w="645" w:type="pct"/>
            <w:tcBorders>
              <w:top w:val="single" w:sz="4" w:space="0" w:color="auto"/>
            </w:tcBorders>
          </w:tcPr>
          <w:p w14:paraId="49DA3828"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32</w:t>
            </w:r>
          </w:p>
        </w:tc>
        <w:tc>
          <w:tcPr>
            <w:tcW w:w="644" w:type="pct"/>
            <w:tcBorders>
              <w:top w:val="single" w:sz="4" w:space="0" w:color="auto"/>
            </w:tcBorders>
          </w:tcPr>
          <w:p w14:paraId="53A93730"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50</w:t>
            </w:r>
          </w:p>
        </w:tc>
        <w:tc>
          <w:tcPr>
            <w:tcW w:w="645" w:type="pct"/>
            <w:tcBorders>
              <w:top w:val="single" w:sz="4" w:space="0" w:color="auto"/>
            </w:tcBorders>
            <w:vAlign w:val="bottom"/>
          </w:tcPr>
          <w:p w14:paraId="1DB7126B"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23</w:t>
            </w:r>
          </w:p>
        </w:tc>
        <w:tc>
          <w:tcPr>
            <w:tcW w:w="645" w:type="pct"/>
            <w:tcBorders>
              <w:top w:val="single" w:sz="4" w:space="0" w:color="auto"/>
            </w:tcBorders>
            <w:vAlign w:val="bottom"/>
          </w:tcPr>
          <w:p w14:paraId="134A4E84"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61</w:t>
            </w:r>
          </w:p>
        </w:tc>
      </w:tr>
      <w:tr w:rsidR="006E55DE" w:rsidRPr="00304F2D" w14:paraId="5D295128" w14:textId="77777777" w:rsidTr="006E55DE">
        <w:tc>
          <w:tcPr>
            <w:tcW w:w="1133" w:type="pct"/>
          </w:tcPr>
          <w:p w14:paraId="7E7793D5" w14:textId="5D6D2442" w:rsidR="006E55DE" w:rsidRPr="00304F2D" w:rsidRDefault="006E55DE" w:rsidP="00B07C96">
            <w:pPr>
              <w:rPr>
                <w:rFonts w:ascii="Times New Roman" w:hAnsi="Times New Roman" w:cs="Times New Roman"/>
              </w:rPr>
            </w:pPr>
            <w:r w:rsidRPr="00304F2D">
              <w:rPr>
                <w:rFonts w:ascii="Times New Roman" w:eastAsia="Times New Roman" w:hAnsi="Times New Roman" w:cs="Times New Roman"/>
                <w:color w:val="000000"/>
              </w:rPr>
              <w:t>2008-2009</w:t>
            </w:r>
          </w:p>
        </w:tc>
        <w:tc>
          <w:tcPr>
            <w:tcW w:w="644" w:type="pct"/>
          </w:tcPr>
          <w:p w14:paraId="4C6F4971" w14:textId="4513BF1C" w:rsidR="006E55DE" w:rsidRPr="00304F2D" w:rsidRDefault="0042483C"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6</w:t>
            </w:r>
          </w:p>
        </w:tc>
        <w:tc>
          <w:tcPr>
            <w:tcW w:w="645" w:type="pct"/>
          </w:tcPr>
          <w:p w14:paraId="64613FA7" w14:textId="17D5742D" w:rsidR="006E55DE" w:rsidRPr="00304F2D" w:rsidRDefault="0042483C"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38</w:t>
            </w:r>
          </w:p>
        </w:tc>
        <w:tc>
          <w:tcPr>
            <w:tcW w:w="645" w:type="pct"/>
          </w:tcPr>
          <w:p w14:paraId="01D3CE13"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33</w:t>
            </w:r>
          </w:p>
        </w:tc>
        <w:tc>
          <w:tcPr>
            <w:tcW w:w="644" w:type="pct"/>
          </w:tcPr>
          <w:p w14:paraId="359571AA"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52</w:t>
            </w:r>
          </w:p>
        </w:tc>
        <w:tc>
          <w:tcPr>
            <w:tcW w:w="645" w:type="pct"/>
            <w:vAlign w:val="bottom"/>
          </w:tcPr>
          <w:p w14:paraId="41365A88"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24</w:t>
            </w:r>
          </w:p>
        </w:tc>
        <w:tc>
          <w:tcPr>
            <w:tcW w:w="645" w:type="pct"/>
            <w:vAlign w:val="bottom"/>
          </w:tcPr>
          <w:p w14:paraId="5D3BE0BB"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63</w:t>
            </w:r>
          </w:p>
        </w:tc>
      </w:tr>
      <w:tr w:rsidR="006E55DE" w:rsidRPr="00304F2D" w14:paraId="0CD1310C" w14:textId="77777777" w:rsidTr="006E55DE">
        <w:tc>
          <w:tcPr>
            <w:tcW w:w="1133" w:type="pct"/>
          </w:tcPr>
          <w:p w14:paraId="151B429A" w14:textId="77777777" w:rsidR="006E55DE" w:rsidRPr="00304F2D" w:rsidRDefault="006E55DE" w:rsidP="00B07C96">
            <w:pPr>
              <w:rPr>
                <w:rFonts w:ascii="Times New Roman" w:hAnsi="Times New Roman" w:cs="Times New Roman"/>
              </w:rPr>
            </w:pPr>
            <w:r w:rsidRPr="00304F2D">
              <w:rPr>
                <w:rFonts w:ascii="Times New Roman" w:eastAsia="Times New Roman" w:hAnsi="Times New Roman" w:cs="Times New Roman"/>
                <w:color w:val="000000"/>
              </w:rPr>
              <w:t>2009-2010</w:t>
            </w:r>
          </w:p>
        </w:tc>
        <w:tc>
          <w:tcPr>
            <w:tcW w:w="644" w:type="pct"/>
          </w:tcPr>
          <w:p w14:paraId="51D6C3F8"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NA</w:t>
            </w:r>
          </w:p>
        </w:tc>
        <w:tc>
          <w:tcPr>
            <w:tcW w:w="645" w:type="pct"/>
          </w:tcPr>
          <w:p w14:paraId="3728D983"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NA</w:t>
            </w:r>
          </w:p>
        </w:tc>
        <w:tc>
          <w:tcPr>
            <w:tcW w:w="645" w:type="pct"/>
          </w:tcPr>
          <w:p w14:paraId="352D36F4"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34</w:t>
            </w:r>
          </w:p>
        </w:tc>
        <w:tc>
          <w:tcPr>
            <w:tcW w:w="644" w:type="pct"/>
          </w:tcPr>
          <w:p w14:paraId="22A2099B"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52</w:t>
            </w:r>
          </w:p>
        </w:tc>
        <w:tc>
          <w:tcPr>
            <w:tcW w:w="645" w:type="pct"/>
            <w:vAlign w:val="bottom"/>
          </w:tcPr>
          <w:p w14:paraId="3D57466B"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22</w:t>
            </w:r>
          </w:p>
        </w:tc>
        <w:tc>
          <w:tcPr>
            <w:tcW w:w="645" w:type="pct"/>
            <w:vAlign w:val="bottom"/>
          </w:tcPr>
          <w:p w14:paraId="583538CF"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62</w:t>
            </w:r>
          </w:p>
        </w:tc>
      </w:tr>
      <w:tr w:rsidR="006E55DE" w:rsidRPr="00304F2D" w14:paraId="3F8101E4" w14:textId="77777777" w:rsidTr="006E55DE">
        <w:tc>
          <w:tcPr>
            <w:tcW w:w="1133" w:type="pct"/>
          </w:tcPr>
          <w:p w14:paraId="505356A6" w14:textId="77777777" w:rsidR="006E55DE" w:rsidRPr="00304F2D" w:rsidRDefault="006E55DE" w:rsidP="00B07C96">
            <w:pPr>
              <w:rPr>
                <w:rFonts w:ascii="Times New Roman" w:hAnsi="Times New Roman" w:cs="Times New Roman"/>
              </w:rPr>
            </w:pPr>
            <w:r w:rsidRPr="00304F2D">
              <w:rPr>
                <w:rFonts w:ascii="Times New Roman" w:eastAsia="Times New Roman" w:hAnsi="Times New Roman" w:cs="Times New Roman"/>
                <w:color w:val="000000"/>
              </w:rPr>
              <w:t>2010-2011</w:t>
            </w:r>
          </w:p>
        </w:tc>
        <w:tc>
          <w:tcPr>
            <w:tcW w:w="644" w:type="pct"/>
          </w:tcPr>
          <w:p w14:paraId="28300E79"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NA</w:t>
            </w:r>
          </w:p>
        </w:tc>
        <w:tc>
          <w:tcPr>
            <w:tcW w:w="645" w:type="pct"/>
          </w:tcPr>
          <w:p w14:paraId="56A80E93"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NA</w:t>
            </w:r>
          </w:p>
        </w:tc>
        <w:tc>
          <w:tcPr>
            <w:tcW w:w="645" w:type="pct"/>
          </w:tcPr>
          <w:p w14:paraId="0843F659"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35</w:t>
            </w:r>
          </w:p>
        </w:tc>
        <w:tc>
          <w:tcPr>
            <w:tcW w:w="644" w:type="pct"/>
          </w:tcPr>
          <w:p w14:paraId="324E58C0"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50</w:t>
            </w:r>
          </w:p>
        </w:tc>
        <w:tc>
          <w:tcPr>
            <w:tcW w:w="645" w:type="pct"/>
            <w:vAlign w:val="bottom"/>
          </w:tcPr>
          <w:p w14:paraId="02AF7BDF"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23</w:t>
            </w:r>
          </w:p>
        </w:tc>
        <w:tc>
          <w:tcPr>
            <w:tcW w:w="645" w:type="pct"/>
            <w:vAlign w:val="bottom"/>
          </w:tcPr>
          <w:p w14:paraId="212FBD61" w14:textId="77777777" w:rsidR="006E55DE" w:rsidRPr="00304F2D" w:rsidRDefault="006E55DE" w:rsidP="00B07C96">
            <w:pPr>
              <w:jc w:val="center"/>
              <w:rPr>
                <w:rFonts w:ascii="Times New Roman" w:eastAsia="Times New Roman" w:hAnsi="Times New Roman" w:cs="Times New Roman"/>
                <w:color w:val="000000"/>
              </w:rPr>
            </w:pPr>
            <w:r w:rsidRPr="00304F2D">
              <w:rPr>
                <w:rFonts w:ascii="Times New Roman" w:eastAsia="Times New Roman" w:hAnsi="Times New Roman" w:cs="Times New Roman"/>
                <w:color w:val="000000"/>
              </w:rPr>
              <w:t>63</w:t>
            </w:r>
          </w:p>
        </w:tc>
      </w:tr>
      <w:tr w:rsidR="006E55DE" w:rsidRPr="00304F2D" w14:paraId="71CA87E3" w14:textId="77777777" w:rsidTr="006E55DE">
        <w:trPr>
          <w:trHeight w:val="74"/>
        </w:trPr>
        <w:tc>
          <w:tcPr>
            <w:tcW w:w="1133" w:type="pct"/>
            <w:tcBorders>
              <w:bottom w:val="single" w:sz="4" w:space="0" w:color="auto"/>
            </w:tcBorders>
          </w:tcPr>
          <w:p w14:paraId="53325587" w14:textId="77777777" w:rsidR="006E55DE" w:rsidRPr="00304F2D" w:rsidRDefault="006E55DE" w:rsidP="00B07C96">
            <w:pPr>
              <w:rPr>
                <w:rFonts w:ascii="Times New Roman" w:hAnsi="Times New Roman" w:cs="Times New Roman"/>
                <w:b/>
              </w:rPr>
            </w:pPr>
            <w:r w:rsidRPr="00304F2D">
              <w:rPr>
                <w:rFonts w:ascii="Times New Roman" w:eastAsia="Times New Roman" w:hAnsi="Times New Roman" w:cs="Times New Roman"/>
                <w:b/>
                <w:color w:val="000000"/>
              </w:rPr>
              <w:t>Average</w:t>
            </w:r>
          </w:p>
        </w:tc>
        <w:tc>
          <w:tcPr>
            <w:tcW w:w="644" w:type="pct"/>
            <w:tcBorders>
              <w:bottom w:val="single" w:sz="4" w:space="0" w:color="auto"/>
            </w:tcBorders>
          </w:tcPr>
          <w:p w14:paraId="4D0803BE" w14:textId="24E5817B" w:rsidR="006E55DE" w:rsidRPr="00304F2D" w:rsidRDefault="0042483C"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7</w:t>
            </w:r>
          </w:p>
        </w:tc>
        <w:tc>
          <w:tcPr>
            <w:tcW w:w="645" w:type="pct"/>
            <w:tcBorders>
              <w:bottom w:val="single" w:sz="4" w:space="0" w:color="auto"/>
            </w:tcBorders>
          </w:tcPr>
          <w:p w14:paraId="478478D9" w14:textId="016EB444" w:rsidR="006E55DE" w:rsidRPr="00304F2D" w:rsidRDefault="0042483C"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37</w:t>
            </w:r>
          </w:p>
        </w:tc>
        <w:tc>
          <w:tcPr>
            <w:tcW w:w="645" w:type="pct"/>
            <w:tcBorders>
              <w:bottom w:val="single" w:sz="4" w:space="0" w:color="auto"/>
            </w:tcBorders>
          </w:tcPr>
          <w:p w14:paraId="401CFB18"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34</w:t>
            </w:r>
          </w:p>
        </w:tc>
        <w:tc>
          <w:tcPr>
            <w:tcW w:w="644" w:type="pct"/>
            <w:tcBorders>
              <w:bottom w:val="single" w:sz="4" w:space="0" w:color="auto"/>
            </w:tcBorders>
          </w:tcPr>
          <w:p w14:paraId="32D98E87"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51</w:t>
            </w:r>
          </w:p>
        </w:tc>
        <w:tc>
          <w:tcPr>
            <w:tcW w:w="645" w:type="pct"/>
            <w:tcBorders>
              <w:bottom w:val="single" w:sz="4" w:space="0" w:color="auto"/>
            </w:tcBorders>
            <w:vAlign w:val="bottom"/>
          </w:tcPr>
          <w:p w14:paraId="5F3D9D78"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23</w:t>
            </w:r>
          </w:p>
        </w:tc>
        <w:tc>
          <w:tcPr>
            <w:tcW w:w="645" w:type="pct"/>
            <w:tcBorders>
              <w:bottom w:val="single" w:sz="4" w:space="0" w:color="auto"/>
            </w:tcBorders>
            <w:vAlign w:val="bottom"/>
          </w:tcPr>
          <w:p w14:paraId="59CEE8EC" w14:textId="77777777" w:rsidR="006E55DE" w:rsidRPr="00304F2D" w:rsidRDefault="006E55DE" w:rsidP="00B07C96">
            <w:pPr>
              <w:jc w:val="center"/>
              <w:rPr>
                <w:rFonts w:ascii="Times New Roman" w:eastAsia="Times New Roman" w:hAnsi="Times New Roman" w:cs="Times New Roman"/>
                <w:b/>
                <w:color w:val="000000"/>
              </w:rPr>
            </w:pPr>
            <w:r w:rsidRPr="00304F2D">
              <w:rPr>
                <w:rFonts w:ascii="Times New Roman" w:eastAsia="Times New Roman" w:hAnsi="Times New Roman" w:cs="Times New Roman"/>
                <w:b/>
                <w:color w:val="000000"/>
              </w:rPr>
              <w:t>62</w:t>
            </w:r>
          </w:p>
        </w:tc>
      </w:tr>
    </w:tbl>
    <w:p w14:paraId="01CC0DB9" w14:textId="5BB0210D" w:rsidR="006E55DE" w:rsidRPr="00304F2D" w:rsidRDefault="006E55DE" w:rsidP="00B07C96">
      <w:pPr>
        <w:rPr>
          <w:rFonts w:ascii="Times New Roman" w:hAnsi="Times New Roman" w:cs="Times New Roman"/>
          <w:b/>
        </w:rPr>
      </w:pPr>
      <w:r w:rsidRPr="00304F2D">
        <w:rPr>
          <w:rFonts w:ascii="Times New Roman" w:hAnsi="Times New Roman" w:cs="Times New Roman"/>
          <w:b/>
        </w:rPr>
        <w:t xml:space="preserve">NA = Not </w:t>
      </w:r>
      <w:r w:rsidR="00DB265C" w:rsidRPr="00304F2D">
        <w:rPr>
          <w:rFonts w:ascii="Times New Roman" w:hAnsi="Times New Roman" w:cs="Times New Roman"/>
          <w:b/>
        </w:rPr>
        <w:t>available</w:t>
      </w:r>
      <w:r w:rsidRPr="00304F2D">
        <w:rPr>
          <w:rFonts w:ascii="Times New Roman" w:hAnsi="Times New Roman" w:cs="Times New Roman"/>
          <w:b/>
        </w:rPr>
        <w:t>, 2007 = 2007/08 and 2008 = 2008-09 for monetary donations</w:t>
      </w:r>
    </w:p>
    <w:p w14:paraId="47C5D049" w14:textId="77777777" w:rsidR="00EF48E7" w:rsidRPr="00304F2D" w:rsidRDefault="00EF48E7" w:rsidP="00DE5974"/>
    <w:p w14:paraId="56941FC4" w14:textId="6E4E7E51" w:rsidR="00CD5B80" w:rsidRPr="00304F2D" w:rsidRDefault="00086FA8" w:rsidP="004D7056">
      <w:pPr>
        <w:keepNext/>
        <w:keepLines/>
        <w:spacing w:line="480" w:lineRule="auto"/>
        <w:ind w:firstLine="720"/>
        <w:rPr>
          <w:rFonts w:ascii="Times New Roman" w:hAnsi="Times New Roman" w:cs="Times New Roman"/>
        </w:rPr>
      </w:pPr>
      <w:r w:rsidRPr="00304F2D">
        <w:rPr>
          <w:rFonts w:ascii="Times New Roman" w:hAnsi="Times New Roman" w:cs="Times New Roman"/>
        </w:rPr>
        <w:t xml:space="preserve">The high attrition of frequent donors </w:t>
      </w:r>
      <w:r w:rsidR="00BB27CE" w:rsidRPr="00304F2D">
        <w:rPr>
          <w:rFonts w:ascii="Times New Roman" w:hAnsi="Times New Roman" w:cs="Times New Roman"/>
        </w:rPr>
        <w:t>led to the exploration of the</w:t>
      </w:r>
      <w:r w:rsidR="00DB265C" w:rsidRPr="00304F2D">
        <w:rPr>
          <w:rFonts w:ascii="Times New Roman" w:hAnsi="Times New Roman" w:cs="Times New Roman"/>
        </w:rPr>
        <w:t>ir</w:t>
      </w:r>
      <w:r w:rsidR="00BB27CE" w:rsidRPr="00304F2D">
        <w:rPr>
          <w:rFonts w:ascii="Times New Roman" w:hAnsi="Times New Roman" w:cs="Times New Roman"/>
        </w:rPr>
        <w:t xml:space="preserve"> </w:t>
      </w:r>
      <w:r w:rsidRPr="00304F2D">
        <w:rPr>
          <w:rFonts w:ascii="Times New Roman" w:hAnsi="Times New Roman" w:cs="Times New Roman"/>
        </w:rPr>
        <w:t xml:space="preserve">subsequent donation </w:t>
      </w:r>
      <w:proofErr w:type="spellStart"/>
      <w:r w:rsidRPr="00304F2D">
        <w:rPr>
          <w:rFonts w:ascii="Times New Roman" w:hAnsi="Times New Roman" w:cs="Times New Roman"/>
        </w:rPr>
        <w:t>behavio</w:t>
      </w:r>
      <w:r w:rsidR="00005BA9" w:rsidRPr="00304F2D">
        <w:rPr>
          <w:rFonts w:ascii="Times New Roman" w:hAnsi="Times New Roman" w:cs="Times New Roman"/>
        </w:rPr>
        <w:t>u</w:t>
      </w:r>
      <w:r w:rsidRPr="00304F2D">
        <w:rPr>
          <w:rFonts w:ascii="Times New Roman" w:hAnsi="Times New Roman" w:cs="Times New Roman"/>
        </w:rPr>
        <w:t>r</w:t>
      </w:r>
      <w:proofErr w:type="spellEnd"/>
      <w:r w:rsidR="009B52A3" w:rsidRPr="00304F2D">
        <w:rPr>
          <w:rFonts w:ascii="Times New Roman" w:hAnsi="Times New Roman" w:cs="Times New Roman"/>
        </w:rPr>
        <w:t xml:space="preserve">. </w:t>
      </w:r>
      <w:r w:rsidR="00707FE5" w:rsidRPr="00304F2D">
        <w:rPr>
          <w:rFonts w:ascii="Times New Roman" w:hAnsi="Times New Roman" w:cs="Times New Roman"/>
        </w:rPr>
        <w:t>In 2008-</w:t>
      </w:r>
      <w:r w:rsidR="00A0033B">
        <w:rPr>
          <w:rFonts w:ascii="Times New Roman" w:hAnsi="Times New Roman" w:cs="Times New Roman"/>
        </w:rPr>
        <w:t>20</w:t>
      </w:r>
      <w:r w:rsidR="00707FE5" w:rsidRPr="00304F2D">
        <w:rPr>
          <w:rFonts w:ascii="Times New Roman" w:hAnsi="Times New Roman" w:cs="Times New Roman"/>
        </w:rPr>
        <w:t xml:space="preserve">09, 23% </w:t>
      </w:r>
      <w:r w:rsidR="00775AF7" w:rsidRPr="00304F2D">
        <w:rPr>
          <w:rFonts w:ascii="Times New Roman" w:hAnsi="Times New Roman" w:cs="Times New Roman"/>
        </w:rPr>
        <w:t xml:space="preserve">of supporters </w:t>
      </w:r>
      <w:r w:rsidR="00FA1457" w:rsidRPr="00304F2D">
        <w:rPr>
          <w:rFonts w:ascii="Times New Roman" w:hAnsi="Times New Roman" w:cs="Times New Roman"/>
        </w:rPr>
        <w:t xml:space="preserve">gave no donation after being </w:t>
      </w:r>
      <w:r w:rsidR="00775AF7" w:rsidRPr="00304F2D">
        <w:rPr>
          <w:rFonts w:ascii="Times New Roman" w:hAnsi="Times New Roman" w:cs="Times New Roman"/>
        </w:rPr>
        <w:t>3+ supporters</w:t>
      </w:r>
      <w:r w:rsidR="00707FE5" w:rsidRPr="00304F2D">
        <w:rPr>
          <w:rFonts w:ascii="Times New Roman" w:hAnsi="Times New Roman" w:cs="Times New Roman"/>
        </w:rPr>
        <w:t xml:space="preserve"> in 2007-</w:t>
      </w:r>
      <w:r w:rsidR="00A6137D">
        <w:rPr>
          <w:rFonts w:ascii="Times New Roman" w:hAnsi="Times New Roman" w:cs="Times New Roman"/>
        </w:rPr>
        <w:t>20</w:t>
      </w:r>
      <w:r w:rsidR="00707FE5" w:rsidRPr="00304F2D">
        <w:rPr>
          <w:rFonts w:ascii="Times New Roman" w:hAnsi="Times New Roman" w:cs="Times New Roman"/>
        </w:rPr>
        <w:t xml:space="preserve">08. </w:t>
      </w:r>
      <w:r w:rsidR="00054695" w:rsidRPr="00304F2D">
        <w:rPr>
          <w:rFonts w:ascii="Times New Roman" w:hAnsi="Times New Roman" w:cs="Times New Roman"/>
        </w:rPr>
        <w:t xml:space="preserve"> </w:t>
      </w:r>
      <w:r w:rsidR="00A6137D">
        <w:rPr>
          <w:rFonts w:ascii="Times New Roman" w:hAnsi="Times New Roman" w:cs="Times New Roman"/>
        </w:rPr>
        <w:t xml:space="preserve">Of the 2007-2008 supporters, </w:t>
      </w:r>
      <w:r w:rsidR="00775AF7" w:rsidRPr="00304F2D">
        <w:rPr>
          <w:rFonts w:ascii="Times New Roman" w:hAnsi="Times New Roman" w:cs="Times New Roman"/>
        </w:rPr>
        <w:t>3% returned to being 3+ supporters</w:t>
      </w:r>
      <w:r w:rsidR="00CD5B80" w:rsidRPr="00304F2D">
        <w:rPr>
          <w:rFonts w:ascii="Times New Roman" w:hAnsi="Times New Roman" w:cs="Times New Roman"/>
        </w:rPr>
        <w:t xml:space="preserve"> in 2009-</w:t>
      </w:r>
      <w:r w:rsidR="00A6137D">
        <w:rPr>
          <w:rFonts w:ascii="Times New Roman" w:hAnsi="Times New Roman" w:cs="Times New Roman"/>
        </w:rPr>
        <w:t>20</w:t>
      </w:r>
      <w:r w:rsidR="00CD5B80" w:rsidRPr="00304F2D">
        <w:rPr>
          <w:rFonts w:ascii="Times New Roman" w:hAnsi="Times New Roman" w:cs="Times New Roman"/>
        </w:rPr>
        <w:t xml:space="preserve">10, </w:t>
      </w:r>
      <w:r w:rsidR="009C6B78" w:rsidRPr="00304F2D">
        <w:rPr>
          <w:rFonts w:ascii="Times New Roman" w:hAnsi="Times New Roman" w:cs="Times New Roman"/>
        </w:rPr>
        <w:t xml:space="preserve">22% gave once or twice, </w:t>
      </w:r>
      <w:r w:rsidR="00CD5B80" w:rsidRPr="00304F2D">
        <w:rPr>
          <w:rFonts w:ascii="Times New Roman" w:hAnsi="Times New Roman" w:cs="Times New Roman"/>
        </w:rPr>
        <w:t xml:space="preserve">but 75% </w:t>
      </w:r>
      <w:r w:rsidR="009C6B78" w:rsidRPr="00304F2D">
        <w:rPr>
          <w:rFonts w:ascii="Times New Roman" w:hAnsi="Times New Roman" w:cs="Times New Roman"/>
        </w:rPr>
        <w:t>did</w:t>
      </w:r>
      <w:r w:rsidR="00CD5B80" w:rsidRPr="00304F2D">
        <w:rPr>
          <w:rFonts w:ascii="Times New Roman" w:hAnsi="Times New Roman" w:cs="Times New Roman"/>
        </w:rPr>
        <w:t xml:space="preserve"> no</w:t>
      </w:r>
      <w:r w:rsidR="009C6B78" w:rsidRPr="00304F2D">
        <w:rPr>
          <w:rFonts w:ascii="Times New Roman" w:hAnsi="Times New Roman" w:cs="Times New Roman"/>
        </w:rPr>
        <w:t>t give any</w:t>
      </w:r>
      <w:r w:rsidR="00CD5B80" w:rsidRPr="00304F2D">
        <w:rPr>
          <w:rFonts w:ascii="Times New Roman" w:hAnsi="Times New Roman" w:cs="Times New Roman"/>
        </w:rPr>
        <w:t xml:space="preserve"> money to the charity</w:t>
      </w:r>
      <w:r w:rsidR="009C6B78" w:rsidRPr="00304F2D">
        <w:rPr>
          <w:rFonts w:ascii="Times New Roman" w:hAnsi="Times New Roman" w:cs="Times New Roman"/>
        </w:rPr>
        <w:t xml:space="preserve"> two years after bei</w:t>
      </w:r>
      <w:r w:rsidR="00775AF7" w:rsidRPr="00304F2D">
        <w:rPr>
          <w:rFonts w:ascii="Times New Roman" w:hAnsi="Times New Roman" w:cs="Times New Roman"/>
        </w:rPr>
        <w:t>ng classified as frequent supporters</w:t>
      </w:r>
      <w:r w:rsidR="00CD5B80" w:rsidRPr="00304F2D">
        <w:rPr>
          <w:rFonts w:ascii="Times New Roman" w:hAnsi="Times New Roman" w:cs="Times New Roman"/>
        </w:rPr>
        <w:t>.</w:t>
      </w:r>
      <w:r w:rsidR="009B52A3" w:rsidRPr="00304F2D">
        <w:rPr>
          <w:rFonts w:ascii="Times New Roman" w:hAnsi="Times New Roman" w:cs="Times New Roman"/>
        </w:rPr>
        <w:t xml:space="preserve"> </w:t>
      </w:r>
      <w:r w:rsidR="008C4F3C" w:rsidRPr="00304F2D">
        <w:rPr>
          <w:rFonts w:ascii="Times New Roman" w:hAnsi="Times New Roman" w:cs="Times New Roman"/>
        </w:rPr>
        <w:t xml:space="preserve"> </w:t>
      </w:r>
    </w:p>
    <w:p w14:paraId="51FDCD58" w14:textId="716AF819" w:rsidR="006E5CC2" w:rsidRPr="00304F2D" w:rsidRDefault="00371997" w:rsidP="001F029C">
      <w:pPr>
        <w:spacing w:line="480" w:lineRule="auto"/>
        <w:ind w:firstLine="720"/>
        <w:rPr>
          <w:rFonts w:ascii="Times New Roman" w:hAnsi="Times New Roman" w:cs="Times New Roman"/>
        </w:rPr>
      </w:pPr>
      <w:r w:rsidRPr="00304F2D">
        <w:rPr>
          <w:rFonts w:ascii="Times New Roman" w:hAnsi="Times New Roman" w:cs="Times New Roman"/>
        </w:rPr>
        <w:t>A</w:t>
      </w:r>
      <w:r w:rsidR="00CD5B80" w:rsidRPr="00304F2D">
        <w:rPr>
          <w:rFonts w:ascii="Times New Roman" w:hAnsi="Times New Roman" w:cs="Times New Roman"/>
        </w:rPr>
        <w:t xml:space="preserve">nalysis was repeated for 3+ </w:t>
      </w:r>
      <w:r w:rsidR="00FE7A8B" w:rsidRPr="00304F2D">
        <w:rPr>
          <w:rFonts w:ascii="Times New Roman" w:hAnsi="Times New Roman" w:cs="Times New Roman"/>
        </w:rPr>
        <w:t>whole blood donors</w:t>
      </w:r>
      <w:r w:rsidR="00185767" w:rsidRPr="00304F2D">
        <w:rPr>
          <w:rFonts w:ascii="Times New Roman" w:hAnsi="Times New Roman" w:cs="Times New Roman"/>
        </w:rPr>
        <w:t xml:space="preserve">. </w:t>
      </w:r>
      <w:r w:rsidR="00503C56">
        <w:rPr>
          <w:rFonts w:ascii="Times New Roman" w:hAnsi="Times New Roman" w:cs="Times New Roman"/>
        </w:rPr>
        <w:t xml:space="preserve">Of those making </w:t>
      </w:r>
      <w:r w:rsidR="00503C56" w:rsidRPr="00304F2D">
        <w:rPr>
          <w:rFonts w:ascii="Times New Roman" w:hAnsi="Times New Roman" w:cs="Times New Roman"/>
        </w:rPr>
        <w:t>3+ donations in 2007</w:t>
      </w:r>
      <w:r w:rsidR="00503C56">
        <w:rPr>
          <w:rFonts w:ascii="Times New Roman" w:hAnsi="Times New Roman" w:cs="Times New Roman"/>
        </w:rPr>
        <w:t xml:space="preserve">, </w:t>
      </w:r>
      <w:r w:rsidR="00FA1457" w:rsidRPr="00304F2D">
        <w:rPr>
          <w:rFonts w:ascii="Times New Roman" w:hAnsi="Times New Roman" w:cs="Times New Roman"/>
        </w:rPr>
        <w:t xml:space="preserve">15% </w:t>
      </w:r>
      <w:r w:rsidR="00C93033" w:rsidRPr="00304F2D">
        <w:rPr>
          <w:rFonts w:ascii="Times New Roman" w:hAnsi="Times New Roman" w:cs="Times New Roman"/>
        </w:rPr>
        <w:t>ma</w:t>
      </w:r>
      <w:r w:rsidR="00185767" w:rsidRPr="00304F2D">
        <w:rPr>
          <w:rFonts w:ascii="Times New Roman" w:hAnsi="Times New Roman" w:cs="Times New Roman"/>
        </w:rPr>
        <w:t>de</w:t>
      </w:r>
      <w:r w:rsidR="00C93033" w:rsidRPr="00304F2D">
        <w:rPr>
          <w:rFonts w:ascii="Times New Roman" w:hAnsi="Times New Roman" w:cs="Times New Roman"/>
        </w:rPr>
        <w:t xml:space="preserve"> no donations </w:t>
      </w:r>
      <w:r w:rsidR="00775AF7" w:rsidRPr="00304F2D">
        <w:rPr>
          <w:rFonts w:ascii="Times New Roman" w:hAnsi="Times New Roman" w:cs="Times New Roman"/>
        </w:rPr>
        <w:t>in 2008</w:t>
      </w:r>
      <w:r w:rsidR="00BB27CE" w:rsidRPr="00304F2D">
        <w:rPr>
          <w:rFonts w:ascii="Times New Roman" w:hAnsi="Times New Roman" w:cs="Times New Roman"/>
        </w:rPr>
        <w:t xml:space="preserve"> and </w:t>
      </w:r>
      <w:r w:rsidR="00FA1457" w:rsidRPr="00304F2D">
        <w:rPr>
          <w:rFonts w:ascii="Times New Roman" w:hAnsi="Times New Roman" w:cs="Times New Roman"/>
        </w:rPr>
        <w:t xml:space="preserve">14% </w:t>
      </w:r>
      <w:r w:rsidR="00C93033" w:rsidRPr="00304F2D">
        <w:rPr>
          <w:rFonts w:ascii="Times New Roman" w:hAnsi="Times New Roman" w:cs="Times New Roman"/>
        </w:rPr>
        <w:t>of the 2008 3+ donors ma</w:t>
      </w:r>
      <w:r w:rsidR="00185767" w:rsidRPr="00304F2D">
        <w:rPr>
          <w:rFonts w:ascii="Times New Roman" w:hAnsi="Times New Roman" w:cs="Times New Roman"/>
        </w:rPr>
        <w:t>de</w:t>
      </w:r>
      <w:r w:rsidR="00C93033" w:rsidRPr="00304F2D">
        <w:rPr>
          <w:rFonts w:ascii="Times New Roman" w:hAnsi="Times New Roman" w:cs="Times New Roman"/>
        </w:rPr>
        <w:t xml:space="preserve"> no donation </w:t>
      </w:r>
      <w:r w:rsidR="00CD5B80" w:rsidRPr="00304F2D">
        <w:rPr>
          <w:rFonts w:ascii="Times New Roman" w:hAnsi="Times New Roman" w:cs="Times New Roman"/>
        </w:rPr>
        <w:t xml:space="preserve">in </w:t>
      </w:r>
      <w:r w:rsidR="00FA1457" w:rsidRPr="00304F2D">
        <w:rPr>
          <w:rFonts w:ascii="Times New Roman" w:hAnsi="Times New Roman" w:cs="Times New Roman"/>
        </w:rPr>
        <w:t>2009</w:t>
      </w:r>
      <w:r w:rsidR="003D1C98" w:rsidRPr="00304F2D">
        <w:rPr>
          <w:rFonts w:ascii="Times New Roman" w:hAnsi="Times New Roman" w:cs="Times New Roman"/>
        </w:rPr>
        <w:t xml:space="preserve">. </w:t>
      </w:r>
      <w:r w:rsidR="00C93033" w:rsidRPr="00304F2D">
        <w:rPr>
          <w:rFonts w:ascii="Times New Roman" w:hAnsi="Times New Roman" w:cs="Times New Roman"/>
        </w:rPr>
        <w:t>The analys</w:t>
      </w:r>
      <w:r w:rsidR="00185767" w:rsidRPr="00304F2D">
        <w:rPr>
          <w:rFonts w:ascii="Times New Roman" w:hAnsi="Times New Roman" w:cs="Times New Roman"/>
        </w:rPr>
        <w:t>is</w:t>
      </w:r>
      <w:r w:rsidR="00C93033" w:rsidRPr="00304F2D">
        <w:rPr>
          <w:rFonts w:ascii="Times New Roman" w:hAnsi="Times New Roman" w:cs="Times New Roman"/>
        </w:rPr>
        <w:t xml:space="preserve"> revealed</w:t>
      </w:r>
      <w:r w:rsidR="00086FA8" w:rsidRPr="00304F2D">
        <w:rPr>
          <w:rFonts w:ascii="Times New Roman" w:hAnsi="Times New Roman" w:cs="Times New Roman"/>
        </w:rPr>
        <w:t xml:space="preserve"> that, </w:t>
      </w:r>
      <w:r w:rsidR="00731668" w:rsidRPr="00304F2D">
        <w:rPr>
          <w:rFonts w:ascii="Times New Roman" w:hAnsi="Times New Roman" w:cs="Times New Roman"/>
        </w:rPr>
        <w:t>once individuals ceased being</w:t>
      </w:r>
      <w:r w:rsidR="00945831" w:rsidRPr="00304F2D">
        <w:rPr>
          <w:rFonts w:ascii="Times New Roman" w:hAnsi="Times New Roman" w:cs="Times New Roman"/>
        </w:rPr>
        <w:t xml:space="preserve"> frequent</w:t>
      </w:r>
      <w:r w:rsidR="00731668" w:rsidRPr="00304F2D">
        <w:rPr>
          <w:rFonts w:ascii="Times New Roman" w:hAnsi="Times New Roman" w:cs="Times New Roman"/>
        </w:rPr>
        <w:t xml:space="preserve"> donors</w:t>
      </w:r>
      <w:r w:rsidR="00086FA8" w:rsidRPr="00304F2D">
        <w:rPr>
          <w:rFonts w:ascii="Times New Roman" w:hAnsi="Times New Roman" w:cs="Times New Roman"/>
        </w:rPr>
        <w:t xml:space="preserve"> fewer than </w:t>
      </w:r>
      <w:r w:rsidR="008474F9" w:rsidRPr="00304F2D">
        <w:rPr>
          <w:rFonts w:ascii="Times New Roman" w:hAnsi="Times New Roman" w:cs="Times New Roman"/>
        </w:rPr>
        <w:t xml:space="preserve">10% </w:t>
      </w:r>
      <w:r w:rsidR="00945831" w:rsidRPr="00304F2D">
        <w:rPr>
          <w:rFonts w:ascii="Times New Roman" w:hAnsi="Times New Roman" w:cs="Times New Roman"/>
        </w:rPr>
        <w:t>subsequently return to frequent</w:t>
      </w:r>
      <w:r w:rsidR="00086FA8" w:rsidRPr="00304F2D">
        <w:rPr>
          <w:rFonts w:ascii="Times New Roman" w:hAnsi="Times New Roman" w:cs="Times New Roman"/>
        </w:rPr>
        <w:t xml:space="preserve"> </w:t>
      </w:r>
      <w:r w:rsidR="004167B5" w:rsidRPr="00304F2D">
        <w:rPr>
          <w:rFonts w:ascii="Times New Roman" w:hAnsi="Times New Roman" w:cs="Times New Roman"/>
        </w:rPr>
        <w:t xml:space="preserve">whole blood </w:t>
      </w:r>
      <w:r w:rsidR="00086FA8" w:rsidRPr="00304F2D">
        <w:rPr>
          <w:rFonts w:ascii="Times New Roman" w:hAnsi="Times New Roman" w:cs="Times New Roman"/>
        </w:rPr>
        <w:t xml:space="preserve">donor status in subsequent years, </w:t>
      </w:r>
      <w:r w:rsidR="008474F9" w:rsidRPr="00304F2D">
        <w:rPr>
          <w:rFonts w:ascii="Times New Roman" w:hAnsi="Times New Roman" w:cs="Times New Roman"/>
        </w:rPr>
        <w:t xml:space="preserve">and around 20% of whole blood </w:t>
      </w:r>
      <w:r w:rsidR="00945831" w:rsidRPr="00304F2D">
        <w:rPr>
          <w:rFonts w:ascii="Times New Roman" w:hAnsi="Times New Roman" w:cs="Times New Roman"/>
        </w:rPr>
        <w:t>frequent</w:t>
      </w:r>
      <w:r w:rsidR="008474F9" w:rsidRPr="00304F2D">
        <w:rPr>
          <w:rFonts w:ascii="Times New Roman" w:hAnsi="Times New Roman" w:cs="Times New Roman"/>
        </w:rPr>
        <w:t xml:space="preserve"> donors</w:t>
      </w:r>
      <w:r w:rsidR="00086FA8" w:rsidRPr="00304F2D">
        <w:rPr>
          <w:rFonts w:ascii="Times New Roman" w:hAnsi="Times New Roman" w:cs="Times New Roman"/>
        </w:rPr>
        <w:t xml:space="preserve"> become infrequent </w:t>
      </w:r>
      <w:r w:rsidR="004167B5" w:rsidRPr="00304F2D">
        <w:rPr>
          <w:rFonts w:ascii="Times New Roman" w:hAnsi="Times New Roman" w:cs="Times New Roman"/>
        </w:rPr>
        <w:t xml:space="preserve">donors, </w:t>
      </w:r>
      <w:r w:rsidR="00C93033" w:rsidRPr="00304F2D">
        <w:rPr>
          <w:rFonts w:ascii="Times New Roman" w:hAnsi="Times New Roman" w:cs="Times New Roman"/>
        </w:rPr>
        <w:t>(meaning</w:t>
      </w:r>
      <w:r w:rsidR="004167B5" w:rsidRPr="00304F2D">
        <w:rPr>
          <w:rFonts w:ascii="Times New Roman" w:hAnsi="Times New Roman" w:cs="Times New Roman"/>
        </w:rPr>
        <w:t xml:space="preserve"> </w:t>
      </w:r>
      <w:r w:rsidR="00086FA8" w:rsidRPr="00304F2D">
        <w:rPr>
          <w:rFonts w:ascii="Times New Roman" w:hAnsi="Times New Roman" w:cs="Times New Roman"/>
        </w:rPr>
        <w:t xml:space="preserve">over 70% </w:t>
      </w:r>
      <w:r w:rsidR="008474F9" w:rsidRPr="00304F2D">
        <w:rPr>
          <w:rFonts w:ascii="Times New Roman" w:hAnsi="Times New Roman" w:cs="Times New Roman"/>
        </w:rPr>
        <w:t xml:space="preserve">of </w:t>
      </w:r>
      <w:r w:rsidR="00945831" w:rsidRPr="00304F2D">
        <w:rPr>
          <w:rFonts w:ascii="Times New Roman" w:hAnsi="Times New Roman" w:cs="Times New Roman"/>
        </w:rPr>
        <w:t>frequent</w:t>
      </w:r>
      <w:r w:rsidR="008474F9" w:rsidRPr="00304F2D">
        <w:rPr>
          <w:rFonts w:ascii="Times New Roman" w:hAnsi="Times New Roman" w:cs="Times New Roman"/>
        </w:rPr>
        <w:t xml:space="preserve"> donors </w:t>
      </w:r>
      <w:r w:rsidR="00086FA8" w:rsidRPr="00304F2D">
        <w:rPr>
          <w:rFonts w:ascii="Times New Roman" w:hAnsi="Times New Roman" w:cs="Times New Roman"/>
        </w:rPr>
        <w:t>are lost</w:t>
      </w:r>
      <w:r w:rsidR="00C93033" w:rsidRPr="00304F2D">
        <w:rPr>
          <w:rFonts w:ascii="Times New Roman" w:hAnsi="Times New Roman" w:cs="Times New Roman"/>
        </w:rPr>
        <w:t>)</w:t>
      </w:r>
      <w:r w:rsidR="008474F9" w:rsidRPr="00304F2D">
        <w:rPr>
          <w:rFonts w:ascii="Times New Roman" w:hAnsi="Times New Roman" w:cs="Times New Roman"/>
        </w:rPr>
        <w:t>. A minority of whole blood</w:t>
      </w:r>
      <w:r w:rsidR="00945831" w:rsidRPr="00304F2D">
        <w:rPr>
          <w:rFonts w:ascii="Times New Roman" w:hAnsi="Times New Roman" w:cs="Times New Roman"/>
        </w:rPr>
        <w:t xml:space="preserve"> donors (around 10%) </w:t>
      </w:r>
      <w:r w:rsidR="004167B5" w:rsidRPr="00304F2D">
        <w:rPr>
          <w:rFonts w:ascii="Times New Roman" w:hAnsi="Times New Roman" w:cs="Times New Roman"/>
        </w:rPr>
        <w:t>convert</w:t>
      </w:r>
      <w:r w:rsidR="00A92893" w:rsidRPr="00304F2D">
        <w:rPr>
          <w:rFonts w:ascii="Times New Roman" w:hAnsi="Times New Roman" w:cs="Times New Roman"/>
        </w:rPr>
        <w:t>ed</w:t>
      </w:r>
      <w:r w:rsidR="00086FA8" w:rsidRPr="00304F2D">
        <w:rPr>
          <w:rFonts w:ascii="Times New Roman" w:hAnsi="Times New Roman" w:cs="Times New Roman"/>
        </w:rPr>
        <w:t xml:space="preserve"> to donat</w:t>
      </w:r>
      <w:r w:rsidR="00C93033" w:rsidRPr="00304F2D">
        <w:rPr>
          <w:rFonts w:ascii="Times New Roman" w:hAnsi="Times New Roman" w:cs="Times New Roman"/>
        </w:rPr>
        <w:t>ing</w:t>
      </w:r>
      <w:r w:rsidR="00086FA8" w:rsidRPr="00304F2D">
        <w:rPr>
          <w:rFonts w:ascii="Times New Roman" w:hAnsi="Times New Roman" w:cs="Times New Roman"/>
        </w:rPr>
        <w:t xml:space="preserve"> plasma or platelets, but the majority of frequent donors cease</w:t>
      </w:r>
      <w:r w:rsidR="00185767" w:rsidRPr="00304F2D">
        <w:rPr>
          <w:rFonts w:ascii="Times New Roman" w:hAnsi="Times New Roman" w:cs="Times New Roman"/>
        </w:rPr>
        <w:t>d</w:t>
      </w:r>
      <w:r w:rsidR="00086FA8" w:rsidRPr="00304F2D">
        <w:rPr>
          <w:rFonts w:ascii="Times New Roman" w:hAnsi="Times New Roman" w:cs="Times New Roman"/>
        </w:rPr>
        <w:t xml:space="preserve"> to donate any form of blood.</w:t>
      </w:r>
      <w:r w:rsidR="003E5C99" w:rsidRPr="00304F2D">
        <w:rPr>
          <w:rFonts w:ascii="Times New Roman" w:hAnsi="Times New Roman" w:cs="Times New Roman"/>
        </w:rPr>
        <w:tab/>
      </w:r>
    </w:p>
    <w:p w14:paraId="10BB9671" w14:textId="77777777" w:rsidR="006E5CC2" w:rsidRPr="00304F2D" w:rsidRDefault="006E5CC2" w:rsidP="003C5753">
      <w:pPr>
        <w:spacing w:line="480" w:lineRule="auto"/>
        <w:ind w:firstLine="720"/>
        <w:rPr>
          <w:rFonts w:ascii="Times New Roman" w:hAnsi="Times New Roman" w:cs="Times New Roman"/>
        </w:rPr>
      </w:pPr>
    </w:p>
    <w:p w14:paraId="49C2AA64" w14:textId="240FA423" w:rsidR="00086FA8" w:rsidRPr="00304F2D" w:rsidRDefault="001F029C" w:rsidP="00771FC5">
      <w:pPr>
        <w:keepNext/>
        <w:keepLines/>
        <w:spacing w:line="480" w:lineRule="auto"/>
        <w:rPr>
          <w:rFonts w:ascii="Times New Roman" w:hAnsi="Times New Roman" w:cs="Times New Roman"/>
          <w:b/>
          <w:bCs/>
        </w:rPr>
      </w:pPr>
      <w:r w:rsidRPr="00304F2D">
        <w:rPr>
          <w:rFonts w:ascii="Times New Roman" w:hAnsi="Times New Roman" w:cs="Times New Roman"/>
          <w:b/>
          <w:bCs/>
        </w:rPr>
        <w:t>7</w:t>
      </w:r>
      <w:r w:rsidR="00EF48E7" w:rsidRPr="00304F2D">
        <w:rPr>
          <w:rFonts w:ascii="Times New Roman" w:hAnsi="Times New Roman" w:cs="Times New Roman"/>
          <w:b/>
          <w:bCs/>
        </w:rPr>
        <w:t xml:space="preserve">. </w:t>
      </w:r>
      <w:r w:rsidR="00086FA8" w:rsidRPr="00304F2D">
        <w:rPr>
          <w:rFonts w:ascii="Times New Roman" w:hAnsi="Times New Roman" w:cs="Times New Roman"/>
          <w:b/>
          <w:bCs/>
        </w:rPr>
        <w:t>Discussion</w:t>
      </w:r>
      <w:r w:rsidR="00D46AF0" w:rsidRPr="00304F2D">
        <w:rPr>
          <w:rFonts w:ascii="Times New Roman" w:hAnsi="Times New Roman" w:cs="Times New Roman"/>
          <w:b/>
          <w:bCs/>
        </w:rPr>
        <w:t xml:space="preserve"> and Implications</w:t>
      </w:r>
    </w:p>
    <w:p w14:paraId="69E67120" w14:textId="4EEE124E" w:rsidR="00D63C2A" w:rsidRPr="00304F2D" w:rsidRDefault="00086FA8" w:rsidP="00E6192E">
      <w:pPr>
        <w:spacing w:line="480" w:lineRule="auto"/>
        <w:ind w:firstLine="720"/>
        <w:rPr>
          <w:rFonts w:ascii="Times New Roman" w:hAnsi="Times New Roman" w:cs="Times New Roman"/>
        </w:rPr>
      </w:pPr>
      <w:r w:rsidRPr="00304F2D">
        <w:rPr>
          <w:rFonts w:ascii="Times New Roman" w:hAnsi="Times New Roman" w:cs="Times New Roman"/>
        </w:rPr>
        <w:t>This article examines longitudinal patterns in</w:t>
      </w:r>
      <w:r w:rsidR="006B605C" w:rsidRPr="00304F2D">
        <w:rPr>
          <w:rFonts w:ascii="Times New Roman" w:hAnsi="Times New Roman" w:cs="Times New Roman"/>
        </w:rPr>
        <w:t xml:space="preserve"> charity </w:t>
      </w:r>
      <w:r w:rsidR="00C93033" w:rsidRPr="00304F2D">
        <w:rPr>
          <w:rFonts w:ascii="Times New Roman" w:hAnsi="Times New Roman" w:cs="Times New Roman"/>
        </w:rPr>
        <w:t xml:space="preserve">support </w:t>
      </w:r>
      <w:r w:rsidR="006B605C" w:rsidRPr="00304F2D">
        <w:rPr>
          <w:rFonts w:ascii="Times New Roman" w:hAnsi="Times New Roman" w:cs="Times New Roman"/>
        </w:rPr>
        <w:t>and</w:t>
      </w:r>
      <w:r w:rsidRPr="00304F2D">
        <w:rPr>
          <w:rFonts w:ascii="Times New Roman" w:hAnsi="Times New Roman" w:cs="Times New Roman"/>
        </w:rPr>
        <w:t xml:space="preserve"> blood donation </w:t>
      </w:r>
      <w:proofErr w:type="spellStart"/>
      <w:r w:rsidR="00DA46F6" w:rsidRPr="00304F2D">
        <w:rPr>
          <w:rFonts w:ascii="Times New Roman" w:hAnsi="Times New Roman" w:cs="Times New Roman"/>
        </w:rPr>
        <w:t>behaviour</w:t>
      </w:r>
      <w:proofErr w:type="spellEnd"/>
      <w:r w:rsidR="00DA46F6" w:rsidRPr="00304F2D">
        <w:rPr>
          <w:rFonts w:ascii="Times New Roman" w:hAnsi="Times New Roman" w:cs="Times New Roman"/>
        </w:rPr>
        <w:t xml:space="preserve">, with a particular focus on two important </w:t>
      </w:r>
      <w:r w:rsidR="00C93033" w:rsidRPr="00304F2D">
        <w:rPr>
          <w:rFonts w:ascii="Times New Roman" w:hAnsi="Times New Roman" w:cs="Times New Roman"/>
        </w:rPr>
        <w:t>groups</w:t>
      </w:r>
      <w:r w:rsidR="003D1C98" w:rsidRPr="00304F2D">
        <w:rPr>
          <w:rFonts w:ascii="Times New Roman" w:hAnsi="Times New Roman" w:cs="Times New Roman"/>
        </w:rPr>
        <w:t xml:space="preserve">: </w:t>
      </w:r>
      <w:r w:rsidR="00DA46F6" w:rsidRPr="00304F2D">
        <w:rPr>
          <w:rFonts w:ascii="Times New Roman" w:hAnsi="Times New Roman" w:cs="Times New Roman"/>
        </w:rPr>
        <w:t>new donors and frequent</w:t>
      </w:r>
      <w:r w:rsidR="00886FC1" w:rsidRPr="00304F2D">
        <w:rPr>
          <w:rFonts w:ascii="Times New Roman" w:hAnsi="Times New Roman" w:cs="Times New Roman"/>
        </w:rPr>
        <w:t xml:space="preserve"> (3+ times in one year)</w:t>
      </w:r>
      <w:r w:rsidR="00DA46F6" w:rsidRPr="00304F2D">
        <w:rPr>
          <w:rFonts w:ascii="Times New Roman" w:hAnsi="Times New Roman" w:cs="Times New Roman"/>
        </w:rPr>
        <w:t xml:space="preserve"> donors.</w:t>
      </w:r>
      <w:r w:rsidR="003D1C98" w:rsidRPr="00304F2D">
        <w:rPr>
          <w:rFonts w:ascii="Times New Roman" w:hAnsi="Times New Roman" w:cs="Times New Roman"/>
        </w:rPr>
        <w:t xml:space="preserve"> </w:t>
      </w:r>
      <w:r w:rsidR="000E4058" w:rsidRPr="00304F2D">
        <w:rPr>
          <w:rFonts w:ascii="Times New Roman" w:hAnsi="Times New Roman" w:cs="Times New Roman"/>
        </w:rPr>
        <w:t xml:space="preserve">Our </w:t>
      </w:r>
      <w:r w:rsidR="00C93033" w:rsidRPr="00304F2D">
        <w:rPr>
          <w:rFonts w:ascii="Times New Roman" w:hAnsi="Times New Roman" w:cs="Times New Roman"/>
        </w:rPr>
        <w:t xml:space="preserve">analysis </w:t>
      </w:r>
      <w:r w:rsidR="000E4058" w:rsidRPr="00304F2D">
        <w:rPr>
          <w:rFonts w:ascii="Times New Roman" w:hAnsi="Times New Roman" w:cs="Times New Roman"/>
        </w:rPr>
        <w:t>encompassed two blood products (whole blood and plasma) for the Australian Red Cross Blood Service</w:t>
      </w:r>
      <w:r w:rsidR="00185767" w:rsidRPr="00304F2D">
        <w:rPr>
          <w:rFonts w:ascii="Times New Roman" w:hAnsi="Times New Roman" w:cs="Times New Roman"/>
        </w:rPr>
        <w:t>,</w:t>
      </w:r>
      <w:r w:rsidR="000E4058" w:rsidRPr="00304F2D">
        <w:rPr>
          <w:rFonts w:ascii="Times New Roman" w:hAnsi="Times New Roman" w:cs="Times New Roman"/>
        </w:rPr>
        <w:t xml:space="preserve"> and monetary donations to a</w:t>
      </w:r>
      <w:r w:rsidR="00373224" w:rsidRPr="00304F2D">
        <w:rPr>
          <w:rFonts w:ascii="Times New Roman" w:hAnsi="Times New Roman" w:cs="Times New Roman"/>
        </w:rPr>
        <w:t xml:space="preserve"> </w:t>
      </w:r>
      <w:r w:rsidR="00A31F38" w:rsidRPr="00304F2D">
        <w:rPr>
          <w:rFonts w:ascii="Times New Roman" w:hAnsi="Times New Roman" w:cs="Times New Roman"/>
        </w:rPr>
        <w:t>h</w:t>
      </w:r>
      <w:r w:rsidR="00373224" w:rsidRPr="00304F2D">
        <w:rPr>
          <w:rFonts w:ascii="Times New Roman" w:hAnsi="Times New Roman" w:cs="Times New Roman"/>
        </w:rPr>
        <w:t xml:space="preserve">ealth </w:t>
      </w:r>
      <w:r w:rsidR="00C93033" w:rsidRPr="00304F2D">
        <w:rPr>
          <w:rFonts w:ascii="Times New Roman" w:hAnsi="Times New Roman" w:cs="Times New Roman"/>
        </w:rPr>
        <w:t xml:space="preserve">charity in </w:t>
      </w:r>
      <w:r w:rsidR="00636D9D" w:rsidRPr="00304F2D">
        <w:rPr>
          <w:rFonts w:ascii="Times New Roman" w:hAnsi="Times New Roman" w:cs="Times New Roman"/>
        </w:rPr>
        <w:t>the United States</w:t>
      </w:r>
      <w:r w:rsidR="000E4058" w:rsidRPr="00304F2D">
        <w:rPr>
          <w:rFonts w:ascii="Times New Roman" w:hAnsi="Times New Roman" w:cs="Times New Roman"/>
        </w:rPr>
        <w:t xml:space="preserve">.  </w:t>
      </w:r>
    </w:p>
    <w:p w14:paraId="0903FBA6" w14:textId="77B1FB7A" w:rsidR="00D63C2A" w:rsidRDefault="00A20782" w:rsidP="00E6192E">
      <w:pPr>
        <w:spacing w:line="480" w:lineRule="auto"/>
        <w:ind w:firstLine="720"/>
        <w:rPr>
          <w:rFonts w:ascii="Times New Roman" w:hAnsi="Times New Roman" w:cs="Times New Roman"/>
        </w:rPr>
      </w:pPr>
      <w:r w:rsidRPr="00304F2D">
        <w:rPr>
          <w:rFonts w:ascii="Times New Roman" w:hAnsi="Times New Roman" w:cs="Times New Roman"/>
        </w:rPr>
        <w:t xml:space="preserve">Overall, results indicate that law-like patterns identified in </w:t>
      </w:r>
      <w:r w:rsidR="003D1C98" w:rsidRPr="00304F2D">
        <w:rPr>
          <w:rFonts w:ascii="Times New Roman" w:hAnsi="Times New Roman" w:cs="Times New Roman"/>
        </w:rPr>
        <w:t>packaged goods</w:t>
      </w:r>
      <w:r w:rsidR="005D6398" w:rsidRPr="00304F2D">
        <w:rPr>
          <w:rFonts w:ascii="Times New Roman" w:hAnsi="Times New Roman" w:cs="Times New Roman"/>
        </w:rPr>
        <w:t xml:space="preserve"> </w:t>
      </w:r>
      <w:r w:rsidRPr="00304F2D">
        <w:rPr>
          <w:rFonts w:ascii="Times New Roman" w:hAnsi="Times New Roman" w:cs="Times New Roman"/>
        </w:rPr>
        <w:t>markets also apply to non-profit markets</w:t>
      </w:r>
      <w:r w:rsidR="00D63C2A" w:rsidRPr="00304F2D">
        <w:rPr>
          <w:rFonts w:ascii="Times New Roman" w:hAnsi="Times New Roman" w:cs="Times New Roman"/>
        </w:rPr>
        <w:t>, providing confidence in extending their use for setting strategies for growth</w:t>
      </w:r>
      <w:r w:rsidR="003D1C98" w:rsidRPr="00304F2D">
        <w:rPr>
          <w:rFonts w:ascii="Times New Roman" w:hAnsi="Times New Roman" w:cs="Times New Roman"/>
        </w:rPr>
        <w:t xml:space="preserve">. </w:t>
      </w:r>
      <w:r w:rsidRPr="00304F2D">
        <w:rPr>
          <w:rFonts w:ascii="Times New Roman" w:hAnsi="Times New Roman" w:cs="Times New Roman"/>
        </w:rPr>
        <w:t>Results for mone</w:t>
      </w:r>
      <w:r w:rsidR="00E6192E" w:rsidRPr="00304F2D">
        <w:rPr>
          <w:rFonts w:ascii="Times New Roman" w:hAnsi="Times New Roman" w:cs="Times New Roman"/>
        </w:rPr>
        <w:t>y and blood</w:t>
      </w:r>
      <w:r w:rsidR="00892EB4">
        <w:rPr>
          <w:rFonts w:ascii="Times New Roman" w:hAnsi="Times New Roman" w:cs="Times New Roman"/>
        </w:rPr>
        <w:t xml:space="preserve"> donations</w:t>
      </w:r>
      <w:r w:rsidR="00E6192E" w:rsidRPr="00304F2D">
        <w:rPr>
          <w:rFonts w:ascii="Times New Roman" w:hAnsi="Times New Roman" w:cs="Times New Roman"/>
        </w:rPr>
        <w:t xml:space="preserve"> support H1, H2 &amp; H4.  </w:t>
      </w:r>
      <w:r w:rsidR="00D63C2A" w:rsidRPr="00304F2D">
        <w:rPr>
          <w:rFonts w:ascii="Times New Roman" w:hAnsi="Times New Roman" w:cs="Times New Roman"/>
        </w:rPr>
        <w:t>H3 was not supported. The key findings and their implications now follow:</w:t>
      </w:r>
    </w:p>
    <w:p w14:paraId="02097CD9" w14:textId="77777777" w:rsidR="00892EB4" w:rsidRPr="00304F2D" w:rsidRDefault="00892EB4" w:rsidP="00E6192E">
      <w:pPr>
        <w:spacing w:line="480" w:lineRule="auto"/>
        <w:ind w:firstLine="720"/>
        <w:rPr>
          <w:rFonts w:ascii="Times New Roman" w:hAnsi="Times New Roman" w:cs="Times New Roman"/>
        </w:rPr>
      </w:pPr>
    </w:p>
    <w:p w14:paraId="0DA2533C" w14:textId="275FDB7F" w:rsidR="00680C9B" w:rsidRPr="00304F2D" w:rsidRDefault="00680C9B" w:rsidP="00065D93">
      <w:pPr>
        <w:spacing w:line="480" w:lineRule="auto"/>
        <w:ind w:firstLine="720"/>
        <w:rPr>
          <w:rFonts w:ascii="Times New Roman" w:hAnsi="Times New Roman" w:cs="Times New Roman"/>
          <w:i/>
        </w:rPr>
      </w:pPr>
      <w:r w:rsidRPr="00304F2D">
        <w:rPr>
          <w:rFonts w:ascii="Times New Roman" w:hAnsi="Times New Roman" w:cs="Times New Roman"/>
          <w:i/>
        </w:rPr>
        <w:lastRenderedPageBreak/>
        <w:t>New donors</w:t>
      </w:r>
    </w:p>
    <w:p w14:paraId="486610CD" w14:textId="2D7F1731" w:rsidR="00A276C9" w:rsidRPr="00304F2D" w:rsidRDefault="000E4058" w:rsidP="00065D93">
      <w:pPr>
        <w:spacing w:line="480" w:lineRule="auto"/>
        <w:ind w:firstLine="720"/>
        <w:rPr>
          <w:rFonts w:ascii="Times New Roman" w:hAnsi="Times New Roman" w:cs="Times New Roman"/>
        </w:rPr>
      </w:pPr>
      <w:r w:rsidRPr="00304F2D">
        <w:rPr>
          <w:rFonts w:ascii="Times New Roman" w:hAnsi="Times New Roman" w:cs="Times New Roman"/>
        </w:rPr>
        <w:t>The majori</w:t>
      </w:r>
      <w:r w:rsidR="002D5D15" w:rsidRPr="00304F2D">
        <w:rPr>
          <w:rFonts w:ascii="Times New Roman" w:hAnsi="Times New Roman" w:cs="Times New Roman"/>
        </w:rPr>
        <w:t xml:space="preserve">ty of new donors donate </w:t>
      </w:r>
      <w:r w:rsidR="00C013E7" w:rsidRPr="00304F2D">
        <w:rPr>
          <w:rFonts w:ascii="Times New Roman" w:hAnsi="Times New Roman" w:cs="Times New Roman"/>
        </w:rPr>
        <w:t>once-a-year</w:t>
      </w:r>
      <w:r w:rsidR="003D1C98" w:rsidRPr="00304F2D">
        <w:rPr>
          <w:rFonts w:ascii="Times New Roman" w:hAnsi="Times New Roman" w:cs="Times New Roman"/>
        </w:rPr>
        <w:t xml:space="preserve">. </w:t>
      </w:r>
      <w:r w:rsidR="00190383" w:rsidRPr="00304F2D">
        <w:rPr>
          <w:rFonts w:ascii="Times New Roman" w:hAnsi="Times New Roman" w:cs="Times New Roman"/>
        </w:rPr>
        <w:t>New donors</w:t>
      </w:r>
      <w:r w:rsidR="001558E0" w:rsidRPr="00304F2D">
        <w:rPr>
          <w:rFonts w:ascii="Times New Roman" w:hAnsi="Times New Roman" w:cs="Times New Roman"/>
        </w:rPr>
        <w:t xml:space="preserve"> </w:t>
      </w:r>
      <w:r w:rsidR="00190383" w:rsidRPr="00304F2D">
        <w:rPr>
          <w:rFonts w:ascii="Times New Roman" w:hAnsi="Times New Roman" w:cs="Times New Roman"/>
        </w:rPr>
        <w:t>follow</w:t>
      </w:r>
      <w:r w:rsidR="00AA0759" w:rsidRPr="00304F2D">
        <w:rPr>
          <w:rFonts w:ascii="Times New Roman" w:hAnsi="Times New Roman" w:cs="Times New Roman"/>
        </w:rPr>
        <w:t xml:space="preserve"> a similar pattern to the normal </w:t>
      </w:r>
      <w:r w:rsidR="00190383" w:rsidRPr="00304F2D">
        <w:rPr>
          <w:rFonts w:ascii="Times New Roman" w:hAnsi="Times New Roman" w:cs="Times New Roman"/>
        </w:rPr>
        <w:t>supporter</w:t>
      </w:r>
      <w:r w:rsidR="00AA0759" w:rsidRPr="00304F2D">
        <w:rPr>
          <w:rFonts w:ascii="Times New Roman" w:hAnsi="Times New Roman" w:cs="Times New Roman"/>
        </w:rPr>
        <w:t xml:space="preserve"> base</w:t>
      </w:r>
      <w:r w:rsidR="00E6192E" w:rsidRPr="00304F2D">
        <w:rPr>
          <w:rFonts w:ascii="Times New Roman" w:hAnsi="Times New Roman" w:cs="Times New Roman"/>
        </w:rPr>
        <w:t xml:space="preserve"> (supporting H1)</w:t>
      </w:r>
      <w:r w:rsidR="00AA0759" w:rsidRPr="00304F2D">
        <w:rPr>
          <w:rFonts w:ascii="Times New Roman" w:hAnsi="Times New Roman" w:cs="Times New Roman"/>
        </w:rPr>
        <w:t xml:space="preserve">, but </w:t>
      </w:r>
      <w:r w:rsidR="00190383" w:rsidRPr="00304F2D">
        <w:rPr>
          <w:rFonts w:ascii="Times New Roman" w:hAnsi="Times New Roman" w:cs="Times New Roman"/>
        </w:rPr>
        <w:t>the distribution is</w:t>
      </w:r>
      <w:r w:rsidR="00185767" w:rsidRPr="00304F2D">
        <w:rPr>
          <w:rFonts w:ascii="Times New Roman" w:hAnsi="Times New Roman" w:cs="Times New Roman"/>
        </w:rPr>
        <w:t xml:space="preserve"> </w:t>
      </w:r>
      <w:r w:rsidR="00AA0759" w:rsidRPr="00304F2D">
        <w:rPr>
          <w:rFonts w:ascii="Times New Roman" w:hAnsi="Times New Roman" w:cs="Times New Roman"/>
        </w:rPr>
        <w:t xml:space="preserve">even more skewed </w:t>
      </w:r>
      <w:r w:rsidR="003D0C52" w:rsidRPr="00304F2D">
        <w:rPr>
          <w:rFonts w:ascii="Times New Roman" w:hAnsi="Times New Roman" w:cs="Times New Roman"/>
        </w:rPr>
        <w:t>towards</w:t>
      </w:r>
      <w:r w:rsidR="005D5E1A" w:rsidRPr="00304F2D">
        <w:rPr>
          <w:rFonts w:ascii="Times New Roman" w:hAnsi="Times New Roman" w:cs="Times New Roman"/>
        </w:rPr>
        <w:t xml:space="preserve"> this</w:t>
      </w:r>
      <w:r w:rsidR="003D0C52" w:rsidRPr="00304F2D">
        <w:rPr>
          <w:rFonts w:ascii="Times New Roman" w:hAnsi="Times New Roman" w:cs="Times New Roman"/>
        </w:rPr>
        <w:t xml:space="preserve"> </w:t>
      </w:r>
      <w:r w:rsidR="001558E0" w:rsidRPr="00304F2D">
        <w:rPr>
          <w:rFonts w:ascii="Times New Roman" w:hAnsi="Times New Roman" w:cs="Times New Roman"/>
        </w:rPr>
        <w:t>infrequent</w:t>
      </w:r>
      <w:r w:rsidR="00CF3BD3" w:rsidRPr="00304F2D">
        <w:rPr>
          <w:rFonts w:ascii="Times New Roman" w:hAnsi="Times New Roman" w:cs="Times New Roman"/>
        </w:rPr>
        <w:t xml:space="preserve"> don</w:t>
      </w:r>
      <w:r w:rsidR="003D0C52" w:rsidRPr="00304F2D">
        <w:rPr>
          <w:rFonts w:ascii="Times New Roman" w:hAnsi="Times New Roman" w:cs="Times New Roman"/>
        </w:rPr>
        <w:t>ation rate</w:t>
      </w:r>
      <w:r w:rsidR="003D1C98" w:rsidRPr="00304F2D">
        <w:rPr>
          <w:rFonts w:ascii="Times New Roman" w:hAnsi="Times New Roman" w:cs="Times New Roman"/>
        </w:rPr>
        <w:t xml:space="preserve">, (supporting H2). </w:t>
      </w:r>
      <w:r w:rsidR="00E6192E" w:rsidRPr="00304F2D">
        <w:rPr>
          <w:rFonts w:ascii="Times New Roman" w:hAnsi="Times New Roman" w:cs="Times New Roman"/>
        </w:rPr>
        <w:t>O</w:t>
      </w:r>
      <w:r w:rsidR="00AA0759" w:rsidRPr="00304F2D">
        <w:rPr>
          <w:rFonts w:ascii="Times New Roman" w:hAnsi="Times New Roman" w:cs="Times New Roman"/>
        </w:rPr>
        <w:t xml:space="preserve">ver time, some </w:t>
      </w:r>
      <w:r w:rsidR="00C013E7" w:rsidRPr="00304F2D">
        <w:rPr>
          <w:rFonts w:ascii="Times New Roman" w:hAnsi="Times New Roman" w:cs="Times New Roman"/>
        </w:rPr>
        <w:t>once-</w:t>
      </w:r>
      <w:r w:rsidR="0016464F" w:rsidRPr="00304F2D">
        <w:rPr>
          <w:rFonts w:ascii="Times New Roman" w:hAnsi="Times New Roman" w:cs="Times New Roman"/>
        </w:rPr>
        <w:t xml:space="preserve">only </w:t>
      </w:r>
      <w:r w:rsidR="00AA0759" w:rsidRPr="00304F2D">
        <w:rPr>
          <w:rFonts w:ascii="Times New Roman" w:hAnsi="Times New Roman" w:cs="Times New Roman"/>
        </w:rPr>
        <w:t xml:space="preserve">new donors become more frequent donors, but the </w:t>
      </w:r>
      <w:proofErr w:type="gramStart"/>
      <w:r w:rsidR="00AA0759" w:rsidRPr="00304F2D">
        <w:rPr>
          <w:rFonts w:ascii="Times New Roman" w:hAnsi="Times New Roman" w:cs="Times New Roman"/>
        </w:rPr>
        <w:t>majority remain</w:t>
      </w:r>
      <w:proofErr w:type="gramEnd"/>
      <w:r w:rsidR="00AA0759" w:rsidRPr="00304F2D">
        <w:rPr>
          <w:rFonts w:ascii="Times New Roman" w:hAnsi="Times New Roman" w:cs="Times New Roman"/>
        </w:rPr>
        <w:t xml:space="preserve"> once-only donors. </w:t>
      </w:r>
      <w:r w:rsidR="00C7465D" w:rsidRPr="00304F2D">
        <w:rPr>
          <w:rFonts w:ascii="Times New Roman" w:hAnsi="Times New Roman" w:cs="Times New Roman"/>
        </w:rPr>
        <w:t>This</w:t>
      </w:r>
      <w:r w:rsidR="00C4692C" w:rsidRPr="00304F2D">
        <w:rPr>
          <w:rFonts w:ascii="Times New Roman" w:hAnsi="Times New Roman" w:cs="Times New Roman"/>
        </w:rPr>
        <w:t xml:space="preserve"> pattern</w:t>
      </w:r>
      <w:r w:rsidR="00C7465D" w:rsidRPr="00304F2D">
        <w:rPr>
          <w:rFonts w:ascii="Times New Roman" w:hAnsi="Times New Roman" w:cs="Times New Roman"/>
        </w:rPr>
        <w:t xml:space="preserve"> is consistent </w:t>
      </w:r>
      <w:r w:rsidR="00C4692C" w:rsidRPr="00304F2D">
        <w:rPr>
          <w:rFonts w:ascii="Times New Roman" w:hAnsi="Times New Roman" w:cs="Times New Roman"/>
        </w:rPr>
        <w:t>across years and also mimics</w:t>
      </w:r>
      <w:r w:rsidR="00C7465D" w:rsidRPr="00304F2D">
        <w:rPr>
          <w:rFonts w:ascii="Times New Roman" w:hAnsi="Times New Roman" w:cs="Times New Roman"/>
        </w:rPr>
        <w:t xml:space="preserve"> </w:t>
      </w:r>
      <w:r w:rsidR="00FA5513" w:rsidRPr="00304F2D">
        <w:rPr>
          <w:rFonts w:ascii="Times New Roman" w:hAnsi="Times New Roman" w:cs="Times New Roman"/>
        </w:rPr>
        <w:t xml:space="preserve">results from </w:t>
      </w:r>
      <w:r w:rsidR="00C7465D" w:rsidRPr="00304F2D">
        <w:rPr>
          <w:rFonts w:ascii="Times New Roman" w:hAnsi="Times New Roman" w:cs="Times New Roman"/>
        </w:rPr>
        <w:t>repeat purchase</w:t>
      </w:r>
      <w:r w:rsidR="00892EB4">
        <w:rPr>
          <w:rFonts w:ascii="Times New Roman" w:hAnsi="Times New Roman" w:cs="Times New Roman"/>
        </w:rPr>
        <w:t>s</w:t>
      </w:r>
      <w:r w:rsidR="00C7465D" w:rsidRPr="00304F2D">
        <w:rPr>
          <w:rFonts w:ascii="Times New Roman" w:hAnsi="Times New Roman" w:cs="Times New Roman"/>
        </w:rPr>
        <w:t xml:space="preserve"> </w:t>
      </w:r>
      <w:r w:rsidR="003D0C52" w:rsidRPr="00304F2D">
        <w:rPr>
          <w:rFonts w:ascii="Times New Roman" w:hAnsi="Times New Roman" w:cs="Times New Roman"/>
        </w:rPr>
        <w:t xml:space="preserve">in </w:t>
      </w:r>
      <w:r w:rsidR="00C7465D" w:rsidRPr="00304F2D">
        <w:rPr>
          <w:rFonts w:ascii="Times New Roman" w:hAnsi="Times New Roman" w:cs="Times New Roman"/>
        </w:rPr>
        <w:t xml:space="preserve">consumer </w:t>
      </w:r>
      <w:r w:rsidR="003D0C52" w:rsidRPr="00304F2D">
        <w:rPr>
          <w:rFonts w:ascii="Times New Roman" w:hAnsi="Times New Roman" w:cs="Times New Roman"/>
        </w:rPr>
        <w:t xml:space="preserve">markets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&lt;EndNote&gt;&lt;Cite&gt;&lt;Author&gt;Ehrenberg&lt;/Author&gt;&lt;Year&gt;2000&lt;/Year&gt;&lt;RecNum&gt;442&lt;/RecNum&gt;&lt;DisplayText&gt;(Ehrenberg, 2000)&lt;/DisplayText&gt;&lt;record&gt;&lt;rec-number&gt;442&lt;/rec-number&gt;&lt;foreign-keys&gt;&lt;key app="EN" db-id="eswazv0p5wsezae2sd8pf59gf50trdav5fsw" timestamp="0"&gt;442&lt;/key&gt;&lt;/foreign-keys&gt;&lt;ref-type name="Journal Article"&gt;17&lt;/ref-type&gt;&lt;contributors&gt;&lt;authors&gt;&lt;author&gt;Ehrenberg, Andrew&lt;/author&gt;&lt;/authors&gt;&lt;/contributors&gt;&lt;titles&gt;&lt;title&gt;Repeat-Buying: facts, theory and applications&lt;/title&gt;&lt;secondary-title&gt;Journal of Empirical Generalisations in Marketing Science&lt;/secondary-title&gt;&lt;/titles&gt;&lt;pages&gt;392-770&lt;/pages&gt;&lt;volume&gt;5&lt;/volume&gt;&lt;edition&gt;3rd&lt;/edition&gt;&lt;keywords&gt;&lt;keyword&gt;Brand, Brand Loyalty&lt;/keyword&gt;&lt;/keywords&gt;&lt;dates&gt;&lt;year&gt;2000&lt;/year&gt;&lt;/dates&gt;&lt;urls&gt;&lt;/urls&gt;&lt;/record&gt;&lt;/Cite&gt;&lt;/EndNote&gt;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26" w:tooltip="Ehrenberg, 2000 #442" w:history="1">
        <w:r w:rsidR="00DA6B8D" w:rsidRPr="00304F2D">
          <w:rPr>
            <w:rFonts w:ascii="Times New Roman" w:hAnsi="Times New Roman" w:cs="Times New Roman"/>
            <w:noProof/>
          </w:rPr>
          <w:t>Ehrenberg, 2000</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185767" w:rsidRPr="00304F2D">
        <w:rPr>
          <w:rFonts w:ascii="Times New Roman" w:hAnsi="Times New Roman" w:cs="Times New Roman"/>
        </w:rPr>
        <w:t>.</w:t>
      </w:r>
      <w:r w:rsidR="005F2E08" w:rsidRPr="00304F2D">
        <w:rPr>
          <w:rFonts w:ascii="Times New Roman" w:hAnsi="Times New Roman" w:cs="Times New Roman"/>
        </w:rPr>
        <w:t xml:space="preserve"> </w:t>
      </w:r>
      <w:r w:rsidR="00C013E7" w:rsidRPr="00304F2D">
        <w:rPr>
          <w:rFonts w:ascii="Times New Roman" w:hAnsi="Times New Roman" w:cs="Times New Roman"/>
        </w:rPr>
        <w:t>Once-</w:t>
      </w:r>
      <w:r w:rsidR="003E2C24" w:rsidRPr="00304F2D">
        <w:rPr>
          <w:rFonts w:ascii="Times New Roman" w:hAnsi="Times New Roman" w:cs="Times New Roman"/>
        </w:rPr>
        <w:t>only donors comprise the largest group, regardless of market growth or</w:t>
      </w:r>
      <w:r w:rsidR="003D1C98" w:rsidRPr="00304F2D">
        <w:rPr>
          <w:rFonts w:ascii="Times New Roman" w:hAnsi="Times New Roman" w:cs="Times New Roman"/>
        </w:rPr>
        <w:t xml:space="preserve"> decline (H3</w:t>
      </w:r>
      <w:r w:rsidR="00E6192E" w:rsidRPr="00304F2D">
        <w:rPr>
          <w:rFonts w:ascii="Times New Roman" w:hAnsi="Times New Roman" w:cs="Times New Roman"/>
        </w:rPr>
        <w:t xml:space="preserve">). </w:t>
      </w:r>
    </w:p>
    <w:p w14:paraId="1FF2D9CF" w14:textId="7B03589B" w:rsidR="00065D93" w:rsidRPr="00304F2D" w:rsidRDefault="00065D93" w:rsidP="00483DD1">
      <w:pPr>
        <w:spacing w:line="480" w:lineRule="auto"/>
        <w:ind w:firstLine="720"/>
        <w:rPr>
          <w:rFonts w:ascii="Times New Roman" w:hAnsi="Times New Roman" w:cs="Times New Roman"/>
        </w:rPr>
      </w:pPr>
      <w:r w:rsidRPr="00304F2D">
        <w:rPr>
          <w:rFonts w:ascii="Times New Roman" w:hAnsi="Times New Roman" w:cs="Times New Roman"/>
        </w:rPr>
        <w:t xml:space="preserve">One important insight is that </w:t>
      </w:r>
      <w:r w:rsidR="00B724CF" w:rsidRPr="00304F2D">
        <w:rPr>
          <w:rFonts w:ascii="Times New Roman" w:hAnsi="Times New Roman" w:cs="Times New Roman"/>
        </w:rPr>
        <w:t xml:space="preserve">non-profits </w:t>
      </w:r>
      <w:r w:rsidRPr="00304F2D">
        <w:rPr>
          <w:rFonts w:ascii="Times New Roman" w:hAnsi="Times New Roman" w:cs="Times New Roman"/>
        </w:rPr>
        <w:t xml:space="preserve">should not deter donors by making them feel guilty when </w:t>
      </w:r>
      <w:r w:rsidR="00B724CF" w:rsidRPr="00304F2D">
        <w:rPr>
          <w:rFonts w:ascii="Times New Roman" w:hAnsi="Times New Roman" w:cs="Times New Roman"/>
        </w:rPr>
        <w:t xml:space="preserve">they do not donate </w:t>
      </w:r>
      <w:r w:rsidR="00F819E8" w:rsidRPr="00304F2D">
        <w:rPr>
          <w:rFonts w:ascii="Times New Roman" w:hAnsi="Times New Roman" w:cs="Times New Roman"/>
        </w:rPr>
        <w:t xml:space="preserve">on a </w:t>
      </w:r>
      <w:r w:rsidR="00B724CF" w:rsidRPr="00304F2D">
        <w:rPr>
          <w:rFonts w:ascii="Times New Roman" w:hAnsi="Times New Roman" w:cs="Times New Roman"/>
        </w:rPr>
        <w:t>f</w:t>
      </w:r>
      <w:r w:rsidR="00F819E8" w:rsidRPr="00304F2D">
        <w:rPr>
          <w:rFonts w:ascii="Times New Roman" w:hAnsi="Times New Roman" w:cs="Times New Roman"/>
        </w:rPr>
        <w:t>requent basis</w:t>
      </w:r>
      <w:r w:rsidR="003D1C98" w:rsidRPr="00304F2D">
        <w:rPr>
          <w:rFonts w:ascii="Times New Roman" w:hAnsi="Times New Roman" w:cs="Times New Roman"/>
        </w:rPr>
        <w:t xml:space="preserve">. </w:t>
      </w:r>
      <w:r w:rsidR="00E5044D" w:rsidRPr="00304F2D">
        <w:rPr>
          <w:rFonts w:ascii="Times New Roman" w:hAnsi="Times New Roman" w:cs="Times New Roman"/>
        </w:rPr>
        <w:t>Making people feel good about what they do contribute</w:t>
      </w:r>
      <w:r w:rsidR="004D3DA0" w:rsidRPr="00304F2D">
        <w:rPr>
          <w:rFonts w:ascii="Times New Roman" w:hAnsi="Times New Roman" w:cs="Times New Roman"/>
        </w:rPr>
        <w:t>,</w:t>
      </w:r>
      <w:r w:rsidR="00E5044D" w:rsidRPr="00304F2D">
        <w:rPr>
          <w:rFonts w:ascii="Times New Roman" w:hAnsi="Times New Roman" w:cs="Times New Roman"/>
        </w:rPr>
        <w:t xml:space="preserve"> and encouraging that once</w:t>
      </w:r>
      <w:r w:rsidR="00373224" w:rsidRPr="00304F2D">
        <w:rPr>
          <w:rFonts w:ascii="Times New Roman" w:hAnsi="Times New Roman" w:cs="Times New Roman"/>
        </w:rPr>
        <w:t>-</w:t>
      </w:r>
      <w:r w:rsidR="00E5044D" w:rsidRPr="00304F2D">
        <w:rPr>
          <w:rFonts w:ascii="Times New Roman" w:hAnsi="Times New Roman" w:cs="Times New Roman"/>
        </w:rPr>
        <w:t>a</w:t>
      </w:r>
      <w:r w:rsidR="00373224" w:rsidRPr="00304F2D">
        <w:rPr>
          <w:rFonts w:ascii="Times New Roman" w:hAnsi="Times New Roman" w:cs="Times New Roman"/>
        </w:rPr>
        <w:t>-</w:t>
      </w:r>
      <w:r w:rsidR="00E5044D" w:rsidRPr="00304F2D">
        <w:rPr>
          <w:rFonts w:ascii="Times New Roman" w:hAnsi="Times New Roman" w:cs="Times New Roman"/>
        </w:rPr>
        <w:t xml:space="preserve">year </w:t>
      </w:r>
      <w:proofErr w:type="spellStart"/>
      <w:r w:rsidR="00E5044D" w:rsidRPr="00304F2D">
        <w:rPr>
          <w:rFonts w:ascii="Times New Roman" w:hAnsi="Times New Roman" w:cs="Times New Roman"/>
        </w:rPr>
        <w:t>behavio</w:t>
      </w:r>
      <w:r w:rsidR="009F06E0" w:rsidRPr="00304F2D">
        <w:rPr>
          <w:rFonts w:ascii="Times New Roman" w:hAnsi="Times New Roman" w:cs="Times New Roman"/>
        </w:rPr>
        <w:t>u</w:t>
      </w:r>
      <w:r w:rsidR="00E5044D" w:rsidRPr="00304F2D">
        <w:rPr>
          <w:rFonts w:ascii="Times New Roman" w:hAnsi="Times New Roman" w:cs="Times New Roman"/>
        </w:rPr>
        <w:t>r</w:t>
      </w:r>
      <w:proofErr w:type="spellEnd"/>
      <w:r w:rsidR="004D3DA0" w:rsidRPr="00304F2D">
        <w:rPr>
          <w:rFonts w:ascii="Times New Roman" w:hAnsi="Times New Roman" w:cs="Times New Roman"/>
        </w:rPr>
        <w:t>,</w:t>
      </w:r>
      <w:r w:rsidR="00E5044D" w:rsidRPr="00304F2D">
        <w:rPr>
          <w:rFonts w:ascii="Times New Roman" w:hAnsi="Times New Roman" w:cs="Times New Roman"/>
        </w:rPr>
        <w:t xml:space="preserve"> is important for </w:t>
      </w:r>
      <w:r w:rsidR="009F06E0" w:rsidRPr="00304F2D">
        <w:rPr>
          <w:rFonts w:ascii="Times New Roman" w:hAnsi="Times New Roman" w:cs="Times New Roman"/>
        </w:rPr>
        <w:t xml:space="preserve">maintaining the </w:t>
      </w:r>
      <w:r w:rsidR="003D1C98" w:rsidRPr="00304F2D">
        <w:rPr>
          <w:rFonts w:ascii="Times New Roman" w:hAnsi="Times New Roman" w:cs="Times New Roman"/>
        </w:rPr>
        <w:t xml:space="preserve">donor base. </w:t>
      </w:r>
      <w:r w:rsidR="00185767" w:rsidRPr="00304F2D">
        <w:rPr>
          <w:rFonts w:ascii="Times New Roman" w:hAnsi="Times New Roman" w:cs="Times New Roman"/>
        </w:rPr>
        <w:t>G</w:t>
      </w:r>
      <w:r w:rsidR="00483DD1" w:rsidRPr="00304F2D">
        <w:rPr>
          <w:rFonts w:ascii="Times New Roman" w:hAnsi="Times New Roman" w:cs="Times New Roman"/>
        </w:rPr>
        <w:t xml:space="preserve">iven the </w:t>
      </w:r>
      <w:r w:rsidR="000279DB" w:rsidRPr="00304F2D">
        <w:rPr>
          <w:rFonts w:ascii="Times New Roman" w:hAnsi="Times New Roman" w:cs="Times New Roman"/>
        </w:rPr>
        <w:t xml:space="preserve">infrequency of </w:t>
      </w:r>
      <w:proofErr w:type="spellStart"/>
      <w:r w:rsidR="000279DB" w:rsidRPr="00304F2D">
        <w:rPr>
          <w:rFonts w:ascii="Times New Roman" w:hAnsi="Times New Roman" w:cs="Times New Roman"/>
        </w:rPr>
        <w:t>behaviour</w:t>
      </w:r>
      <w:proofErr w:type="spellEnd"/>
      <w:r w:rsidR="00185767" w:rsidRPr="00304F2D">
        <w:rPr>
          <w:rFonts w:ascii="Times New Roman" w:hAnsi="Times New Roman" w:cs="Times New Roman"/>
        </w:rPr>
        <w:t>,</w:t>
      </w:r>
      <w:r w:rsidR="000279DB" w:rsidRPr="00304F2D">
        <w:rPr>
          <w:rFonts w:ascii="Times New Roman" w:hAnsi="Times New Roman" w:cs="Times New Roman"/>
        </w:rPr>
        <w:t xml:space="preserve"> habits are not established</w:t>
      </w:r>
      <w:r w:rsidR="00C87F34" w:rsidRPr="00304F2D">
        <w:rPr>
          <w:rFonts w:ascii="Times New Roman" w:hAnsi="Times New Roman" w:cs="Times New Roman"/>
        </w:rPr>
        <w:t>, which</w:t>
      </w:r>
      <w:r w:rsidR="000279DB" w:rsidRPr="00304F2D">
        <w:rPr>
          <w:rFonts w:ascii="Times New Roman" w:hAnsi="Times New Roman" w:cs="Times New Roman"/>
        </w:rPr>
        <w:t xml:space="preserve"> makes</w:t>
      </w:r>
      <w:r w:rsidRPr="00304F2D">
        <w:rPr>
          <w:rFonts w:ascii="Times New Roman" w:hAnsi="Times New Roman" w:cs="Times New Roman"/>
        </w:rPr>
        <w:t xml:space="preserve"> it easy for </w:t>
      </w:r>
      <w:r w:rsidR="00A31F38" w:rsidRPr="00304F2D">
        <w:rPr>
          <w:rFonts w:ascii="Times New Roman" w:hAnsi="Times New Roman" w:cs="Times New Roman"/>
        </w:rPr>
        <w:t>donors</w:t>
      </w:r>
      <w:r w:rsidRPr="00304F2D">
        <w:rPr>
          <w:rFonts w:ascii="Times New Roman" w:hAnsi="Times New Roman" w:cs="Times New Roman"/>
        </w:rPr>
        <w:t xml:space="preserve"> to forget to </w:t>
      </w:r>
      <w:r w:rsidR="008C20BB" w:rsidRPr="00304F2D">
        <w:rPr>
          <w:rFonts w:ascii="Times New Roman" w:hAnsi="Times New Roman" w:cs="Times New Roman"/>
        </w:rPr>
        <w:t xml:space="preserve">make </w:t>
      </w:r>
      <w:r w:rsidR="000757E5">
        <w:rPr>
          <w:rFonts w:ascii="Times New Roman" w:hAnsi="Times New Roman" w:cs="Times New Roman"/>
        </w:rPr>
        <w:t>a</w:t>
      </w:r>
      <w:r w:rsidR="000757E5" w:rsidRPr="00304F2D">
        <w:rPr>
          <w:rFonts w:ascii="Times New Roman" w:hAnsi="Times New Roman" w:cs="Times New Roman"/>
        </w:rPr>
        <w:t xml:space="preserve"> </w:t>
      </w:r>
      <w:r w:rsidRPr="00304F2D">
        <w:rPr>
          <w:rFonts w:ascii="Times New Roman" w:hAnsi="Times New Roman" w:cs="Times New Roman"/>
        </w:rPr>
        <w:t>don</w:t>
      </w:r>
      <w:r w:rsidR="008C20BB" w:rsidRPr="00304F2D">
        <w:rPr>
          <w:rFonts w:ascii="Times New Roman" w:hAnsi="Times New Roman" w:cs="Times New Roman"/>
        </w:rPr>
        <w:t>ation</w:t>
      </w:r>
      <w:r w:rsidR="003D1C98" w:rsidRPr="00304F2D">
        <w:rPr>
          <w:rFonts w:ascii="Times New Roman" w:hAnsi="Times New Roman" w:cs="Times New Roman"/>
        </w:rPr>
        <w:t xml:space="preserve">. </w:t>
      </w:r>
      <w:r w:rsidRPr="00304F2D">
        <w:rPr>
          <w:rFonts w:ascii="Times New Roman" w:hAnsi="Times New Roman" w:cs="Times New Roman"/>
        </w:rPr>
        <w:t xml:space="preserve">This </w:t>
      </w:r>
      <w:r w:rsidR="00360FF1" w:rsidRPr="00304F2D">
        <w:rPr>
          <w:rFonts w:ascii="Times New Roman" w:hAnsi="Times New Roman" w:cs="Times New Roman"/>
        </w:rPr>
        <w:t xml:space="preserve">suggests it would be useful to </w:t>
      </w:r>
      <w:r w:rsidRPr="00304F2D">
        <w:rPr>
          <w:rFonts w:ascii="Times New Roman" w:hAnsi="Times New Roman" w:cs="Times New Roman"/>
        </w:rPr>
        <w:t xml:space="preserve">design marketing tactics to remind and support infrequent </w:t>
      </w:r>
      <w:r w:rsidR="000757E5">
        <w:rPr>
          <w:rFonts w:ascii="Times New Roman" w:hAnsi="Times New Roman" w:cs="Times New Roman"/>
        </w:rPr>
        <w:t xml:space="preserve">donation </w:t>
      </w:r>
      <w:proofErr w:type="spellStart"/>
      <w:r w:rsidRPr="00304F2D">
        <w:rPr>
          <w:rFonts w:ascii="Times New Roman" w:hAnsi="Times New Roman" w:cs="Times New Roman"/>
        </w:rPr>
        <w:t>behavio</w:t>
      </w:r>
      <w:r w:rsidR="00005BA9" w:rsidRPr="00304F2D">
        <w:rPr>
          <w:rFonts w:ascii="Times New Roman" w:hAnsi="Times New Roman" w:cs="Times New Roman"/>
        </w:rPr>
        <w:t>u</w:t>
      </w:r>
      <w:r w:rsidRPr="00304F2D">
        <w:rPr>
          <w:rFonts w:ascii="Times New Roman" w:hAnsi="Times New Roman" w:cs="Times New Roman"/>
        </w:rPr>
        <w:t>r</w:t>
      </w:r>
      <w:proofErr w:type="spellEnd"/>
      <w:r w:rsidRPr="00304F2D">
        <w:rPr>
          <w:rFonts w:ascii="Times New Roman" w:hAnsi="Times New Roman" w:cs="Times New Roman"/>
        </w:rPr>
        <w:t>.</w:t>
      </w:r>
      <w:r w:rsidR="00D329C6" w:rsidRPr="00304F2D">
        <w:rPr>
          <w:rFonts w:ascii="Times New Roman" w:hAnsi="Times New Roman" w:cs="Times New Roman"/>
        </w:rPr>
        <w:t xml:space="preserve"> </w:t>
      </w:r>
      <w:r w:rsidRPr="00304F2D">
        <w:rPr>
          <w:rFonts w:ascii="Times New Roman" w:hAnsi="Times New Roman" w:cs="Times New Roman"/>
        </w:rPr>
        <w:t>For example</w:t>
      </w:r>
      <w:r w:rsidR="00D61CD0" w:rsidRPr="00304F2D">
        <w:rPr>
          <w:rFonts w:ascii="Times New Roman" w:hAnsi="Times New Roman" w:cs="Times New Roman"/>
        </w:rPr>
        <w:t>,</w:t>
      </w:r>
      <w:r w:rsidR="00190383" w:rsidRPr="00304F2D">
        <w:rPr>
          <w:rFonts w:ascii="Times New Roman" w:hAnsi="Times New Roman" w:cs="Times New Roman"/>
        </w:rPr>
        <w:t xml:space="preserve"> if most donors only give support</w:t>
      </w:r>
      <w:r w:rsidRPr="00304F2D">
        <w:rPr>
          <w:rFonts w:ascii="Times New Roman" w:hAnsi="Times New Roman" w:cs="Times New Roman"/>
        </w:rPr>
        <w:t xml:space="preserve"> once</w:t>
      </w:r>
      <w:r w:rsidR="00373224" w:rsidRPr="00304F2D">
        <w:rPr>
          <w:rFonts w:ascii="Times New Roman" w:hAnsi="Times New Roman" w:cs="Times New Roman"/>
        </w:rPr>
        <w:t>-</w:t>
      </w:r>
      <w:r w:rsidRPr="00304F2D">
        <w:rPr>
          <w:rFonts w:ascii="Times New Roman" w:hAnsi="Times New Roman" w:cs="Times New Roman"/>
        </w:rPr>
        <w:t>a</w:t>
      </w:r>
      <w:r w:rsidR="00373224" w:rsidRPr="00304F2D">
        <w:rPr>
          <w:rFonts w:ascii="Times New Roman" w:hAnsi="Times New Roman" w:cs="Times New Roman"/>
        </w:rPr>
        <w:t>-</w:t>
      </w:r>
      <w:r w:rsidRPr="00304F2D">
        <w:rPr>
          <w:rFonts w:ascii="Times New Roman" w:hAnsi="Times New Roman" w:cs="Times New Roman"/>
        </w:rPr>
        <w:t xml:space="preserve">year, tying donation </w:t>
      </w:r>
      <w:proofErr w:type="spellStart"/>
      <w:r w:rsidRPr="00304F2D">
        <w:rPr>
          <w:rFonts w:ascii="Times New Roman" w:hAnsi="Times New Roman" w:cs="Times New Roman"/>
        </w:rPr>
        <w:t>behavio</w:t>
      </w:r>
      <w:r w:rsidR="00005BA9" w:rsidRPr="00304F2D">
        <w:rPr>
          <w:rFonts w:ascii="Times New Roman" w:hAnsi="Times New Roman" w:cs="Times New Roman"/>
        </w:rPr>
        <w:t>u</w:t>
      </w:r>
      <w:r w:rsidRPr="00304F2D">
        <w:rPr>
          <w:rFonts w:ascii="Times New Roman" w:hAnsi="Times New Roman" w:cs="Times New Roman"/>
        </w:rPr>
        <w:t>r</w:t>
      </w:r>
      <w:proofErr w:type="spellEnd"/>
      <w:r w:rsidRPr="00304F2D">
        <w:rPr>
          <w:rFonts w:ascii="Times New Roman" w:hAnsi="Times New Roman" w:cs="Times New Roman"/>
        </w:rPr>
        <w:t xml:space="preserve"> to an annual event, such as </w:t>
      </w:r>
      <w:r w:rsidR="00F93E27" w:rsidRPr="00304F2D">
        <w:rPr>
          <w:rFonts w:ascii="Times New Roman" w:hAnsi="Times New Roman" w:cs="Times New Roman"/>
        </w:rPr>
        <w:t xml:space="preserve">a </w:t>
      </w:r>
      <w:r w:rsidR="008320B4" w:rsidRPr="00304F2D">
        <w:rPr>
          <w:rFonts w:ascii="Times New Roman" w:hAnsi="Times New Roman" w:cs="Times New Roman"/>
        </w:rPr>
        <w:t xml:space="preserve">birthday or anniversary </w:t>
      </w:r>
      <w:r w:rsidRPr="00304F2D">
        <w:rPr>
          <w:rFonts w:ascii="Times New Roman" w:hAnsi="Times New Roman" w:cs="Times New Roman"/>
        </w:rPr>
        <w:t xml:space="preserve">may help both remind and encourage </w:t>
      </w:r>
      <w:r w:rsidR="001B1E81" w:rsidRPr="00304F2D">
        <w:rPr>
          <w:rFonts w:ascii="Times New Roman" w:hAnsi="Times New Roman" w:cs="Times New Roman"/>
        </w:rPr>
        <w:t xml:space="preserve">even infrequent </w:t>
      </w:r>
      <w:r w:rsidRPr="00304F2D">
        <w:rPr>
          <w:rFonts w:ascii="Times New Roman" w:hAnsi="Times New Roman" w:cs="Times New Roman"/>
        </w:rPr>
        <w:t xml:space="preserve">donation </w:t>
      </w:r>
      <w:proofErr w:type="spellStart"/>
      <w:r w:rsidRPr="00304F2D">
        <w:rPr>
          <w:rFonts w:ascii="Times New Roman" w:hAnsi="Times New Roman" w:cs="Times New Roman"/>
        </w:rPr>
        <w:t>behavio</w:t>
      </w:r>
      <w:r w:rsidR="00005BA9" w:rsidRPr="00304F2D">
        <w:rPr>
          <w:rFonts w:ascii="Times New Roman" w:hAnsi="Times New Roman" w:cs="Times New Roman"/>
        </w:rPr>
        <w:t>u</w:t>
      </w:r>
      <w:r w:rsidRPr="00304F2D">
        <w:rPr>
          <w:rFonts w:ascii="Times New Roman" w:hAnsi="Times New Roman" w:cs="Times New Roman"/>
        </w:rPr>
        <w:t>r</w:t>
      </w:r>
      <w:proofErr w:type="spellEnd"/>
      <w:r w:rsidRPr="00304F2D">
        <w:rPr>
          <w:rFonts w:ascii="Times New Roman" w:hAnsi="Times New Roman" w:cs="Times New Roman"/>
        </w:rPr>
        <w:t xml:space="preserve">.  </w:t>
      </w:r>
    </w:p>
    <w:p w14:paraId="1713262D" w14:textId="4A6B3E20" w:rsidR="00092BFB" w:rsidRPr="00304F2D" w:rsidRDefault="00092BFB" w:rsidP="00FB2012">
      <w:pPr>
        <w:spacing w:line="480" w:lineRule="auto"/>
        <w:ind w:firstLine="357"/>
        <w:rPr>
          <w:rFonts w:ascii="Times New Roman" w:hAnsi="Times New Roman" w:cs="Times New Roman"/>
        </w:rPr>
      </w:pPr>
      <w:r w:rsidRPr="00304F2D">
        <w:rPr>
          <w:rFonts w:ascii="Times New Roman" w:hAnsi="Times New Roman" w:cs="Times New Roman"/>
        </w:rPr>
        <w:t xml:space="preserve">Given that donation occasions are sporadic, it might be that a large proportion of observed frequent blood donation is just fortunate timing - the request to donate comes at a time when it is opportune for </w:t>
      </w:r>
      <w:r w:rsidR="00A31F38" w:rsidRPr="00304F2D">
        <w:rPr>
          <w:rFonts w:ascii="Times New Roman" w:hAnsi="Times New Roman" w:cs="Times New Roman"/>
        </w:rPr>
        <w:t>donors</w:t>
      </w:r>
      <w:r w:rsidR="008B0E83" w:rsidRPr="00304F2D">
        <w:rPr>
          <w:rFonts w:ascii="Times New Roman" w:hAnsi="Times New Roman" w:cs="Times New Roman"/>
        </w:rPr>
        <w:t xml:space="preserve"> to act. </w:t>
      </w:r>
      <w:r w:rsidR="00190383" w:rsidRPr="00304F2D">
        <w:rPr>
          <w:rFonts w:ascii="Times New Roman" w:hAnsi="Times New Roman" w:cs="Times New Roman"/>
        </w:rPr>
        <w:t>Hence,</w:t>
      </w:r>
      <w:r w:rsidRPr="00304F2D">
        <w:rPr>
          <w:rFonts w:ascii="Times New Roman" w:hAnsi="Times New Roman" w:cs="Times New Roman"/>
        </w:rPr>
        <w:t xml:space="preserve"> </w:t>
      </w:r>
      <w:r w:rsidR="00190383" w:rsidRPr="00304F2D">
        <w:rPr>
          <w:rFonts w:ascii="Times New Roman" w:hAnsi="Times New Roman" w:cs="Times New Roman"/>
        </w:rPr>
        <w:t xml:space="preserve">the large numbers of non-donors </w:t>
      </w:r>
      <w:r w:rsidR="00E6192E" w:rsidRPr="00304F2D">
        <w:rPr>
          <w:rFonts w:ascii="Times New Roman" w:hAnsi="Times New Roman" w:cs="Times New Roman"/>
        </w:rPr>
        <w:t xml:space="preserve">in a 12-month timeframe </w:t>
      </w:r>
      <w:r w:rsidR="00190383" w:rsidRPr="00304F2D">
        <w:rPr>
          <w:rFonts w:ascii="Times New Roman" w:hAnsi="Times New Roman" w:cs="Times New Roman"/>
        </w:rPr>
        <w:t>may be due</w:t>
      </w:r>
      <w:r w:rsidRPr="00304F2D">
        <w:rPr>
          <w:rFonts w:ascii="Times New Roman" w:hAnsi="Times New Roman" w:cs="Times New Roman"/>
        </w:rPr>
        <w:t xml:space="preserve"> to circumstance rather than a lack of desire or motivation</w:t>
      </w:r>
      <w:r w:rsidR="00E6192E" w:rsidRPr="00304F2D">
        <w:rPr>
          <w:rFonts w:ascii="Times New Roman" w:hAnsi="Times New Roman" w:cs="Times New Roman"/>
        </w:rPr>
        <w:t>, or due to not being asked</w:t>
      </w:r>
      <w:r w:rsidR="008B0E83" w:rsidRPr="00304F2D">
        <w:rPr>
          <w:rFonts w:ascii="Times New Roman" w:hAnsi="Times New Roman" w:cs="Times New Roman"/>
        </w:rPr>
        <w:t xml:space="preserve">. </w:t>
      </w:r>
      <w:r w:rsidR="00190383" w:rsidRPr="00304F2D">
        <w:rPr>
          <w:rFonts w:ascii="Times New Roman" w:hAnsi="Times New Roman" w:cs="Times New Roman"/>
        </w:rPr>
        <w:t>M</w:t>
      </w:r>
      <w:r w:rsidRPr="00304F2D">
        <w:rPr>
          <w:rFonts w:ascii="Times New Roman" w:hAnsi="Times New Roman" w:cs="Times New Roman"/>
        </w:rPr>
        <w:t>odifying the reminder schedule may help build donations</w:t>
      </w:r>
      <w:r w:rsidR="00190383" w:rsidRPr="00304F2D">
        <w:rPr>
          <w:rFonts w:ascii="Times New Roman" w:hAnsi="Times New Roman" w:cs="Times New Roman"/>
        </w:rPr>
        <w:t xml:space="preserve"> from the very infrequent donors</w:t>
      </w:r>
      <w:r w:rsidRPr="00304F2D">
        <w:rPr>
          <w:rFonts w:ascii="Times New Roman" w:hAnsi="Times New Roman" w:cs="Times New Roman"/>
        </w:rPr>
        <w:t xml:space="preserve">. </w:t>
      </w:r>
      <w:r w:rsidR="00C714FD" w:rsidRPr="00304F2D">
        <w:rPr>
          <w:rFonts w:ascii="Times New Roman" w:hAnsi="Times New Roman" w:cs="Times New Roman"/>
        </w:rPr>
        <w:t>For example a ‘remind me in a</w:t>
      </w:r>
      <w:r w:rsidRPr="00304F2D">
        <w:rPr>
          <w:rFonts w:ascii="Times New Roman" w:hAnsi="Times New Roman" w:cs="Times New Roman"/>
        </w:rPr>
        <w:t xml:space="preserve"> </w:t>
      </w:r>
      <w:r w:rsidR="00C714FD" w:rsidRPr="00304F2D">
        <w:rPr>
          <w:rFonts w:ascii="Times New Roman" w:hAnsi="Times New Roman" w:cs="Times New Roman"/>
        </w:rPr>
        <w:t>month</w:t>
      </w:r>
      <w:r w:rsidR="0045090F" w:rsidRPr="00304F2D">
        <w:rPr>
          <w:rFonts w:ascii="Times New Roman" w:hAnsi="Times New Roman" w:cs="Times New Roman"/>
        </w:rPr>
        <w:t xml:space="preserve">’ option might help those </w:t>
      </w:r>
      <w:r w:rsidR="00F57BA9">
        <w:rPr>
          <w:rFonts w:ascii="Times New Roman" w:hAnsi="Times New Roman" w:cs="Times New Roman"/>
        </w:rPr>
        <w:t xml:space="preserve">who are </w:t>
      </w:r>
      <w:r w:rsidRPr="00304F2D">
        <w:rPr>
          <w:rFonts w:ascii="Times New Roman" w:hAnsi="Times New Roman" w:cs="Times New Roman"/>
        </w:rPr>
        <w:t>too busy, on holiday, have an u</w:t>
      </w:r>
      <w:r w:rsidR="00F93E27" w:rsidRPr="00304F2D">
        <w:rPr>
          <w:rFonts w:ascii="Times New Roman" w:hAnsi="Times New Roman" w:cs="Times New Roman"/>
        </w:rPr>
        <w:t>nexpected bill to pay (for monetary</w:t>
      </w:r>
      <w:r w:rsidRPr="00304F2D">
        <w:rPr>
          <w:rFonts w:ascii="Times New Roman" w:hAnsi="Times New Roman" w:cs="Times New Roman"/>
        </w:rPr>
        <w:t xml:space="preserve"> donations), or </w:t>
      </w:r>
      <w:r w:rsidR="00185767" w:rsidRPr="00304F2D">
        <w:rPr>
          <w:rFonts w:ascii="Times New Roman" w:hAnsi="Times New Roman" w:cs="Times New Roman"/>
        </w:rPr>
        <w:t xml:space="preserve">are </w:t>
      </w:r>
      <w:r w:rsidRPr="00304F2D">
        <w:rPr>
          <w:rFonts w:ascii="Times New Roman" w:hAnsi="Times New Roman" w:cs="Times New Roman"/>
        </w:rPr>
        <w:t>not feeling well (for blood donations)</w:t>
      </w:r>
      <w:r w:rsidR="00F57BA9">
        <w:rPr>
          <w:rFonts w:ascii="Times New Roman" w:hAnsi="Times New Roman" w:cs="Times New Roman"/>
        </w:rPr>
        <w:t xml:space="preserve"> to donate in the future</w:t>
      </w:r>
      <w:r w:rsidRPr="00304F2D">
        <w:rPr>
          <w:rFonts w:ascii="Times New Roman" w:hAnsi="Times New Roman" w:cs="Times New Roman"/>
        </w:rPr>
        <w:t xml:space="preserve">. </w:t>
      </w:r>
    </w:p>
    <w:p w14:paraId="7D0E2192" w14:textId="1D92A535" w:rsidR="002B5C88" w:rsidRPr="00304F2D" w:rsidRDefault="00190383" w:rsidP="002B5C88">
      <w:pPr>
        <w:spacing w:line="480" w:lineRule="auto"/>
        <w:ind w:firstLine="720"/>
        <w:rPr>
          <w:rFonts w:ascii="Times New Roman" w:hAnsi="Times New Roman" w:cs="Times New Roman"/>
        </w:rPr>
      </w:pPr>
      <w:r w:rsidRPr="00304F2D">
        <w:rPr>
          <w:rFonts w:ascii="Times New Roman" w:hAnsi="Times New Roman" w:cs="Times New Roman"/>
        </w:rPr>
        <w:lastRenderedPageBreak/>
        <w:t>Using</w:t>
      </w:r>
      <w:r w:rsidR="00065D93" w:rsidRPr="00304F2D">
        <w:rPr>
          <w:rFonts w:ascii="Times New Roman" w:hAnsi="Times New Roman" w:cs="Times New Roman"/>
        </w:rPr>
        <w:t xml:space="preserve"> positive framing on the benefits of donating</w:t>
      </w:r>
      <w:r w:rsidR="00C714FD" w:rsidRPr="00304F2D">
        <w:rPr>
          <w:rFonts w:ascii="Times New Roman" w:hAnsi="Times New Roman" w:cs="Times New Roman"/>
        </w:rPr>
        <w:t xml:space="preserve"> is suggested</w:t>
      </w:r>
      <w:r w:rsidR="00065D93" w:rsidRPr="00304F2D">
        <w:rPr>
          <w:rFonts w:ascii="Times New Roman" w:hAnsi="Times New Roman" w:cs="Times New Roman"/>
        </w:rPr>
        <w:t xml:space="preserve">, rather than a focus on anticipated guilt from not donating </w:t>
      </w:r>
      <w:r w:rsidR="00005BA9"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&lt;EndNote&gt;&lt;Cite&gt;&lt;Author&gt;Griffin&lt;/Author&gt;&lt;Year&gt;2014&lt;/Year&gt;&lt;RecNum&gt;27196&lt;/RecNum&gt;&lt;DisplayText&gt;(Griffin, Grace and O&amp;apos;Cass, 2014)&lt;/DisplayText&gt;&lt;record&gt;&lt;rec-number&gt;27196&lt;/rec-number&gt;&lt;foreign-keys&gt;&lt;key app="EN" db-id="eswazv0p5wsezae2sd8pf59gf50trdav5fsw" timestamp="0"&gt;27196&lt;/key&gt;&lt;/foreign-keys&gt;&lt;ref-type name="Journal Article"&gt;17&lt;/ref-type&gt;&lt;contributors&gt;&lt;authors&gt;&lt;author&gt;Griffin, Deborah&lt;/author&gt;&lt;author&gt;Grace, Debra&lt;/author&gt;&lt;author&gt;O&amp;apos;Cass, Aron&lt;/author&gt;&lt;/authors&gt;&lt;/contributors&gt;&lt;titles&gt;&lt;title&gt;Blood Donation: Comparing Individual Characteristics, Attitudes, and Feelings of Donors and Nondonors&lt;/title&gt;&lt;secondary-title&gt;Health marketing quarterly&lt;/secondary-title&gt;&lt;/titles&gt;&lt;pages&gt;197-212&lt;/pages&gt;&lt;volume&gt;31&lt;/volume&gt;&lt;number&gt;3&lt;/number&gt;&lt;dates&gt;&lt;year&gt;2014&lt;/year&gt;&lt;/dates&gt;&lt;publisher&gt;Taylor &amp;amp; Francis&lt;/publisher&gt;&lt;isbn&gt;0735-9683&lt;/isbn&gt;&lt;urls&gt;&lt;/urls&gt;&lt;/record&gt;&lt;/Cite&gt;&lt;/EndNote&gt;</w:instrText>
      </w:r>
      <w:r w:rsidR="00005BA9" w:rsidRPr="00304F2D">
        <w:rPr>
          <w:rFonts w:ascii="Times New Roman" w:hAnsi="Times New Roman" w:cs="Times New Roman"/>
        </w:rPr>
        <w:fldChar w:fldCharType="separate"/>
      </w:r>
      <w:r w:rsidR="00005BA9" w:rsidRPr="00304F2D">
        <w:rPr>
          <w:rFonts w:ascii="Times New Roman" w:hAnsi="Times New Roman" w:cs="Times New Roman"/>
          <w:noProof/>
        </w:rPr>
        <w:t>(</w:t>
      </w:r>
      <w:hyperlink w:anchor="_ENREF_34" w:tooltip="Griffin, 2014 #27196" w:history="1">
        <w:r w:rsidR="00DA6B8D" w:rsidRPr="00304F2D">
          <w:rPr>
            <w:rFonts w:ascii="Times New Roman" w:hAnsi="Times New Roman" w:cs="Times New Roman"/>
            <w:noProof/>
          </w:rPr>
          <w:t>Griffin, Grace and O'Cass, 2014</w:t>
        </w:r>
      </w:hyperlink>
      <w:r w:rsidR="00005BA9" w:rsidRPr="00304F2D">
        <w:rPr>
          <w:rFonts w:ascii="Times New Roman" w:hAnsi="Times New Roman" w:cs="Times New Roman"/>
          <w:noProof/>
        </w:rPr>
        <w:t>)</w:t>
      </w:r>
      <w:r w:rsidR="00005BA9" w:rsidRPr="00304F2D">
        <w:rPr>
          <w:rFonts w:ascii="Times New Roman" w:hAnsi="Times New Roman" w:cs="Times New Roman"/>
        </w:rPr>
        <w:fldChar w:fldCharType="end"/>
      </w:r>
      <w:r w:rsidR="00065D93" w:rsidRPr="00304F2D">
        <w:rPr>
          <w:rFonts w:ascii="Times New Roman" w:hAnsi="Times New Roman" w:cs="Times New Roman"/>
        </w:rPr>
        <w:t xml:space="preserve">. </w:t>
      </w:r>
      <w:r w:rsidR="002B5C88" w:rsidRPr="00304F2D">
        <w:rPr>
          <w:rFonts w:ascii="Times New Roman" w:hAnsi="Times New Roman" w:cs="Times New Roman"/>
        </w:rPr>
        <w:t xml:space="preserve">Experimental studies comparing appeals framed egoistically, e.g. ‘giving makes you happy’ to appeals framed altruistically, e.g. ‘help others to lead a happier life’, show no difference in the proportion donating but show higher amounts </w:t>
      </w:r>
      <w:r w:rsidR="00C32485">
        <w:rPr>
          <w:rFonts w:ascii="Times New Roman" w:hAnsi="Times New Roman" w:cs="Times New Roman"/>
        </w:rPr>
        <w:t xml:space="preserve">are </w:t>
      </w:r>
      <w:r w:rsidR="002B5C88" w:rsidRPr="00304F2D">
        <w:rPr>
          <w:rFonts w:ascii="Times New Roman" w:hAnsi="Times New Roman" w:cs="Times New Roman"/>
        </w:rPr>
        <w:t xml:space="preserve">donated when reminding the person that giving makes them happy </w:t>
      </w:r>
      <w:r w:rsidR="00482D78">
        <w:rPr>
          <w:rFonts w:ascii="Times New Roman" w:hAnsi="Times New Roman" w:cs="Times New Roman"/>
        </w:rPr>
        <w:fldChar w:fldCharType="begin"/>
      </w:r>
      <w:r w:rsidR="00DA6B8D">
        <w:rPr>
          <w:rFonts w:ascii="Times New Roman" w:hAnsi="Times New Roman" w:cs="Times New Roman"/>
        </w:rPr>
        <w:instrText xml:space="preserve"> ADDIN EN.CITE &lt;EndNote&gt;&lt;Cite&gt;&lt;Author&gt;Chang&lt;/Author&gt;&lt;Year&gt;2014&lt;/Year&gt;&lt;RecNum&gt;28744&lt;/RecNum&gt;&lt;DisplayText&gt;(Chang, 2014)&lt;/DisplayText&gt;&lt;record&gt;&lt;rec-number&gt;28744&lt;/rec-number&gt;&lt;foreign-keys&gt;&lt;key app="EN" db-id="eswazv0p5wsezae2sd8pf59gf50trdav5fsw" timestamp="0"&gt;28744&lt;/key&gt;&lt;/foreign-keys&gt;&lt;ref-type name="Journal Article"&gt;17&lt;/ref-type&gt;&lt;contributors&gt;&lt;authors&gt;&lt;author&gt;Chang, Chingching&lt;/author&gt;&lt;/authors&gt;&lt;/contributors&gt;&lt;titles&gt;&lt;title&gt;Guilt regulation: The relative effects of altruistic versus egoistic appeals for charity advertising&lt;/title&gt;&lt;secondary-title&gt;Journal of Advertising&lt;/secondary-title&gt;&lt;/titles&gt;&lt;pages&gt;211-227&lt;/pages&gt;&lt;volume&gt;43&lt;/volume&gt;&lt;number&gt;3&lt;/number&gt;&lt;dates&gt;&lt;year&gt;2014&lt;/year&gt;&lt;/dates&gt;&lt;publisher&gt;Taylor &amp;amp; Francis&lt;/publisher&gt;&lt;urls&gt;&lt;/urls&gt;&lt;electronic-resource-num&gt;10.1080/00913367.2013.853632&lt;/electronic-resource-num&gt;&lt;/record&gt;&lt;/Cite&gt;&lt;/EndNote&gt;</w:instrText>
      </w:r>
      <w:r w:rsidR="00482D78">
        <w:rPr>
          <w:rFonts w:ascii="Times New Roman" w:hAnsi="Times New Roman" w:cs="Times New Roman"/>
        </w:rPr>
        <w:fldChar w:fldCharType="separate"/>
      </w:r>
      <w:r w:rsidR="00DA6B8D">
        <w:rPr>
          <w:rFonts w:ascii="Times New Roman" w:hAnsi="Times New Roman" w:cs="Times New Roman"/>
          <w:noProof/>
        </w:rPr>
        <w:t>(</w:t>
      </w:r>
      <w:hyperlink w:anchor="_ENREF_19" w:tooltip="Chang, 2014 #28744" w:history="1">
        <w:r w:rsidR="00DA6B8D">
          <w:rPr>
            <w:rFonts w:ascii="Times New Roman" w:hAnsi="Times New Roman" w:cs="Times New Roman"/>
            <w:noProof/>
          </w:rPr>
          <w:t>Chang, 2014</w:t>
        </w:r>
      </w:hyperlink>
      <w:r w:rsidR="00DA6B8D">
        <w:rPr>
          <w:rFonts w:ascii="Times New Roman" w:hAnsi="Times New Roman" w:cs="Times New Roman"/>
          <w:noProof/>
        </w:rPr>
        <w:t>)</w:t>
      </w:r>
      <w:r w:rsidR="00482D78">
        <w:rPr>
          <w:rFonts w:ascii="Times New Roman" w:hAnsi="Times New Roman" w:cs="Times New Roman"/>
        </w:rPr>
        <w:fldChar w:fldCharType="end"/>
      </w:r>
      <w:r w:rsidR="00482D78">
        <w:rPr>
          <w:rFonts w:ascii="Times New Roman" w:hAnsi="Times New Roman" w:cs="Times New Roman"/>
        </w:rPr>
        <w:t>.</w:t>
      </w:r>
    </w:p>
    <w:p w14:paraId="22ABD2CA" w14:textId="6D29F0F7" w:rsidR="00862E5B" w:rsidRPr="00304F2D" w:rsidRDefault="009D4FE9" w:rsidP="002F2CA2">
      <w:pPr>
        <w:spacing w:line="480" w:lineRule="auto"/>
        <w:ind w:firstLine="720"/>
        <w:rPr>
          <w:rFonts w:ascii="Times New Roman" w:hAnsi="Times New Roman" w:cs="Times New Roman"/>
        </w:rPr>
      </w:pPr>
      <w:r w:rsidRPr="00304F2D">
        <w:rPr>
          <w:rFonts w:ascii="Times New Roman" w:hAnsi="Times New Roman" w:cs="Times New Roman"/>
        </w:rPr>
        <w:t>A useful direction for future research is t</w:t>
      </w:r>
      <w:r w:rsidR="00065D93" w:rsidRPr="00304F2D">
        <w:rPr>
          <w:rFonts w:ascii="Times New Roman" w:hAnsi="Times New Roman" w:cs="Times New Roman"/>
        </w:rPr>
        <w:t>est</w:t>
      </w:r>
      <w:r w:rsidR="00F93E27" w:rsidRPr="00304F2D">
        <w:rPr>
          <w:rFonts w:ascii="Times New Roman" w:hAnsi="Times New Roman" w:cs="Times New Roman"/>
        </w:rPr>
        <w:t>ing</w:t>
      </w:r>
      <w:r w:rsidR="00065D93" w:rsidRPr="00304F2D">
        <w:rPr>
          <w:rFonts w:ascii="Times New Roman" w:hAnsi="Times New Roman" w:cs="Times New Roman"/>
        </w:rPr>
        <w:t xml:space="preserve"> the effectiveness of a variety of campaign styles</w:t>
      </w:r>
      <w:r w:rsidR="00742F39" w:rsidRPr="00304F2D">
        <w:rPr>
          <w:rFonts w:ascii="Times New Roman" w:hAnsi="Times New Roman" w:cs="Times New Roman"/>
        </w:rPr>
        <w:t xml:space="preserve">, including </w:t>
      </w:r>
      <w:r w:rsidR="00265907" w:rsidRPr="00304F2D">
        <w:rPr>
          <w:rFonts w:ascii="Times New Roman" w:hAnsi="Times New Roman" w:cs="Times New Roman"/>
        </w:rPr>
        <w:t xml:space="preserve">the </w:t>
      </w:r>
      <w:r w:rsidR="00742F39" w:rsidRPr="00304F2D">
        <w:rPr>
          <w:rFonts w:ascii="Times New Roman" w:hAnsi="Times New Roman" w:cs="Times New Roman"/>
        </w:rPr>
        <w:t>comparison of guilt with more positively framed communication</w:t>
      </w:r>
      <w:r w:rsidR="00E939BA" w:rsidRPr="00304F2D">
        <w:rPr>
          <w:rFonts w:ascii="Times New Roman" w:hAnsi="Times New Roman" w:cs="Times New Roman"/>
        </w:rPr>
        <w:t xml:space="preserve"> and appeals reminding donors of the ‘warm glow’ benefit compared to donating to benefit others</w:t>
      </w:r>
      <w:r w:rsidR="00065D93" w:rsidRPr="00304F2D">
        <w:rPr>
          <w:rFonts w:ascii="Times New Roman" w:hAnsi="Times New Roman" w:cs="Times New Roman"/>
        </w:rPr>
        <w:t>.</w:t>
      </w:r>
      <w:r w:rsidR="0008552F" w:rsidRPr="00304F2D">
        <w:rPr>
          <w:rFonts w:ascii="Times New Roman" w:hAnsi="Times New Roman" w:cs="Times New Roman"/>
        </w:rPr>
        <w:t xml:space="preserve"> </w:t>
      </w:r>
    </w:p>
    <w:p w14:paraId="5E9966E5" w14:textId="48E3928B" w:rsidR="00156A27" w:rsidRPr="00304F2D" w:rsidRDefault="004B4DB4" w:rsidP="002B5C88">
      <w:pPr>
        <w:spacing w:line="480" w:lineRule="auto"/>
        <w:ind w:firstLine="720"/>
        <w:rPr>
          <w:rFonts w:ascii="Times New Roman" w:hAnsi="Times New Roman" w:cs="Times New Roman"/>
          <w:i/>
        </w:rPr>
      </w:pPr>
      <w:r w:rsidRPr="00304F2D">
        <w:rPr>
          <w:rFonts w:ascii="Times New Roman" w:hAnsi="Times New Roman" w:cs="Times New Roman"/>
        </w:rPr>
        <w:t xml:space="preserve">To plan for the future, we need to accept the reality of </w:t>
      </w:r>
      <w:r w:rsidR="00F430D2" w:rsidRPr="00304F2D">
        <w:rPr>
          <w:rFonts w:ascii="Times New Roman" w:hAnsi="Times New Roman" w:cs="Times New Roman"/>
        </w:rPr>
        <w:t xml:space="preserve">the </w:t>
      </w:r>
      <w:r w:rsidR="00D438E4" w:rsidRPr="00304F2D">
        <w:rPr>
          <w:rFonts w:ascii="Times New Roman" w:hAnsi="Times New Roman" w:cs="Times New Roman"/>
        </w:rPr>
        <w:t xml:space="preserve">normal longitudinal </w:t>
      </w:r>
      <w:proofErr w:type="spellStart"/>
      <w:r w:rsidR="00D438E4" w:rsidRPr="00304F2D">
        <w:rPr>
          <w:rFonts w:ascii="Times New Roman" w:hAnsi="Times New Roman" w:cs="Times New Roman"/>
        </w:rPr>
        <w:t>behaviour</w:t>
      </w:r>
      <w:proofErr w:type="spellEnd"/>
      <w:r w:rsidR="00F430D2" w:rsidRPr="00304F2D">
        <w:rPr>
          <w:rFonts w:ascii="Times New Roman" w:hAnsi="Times New Roman" w:cs="Times New Roman"/>
        </w:rPr>
        <w:t xml:space="preserve"> of frequent donors</w:t>
      </w:r>
      <w:r w:rsidRPr="00304F2D">
        <w:rPr>
          <w:rFonts w:ascii="Times New Roman" w:hAnsi="Times New Roman" w:cs="Times New Roman"/>
        </w:rPr>
        <w:t>. More frequent donors are ‘unreliable’, with around 40</w:t>
      </w:r>
      <w:r w:rsidR="00185767" w:rsidRPr="00304F2D">
        <w:rPr>
          <w:rFonts w:ascii="Times New Roman" w:hAnsi="Times New Roman" w:cs="Times New Roman"/>
        </w:rPr>
        <w:t>%</w:t>
      </w:r>
      <w:r w:rsidRPr="00304F2D">
        <w:rPr>
          <w:rFonts w:ascii="Times New Roman" w:hAnsi="Times New Roman" w:cs="Times New Roman"/>
        </w:rPr>
        <w:t xml:space="preserve"> to 60% instabil</w:t>
      </w:r>
      <w:r w:rsidR="008B0E83" w:rsidRPr="00304F2D">
        <w:rPr>
          <w:rFonts w:ascii="Times New Roman" w:hAnsi="Times New Roman" w:cs="Times New Roman"/>
        </w:rPr>
        <w:t xml:space="preserve">ity in year-on-year </w:t>
      </w:r>
      <w:r w:rsidR="00C32485">
        <w:rPr>
          <w:rFonts w:ascii="Times New Roman" w:hAnsi="Times New Roman" w:cs="Times New Roman"/>
        </w:rPr>
        <w:t>repeat donations</w:t>
      </w:r>
      <w:r w:rsidR="008B0E83" w:rsidRPr="00304F2D">
        <w:rPr>
          <w:rFonts w:ascii="Times New Roman" w:hAnsi="Times New Roman" w:cs="Times New Roman"/>
        </w:rPr>
        <w:t xml:space="preserve">. </w:t>
      </w:r>
      <w:r w:rsidRPr="00304F2D">
        <w:rPr>
          <w:rFonts w:ascii="Times New Roman" w:hAnsi="Times New Roman" w:cs="Times New Roman"/>
        </w:rPr>
        <w:t>This</w:t>
      </w:r>
      <w:r w:rsidR="004C1DD4" w:rsidRPr="00304F2D">
        <w:rPr>
          <w:rFonts w:ascii="Times New Roman" w:hAnsi="Times New Roman" w:cs="Times New Roman"/>
        </w:rPr>
        <w:t xml:space="preserve"> finding</w:t>
      </w:r>
      <w:r w:rsidRPr="00304F2D">
        <w:rPr>
          <w:rFonts w:ascii="Times New Roman" w:hAnsi="Times New Roman" w:cs="Times New Roman"/>
        </w:rPr>
        <w:t xml:space="preserve"> is consistent with </w:t>
      </w:r>
      <w:r w:rsidR="004C1DD4" w:rsidRPr="00304F2D">
        <w:rPr>
          <w:rFonts w:ascii="Times New Roman" w:hAnsi="Times New Roman" w:cs="Times New Roman"/>
        </w:rPr>
        <w:t xml:space="preserve">evidence </w:t>
      </w:r>
      <w:r w:rsidRPr="00304F2D">
        <w:rPr>
          <w:rFonts w:ascii="Times New Roman" w:hAnsi="Times New Roman" w:cs="Times New Roman"/>
        </w:rPr>
        <w:t>from packaged goods</w:t>
      </w:r>
      <w:r w:rsidR="004D7056" w:rsidRPr="00304F2D">
        <w:rPr>
          <w:rFonts w:ascii="Times New Roman" w:hAnsi="Times New Roman" w:cs="Times New Roman"/>
        </w:rPr>
        <w:t xml:space="preserve"> </w:t>
      </w:r>
      <w:r w:rsidR="004D7056" w:rsidRPr="00304F2D">
        <w:rPr>
          <w:rFonts w:ascii="Times New Roman" w:hAnsi="Times New Roman" w:cs="Times New Roman"/>
        </w:rPr>
        <w:fldChar w:fldCharType="begin"/>
      </w:r>
      <w:r w:rsidR="00382F99" w:rsidRPr="00304F2D">
        <w:rPr>
          <w:rFonts w:ascii="Times New Roman" w:hAnsi="Times New Roman" w:cs="Times New Roman"/>
        </w:rPr>
        <w:instrText xml:space="preserve"> ADDIN EN.CITE &lt;EndNote&gt;&lt;Cite&gt;&lt;Author&gt;Romaniuk&lt;/Author&gt;&lt;Year&gt;2015&lt;/Year&gt;&lt;RecNum&gt;27201&lt;/RecNum&gt;&lt;DisplayText&gt;(Romaniuk and Wight, 2015)&lt;/DisplayText&gt;&lt;record&gt;&lt;rec-number&gt;27201&lt;/rec-number&gt;&lt;foreign-keys&gt;&lt;key app="EN" db-id="eswazv0p5wsezae2sd8pf59gf50trdav5fsw" timestamp="0"&gt;27201&lt;/key&gt;&lt;/foreign-keys&gt;&lt;ref-type name="Journal Article"&gt;17&lt;/ref-type&gt;&lt;contributors&gt;&lt;authors&gt;&lt;author&gt;Romaniuk, Jenni&lt;/author&gt;&lt;author&gt;Wight, Sam&lt;/author&gt;&lt;/authors&gt;&lt;/contributors&gt;&lt;titles&gt;&lt;title&gt;The stability and sales contribution of heavy buying households&lt;/title&gt;&lt;secondary-title&gt;Journal of Consumer Behaviour&lt;/secondary-title&gt;&lt;/titles&gt;&lt;pages&gt;13-20&lt;/pages&gt;&lt;volume&gt;14&lt;/volume&gt;&lt;number&gt;1&lt;/number&gt;&lt;dates&gt;&lt;year&gt;2015&lt;/year&gt;&lt;/dates&gt;&lt;urls&gt;&lt;/urls&gt;&lt;electronic-resource-num&gt;10.1002/cb.1490&lt;/electronic-resource-num&gt;&lt;/record&gt;&lt;/Cite&gt;&lt;/EndNote&gt;</w:instrText>
      </w:r>
      <w:r w:rsidR="004D7056" w:rsidRPr="00304F2D">
        <w:rPr>
          <w:rFonts w:ascii="Times New Roman" w:hAnsi="Times New Roman" w:cs="Times New Roman"/>
        </w:rPr>
        <w:fldChar w:fldCharType="separate"/>
      </w:r>
      <w:r w:rsidR="004D7056" w:rsidRPr="00304F2D">
        <w:rPr>
          <w:rFonts w:ascii="Times New Roman" w:hAnsi="Times New Roman" w:cs="Times New Roman"/>
          <w:noProof/>
        </w:rPr>
        <w:t>(</w:t>
      </w:r>
      <w:hyperlink w:anchor="_ENREF_52" w:tooltip="Romaniuk, 2015 #27201" w:history="1">
        <w:r w:rsidR="00DA6B8D" w:rsidRPr="00304F2D">
          <w:rPr>
            <w:rFonts w:ascii="Times New Roman" w:hAnsi="Times New Roman" w:cs="Times New Roman"/>
            <w:noProof/>
          </w:rPr>
          <w:t>Romaniuk and Wight, 2015</w:t>
        </w:r>
      </w:hyperlink>
      <w:r w:rsidR="004D7056" w:rsidRPr="00304F2D">
        <w:rPr>
          <w:rFonts w:ascii="Times New Roman" w:hAnsi="Times New Roman" w:cs="Times New Roman"/>
          <w:noProof/>
        </w:rPr>
        <w:t>)</w:t>
      </w:r>
      <w:r w:rsidR="004D7056" w:rsidRPr="00304F2D">
        <w:rPr>
          <w:rFonts w:ascii="Times New Roman" w:hAnsi="Times New Roman" w:cs="Times New Roman"/>
        </w:rPr>
        <w:fldChar w:fldCharType="end"/>
      </w:r>
      <w:r w:rsidR="008B0E83" w:rsidRPr="00304F2D">
        <w:rPr>
          <w:rFonts w:ascii="Times New Roman" w:hAnsi="Times New Roman" w:cs="Times New Roman"/>
        </w:rPr>
        <w:t xml:space="preserve">. </w:t>
      </w:r>
      <w:r w:rsidR="00E6192E" w:rsidRPr="00304F2D">
        <w:rPr>
          <w:rFonts w:ascii="Times New Roman" w:hAnsi="Times New Roman" w:cs="Times New Roman"/>
        </w:rPr>
        <w:t>Results suggest</w:t>
      </w:r>
      <w:r w:rsidR="004C1DD4" w:rsidRPr="00304F2D">
        <w:rPr>
          <w:rFonts w:ascii="Times New Roman" w:hAnsi="Times New Roman" w:cs="Times New Roman"/>
        </w:rPr>
        <w:t xml:space="preserve"> it might just be a normal human characteristic that we often </w:t>
      </w:r>
      <w:r w:rsidR="00326857" w:rsidRPr="00304F2D">
        <w:rPr>
          <w:rFonts w:ascii="Times New Roman" w:hAnsi="Times New Roman" w:cs="Times New Roman"/>
        </w:rPr>
        <w:t>fail to</w:t>
      </w:r>
      <w:r w:rsidR="004C1DD4" w:rsidRPr="00304F2D">
        <w:rPr>
          <w:rFonts w:ascii="Times New Roman" w:hAnsi="Times New Roman" w:cs="Times New Roman"/>
        </w:rPr>
        <w:t xml:space="preserve"> sustain highly frequent </w:t>
      </w:r>
      <w:proofErr w:type="spellStart"/>
      <w:r w:rsidR="004C1DD4" w:rsidRPr="00304F2D">
        <w:rPr>
          <w:rFonts w:ascii="Times New Roman" w:hAnsi="Times New Roman" w:cs="Times New Roman"/>
        </w:rPr>
        <w:t>behaviour</w:t>
      </w:r>
      <w:proofErr w:type="spellEnd"/>
      <w:r w:rsidRPr="00304F2D">
        <w:rPr>
          <w:rFonts w:ascii="Times New Roman" w:hAnsi="Times New Roman" w:cs="Times New Roman"/>
        </w:rPr>
        <w:t>.</w:t>
      </w:r>
      <w:r w:rsidR="008B0E83" w:rsidRPr="00304F2D">
        <w:t xml:space="preserve"> </w:t>
      </w:r>
      <w:r w:rsidRPr="00304F2D">
        <w:rPr>
          <w:rFonts w:ascii="Times New Roman" w:hAnsi="Times New Roman" w:cs="Times New Roman"/>
        </w:rPr>
        <w:t>Further</w:t>
      </w:r>
      <w:r w:rsidR="00185767" w:rsidRPr="00304F2D">
        <w:rPr>
          <w:rFonts w:ascii="Times New Roman" w:hAnsi="Times New Roman" w:cs="Times New Roman"/>
        </w:rPr>
        <w:t>,</w:t>
      </w:r>
      <w:r w:rsidRPr="00304F2D">
        <w:rPr>
          <w:rFonts w:ascii="Times New Roman" w:hAnsi="Times New Roman" w:cs="Times New Roman"/>
        </w:rPr>
        <w:t xml:space="preserve"> we see little evidence that frequent donors come back</w:t>
      </w:r>
      <w:r w:rsidR="00425EEE" w:rsidRPr="00304F2D">
        <w:rPr>
          <w:rFonts w:ascii="Times New Roman" w:hAnsi="Times New Roman" w:cs="Times New Roman"/>
        </w:rPr>
        <w:t>.</w:t>
      </w:r>
      <w:r w:rsidRPr="00304F2D">
        <w:rPr>
          <w:rFonts w:ascii="Times New Roman" w:hAnsi="Times New Roman" w:cs="Times New Roman"/>
        </w:rPr>
        <w:t xml:space="preserve"> </w:t>
      </w:r>
      <w:r w:rsidR="00425EEE" w:rsidRPr="00304F2D">
        <w:rPr>
          <w:rFonts w:ascii="Times New Roman" w:hAnsi="Times New Roman" w:cs="Times New Roman"/>
        </w:rPr>
        <w:t xml:space="preserve"> O</w:t>
      </w:r>
      <w:r w:rsidRPr="00304F2D">
        <w:rPr>
          <w:rFonts w:ascii="Times New Roman" w:hAnsi="Times New Roman" w:cs="Times New Roman"/>
        </w:rPr>
        <w:t>nce lost</w:t>
      </w:r>
      <w:r w:rsidR="00425EEE" w:rsidRPr="00304F2D">
        <w:rPr>
          <w:rFonts w:ascii="Times New Roman" w:hAnsi="Times New Roman" w:cs="Times New Roman"/>
        </w:rPr>
        <w:t>,</w:t>
      </w:r>
      <w:r w:rsidRPr="00304F2D">
        <w:rPr>
          <w:rFonts w:ascii="Times New Roman" w:hAnsi="Times New Roman" w:cs="Times New Roman"/>
        </w:rPr>
        <w:t xml:space="preserve"> they seem lost at least over the next few years.  This mean</w:t>
      </w:r>
      <w:r w:rsidR="00A31F38" w:rsidRPr="00304F2D">
        <w:rPr>
          <w:rFonts w:ascii="Times New Roman" w:hAnsi="Times New Roman" w:cs="Times New Roman"/>
        </w:rPr>
        <w:t xml:space="preserve">s that evaluating </w:t>
      </w:r>
      <w:r w:rsidRPr="00304F2D">
        <w:rPr>
          <w:rFonts w:ascii="Times New Roman" w:hAnsi="Times New Roman" w:cs="Times New Roman"/>
        </w:rPr>
        <w:t xml:space="preserve">frequent donor retention strategies needs to take into account the normal </w:t>
      </w:r>
      <w:r w:rsidR="00C97220" w:rsidRPr="00304F2D">
        <w:rPr>
          <w:rFonts w:ascii="Times New Roman" w:hAnsi="Times New Roman" w:cs="Times New Roman"/>
        </w:rPr>
        <w:t>loss of frequent</w:t>
      </w:r>
      <w:r w:rsidRPr="00304F2D">
        <w:rPr>
          <w:rFonts w:ascii="Times New Roman" w:hAnsi="Times New Roman" w:cs="Times New Roman"/>
        </w:rPr>
        <w:t xml:space="preserve"> </w:t>
      </w:r>
      <w:r w:rsidR="00C97220" w:rsidRPr="00304F2D">
        <w:rPr>
          <w:rFonts w:ascii="Times New Roman" w:hAnsi="Times New Roman" w:cs="Times New Roman"/>
        </w:rPr>
        <w:t>don</w:t>
      </w:r>
      <w:r w:rsidR="00A532E6" w:rsidRPr="00304F2D">
        <w:rPr>
          <w:rFonts w:ascii="Times New Roman" w:hAnsi="Times New Roman" w:cs="Times New Roman"/>
        </w:rPr>
        <w:t>ors when assessing the success of such retention activities</w:t>
      </w:r>
      <w:r w:rsidRPr="00304F2D">
        <w:rPr>
          <w:rFonts w:ascii="Times New Roman" w:hAnsi="Times New Roman" w:cs="Times New Roman"/>
        </w:rPr>
        <w:t xml:space="preserve">.  </w:t>
      </w:r>
    </w:p>
    <w:p w14:paraId="7FCDDF32" w14:textId="4C43AA8D" w:rsidR="004B4DB4" w:rsidRPr="00304F2D" w:rsidRDefault="001D336E" w:rsidP="00636B24">
      <w:pPr>
        <w:spacing w:line="480" w:lineRule="auto"/>
        <w:ind w:firstLine="720"/>
        <w:rPr>
          <w:rFonts w:ascii="Times New Roman" w:hAnsi="Times New Roman" w:cs="Times New Roman"/>
        </w:rPr>
      </w:pPr>
      <w:r w:rsidRPr="00304F2D">
        <w:rPr>
          <w:rFonts w:ascii="Times New Roman" w:hAnsi="Times New Roman" w:cs="Times New Roman"/>
        </w:rPr>
        <w:t>An area for future research is to understand the reasons that plasma donors show</w:t>
      </w:r>
      <w:r w:rsidR="00636B24" w:rsidRPr="00304F2D">
        <w:rPr>
          <w:rFonts w:ascii="Times New Roman" w:hAnsi="Times New Roman" w:cs="Times New Roman"/>
        </w:rPr>
        <w:t xml:space="preserve"> higher retention rate</w:t>
      </w:r>
      <w:r w:rsidR="00887010">
        <w:rPr>
          <w:rFonts w:ascii="Times New Roman" w:hAnsi="Times New Roman" w:cs="Times New Roman"/>
        </w:rPr>
        <w:t>s</w:t>
      </w:r>
      <w:r w:rsidR="00636B24" w:rsidRPr="00304F2D">
        <w:rPr>
          <w:rFonts w:ascii="Times New Roman" w:hAnsi="Times New Roman" w:cs="Times New Roman"/>
        </w:rPr>
        <w:t xml:space="preserve"> than very frequent </w:t>
      </w:r>
      <w:r w:rsidR="008B0E83" w:rsidRPr="00304F2D">
        <w:rPr>
          <w:rFonts w:ascii="Times New Roman" w:hAnsi="Times New Roman" w:cs="Times New Roman"/>
        </w:rPr>
        <w:t>whole blood or monetary donor</w:t>
      </w:r>
      <w:r w:rsidR="00BD62A9">
        <w:rPr>
          <w:rFonts w:ascii="Times New Roman" w:hAnsi="Times New Roman" w:cs="Times New Roman"/>
        </w:rPr>
        <w:t>s</w:t>
      </w:r>
      <w:r w:rsidR="008B0E83" w:rsidRPr="00304F2D">
        <w:rPr>
          <w:rFonts w:ascii="Times New Roman" w:hAnsi="Times New Roman" w:cs="Times New Roman"/>
        </w:rPr>
        <w:t xml:space="preserve">. </w:t>
      </w:r>
      <w:r w:rsidR="00636B24" w:rsidRPr="00304F2D">
        <w:rPr>
          <w:rFonts w:ascii="Times New Roman" w:hAnsi="Times New Roman" w:cs="Times New Roman"/>
        </w:rPr>
        <w:t xml:space="preserve">Findings </w:t>
      </w:r>
      <w:r w:rsidR="00DD6858" w:rsidRPr="00304F2D">
        <w:rPr>
          <w:rFonts w:ascii="Times New Roman" w:hAnsi="Times New Roman" w:cs="Times New Roman"/>
        </w:rPr>
        <w:t xml:space="preserve">are consistent with </w:t>
      </w:r>
      <w:r w:rsidR="006B0752" w:rsidRPr="00304F2D">
        <w:rPr>
          <w:rFonts w:ascii="Times New Roman" w:hAnsi="Times New Roman" w:cs="Times New Roman"/>
        </w:rPr>
        <w:t xml:space="preserve">prior results where plasma donors </w:t>
      </w:r>
      <w:r w:rsidR="00BD62A9">
        <w:rPr>
          <w:rFonts w:ascii="Times New Roman" w:hAnsi="Times New Roman" w:cs="Times New Roman"/>
        </w:rPr>
        <w:t>express</w:t>
      </w:r>
      <w:r w:rsidR="00BD62A9" w:rsidRPr="00304F2D">
        <w:rPr>
          <w:rFonts w:ascii="Times New Roman" w:hAnsi="Times New Roman" w:cs="Times New Roman"/>
        </w:rPr>
        <w:t xml:space="preserve"> </w:t>
      </w:r>
      <w:r w:rsidR="00DD6858" w:rsidRPr="00304F2D">
        <w:rPr>
          <w:rFonts w:ascii="Times New Roman" w:hAnsi="Times New Roman" w:cs="Times New Roman"/>
        </w:rPr>
        <w:t>high</w:t>
      </w:r>
      <w:r w:rsidR="00BD62A9">
        <w:rPr>
          <w:rFonts w:ascii="Times New Roman" w:hAnsi="Times New Roman" w:cs="Times New Roman"/>
        </w:rPr>
        <w:t>er</w:t>
      </w:r>
      <w:r w:rsidR="00DD6858" w:rsidRPr="00304F2D">
        <w:rPr>
          <w:rFonts w:ascii="Times New Roman" w:hAnsi="Times New Roman" w:cs="Times New Roman"/>
        </w:rPr>
        <w:t xml:space="preserve"> intentions </w:t>
      </w:r>
      <w:r w:rsidR="00340184" w:rsidRPr="00304F2D">
        <w:rPr>
          <w:rFonts w:ascii="Times New Roman" w:hAnsi="Times New Roman" w:cs="Times New Roman"/>
        </w:rPr>
        <w:t xml:space="preserve">to give a second donation </w:t>
      </w:r>
      <w:r w:rsidR="00382F99" w:rsidRPr="00304F2D">
        <w:rPr>
          <w:rFonts w:ascii="Times New Roman" w:hAnsi="Times New Roman" w:cs="Times New Roman"/>
        </w:rPr>
        <w:fldChar w:fldCharType="begin"/>
      </w:r>
      <w:r w:rsidR="002F0751" w:rsidRPr="00304F2D">
        <w:rPr>
          <w:rFonts w:ascii="Times New Roman" w:hAnsi="Times New Roman" w:cs="Times New Roman"/>
        </w:rPr>
        <w:instrText xml:space="preserve"> ADDIN EN.CITE &lt;EndNote&gt;&lt;Cite&gt;&lt;Author&gt;Bagot&lt;/Author&gt;&lt;Year&gt;2015&lt;/Year&gt;&lt;RecNum&gt;31285&lt;/RecNum&gt;&lt;DisplayText&gt;(Bagot&lt;style face="italic"&gt; et al.&lt;/style&gt;, 2015b)&lt;/DisplayText&gt;&lt;record&gt;&lt;rec-number&gt;31285&lt;/rec-number&gt;&lt;foreign-keys&gt;&lt;key app="EN" db-id="eswazv0p5wsezae2sd8pf59gf50trdav5fsw" timestamp="1460524198"&gt;31285&lt;/key&gt;&lt;/foreign-keys&gt;&lt;ref-type name="Journal Article"&gt;17&lt;/ref-type&gt;&lt;contributors&gt;&lt;authors&gt;&lt;author&gt;Bagot, Kathleen L.&lt;/author&gt;&lt;author&gt;Masser, Barbara M.&lt;/author&gt;&lt;author&gt;White, Katherine M.&lt;/author&gt;&lt;author&gt;Starfelt, Louise C.&lt;/author&gt;&lt;/authors&gt;&lt;/contributors&gt;&lt;titles&gt;&lt;title&gt;Recruiting and retaining plasmapheresis donors: A critical belief analysis&lt;/title&gt;&lt;secondary-title&gt;Transfusion and Apheresis Science&lt;/secondary-title&gt;&lt;/titles&gt;&lt;periodical&gt;&lt;full-title&gt;Transfusion and Apheresis Science&lt;/full-title&gt;&lt;/periodical&gt;&lt;pages&gt;350-357&lt;/pages&gt;&lt;volume&gt;52&lt;/volume&gt;&lt;number&gt;3&lt;/number&gt;&lt;dates&gt;&lt;year&gt;2015&lt;/year&gt;&lt;/dates&gt;&lt;publisher&gt;Elsevier&lt;/publisher&gt;&lt;isbn&gt;1473-0502&lt;/isbn&gt;&lt;urls&gt;&lt;/urls&gt;&lt;/record&gt;&lt;/Cite&gt;&lt;/EndNote&gt;</w:instrText>
      </w:r>
      <w:r w:rsidR="00382F99" w:rsidRPr="00304F2D">
        <w:rPr>
          <w:rFonts w:ascii="Times New Roman" w:hAnsi="Times New Roman" w:cs="Times New Roman"/>
        </w:rPr>
        <w:fldChar w:fldCharType="separate"/>
      </w:r>
      <w:r w:rsidR="002F0751" w:rsidRPr="00304F2D">
        <w:rPr>
          <w:rFonts w:ascii="Times New Roman" w:hAnsi="Times New Roman" w:cs="Times New Roman"/>
          <w:noProof/>
        </w:rPr>
        <w:t>(</w:t>
      </w:r>
      <w:hyperlink w:anchor="_ENREF_12" w:tooltip="Bagot, 2015 #31285"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2015b</w:t>
        </w:r>
      </w:hyperlink>
      <w:r w:rsidR="002F0751" w:rsidRPr="00304F2D">
        <w:rPr>
          <w:rFonts w:ascii="Times New Roman" w:hAnsi="Times New Roman" w:cs="Times New Roman"/>
          <w:noProof/>
        </w:rPr>
        <w:t>)</w:t>
      </w:r>
      <w:r w:rsidR="00382F99" w:rsidRPr="00304F2D">
        <w:rPr>
          <w:rFonts w:ascii="Times New Roman" w:hAnsi="Times New Roman" w:cs="Times New Roman"/>
        </w:rPr>
        <w:fldChar w:fldCharType="end"/>
      </w:r>
      <w:r w:rsidR="00340184" w:rsidRPr="00304F2D">
        <w:rPr>
          <w:rFonts w:ascii="Times New Roman" w:hAnsi="Times New Roman" w:cs="Times New Roman"/>
        </w:rPr>
        <w:t>.</w:t>
      </w:r>
      <w:r w:rsidRPr="00304F2D">
        <w:rPr>
          <w:rFonts w:ascii="Times New Roman" w:hAnsi="Times New Roman" w:cs="Times New Roman"/>
        </w:rPr>
        <w:t xml:space="preserve"> </w:t>
      </w:r>
      <w:r w:rsidR="008203D2" w:rsidRPr="00304F2D">
        <w:rPr>
          <w:rFonts w:ascii="Times New Roman" w:hAnsi="Times New Roman" w:cs="Times New Roman"/>
        </w:rPr>
        <w:t xml:space="preserve">Extensive data </w:t>
      </w:r>
      <w:r w:rsidR="00636B24" w:rsidRPr="00304F2D">
        <w:rPr>
          <w:rFonts w:ascii="Times New Roman" w:hAnsi="Times New Roman" w:cs="Times New Roman"/>
        </w:rPr>
        <w:t xml:space="preserve">is </w:t>
      </w:r>
      <w:r w:rsidR="008203D2" w:rsidRPr="00304F2D">
        <w:rPr>
          <w:rFonts w:ascii="Times New Roman" w:hAnsi="Times New Roman" w:cs="Times New Roman"/>
        </w:rPr>
        <w:t>captured f</w:t>
      </w:r>
      <w:r w:rsidR="0045090F" w:rsidRPr="00304F2D">
        <w:rPr>
          <w:rFonts w:ascii="Times New Roman" w:hAnsi="Times New Roman" w:cs="Times New Roman"/>
        </w:rPr>
        <w:t xml:space="preserve">or every whole </w:t>
      </w:r>
      <w:r w:rsidR="00B164BE" w:rsidRPr="00304F2D">
        <w:rPr>
          <w:rFonts w:ascii="Times New Roman" w:hAnsi="Times New Roman" w:cs="Times New Roman"/>
        </w:rPr>
        <w:t xml:space="preserve">blood donation that enables </w:t>
      </w:r>
      <w:r w:rsidR="00636B24" w:rsidRPr="00304F2D">
        <w:rPr>
          <w:rFonts w:ascii="Times New Roman" w:hAnsi="Times New Roman" w:cs="Times New Roman"/>
        </w:rPr>
        <w:t>pre-qualification</w:t>
      </w:r>
      <w:r w:rsidR="008B0E83" w:rsidRPr="00304F2D">
        <w:rPr>
          <w:rFonts w:ascii="Times New Roman" w:hAnsi="Times New Roman" w:cs="Times New Roman"/>
        </w:rPr>
        <w:t xml:space="preserve">. </w:t>
      </w:r>
      <w:r w:rsidR="00B164BE" w:rsidRPr="00304F2D">
        <w:rPr>
          <w:rFonts w:ascii="Times New Roman" w:hAnsi="Times New Roman" w:cs="Times New Roman"/>
        </w:rPr>
        <w:t>This</w:t>
      </w:r>
      <w:r w:rsidR="00636B24" w:rsidRPr="00304F2D">
        <w:rPr>
          <w:rFonts w:ascii="Times New Roman" w:hAnsi="Times New Roman" w:cs="Times New Roman"/>
        </w:rPr>
        <w:t xml:space="preserve"> may explain the higher stability, </w:t>
      </w:r>
      <w:r w:rsidR="00B164BE" w:rsidRPr="00304F2D">
        <w:rPr>
          <w:rFonts w:ascii="Times New Roman" w:hAnsi="Times New Roman" w:cs="Times New Roman"/>
        </w:rPr>
        <w:t xml:space="preserve">combined with an extended </w:t>
      </w:r>
      <w:r w:rsidR="00340184" w:rsidRPr="00304F2D">
        <w:rPr>
          <w:rFonts w:ascii="Times New Roman" w:hAnsi="Times New Roman" w:cs="Times New Roman"/>
        </w:rPr>
        <w:t xml:space="preserve">donation </w:t>
      </w:r>
      <w:r w:rsidRPr="00304F2D">
        <w:rPr>
          <w:rFonts w:ascii="Times New Roman" w:hAnsi="Times New Roman" w:cs="Times New Roman"/>
        </w:rPr>
        <w:t>proces</w:t>
      </w:r>
      <w:r w:rsidR="00636B24" w:rsidRPr="00304F2D">
        <w:rPr>
          <w:rFonts w:ascii="Times New Roman" w:hAnsi="Times New Roman" w:cs="Times New Roman"/>
        </w:rPr>
        <w:t xml:space="preserve">s </w:t>
      </w:r>
      <w:r w:rsidR="008B0E83" w:rsidRPr="00304F2D">
        <w:rPr>
          <w:rFonts w:ascii="Times New Roman" w:hAnsi="Times New Roman" w:cs="Times New Roman"/>
        </w:rPr>
        <w:t>where staff have an</w:t>
      </w:r>
      <w:r w:rsidR="00340184" w:rsidRPr="00304F2D">
        <w:rPr>
          <w:rFonts w:ascii="Times New Roman" w:hAnsi="Times New Roman" w:cs="Times New Roman"/>
        </w:rPr>
        <w:t xml:space="preserve"> opportunity to </w:t>
      </w:r>
      <w:r w:rsidRPr="00304F2D">
        <w:rPr>
          <w:rFonts w:ascii="Times New Roman" w:hAnsi="Times New Roman" w:cs="Times New Roman"/>
        </w:rPr>
        <w:t xml:space="preserve">gauge whether donors are open </w:t>
      </w:r>
      <w:r w:rsidRPr="00304F2D">
        <w:rPr>
          <w:rFonts w:ascii="Times New Roman" w:hAnsi="Times New Roman" w:cs="Times New Roman"/>
        </w:rPr>
        <w:lastRenderedPageBreak/>
        <w:t xml:space="preserve">to considering making </w:t>
      </w:r>
      <w:r w:rsidR="008B0E83" w:rsidRPr="00304F2D">
        <w:rPr>
          <w:rFonts w:ascii="Times New Roman" w:hAnsi="Times New Roman" w:cs="Times New Roman"/>
        </w:rPr>
        <w:t>an alternative form of blood donation</w:t>
      </w:r>
      <w:r w:rsidR="00B164BE" w:rsidRPr="00304F2D">
        <w:rPr>
          <w:rFonts w:ascii="Times New Roman" w:hAnsi="Times New Roman" w:cs="Times New Roman"/>
        </w:rPr>
        <w:t xml:space="preserve"> and can </w:t>
      </w:r>
      <w:r w:rsidR="00340184" w:rsidRPr="00304F2D">
        <w:rPr>
          <w:rFonts w:ascii="Times New Roman" w:hAnsi="Times New Roman" w:cs="Times New Roman"/>
        </w:rPr>
        <w:t>tailor messaging to assist conversion and rete</w:t>
      </w:r>
      <w:r w:rsidR="00636B24" w:rsidRPr="00304F2D">
        <w:rPr>
          <w:rFonts w:ascii="Times New Roman" w:hAnsi="Times New Roman" w:cs="Times New Roman"/>
        </w:rPr>
        <w:t>ntion of</w:t>
      </w:r>
      <w:r w:rsidR="00340184" w:rsidRPr="00304F2D">
        <w:rPr>
          <w:rFonts w:ascii="Times New Roman" w:hAnsi="Times New Roman" w:cs="Times New Roman"/>
        </w:rPr>
        <w:t xml:space="preserve"> plasma donors </w:t>
      </w:r>
      <w:r w:rsidR="00382F99" w:rsidRPr="00304F2D">
        <w:rPr>
          <w:rFonts w:ascii="Times New Roman" w:hAnsi="Times New Roman" w:cs="Times New Roman"/>
        </w:rPr>
        <w:fldChar w:fldCharType="begin"/>
      </w:r>
      <w:r w:rsidR="002F0751" w:rsidRPr="00304F2D">
        <w:rPr>
          <w:rFonts w:ascii="Times New Roman" w:hAnsi="Times New Roman" w:cs="Times New Roman"/>
        </w:rPr>
        <w:instrText xml:space="preserve"> ADDIN EN.CITE &lt;EndNote&gt;&lt;Cite&gt;&lt;Author&gt;Bagot&lt;/Author&gt;&lt;Year&gt;2015&lt;/Year&gt;&lt;RecNum&gt;31285&lt;/RecNum&gt;&lt;DisplayText&gt;(Bagot&lt;style face="italic"&gt; et al.&lt;/style&gt;, 2015b)&lt;/DisplayText&gt;&lt;record&gt;&lt;rec-number&gt;31285&lt;/rec-number&gt;&lt;foreign-keys&gt;&lt;key app="EN" db-id="eswazv0p5wsezae2sd8pf59gf50trdav5fsw" timestamp="1460524198"&gt;31285&lt;/key&gt;&lt;/foreign-keys&gt;&lt;ref-type name="Journal Article"&gt;17&lt;/ref-type&gt;&lt;contributors&gt;&lt;authors&gt;&lt;author&gt;Bagot, Kathleen L.&lt;/author&gt;&lt;author&gt;Masser, Barbara M.&lt;/author&gt;&lt;author&gt;White, Katherine M.&lt;/author&gt;&lt;author&gt;Starfelt, Louise C.&lt;/author&gt;&lt;/authors&gt;&lt;/contributors&gt;&lt;titles&gt;&lt;title&gt;Recruiting and retaining plasmapheresis donors: A critical belief analysis&lt;/title&gt;&lt;secondary-title&gt;Transfusion and Apheresis Science&lt;/secondary-title&gt;&lt;/titles&gt;&lt;periodical&gt;&lt;full-title&gt;Transfusion and Apheresis Science&lt;/full-title&gt;&lt;/periodical&gt;&lt;pages&gt;350-357&lt;/pages&gt;&lt;volume&gt;52&lt;/volume&gt;&lt;number&gt;3&lt;/number&gt;&lt;dates&gt;&lt;year&gt;2015&lt;/year&gt;&lt;/dates&gt;&lt;publisher&gt;Elsevier&lt;/publisher&gt;&lt;isbn&gt;1473-0502&lt;/isbn&gt;&lt;urls&gt;&lt;/urls&gt;&lt;/record&gt;&lt;/Cite&gt;&lt;/EndNote&gt;</w:instrText>
      </w:r>
      <w:r w:rsidR="00382F99" w:rsidRPr="00304F2D">
        <w:rPr>
          <w:rFonts w:ascii="Times New Roman" w:hAnsi="Times New Roman" w:cs="Times New Roman"/>
        </w:rPr>
        <w:fldChar w:fldCharType="separate"/>
      </w:r>
      <w:r w:rsidR="002F0751" w:rsidRPr="00304F2D">
        <w:rPr>
          <w:rFonts w:ascii="Times New Roman" w:hAnsi="Times New Roman" w:cs="Times New Roman"/>
          <w:noProof/>
        </w:rPr>
        <w:t>(</w:t>
      </w:r>
      <w:hyperlink w:anchor="_ENREF_12" w:tooltip="Bagot, 2015 #31285" w:history="1">
        <w:r w:rsidR="00DA6B8D" w:rsidRPr="00304F2D">
          <w:rPr>
            <w:rFonts w:ascii="Times New Roman" w:hAnsi="Times New Roman" w:cs="Times New Roman"/>
            <w:noProof/>
          </w:rPr>
          <w:t>Bagot</w:t>
        </w:r>
        <w:r w:rsidR="00DA6B8D" w:rsidRPr="00304F2D">
          <w:rPr>
            <w:rFonts w:ascii="Times New Roman" w:hAnsi="Times New Roman" w:cs="Times New Roman"/>
            <w:i/>
            <w:noProof/>
          </w:rPr>
          <w:t xml:space="preserve"> et al.</w:t>
        </w:r>
        <w:r w:rsidR="00DA6B8D" w:rsidRPr="00304F2D">
          <w:rPr>
            <w:rFonts w:ascii="Times New Roman" w:hAnsi="Times New Roman" w:cs="Times New Roman"/>
            <w:noProof/>
          </w:rPr>
          <w:t>, 2015b</w:t>
        </w:r>
      </w:hyperlink>
      <w:r w:rsidR="002F0751" w:rsidRPr="00304F2D">
        <w:rPr>
          <w:rFonts w:ascii="Times New Roman" w:hAnsi="Times New Roman" w:cs="Times New Roman"/>
          <w:noProof/>
        </w:rPr>
        <w:t>)</w:t>
      </w:r>
      <w:r w:rsidR="00382F99" w:rsidRPr="00304F2D">
        <w:rPr>
          <w:rFonts w:ascii="Times New Roman" w:hAnsi="Times New Roman" w:cs="Times New Roman"/>
        </w:rPr>
        <w:fldChar w:fldCharType="end"/>
      </w:r>
      <w:r w:rsidRPr="00304F2D">
        <w:rPr>
          <w:rFonts w:ascii="Times New Roman" w:hAnsi="Times New Roman" w:cs="Times New Roman"/>
        </w:rPr>
        <w:t>.</w:t>
      </w:r>
    </w:p>
    <w:p w14:paraId="6E7792BB" w14:textId="77777777" w:rsidR="00373224" w:rsidRPr="00304F2D" w:rsidRDefault="00373224" w:rsidP="00886DCF">
      <w:pPr>
        <w:spacing w:line="480" w:lineRule="auto"/>
        <w:rPr>
          <w:rFonts w:ascii="Times New Roman" w:hAnsi="Times New Roman" w:cs="Times New Roman"/>
        </w:rPr>
      </w:pPr>
    </w:p>
    <w:p w14:paraId="7F2C4DA2" w14:textId="181AE136" w:rsidR="005A1A37" w:rsidRPr="00304F2D" w:rsidRDefault="00607A65" w:rsidP="00636B24">
      <w:pPr>
        <w:rPr>
          <w:rFonts w:ascii="Times New Roman" w:hAnsi="Times New Roman" w:cs="Times New Roman"/>
          <w:b/>
          <w:bCs/>
        </w:rPr>
      </w:pPr>
      <w:r w:rsidRPr="00304F2D">
        <w:rPr>
          <w:rFonts w:ascii="Times New Roman" w:hAnsi="Times New Roman" w:cs="Times New Roman"/>
          <w:b/>
          <w:bCs/>
        </w:rPr>
        <w:t>Conflict of interest</w:t>
      </w:r>
    </w:p>
    <w:p w14:paraId="61AB3736" w14:textId="77777777" w:rsidR="005A1A37" w:rsidRPr="00304F2D" w:rsidRDefault="005A1A37" w:rsidP="005A1A37">
      <w:pPr>
        <w:spacing w:line="480" w:lineRule="auto"/>
        <w:rPr>
          <w:rFonts w:ascii="Times New Roman" w:hAnsi="Times New Roman" w:cs="Times New Roman"/>
          <w:b/>
        </w:rPr>
      </w:pPr>
    </w:p>
    <w:p w14:paraId="0071FA19" w14:textId="269A791A" w:rsidR="005A1A37" w:rsidRPr="00304F2D" w:rsidRDefault="005A1A37" w:rsidP="005A1A37">
      <w:pPr>
        <w:spacing w:line="480" w:lineRule="auto"/>
        <w:rPr>
          <w:rFonts w:ascii="Times New Roman" w:hAnsi="Times New Roman" w:cs="Times New Roman"/>
          <w:b/>
        </w:rPr>
      </w:pPr>
      <w:r w:rsidRPr="00304F2D">
        <w:rPr>
          <w:rFonts w:ascii="Times New Roman" w:hAnsi="Times New Roman" w:cs="Times New Roman"/>
        </w:rPr>
        <w:t>The authors declare that they have no conflicts of interest relevant to the manuscript submitted to</w:t>
      </w:r>
      <w:r w:rsidR="00425EEE" w:rsidRPr="00304F2D">
        <w:rPr>
          <w:rFonts w:ascii="Times New Roman" w:hAnsi="Times New Roman" w:cs="Times New Roman"/>
        </w:rPr>
        <w:t xml:space="preserve"> the</w:t>
      </w:r>
      <w:r w:rsidRPr="00304F2D">
        <w:rPr>
          <w:rFonts w:ascii="Times New Roman" w:hAnsi="Times New Roman" w:cs="Times New Roman"/>
        </w:rPr>
        <w:t xml:space="preserve"> </w:t>
      </w:r>
      <w:r w:rsidR="00607A65" w:rsidRPr="00304F2D">
        <w:rPr>
          <w:rFonts w:ascii="Times New Roman" w:hAnsi="Times New Roman" w:cs="Times New Roman"/>
          <w:b/>
        </w:rPr>
        <w:t>Australasian Marketing Journal.</w:t>
      </w:r>
    </w:p>
    <w:p w14:paraId="536346FA" w14:textId="77777777" w:rsidR="005878E5" w:rsidRPr="00304F2D" w:rsidRDefault="005878E5" w:rsidP="005A1A37">
      <w:pPr>
        <w:spacing w:line="480" w:lineRule="auto"/>
        <w:rPr>
          <w:rFonts w:ascii="Times New Roman" w:hAnsi="Times New Roman" w:cs="Times New Roman"/>
        </w:rPr>
      </w:pPr>
    </w:p>
    <w:p w14:paraId="70F36115" w14:textId="77777777" w:rsidR="00086E8F" w:rsidRPr="00304F2D" w:rsidRDefault="00086E8F" w:rsidP="00086E8F">
      <w:pPr>
        <w:rPr>
          <w:rFonts w:ascii="Times New Roman" w:hAnsi="Times New Roman" w:cs="Times New Roman"/>
          <w:b/>
        </w:rPr>
      </w:pPr>
      <w:r w:rsidRPr="00304F2D">
        <w:rPr>
          <w:rFonts w:ascii="Times New Roman" w:hAnsi="Times New Roman" w:cs="Times New Roman"/>
          <w:b/>
        </w:rPr>
        <w:t>Acknowledgment</w:t>
      </w:r>
    </w:p>
    <w:p w14:paraId="37EC69F7" w14:textId="77777777" w:rsidR="00373224" w:rsidRPr="00304F2D" w:rsidRDefault="00373224" w:rsidP="00086E8F">
      <w:pPr>
        <w:rPr>
          <w:rFonts w:ascii="Times New Roman" w:hAnsi="Times New Roman" w:cs="Times New Roman"/>
          <w:b/>
        </w:rPr>
      </w:pPr>
    </w:p>
    <w:p w14:paraId="43E04AC8" w14:textId="77777777" w:rsidR="00086E8F" w:rsidRPr="00304F2D" w:rsidRDefault="00086E8F" w:rsidP="00086E8F">
      <w:pPr>
        <w:rPr>
          <w:rFonts w:ascii="Times New Roman" w:hAnsi="Times New Roman" w:cs="Times New Roman"/>
        </w:rPr>
      </w:pPr>
    </w:p>
    <w:p w14:paraId="0EA1A0B8" w14:textId="77777777" w:rsidR="00086E8F" w:rsidRPr="00304F2D" w:rsidRDefault="00086E8F" w:rsidP="00D32ADF">
      <w:pPr>
        <w:spacing w:line="480" w:lineRule="auto"/>
        <w:rPr>
          <w:rFonts w:ascii="Times New Roman" w:hAnsi="Times New Roman" w:cs="Times New Roman"/>
        </w:rPr>
      </w:pPr>
      <w:r w:rsidRPr="00304F2D">
        <w:rPr>
          <w:rFonts w:ascii="Times New Roman" w:hAnsi="Times New Roman" w:cs="Times New Roman"/>
        </w:rPr>
        <w:t>We would like to acknowledge the Australian Red Cross Blood Service (the Blood Service) and Australian governments that fund the Blood Service for the provision of blood, blood products and services to the Australian community. We would also like to acknowledge the Direct Marketing Education Foundation (DMEF) for providing the charity data set.</w:t>
      </w:r>
    </w:p>
    <w:p w14:paraId="412160A6" w14:textId="2032ABFF" w:rsidR="00086FA8" w:rsidRPr="00304F2D" w:rsidRDefault="00086FA8" w:rsidP="00DE5974">
      <w:pPr>
        <w:spacing w:line="480" w:lineRule="auto"/>
        <w:rPr>
          <w:rFonts w:ascii="Times New Roman" w:hAnsi="Times New Roman" w:cs="Times New Roman"/>
          <w:b/>
          <w:bCs/>
          <w:caps/>
        </w:rPr>
      </w:pPr>
    </w:p>
    <w:p w14:paraId="2230D475" w14:textId="77777777" w:rsidR="009F587F" w:rsidRPr="00304F2D" w:rsidRDefault="009F587F">
      <w:pPr>
        <w:rPr>
          <w:rFonts w:ascii="Times New Roman" w:hAnsi="Times New Roman" w:cs="Times New Roman"/>
          <w:b/>
          <w:bCs/>
          <w:caps/>
        </w:rPr>
      </w:pPr>
    </w:p>
    <w:p w14:paraId="6E02A7D9" w14:textId="77777777" w:rsidR="00382F99" w:rsidRPr="00304F2D" w:rsidRDefault="00382F99">
      <w:pPr>
        <w:rPr>
          <w:rFonts w:ascii="Times New Roman" w:hAnsi="Times New Roman" w:cs="Times New Roman"/>
          <w:b/>
          <w:bCs/>
          <w:caps/>
        </w:rPr>
      </w:pPr>
      <w:r w:rsidRPr="00304F2D">
        <w:rPr>
          <w:rFonts w:ascii="Times New Roman" w:hAnsi="Times New Roman" w:cs="Times New Roman"/>
          <w:b/>
          <w:bCs/>
          <w:caps/>
        </w:rPr>
        <w:br w:type="page"/>
      </w:r>
    </w:p>
    <w:p w14:paraId="19BFA6B9" w14:textId="76EE1F66" w:rsidR="00005BA9" w:rsidRPr="00304F2D" w:rsidRDefault="00086FA8" w:rsidP="00382F99">
      <w:pPr>
        <w:spacing w:line="480" w:lineRule="auto"/>
        <w:jc w:val="center"/>
        <w:rPr>
          <w:rFonts w:ascii="Times New Roman" w:hAnsi="Times New Roman" w:cs="Times New Roman"/>
          <w:b/>
          <w:bCs/>
          <w:caps/>
        </w:rPr>
      </w:pPr>
      <w:r w:rsidRPr="00304F2D">
        <w:rPr>
          <w:rFonts w:ascii="Times New Roman" w:hAnsi="Times New Roman" w:cs="Times New Roman"/>
          <w:b/>
          <w:bCs/>
          <w:caps/>
        </w:rPr>
        <w:lastRenderedPageBreak/>
        <w:t>References</w:t>
      </w:r>
    </w:p>
    <w:p w14:paraId="7FF9A869" w14:textId="77777777" w:rsidR="00DA6B8D" w:rsidRPr="00DA6B8D" w:rsidRDefault="00005BA9" w:rsidP="00DA6B8D">
      <w:pPr>
        <w:pStyle w:val="EndNoteBibliography"/>
        <w:rPr>
          <w:noProof/>
        </w:rPr>
      </w:pPr>
      <w:r w:rsidRPr="00304F2D">
        <w:rPr>
          <w:rFonts w:ascii="Times New Roman" w:hAnsi="Times New Roman" w:cs="Times New Roman"/>
          <w:b/>
          <w:bCs/>
          <w:caps/>
        </w:rPr>
        <w:fldChar w:fldCharType="begin"/>
      </w:r>
      <w:r w:rsidRPr="00304F2D">
        <w:rPr>
          <w:rFonts w:ascii="Times New Roman" w:hAnsi="Times New Roman" w:cs="Times New Roman"/>
          <w:b/>
          <w:bCs/>
          <w:caps/>
        </w:rPr>
        <w:instrText xml:space="preserve"> ADDIN EN.REFLIST </w:instrText>
      </w:r>
      <w:r w:rsidRPr="00304F2D">
        <w:rPr>
          <w:rFonts w:ascii="Times New Roman" w:hAnsi="Times New Roman" w:cs="Times New Roman"/>
          <w:b/>
          <w:bCs/>
          <w:caps/>
        </w:rPr>
        <w:fldChar w:fldCharType="separate"/>
      </w:r>
      <w:bookmarkStart w:id="1" w:name="_ENREF_1"/>
      <w:r w:rsidR="00DA6B8D" w:rsidRPr="00DA6B8D">
        <w:rPr>
          <w:rFonts w:hint="eastAsia"/>
          <w:noProof/>
        </w:rPr>
        <w:t>Allain, J. P., (2011). Moving on from voluntary non</w:t>
      </w:r>
      <w:r w:rsidR="00DA6B8D" w:rsidRPr="00DA6B8D">
        <w:rPr>
          <w:rFonts w:hint="eastAsia"/>
          <w:noProof/>
        </w:rPr>
        <w:t>‐</w:t>
      </w:r>
      <w:r w:rsidR="00DA6B8D" w:rsidRPr="00DA6B8D">
        <w:rPr>
          <w:rFonts w:hint="eastAsia"/>
          <w:noProof/>
        </w:rPr>
        <w:t xml:space="preserve">remunerated donors: Who is the best blood donor? </w:t>
      </w:r>
      <w:r w:rsidR="00DA6B8D" w:rsidRPr="00DA6B8D">
        <w:rPr>
          <w:rFonts w:hint="eastAsia"/>
          <w:i/>
          <w:noProof/>
        </w:rPr>
        <w:t xml:space="preserve">British journal of haematology, </w:t>
      </w:r>
      <w:r w:rsidR="00DA6B8D" w:rsidRPr="00DA6B8D">
        <w:rPr>
          <w:rFonts w:hint="eastAsia"/>
          <w:noProof/>
        </w:rPr>
        <w:t>154 (6), 763-769.</w:t>
      </w:r>
      <w:bookmarkEnd w:id="1"/>
    </w:p>
    <w:p w14:paraId="506146FE" w14:textId="77777777" w:rsidR="00DA6B8D" w:rsidRPr="00DA6B8D" w:rsidRDefault="00DA6B8D" w:rsidP="00DA6B8D">
      <w:pPr>
        <w:pStyle w:val="EndNoteBibliography"/>
        <w:rPr>
          <w:noProof/>
        </w:rPr>
      </w:pPr>
      <w:bookmarkStart w:id="2" w:name="_ENREF_2"/>
      <w:r w:rsidRPr="00DA6B8D">
        <w:rPr>
          <w:noProof/>
        </w:rPr>
        <w:t xml:space="preserve">Andreasen, A. R., (2012). Rethinking the relationship between social/nonprofit marketing and commercial marketing. </w:t>
      </w:r>
      <w:r w:rsidRPr="00DA6B8D">
        <w:rPr>
          <w:i/>
          <w:noProof/>
        </w:rPr>
        <w:t xml:space="preserve">Journal of Public Policy &amp; Marketing, </w:t>
      </w:r>
      <w:r w:rsidRPr="00DA6B8D">
        <w:rPr>
          <w:noProof/>
        </w:rPr>
        <w:t>31 (1), 36-41.</w:t>
      </w:r>
      <w:bookmarkEnd w:id="2"/>
    </w:p>
    <w:p w14:paraId="35A73C30" w14:textId="77777777" w:rsidR="00DA6B8D" w:rsidRPr="00DA6B8D" w:rsidRDefault="00DA6B8D" w:rsidP="00DA6B8D">
      <w:pPr>
        <w:pStyle w:val="EndNoteBibliography"/>
        <w:rPr>
          <w:noProof/>
        </w:rPr>
      </w:pPr>
      <w:bookmarkStart w:id="3" w:name="_ENREF_3"/>
      <w:r w:rsidRPr="00DA6B8D">
        <w:rPr>
          <w:noProof/>
        </w:rPr>
        <w:t xml:space="preserve">Anschuetz, N., (1997). Profiting from the '80-20 rule of thumb'. </w:t>
      </w:r>
      <w:r w:rsidRPr="00DA6B8D">
        <w:rPr>
          <w:i/>
          <w:noProof/>
        </w:rPr>
        <w:t xml:space="preserve">Journal of Advertising Research, </w:t>
      </w:r>
      <w:r w:rsidRPr="00DA6B8D">
        <w:rPr>
          <w:noProof/>
        </w:rPr>
        <w:t>37 (6), 51-56.</w:t>
      </w:r>
      <w:bookmarkEnd w:id="3"/>
    </w:p>
    <w:p w14:paraId="65644002" w14:textId="77777777" w:rsidR="00DA6B8D" w:rsidRPr="00DA6B8D" w:rsidRDefault="00DA6B8D" w:rsidP="00DA6B8D">
      <w:pPr>
        <w:pStyle w:val="EndNoteBibliography"/>
        <w:rPr>
          <w:noProof/>
        </w:rPr>
      </w:pPr>
      <w:bookmarkStart w:id="4" w:name="_ENREF_4"/>
      <w:r w:rsidRPr="00DA6B8D">
        <w:rPr>
          <w:noProof/>
        </w:rPr>
        <w:t>Association of Fundraising Professionals, (2014). Fundraising effectiveness survey report. The Urban Institute, Online.</w:t>
      </w:r>
      <w:bookmarkEnd w:id="4"/>
    </w:p>
    <w:p w14:paraId="420AB445" w14:textId="77777777" w:rsidR="00DA6B8D" w:rsidRPr="00DA6B8D" w:rsidRDefault="00DA6B8D" w:rsidP="00DA6B8D">
      <w:pPr>
        <w:pStyle w:val="EndNoteBibliography"/>
        <w:rPr>
          <w:noProof/>
        </w:rPr>
      </w:pPr>
      <w:bookmarkStart w:id="5" w:name="_ENREF_5"/>
      <w:r w:rsidRPr="00DA6B8D">
        <w:rPr>
          <w:noProof/>
        </w:rPr>
        <w:t>Australian Bureau of Statistics, (2011). Table 59: Estimated resident population by single year of age. Canberra, Australia.</w:t>
      </w:r>
      <w:bookmarkEnd w:id="5"/>
    </w:p>
    <w:p w14:paraId="70AE3DF6" w14:textId="77777777" w:rsidR="00DA6B8D" w:rsidRPr="00DA6B8D" w:rsidRDefault="00DA6B8D" w:rsidP="00DA6B8D">
      <w:pPr>
        <w:pStyle w:val="EndNoteBibliography"/>
        <w:rPr>
          <w:noProof/>
        </w:rPr>
      </w:pPr>
      <w:bookmarkStart w:id="6" w:name="_ENREF_6"/>
      <w:r w:rsidRPr="00DA6B8D">
        <w:rPr>
          <w:noProof/>
        </w:rPr>
        <w:t>Australian Red Cross, (2012). Blood service statistics. Australian Red Cross, Online.</w:t>
      </w:r>
      <w:bookmarkEnd w:id="6"/>
    </w:p>
    <w:p w14:paraId="6E94E367" w14:textId="77777777" w:rsidR="00DA6B8D" w:rsidRPr="00DA6B8D" w:rsidRDefault="00DA6B8D" w:rsidP="00DA6B8D">
      <w:pPr>
        <w:pStyle w:val="EndNoteBibliography"/>
        <w:rPr>
          <w:noProof/>
        </w:rPr>
      </w:pPr>
      <w:bookmarkStart w:id="7" w:name="_ENREF_7"/>
      <w:r w:rsidRPr="00DA6B8D">
        <w:rPr>
          <w:noProof/>
        </w:rPr>
        <w:t>Australian Red Cross Blood Service, (2011). Your plasma can help more people than you think. Online.</w:t>
      </w:r>
      <w:bookmarkEnd w:id="7"/>
    </w:p>
    <w:p w14:paraId="4E756E36" w14:textId="18459A80" w:rsidR="00DA6B8D" w:rsidRPr="00DA6B8D" w:rsidRDefault="00DA6B8D" w:rsidP="00DA6B8D">
      <w:pPr>
        <w:pStyle w:val="EndNoteBibliography"/>
        <w:rPr>
          <w:noProof/>
        </w:rPr>
      </w:pPr>
      <w:bookmarkStart w:id="8" w:name="_ENREF_8"/>
      <w:r w:rsidRPr="00DA6B8D">
        <w:rPr>
          <w:noProof/>
        </w:rPr>
        <w:t>Australian Red Cross Blood Service, (2014). Who can give? - when can i donate next? Available from: &lt;</w:t>
      </w:r>
      <w:hyperlink r:id="rId9" w:history="1">
        <w:r w:rsidRPr="00DA6B8D">
          <w:rPr>
            <w:rStyle w:val="Hyperlink"/>
            <w:rFonts w:asciiTheme="minorHAnsi" w:hAnsiTheme="minorHAnsi"/>
            <w:noProof/>
          </w:rPr>
          <w:t>http://www.donateblood.com.au/who-can-give/when-can-i</w:t>
        </w:r>
      </w:hyperlink>
      <w:r w:rsidRPr="00DA6B8D">
        <w:rPr>
          <w:noProof/>
        </w:rPr>
        <w:t>&gt;.</w:t>
      </w:r>
      <w:bookmarkEnd w:id="8"/>
    </w:p>
    <w:p w14:paraId="6BCC8677" w14:textId="77777777" w:rsidR="00DA6B8D" w:rsidRPr="00DA6B8D" w:rsidRDefault="00DA6B8D" w:rsidP="00DA6B8D">
      <w:pPr>
        <w:pStyle w:val="EndNoteBibliography"/>
        <w:rPr>
          <w:noProof/>
        </w:rPr>
      </w:pPr>
      <w:bookmarkStart w:id="9" w:name="_ENREF_9"/>
      <w:r w:rsidRPr="00DA6B8D">
        <w:rPr>
          <w:noProof/>
        </w:rPr>
        <w:t xml:space="preserve">Bagot, K. L., Bove, L. L., Masser, B. M., Bednall, T. C., Buzza, M., (2013). Perceived deterrents to being a plasmapheresis donor in a voluntary, nonremunerated environment. </w:t>
      </w:r>
      <w:r w:rsidRPr="00DA6B8D">
        <w:rPr>
          <w:i/>
          <w:noProof/>
        </w:rPr>
        <w:t xml:space="preserve">Transfusion, </w:t>
      </w:r>
      <w:r w:rsidRPr="00DA6B8D">
        <w:rPr>
          <w:noProof/>
        </w:rPr>
        <w:t>53, 1108-1119.</w:t>
      </w:r>
      <w:bookmarkEnd w:id="9"/>
    </w:p>
    <w:p w14:paraId="6BECCE65" w14:textId="77777777" w:rsidR="00DA6B8D" w:rsidRPr="00DA6B8D" w:rsidRDefault="00DA6B8D" w:rsidP="00DA6B8D">
      <w:pPr>
        <w:pStyle w:val="EndNoteBibliography"/>
        <w:rPr>
          <w:noProof/>
        </w:rPr>
      </w:pPr>
      <w:bookmarkStart w:id="10" w:name="_ENREF_10"/>
      <w:r w:rsidRPr="00DA6B8D">
        <w:rPr>
          <w:noProof/>
        </w:rPr>
        <w:t xml:space="preserve">Bagot, K. L., Bove, L. L., Masser, B. M., White, K. M., (2014). Asking for something different from our donors: Factors influencing persuasion success. </w:t>
      </w:r>
      <w:r w:rsidRPr="00DA6B8D">
        <w:rPr>
          <w:i/>
          <w:noProof/>
        </w:rPr>
        <w:t xml:space="preserve">Transfusion, </w:t>
      </w:r>
      <w:r w:rsidRPr="00DA6B8D">
        <w:rPr>
          <w:noProof/>
        </w:rPr>
        <w:t>54 (3), 848-855.</w:t>
      </w:r>
      <w:bookmarkEnd w:id="10"/>
    </w:p>
    <w:p w14:paraId="435C3B16" w14:textId="77777777" w:rsidR="00DA6B8D" w:rsidRPr="00DA6B8D" w:rsidRDefault="00DA6B8D" w:rsidP="00DA6B8D">
      <w:pPr>
        <w:pStyle w:val="EndNoteBibliography"/>
        <w:rPr>
          <w:noProof/>
        </w:rPr>
      </w:pPr>
      <w:bookmarkStart w:id="11" w:name="_ENREF_11"/>
      <w:r w:rsidRPr="00DA6B8D">
        <w:rPr>
          <w:noProof/>
        </w:rPr>
        <w:t xml:space="preserve">Bagot, K. L., Masser, B. M., Starfelt, L. C., White, K. M., (2015a). Building a flexible, voluntary donation panel: An exploration of donor willingness. </w:t>
      </w:r>
      <w:r w:rsidRPr="00DA6B8D">
        <w:rPr>
          <w:i/>
          <w:noProof/>
        </w:rPr>
        <w:t xml:space="preserve">Transfusion, </w:t>
      </w:r>
      <w:r w:rsidRPr="00DA6B8D">
        <w:rPr>
          <w:noProof/>
        </w:rPr>
        <w:t>56, 186-194.</w:t>
      </w:r>
      <w:bookmarkEnd w:id="11"/>
    </w:p>
    <w:p w14:paraId="57224E4C" w14:textId="77777777" w:rsidR="00DA6B8D" w:rsidRPr="00DA6B8D" w:rsidRDefault="00DA6B8D" w:rsidP="00DA6B8D">
      <w:pPr>
        <w:pStyle w:val="EndNoteBibliography"/>
        <w:rPr>
          <w:noProof/>
        </w:rPr>
      </w:pPr>
      <w:bookmarkStart w:id="12" w:name="_ENREF_12"/>
      <w:r w:rsidRPr="00DA6B8D">
        <w:rPr>
          <w:noProof/>
        </w:rPr>
        <w:t xml:space="preserve">Bagot, K. L., Masser, B. M., White, K. M., Starfelt, L. C., (2015b). Recruiting and retaining plasmapheresis donors: A critical belief analysis. </w:t>
      </w:r>
      <w:r w:rsidRPr="00DA6B8D">
        <w:rPr>
          <w:i/>
          <w:noProof/>
        </w:rPr>
        <w:t xml:space="preserve">Transfusion and Apheresis Science, </w:t>
      </w:r>
      <w:r w:rsidRPr="00DA6B8D">
        <w:rPr>
          <w:noProof/>
        </w:rPr>
        <w:t>52 (3), 350-357.</w:t>
      </w:r>
      <w:bookmarkEnd w:id="12"/>
    </w:p>
    <w:p w14:paraId="47AC8019" w14:textId="77777777" w:rsidR="00DA6B8D" w:rsidRPr="00DA6B8D" w:rsidRDefault="00DA6B8D" w:rsidP="00DA6B8D">
      <w:pPr>
        <w:pStyle w:val="EndNoteBibliography"/>
        <w:rPr>
          <w:noProof/>
        </w:rPr>
      </w:pPr>
      <w:bookmarkStart w:id="13" w:name="_ENREF_13"/>
      <w:r w:rsidRPr="00DA6B8D">
        <w:rPr>
          <w:noProof/>
        </w:rPr>
        <w:t xml:space="preserve">Bekkers, R., Wiepking, P., (2011). A literature review of empirical studies of philanthropy: Eight mechanisms that drive charitable giving. </w:t>
      </w:r>
      <w:r w:rsidRPr="00DA6B8D">
        <w:rPr>
          <w:i/>
          <w:noProof/>
        </w:rPr>
        <w:t xml:space="preserve">Nonprofit and Voluntary Sector Quarterly, </w:t>
      </w:r>
      <w:r w:rsidRPr="00DA6B8D">
        <w:rPr>
          <w:noProof/>
        </w:rPr>
        <w:t>40 (5), 924-973.</w:t>
      </w:r>
      <w:bookmarkEnd w:id="13"/>
    </w:p>
    <w:p w14:paraId="4B1A0FBA" w14:textId="77777777" w:rsidR="00DA6B8D" w:rsidRPr="00DA6B8D" w:rsidRDefault="00DA6B8D" w:rsidP="00DA6B8D">
      <w:pPr>
        <w:pStyle w:val="EndNoteBibliography"/>
        <w:rPr>
          <w:noProof/>
        </w:rPr>
      </w:pPr>
      <w:bookmarkStart w:id="14" w:name="_ENREF_14"/>
      <w:r w:rsidRPr="00DA6B8D">
        <w:rPr>
          <w:noProof/>
        </w:rPr>
        <w:t xml:space="preserve">Bennett, R., (2009). Factors influencing donation switching behaviour among charity supporters: An empirical investigation. </w:t>
      </w:r>
      <w:r w:rsidRPr="00DA6B8D">
        <w:rPr>
          <w:i/>
          <w:noProof/>
        </w:rPr>
        <w:t xml:space="preserve">Journal of Customer Behaviour, </w:t>
      </w:r>
      <w:r w:rsidRPr="00DA6B8D">
        <w:rPr>
          <w:noProof/>
        </w:rPr>
        <w:t>8 (4), 329-345.</w:t>
      </w:r>
      <w:bookmarkEnd w:id="14"/>
    </w:p>
    <w:p w14:paraId="0EBEEF18" w14:textId="77777777" w:rsidR="00DA6B8D" w:rsidRPr="00DA6B8D" w:rsidRDefault="00DA6B8D" w:rsidP="00DA6B8D">
      <w:pPr>
        <w:pStyle w:val="EndNoteBibliography"/>
        <w:rPr>
          <w:noProof/>
        </w:rPr>
      </w:pPr>
      <w:bookmarkStart w:id="15" w:name="_ENREF_15"/>
      <w:r w:rsidRPr="00DA6B8D">
        <w:rPr>
          <w:noProof/>
        </w:rPr>
        <w:t xml:space="preserve">Bennett, R., (2012). What else should i support? An empirical study of multiple cause donation behavior. </w:t>
      </w:r>
      <w:r w:rsidRPr="00DA6B8D">
        <w:rPr>
          <w:i/>
          <w:noProof/>
        </w:rPr>
        <w:t xml:space="preserve">Journal of Nonprofit &amp; Public Sector Marketing, </w:t>
      </w:r>
      <w:r w:rsidRPr="00DA6B8D">
        <w:rPr>
          <w:noProof/>
        </w:rPr>
        <w:t>24 (1), 1-25.</w:t>
      </w:r>
      <w:bookmarkEnd w:id="15"/>
    </w:p>
    <w:p w14:paraId="2D5615B3" w14:textId="77777777" w:rsidR="00DA6B8D" w:rsidRPr="00DA6B8D" w:rsidRDefault="00DA6B8D" w:rsidP="00DA6B8D">
      <w:pPr>
        <w:pStyle w:val="EndNoteBibliography"/>
        <w:rPr>
          <w:noProof/>
        </w:rPr>
      </w:pPr>
      <w:bookmarkStart w:id="16" w:name="_ENREF_16"/>
      <w:r w:rsidRPr="00DA6B8D">
        <w:rPr>
          <w:noProof/>
        </w:rPr>
        <w:t xml:space="preserve">Bennett, R., (2015). Individual characteristics and the arousal of mixed emotions: Consequences for the effectiveness of charity fundraising advertisements. </w:t>
      </w:r>
      <w:r w:rsidRPr="00DA6B8D">
        <w:rPr>
          <w:i/>
          <w:noProof/>
        </w:rPr>
        <w:t xml:space="preserve">International Journal of Nonprofit and Voluntary Sector Marketing, </w:t>
      </w:r>
      <w:r w:rsidRPr="00DA6B8D">
        <w:rPr>
          <w:noProof/>
        </w:rPr>
        <w:t>20 (2), 188-209.</w:t>
      </w:r>
      <w:bookmarkEnd w:id="16"/>
    </w:p>
    <w:p w14:paraId="586253EE" w14:textId="77777777" w:rsidR="00DA6B8D" w:rsidRPr="00DA6B8D" w:rsidRDefault="00DA6B8D" w:rsidP="00DA6B8D">
      <w:pPr>
        <w:pStyle w:val="EndNoteBibliography"/>
        <w:rPr>
          <w:noProof/>
        </w:rPr>
      </w:pPr>
      <w:bookmarkStart w:id="17" w:name="_ENREF_17"/>
      <w:r w:rsidRPr="00DA6B8D">
        <w:rPr>
          <w:rFonts w:hint="eastAsia"/>
          <w:noProof/>
        </w:rPr>
        <w:t>Bertalli, N. A., Allen, K. J., McLaren, C. E., Turkovic, L., Osborne, N. J., Constantine, C. C., Delatycki, M. B., English, D. R., Giles, G. G., Hopper, J. L., (2011). A comparison of self</w:t>
      </w:r>
      <w:r w:rsidRPr="00DA6B8D">
        <w:rPr>
          <w:rFonts w:hint="eastAsia"/>
          <w:noProof/>
        </w:rPr>
        <w:t>‐</w:t>
      </w:r>
      <w:r w:rsidRPr="00DA6B8D">
        <w:rPr>
          <w:rFonts w:hint="eastAsia"/>
          <w:noProof/>
        </w:rPr>
        <w:t>reported and record</w:t>
      </w:r>
      <w:r w:rsidRPr="00DA6B8D">
        <w:rPr>
          <w:rFonts w:hint="eastAsia"/>
          <w:noProof/>
        </w:rPr>
        <w:t>‐</w:t>
      </w:r>
      <w:r w:rsidRPr="00DA6B8D">
        <w:rPr>
          <w:rFonts w:hint="eastAsia"/>
          <w:noProof/>
        </w:rPr>
        <w:t>linked blood donation history in an a</w:t>
      </w:r>
      <w:r w:rsidRPr="00DA6B8D">
        <w:rPr>
          <w:noProof/>
        </w:rPr>
        <w:t xml:space="preserve">ustralian cohort. </w:t>
      </w:r>
      <w:r w:rsidRPr="00DA6B8D">
        <w:rPr>
          <w:i/>
          <w:noProof/>
        </w:rPr>
        <w:t xml:space="preserve">Transfusion, </w:t>
      </w:r>
      <w:r w:rsidRPr="00DA6B8D">
        <w:rPr>
          <w:noProof/>
        </w:rPr>
        <w:t>51 (10), 2189-2198.</w:t>
      </w:r>
      <w:bookmarkEnd w:id="17"/>
    </w:p>
    <w:p w14:paraId="1BB01948" w14:textId="77777777" w:rsidR="00DA6B8D" w:rsidRPr="00DA6B8D" w:rsidRDefault="00DA6B8D" w:rsidP="00DA6B8D">
      <w:pPr>
        <w:pStyle w:val="EndNoteBibliography"/>
        <w:rPr>
          <w:noProof/>
        </w:rPr>
      </w:pPr>
      <w:bookmarkStart w:id="18" w:name="_ENREF_18"/>
      <w:r w:rsidRPr="00DA6B8D">
        <w:rPr>
          <w:noProof/>
        </w:rPr>
        <w:t xml:space="preserve">Burnett, J. J., (1981). Psychographic and demographic characteristics of blood donors. </w:t>
      </w:r>
      <w:r w:rsidRPr="00DA6B8D">
        <w:rPr>
          <w:i/>
          <w:noProof/>
        </w:rPr>
        <w:t>Journal of Consumer Research</w:t>
      </w:r>
      <w:r w:rsidRPr="00DA6B8D">
        <w:rPr>
          <w:noProof/>
        </w:rPr>
        <w:t>, 62-66.</w:t>
      </w:r>
      <w:bookmarkEnd w:id="18"/>
    </w:p>
    <w:p w14:paraId="605F30C3" w14:textId="77777777" w:rsidR="00DA6B8D" w:rsidRPr="00DA6B8D" w:rsidRDefault="00DA6B8D" w:rsidP="00DA6B8D">
      <w:pPr>
        <w:pStyle w:val="EndNoteBibliography"/>
        <w:rPr>
          <w:noProof/>
        </w:rPr>
      </w:pPr>
      <w:bookmarkStart w:id="19" w:name="_ENREF_19"/>
      <w:r w:rsidRPr="00DA6B8D">
        <w:rPr>
          <w:noProof/>
        </w:rPr>
        <w:t xml:space="preserve">Chang, C., (2014). Guilt regulation: The relative effects of altruistic versus egoistic appeals for charity advertising. </w:t>
      </w:r>
      <w:r w:rsidRPr="00DA6B8D">
        <w:rPr>
          <w:i/>
          <w:noProof/>
        </w:rPr>
        <w:t xml:space="preserve">Journal of Advertising, </w:t>
      </w:r>
      <w:r w:rsidRPr="00DA6B8D">
        <w:rPr>
          <w:noProof/>
        </w:rPr>
        <w:t>43 (3), 211-227.</w:t>
      </w:r>
      <w:bookmarkEnd w:id="19"/>
    </w:p>
    <w:p w14:paraId="79A6FA9D" w14:textId="77777777" w:rsidR="00DA6B8D" w:rsidRPr="00DA6B8D" w:rsidRDefault="00DA6B8D" w:rsidP="00DA6B8D">
      <w:pPr>
        <w:pStyle w:val="EndNoteBibliography"/>
        <w:rPr>
          <w:noProof/>
        </w:rPr>
      </w:pPr>
      <w:bookmarkStart w:id="20" w:name="_ENREF_20"/>
      <w:r w:rsidRPr="00DA6B8D">
        <w:rPr>
          <w:noProof/>
        </w:rPr>
        <w:t>Charities Aid Foundation, (2013). World giving index: A global view of giving trends. Charities Aid Foundation, Online.</w:t>
      </w:r>
      <w:bookmarkEnd w:id="20"/>
    </w:p>
    <w:p w14:paraId="521283AC" w14:textId="77777777" w:rsidR="00DA6B8D" w:rsidRPr="00DA6B8D" w:rsidRDefault="00DA6B8D" w:rsidP="00DA6B8D">
      <w:pPr>
        <w:pStyle w:val="EndNoteBibliography"/>
        <w:rPr>
          <w:noProof/>
        </w:rPr>
      </w:pPr>
      <w:bookmarkStart w:id="21" w:name="_ENREF_21"/>
      <w:r w:rsidRPr="00DA6B8D">
        <w:rPr>
          <w:noProof/>
        </w:rPr>
        <w:lastRenderedPageBreak/>
        <w:t>Charities Aid Foundation, (2014). World giving index 2014: A global view of giving trends. CAF, Online.</w:t>
      </w:r>
      <w:bookmarkEnd w:id="21"/>
    </w:p>
    <w:p w14:paraId="0A6690BE" w14:textId="77777777" w:rsidR="00DA6B8D" w:rsidRPr="00DA6B8D" w:rsidRDefault="00DA6B8D" w:rsidP="00DA6B8D">
      <w:pPr>
        <w:pStyle w:val="EndNoteBibliography"/>
        <w:rPr>
          <w:noProof/>
        </w:rPr>
      </w:pPr>
      <w:bookmarkStart w:id="22" w:name="_ENREF_22"/>
      <w:r w:rsidRPr="00DA6B8D">
        <w:rPr>
          <w:noProof/>
        </w:rPr>
        <w:t xml:space="preserve">Council of Europe (2010). </w:t>
      </w:r>
      <w:r w:rsidRPr="00DA6B8D">
        <w:rPr>
          <w:i/>
          <w:noProof/>
        </w:rPr>
        <w:t>Guide to the preparation, use and quality assurance of blood components</w:t>
      </w:r>
      <w:r w:rsidRPr="00DA6B8D">
        <w:rPr>
          <w:noProof/>
        </w:rPr>
        <w:t>. Strasbourg: EDQM.</w:t>
      </w:r>
      <w:bookmarkEnd w:id="22"/>
    </w:p>
    <w:p w14:paraId="71D44FA2" w14:textId="77777777" w:rsidR="00DA6B8D" w:rsidRPr="00DA6B8D" w:rsidRDefault="00DA6B8D" w:rsidP="00DA6B8D">
      <w:pPr>
        <w:pStyle w:val="EndNoteBibliography"/>
        <w:rPr>
          <w:noProof/>
        </w:rPr>
      </w:pPr>
      <w:bookmarkStart w:id="23" w:name="_ENREF_23"/>
      <w:r w:rsidRPr="00DA6B8D">
        <w:rPr>
          <w:noProof/>
        </w:rPr>
        <w:t xml:space="preserve">Devine, D., Goldman, M., Engelfriet, C. P., Reesink, H. W., Hetherington, C., Hall, S., Steed, A., Harding, S., Westman, P., Gogarty, G., (2007). Donor recruitment research. </w:t>
      </w:r>
      <w:r w:rsidRPr="00DA6B8D">
        <w:rPr>
          <w:i/>
          <w:noProof/>
        </w:rPr>
        <w:t xml:space="preserve">Vox sanguinis, </w:t>
      </w:r>
      <w:r w:rsidRPr="00DA6B8D">
        <w:rPr>
          <w:noProof/>
        </w:rPr>
        <w:t>93 (3), 250-259.</w:t>
      </w:r>
      <w:bookmarkEnd w:id="23"/>
    </w:p>
    <w:p w14:paraId="0B742784" w14:textId="77777777" w:rsidR="00DA6B8D" w:rsidRPr="00DA6B8D" w:rsidRDefault="00DA6B8D" w:rsidP="00DA6B8D">
      <w:pPr>
        <w:pStyle w:val="EndNoteBibliography"/>
        <w:rPr>
          <w:noProof/>
        </w:rPr>
      </w:pPr>
      <w:bookmarkStart w:id="24" w:name="_ENREF_24"/>
      <w:r w:rsidRPr="00DA6B8D">
        <w:rPr>
          <w:noProof/>
        </w:rPr>
        <w:t xml:space="preserve">East, R., Hammond, K., Gendall, P., (2006). Fact and fallacy in retention marketing. </w:t>
      </w:r>
      <w:r w:rsidRPr="00DA6B8D">
        <w:rPr>
          <w:i/>
          <w:noProof/>
        </w:rPr>
        <w:t xml:space="preserve">Journal of Marketing Management, </w:t>
      </w:r>
      <w:r w:rsidRPr="00DA6B8D">
        <w:rPr>
          <w:noProof/>
        </w:rPr>
        <w:t>22, 5-23.</w:t>
      </w:r>
      <w:bookmarkEnd w:id="24"/>
    </w:p>
    <w:p w14:paraId="65E83074" w14:textId="77777777" w:rsidR="00DA6B8D" w:rsidRPr="00DA6B8D" w:rsidRDefault="00DA6B8D" w:rsidP="00DA6B8D">
      <w:pPr>
        <w:pStyle w:val="EndNoteBibliography"/>
        <w:rPr>
          <w:noProof/>
        </w:rPr>
      </w:pPr>
      <w:bookmarkStart w:id="25" w:name="_ENREF_25"/>
      <w:r w:rsidRPr="00DA6B8D">
        <w:rPr>
          <w:noProof/>
        </w:rPr>
        <w:t xml:space="preserve">Ehrenberg, A. (1988). </w:t>
      </w:r>
      <w:r w:rsidRPr="00DA6B8D">
        <w:rPr>
          <w:i/>
          <w:noProof/>
        </w:rPr>
        <w:t>Repeat-buying: Facts, theory and applications</w:t>
      </w:r>
      <w:r w:rsidRPr="00DA6B8D">
        <w:rPr>
          <w:noProof/>
        </w:rPr>
        <w:t>. London: Oxford University Press.</w:t>
      </w:r>
      <w:bookmarkEnd w:id="25"/>
    </w:p>
    <w:p w14:paraId="32FDB337" w14:textId="77777777" w:rsidR="00DA6B8D" w:rsidRPr="00DA6B8D" w:rsidRDefault="00DA6B8D" w:rsidP="00DA6B8D">
      <w:pPr>
        <w:pStyle w:val="EndNoteBibliography"/>
        <w:rPr>
          <w:noProof/>
        </w:rPr>
      </w:pPr>
      <w:bookmarkStart w:id="26" w:name="_ENREF_26"/>
      <w:r w:rsidRPr="00DA6B8D">
        <w:rPr>
          <w:noProof/>
        </w:rPr>
        <w:t xml:space="preserve">Ehrenberg, A., (2000). Repeat-buying: Facts, theory and applications. </w:t>
      </w:r>
      <w:r w:rsidRPr="00DA6B8D">
        <w:rPr>
          <w:i/>
          <w:noProof/>
        </w:rPr>
        <w:t xml:space="preserve">Journal of Empirical Generalisations in Marketing Science, </w:t>
      </w:r>
      <w:r w:rsidRPr="00DA6B8D">
        <w:rPr>
          <w:noProof/>
        </w:rPr>
        <w:t>5, 392-770.</w:t>
      </w:r>
      <w:bookmarkEnd w:id="26"/>
    </w:p>
    <w:p w14:paraId="43A701A1" w14:textId="77777777" w:rsidR="00DA6B8D" w:rsidRPr="00DA6B8D" w:rsidRDefault="00DA6B8D" w:rsidP="00DA6B8D">
      <w:pPr>
        <w:pStyle w:val="EndNoteBibliography"/>
        <w:rPr>
          <w:noProof/>
        </w:rPr>
      </w:pPr>
      <w:bookmarkStart w:id="27" w:name="_ENREF_27"/>
      <w:r w:rsidRPr="00DA6B8D">
        <w:rPr>
          <w:noProof/>
        </w:rPr>
        <w:t xml:space="preserve">Ehrenberg, A., Goodhardt, G., Barwise, T. P., (1990). Double jeopardy revisited. </w:t>
      </w:r>
      <w:r w:rsidRPr="00DA6B8D">
        <w:rPr>
          <w:i/>
          <w:noProof/>
        </w:rPr>
        <w:t xml:space="preserve">Journal of Marketing, </w:t>
      </w:r>
      <w:r w:rsidRPr="00DA6B8D">
        <w:rPr>
          <w:noProof/>
        </w:rPr>
        <w:t>54 (3), 82-91.</w:t>
      </w:r>
      <w:bookmarkEnd w:id="27"/>
    </w:p>
    <w:p w14:paraId="1CD74E0C" w14:textId="77777777" w:rsidR="00DA6B8D" w:rsidRPr="00DA6B8D" w:rsidRDefault="00DA6B8D" w:rsidP="00DA6B8D">
      <w:pPr>
        <w:pStyle w:val="EndNoteBibliography"/>
        <w:rPr>
          <w:noProof/>
        </w:rPr>
      </w:pPr>
      <w:bookmarkStart w:id="28" w:name="_ENREF_28"/>
      <w:r w:rsidRPr="00DA6B8D">
        <w:rPr>
          <w:noProof/>
        </w:rPr>
        <w:t xml:space="preserve">Ehrenberg, A., Uncles, M. D., Goodhardt, G. G., (2004). Understanding brand performance measures: Using dirichlet benchmarks. </w:t>
      </w:r>
      <w:r w:rsidRPr="00DA6B8D">
        <w:rPr>
          <w:i/>
          <w:noProof/>
        </w:rPr>
        <w:t xml:space="preserve">Journal of Business Research, </w:t>
      </w:r>
      <w:r w:rsidRPr="00DA6B8D">
        <w:rPr>
          <w:noProof/>
        </w:rPr>
        <w:t>57 (12), 1307-1325.</w:t>
      </w:r>
      <w:bookmarkEnd w:id="28"/>
    </w:p>
    <w:p w14:paraId="65D2B789" w14:textId="77777777" w:rsidR="00DA6B8D" w:rsidRPr="00DA6B8D" w:rsidRDefault="00DA6B8D" w:rsidP="00DA6B8D">
      <w:pPr>
        <w:pStyle w:val="EndNoteBibliography"/>
        <w:rPr>
          <w:noProof/>
        </w:rPr>
      </w:pPr>
      <w:bookmarkStart w:id="29" w:name="_ENREF_29"/>
      <w:r w:rsidRPr="00DA6B8D">
        <w:rPr>
          <w:noProof/>
        </w:rPr>
        <w:t xml:space="preserve">Feng, S., (2014). Getting lapsed donors back: An empirical investigation of relationship management in the post-termination stage. </w:t>
      </w:r>
      <w:r w:rsidRPr="00DA6B8D">
        <w:rPr>
          <w:i/>
          <w:noProof/>
        </w:rPr>
        <w:t xml:space="preserve">Journal of Nonprofit &amp; Public Sector Marketing, </w:t>
      </w:r>
      <w:r w:rsidRPr="00DA6B8D">
        <w:rPr>
          <w:noProof/>
        </w:rPr>
        <w:t>26 (2), 127-141.</w:t>
      </w:r>
      <w:bookmarkEnd w:id="29"/>
    </w:p>
    <w:p w14:paraId="52F8E973" w14:textId="77777777" w:rsidR="00DA6B8D" w:rsidRPr="00DA6B8D" w:rsidRDefault="00DA6B8D" w:rsidP="00DA6B8D">
      <w:pPr>
        <w:pStyle w:val="EndNoteBibliography"/>
        <w:rPr>
          <w:noProof/>
        </w:rPr>
      </w:pPr>
      <w:bookmarkStart w:id="30" w:name="_ENREF_30"/>
      <w:r w:rsidRPr="00DA6B8D">
        <w:rPr>
          <w:noProof/>
        </w:rPr>
        <w:t xml:space="preserve">Germain, M., Glynn, S. A., Schreiber, G. B., Gélinas, S., King, M., Jones, M., Bethel, J., Tu, Y., (2007). Determinants of return behavior: A comparison of current and lapsed donors. </w:t>
      </w:r>
      <w:r w:rsidRPr="00DA6B8D">
        <w:rPr>
          <w:i/>
          <w:noProof/>
        </w:rPr>
        <w:t xml:space="preserve">Transfusion, </w:t>
      </w:r>
      <w:r w:rsidRPr="00DA6B8D">
        <w:rPr>
          <w:noProof/>
        </w:rPr>
        <w:t>47 (10), 1862-1870.</w:t>
      </w:r>
      <w:bookmarkEnd w:id="30"/>
    </w:p>
    <w:p w14:paraId="4297FA0F" w14:textId="77777777" w:rsidR="00DA6B8D" w:rsidRPr="00DA6B8D" w:rsidRDefault="00DA6B8D" w:rsidP="00DA6B8D">
      <w:pPr>
        <w:pStyle w:val="EndNoteBibliography"/>
        <w:rPr>
          <w:noProof/>
        </w:rPr>
      </w:pPr>
      <w:bookmarkStart w:id="31" w:name="_ENREF_31"/>
      <w:r w:rsidRPr="00DA6B8D">
        <w:rPr>
          <w:noProof/>
        </w:rPr>
        <w:t>Giving USA Foundation, (2011). Giving USA 2011: The annual report on philanthropy for the year 2010. Giving USA Foundation, Indiana.</w:t>
      </w:r>
      <w:bookmarkEnd w:id="31"/>
    </w:p>
    <w:p w14:paraId="3054A5E0" w14:textId="77777777" w:rsidR="00DA6B8D" w:rsidRPr="00DA6B8D" w:rsidRDefault="00DA6B8D" w:rsidP="00DA6B8D">
      <w:pPr>
        <w:pStyle w:val="EndNoteBibliography"/>
        <w:rPr>
          <w:noProof/>
        </w:rPr>
      </w:pPr>
      <w:bookmarkStart w:id="32" w:name="_ENREF_32"/>
      <w:r w:rsidRPr="00DA6B8D">
        <w:rPr>
          <w:noProof/>
        </w:rPr>
        <w:t xml:space="preserve">Gogarty, G., (2007). Donor recruitment research. </w:t>
      </w:r>
      <w:r w:rsidRPr="00DA6B8D">
        <w:rPr>
          <w:i/>
          <w:noProof/>
        </w:rPr>
        <w:t xml:space="preserve">Vox sanguinis, </w:t>
      </w:r>
      <w:r w:rsidRPr="00DA6B8D">
        <w:rPr>
          <w:noProof/>
        </w:rPr>
        <w:t>93 (93), 3.</w:t>
      </w:r>
      <w:bookmarkEnd w:id="32"/>
    </w:p>
    <w:p w14:paraId="0D8A1BEA" w14:textId="77777777" w:rsidR="00DA6B8D" w:rsidRPr="00DA6B8D" w:rsidRDefault="00DA6B8D" w:rsidP="00DA6B8D">
      <w:pPr>
        <w:pStyle w:val="EndNoteBibliography"/>
        <w:rPr>
          <w:noProof/>
        </w:rPr>
      </w:pPr>
      <w:bookmarkStart w:id="33" w:name="_ENREF_33"/>
      <w:r w:rsidRPr="00DA6B8D">
        <w:rPr>
          <w:noProof/>
        </w:rPr>
        <w:t xml:space="preserve">Gonçalves, H., (2011). Globalization and blood donors: How to improve the blood donation in the european union (eu). </w:t>
      </w:r>
      <w:r w:rsidRPr="00DA6B8D">
        <w:rPr>
          <w:i/>
          <w:noProof/>
        </w:rPr>
        <w:t xml:space="preserve">ISBT Science Series, </w:t>
      </w:r>
      <w:r w:rsidRPr="00DA6B8D">
        <w:rPr>
          <w:noProof/>
        </w:rPr>
        <w:t>6 (1), 142-147.</w:t>
      </w:r>
      <w:bookmarkEnd w:id="33"/>
    </w:p>
    <w:p w14:paraId="4CF5E47B" w14:textId="77777777" w:rsidR="00DA6B8D" w:rsidRPr="00DA6B8D" w:rsidRDefault="00DA6B8D" w:rsidP="00DA6B8D">
      <w:pPr>
        <w:pStyle w:val="EndNoteBibliography"/>
        <w:rPr>
          <w:noProof/>
        </w:rPr>
      </w:pPr>
      <w:bookmarkStart w:id="34" w:name="_ENREF_34"/>
      <w:r w:rsidRPr="00DA6B8D">
        <w:rPr>
          <w:noProof/>
        </w:rPr>
        <w:t xml:space="preserve">Griffin, D., Grace, D., O'Cass, A., (2014). Blood donation: Comparing individual characteristics, attitudes, and feelings of donors and nondonors. </w:t>
      </w:r>
      <w:r w:rsidRPr="00DA6B8D">
        <w:rPr>
          <w:i/>
          <w:noProof/>
        </w:rPr>
        <w:t xml:space="preserve">Health marketing quarterly, </w:t>
      </w:r>
      <w:r w:rsidRPr="00DA6B8D">
        <w:rPr>
          <w:noProof/>
        </w:rPr>
        <w:t>31 (3), 197-212.</w:t>
      </w:r>
      <w:bookmarkEnd w:id="34"/>
    </w:p>
    <w:p w14:paraId="37FC89FD" w14:textId="77777777" w:rsidR="00DA6B8D" w:rsidRPr="00DA6B8D" w:rsidRDefault="00DA6B8D" w:rsidP="00DA6B8D">
      <w:pPr>
        <w:pStyle w:val="EndNoteBibliography"/>
        <w:rPr>
          <w:noProof/>
        </w:rPr>
      </w:pPr>
      <w:bookmarkStart w:id="35" w:name="_ENREF_35"/>
      <w:r w:rsidRPr="00DA6B8D">
        <w:rPr>
          <w:noProof/>
        </w:rPr>
        <w:t xml:space="preserve">Kaplan-Polivy, D. (2013). Determining priorities among donors.  </w:t>
      </w:r>
      <w:r w:rsidRPr="00DA6B8D">
        <w:rPr>
          <w:i/>
          <w:noProof/>
        </w:rPr>
        <w:t>Donor cultivation and the donor lifecycle map: A new framework for fundraising</w:t>
      </w:r>
      <w:r w:rsidRPr="00DA6B8D">
        <w:rPr>
          <w:noProof/>
        </w:rPr>
        <w:t xml:space="preserve"> (pp. 143-160). Hoboken, New Jersey: John Wiley and Sons. </w:t>
      </w:r>
      <w:bookmarkEnd w:id="35"/>
    </w:p>
    <w:p w14:paraId="3F59A830" w14:textId="77777777" w:rsidR="00DA6B8D" w:rsidRPr="00DA6B8D" w:rsidRDefault="00DA6B8D" w:rsidP="00DA6B8D">
      <w:pPr>
        <w:pStyle w:val="EndNoteBibliography"/>
        <w:rPr>
          <w:noProof/>
        </w:rPr>
      </w:pPr>
      <w:bookmarkStart w:id="36" w:name="_ENREF_36"/>
      <w:r w:rsidRPr="00DA6B8D">
        <w:rPr>
          <w:noProof/>
        </w:rPr>
        <w:t xml:space="preserve">Kennedy, R., McColl, B., (2012). Brand growth at mars, inc.: How the global marketer embraced ehrenberg’s science with creativity. </w:t>
      </w:r>
      <w:r w:rsidRPr="00DA6B8D">
        <w:rPr>
          <w:i/>
          <w:noProof/>
        </w:rPr>
        <w:t xml:space="preserve">Journal of Advertising Research, </w:t>
      </w:r>
      <w:r w:rsidRPr="00DA6B8D">
        <w:rPr>
          <w:noProof/>
        </w:rPr>
        <w:t>52 (2), 270-276.</w:t>
      </w:r>
      <w:bookmarkEnd w:id="36"/>
    </w:p>
    <w:p w14:paraId="2FDECE71" w14:textId="77777777" w:rsidR="00DA6B8D" w:rsidRPr="00DA6B8D" w:rsidRDefault="00DA6B8D" w:rsidP="00DA6B8D">
      <w:pPr>
        <w:pStyle w:val="EndNoteBibliography"/>
        <w:rPr>
          <w:noProof/>
        </w:rPr>
      </w:pPr>
      <w:bookmarkStart w:id="37" w:name="_ENREF_37"/>
      <w:r w:rsidRPr="00DA6B8D">
        <w:rPr>
          <w:noProof/>
        </w:rPr>
        <w:t xml:space="preserve">Kennedy, R., Scriven, J., Nenycz-Thiel, M., (2014). When ‘significant’ is not significant. </w:t>
      </w:r>
      <w:r w:rsidRPr="00DA6B8D">
        <w:rPr>
          <w:i/>
          <w:noProof/>
        </w:rPr>
        <w:t>International Journal of Market Research</w:t>
      </w:r>
      <w:r w:rsidRPr="00DA6B8D">
        <w:rPr>
          <w:noProof/>
        </w:rPr>
        <w:t>.</w:t>
      </w:r>
      <w:bookmarkEnd w:id="37"/>
    </w:p>
    <w:p w14:paraId="02ED1644" w14:textId="77777777" w:rsidR="00DA6B8D" w:rsidRPr="00DA6B8D" w:rsidRDefault="00DA6B8D" w:rsidP="00DA6B8D">
      <w:pPr>
        <w:pStyle w:val="EndNoteBibliography"/>
        <w:rPr>
          <w:noProof/>
        </w:rPr>
      </w:pPr>
      <w:bookmarkStart w:id="38" w:name="_ENREF_38"/>
      <w:r w:rsidRPr="00DA6B8D">
        <w:rPr>
          <w:noProof/>
        </w:rPr>
        <w:t xml:space="preserve">Kessler, R. C., (1975). A descriptive model of emergency on-call blood donation. </w:t>
      </w:r>
      <w:r w:rsidRPr="00DA6B8D">
        <w:rPr>
          <w:i/>
          <w:noProof/>
        </w:rPr>
        <w:t xml:space="preserve">Nonprofit and Voluntary Sector Quarterly, </w:t>
      </w:r>
      <w:r w:rsidRPr="00DA6B8D">
        <w:rPr>
          <w:noProof/>
        </w:rPr>
        <w:t>4 (3-4), 159-171.</w:t>
      </w:r>
      <w:bookmarkEnd w:id="38"/>
    </w:p>
    <w:p w14:paraId="309620D4" w14:textId="77777777" w:rsidR="00DA6B8D" w:rsidRPr="00DA6B8D" w:rsidRDefault="00DA6B8D" w:rsidP="00DA6B8D">
      <w:pPr>
        <w:pStyle w:val="EndNoteBibliography"/>
        <w:rPr>
          <w:noProof/>
        </w:rPr>
      </w:pPr>
      <w:bookmarkStart w:id="39" w:name="_ENREF_39"/>
      <w:r w:rsidRPr="00DA6B8D">
        <w:rPr>
          <w:noProof/>
        </w:rPr>
        <w:t xml:space="preserve">Khodakarami, F., Petersen, J. A., Venkatesan, R., (2015). Developing donor relationships: The role of the breadth of giving. </w:t>
      </w:r>
      <w:r w:rsidRPr="00DA6B8D">
        <w:rPr>
          <w:i/>
          <w:noProof/>
        </w:rPr>
        <w:t xml:space="preserve">Journal of Marketing, </w:t>
      </w:r>
      <w:r w:rsidRPr="00DA6B8D">
        <w:rPr>
          <w:noProof/>
        </w:rPr>
        <w:t>79, 77-93.</w:t>
      </w:r>
      <w:bookmarkEnd w:id="39"/>
    </w:p>
    <w:p w14:paraId="754D899E" w14:textId="77777777" w:rsidR="00DA6B8D" w:rsidRPr="00DA6B8D" w:rsidRDefault="00DA6B8D" w:rsidP="00DA6B8D">
      <w:pPr>
        <w:pStyle w:val="EndNoteBibliography"/>
        <w:rPr>
          <w:noProof/>
        </w:rPr>
      </w:pPr>
      <w:bookmarkStart w:id="40" w:name="_ENREF_40"/>
      <w:r w:rsidRPr="00DA6B8D">
        <w:rPr>
          <w:noProof/>
        </w:rPr>
        <w:t xml:space="preserve">Lam, D., Mizerski, R., (2009). An investigation into gambling purchases using the nbd and nbd-dirichlet models. </w:t>
      </w:r>
      <w:r w:rsidRPr="00DA6B8D">
        <w:rPr>
          <w:i/>
          <w:noProof/>
        </w:rPr>
        <w:t xml:space="preserve">Marketing Letters, </w:t>
      </w:r>
      <w:r w:rsidRPr="00DA6B8D">
        <w:rPr>
          <w:noProof/>
        </w:rPr>
        <w:t>20 (3), 263-276.</w:t>
      </w:r>
      <w:bookmarkEnd w:id="40"/>
    </w:p>
    <w:p w14:paraId="74339D6B" w14:textId="77777777" w:rsidR="00DA6B8D" w:rsidRPr="00DA6B8D" w:rsidRDefault="00DA6B8D" w:rsidP="00DA6B8D">
      <w:pPr>
        <w:pStyle w:val="EndNoteBibliography"/>
        <w:rPr>
          <w:noProof/>
        </w:rPr>
      </w:pPr>
      <w:bookmarkStart w:id="41" w:name="_ENREF_41"/>
      <w:r w:rsidRPr="00DA6B8D">
        <w:rPr>
          <w:noProof/>
        </w:rPr>
        <w:t>Lilly Family School of Philanthropy, (2015). Giving USA 2015 highlights. Giving USA.</w:t>
      </w:r>
      <w:bookmarkEnd w:id="41"/>
    </w:p>
    <w:p w14:paraId="05983B65" w14:textId="77777777" w:rsidR="00DA6B8D" w:rsidRPr="00DA6B8D" w:rsidRDefault="00DA6B8D" w:rsidP="00DA6B8D">
      <w:pPr>
        <w:pStyle w:val="EndNoteBibliography"/>
        <w:rPr>
          <w:noProof/>
        </w:rPr>
      </w:pPr>
      <w:bookmarkStart w:id="42" w:name="_ENREF_42"/>
      <w:r w:rsidRPr="00DA6B8D">
        <w:rPr>
          <w:noProof/>
        </w:rPr>
        <w:t xml:space="preserve">Lyons, M., McGregor-Lowndes, M., O'Donoghue, P., (2006). Researching giving and volunteering in australia. </w:t>
      </w:r>
      <w:r w:rsidRPr="00DA6B8D">
        <w:rPr>
          <w:i/>
          <w:noProof/>
        </w:rPr>
        <w:t xml:space="preserve">Australian Journal of Social Issues, </w:t>
      </w:r>
      <w:r w:rsidRPr="00DA6B8D">
        <w:rPr>
          <w:noProof/>
        </w:rPr>
        <w:t>41 (4), 385-397.</w:t>
      </w:r>
      <w:bookmarkEnd w:id="42"/>
    </w:p>
    <w:p w14:paraId="6328F2DE" w14:textId="77777777" w:rsidR="00DA6B8D" w:rsidRPr="00DA6B8D" w:rsidRDefault="00DA6B8D" w:rsidP="00DA6B8D">
      <w:pPr>
        <w:pStyle w:val="EndNoteBibliography"/>
        <w:rPr>
          <w:noProof/>
        </w:rPr>
      </w:pPr>
      <w:bookmarkStart w:id="43" w:name="_ENREF_43"/>
      <w:r w:rsidRPr="00DA6B8D">
        <w:rPr>
          <w:noProof/>
        </w:rPr>
        <w:lastRenderedPageBreak/>
        <w:t xml:space="preserve">McPhee, W. N. (1963). </w:t>
      </w:r>
      <w:r w:rsidRPr="00DA6B8D">
        <w:rPr>
          <w:i/>
          <w:noProof/>
        </w:rPr>
        <w:t>Formal theories of mass behaviour</w:t>
      </w:r>
      <w:r w:rsidRPr="00DA6B8D">
        <w:rPr>
          <w:noProof/>
        </w:rPr>
        <w:t>. New York: The Free Press of Glencoe.</w:t>
      </w:r>
      <w:bookmarkEnd w:id="43"/>
    </w:p>
    <w:p w14:paraId="344554DD" w14:textId="77777777" w:rsidR="00DA6B8D" w:rsidRPr="00DA6B8D" w:rsidRDefault="00DA6B8D" w:rsidP="00DA6B8D">
      <w:pPr>
        <w:pStyle w:val="EndNoteBibliography"/>
        <w:rPr>
          <w:noProof/>
        </w:rPr>
      </w:pPr>
      <w:bookmarkStart w:id="44" w:name="_ENREF_44"/>
      <w:r w:rsidRPr="00DA6B8D">
        <w:rPr>
          <w:noProof/>
        </w:rPr>
        <w:t xml:space="preserve">Merchant, A., Ford, J., Sargeant, A., (2010). 'Don't forget to say thank you': The effect of an acknowledgement on donor relationships. </w:t>
      </w:r>
      <w:r w:rsidRPr="00DA6B8D">
        <w:rPr>
          <w:i/>
          <w:noProof/>
        </w:rPr>
        <w:t xml:space="preserve">Journal of Marketing Management, </w:t>
      </w:r>
      <w:r w:rsidRPr="00DA6B8D">
        <w:rPr>
          <w:noProof/>
        </w:rPr>
        <w:t>26 (7), 593-611.</w:t>
      </w:r>
      <w:bookmarkEnd w:id="44"/>
    </w:p>
    <w:p w14:paraId="328E60DF" w14:textId="77777777" w:rsidR="00DA6B8D" w:rsidRPr="00DA6B8D" w:rsidRDefault="00DA6B8D" w:rsidP="00DA6B8D">
      <w:pPr>
        <w:pStyle w:val="EndNoteBibliography"/>
        <w:rPr>
          <w:noProof/>
        </w:rPr>
      </w:pPr>
      <w:bookmarkStart w:id="45" w:name="_ENREF_45"/>
      <w:r w:rsidRPr="00DA6B8D">
        <w:rPr>
          <w:noProof/>
        </w:rPr>
        <w:t xml:space="preserve">Merchant, A., Ford, J. B., Rose, G., (2011). How personal nostalgia influences giving to charity. </w:t>
      </w:r>
      <w:r w:rsidRPr="00DA6B8D">
        <w:rPr>
          <w:i/>
          <w:noProof/>
        </w:rPr>
        <w:t xml:space="preserve">Journal of Business Research, </w:t>
      </w:r>
      <w:r w:rsidRPr="00DA6B8D">
        <w:rPr>
          <w:noProof/>
        </w:rPr>
        <w:t>64 (6), 610-616.</w:t>
      </w:r>
      <w:bookmarkEnd w:id="45"/>
    </w:p>
    <w:p w14:paraId="2B93D35B" w14:textId="32D2D08A" w:rsidR="00DA6B8D" w:rsidRPr="00DA6B8D" w:rsidRDefault="00DA6B8D" w:rsidP="00DA6B8D">
      <w:pPr>
        <w:pStyle w:val="EndNoteBibliography"/>
        <w:rPr>
          <w:noProof/>
        </w:rPr>
      </w:pPr>
      <w:bookmarkStart w:id="46" w:name="_ENREF_46"/>
      <w:r w:rsidRPr="00DA6B8D">
        <w:rPr>
          <w:noProof/>
        </w:rPr>
        <w:t>Myers, M., Stiffman, E., Giorgi, A., (2015). Online giving trends. Available from: &lt;</w:t>
      </w:r>
      <w:hyperlink r:id="rId10" w:history="1">
        <w:r w:rsidRPr="00DA6B8D">
          <w:rPr>
            <w:rStyle w:val="Hyperlink"/>
            <w:rFonts w:asciiTheme="minorHAnsi" w:hAnsiTheme="minorHAnsi"/>
            <w:noProof/>
          </w:rPr>
          <w:t>https://philanthropy.com/interactives/online-giving-dashboardcid=pw&amp;utm_source=pw&amp;utm_medium=en&amp;elq=6bc0e0a792544bbb8b84e16eec862c16&amp;elqCampaignId=1923&amp;elqaid=7020&amp;elqat=1&amp;elqTrackId=436a65706cd1405c9d105ce1b90ad773</w:t>
        </w:r>
      </w:hyperlink>
      <w:r w:rsidRPr="00DA6B8D">
        <w:rPr>
          <w:noProof/>
        </w:rPr>
        <w:t>&gt;.</w:t>
      </w:r>
      <w:bookmarkEnd w:id="46"/>
    </w:p>
    <w:p w14:paraId="4CCEC00B" w14:textId="77777777" w:rsidR="00DA6B8D" w:rsidRPr="00DA6B8D" w:rsidRDefault="00DA6B8D" w:rsidP="00DA6B8D">
      <w:pPr>
        <w:pStyle w:val="EndNoteBibliography"/>
        <w:rPr>
          <w:noProof/>
        </w:rPr>
      </w:pPr>
      <w:bookmarkStart w:id="47" w:name="_ENREF_47"/>
      <w:r w:rsidRPr="00DA6B8D">
        <w:rPr>
          <w:noProof/>
        </w:rPr>
        <w:t xml:space="preserve">O'Reilly, N., Ayer, S., Pegoraro, A., Leonard, B., Rundle-Thiele, S., (2012). Toward an understanding of donor loyalty: Demographics, personality, persuasion, and revenue. </w:t>
      </w:r>
      <w:r w:rsidRPr="00DA6B8D">
        <w:rPr>
          <w:i/>
          <w:noProof/>
        </w:rPr>
        <w:t xml:space="preserve">Journal of Nonprofit &amp; Public Sector Marketing, </w:t>
      </w:r>
      <w:r w:rsidRPr="00DA6B8D">
        <w:rPr>
          <w:noProof/>
        </w:rPr>
        <w:t>24 (1), 65-81.</w:t>
      </w:r>
      <w:bookmarkEnd w:id="47"/>
    </w:p>
    <w:p w14:paraId="4ABE4B20" w14:textId="77777777" w:rsidR="00DA6B8D" w:rsidRPr="00DA6B8D" w:rsidRDefault="00DA6B8D" w:rsidP="00DA6B8D">
      <w:pPr>
        <w:pStyle w:val="EndNoteBibliography"/>
        <w:rPr>
          <w:noProof/>
        </w:rPr>
      </w:pPr>
      <w:bookmarkStart w:id="48" w:name="_ENREF_48"/>
      <w:r w:rsidRPr="00DA6B8D">
        <w:rPr>
          <w:noProof/>
        </w:rPr>
        <w:t xml:space="preserve">Quester, P., Lim, A. L. L., (2003). Product involvement/brand loyalty: Is there a link? </w:t>
      </w:r>
      <w:r w:rsidRPr="00DA6B8D">
        <w:rPr>
          <w:i/>
          <w:noProof/>
        </w:rPr>
        <w:t xml:space="preserve">Journal of Product &amp; Brand Management, </w:t>
      </w:r>
      <w:r w:rsidRPr="00DA6B8D">
        <w:rPr>
          <w:noProof/>
        </w:rPr>
        <w:t>12 (1), 22-38.</w:t>
      </w:r>
      <w:bookmarkEnd w:id="48"/>
    </w:p>
    <w:p w14:paraId="69530944" w14:textId="77777777" w:rsidR="00DA6B8D" w:rsidRPr="00DA6B8D" w:rsidRDefault="00DA6B8D" w:rsidP="00DA6B8D">
      <w:pPr>
        <w:pStyle w:val="EndNoteBibliography"/>
        <w:rPr>
          <w:noProof/>
        </w:rPr>
      </w:pPr>
      <w:bookmarkStart w:id="49" w:name="_ENREF_49"/>
      <w:r w:rsidRPr="00DA6B8D">
        <w:rPr>
          <w:noProof/>
        </w:rPr>
        <w:t xml:space="preserve">Reichheld, F. F., Sasser, W. E. J., (1990). Zero defections: Quality comes to services. </w:t>
      </w:r>
      <w:r w:rsidRPr="00DA6B8D">
        <w:rPr>
          <w:i/>
          <w:noProof/>
        </w:rPr>
        <w:t xml:space="preserve">Harvard Business Review, </w:t>
      </w:r>
      <w:r w:rsidRPr="00DA6B8D">
        <w:rPr>
          <w:noProof/>
        </w:rPr>
        <w:t>68 (5), 105-111.</w:t>
      </w:r>
      <w:bookmarkEnd w:id="49"/>
    </w:p>
    <w:p w14:paraId="39BFE8E3" w14:textId="77777777" w:rsidR="00DA6B8D" w:rsidRPr="00DA6B8D" w:rsidRDefault="00DA6B8D" w:rsidP="00DA6B8D">
      <w:pPr>
        <w:pStyle w:val="EndNoteBibliography"/>
        <w:rPr>
          <w:noProof/>
        </w:rPr>
      </w:pPr>
      <w:bookmarkStart w:id="50" w:name="_ENREF_50"/>
      <w:r w:rsidRPr="00DA6B8D">
        <w:rPr>
          <w:noProof/>
        </w:rPr>
        <w:t xml:space="preserve">Reichheld, F. F., Teal, T. (1996). </w:t>
      </w:r>
      <w:r w:rsidRPr="00DA6B8D">
        <w:rPr>
          <w:i/>
          <w:noProof/>
        </w:rPr>
        <w:t>The loyalty effect:  The hidden force behind growth, profits, and lasting value</w:t>
      </w:r>
      <w:r w:rsidRPr="00DA6B8D">
        <w:rPr>
          <w:noProof/>
        </w:rPr>
        <w:t>. Boston, Massachusettes: Harvard Business School Press.</w:t>
      </w:r>
      <w:bookmarkEnd w:id="50"/>
    </w:p>
    <w:p w14:paraId="0F1963BA" w14:textId="77777777" w:rsidR="00DA6B8D" w:rsidRPr="00DA6B8D" w:rsidRDefault="00DA6B8D" w:rsidP="00DA6B8D">
      <w:pPr>
        <w:pStyle w:val="EndNoteBibliography"/>
        <w:rPr>
          <w:noProof/>
        </w:rPr>
      </w:pPr>
      <w:bookmarkStart w:id="51" w:name="_ENREF_51"/>
      <w:r w:rsidRPr="00DA6B8D">
        <w:rPr>
          <w:noProof/>
        </w:rPr>
        <w:t>Rhine, C., Flannery, H., (2015). The macroeconomics of fundraising. Target Analytics, Charleston, SC.</w:t>
      </w:r>
      <w:bookmarkEnd w:id="51"/>
    </w:p>
    <w:p w14:paraId="7882E26E" w14:textId="77777777" w:rsidR="00DA6B8D" w:rsidRPr="00DA6B8D" w:rsidRDefault="00DA6B8D" w:rsidP="00DA6B8D">
      <w:pPr>
        <w:pStyle w:val="EndNoteBibliography"/>
        <w:rPr>
          <w:noProof/>
        </w:rPr>
      </w:pPr>
      <w:bookmarkStart w:id="52" w:name="_ENREF_52"/>
      <w:r w:rsidRPr="00DA6B8D">
        <w:rPr>
          <w:noProof/>
        </w:rPr>
        <w:t xml:space="preserve">Romaniuk, J., Wight, S., (2015). The stability and sales contribution of heavy buying households. </w:t>
      </w:r>
      <w:r w:rsidRPr="00DA6B8D">
        <w:rPr>
          <w:i/>
          <w:noProof/>
        </w:rPr>
        <w:t xml:space="preserve">Journal of Consumer Behaviour, </w:t>
      </w:r>
      <w:r w:rsidRPr="00DA6B8D">
        <w:rPr>
          <w:noProof/>
        </w:rPr>
        <w:t>14 (1), 13-20.</w:t>
      </w:r>
      <w:bookmarkEnd w:id="52"/>
    </w:p>
    <w:p w14:paraId="309B345B" w14:textId="77777777" w:rsidR="00DA6B8D" w:rsidRPr="00DA6B8D" w:rsidRDefault="00DA6B8D" w:rsidP="00DA6B8D">
      <w:pPr>
        <w:pStyle w:val="EndNoteBibliography"/>
        <w:rPr>
          <w:noProof/>
        </w:rPr>
      </w:pPr>
      <w:bookmarkStart w:id="53" w:name="_ENREF_53"/>
      <w:r w:rsidRPr="00DA6B8D">
        <w:rPr>
          <w:noProof/>
        </w:rPr>
        <w:t>Sargeant, A., Shang, J., (2011). Growing philanthropy in the united kingdom. Institute of Fundraising and Bristol University of West England, Online.</w:t>
      </w:r>
      <w:bookmarkEnd w:id="53"/>
    </w:p>
    <w:p w14:paraId="6900FC91" w14:textId="77777777" w:rsidR="00DA6B8D" w:rsidRPr="00DA6B8D" w:rsidRDefault="00DA6B8D" w:rsidP="00DA6B8D">
      <w:pPr>
        <w:pStyle w:val="EndNoteBibliography"/>
        <w:rPr>
          <w:noProof/>
        </w:rPr>
      </w:pPr>
      <w:bookmarkStart w:id="54" w:name="_ENREF_54"/>
      <w:r w:rsidRPr="00DA6B8D">
        <w:rPr>
          <w:noProof/>
        </w:rPr>
        <w:t xml:space="preserve">Sharp, B. (2010). </w:t>
      </w:r>
      <w:r w:rsidRPr="00DA6B8D">
        <w:rPr>
          <w:i/>
          <w:noProof/>
        </w:rPr>
        <w:t>How brands grow</w:t>
      </w:r>
      <w:r w:rsidRPr="00DA6B8D">
        <w:rPr>
          <w:noProof/>
        </w:rPr>
        <w:t>. Melbourne: Oxford University Press.</w:t>
      </w:r>
      <w:bookmarkEnd w:id="54"/>
    </w:p>
    <w:p w14:paraId="1365F6FC" w14:textId="77777777" w:rsidR="00DA6B8D" w:rsidRPr="00DA6B8D" w:rsidRDefault="00DA6B8D" w:rsidP="00DA6B8D">
      <w:pPr>
        <w:pStyle w:val="EndNoteBibliography"/>
        <w:rPr>
          <w:noProof/>
        </w:rPr>
      </w:pPr>
      <w:bookmarkStart w:id="55" w:name="_ENREF_55"/>
      <w:r w:rsidRPr="00DA6B8D">
        <w:rPr>
          <w:noProof/>
        </w:rPr>
        <w:t xml:space="preserve">Sharp, B., Wright, M., Goodhardt, G., (2002). Purchase loyalty is polarised into either repertoire or subscription patterns. </w:t>
      </w:r>
      <w:r w:rsidRPr="00DA6B8D">
        <w:rPr>
          <w:i/>
          <w:noProof/>
        </w:rPr>
        <w:t xml:space="preserve">Australasian Marketing Journal, </w:t>
      </w:r>
      <w:r w:rsidRPr="00DA6B8D">
        <w:rPr>
          <w:noProof/>
        </w:rPr>
        <w:t>10 (3), 7-20.</w:t>
      </w:r>
      <w:bookmarkEnd w:id="55"/>
    </w:p>
    <w:p w14:paraId="3AD3EFCD" w14:textId="77777777" w:rsidR="00DA6B8D" w:rsidRPr="00DA6B8D" w:rsidRDefault="00DA6B8D" w:rsidP="00DA6B8D">
      <w:pPr>
        <w:pStyle w:val="EndNoteBibliography"/>
        <w:rPr>
          <w:noProof/>
        </w:rPr>
      </w:pPr>
      <w:bookmarkStart w:id="56" w:name="_ENREF_56"/>
      <w:r w:rsidRPr="00DA6B8D">
        <w:rPr>
          <w:rFonts w:hint="eastAsia"/>
          <w:noProof/>
        </w:rPr>
        <w:t>Shen, A., Tsai, C. Y., (2010). Are single</w:t>
      </w:r>
      <w:r w:rsidRPr="00DA6B8D">
        <w:rPr>
          <w:rFonts w:hint="eastAsia"/>
          <w:noProof/>
        </w:rPr>
        <w:t>‐</w:t>
      </w:r>
      <w:r w:rsidRPr="00DA6B8D">
        <w:rPr>
          <w:rFonts w:hint="eastAsia"/>
          <w:noProof/>
        </w:rPr>
        <w:t>gift committed donors different from their multiple</w:t>
      </w:r>
      <w:r w:rsidRPr="00DA6B8D">
        <w:rPr>
          <w:rFonts w:hint="eastAsia"/>
          <w:noProof/>
        </w:rPr>
        <w:t>‐</w:t>
      </w:r>
      <w:r w:rsidRPr="00DA6B8D">
        <w:rPr>
          <w:rFonts w:hint="eastAsia"/>
          <w:noProof/>
        </w:rPr>
        <w:t>gift</w:t>
      </w:r>
      <w:r w:rsidRPr="00DA6B8D">
        <w:rPr>
          <w:noProof/>
        </w:rPr>
        <w:t xml:space="preserve"> counterparts? </w:t>
      </w:r>
      <w:r w:rsidRPr="00DA6B8D">
        <w:rPr>
          <w:i/>
          <w:noProof/>
        </w:rPr>
        <w:t xml:space="preserve">International Journal of Nonprofit and Voluntary Sector Marketing, </w:t>
      </w:r>
      <w:r w:rsidRPr="00DA6B8D">
        <w:rPr>
          <w:noProof/>
        </w:rPr>
        <w:t>15 (3), 253-264.</w:t>
      </w:r>
      <w:bookmarkEnd w:id="56"/>
    </w:p>
    <w:p w14:paraId="670853CF" w14:textId="77777777" w:rsidR="00DA6B8D" w:rsidRPr="00DA6B8D" w:rsidRDefault="00DA6B8D" w:rsidP="00DA6B8D">
      <w:pPr>
        <w:pStyle w:val="EndNoteBibliography"/>
        <w:rPr>
          <w:noProof/>
        </w:rPr>
      </w:pPr>
      <w:bookmarkStart w:id="57" w:name="_ENREF_57"/>
      <w:r w:rsidRPr="00DA6B8D">
        <w:rPr>
          <w:noProof/>
        </w:rPr>
        <w:t xml:space="preserve">Thomson, R. A., Bethel, J., Lo, A. Y., Ownby, H. E., Nass, C. C., Williams, A. E., (1998). Retention of “safe” blood donors. The retrovirus epidemiology donor study. </w:t>
      </w:r>
      <w:r w:rsidRPr="00DA6B8D">
        <w:rPr>
          <w:i/>
          <w:noProof/>
        </w:rPr>
        <w:t xml:space="preserve">Transfusion, </w:t>
      </w:r>
      <w:r w:rsidRPr="00DA6B8D">
        <w:rPr>
          <w:noProof/>
        </w:rPr>
        <w:t>38 (4), 359-367.</w:t>
      </w:r>
      <w:bookmarkEnd w:id="57"/>
    </w:p>
    <w:p w14:paraId="75BA55DC" w14:textId="77777777" w:rsidR="00DA6B8D" w:rsidRPr="00DA6B8D" w:rsidRDefault="00DA6B8D" w:rsidP="00DA6B8D">
      <w:pPr>
        <w:pStyle w:val="EndNoteBibliography"/>
        <w:rPr>
          <w:noProof/>
        </w:rPr>
      </w:pPr>
      <w:bookmarkStart w:id="58" w:name="_ENREF_58"/>
      <w:r w:rsidRPr="00DA6B8D">
        <w:rPr>
          <w:noProof/>
        </w:rPr>
        <w:t xml:space="preserve">Tucker, L. R., (1987). Profiling the heavy blood donor. </w:t>
      </w:r>
      <w:r w:rsidRPr="00DA6B8D">
        <w:rPr>
          <w:i/>
          <w:noProof/>
        </w:rPr>
        <w:t xml:space="preserve">Health Marketing Quarterly, </w:t>
      </w:r>
      <w:r w:rsidRPr="00DA6B8D">
        <w:rPr>
          <w:noProof/>
        </w:rPr>
        <w:t>4 (3-4), 61-74.</w:t>
      </w:r>
      <w:bookmarkEnd w:id="58"/>
    </w:p>
    <w:p w14:paraId="19AE6C8B" w14:textId="77777777" w:rsidR="00DA6B8D" w:rsidRPr="00DA6B8D" w:rsidRDefault="00DA6B8D" w:rsidP="00DA6B8D">
      <w:pPr>
        <w:pStyle w:val="EndNoteBibliography"/>
        <w:rPr>
          <w:noProof/>
        </w:rPr>
      </w:pPr>
      <w:bookmarkStart w:id="59" w:name="_ENREF_59"/>
      <w:r w:rsidRPr="00DA6B8D">
        <w:rPr>
          <w:noProof/>
        </w:rPr>
        <w:t xml:space="preserve">Uncles, M. D., East, R., Lomax, W., (2013). Good customers: The value of customers by mode of acquisition. </w:t>
      </w:r>
      <w:r w:rsidRPr="00DA6B8D">
        <w:rPr>
          <w:i/>
          <w:noProof/>
        </w:rPr>
        <w:t xml:space="preserve">Australasian Marketing Journal (AMJ), </w:t>
      </w:r>
      <w:r w:rsidRPr="00DA6B8D">
        <w:rPr>
          <w:noProof/>
        </w:rPr>
        <w:t>21 (2), 119-125.</w:t>
      </w:r>
      <w:bookmarkEnd w:id="59"/>
    </w:p>
    <w:p w14:paraId="75552AE6" w14:textId="77777777" w:rsidR="00DA6B8D" w:rsidRPr="00DA6B8D" w:rsidRDefault="00DA6B8D" w:rsidP="00DA6B8D">
      <w:pPr>
        <w:pStyle w:val="EndNoteBibliography"/>
        <w:rPr>
          <w:noProof/>
        </w:rPr>
      </w:pPr>
      <w:bookmarkStart w:id="60" w:name="_ENREF_60"/>
      <w:r w:rsidRPr="00DA6B8D">
        <w:rPr>
          <w:noProof/>
        </w:rPr>
        <w:t xml:space="preserve">Uncles, M. D., Ehrenberg, A., (1990). Industrial buying behavior:  Aviation fuel contracts. </w:t>
      </w:r>
      <w:r w:rsidRPr="00DA6B8D">
        <w:rPr>
          <w:i/>
          <w:noProof/>
        </w:rPr>
        <w:t xml:space="preserve">International Journal of Research in Marketing, </w:t>
      </w:r>
      <w:r w:rsidRPr="00DA6B8D">
        <w:rPr>
          <w:noProof/>
        </w:rPr>
        <w:t>7 (1), 56-68.</w:t>
      </w:r>
      <w:bookmarkEnd w:id="60"/>
    </w:p>
    <w:p w14:paraId="36F2E672" w14:textId="77777777" w:rsidR="00DA6B8D" w:rsidRPr="00DA6B8D" w:rsidRDefault="00DA6B8D" w:rsidP="00DA6B8D">
      <w:pPr>
        <w:pStyle w:val="EndNoteBibliography"/>
        <w:rPr>
          <w:noProof/>
        </w:rPr>
      </w:pPr>
      <w:bookmarkStart w:id="61" w:name="_ENREF_61"/>
      <w:r w:rsidRPr="00DA6B8D">
        <w:rPr>
          <w:noProof/>
        </w:rPr>
        <w:t xml:space="preserve">Uncles, M. D., Wright, M., (2004). Editorial: Empirical generalisation in marketing. </w:t>
      </w:r>
      <w:r w:rsidRPr="00DA6B8D">
        <w:rPr>
          <w:i/>
          <w:noProof/>
        </w:rPr>
        <w:t xml:space="preserve">Australasian Marketing Journal, </w:t>
      </w:r>
      <w:r w:rsidRPr="00DA6B8D">
        <w:rPr>
          <w:noProof/>
        </w:rPr>
        <w:t>12 (3), 5-12.</w:t>
      </w:r>
      <w:bookmarkEnd w:id="61"/>
    </w:p>
    <w:p w14:paraId="75CA5CC1" w14:textId="77777777" w:rsidR="00DA6B8D" w:rsidRPr="00DA6B8D" w:rsidRDefault="00DA6B8D" w:rsidP="00DA6B8D">
      <w:pPr>
        <w:pStyle w:val="EndNoteBibliography"/>
        <w:rPr>
          <w:noProof/>
        </w:rPr>
      </w:pPr>
      <w:bookmarkStart w:id="62" w:name="_ENREF_62"/>
      <w:r w:rsidRPr="00DA6B8D">
        <w:rPr>
          <w:noProof/>
        </w:rPr>
        <w:t xml:space="preserve">van Dongen, A., Ruiter, R., Abraham, C., Veldhuizen, I., (2014). Predicting blood donation maintenance: The importance of planning future donations. </w:t>
      </w:r>
      <w:r w:rsidRPr="00DA6B8D">
        <w:rPr>
          <w:i/>
          <w:noProof/>
        </w:rPr>
        <w:t xml:space="preserve">Transfusion, </w:t>
      </w:r>
      <w:r w:rsidRPr="00DA6B8D">
        <w:rPr>
          <w:noProof/>
        </w:rPr>
        <w:t>54, 821-827.</w:t>
      </w:r>
      <w:bookmarkEnd w:id="62"/>
    </w:p>
    <w:p w14:paraId="364459A7" w14:textId="77777777" w:rsidR="00DA6B8D" w:rsidRPr="00DA6B8D" w:rsidRDefault="00DA6B8D" w:rsidP="00DA6B8D">
      <w:pPr>
        <w:pStyle w:val="EndNoteBibliography"/>
        <w:rPr>
          <w:noProof/>
        </w:rPr>
      </w:pPr>
      <w:bookmarkStart w:id="63" w:name="_ENREF_63"/>
      <w:r w:rsidRPr="00DA6B8D">
        <w:rPr>
          <w:noProof/>
        </w:rPr>
        <w:t xml:space="preserve">Veldhuizen, I., van Dongen, A., (2013). Motivational differences between whole blood and plasma donors already exist before their first donation experience. </w:t>
      </w:r>
      <w:r w:rsidRPr="00DA6B8D">
        <w:rPr>
          <w:i/>
          <w:noProof/>
        </w:rPr>
        <w:t xml:space="preserve">Transfusion, </w:t>
      </w:r>
      <w:r w:rsidRPr="00DA6B8D">
        <w:rPr>
          <w:noProof/>
        </w:rPr>
        <w:t>53 (8), 1678-1686.</w:t>
      </w:r>
      <w:bookmarkEnd w:id="63"/>
    </w:p>
    <w:p w14:paraId="2B352E12" w14:textId="77777777" w:rsidR="00DA6B8D" w:rsidRPr="00DA6B8D" w:rsidRDefault="00DA6B8D" w:rsidP="00DA6B8D">
      <w:pPr>
        <w:pStyle w:val="EndNoteBibliography"/>
        <w:rPr>
          <w:noProof/>
        </w:rPr>
      </w:pPr>
      <w:bookmarkStart w:id="64" w:name="_ENREF_64"/>
      <w:r w:rsidRPr="00DA6B8D">
        <w:rPr>
          <w:noProof/>
        </w:rPr>
        <w:lastRenderedPageBreak/>
        <w:t xml:space="preserve">Waters, R. D., (2008). Applying relationship management theory to the fundraising process for individual donors. </w:t>
      </w:r>
      <w:r w:rsidRPr="00DA6B8D">
        <w:rPr>
          <w:i/>
          <w:noProof/>
        </w:rPr>
        <w:t xml:space="preserve">Journal of Communication Management, </w:t>
      </w:r>
      <w:r w:rsidRPr="00DA6B8D">
        <w:rPr>
          <w:noProof/>
        </w:rPr>
        <w:t>12 (1), 73-87.</w:t>
      </w:r>
      <w:bookmarkEnd w:id="64"/>
    </w:p>
    <w:p w14:paraId="3EEA444D" w14:textId="77777777" w:rsidR="00DA6B8D" w:rsidRPr="00DA6B8D" w:rsidRDefault="00DA6B8D" w:rsidP="00DA6B8D">
      <w:pPr>
        <w:pStyle w:val="EndNoteBibliography"/>
        <w:rPr>
          <w:noProof/>
        </w:rPr>
      </w:pPr>
      <w:bookmarkStart w:id="65" w:name="_ENREF_65"/>
      <w:r w:rsidRPr="00DA6B8D">
        <w:rPr>
          <w:noProof/>
        </w:rPr>
        <w:t xml:space="preserve">Wildman, J., Hollingsworth, B., (2009). Blood donation and the nature of altruism. </w:t>
      </w:r>
      <w:r w:rsidRPr="00DA6B8D">
        <w:rPr>
          <w:i/>
          <w:noProof/>
        </w:rPr>
        <w:t xml:space="preserve">Journal of health economics, </w:t>
      </w:r>
      <w:r w:rsidRPr="00DA6B8D">
        <w:rPr>
          <w:noProof/>
        </w:rPr>
        <w:t>28 (2), 492-503.</w:t>
      </w:r>
      <w:bookmarkEnd w:id="65"/>
    </w:p>
    <w:p w14:paraId="0B6069FB" w14:textId="77777777" w:rsidR="00DA6B8D" w:rsidRPr="00DA6B8D" w:rsidRDefault="00DA6B8D" w:rsidP="00DA6B8D">
      <w:pPr>
        <w:pStyle w:val="EndNoteBibliography"/>
        <w:rPr>
          <w:noProof/>
        </w:rPr>
      </w:pPr>
      <w:bookmarkStart w:id="66" w:name="_ENREF_66"/>
      <w:r w:rsidRPr="00DA6B8D">
        <w:rPr>
          <w:noProof/>
        </w:rPr>
        <w:t xml:space="preserve">Wymer, W., (2013). The influence of marketing scholarship’s legacy on nonprofit marketing. </w:t>
      </w:r>
      <w:r w:rsidRPr="00DA6B8D">
        <w:rPr>
          <w:i/>
          <w:noProof/>
        </w:rPr>
        <w:t xml:space="preserve">International Journal of Financial Studies, </w:t>
      </w:r>
      <w:r w:rsidRPr="00DA6B8D">
        <w:rPr>
          <w:noProof/>
        </w:rPr>
        <w:t>1 (3), 102-118.</w:t>
      </w:r>
      <w:bookmarkEnd w:id="66"/>
    </w:p>
    <w:p w14:paraId="1BC8240A" w14:textId="268D075E" w:rsidR="00123A70" w:rsidRPr="00DE5974" w:rsidRDefault="00005BA9" w:rsidP="00C81DCF">
      <w:pPr>
        <w:spacing w:line="480" w:lineRule="auto"/>
        <w:jc w:val="center"/>
        <w:rPr>
          <w:rFonts w:ascii="Times New Roman" w:hAnsi="Times New Roman" w:cs="Times New Roman"/>
          <w:b/>
          <w:bCs/>
          <w:caps/>
        </w:rPr>
      </w:pPr>
      <w:r w:rsidRPr="00304F2D">
        <w:rPr>
          <w:rFonts w:ascii="Times New Roman" w:hAnsi="Times New Roman" w:cs="Times New Roman"/>
          <w:b/>
          <w:bCs/>
          <w:caps/>
        </w:rPr>
        <w:fldChar w:fldCharType="end"/>
      </w:r>
    </w:p>
    <w:sectPr w:rsidR="00123A70" w:rsidRPr="00DE5974" w:rsidSect="00A31F38">
      <w:headerReference w:type="even" r:id="rId11"/>
      <w:headerReference w:type="default" r:id="rId12"/>
      <w:footerReference w:type="even" r:id="rId13"/>
      <w:pgSz w:w="11901" w:h="16840"/>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4ABC7" w14:textId="77777777" w:rsidR="009314D2" w:rsidRDefault="009314D2">
      <w:r>
        <w:separator/>
      </w:r>
    </w:p>
  </w:endnote>
  <w:endnote w:type="continuationSeparator" w:id="0">
    <w:p w14:paraId="004C221C" w14:textId="77777777" w:rsidR="009314D2" w:rsidRDefault="0093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5378" w14:textId="77777777" w:rsidR="009314D2" w:rsidRDefault="009314D2" w:rsidP="00DE5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502F4" w14:textId="77777777" w:rsidR="009314D2" w:rsidRDefault="0093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D49D" w14:textId="77777777" w:rsidR="009314D2" w:rsidRDefault="009314D2">
      <w:r>
        <w:separator/>
      </w:r>
    </w:p>
  </w:footnote>
  <w:footnote w:type="continuationSeparator" w:id="0">
    <w:p w14:paraId="1D93D6CC" w14:textId="77777777" w:rsidR="009314D2" w:rsidRDefault="009314D2">
      <w:r>
        <w:continuationSeparator/>
      </w:r>
    </w:p>
  </w:footnote>
  <w:footnote w:id="1">
    <w:p w14:paraId="14C743A0" w14:textId="68FAD185" w:rsidR="009314D2" w:rsidRPr="00D32ADF" w:rsidRDefault="009314D2">
      <w:pPr>
        <w:pStyle w:val="FootnoteText"/>
        <w:rPr>
          <w:rFonts w:ascii="Times New Roman" w:hAnsi="Times New Roman" w:cs="Times New Roman"/>
        </w:rPr>
      </w:pPr>
      <w:r w:rsidRPr="00D32ADF">
        <w:rPr>
          <w:rStyle w:val="FootnoteReference"/>
          <w:rFonts w:ascii="Times New Roman" w:hAnsi="Times New Roman" w:cs="Times New Roman"/>
        </w:rPr>
        <w:footnoteRef/>
      </w:r>
      <w:r w:rsidRPr="00D32ADF">
        <w:rPr>
          <w:rFonts w:ascii="Times New Roman" w:hAnsi="Times New Roman" w:cs="Times New Roman"/>
        </w:rPr>
        <w:t xml:space="preserve"> Major donors, </w:t>
      </w:r>
      <w:r>
        <w:rPr>
          <w:rFonts w:ascii="Times New Roman" w:hAnsi="Times New Roman" w:cs="Times New Roman"/>
        </w:rPr>
        <w:t>individuals giving</w:t>
      </w:r>
      <w:r w:rsidRPr="00D32ADF">
        <w:rPr>
          <w:rFonts w:ascii="Times New Roman" w:hAnsi="Times New Roman" w:cs="Times New Roman"/>
        </w:rPr>
        <w:t xml:space="preserve"> $10,000 or more in any year are excluded from the data set (n=279), as these are likely to be managed on an individual relationship basis rather than via general marketing efforts.  The excluded group contributed 18% of the total donated to the U</w:t>
      </w:r>
      <w:r>
        <w:rPr>
          <w:rFonts w:ascii="Times New Roman" w:hAnsi="Times New Roman" w:cs="Times New Roman"/>
        </w:rPr>
        <w:t>.</w:t>
      </w:r>
      <w:r w:rsidRPr="00D32ADF">
        <w:rPr>
          <w:rFonts w:ascii="Times New Roman" w:hAnsi="Times New Roman" w:cs="Times New Roman"/>
        </w:rPr>
        <w:t>S</w:t>
      </w:r>
      <w:r>
        <w:rPr>
          <w:rFonts w:ascii="Times New Roman" w:hAnsi="Times New Roman" w:cs="Times New Roman"/>
        </w:rPr>
        <w:t>.</w:t>
      </w:r>
      <w:r w:rsidRPr="00D32ADF">
        <w:rPr>
          <w:rFonts w:ascii="Times New Roman" w:hAnsi="Times New Roman" w:cs="Times New Roman"/>
        </w:rPr>
        <w:t xml:space="preserve"> health charity.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3F62" w14:textId="77777777" w:rsidR="009314D2" w:rsidRDefault="009314D2" w:rsidP="00DE5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B2A56F0" w14:textId="77777777" w:rsidR="009314D2" w:rsidRDefault="009314D2" w:rsidP="00DE59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67FB" w14:textId="77777777" w:rsidR="009314D2" w:rsidRDefault="009314D2" w:rsidP="00DE59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36A">
      <w:rPr>
        <w:rStyle w:val="PageNumber"/>
        <w:noProof/>
      </w:rPr>
      <w:t>1</w:t>
    </w:r>
    <w:r>
      <w:rPr>
        <w:rStyle w:val="PageNumber"/>
      </w:rPr>
      <w:fldChar w:fldCharType="end"/>
    </w:r>
  </w:p>
  <w:p w14:paraId="4D4EB79D" w14:textId="77777777" w:rsidR="009314D2" w:rsidRDefault="009314D2" w:rsidP="00DE59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E67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E06FE36"/>
    <w:lvl w:ilvl="0">
      <w:start w:val="1"/>
      <w:numFmt w:val="decimal"/>
      <w:lvlText w:val="%1."/>
      <w:lvlJc w:val="left"/>
      <w:pPr>
        <w:tabs>
          <w:tab w:val="num" w:pos="1492"/>
        </w:tabs>
        <w:ind w:left="1492" w:hanging="360"/>
      </w:pPr>
    </w:lvl>
  </w:abstractNum>
  <w:abstractNum w:abstractNumId="2">
    <w:nsid w:val="FFFFFF7D"/>
    <w:multiLevelType w:val="singleLevel"/>
    <w:tmpl w:val="274E638E"/>
    <w:lvl w:ilvl="0">
      <w:start w:val="1"/>
      <w:numFmt w:val="decimal"/>
      <w:lvlText w:val="%1."/>
      <w:lvlJc w:val="left"/>
      <w:pPr>
        <w:tabs>
          <w:tab w:val="num" w:pos="1209"/>
        </w:tabs>
        <w:ind w:left="1209" w:hanging="360"/>
      </w:pPr>
    </w:lvl>
  </w:abstractNum>
  <w:abstractNum w:abstractNumId="3">
    <w:nsid w:val="FFFFFF7E"/>
    <w:multiLevelType w:val="singleLevel"/>
    <w:tmpl w:val="43628B00"/>
    <w:lvl w:ilvl="0">
      <w:start w:val="1"/>
      <w:numFmt w:val="decimal"/>
      <w:lvlText w:val="%1."/>
      <w:lvlJc w:val="left"/>
      <w:pPr>
        <w:tabs>
          <w:tab w:val="num" w:pos="926"/>
        </w:tabs>
        <w:ind w:left="926" w:hanging="360"/>
      </w:pPr>
    </w:lvl>
  </w:abstractNum>
  <w:abstractNum w:abstractNumId="4">
    <w:nsid w:val="FFFFFF7F"/>
    <w:multiLevelType w:val="singleLevel"/>
    <w:tmpl w:val="4D1EF74C"/>
    <w:lvl w:ilvl="0">
      <w:start w:val="1"/>
      <w:numFmt w:val="decimal"/>
      <w:lvlText w:val="%1."/>
      <w:lvlJc w:val="left"/>
      <w:pPr>
        <w:tabs>
          <w:tab w:val="num" w:pos="643"/>
        </w:tabs>
        <w:ind w:left="643" w:hanging="360"/>
      </w:pPr>
    </w:lvl>
  </w:abstractNum>
  <w:abstractNum w:abstractNumId="5">
    <w:nsid w:val="FFFFFF80"/>
    <w:multiLevelType w:val="singleLevel"/>
    <w:tmpl w:val="EB3C05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E458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40207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7CC9C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EFA7BBA"/>
    <w:lvl w:ilvl="0">
      <w:start w:val="1"/>
      <w:numFmt w:val="decimal"/>
      <w:lvlText w:val="%1."/>
      <w:lvlJc w:val="left"/>
      <w:pPr>
        <w:tabs>
          <w:tab w:val="num" w:pos="360"/>
        </w:tabs>
        <w:ind w:left="360" w:hanging="360"/>
      </w:pPr>
    </w:lvl>
  </w:abstractNum>
  <w:abstractNum w:abstractNumId="10">
    <w:nsid w:val="FFFFFF89"/>
    <w:multiLevelType w:val="singleLevel"/>
    <w:tmpl w:val="3E8E228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B32C00"/>
    <w:multiLevelType w:val="hybridMultilevel"/>
    <w:tmpl w:val="7A2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44B6B"/>
    <w:multiLevelType w:val="multilevel"/>
    <w:tmpl w:val="0E3EBCD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6A71FAA"/>
    <w:multiLevelType w:val="multilevel"/>
    <w:tmpl w:val="C1707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wazv0p5wsezae2sd8pf59gf50trdav5fsw&quot;&gt;Institute&lt;record-ids&gt;&lt;item&gt;442&lt;/item&gt;&lt;item&gt;1675&lt;/item&gt;&lt;item&gt;1676&lt;/item&gt;&lt;item&gt;3026&lt;/item&gt;&lt;item&gt;5271&lt;/item&gt;&lt;item&gt;5301&lt;/item&gt;&lt;item&gt;7103&lt;/item&gt;&lt;item&gt;7380&lt;/item&gt;&lt;item&gt;7498&lt;/item&gt;&lt;item&gt;7539&lt;/item&gt;&lt;item&gt;12609&lt;/item&gt;&lt;item&gt;12676&lt;/item&gt;&lt;item&gt;16126&lt;/item&gt;&lt;item&gt;19229&lt;/item&gt;&lt;item&gt;20623&lt;/item&gt;&lt;item&gt;20759&lt;/item&gt;&lt;item&gt;20786&lt;/item&gt;&lt;item&gt;20791&lt;/item&gt;&lt;item&gt;20912&lt;/item&gt;&lt;item&gt;22472&lt;/item&gt;&lt;item&gt;23130&lt;/item&gt;&lt;item&gt;23635&lt;/item&gt;&lt;item&gt;23654&lt;/item&gt;&lt;item&gt;23848&lt;/item&gt;&lt;item&gt;23853&lt;/item&gt;&lt;item&gt;23854&lt;/item&gt;&lt;item&gt;23914&lt;/item&gt;&lt;item&gt;23944&lt;/item&gt;&lt;item&gt;23968&lt;/item&gt;&lt;item&gt;24041&lt;/item&gt;&lt;item&gt;24043&lt;/item&gt;&lt;item&gt;24391&lt;/item&gt;&lt;item&gt;24393&lt;/item&gt;&lt;item&gt;24394&lt;/item&gt;&lt;item&gt;24395&lt;/item&gt;&lt;item&gt;24446&lt;/item&gt;&lt;item&gt;24449&lt;/item&gt;&lt;item&gt;26030&lt;/item&gt;&lt;item&gt;26094&lt;/item&gt;&lt;item&gt;26530&lt;/item&gt;&lt;item&gt;26534&lt;/item&gt;&lt;item&gt;26557&lt;/item&gt;&lt;item&gt;26589&lt;/item&gt;&lt;item&gt;26673&lt;/item&gt;&lt;item&gt;27196&lt;/item&gt;&lt;item&gt;27201&lt;/item&gt;&lt;item&gt;27207&lt;/item&gt;&lt;item&gt;27425&lt;/item&gt;&lt;item&gt;27611&lt;/item&gt;&lt;item&gt;27624&lt;/item&gt;&lt;item&gt;27627&lt;/item&gt;&lt;item&gt;27783&lt;/item&gt;&lt;item&gt;27784&lt;/item&gt;&lt;item&gt;28733&lt;/item&gt;&lt;item&gt;28744&lt;/item&gt;&lt;item&gt;28750&lt;/item&gt;&lt;item&gt;28751&lt;/item&gt;&lt;item&gt;28752&lt;/item&gt;&lt;item&gt;28774&lt;/item&gt;&lt;item&gt;29173&lt;/item&gt;&lt;item&gt;29861&lt;/item&gt;&lt;item&gt;29921&lt;/item&gt;&lt;item&gt;31230&lt;/item&gt;&lt;item&gt;31284&lt;/item&gt;&lt;item&gt;31285&lt;/item&gt;&lt;/record-ids&gt;&lt;/item&gt;&lt;/Libraries&gt;"/>
  </w:docVars>
  <w:rsids>
    <w:rsidRoot w:val="00086FA8"/>
    <w:rsid w:val="000018B8"/>
    <w:rsid w:val="00001CB9"/>
    <w:rsid w:val="00003A7A"/>
    <w:rsid w:val="000052DA"/>
    <w:rsid w:val="0000556B"/>
    <w:rsid w:val="00005BA9"/>
    <w:rsid w:val="00006A49"/>
    <w:rsid w:val="00007448"/>
    <w:rsid w:val="00007AF9"/>
    <w:rsid w:val="00010708"/>
    <w:rsid w:val="00013588"/>
    <w:rsid w:val="000152CC"/>
    <w:rsid w:val="0001564C"/>
    <w:rsid w:val="00016A10"/>
    <w:rsid w:val="00017A6C"/>
    <w:rsid w:val="0002204F"/>
    <w:rsid w:val="00025F68"/>
    <w:rsid w:val="00026251"/>
    <w:rsid w:val="00026853"/>
    <w:rsid w:val="000279DB"/>
    <w:rsid w:val="00032F74"/>
    <w:rsid w:val="0003303C"/>
    <w:rsid w:val="00033480"/>
    <w:rsid w:val="000338AD"/>
    <w:rsid w:val="00034BDC"/>
    <w:rsid w:val="000354F8"/>
    <w:rsid w:val="0003601B"/>
    <w:rsid w:val="00036157"/>
    <w:rsid w:val="0003687E"/>
    <w:rsid w:val="00037E95"/>
    <w:rsid w:val="00041BB7"/>
    <w:rsid w:val="0004436D"/>
    <w:rsid w:val="00044594"/>
    <w:rsid w:val="00045F78"/>
    <w:rsid w:val="0004627B"/>
    <w:rsid w:val="00047FF7"/>
    <w:rsid w:val="00050788"/>
    <w:rsid w:val="00051FF5"/>
    <w:rsid w:val="0005215A"/>
    <w:rsid w:val="0005398A"/>
    <w:rsid w:val="00054695"/>
    <w:rsid w:val="00061BF3"/>
    <w:rsid w:val="00063F5D"/>
    <w:rsid w:val="00065906"/>
    <w:rsid w:val="00065D93"/>
    <w:rsid w:val="0006601F"/>
    <w:rsid w:val="000672DF"/>
    <w:rsid w:val="00067364"/>
    <w:rsid w:val="00067E45"/>
    <w:rsid w:val="000705CC"/>
    <w:rsid w:val="000717DD"/>
    <w:rsid w:val="000757E5"/>
    <w:rsid w:val="00075ADC"/>
    <w:rsid w:val="000763FE"/>
    <w:rsid w:val="00076443"/>
    <w:rsid w:val="00084380"/>
    <w:rsid w:val="0008552F"/>
    <w:rsid w:val="000866CA"/>
    <w:rsid w:val="00086E8F"/>
    <w:rsid w:val="00086FA8"/>
    <w:rsid w:val="0008718B"/>
    <w:rsid w:val="00090947"/>
    <w:rsid w:val="0009291C"/>
    <w:rsid w:val="00092BFB"/>
    <w:rsid w:val="000930D2"/>
    <w:rsid w:val="00093B07"/>
    <w:rsid w:val="00097890"/>
    <w:rsid w:val="000A0023"/>
    <w:rsid w:val="000A1F95"/>
    <w:rsid w:val="000A2714"/>
    <w:rsid w:val="000A55B9"/>
    <w:rsid w:val="000A6926"/>
    <w:rsid w:val="000A7687"/>
    <w:rsid w:val="000B5CC9"/>
    <w:rsid w:val="000B5D00"/>
    <w:rsid w:val="000B5F55"/>
    <w:rsid w:val="000B6E1A"/>
    <w:rsid w:val="000C25DD"/>
    <w:rsid w:val="000C3DEA"/>
    <w:rsid w:val="000C4C1A"/>
    <w:rsid w:val="000C5E0D"/>
    <w:rsid w:val="000C6C1E"/>
    <w:rsid w:val="000C6C6D"/>
    <w:rsid w:val="000D043C"/>
    <w:rsid w:val="000D2B8A"/>
    <w:rsid w:val="000D4465"/>
    <w:rsid w:val="000D57C2"/>
    <w:rsid w:val="000D71DF"/>
    <w:rsid w:val="000D7BDE"/>
    <w:rsid w:val="000E1083"/>
    <w:rsid w:val="000E19D4"/>
    <w:rsid w:val="000E1C37"/>
    <w:rsid w:val="000E2272"/>
    <w:rsid w:val="000E4058"/>
    <w:rsid w:val="000E469F"/>
    <w:rsid w:val="000E611B"/>
    <w:rsid w:val="000F01FD"/>
    <w:rsid w:val="000F0419"/>
    <w:rsid w:val="000F1277"/>
    <w:rsid w:val="000F1936"/>
    <w:rsid w:val="000F35D5"/>
    <w:rsid w:val="000F6075"/>
    <w:rsid w:val="000F6D73"/>
    <w:rsid w:val="000F754E"/>
    <w:rsid w:val="00100C42"/>
    <w:rsid w:val="001047A0"/>
    <w:rsid w:val="00104E8A"/>
    <w:rsid w:val="00105834"/>
    <w:rsid w:val="00107AE8"/>
    <w:rsid w:val="00112B2B"/>
    <w:rsid w:val="0011392E"/>
    <w:rsid w:val="00116848"/>
    <w:rsid w:val="00120B99"/>
    <w:rsid w:val="00122495"/>
    <w:rsid w:val="00123A70"/>
    <w:rsid w:val="00124EF1"/>
    <w:rsid w:val="0012552A"/>
    <w:rsid w:val="00126275"/>
    <w:rsid w:val="0013155E"/>
    <w:rsid w:val="00131A70"/>
    <w:rsid w:val="00135F43"/>
    <w:rsid w:val="00136999"/>
    <w:rsid w:val="001400EE"/>
    <w:rsid w:val="00141368"/>
    <w:rsid w:val="00141C3F"/>
    <w:rsid w:val="001423EA"/>
    <w:rsid w:val="0014267F"/>
    <w:rsid w:val="001426C0"/>
    <w:rsid w:val="00142ADD"/>
    <w:rsid w:val="00142B95"/>
    <w:rsid w:val="001431C3"/>
    <w:rsid w:val="00145919"/>
    <w:rsid w:val="00146397"/>
    <w:rsid w:val="0014668E"/>
    <w:rsid w:val="00146A87"/>
    <w:rsid w:val="00150B1E"/>
    <w:rsid w:val="00150B26"/>
    <w:rsid w:val="001522DD"/>
    <w:rsid w:val="00153B13"/>
    <w:rsid w:val="00154ACF"/>
    <w:rsid w:val="001558E0"/>
    <w:rsid w:val="00156A27"/>
    <w:rsid w:val="00161856"/>
    <w:rsid w:val="00163830"/>
    <w:rsid w:val="0016464F"/>
    <w:rsid w:val="00164EAB"/>
    <w:rsid w:val="00166E7E"/>
    <w:rsid w:val="00167423"/>
    <w:rsid w:val="00167D98"/>
    <w:rsid w:val="00170EA0"/>
    <w:rsid w:val="001710D3"/>
    <w:rsid w:val="0017388F"/>
    <w:rsid w:val="00175B56"/>
    <w:rsid w:val="00175D07"/>
    <w:rsid w:val="00176D30"/>
    <w:rsid w:val="00180BFE"/>
    <w:rsid w:val="00181BC4"/>
    <w:rsid w:val="00183AEF"/>
    <w:rsid w:val="0018540D"/>
    <w:rsid w:val="00185767"/>
    <w:rsid w:val="00185F8B"/>
    <w:rsid w:val="00190355"/>
    <w:rsid w:val="00190383"/>
    <w:rsid w:val="00191008"/>
    <w:rsid w:val="0019255E"/>
    <w:rsid w:val="001926F2"/>
    <w:rsid w:val="00192BFE"/>
    <w:rsid w:val="001970F4"/>
    <w:rsid w:val="001A263F"/>
    <w:rsid w:val="001A641B"/>
    <w:rsid w:val="001A7732"/>
    <w:rsid w:val="001B01BB"/>
    <w:rsid w:val="001B1E81"/>
    <w:rsid w:val="001B5A1D"/>
    <w:rsid w:val="001B5E6D"/>
    <w:rsid w:val="001B5F74"/>
    <w:rsid w:val="001B7E93"/>
    <w:rsid w:val="001C0CD0"/>
    <w:rsid w:val="001C12CB"/>
    <w:rsid w:val="001C1D0F"/>
    <w:rsid w:val="001C2A7F"/>
    <w:rsid w:val="001C37C8"/>
    <w:rsid w:val="001C49AE"/>
    <w:rsid w:val="001C5A62"/>
    <w:rsid w:val="001C7705"/>
    <w:rsid w:val="001C7C8E"/>
    <w:rsid w:val="001D1EF9"/>
    <w:rsid w:val="001D336E"/>
    <w:rsid w:val="001D4A02"/>
    <w:rsid w:val="001D516F"/>
    <w:rsid w:val="001D602A"/>
    <w:rsid w:val="001D611C"/>
    <w:rsid w:val="001E3519"/>
    <w:rsid w:val="001E3C3B"/>
    <w:rsid w:val="001E4DDC"/>
    <w:rsid w:val="001E4E18"/>
    <w:rsid w:val="001F029C"/>
    <w:rsid w:val="001F0398"/>
    <w:rsid w:val="001F5F3D"/>
    <w:rsid w:val="001F7427"/>
    <w:rsid w:val="001F74AD"/>
    <w:rsid w:val="001F7BC1"/>
    <w:rsid w:val="0020054C"/>
    <w:rsid w:val="00201150"/>
    <w:rsid w:val="00201B32"/>
    <w:rsid w:val="00201E65"/>
    <w:rsid w:val="00203AE4"/>
    <w:rsid w:val="00203C45"/>
    <w:rsid w:val="00203C80"/>
    <w:rsid w:val="002048AB"/>
    <w:rsid w:val="00205749"/>
    <w:rsid w:val="00206E24"/>
    <w:rsid w:val="00207723"/>
    <w:rsid w:val="002077A7"/>
    <w:rsid w:val="002120B1"/>
    <w:rsid w:val="00212542"/>
    <w:rsid w:val="0021262D"/>
    <w:rsid w:val="00213315"/>
    <w:rsid w:val="002135A5"/>
    <w:rsid w:val="002138DB"/>
    <w:rsid w:val="0021584E"/>
    <w:rsid w:val="00216F23"/>
    <w:rsid w:val="00222704"/>
    <w:rsid w:val="00223799"/>
    <w:rsid w:val="00223C52"/>
    <w:rsid w:val="002314D2"/>
    <w:rsid w:val="002331C0"/>
    <w:rsid w:val="00236940"/>
    <w:rsid w:val="00241ECE"/>
    <w:rsid w:val="00245AF5"/>
    <w:rsid w:val="002462C6"/>
    <w:rsid w:val="00247D6D"/>
    <w:rsid w:val="00251590"/>
    <w:rsid w:val="00265907"/>
    <w:rsid w:val="00265C3F"/>
    <w:rsid w:val="002667E0"/>
    <w:rsid w:val="0026735B"/>
    <w:rsid w:val="002711DE"/>
    <w:rsid w:val="00271996"/>
    <w:rsid w:val="00277736"/>
    <w:rsid w:val="002805A4"/>
    <w:rsid w:val="0028183B"/>
    <w:rsid w:val="00281FAE"/>
    <w:rsid w:val="00282205"/>
    <w:rsid w:val="00282EE1"/>
    <w:rsid w:val="00283DBE"/>
    <w:rsid w:val="002841F7"/>
    <w:rsid w:val="00284B21"/>
    <w:rsid w:val="00284C1F"/>
    <w:rsid w:val="00286EA5"/>
    <w:rsid w:val="00290C15"/>
    <w:rsid w:val="00291801"/>
    <w:rsid w:val="00294889"/>
    <w:rsid w:val="0029492F"/>
    <w:rsid w:val="002A072F"/>
    <w:rsid w:val="002A29CD"/>
    <w:rsid w:val="002A6F68"/>
    <w:rsid w:val="002A7A42"/>
    <w:rsid w:val="002B0327"/>
    <w:rsid w:val="002B215E"/>
    <w:rsid w:val="002B399D"/>
    <w:rsid w:val="002B3D96"/>
    <w:rsid w:val="002B5431"/>
    <w:rsid w:val="002B55BC"/>
    <w:rsid w:val="002B5C88"/>
    <w:rsid w:val="002B7C84"/>
    <w:rsid w:val="002C0BA9"/>
    <w:rsid w:val="002C0D08"/>
    <w:rsid w:val="002C1409"/>
    <w:rsid w:val="002C479C"/>
    <w:rsid w:val="002C7396"/>
    <w:rsid w:val="002C7886"/>
    <w:rsid w:val="002D0D37"/>
    <w:rsid w:val="002D4E94"/>
    <w:rsid w:val="002D5D15"/>
    <w:rsid w:val="002E0995"/>
    <w:rsid w:val="002E10BE"/>
    <w:rsid w:val="002E11C6"/>
    <w:rsid w:val="002E1F50"/>
    <w:rsid w:val="002E26E6"/>
    <w:rsid w:val="002E38B5"/>
    <w:rsid w:val="002E5831"/>
    <w:rsid w:val="002E58EE"/>
    <w:rsid w:val="002E5E88"/>
    <w:rsid w:val="002E64A3"/>
    <w:rsid w:val="002E6AF1"/>
    <w:rsid w:val="002E7975"/>
    <w:rsid w:val="002E7A30"/>
    <w:rsid w:val="002E7AC5"/>
    <w:rsid w:val="002F0751"/>
    <w:rsid w:val="002F2CA2"/>
    <w:rsid w:val="002F44E3"/>
    <w:rsid w:val="002F45E2"/>
    <w:rsid w:val="002F4CBD"/>
    <w:rsid w:val="002F5515"/>
    <w:rsid w:val="002F6843"/>
    <w:rsid w:val="00300C5C"/>
    <w:rsid w:val="003032AE"/>
    <w:rsid w:val="00304F2D"/>
    <w:rsid w:val="0030660D"/>
    <w:rsid w:val="00307207"/>
    <w:rsid w:val="00307BFE"/>
    <w:rsid w:val="00310652"/>
    <w:rsid w:val="003118BC"/>
    <w:rsid w:val="00314356"/>
    <w:rsid w:val="003143AA"/>
    <w:rsid w:val="003170E5"/>
    <w:rsid w:val="00317D9A"/>
    <w:rsid w:val="00322D25"/>
    <w:rsid w:val="00326708"/>
    <w:rsid w:val="00326857"/>
    <w:rsid w:val="003278BA"/>
    <w:rsid w:val="0033113B"/>
    <w:rsid w:val="0033142C"/>
    <w:rsid w:val="003324FD"/>
    <w:rsid w:val="0033503D"/>
    <w:rsid w:val="00335339"/>
    <w:rsid w:val="003354D0"/>
    <w:rsid w:val="00337C0C"/>
    <w:rsid w:val="00340184"/>
    <w:rsid w:val="00340E22"/>
    <w:rsid w:val="00342210"/>
    <w:rsid w:val="003434DB"/>
    <w:rsid w:val="0034483A"/>
    <w:rsid w:val="00344D96"/>
    <w:rsid w:val="00345A66"/>
    <w:rsid w:val="003469FE"/>
    <w:rsid w:val="00347F6E"/>
    <w:rsid w:val="003501F8"/>
    <w:rsid w:val="00350651"/>
    <w:rsid w:val="00351D86"/>
    <w:rsid w:val="00352BA0"/>
    <w:rsid w:val="003557A3"/>
    <w:rsid w:val="00355F5C"/>
    <w:rsid w:val="00356AB4"/>
    <w:rsid w:val="00356E28"/>
    <w:rsid w:val="00357B32"/>
    <w:rsid w:val="00360FF1"/>
    <w:rsid w:val="00363ECC"/>
    <w:rsid w:val="0036477B"/>
    <w:rsid w:val="00365300"/>
    <w:rsid w:val="00366D11"/>
    <w:rsid w:val="003705CC"/>
    <w:rsid w:val="00370620"/>
    <w:rsid w:val="00371997"/>
    <w:rsid w:val="00373080"/>
    <w:rsid w:val="00373224"/>
    <w:rsid w:val="00373C05"/>
    <w:rsid w:val="00376111"/>
    <w:rsid w:val="00376E05"/>
    <w:rsid w:val="003772F8"/>
    <w:rsid w:val="003812D1"/>
    <w:rsid w:val="00381360"/>
    <w:rsid w:val="003819C2"/>
    <w:rsid w:val="00382F99"/>
    <w:rsid w:val="00383470"/>
    <w:rsid w:val="003872F6"/>
    <w:rsid w:val="003920C0"/>
    <w:rsid w:val="00392CA6"/>
    <w:rsid w:val="00394BB4"/>
    <w:rsid w:val="00396DEE"/>
    <w:rsid w:val="003A173D"/>
    <w:rsid w:val="003B1A60"/>
    <w:rsid w:val="003B231A"/>
    <w:rsid w:val="003B30D2"/>
    <w:rsid w:val="003B536E"/>
    <w:rsid w:val="003C3466"/>
    <w:rsid w:val="003C40DE"/>
    <w:rsid w:val="003C46B4"/>
    <w:rsid w:val="003C4D5C"/>
    <w:rsid w:val="003C5753"/>
    <w:rsid w:val="003C5A99"/>
    <w:rsid w:val="003C6444"/>
    <w:rsid w:val="003C6DA0"/>
    <w:rsid w:val="003C704B"/>
    <w:rsid w:val="003D0306"/>
    <w:rsid w:val="003D0896"/>
    <w:rsid w:val="003D0C52"/>
    <w:rsid w:val="003D1C98"/>
    <w:rsid w:val="003D61C2"/>
    <w:rsid w:val="003E1845"/>
    <w:rsid w:val="003E19B4"/>
    <w:rsid w:val="003E2C24"/>
    <w:rsid w:val="003E5C99"/>
    <w:rsid w:val="003E7067"/>
    <w:rsid w:val="003E7D35"/>
    <w:rsid w:val="003F2C72"/>
    <w:rsid w:val="003F3002"/>
    <w:rsid w:val="003F34E9"/>
    <w:rsid w:val="003F4507"/>
    <w:rsid w:val="00401DE2"/>
    <w:rsid w:val="004043B0"/>
    <w:rsid w:val="00405F28"/>
    <w:rsid w:val="00406E65"/>
    <w:rsid w:val="004102D1"/>
    <w:rsid w:val="0041452E"/>
    <w:rsid w:val="004154DC"/>
    <w:rsid w:val="004167B5"/>
    <w:rsid w:val="00421564"/>
    <w:rsid w:val="00422620"/>
    <w:rsid w:val="00422EEB"/>
    <w:rsid w:val="0042483C"/>
    <w:rsid w:val="00425EEE"/>
    <w:rsid w:val="00426233"/>
    <w:rsid w:val="004275D1"/>
    <w:rsid w:val="00427645"/>
    <w:rsid w:val="004278BF"/>
    <w:rsid w:val="004303FA"/>
    <w:rsid w:val="00435644"/>
    <w:rsid w:val="004359A4"/>
    <w:rsid w:val="00445062"/>
    <w:rsid w:val="00446A8D"/>
    <w:rsid w:val="0044770A"/>
    <w:rsid w:val="0045090F"/>
    <w:rsid w:val="00451127"/>
    <w:rsid w:val="004524A4"/>
    <w:rsid w:val="00455DD2"/>
    <w:rsid w:val="00455F1F"/>
    <w:rsid w:val="004638D5"/>
    <w:rsid w:val="004668A6"/>
    <w:rsid w:val="00467B7A"/>
    <w:rsid w:val="004704CA"/>
    <w:rsid w:val="004711D9"/>
    <w:rsid w:val="00471A3D"/>
    <w:rsid w:val="004749D1"/>
    <w:rsid w:val="00474B70"/>
    <w:rsid w:val="00475BC8"/>
    <w:rsid w:val="00477A25"/>
    <w:rsid w:val="00477F80"/>
    <w:rsid w:val="00480D4A"/>
    <w:rsid w:val="00481938"/>
    <w:rsid w:val="00482D78"/>
    <w:rsid w:val="00483DD1"/>
    <w:rsid w:val="004842F9"/>
    <w:rsid w:val="0048496E"/>
    <w:rsid w:val="00487510"/>
    <w:rsid w:val="0049021F"/>
    <w:rsid w:val="004930A4"/>
    <w:rsid w:val="004959A8"/>
    <w:rsid w:val="00495FD6"/>
    <w:rsid w:val="004A47D6"/>
    <w:rsid w:val="004A6EBE"/>
    <w:rsid w:val="004A72C8"/>
    <w:rsid w:val="004B1B5F"/>
    <w:rsid w:val="004B498D"/>
    <w:rsid w:val="004B4A1C"/>
    <w:rsid w:val="004B4DB4"/>
    <w:rsid w:val="004B5135"/>
    <w:rsid w:val="004C0920"/>
    <w:rsid w:val="004C1DD4"/>
    <w:rsid w:val="004C2057"/>
    <w:rsid w:val="004C281A"/>
    <w:rsid w:val="004C298E"/>
    <w:rsid w:val="004C4A5E"/>
    <w:rsid w:val="004C6A69"/>
    <w:rsid w:val="004C7016"/>
    <w:rsid w:val="004C718E"/>
    <w:rsid w:val="004D20CB"/>
    <w:rsid w:val="004D2313"/>
    <w:rsid w:val="004D3DA0"/>
    <w:rsid w:val="004D57E4"/>
    <w:rsid w:val="004D5805"/>
    <w:rsid w:val="004D60EC"/>
    <w:rsid w:val="004D7056"/>
    <w:rsid w:val="004D785F"/>
    <w:rsid w:val="004E016E"/>
    <w:rsid w:val="004E1322"/>
    <w:rsid w:val="004E1485"/>
    <w:rsid w:val="004E2011"/>
    <w:rsid w:val="004E3846"/>
    <w:rsid w:val="004E5BCB"/>
    <w:rsid w:val="004E5C13"/>
    <w:rsid w:val="004E607F"/>
    <w:rsid w:val="004E6D12"/>
    <w:rsid w:val="004F14D9"/>
    <w:rsid w:val="004F1C79"/>
    <w:rsid w:val="004F2FDF"/>
    <w:rsid w:val="004F5A52"/>
    <w:rsid w:val="004F6A6D"/>
    <w:rsid w:val="004F74A6"/>
    <w:rsid w:val="004F79DD"/>
    <w:rsid w:val="0050389B"/>
    <w:rsid w:val="00503C56"/>
    <w:rsid w:val="0050499E"/>
    <w:rsid w:val="00505924"/>
    <w:rsid w:val="00505F35"/>
    <w:rsid w:val="0051098C"/>
    <w:rsid w:val="00510FC4"/>
    <w:rsid w:val="005125D6"/>
    <w:rsid w:val="00514A7C"/>
    <w:rsid w:val="00515681"/>
    <w:rsid w:val="00515E7A"/>
    <w:rsid w:val="00517257"/>
    <w:rsid w:val="00517CB8"/>
    <w:rsid w:val="00522016"/>
    <w:rsid w:val="005242DA"/>
    <w:rsid w:val="005248B5"/>
    <w:rsid w:val="0052539D"/>
    <w:rsid w:val="00526A32"/>
    <w:rsid w:val="00526BBB"/>
    <w:rsid w:val="005272D7"/>
    <w:rsid w:val="00530B5E"/>
    <w:rsid w:val="005362EE"/>
    <w:rsid w:val="00536EF3"/>
    <w:rsid w:val="005409DF"/>
    <w:rsid w:val="00543633"/>
    <w:rsid w:val="0054556E"/>
    <w:rsid w:val="00546933"/>
    <w:rsid w:val="00546957"/>
    <w:rsid w:val="00552731"/>
    <w:rsid w:val="00554F56"/>
    <w:rsid w:val="005627B2"/>
    <w:rsid w:val="00564C39"/>
    <w:rsid w:val="00566712"/>
    <w:rsid w:val="00566AAD"/>
    <w:rsid w:val="00571414"/>
    <w:rsid w:val="00571833"/>
    <w:rsid w:val="005719B5"/>
    <w:rsid w:val="005722FD"/>
    <w:rsid w:val="00572D58"/>
    <w:rsid w:val="00574D08"/>
    <w:rsid w:val="00574D80"/>
    <w:rsid w:val="00576B96"/>
    <w:rsid w:val="0058086A"/>
    <w:rsid w:val="00581B67"/>
    <w:rsid w:val="00582DD9"/>
    <w:rsid w:val="00583283"/>
    <w:rsid w:val="005842C9"/>
    <w:rsid w:val="00584510"/>
    <w:rsid w:val="005878E5"/>
    <w:rsid w:val="005900F5"/>
    <w:rsid w:val="00590EAC"/>
    <w:rsid w:val="005914C4"/>
    <w:rsid w:val="00593BE3"/>
    <w:rsid w:val="00595128"/>
    <w:rsid w:val="005A1A37"/>
    <w:rsid w:val="005A292C"/>
    <w:rsid w:val="005A324E"/>
    <w:rsid w:val="005A3AFA"/>
    <w:rsid w:val="005A3C15"/>
    <w:rsid w:val="005A42F5"/>
    <w:rsid w:val="005A5AD1"/>
    <w:rsid w:val="005A5CA8"/>
    <w:rsid w:val="005A7384"/>
    <w:rsid w:val="005B3CA1"/>
    <w:rsid w:val="005B4B4D"/>
    <w:rsid w:val="005B4D5D"/>
    <w:rsid w:val="005B7021"/>
    <w:rsid w:val="005C1669"/>
    <w:rsid w:val="005C2746"/>
    <w:rsid w:val="005C4CE3"/>
    <w:rsid w:val="005C65DC"/>
    <w:rsid w:val="005C7954"/>
    <w:rsid w:val="005D4C1C"/>
    <w:rsid w:val="005D5E1A"/>
    <w:rsid w:val="005D6398"/>
    <w:rsid w:val="005D6C24"/>
    <w:rsid w:val="005D7283"/>
    <w:rsid w:val="005E2064"/>
    <w:rsid w:val="005E2ACB"/>
    <w:rsid w:val="005E30E7"/>
    <w:rsid w:val="005E34B7"/>
    <w:rsid w:val="005E3655"/>
    <w:rsid w:val="005E4DBA"/>
    <w:rsid w:val="005E6C71"/>
    <w:rsid w:val="005E742A"/>
    <w:rsid w:val="005E7D93"/>
    <w:rsid w:val="005F2029"/>
    <w:rsid w:val="005F21EF"/>
    <w:rsid w:val="005F2E08"/>
    <w:rsid w:val="005F322A"/>
    <w:rsid w:val="005F4283"/>
    <w:rsid w:val="005F6085"/>
    <w:rsid w:val="00600B9C"/>
    <w:rsid w:val="00603C77"/>
    <w:rsid w:val="0060472E"/>
    <w:rsid w:val="00604820"/>
    <w:rsid w:val="0060798A"/>
    <w:rsid w:val="00607A65"/>
    <w:rsid w:val="00607B2B"/>
    <w:rsid w:val="00611113"/>
    <w:rsid w:val="006119B0"/>
    <w:rsid w:val="00611CAD"/>
    <w:rsid w:val="006130DC"/>
    <w:rsid w:val="00615342"/>
    <w:rsid w:val="006161E4"/>
    <w:rsid w:val="00616778"/>
    <w:rsid w:val="00616B4E"/>
    <w:rsid w:val="006172C5"/>
    <w:rsid w:val="00617E84"/>
    <w:rsid w:val="006213C1"/>
    <w:rsid w:val="00624EAF"/>
    <w:rsid w:val="00626775"/>
    <w:rsid w:val="00630216"/>
    <w:rsid w:val="00630761"/>
    <w:rsid w:val="00633965"/>
    <w:rsid w:val="00633A5A"/>
    <w:rsid w:val="00634143"/>
    <w:rsid w:val="00634564"/>
    <w:rsid w:val="00635594"/>
    <w:rsid w:val="00636439"/>
    <w:rsid w:val="00636B24"/>
    <w:rsid w:val="00636D9D"/>
    <w:rsid w:val="0063702A"/>
    <w:rsid w:val="006426F3"/>
    <w:rsid w:val="006434BF"/>
    <w:rsid w:val="006437D3"/>
    <w:rsid w:val="00643C4E"/>
    <w:rsid w:val="0064529E"/>
    <w:rsid w:val="00646618"/>
    <w:rsid w:val="00646C24"/>
    <w:rsid w:val="006473CC"/>
    <w:rsid w:val="00647BAB"/>
    <w:rsid w:val="006511BA"/>
    <w:rsid w:val="00651E10"/>
    <w:rsid w:val="006524C8"/>
    <w:rsid w:val="00654D34"/>
    <w:rsid w:val="00655429"/>
    <w:rsid w:val="0065578C"/>
    <w:rsid w:val="006577CA"/>
    <w:rsid w:val="006577E2"/>
    <w:rsid w:val="006639AF"/>
    <w:rsid w:val="00664AC6"/>
    <w:rsid w:val="006657B5"/>
    <w:rsid w:val="00666564"/>
    <w:rsid w:val="00671F45"/>
    <w:rsid w:val="00674C09"/>
    <w:rsid w:val="00675F57"/>
    <w:rsid w:val="00680C8F"/>
    <w:rsid w:val="00680C9B"/>
    <w:rsid w:val="00680EA5"/>
    <w:rsid w:val="00682566"/>
    <w:rsid w:val="00682B38"/>
    <w:rsid w:val="00682C51"/>
    <w:rsid w:val="006A04EB"/>
    <w:rsid w:val="006A42E0"/>
    <w:rsid w:val="006B03E1"/>
    <w:rsid w:val="006B0752"/>
    <w:rsid w:val="006B2741"/>
    <w:rsid w:val="006B29F8"/>
    <w:rsid w:val="006B2FC7"/>
    <w:rsid w:val="006B4038"/>
    <w:rsid w:val="006B605C"/>
    <w:rsid w:val="006C20C8"/>
    <w:rsid w:val="006C3890"/>
    <w:rsid w:val="006C427B"/>
    <w:rsid w:val="006C44F1"/>
    <w:rsid w:val="006C4AD7"/>
    <w:rsid w:val="006C4AFD"/>
    <w:rsid w:val="006C5CCC"/>
    <w:rsid w:val="006D067C"/>
    <w:rsid w:val="006D292D"/>
    <w:rsid w:val="006D2F9E"/>
    <w:rsid w:val="006D4D3E"/>
    <w:rsid w:val="006E0926"/>
    <w:rsid w:val="006E38E4"/>
    <w:rsid w:val="006E55DE"/>
    <w:rsid w:val="006E58D6"/>
    <w:rsid w:val="006E5CC2"/>
    <w:rsid w:val="006F115C"/>
    <w:rsid w:val="006F3812"/>
    <w:rsid w:val="006F4321"/>
    <w:rsid w:val="006F5F44"/>
    <w:rsid w:val="006F7E55"/>
    <w:rsid w:val="007038EF"/>
    <w:rsid w:val="00705DD4"/>
    <w:rsid w:val="00706815"/>
    <w:rsid w:val="00707FE5"/>
    <w:rsid w:val="00710657"/>
    <w:rsid w:val="007146CB"/>
    <w:rsid w:val="00714FAC"/>
    <w:rsid w:val="00716DBD"/>
    <w:rsid w:val="00720C58"/>
    <w:rsid w:val="00722E41"/>
    <w:rsid w:val="0072444A"/>
    <w:rsid w:val="0072731E"/>
    <w:rsid w:val="0073126E"/>
    <w:rsid w:val="00731668"/>
    <w:rsid w:val="007325B4"/>
    <w:rsid w:val="0073349A"/>
    <w:rsid w:val="007356FB"/>
    <w:rsid w:val="00740BAA"/>
    <w:rsid w:val="00742F39"/>
    <w:rsid w:val="0074335F"/>
    <w:rsid w:val="00746E2E"/>
    <w:rsid w:val="00750C6F"/>
    <w:rsid w:val="0075412F"/>
    <w:rsid w:val="00754FA7"/>
    <w:rsid w:val="007559A1"/>
    <w:rsid w:val="0075625A"/>
    <w:rsid w:val="0076278F"/>
    <w:rsid w:val="007630D8"/>
    <w:rsid w:val="0076410F"/>
    <w:rsid w:val="007645F9"/>
    <w:rsid w:val="00765797"/>
    <w:rsid w:val="00765EF9"/>
    <w:rsid w:val="007669FA"/>
    <w:rsid w:val="0076786A"/>
    <w:rsid w:val="007714F9"/>
    <w:rsid w:val="00771FC5"/>
    <w:rsid w:val="0077256F"/>
    <w:rsid w:val="00773566"/>
    <w:rsid w:val="00774222"/>
    <w:rsid w:val="00775544"/>
    <w:rsid w:val="00775AF7"/>
    <w:rsid w:val="007778EE"/>
    <w:rsid w:val="007842E0"/>
    <w:rsid w:val="00784887"/>
    <w:rsid w:val="007854F6"/>
    <w:rsid w:val="00787F1E"/>
    <w:rsid w:val="0079012D"/>
    <w:rsid w:val="007909BE"/>
    <w:rsid w:val="0079139B"/>
    <w:rsid w:val="00791FF2"/>
    <w:rsid w:val="00793405"/>
    <w:rsid w:val="00794B76"/>
    <w:rsid w:val="00794C74"/>
    <w:rsid w:val="00797699"/>
    <w:rsid w:val="007A004F"/>
    <w:rsid w:val="007A0928"/>
    <w:rsid w:val="007A122B"/>
    <w:rsid w:val="007A1AE9"/>
    <w:rsid w:val="007A1C8F"/>
    <w:rsid w:val="007A24BF"/>
    <w:rsid w:val="007A3530"/>
    <w:rsid w:val="007A45BE"/>
    <w:rsid w:val="007A55C2"/>
    <w:rsid w:val="007A61C7"/>
    <w:rsid w:val="007A71F9"/>
    <w:rsid w:val="007B0924"/>
    <w:rsid w:val="007B0BBD"/>
    <w:rsid w:val="007B1E74"/>
    <w:rsid w:val="007B22DF"/>
    <w:rsid w:val="007B5AC5"/>
    <w:rsid w:val="007B6EAA"/>
    <w:rsid w:val="007B7C4D"/>
    <w:rsid w:val="007C0594"/>
    <w:rsid w:val="007C25D5"/>
    <w:rsid w:val="007C463C"/>
    <w:rsid w:val="007C50B6"/>
    <w:rsid w:val="007D049C"/>
    <w:rsid w:val="007D0E19"/>
    <w:rsid w:val="007D1BAE"/>
    <w:rsid w:val="007D3939"/>
    <w:rsid w:val="007D5548"/>
    <w:rsid w:val="007D5834"/>
    <w:rsid w:val="007D6E2C"/>
    <w:rsid w:val="007D7718"/>
    <w:rsid w:val="007E2F33"/>
    <w:rsid w:val="007E35F3"/>
    <w:rsid w:val="007E4B4F"/>
    <w:rsid w:val="007E4CC4"/>
    <w:rsid w:val="007E585C"/>
    <w:rsid w:val="007E58F7"/>
    <w:rsid w:val="007E7227"/>
    <w:rsid w:val="007F0B59"/>
    <w:rsid w:val="007F122A"/>
    <w:rsid w:val="007F2AD8"/>
    <w:rsid w:val="007F5D11"/>
    <w:rsid w:val="007F7473"/>
    <w:rsid w:val="00801DEF"/>
    <w:rsid w:val="00802AAA"/>
    <w:rsid w:val="00802D86"/>
    <w:rsid w:val="00802E12"/>
    <w:rsid w:val="008034FC"/>
    <w:rsid w:val="008039F6"/>
    <w:rsid w:val="00804F97"/>
    <w:rsid w:val="00805036"/>
    <w:rsid w:val="008052DE"/>
    <w:rsid w:val="00806734"/>
    <w:rsid w:val="00814734"/>
    <w:rsid w:val="00814A90"/>
    <w:rsid w:val="00814B3C"/>
    <w:rsid w:val="00816057"/>
    <w:rsid w:val="00816D90"/>
    <w:rsid w:val="008203D2"/>
    <w:rsid w:val="008241A4"/>
    <w:rsid w:val="0082558F"/>
    <w:rsid w:val="00825B1F"/>
    <w:rsid w:val="0082792B"/>
    <w:rsid w:val="00827991"/>
    <w:rsid w:val="00827BE0"/>
    <w:rsid w:val="008320B4"/>
    <w:rsid w:val="0083220A"/>
    <w:rsid w:val="00832416"/>
    <w:rsid w:val="0083255B"/>
    <w:rsid w:val="00832A90"/>
    <w:rsid w:val="00833768"/>
    <w:rsid w:val="008337BC"/>
    <w:rsid w:val="008346BA"/>
    <w:rsid w:val="00835968"/>
    <w:rsid w:val="00843F82"/>
    <w:rsid w:val="008450A2"/>
    <w:rsid w:val="008467AB"/>
    <w:rsid w:val="008474F9"/>
    <w:rsid w:val="00847901"/>
    <w:rsid w:val="0085144E"/>
    <w:rsid w:val="00851511"/>
    <w:rsid w:val="008541CD"/>
    <w:rsid w:val="0085781C"/>
    <w:rsid w:val="00862E5B"/>
    <w:rsid w:val="008652CE"/>
    <w:rsid w:val="008653DA"/>
    <w:rsid w:val="0086625D"/>
    <w:rsid w:val="008709BB"/>
    <w:rsid w:val="00871C6B"/>
    <w:rsid w:val="008724EC"/>
    <w:rsid w:val="0087277D"/>
    <w:rsid w:val="008737B9"/>
    <w:rsid w:val="00874486"/>
    <w:rsid w:val="0087537C"/>
    <w:rsid w:val="008758AE"/>
    <w:rsid w:val="00880E59"/>
    <w:rsid w:val="00886607"/>
    <w:rsid w:val="00886D3D"/>
    <w:rsid w:val="00886DCF"/>
    <w:rsid w:val="00886FC1"/>
    <w:rsid w:val="00887010"/>
    <w:rsid w:val="00892D8A"/>
    <w:rsid w:val="00892EB4"/>
    <w:rsid w:val="008930A6"/>
    <w:rsid w:val="008A09C8"/>
    <w:rsid w:val="008A2589"/>
    <w:rsid w:val="008A418B"/>
    <w:rsid w:val="008A48FB"/>
    <w:rsid w:val="008A6A21"/>
    <w:rsid w:val="008A7C64"/>
    <w:rsid w:val="008B0E83"/>
    <w:rsid w:val="008B1425"/>
    <w:rsid w:val="008B1754"/>
    <w:rsid w:val="008B2891"/>
    <w:rsid w:val="008B6368"/>
    <w:rsid w:val="008B667C"/>
    <w:rsid w:val="008B66E8"/>
    <w:rsid w:val="008B68AB"/>
    <w:rsid w:val="008C20BB"/>
    <w:rsid w:val="008C3E5A"/>
    <w:rsid w:val="008C4F3C"/>
    <w:rsid w:val="008D0D54"/>
    <w:rsid w:val="008D2E8C"/>
    <w:rsid w:val="008D377A"/>
    <w:rsid w:val="008D57F8"/>
    <w:rsid w:val="008D64B8"/>
    <w:rsid w:val="008D75C2"/>
    <w:rsid w:val="008E3718"/>
    <w:rsid w:val="008E3A3D"/>
    <w:rsid w:val="008E3B64"/>
    <w:rsid w:val="008E3D67"/>
    <w:rsid w:val="008E6505"/>
    <w:rsid w:val="008F0774"/>
    <w:rsid w:val="008F2982"/>
    <w:rsid w:val="008F35C0"/>
    <w:rsid w:val="008F5284"/>
    <w:rsid w:val="008F5D73"/>
    <w:rsid w:val="008F65EA"/>
    <w:rsid w:val="008F660A"/>
    <w:rsid w:val="008F6A10"/>
    <w:rsid w:val="00901F7D"/>
    <w:rsid w:val="00906C25"/>
    <w:rsid w:val="009141B1"/>
    <w:rsid w:val="009164CF"/>
    <w:rsid w:val="00917547"/>
    <w:rsid w:val="00920263"/>
    <w:rsid w:val="00921162"/>
    <w:rsid w:val="00921308"/>
    <w:rsid w:val="00924724"/>
    <w:rsid w:val="00926341"/>
    <w:rsid w:val="009308A5"/>
    <w:rsid w:val="00930BD3"/>
    <w:rsid w:val="009314D2"/>
    <w:rsid w:val="0093203C"/>
    <w:rsid w:val="0093619B"/>
    <w:rsid w:val="0093752D"/>
    <w:rsid w:val="009447D4"/>
    <w:rsid w:val="00945831"/>
    <w:rsid w:val="00952188"/>
    <w:rsid w:val="00956AE2"/>
    <w:rsid w:val="00956FCB"/>
    <w:rsid w:val="00957A58"/>
    <w:rsid w:val="00960DED"/>
    <w:rsid w:val="00961311"/>
    <w:rsid w:val="00962EA2"/>
    <w:rsid w:val="00963A4D"/>
    <w:rsid w:val="00964654"/>
    <w:rsid w:val="00964ADC"/>
    <w:rsid w:val="00965747"/>
    <w:rsid w:val="00975E46"/>
    <w:rsid w:val="009844ED"/>
    <w:rsid w:val="00985E99"/>
    <w:rsid w:val="00991F91"/>
    <w:rsid w:val="00992A21"/>
    <w:rsid w:val="00992ACC"/>
    <w:rsid w:val="00995BE4"/>
    <w:rsid w:val="00997DFB"/>
    <w:rsid w:val="009A282A"/>
    <w:rsid w:val="009A41AD"/>
    <w:rsid w:val="009A4DF3"/>
    <w:rsid w:val="009A6220"/>
    <w:rsid w:val="009A7053"/>
    <w:rsid w:val="009A7612"/>
    <w:rsid w:val="009A77A8"/>
    <w:rsid w:val="009A7F77"/>
    <w:rsid w:val="009B2EDD"/>
    <w:rsid w:val="009B330E"/>
    <w:rsid w:val="009B4445"/>
    <w:rsid w:val="009B452A"/>
    <w:rsid w:val="009B52A3"/>
    <w:rsid w:val="009B53CE"/>
    <w:rsid w:val="009B58FC"/>
    <w:rsid w:val="009B7386"/>
    <w:rsid w:val="009C5301"/>
    <w:rsid w:val="009C5CA5"/>
    <w:rsid w:val="009C6B78"/>
    <w:rsid w:val="009D0258"/>
    <w:rsid w:val="009D0416"/>
    <w:rsid w:val="009D344F"/>
    <w:rsid w:val="009D4FE9"/>
    <w:rsid w:val="009D592F"/>
    <w:rsid w:val="009D5F6A"/>
    <w:rsid w:val="009D6088"/>
    <w:rsid w:val="009E0000"/>
    <w:rsid w:val="009E0D8A"/>
    <w:rsid w:val="009E126E"/>
    <w:rsid w:val="009E1922"/>
    <w:rsid w:val="009E1BEA"/>
    <w:rsid w:val="009E3180"/>
    <w:rsid w:val="009E47A9"/>
    <w:rsid w:val="009E4E9C"/>
    <w:rsid w:val="009E4FE2"/>
    <w:rsid w:val="009E5998"/>
    <w:rsid w:val="009E6412"/>
    <w:rsid w:val="009F06E0"/>
    <w:rsid w:val="009F1DA2"/>
    <w:rsid w:val="009F1E95"/>
    <w:rsid w:val="009F2DFF"/>
    <w:rsid w:val="009F33A9"/>
    <w:rsid w:val="009F4960"/>
    <w:rsid w:val="009F587F"/>
    <w:rsid w:val="009F5BCE"/>
    <w:rsid w:val="009F732B"/>
    <w:rsid w:val="00A0033B"/>
    <w:rsid w:val="00A00434"/>
    <w:rsid w:val="00A0061C"/>
    <w:rsid w:val="00A01244"/>
    <w:rsid w:val="00A02515"/>
    <w:rsid w:val="00A033B0"/>
    <w:rsid w:val="00A03E37"/>
    <w:rsid w:val="00A0433F"/>
    <w:rsid w:val="00A043C9"/>
    <w:rsid w:val="00A05249"/>
    <w:rsid w:val="00A06E27"/>
    <w:rsid w:val="00A07D10"/>
    <w:rsid w:val="00A10A10"/>
    <w:rsid w:val="00A1329F"/>
    <w:rsid w:val="00A13A0E"/>
    <w:rsid w:val="00A148E2"/>
    <w:rsid w:val="00A14B4C"/>
    <w:rsid w:val="00A14BAB"/>
    <w:rsid w:val="00A15664"/>
    <w:rsid w:val="00A20782"/>
    <w:rsid w:val="00A2213E"/>
    <w:rsid w:val="00A22E96"/>
    <w:rsid w:val="00A269E6"/>
    <w:rsid w:val="00A26C72"/>
    <w:rsid w:val="00A276C9"/>
    <w:rsid w:val="00A27770"/>
    <w:rsid w:val="00A303E5"/>
    <w:rsid w:val="00A30992"/>
    <w:rsid w:val="00A30BB0"/>
    <w:rsid w:val="00A30E01"/>
    <w:rsid w:val="00A31F38"/>
    <w:rsid w:val="00A32B7A"/>
    <w:rsid w:val="00A33E3D"/>
    <w:rsid w:val="00A402AB"/>
    <w:rsid w:val="00A444B3"/>
    <w:rsid w:val="00A445C6"/>
    <w:rsid w:val="00A45BD5"/>
    <w:rsid w:val="00A45EB7"/>
    <w:rsid w:val="00A47867"/>
    <w:rsid w:val="00A521A8"/>
    <w:rsid w:val="00A528CC"/>
    <w:rsid w:val="00A532E6"/>
    <w:rsid w:val="00A53A73"/>
    <w:rsid w:val="00A555DB"/>
    <w:rsid w:val="00A60EA2"/>
    <w:rsid w:val="00A6137D"/>
    <w:rsid w:val="00A61DE0"/>
    <w:rsid w:val="00A6293A"/>
    <w:rsid w:val="00A62C1D"/>
    <w:rsid w:val="00A6332C"/>
    <w:rsid w:val="00A70A8B"/>
    <w:rsid w:val="00A72ABF"/>
    <w:rsid w:val="00A75871"/>
    <w:rsid w:val="00A76B43"/>
    <w:rsid w:val="00A772C8"/>
    <w:rsid w:val="00A81958"/>
    <w:rsid w:val="00A8386A"/>
    <w:rsid w:val="00A86DC3"/>
    <w:rsid w:val="00A9049D"/>
    <w:rsid w:val="00A90726"/>
    <w:rsid w:val="00A90D59"/>
    <w:rsid w:val="00A91201"/>
    <w:rsid w:val="00A9286C"/>
    <w:rsid w:val="00A92893"/>
    <w:rsid w:val="00A92D8D"/>
    <w:rsid w:val="00A9399C"/>
    <w:rsid w:val="00A93DAD"/>
    <w:rsid w:val="00A93EA6"/>
    <w:rsid w:val="00AA0759"/>
    <w:rsid w:val="00AA1405"/>
    <w:rsid w:val="00AA1509"/>
    <w:rsid w:val="00AA1BF8"/>
    <w:rsid w:val="00AA3FE3"/>
    <w:rsid w:val="00AA6EBF"/>
    <w:rsid w:val="00AA6FCA"/>
    <w:rsid w:val="00AA7041"/>
    <w:rsid w:val="00AA7D02"/>
    <w:rsid w:val="00AB370D"/>
    <w:rsid w:val="00AB4A44"/>
    <w:rsid w:val="00AB4D41"/>
    <w:rsid w:val="00AB5485"/>
    <w:rsid w:val="00AB5FC8"/>
    <w:rsid w:val="00AC0BE1"/>
    <w:rsid w:val="00AC0ECE"/>
    <w:rsid w:val="00AC0F91"/>
    <w:rsid w:val="00AC16AF"/>
    <w:rsid w:val="00AC1719"/>
    <w:rsid w:val="00AC25BF"/>
    <w:rsid w:val="00AC7756"/>
    <w:rsid w:val="00AD2A8D"/>
    <w:rsid w:val="00AD42C1"/>
    <w:rsid w:val="00AD5C87"/>
    <w:rsid w:val="00AD60C0"/>
    <w:rsid w:val="00AD7022"/>
    <w:rsid w:val="00AE00DA"/>
    <w:rsid w:val="00AE15E9"/>
    <w:rsid w:val="00AE20D1"/>
    <w:rsid w:val="00AE4D86"/>
    <w:rsid w:val="00AE58F6"/>
    <w:rsid w:val="00AE67C0"/>
    <w:rsid w:val="00AF01E3"/>
    <w:rsid w:val="00AF0D83"/>
    <w:rsid w:val="00AF15BA"/>
    <w:rsid w:val="00AF26A5"/>
    <w:rsid w:val="00AF6587"/>
    <w:rsid w:val="00AF6E79"/>
    <w:rsid w:val="00AF6ED9"/>
    <w:rsid w:val="00AF7589"/>
    <w:rsid w:val="00B01CD8"/>
    <w:rsid w:val="00B02774"/>
    <w:rsid w:val="00B02D28"/>
    <w:rsid w:val="00B032CA"/>
    <w:rsid w:val="00B067ED"/>
    <w:rsid w:val="00B07C96"/>
    <w:rsid w:val="00B112A2"/>
    <w:rsid w:val="00B11426"/>
    <w:rsid w:val="00B11750"/>
    <w:rsid w:val="00B164BE"/>
    <w:rsid w:val="00B16D89"/>
    <w:rsid w:val="00B170DA"/>
    <w:rsid w:val="00B216A0"/>
    <w:rsid w:val="00B22B7B"/>
    <w:rsid w:val="00B311FE"/>
    <w:rsid w:val="00B326F0"/>
    <w:rsid w:val="00B35F16"/>
    <w:rsid w:val="00B3720C"/>
    <w:rsid w:val="00B37511"/>
    <w:rsid w:val="00B435E0"/>
    <w:rsid w:val="00B452A4"/>
    <w:rsid w:val="00B5206A"/>
    <w:rsid w:val="00B540B2"/>
    <w:rsid w:val="00B57EA6"/>
    <w:rsid w:val="00B66B10"/>
    <w:rsid w:val="00B67A76"/>
    <w:rsid w:val="00B67FF3"/>
    <w:rsid w:val="00B708D8"/>
    <w:rsid w:val="00B719C8"/>
    <w:rsid w:val="00B724CF"/>
    <w:rsid w:val="00B7315A"/>
    <w:rsid w:val="00B732CF"/>
    <w:rsid w:val="00B74269"/>
    <w:rsid w:val="00B76E2E"/>
    <w:rsid w:val="00B776A4"/>
    <w:rsid w:val="00B77C55"/>
    <w:rsid w:val="00B81895"/>
    <w:rsid w:val="00B833B6"/>
    <w:rsid w:val="00B87019"/>
    <w:rsid w:val="00B8715E"/>
    <w:rsid w:val="00B91725"/>
    <w:rsid w:val="00B92F16"/>
    <w:rsid w:val="00B93522"/>
    <w:rsid w:val="00B94251"/>
    <w:rsid w:val="00B9488D"/>
    <w:rsid w:val="00BA10CC"/>
    <w:rsid w:val="00BA58CF"/>
    <w:rsid w:val="00BA7027"/>
    <w:rsid w:val="00BA7BA7"/>
    <w:rsid w:val="00BB1076"/>
    <w:rsid w:val="00BB1B09"/>
    <w:rsid w:val="00BB27CE"/>
    <w:rsid w:val="00BB3F54"/>
    <w:rsid w:val="00BB50CA"/>
    <w:rsid w:val="00BB5719"/>
    <w:rsid w:val="00BB6BEE"/>
    <w:rsid w:val="00BC3FCC"/>
    <w:rsid w:val="00BD1E49"/>
    <w:rsid w:val="00BD611D"/>
    <w:rsid w:val="00BD62A9"/>
    <w:rsid w:val="00BD6437"/>
    <w:rsid w:val="00BE1402"/>
    <w:rsid w:val="00BE28FE"/>
    <w:rsid w:val="00BE33F0"/>
    <w:rsid w:val="00BE3DB4"/>
    <w:rsid w:val="00BE5461"/>
    <w:rsid w:val="00BE5B54"/>
    <w:rsid w:val="00BF0E92"/>
    <w:rsid w:val="00BF1B0A"/>
    <w:rsid w:val="00C013E7"/>
    <w:rsid w:val="00C02B92"/>
    <w:rsid w:val="00C03E17"/>
    <w:rsid w:val="00C0584A"/>
    <w:rsid w:val="00C05ACF"/>
    <w:rsid w:val="00C0675B"/>
    <w:rsid w:val="00C07DD1"/>
    <w:rsid w:val="00C100A5"/>
    <w:rsid w:val="00C11EEA"/>
    <w:rsid w:val="00C12EFE"/>
    <w:rsid w:val="00C14318"/>
    <w:rsid w:val="00C17BBF"/>
    <w:rsid w:val="00C17DA7"/>
    <w:rsid w:val="00C204D3"/>
    <w:rsid w:val="00C251D4"/>
    <w:rsid w:val="00C2536A"/>
    <w:rsid w:val="00C30F01"/>
    <w:rsid w:val="00C31AB3"/>
    <w:rsid w:val="00C32485"/>
    <w:rsid w:val="00C32A6B"/>
    <w:rsid w:val="00C32CE5"/>
    <w:rsid w:val="00C372DC"/>
    <w:rsid w:val="00C462E5"/>
    <w:rsid w:val="00C4692C"/>
    <w:rsid w:val="00C47279"/>
    <w:rsid w:val="00C477E3"/>
    <w:rsid w:val="00C51C22"/>
    <w:rsid w:val="00C6049E"/>
    <w:rsid w:val="00C60BDF"/>
    <w:rsid w:val="00C613AD"/>
    <w:rsid w:val="00C65E7A"/>
    <w:rsid w:val="00C714FD"/>
    <w:rsid w:val="00C7165B"/>
    <w:rsid w:val="00C719BD"/>
    <w:rsid w:val="00C7324D"/>
    <w:rsid w:val="00C7465D"/>
    <w:rsid w:val="00C75A59"/>
    <w:rsid w:val="00C75B44"/>
    <w:rsid w:val="00C76CE6"/>
    <w:rsid w:val="00C805A9"/>
    <w:rsid w:val="00C81A0B"/>
    <w:rsid w:val="00C81DCF"/>
    <w:rsid w:val="00C827C6"/>
    <w:rsid w:val="00C82D95"/>
    <w:rsid w:val="00C85BA9"/>
    <w:rsid w:val="00C85DA4"/>
    <w:rsid w:val="00C86136"/>
    <w:rsid w:val="00C87E96"/>
    <w:rsid w:val="00C87F34"/>
    <w:rsid w:val="00C92666"/>
    <w:rsid w:val="00C93033"/>
    <w:rsid w:val="00C93ADB"/>
    <w:rsid w:val="00C93CE5"/>
    <w:rsid w:val="00C951AD"/>
    <w:rsid w:val="00C96404"/>
    <w:rsid w:val="00C97220"/>
    <w:rsid w:val="00CA1FA0"/>
    <w:rsid w:val="00CA3C98"/>
    <w:rsid w:val="00CA6AD8"/>
    <w:rsid w:val="00CB09A7"/>
    <w:rsid w:val="00CB14B9"/>
    <w:rsid w:val="00CB4CC5"/>
    <w:rsid w:val="00CB4D95"/>
    <w:rsid w:val="00CB52A0"/>
    <w:rsid w:val="00CB7321"/>
    <w:rsid w:val="00CC071E"/>
    <w:rsid w:val="00CC17DA"/>
    <w:rsid w:val="00CC2E96"/>
    <w:rsid w:val="00CD26AE"/>
    <w:rsid w:val="00CD2CA6"/>
    <w:rsid w:val="00CD5B80"/>
    <w:rsid w:val="00CD5D0F"/>
    <w:rsid w:val="00CD6FAA"/>
    <w:rsid w:val="00CE0EBB"/>
    <w:rsid w:val="00CE44C4"/>
    <w:rsid w:val="00CE4AEC"/>
    <w:rsid w:val="00CE6ADD"/>
    <w:rsid w:val="00CE6CB8"/>
    <w:rsid w:val="00CF00CE"/>
    <w:rsid w:val="00CF384B"/>
    <w:rsid w:val="00CF3BD3"/>
    <w:rsid w:val="00CF4BFA"/>
    <w:rsid w:val="00CF6D4B"/>
    <w:rsid w:val="00CF6DF1"/>
    <w:rsid w:val="00CF79DD"/>
    <w:rsid w:val="00D02ACB"/>
    <w:rsid w:val="00D03492"/>
    <w:rsid w:val="00D042FE"/>
    <w:rsid w:val="00D04712"/>
    <w:rsid w:val="00D04BAF"/>
    <w:rsid w:val="00D059C8"/>
    <w:rsid w:val="00D07CAA"/>
    <w:rsid w:val="00D14366"/>
    <w:rsid w:val="00D145F0"/>
    <w:rsid w:val="00D16351"/>
    <w:rsid w:val="00D16770"/>
    <w:rsid w:val="00D233B1"/>
    <w:rsid w:val="00D24A70"/>
    <w:rsid w:val="00D24C68"/>
    <w:rsid w:val="00D27A5E"/>
    <w:rsid w:val="00D30DF8"/>
    <w:rsid w:val="00D31A58"/>
    <w:rsid w:val="00D329C6"/>
    <w:rsid w:val="00D32ADF"/>
    <w:rsid w:val="00D332B5"/>
    <w:rsid w:val="00D349E9"/>
    <w:rsid w:val="00D36DAD"/>
    <w:rsid w:val="00D37176"/>
    <w:rsid w:val="00D438E4"/>
    <w:rsid w:val="00D4646D"/>
    <w:rsid w:val="00D46AF0"/>
    <w:rsid w:val="00D5077B"/>
    <w:rsid w:val="00D51860"/>
    <w:rsid w:val="00D528A1"/>
    <w:rsid w:val="00D537C7"/>
    <w:rsid w:val="00D56310"/>
    <w:rsid w:val="00D5681E"/>
    <w:rsid w:val="00D6008D"/>
    <w:rsid w:val="00D61CD0"/>
    <w:rsid w:val="00D61DF7"/>
    <w:rsid w:val="00D63C2A"/>
    <w:rsid w:val="00D641D7"/>
    <w:rsid w:val="00D66569"/>
    <w:rsid w:val="00D66AFA"/>
    <w:rsid w:val="00D711B1"/>
    <w:rsid w:val="00D74EAE"/>
    <w:rsid w:val="00D754A1"/>
    <w:rsid w:val="00D75DFE"/>
    <w:rsid w:val="00D76006"/>
    <w:rsid w:val="00D7648D"/>
    <w:rsid w:val="00D764AF"/>
    <w:rsid w:val="00D76F0C"/>
    <w:rsid w:val="00D77387"/>
    <w:rsid w:val="00D82DA7"/>
    <w:rsid w:val="00D848A4"/>
    <w:rsid w:val="00D85236"/>
    <w:rsid w:val="00D900F0"/>
    <w:rsid w:val="00D91B3A"/>
    <w:rsid w:val="00D92863"/>
    <w:rsid w:val="00D928B1"/>
    <w:rsid w:val="00D95055"/>
    <w:rsid w:val="00D95588"/>
    <w:rsid w:val="00D95D79"/>
    <w:rsid w:val="00D95EC7"/>
    <w:rsid w:val="00D97BC8"/>
    <w:rsid w:val="00DA28DC"/>
    <w:rsid w:val="00DA46F6"/>
    <w:rsid w:val="00DA6B8D"/>
    <w:rsid w:val="00DA7069"/>
    <w:rsid w:val="00DB0753"/>
    <w:rsid w:val="00DB1531"/>
    <w:rsid w:val="00DB2608"/>
    <w:rsid w:val="00DB265C"/>
    <w:rsid w:val="00DB2C15"/>
    <w:rsid w:val="00DB52EA"/>
    <w:rsid w:val="00DB7B71"/>
    <w:rsid w:val="00DC0D61"/>
    <w:rsid w:val="00DC1243"/>
    <w:rsid w:val="00DC1388"/>
    <w:rsid w:val="00DC14F9"/>
    <w:rsid w:val="00DC2188"/>
    <w:rsid w:val="00DC4F30"/>
    <w:rsid w:val="00DC61D5"/>
    <w:rsid w:val="00DD1C0F"/>
    <w:rsid w:val="00DD21D9"/>
    <w:rsid w:val="00DD231A"/>
    <w:rsid w:val="00DD4D00"/>
    <w:rsid w:val="00DD6858"/>
    <w:rsid w:val="00DD7BCB"/>
    <w:rsid w:val="00DE2C51"/>
    <w:rsid w:val="00DE5974"/>
    <w:rsid w:val="00DF18B3"/>
    <w:rsid w:val="00DF2536"/>
    <w:rsid w:val="00DF25B1"/>
    <w:rsid w:val="00DF29D0"/>
    <w:rsid w:val="00DF6B87"/>
    <w:rsid w:val="00E02088"/>
    <w:rsid w:val="00E02B0B"/>
    <w:rsid w:val="00E0574A"/>
    <w:rsid w:val="00E07D9A"/>
    <w:rsid w:val="00E105EC"/>
    <w:rsid w:val="00E115F4"/>
    <w:rsid w:val="00E138B3"/>
    <w:rsid w:val="00E13B88"/>
    <w:rsid w:val="00E162A1"/>
    <w:rsid w:val="00E17990"/>
    <w:rsid w:val="00E2067E"/>
    <w:rsid w:val="00E21E9F"/>
    <w:rsid w:val="00E25BE9"/>
    <w:rsid w:val="00E263D2"/>
    <w:rsid w:val="00E26F02"/>
    <w:rsid w:val="00E30FD3"/>
    <w:rsid w:val="00E312C3"/>
    <w:rsid w:val="00E31EF4"/>
    <w:rsid w:val="00E31F3E"/>
    <w:rsid w:val="00E32AFB"/>
    <w:rsid w:val="00E34C83"/>
    <w:rsid w:val="00E356D1"/>
    <w:rsid w:val="00E442BF"/>
    <w:rsid w:val="00E44E2D"/>
    <w:rsid w:val="00E477BD"/>
    <w:rsid w:val="00E50427"/>
    <w:rsid w:val="00E5044D"/>
    <w:rsid w:val="00E528F6"/>
    <w:rsid w:val="00E52E08"/>
    <w:rsid w:val="00E56566"/>
    <w:rsid w:val="00E57554"/>
    <w:rsid w:val="00E57D91"/>
    <w:rsid w:val="00E6081A"/>
    <w:rsid w:val="00E6090E"/>
    <w:rsid w:val="00E61374"/>
    <w:rsid w:val="00E6192E"/>
    <w:rsid w:val="00E61EFF"/>
    <w:rsid w:val="00E621FE"/>
    <w:rsid w:val="00E64242"/>
    <w:rsid w:val="00E646B9"/>
    <w:rsid w:val="00E64C4E"/>
    <w:rsid w:val="00E65131"/>
    <w:rsid w:val="00E65ACD"/>
    <w:rsid w:val="00E65B53"/>
    <w:rsid w:val="00E664A8"/>
    <w:rsid w:val="00E66940"/>
    <w:rsid w:val="00E70AB0"/>
    <w:rsid w:val="00E7268F"/>
    <w:rsid w:val="00E731D4"/>
    <w:rsid w:val="00E73512"/>
    <w:rsid w:val="00E74B33"/>
    <w:rsid w:val="00E7647E"/>
    <w:rsid w:val="00E779D9"/>
    <w:rsid w:val="00E8051A"/>
    <w:rsid w:val="00E82755"/>
    <w:rsid w:val="00E83487"/>
    <w:rsid w:val="00E864F5"/>
    <w:rsid w:val="00E872C6"/>
    <w:rsid w:val="00E906E5"/>
    <w:rsid w:val="00E9396E"/>
    <w:rsid w:val="00E939BA"/>
    <w:rsid w:val="00E95653"/>
    <w:rsid w:val="00E95CCC"/>
    <w:rsid w:val="00EA1114"/>
    <w:rsid w:val="00EA1758"/>
    <w:rsid w:val="00EA2E9A"/>
    <w:rsid w:val="00EA2F2E"/>
    <w:rsid w:val="00EA373D"/>
    <w:rsid w:val="00EA3B8F"/>
    <w:rsid w:val="00EA4595"/>
    <w:rsid w:val="00EA4D10"/>
    <w:rsid w:val="00EA56E5"/>
    <w:rsid w:val="00EA5EEF"/>
    <w:rsid w:val="00EA6181"/>
    <w:rsid w:val="00EA7691"/>
    <w:rsid w:val="00EB6CF3"/>
    <w:rsid w:val="00EB766A"/>
    <w:rsid w:val="00EC1D9B"/>
    <w:rsid w:val="00EC2898"/>
    <w:rsid w:val="00EC3009"/>
    <w:rsid w:val="00EC55CE"/>
    <w:rsid w:val="00EC56FE"/>
    <w:rsid w:val="00EC7939"/>
    <w:rsid w:val="00EC7F5C"/>
    <w:rsid w:val="00ED1015"/>
    <w:rsid w:val="00ED2708"/>
    <w:rsid w:val="00EE3A71"/>
    <w:rsid w:val="00EE3CBE"/>
    <w:rsid w:val="00EE472F"/>
    <w:rsid w:val="00EF317B"/>
    <w:rsid w:val="00EF3EDC"/>
    <w:rsid w:val="00EF48E7"/>
    <w:rsid w:val="00EF4983"/>
    <w:rsid w:val="00F04A30"/>
    <w:rsid w:val="00F05282"/>
    <w:rsid w:val="00F07CE7"/>
    <w:rsid w:val="00F10CDA"/>
    <w:rsid w:val="00F10E2D"/>
    <w:rsid w:val="00F13308"/>
    <w:rsid w:val="00F1523C"/>
    <w:rsid w:val="00F16A0E"/>
    <w:rsid w:val="00F16D18"/>
    <w:rsid w:val="00F17617"/>
    <w:rsid w:val="00F21C67"/>
    <w:rsid w:val="00F23FD5"/>
    <w:rsid w:val="00F33A11"/>
    <w:rsid w:val="00F3430D"/>
    <w:rsid w:val="00F34D68"/>
    <w:rsid w:val="00F34E62"/>
    <w:rsid w:val="00F40B1F"/>
    <w:rsid w:val="00F425A7"/>
    <w:rsid w:val="00F430D2"/>
    <w:rsid w:val="00F4397A"/>
    <w:rsid w:val="00F4449A"/>
    <w:rsid w:val="00F45272"/>
    <w:rsid w:val="00F47A98"/>
    <w:rsid w:val="00F516A0"/>
    <w:rsid w:val="00F53E79"/>
    <w:rsid w:val="00F54A44"/>
    <w:rsid w:val="00F55539"/>
    <w:rsid w:val="00F55B4C"/>
    <w:rsid w:val="00F56F6A"/>
    <w:rsid w:val="00F57276"/>
    <w:rsid w:val="00F57321"/>
    <w:rsid w:val="00F57BA9"/>
    <w:rsid w:val="00F603FE"/>
    <w:rsid w:val="00F645AA"/>
    <w:rsid w:val="00F648E0"/>
    <w:rsid w:val="00F64AEA"/>
    <w:rsid w:val="00F702CC"/>
    <w:rsid w:val="00F71D47"/>
    <w:rsid w:val="00F73E33"/>
    <w:rsid w:val="00F819E8"/>
    <w:rsid w:val="00F82F52"/>
    <w:rsid w:val="00F83FE8"/>
    <w:rsid w:val="00F87DD1"/>
    <w:rsid w:val="00F90AAD"/>
    <w:rsid w:val="00F91540"/>
    <w:rsid w:val="00F93E27"/>
    <w:rsid w:val="00FA1457"/>
    <w:rsid w:val="00FA5513"/>
    <w:rsid w:val="00FA6090"/>
    <w:rsid w:val="00FA6F1C"/>
    <w:rsid w:val="00FB0147"/>
    <w:rsid w:val="00FB01B6"/>
    <w:rsid w:val="00FB1DC7"/>
    <w:rsid w:val="00FB2012"/>
    <w:rsid w:val="00FB64D0"/>
    <w:rsid w:val="00FC0E41"/>
    <w:rsid w:val="00FC321C"/>
    <w:rsid w:val="00FC3DD8"/>
    <w:rsid w:val="00FC49F2"/>
    <w:rsid w:val="00FC51F1"/>
    <w:rsid w:val="00FC65A0"/>
    <w:rsid w:val="00FC739E"/>
    <w:rsid w:val="00FC7BC9"/>
    <w:rsid w:val="00FD0318"/>
    <w:rsid w:val="00FD1994"/>
    <w:rsid w:val="00FD52E2"/>
    <w:rsid w:val="00FD5F92"/>
    <w:rsid w:val="00FD6418"/>
    <w:rsid w:val="00FD7FC5"/>
    <w:rsid w:val="00FE0362"/>
    <w:rsid w:val="00FE051A"/>
    <w:rsid w:val="00FE0748"/>
    <w:rsid w:val="00FE30C5"/>
    <w:rsid w:val="00FE4074"/>
    <w:rsid w:val="00FE4445"/>
    <w:rsid w:val="00FE6129"/>
    <w:rsid w:val="00FE6BDA"/>
    <w:rsid w:val="00FE7A8B"/>
    <w:rsid w:val="00FF0116"/>
    <w:rsid w:val="00FF0667"/>
    <w:rsid w:val="00FF14D5"/>
    <w:rsid w:val="00FF528A"/>
    <w:rsid w:val="00FF65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03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A8"/>
    <w:rPr>
      <w:rFonts w:cstheme="minorBidi"/>
      <w:lang w:val="en-US" w:eastAsia="ja-JP"/>
    </w:rPr>
  </w:style>
  <w:style w:type="paragraph" w:styleId="Heading4">
    <w:name w:val="heading 4"/>
    <w:aliases w:val="Text,heading 4,text"/>
    <w:basedOn w:val="Normal"/>
    <w:link w:val="Heading4Char"/>
    <w:qFormat/>
    <w:rsid w:val="00086FA8"/>
    <w:pPr>
      <w:spacing w:line="360" w:lineRule="auto"/>
      <w:outlineLvl w:val="3"/>
    </w:pPr>
    <w:rPr>
      <w:rFonts w:ascii="Times" w:eastAsia="Times New Roman" w:hAnsi="Times" w:cs="Times New Roman"/>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ext Char,heading 4 Char,text Char"/>
    <w:basedOn w:val="DefaultParagraphFont"/>
    <w:link w:val="Heading4"/>
    <w:rsid w:val="00086FA8"/>
    <w:rPr>
      <w:rFonts w:ascii="Times" w:eastAsia="Times New Roman" w:hAnsi="Times" w:cs="Times New Roman"/>
      <w:szCs w:val="20"/>
    </w:rPr>
  </w:style>
  <w:style w:type="paragraph" w:styleId="ListParagraph">
    <w:name w:val="List Paragraph"/>
    <w:basedOn w:val="Normal"/>
    <w:uiPriority w:val="34"/>
    <w:qFormat/>
    <w:rsid w:val="00086FA8"/>
    <w:pPr>
      <w:ind w:left="720"/>
      <w:contextualSpacing/>
    </w:pPr>
  </w:style>
  <w:style w:type="paragraph" w:styleId="Footer">
    <w:name w:val="footer"/>
    <w:basedOn w:val="Normal"/>
    <w:link w:val="FooterChar"/>
    <w:uiPriority w:val="99"/>
    <w:unhideWhenUsed/>
    <w:rsid w:val="00086FA8"/>
    <w:pPr>
      <w:tabs>
        <w:tab w:val="center" w:pos="4320"/>
        <w:tab w:val="right" w:pos="8640"/>
      </w:tabs>
    </w:pPr>
  </w:style>
  <w:style w:type="character" w:customStyle="1" w:styleId="FooterChar">
    <w:name w:val="Footer Char"/>
    <w:basedOn w:val="DefaultParagraphFont"/>
    <w:link w:val="Footer"/>
    <w:uiPriority w:val="99"/>
    <w:rsid w:val="00086FA8"/>
    <w:rPr>
      <w:rFonts w:cstheme="minorBidi"/>
      <w:lang w:val="en-US" w:eastAsia="ja-JP"/>
    </w:rPr>
  </w:style>
  <w:style w:type="character" w:styleId="PageNumber">
    <w:name w:val="page number"/>
    <w:basedOn w:val="DefaultParagraphFont"/>
    <w:uiPriority w:val="99"/>
    <w:semiHidden/>
    <w:unhideWhenUsed/>
    <w:rsid w:val="00086FA8"/>
  </w:style>
  <w:style w:type="character" w:styleId="CommentReference">
    <w:name w:val="annotation reference"/>
    <w:basedOn w:val="DefaultParagraphFont"/>
    <w:uiPriority w:val="99"/>
    <w:unhideWhenUsed/>
    <w:rsid w:val="00086FA8"/>
    <w:rPr>
      <w:sz w:val="18"/>
      <w:szCs w:val="18"/>
    </w:rPr>
  </w:style>
  <w:style w:type="paragraph" w:styleId="CommentText">
    <w:name w:val="annotation text"/>
    <w:basedOn w:val="Normal"/>
    <w:link w:val="CommentTextChar"/>
    <w:uiPriority w:val="99"/>
    <w:unhideWhenUsed/>
    <w:rsid w:val="00086FA8"/>
  </w:style>
  <w:style w:type="character" w:customStyle="1" w:styleId="CommentTextChar">
    <w:name w:val="Comment Text Char"/>
    <w:basedOn w:val="DefaultParagraphFont"/>
    <w:link w:val="CommentText"/>
    <w:uiPriority w:val="99"/>
    <w:rsid w:val="00086FA8"/>
    <w:rPr>
      <w:rFonts w:cstheme="minorBidi"/>
      <w:lang w:val="en-US" w:eastAsia="ja-JP"/>
    </w:rPr>
  </w:style>
  <w:style w:type="paragraph" w:styleId="CommentSubject">
    <w:name w:val="annotation subject"/>
    <w:basedOn w:val="CommentText"/>
    <w:next w:val="CommentText"/>
    <w:link w:val="CommentSubjectChar"/>
    <w:uiPriority w:val="99"/>
    <w:semiHidden/>
    <w:unhideWhenUsed/>
    <w:rsid w:val="00086FA8"/>
    <w:rPr>
      <w:b/>
      <w:bCs/>
      <w:sz w:val="20"/>
      <w:szCs w:val="20"/>
    </w:rPr>
  </w:style>
  <w:style w:type="character" w:customStyle="1" w:styleId="CommentSubjectChar">
    <w:name w:val="Comment Subject Char"/>
    <w:basedOn w:val="CommentTextChar"/>
    <w:link w:val="CommentSubject"/>
    <w:uiPriority w:val="99"/>
    <w:semiHidden/>
    <w:rsid w:val="00086FA8"/>
    <w:rPr>
      <w:rFonts w:cstheme="minorBidi"/>
      <w:b/>
      <w:bCs/>
      <w:sz w:val="20"/>
      <w:szCs w:val="20"/>
      <w:lang w:val="en-US" w:eastAsia="ja-JP"/>
    </w:rPr>
  </w:style>
  <w:style w:type="paragraph" w:styleId="BalloonText">
    <w:name w:val="Balloon Text"/>
    <w:basedOn w:val="Normal"/>
    <w:link w:val="BalloonTextChar"/>
    <w:uiPriority w:val="99"/>
    <w:semiHidden/>
    <w:unhideWhenUsed/>
    <w:rsid w:val="00086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A8"/>
    <w:rPr>
      <w:rFonts w:ascii="Lucida Grande" w:hAnsi="Lucida Grande" w:cs="Lucida Grande"/>
      <w:sz w:val="18"/>
      <w:szCs w:val="18"/>
      <w:lang w:val="en-US" w:eastAsia="ja-JP"/>
    </w:rPr>
  </w:style>
  <w:style w:type="table" w:styleId="TableGrid">
    <w:name w:val="Table Grid"/>
    <w:basedOn w:val="TableNormal"/>
    <w:uiPriority w:val="59"/>
    <w:rsid w:val="00086FA8"/>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6FA8"/>
    <w:pPr>
      <w:spacing w:after="200"/>
    </w:pPr>
    <w:rPr>
      <w:b/>
      <w:bCs/>
      <w:color w:val="4F81BD" w:themeColor="accent1"/>
      <w:sz w:val="18"/>
      <w:szCs w:val="18"/>
    </w:rPr>
  </w:style>
  <w:style w:type="character" w:styleId="Hyperlink">
    <w:name w:val="Hyperlink"/>
    <w:basedOn w:val="DefaultParagraphFont"/>
    <w:uiPriority w:val="99"/>
    <w:unhideWhenUsed/>
    <w:rsid w:val="00086FA8"/>
    <w:rPr>
      <w:color w:val="0000FF" w:themeColor="hyperlink"/>
      <w:u w:val="single"/>
    </w:rPr>
  </w:style>
  <w:style w:type="paragraph" w:styleId="Header">
    <w:name w:val="header"/>
    <w:basedOn w:val="Normal"/>
    <w:link w:val="HeaderChar"/>
    <w:uiPriority w:val="99"/>
    <w:unhideWhenUsed/>
    <w:rsid w:val="00086FA8"/>
    <w:pPr>
      <w:tabs>
        <w:tab w:val="center" w:pos="4513"/>
        <w:tab w:val="right" w:pos="9026"/>
      </w:tabs>
    </w:pPr>
  </w:style>
  <w:style w:type="character" w:customStyle="1" w:styleId="HeaderChar">
    <w:name w:val="Header Char"/>
    <w:basedOn w:val="DefaultParagraphFont"/>
    <w:link w:val="Header"/>
    <w:uiPriority w:val="99"/>
    <w:rsid w:val="00086FA8"/>
    <w:rPr>
      <w:rFonts w:cstheme="minorBidi"/>
      <w:lang w:val="en-US" w:eastAsia="ja-JP"/>
    </w:rPr>
  </w:style>
  <w:style w:type="paragraph" w:styleId="FootnoteText">
    <w:name w:val="footnote text"/>
    <w:basedOn w:val="Normal"/>
    <w:link w:val="FootnoteTextChar"/>
    <w:rsid w:val="00086FA8"/>
  </w:style>
  <w:style w:type="character" w:customStyle="1" w:styleId="FootnoteTextChar">
    <w:name w:val="Footnote Text Char"/>
    <w:basedOn w:val="DefaultParagraphFont"/>
    <w:link w:val="FootnoteText"/>
    <w:rsid w:val="00086FA8"/>
    <w:rPr>
      <w:rFonts w:cstheme="minorBidi"/>
      <w:lang w:val="en-US" w:eastAsia="ja-JP"/>
    </w:rPr>
  </w:style>
  <w:style w:type="character" w:styleId="FootnoteReference">
    <w:name w:val="footnote reference"/>
    <w:basedOn w:val="DefaultParagraphFont"/>
    <w:rsid w:val="00086FA8"/>
    <w:rPr>
      <w:vertAlign w:val="superscript"/>
    </w:rPr>
  </w:style>
  <w:style w:type="paragraph" w:styleId="Revision">
    <w:name w:val="Revision"/>
    <w:hidden/>
    <w:uiPriority w:val="99"/>
    <w:semiHidden/>
    <w:rsid w:val="00086FA8"/>
    <w:rPr>
      <w:rFonts w:cstheme="minorBidi"/>
      <w:lang w:val="en-US" w:eastAsia="ja-JP"/>
    </w:rPr>
  </w:style>
  <w:style w:type="paragraph" w:customStyle="1" w:styleId="EndNoteBibliographyTitle">
    <w:name w:val="EndNote Bibliography Title"/>
    <w:basedOn w:val="Normal"/>
    <w:rsid w:val="00241ECE"/>
    <w:pPr>
      <w:jc w:val="center"/>
    </w:pPr>
    <w:rPr>
      <w:rFonts w:ascii="Cambria" w:hAnsi="Cambria"/>
    </w:rPr>
  </w:style>
  <w:style w:type="paragraph" w:customStyle="1" w:styleId="EndNoteBibliography">
    <w:name w:val="EndNote Bibliography"/>
    <w:basedOn w:val="Normal"/>
    <w:rsid w:val="00241ECE"/>
    <w:rPr>
      <w:rFonts w:ascii="Cambria" w:hAnsi="Cambria"/>
    </w:rPr>
  </w:style>
  <w:style w:type="character" w:styleId="FollowedHyperlink">
    <w:name w:val="FollowedHyperlink"/>
    <w:basedOn w:val="DefaultParagraphFont"/>
    <w:uiPriority w:val="99"/>
    <w:semiHidden/>
    <w:unhideWhenUsed/>
    <w:rsid w:val="00AB4D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A8"/>
    <w:rPr>
      <w:rFonts w:cstheme="minorBidi"/>
      <w:lang w:val="en-US" w:eastAsia="ja-JP"/>
    </w:rPr>
  </w:style>
  <w:style w:type="paragraph" w:styleId="Heading4">
    <w:name w:val="heading 4"/>
    <w:aliases w:val="Text,heading 4,text"/>
    <w:basedOn w:val="Normal"/>
    <w:link w:val="Heading4Char"/>
    <w:qFormat/>
    <w:rsid w:val="00086FA8"/>
    <w:pPr>
      <w:spacing w:line="360" w:lineRule="auto"/>
      <w:outlineLvl w:val="3"/>
    </w:pPr>
    <w:rPr>
      <w:rFonts w:ascii="Times" w:eastAsia="Times New Roman" w:hAnsi="Times" w:cs="Times New Roman"/>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ext Char,heading 4 Char,text Char"/>
    <w:basedOn w:val="DefaultParagraphFont"/>
    <w:link w:val="Heading4"/>
    <w:rsid w:val="00086FA8"/>
    <w:rPr>
      <w:rFonts w:ascii="Times" w:eastAsia="Times New Roman" w:hAnsi="Times" w:cs="Times New Roman"/>
      <w:szCs w:val="20"/>
    </w:rPr>
  </w:style>
  <w:style w:type="paragraph" w:styleId="ListParagraph">
    <w:name w:val="List Paragraph"/>
    <w:basedOn w:val="Normal"/>
    <w:uiPriority w:val="34"/>
    <w:qFormat/>
    <w:rsid w:val="00086FA8"/>
    <w:pPr>
      <w:ind w:left="720"/>
      <w:contextualSpacing/>
    </w:pPr>
  </w:style>
  <w:style w:type="paragraph" w:styleId="Footer">
    <w:name w:val="footer"/>
    <w:basedOn w:val="Normal"/>
    <w:link w:val="FooterChar"/>
    <w:uiPriority w:val="99"/>
    <w:unhideWhenUsed/>
    <w:rsid w:val="00086FA8"/>
    <w:pPr>
      <w:tabs>
        <w:tab w:val="center" w:pos="4320"/>
        <w:tab w:val="right" w:pos="8640"/>
      </w:tabs>
    </w:pPr>
  </w:style>
  <w:style w:type="character" w:customStyle="1" w:styleId="FooterChar">
    <w:name w:val="Footer Char"/>
    <w:basedOn w:val="DefaultParagraphFont"/>
    <w:link w:val="Footer"/>
    <w:uiPriority w:val="99"/>
    <w:rsid w:val="00086FA8"/>
    <w:rPr>
      <w:rFonts w:cstheme="minorBidi"/>
      <w:lang w:val="en-US" w:eastAsia="ja-JP"/>
    </w:rPr>
  </w:style>
  <w:style w:type="character" w:styleId="PageNumber">
    <w:name w:val="page number"/>
    <w:basedOn w:val="DefaultParagraphFont"/>
    <w:uiPriority w:val="99"/>
    <w:semiHidden/>
    <w:unhideWhenUsed/>
    <w:rsid w:val="00086FA8"/>
  </w:style>
  <w:style w:type="character" w:styleId="CommentReference">
    <w:name w:val="annotation reference"/>
    <w:basedOn w:val="DefaultParagraphFont"/>
    <w:uiPriority w:val="99"/>
    <w:unhideWhenUsed/>
    <w:rsid w:val="00086FA8"/>
    <w:rPr>
      <w:sz w:val="18"/>
      <w:szCs w:val="18"/>
    </w:rPr>
  </w:style>
  <w:style w:type="paragraph" w:styleId="CommentText">
    <w:name w:val="annotation text"/>
    <w:basedOn w:val="Normal"/>
    <w:link w:val="CommentTextChar"/>
    <w:uiPriority w:val="99"/>
    <w:unhideWhenUsed/>
    <w:rsid w:val="00086FA8"/>
  </w:style>
  <w:style w:type="character" w:customStyle="1" w:styleId="CommentTextChar">
    <w:name w:val="Comment Text Char"/>
    <w:basedOn w:val="DefaultParagraphFont"/>
    <w:link w:val="CommentText"/>
    <w:uiPriority w:val="99"/>
    <w:rsid w:val="00086FA8"/>
    <w:rPr>
      <w:rFonts w:cstheme="minorBidi"/>
      <w:lang w:val="en-US" w:eastAsia="ja-JP"/>
    </w:rPr>
  </w:style>
  <w:style w:type="paragraph" w:styleId="CommentSubject">
    <w:name w:val="annotation subject"/>
    <w:basedOn w:val="CommentText"/>
    <w:next w:val="CommentText"/>
    <w:link w:val="CommentSubjectChar"/>
    <w:uiPriority w:val="99"/>
    <w:semiHidden/>
    <w:unhideWhenUsed/>
    <w:rsid w:val="00086FA8"/>
    <w:rPr>
      <w:b/>
      <w:bCs/>
      <w:sz w:val="20"/>
      <w:szCs w:val="20"/>
    </w:rPr>
  </w:style>
  <w:style w:type="character" w:customStyle="1" w:styleId="CommentSubjectChar">
    <w:name w:val="Comment Subject Char"/>
    <w:basedOn w:val="CommentTextChar"/>
    <w:link w:val="CommentSubject"/>
    <w:uiPriority w:val="99"/>
    <w:semiHidden/>
    <w:rsid w:val="00086FA8"/>
    <w:rPr>
      <w:rFonts w:cstheme="minorBidi"/>
      <w:b/>
      <w:bCs/>
      <w:sz w:val="20"/>
      <w:szCs w:val="20"/>
      <w:lang w:val="en-US" w:eastAsia="ja-JP"/>
    </w:rPr>
  </w:style>
  <w:style w:type="paragraph" w:styleId="BalloonText">
    <w:name w:val="Balloon Text"/>
    <w:basedOn w:val="Normal"/>
    <w:link w:val="BalloonTextChar"/>
    <w:uiPriority w:val="99"/>
    <w:semiHidden/>
    <w:unhideWhenUsed/>
    <w:rsid w:val="00086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A8"/>
    <w:rPr>
      <w:rFonts w:ascii="Lucida Grande" w:hAnsi="Lucida Grande" w:cs="Lucida Grande"/>
      <w:sz w:val="18"/>
      <w:szCs w:val="18"/>
      <w:lang w:val="en-US" w:eastAsia="ja-JP"/>
    </w:rPr>
  </w:style>
  <w:style w:type="table" w:styleId="TableGrid">
    <w:name w:val="Table Grid"/>
    <w:basedOn w:val="TableNormal"/>
    <w:uiPriority w:val="59"/>
    <w:rsid w:val="00086FA8"/>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6FA8"/>
    <w:pPr>
      <w:spacing w:after="200"/>
    </w:pPr>
    <w:rPr>
      <w:b/>
      <w:bCs/>
      <w:color w:val="4F81BD" w:themeColor="accent1"/>
      <w:sz w:val="18"/>
      <w:szCs w:val="18"/>
    </w:rPr>
  </w:style>
  <w:style w:type="character" w:styleId="Hyperlink">
    <w:name w:val="Hyperlink"/>
    <w:basedOn w:val="DefaultParagraphFont"/>
    <w:uiPriority w:val="99"/>
    <w:unhideWhenUsed/>
    <w:rsid w:val="00086FA8"/>
    <w:rPr>
      <w:color w:val="0000FF" w:themeColor="hyperlink"/>
      <w:u w:val="single"/>
    </w:rPr>
  </w:style>
  <w:style w:type="paragraph" w:styleId="Header">
    <w:name w:val="header"/>
    <w:basedOn w:val="Normal"/>
    <w:link w:val="HeaderChar"/>
    <w:uiPriority w:val="99"/>
    <w:unhideWhenUsed/>
    <w:rsid w:val="00086FA8"/>
    <w:pPr>
      <w:tabs>
        <w:tab w:val="center" w:pos="4513"/>
        <w:tab w:val="right" w:pos="9026"/>
      </w:tabs>
    </w:pPr>
  </w:style>
  <w:style w:type="character" w:customStyle="1" w:styleId="HeaderChar">
    <w:name w:val="Header Char"/>
    <w:basedOn w:val="DefaultParagraphFont"/>
    <w:link w:val="Header"/>
    <w:uiPriority w:val="99"/>
    <w:rsid w:val="00086FA8"/>
    <w:rPr>
      <w:rFonts w:cstheme="minorBidi"/>
      <w:lang w:val="en-US" w:eastAsia="ja-JP"/>
    </w:rPr>
  </w:style>
  <w:style w:type="paragraph" w:styleId="FootnoteText">
    <w:name w:val="footnote text"/>
    <w:basedOn w:val="Normal"/>
    <w:link w:val="FootnoteTextChar"/>
    <w:rsid w:val="00086FA8"/>
  </w:style>
  <w:style w:type="character" w:customStyle="1" w:styleId="FootnoteTextChar">
    <w:name w:val="Footnote Text Char"/>
    <w:basedOn w:val="DefaultParagraphFont"/>
    <w:link w:val="FootnoteText"/>
    <w:rsid w:val="00086FA8"/>
    <w:rPr>
      <w:rFonts w:cstheme="minorBidi"/>
      <w:lang w:val="en-US" w:eastAsia="ja-JP"/>
    </w:rPr>
  </w:style>
  <w:style w:type="character" w:styleId="FootnoteReference">
    <w:name w:val="footnote reference"/>
    <w:basedOn w:val="DefaultParagraphFont"/>
    <w:rsid w:val="00086FA8"/>
    <w:rPr>
      <w:vertAlign w:val="superscript"/>
    </w:rPr>
  </w:style>
  <w:style w:type="paragraph" w:styleId="Revision">
    <w:name w:val="Revision"/>
    <w:hidden/>
    <w:uiPriority w:val="99"/>
    <w:semiHidden/>
    <w:rsid w:val="00086FA8"/>
    <w:rPr>
      <w:rFonts w:cstheme="minorBidi"/>
      <w:lang w:val="en-US" w:eastAsia="ja-JP"/>
    </w:rPr>
  </w:style>
  <w:style w:type="paragraph" w:customStyle="1" w:styleId="EndNoteBibliographyTitle">
    <w:name w:val="EndNote Bibliography Title"/>
    <w:basedOn w:val="Normal"/>
    <w:rsid w:val="00241ECE"/>
    <w:pPr>
      <w:jc w:val="center"/>
    </w:pPr>
    <w:rPr>
      <w:rFonts w:ascii="Cambria" w:hAnsi="Cambria"/>
    </w:rPr>
  </w:style>
  <w:style w:type="paragraph" w:customStyle="1" w:styleId="EndNoteBibliography">
    <w:name w:val="EndNote Bibliography"/>
    <w:basedOn w:val="Normal"/>
    <w:rsid w:val="00241ECE"/>
    <w:rPr>
      <w:rFonts w:ascii="Cambria" w:hAnsi="Cambria"/>
    </w:rPr>
  </w:style>
  <w:style w:type="character" w:styleId="FollowedHyperlink">
    <w:name w:val="FollowedHyperlink"/>
    <w:basedOn w:val="DefaultParagraphFont"/>
    <w:uiPriority w:val="99"/>
    <w:semiHidden/>
    <w:unhideWhenUsed/>
    <w:rsid w:val="00AB4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60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ilanthropy.com/interactives/online-giving-dashboardcid=pw&amp;utm_source=pw&amp;utm_medium=en&amp;elq=6bc0e0a792544bbb8b84e16eec862c16&amp;elqCampaignId=1923&amp;elqaid=7020&amp;elqat=1&amp;elqTrackId=436a65706cd1405c9d105ce1b90ad773" TargetMode="External"/><Relationship Id="rId4" Type="http://schemas.microsoft.com/office/2007/relationships/stylesWithEffects" Target="stylesWithEffects.xml"/><Relationship Id="rId9" Type="http://schemas.openxmlformats.org/officeDocument/2006/relationships/hyperlink" Target="http://www.donateblood.com.au/who-can-give/when-ca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4C89-31BC-4BDC-89F6-69752AD7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17301</Words>
  <Characters>98620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Faulkner</dc:creator>
  <cp:lastModifiedBy>Stern, Philip</cp:lastModifiedBy>
  <cp:revision>3</cp:revision>
  <cp:lastPrinted>2015-12-11T02:52:00Z</cp:lastPrinted>
  <dcterms:created xsi:type="dcterms:W3CDTF">2016-05-02T12:50:00Z</dcterms:created>
  <dcterms:modified xsi:type="dcterms:W3CDTF">2016-05-02T12:53:00Z</dcterms:modified>
</cp:coreProperties>
</file>