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FF" w:rsidRPr="003832E8" w:rsidRDefault="00786DFF" w:rsidP="00B06978">
      <w:pPr>
        <w:jc w:val="center"/>
        <w:rPr>
          <w:lang w:val="en-GB"/>
        </w:rPr>
      </w:pPr>
      <w:proofErr w:type="spellStart"/>
      <w:r w:rsidRPr="003832E8">
        <w:rPr>
          <w:lang w:val="en-GB"/>
        </w:rPr>
        <w:t>Joasia</w:t>
      </w:r>
      <w:proofErr w:type="spellEnd"/>
      <w:r w:rsidRPr="003832E8">
        <w:rPr>
          <w:lang w:val="en-GB"/>
        </w:rPr>
        <w:t xml:space="preserve"> </w:t>
      </w:r>
      <w:proofErr w:type="spellStart"/>
      <w:r w:rsidRPr="003832E8">
        <w:rPr>
          <w:lang w:val="en-GB"/>
        </w:rPr>
        <w:t>Luzak</w:t>
      </w:r>
      <w:proofErr w:type="spellEnd"/>
      <w:r w:rsidRPr="003832E8">
        <w:rPr>
          <w:rStyle w:val="FootnoteReference"/>
          <w:lang w:val="en-GB"/>
        </w:rPr>
        <w:footnoteReference w:id="1"/>
      </w:r>
    </w:p>
    <w:p w:rsidR="0017618E" w:rsidRPr="003832E8" w:rsidRDefault="00786DFF" w:rsidP="00B06978">
      <w:pPr>
        <w:jc w:val="center"/>
        <w:rPr>
          <w:b/>
          <w:lang w:val="en-GB"/>
        </w:rPr>
      </w:pPr>
      <w:r w:rsidRPr="003832E8">
        <w:rPr>
          <w:b/>
          <w:lang w:val="en-GB"/>
        </w:rPr>
        <w:t xml:space="preserve">Vulnerable </w:t>
      </w:r>
      <w:r w:rsidR="003832E8" w:rsidRPr="003832E8">
        <w:rPr>
          <w:b/>
          <w:lang w:val="en-GB"/>
        </w:rPr>
        <w:t>travellers</w:t>
      </w:r>
      <w:r w:rsidRPr="003832E8">
        <w:rPr>
          <w:b/>
          <w:lang w:val="en-GB"/>
        </w:rPr>
        <w:t xml:space="preserve"> in the digital age</w:t>
      </w:r>
    </w:p>
    <w:p w:rsidR="00E41841" w:rsidRPr="003832E8" w:rsidRDefault="00E41841" w:rsidP="00B06978">
      <w:pPr>
        <w:jc w:val="both"/>
        <w:rPr>
          <w:lang w:val="en-GB"/>
        </w:rPr>
      </w:pPr>
    </w:p>
    <w:p w:rsidR="00786DFF" w:rsidRPr="003832E8" w:rsidRDefault="00786DFF" w:rsidP="00B06978">
      <w:pPr>
        <w:pStyle w:val="ListParagraph"/>
        <w:numPr>
          <w:ilvl w:val="0"/>
          <w:numId w:val="1"/>
        </w:numPr>
        <w:jc w:val="both"/>
        <w:rPr>
          <w:b/>
          <w:lang w:val="en-GB"/>
        </w:rPr>
      </w:pPr>
      <w:r w:rsidRPr="003832E8">
        <w:rPr>
          <w:b/>
          <w:lang w:val="en-GB"/>
        </w:rPr>
        <w:t>Introduction</w:t>
      </w:r>
    </w:p>
    <w:p w:rsidR="00786DFF" w:rsidRDefault="00786DFF" w:rsidP="00B06978">
      <w:pPr>
        <w:pStyle w:val="ListParagraph"/>
        <w:ind w:left="360"/>
        <w:jc w:val="both"/>
        <w:rPr>
          <w:lang w:val="en-GB"/>
        </w:rPr>
      </w:pPr>
    </w:p>
    <w:p w:rsidR="008A40F6" w:rsidRDefault="008A40F6" w:rsidP="00B06978">
      <w:pPr>
        <w:pStyle w:val="ListParagraph"/>
        <w:ind w:left="360"/>
        <w:jc w:val="both"/>
        <w:rPr>
          <w:lang w:val="en-GB"/>
        </w:rPr>
      </w:pPr>
      <w:r>
        <w:rPr>
          <w:lang w:val="en-GB"/>
        </w:rPr>
        <w:t>While there are many issues that we may discuss with regard to changes to the regulation of the European consumer travel sector that will occur as a result of the adoption of the new Directive 2015/2302</w:t>
      </w:r>
      <w:r>
        <w:rPr>
          <w:rStyle w:val="FootnoteReference"/>
          <w:lang w:val="en-GB"/>
        </w:rPr>
        <w:footnoteReference w:id="2"/>
      </w:r>
      <w:r>
        <w:rPr>
          <w:lang w:val="en-GB"/>
        </w:rPr>
        <w:t xml:space="preserve">, this article focuses on the missed opportunity for the European legislator to establish an additional layer of protection for vulnerable travellers in these new provisions. </w:t>
      </w:r>
    </w:p>
    <w:p w:rsidR="008A40F6" w:rsidRDefault="008A40F6" w:rsidP="00B06978">
      <w:pPr>
        <w:pStyle w:val="ListParagraph"/>
        <w:ind w:left="360"/>
        <w:jc w:val="both"/>
        <w:rPr>
          <w:lang w:val="en-GB"/>
        </w:rPr>
      </w:pPr>
    </w:p>
    <w:p w:rsidR="008A40F6" w:rsidRDefault="00491A03" w:rsidP="00B06978">
      <w:pPr>
        <w:pStyle w:val="ListParagraph"/>
        <w:ind w:left="360"/>
        <w:jc w:val="both"/>
        <w:rPr>
          <w:lang w:val="en-GB"/>
        </w:rPr>
      </w:pPr>
      <w:r>
        <w:rPr>
          <w:lang w:val="en-GB"/>
        </w:rPr>
        <w:t>Recently</w:t>
      </w:r>
      <w:r w:rsidR="008A40F6">
        <w:rPr>
          <w:lang w:val="en-GB"/>
        </w:rPr>
        <w:t xml:space="preserve">, not only academics but also national enforcement authorities </w:t>
      </w:r>
      <w:r>
        <w:rPr>
          <w:lang w:val="en-GB"/>
        </w:rPr>
        <w:t>placed more emphasis on</w:t>
      </w:r>
      <w:r w:rsidR="008A40F6">
        <w:rPr>
          <w:lang w:val="en-GB"/>
        </w:rPr>
        <w:t xml:space="preserve"> distinguish</w:t>
      </w:r>
      <w:r>
        <w:rPr>
          <w:lang w:val="en-GB"/>
        </w:rPr>
        <w:t>ing</w:t>
      </w:r>
      <w:r w:rsidR="008A40F6">
        <w:rPr>
          <w:lang w:val="en-GB"/>
        </w:rPr>
        <w:t xml:space="preserve"> consumers, based on their capabilities and special needs, with regard to the level of consumer protection that they should be granted through European consumer law measures</w:t>
      </w:r>
      <w:r w:rsidR="00E07B64">
        <w:rPr>
          <w:rStyle w:val="FootnoteReference"/>
          <w:lang w:val="en-GB"/>
        </w:rPr>
        <w:footnoteReference w:id="3"/>
      </w:r>
      <w:r w:rsidR="008A40F6">
        <w:rPr>
          <w:lang w:val="en-GB"/>
        </w:rPr>
        <w:t xml:space="preserve">. </w:t>
      </w:r>
      <w:r>
        <w:rPr>
          <w:lang w:val="en-GB"/>
        </w:rPr>
        <w:t>The Court of Justice</w:t>
      </w:r>
      <w:r w:rsidR="00E07B64">
        <w:rPr>
          <w:lang w:val="en-GB"/>
        </w:rPr>
        <w:t xml:space="preserve"> of the European Union</w:t>
      </w:r>
      <w:r>
        <w:rPr>
          <w:lang w:val="en-GB"/>
        </w:rPr>
        <w:t xml:space="preserve"> (hereafter, the “</w:t>
      </w:r>
      <w:r w:rsidR="00E07B64">
        <w:rPr>
          <w:lang w:val="en-GB"/>
        </w:rPr>
        <w:t>CJEU</w:t>
      </w:r>
      <w:r>
        <w:rPr>
          <w:lang w:val="en-GB"/>
        </w:rPr>
        <w:t xml:space="preserve">”) began to apply the benchmark of an “average consumer” in areas of consumer protection, in which this notion has not yet been adopted by the European legislator, </w:t>
      </w:r>
      <w:r w:rsidR="0002127B">
        <w:rPr>
          <w:lang w:val="en-GB"/>
        </w:rPr>
        <w:t xml:space="preserve">potentially </w:t>
      </w:r>
      <w:r>
        <w:rPr>
          <w:lang w:val="en-GB"/>
        </w:rPr>
        <w:t>raising the bar for accessing consumer rights</w:t>
      </w:r>
      <w:r w:rsidR="00E07B64">
        <w:rPr>
          <w:rStyle w:val="FootnoteReference"/>
          <w:lang w:val="en-GB"/>
        </w:rPr>
        <w:footnoteReference w:id="4"/>
      </w:r>
      <w:r>
        <w:rPr>
          <w:lang w:val="en-GB"/>
        </w:rPr>
        <w:t xml:space="preserve">. </w:t>
      </w:r>
      <w:r w:rsidR="006F4E9E">
        <w:rPr>
          <w:lang w:val="en-GB"/>
        </w:rPr>
        <w:t xml:space="preserve">This naturally raises questions as to whether </w:t>
      </w:r>
      <w:r w:rsidR="00825FC6">
        <w:rPr>
          <w:lang w:val="en-GB"/>
        </w:rPr>
        <w:t>exceptions could and should be made from this high standard in order to provide more vulnerable consumers with an additional level of protection.</w:t>
      </w:r>
      <w:r w:rsidR="008833C8">
        <w:rPr>
          <w:lang w:val="en-GB"/>
        </w:rPr>
        <w:t xml:space="preserve"> This article discusses</w:t>
      </w:r>
      <w:r w:rsidR="00EC573E">
        <w:rPr>
          <w:lang w:val="en-GB"/>
        </w:rPr>
        <w:t xml:space="preserve"> whether there is a need for the protection of vulnerable </w:t>
      </w:r>
      <w:r w:rsidR="00EF6E28">
        <w:rPr>
          <w:lang w:val="en-GB"/>
        </w:rPr>
        <w:t>consumers in the travel sector</w:t>
      </w:r>
      <w:r w:rsidR="00EC573E">
        <w:rPr>
          <w:lang w:val="en-GB"/>
        </w:rPr>
        <w:t>,</w:t>
      </w:r>
      <w:r w:rsidR="00EF6E28">
        <w:rPr>
          <w:lang w:val="en-GB"/>
        </w:rPr>
        <w:t xml:space="preserve"> i.e., vulnerable travellers,</w:t>
      </w:r>
      <w:r w:rsidR="00EC573E">
        <w:rPr>
          <w:lang w:val="en-GB"/>
        </w:rPr>
        <w:t xml:space="preserve"> specifically.</w:t>
      </w:r>
    </w:p>
    <w:p w:rsidR="008A40F6" w:rsidRDefault="008A40F6" w:rsidP="00B06978">
      <w:pPr>
        <w:pStyle w:val="ListParagraph"/>
        <w:ind w:left="360"/>
        <w:jc w:val="both"/>
        <w:rPr>
          <w:lang w:val="en-GB"/>
        </w:rPr>
      </w:pPr>
      <w:bookmarkStart w:id="0" w:name="_GoBack"/>
      <w:bookmarkEnd w:id="0"/>
    </w:p>
    <w:p w:rsidR="00C92032" w:rsidRDefault="00281A5D" w:rsidP="00B06978">
      <w:pPr>
        <w:pStyle w:val="ListParagraph"/>
        <w:ind w:left="360"/>
        <w:jc w:val="both"/>
        <w:rPr>
          <w:lang w:val="en-GB"/>
        </w:rPr>
      </w:pPr>
      <w:r>
        <w:rPr>
          <w:lang w:val="en-GB"/>
        </w:rPr>
        <w:t>Generally, consumer protection has provided consumers with additional contractual rights due to their perceived relational weakness when they conclude contracts with professional parties</w:t>
      </w:r>
      <w:r>
        <w:rPr>
          <w:rStyle w:val="FootnoteReference"/>
          <w:lang w:val="en-GB"/>
        </w:rPr>
        <w:footnoteReference w:id="5"/>
      </w:r>
      <w:r>
        <w:rPr>
          <w:lang w:val="en-GB"/>
        </w:rPr>
        <w:t>.</w:t>
      </w:r>
      <w:r w:rsidR="00C92032">
        <w:rPr>
          <w:lang w:val="en-GB"/>
        </w:rPr>
        <w:t xml:space="preserve"> </w:t>
      </w:r>
      <w:r>
        <w:rPr>
          <w:lang w:val="en-GB"/>
        </w:rPr>
        <w:t xml:space="preserve">All consumers suffer thus from certain vulnerabilities, most often described in terms of their </w:t>
      </w:r>
      <w:r>
        <w:rPr>
          <w:lang w:val="en-GB"/>
        </w:rPr>
        <w:lastRenderedPageBreak/>
        <w:t>problems with the assimilation of information</w:t>
      </w:r>
      <w:r>
        <w:rPr>
          <w:rStyle w:val="FootnoteReference"/>
          <w:lang w:val="en-GB"/>
        </w:rPr>
        <w:footnoteReference w:id="6"/>
      </w:r>
      <w:r>
        <w:rPr>
          <w:lang w:val="en-GB"/>
        </w:rPr>
        <w:t xml:space="preserve">. </w:t>
      </w:r>
      <w:r w:rsidR="0002127B">
        <w:rPr>
          <w:lang w:val="en-GB"/>
        </w:rPr>
        <w:t>However, v</w:t>
      </w:r>
      <w:r>
        <w:rPr>
          <w:lang w:val="en-GB"/>
        </w:rPr>
        <w:t>ulnerable consumers may be distinguished from the general consumer group on the basis of</w:t>
      </w:r>
      <w:r w:rsidR="0040339C">
        <w:rPr>
          <w:lang w:val="en-GB"/>
        </w:rPr>
        <w:t>:</w:t>
      </w:r>
      <w:r>
        <w:rPr>
          <w:lang w:val="en-GB"/>
        </w:rPr>
        <w:t xml:space="preserve"> certain additional characteristics that hinder their perception and understanding of contractual information to an even greater extent</w:t>
      </w:r>
      <w:r w:rsidR="0040339C">
        <w:rPr>
          <w:lang w:val="en-GB"/>
        </w:rPr>
        <w:t xml:space="preserve"> (e.g. age); their increased susceptibility to unfair commercial practices (e.g. due to time constraints); and due to more severe consequences of falling victim to such practices (e.g. due to lack of financial solvency)</w:t>
      </w:r>
      <w:r>
        <w:rPr>
          <w:rStyle w:val="FootnoteReference"/>
          <w:lang w:val="en-GB"/>
        </w:rPr>
        <w:footnoteReference w:id="7"/>
      </w:r>
      <w:r>
        <w:rPr>
          <w:lang w:val="en-GB"/>
        </w:rPr>
        <w:t xml:space="preserve">. </w:t>
      </w:r>
    </w:p>
    <w:p w:rsidR="00C92032" w:rsidRDefault="00C92032" w:rsidP="00B06978">
      <w:pPr>
        <w:pStyle w:val="ListParagraph"/>
        <w:ind w:left="360"/>
        <w:jc w:val="both"/>
        <w:rPr>
          <w:lang w:val="en-GB"/>
        </w:rPr>
      </w:pPr>
    </w:p>
    <w:p w:rsidR="008A40F6" w:rsidRPr="003832E8" w:rsidRDefault="008A40F6" w:rsidP="00B06978">
      <w:pPr>
        <w:pStyle w:val="ListParagraph"/>
        <w:ind w:left="360"/>
        <w:jc w:val="both"/>
        <w:rPr>
          <w:lang w:val="en-GB"/>
        </w:rPr>
      </w:pPr>
      <w:r>
        <w:rPr>
          <w:lang w:val="en-GB"/>
        </w:rPr>
        <w:t>In this article</w:t>
      </w:r>
      <w:r w:rsidR="00825FC6">
        <w:rPr>
          <w:lang w:val="en-GB"/>
        </w:rPr>
        <w:t>,</w:t>
      </w:r>
      <w:r>
        <w:rPr>
          <w:lang w:val="en-GB"/>
        </w:rPr>
        <w:t xml:space="preserve"> I first </w:t>
      </w:r>
      <w:r w:rsidR="00825FC6">
        <w:rPr>
          <w:lang w:val="en-GB"/>
        </w:rPr>
        <w:t xml:space="preserve">set the scene by placing the new Directive 2015/2302 within the European consumer </w:t>
      </w:r>
      <w:r w:rsidR="00825FC6">
        <w:rPr>
          <w:i/>
          <w:lang w:val="en-GB"/>
        </w:rPr>
        <w:t>acquis</w:t>
      </w:r>
      <w:r>
        <w:rPr>
          <w:lang w:val="en-GB"/>
        </w:rPr>
        <w:t xml:space="preserve"> </w:t>
      </w:r>
      <w:r w:rsidR="00825FC6">
        <w:rPr>
          <w:lang w:val="en-GB"/>
        </w:rPr>
        <w:t xml:space="preserve">and then elaborate </w:t>
      </w:r>
      <w:r>
        <w:rPr>
          <w:lang w:val="en-GB"/>
        </w:rPr>
        <w:t xml:space="preserve">on the notions of an average and a vulnerable consumer, and their applicability in the travel sector (parts II-IV). I proceed then to discuss current trends in the travel sector, which </w:t>
      </w:r>
      <w:r w:rsidR="00281A5D">
        <w:rPr>
          <w:lang w:val="en-GB"/>
        </w:rPr>
        <w:t>illustrate</w:t>
      </w:r>
      <w:r w:rsidR="000852DA">
        <w:rPr>
          <w:lang w:val="en-GB"/>
        </w:rPr>
        <w:t xml:space="preserve"> whether vulnerable travellers conclude package travel </w:t>
      </w:r>
      <w:proofErr w:type="gramStart"/>
      <w:r w:rsidR="000852DA">
        <w:rPr>
          <w:lang w:val="en-GB"/>
        </w:rPr>
        <w:t>contracts</w:t>
      </w:r>
      <w:r w:rsidR="00825FC6">
        <w:rPr>
          <w:lang w:val="en-GB"/>
        </w:rPr>
        <w:t>,</w:t>
      </w:r>
      <w:proofErr w:type="gramEnd"/>
      <w:r w:rsidR="000852DA">
        <w:rPr>
          <w:lang w:val="en-GB"/>
        </w:rPr>
        <w:t xml:space="preserve"> at what rate and what sort of vulnerability we may expect (part V). Following part VI considers specifically the digital environment, in which an increased number of travelling contracts is concluded</w:t>
      </w:r>
      <w:r w:rsidR="00281A5D">
        <w:rPr>
          <w:lang w:val="en-GB"/>
        </w:rPr>
        <w:t>. This still relatively new contractual environment</w:t>
      </w:r>
      <w:r w:rsidR="000852DA">
        <w:rPr>
          <w:lang w:val="en-GB"/>
        </w:rPr>
        <w:t xml:space="preserve"> </w:t>
      </w:r>
      <w:r w:rsidR="00825FC6">
        <w:rPr>
          <w:lang w:val="en-GB"/>
        </w:rPr>
        <w:t>may disclose additional sort</w:t>
      </w:r>
      <w:r w:rsidR="00281A5D">
        <w:rPr>
          <w:lang w:val="en-GB"/>
        </w:rPr>
        <w:t>s</w:t>
      </w:r>
      <w:r w:rsidR="00825FC6">
        <w:rPr>
          <w:lang w:val="en-GB"/>
        </w:rPr>
        <w:t xml:space="preserve"> of consumer</w:t>
      </w:r>
      <w:r w:rsidR="00281A5D">
        <w:rPr>
          <w:lang w:val="en-GB"/>
        </w:rPr>
        <w:t>s’</w:t>
      </w:r>
      <w:r w:rsidR="00825FC6">
        <w:rPr>
          <w:lang w:val="en-GB"/>
        </w:rPr>
        <w:t xml:space="preserve"> vulnerability</w:t>
      </w:r>
      <w:r w:rsidR="00281A5D">
        <w:rPr>
          <w:lang w:val="en-GB"/>
        </w:rPr>
        <w:t xml:space="preserve"> and also </w:t>
      </w:r>
      <w:r w:rsidR="00825FC6">
        <w:rPr>
          <w:lang w:val="en-GB"/>
        </w:rPr>
        <w:t xml:space="preserve">require legislators to adopt different measures to protect vulnerable consumers in </w:t>
      </w:r>
      <w:r w:rsidR="00281A5D">
        <w:rPr>
          <w:lang w:val="en-GB"/>
        </w:rPr>
        <w:t xml:space="preserve">the </w:t>
      </w:r>
      <w:r w:rsidR="00825FC6">
        <w:rPr>
          <w:lang w:val="en-GB"/>
        </w:rPr>
        <w:t xml:space="preserve">digital environment. Concluding, I suggest some measures that the European legislator failed to include in the Directive 2015/2302 that could have provided more protection to vulnerable travellers, especially </w:t>
      </w:r>
      <w:r w:rsidR="00281A5D">
        <w:rPr>
          <w:lang w:val="en-GB"/>
        </w:rPr>
        <w:t>when we consider travellers’ vulnerability due to their age</w:t>
      </w:r>
      <w:r w:rsidR="00825FC6">
        <w:rPr>
          <w:lang w:val="en-GB"/>
        </w:rPr>
        <w:t>, in particular</w:t>
      </w:r>
      <w:r w:rsidR="00316FF9">
        <w:rPr>
          <w:lang w:val="en-GB"/>
        </w:rPr>
        <w:t>,</w:t>
      </w:r>
      <w:r w:rsidR="00825FC6">
        <w:rPr>
          <w:lang w:val="en-GB"/>
        </w:rPr>
        <w:t xml:space="preserve"> in the digital environment</w:t>
      </w:r>
      <w:r w:rsidR="00281A5D">
        <w:rPr>
          <w:lang w:val="en-GB"/>
        </w:rPr>
        <w:t xml:space="preserve"> (art VII)</w:t>
      </w:r>
      <w:r w:rsidR="00825FC6">
        <w:rPr>
          <w:lang w:val="en-GB"/>
        </w:rPr>
        <w:t xml:space="preserve">. </w:t>
      </w:r>
      <w:r w:rsidR="002C5FDF">
        <w:rPr>
          <w:lang w:val="en-GB"/>
        </w:rPr>
        <w:t>This omission is especially striking when we consider the study on consumer vulnerability that the European Commission has just published</w:t>
      </w:r>
      <w:r w:rsidR="002C5FDF">
        <w:rPr>
          <w:rStyle w:val="FootnoteReference"/>
          <w:lang w:val="en-GB"/>
        </w:rPr>
        <w:footnoteReference w:id="8"/>
      </w:r>
      <w:r w:rsidR="002C5FDF">
        <w:rPr>
          <w:lang w:val="en-GB"/>
        </w:rPr>
        <w:t>.</w:t>
      </w:r>
    </w:p>
    <w:p w:rsidR="00786DFF" w:rsidRPr="003832E8" w:rsidRDefault="00786DFF" w:rsidP="00B06978">
      <w:pPr>
        <w:pStyle w:val="ListParagraph"/>
        <w:ind w:left="360"/>
        <w:jc w:val="both"/>
        <w:rPr>
          <w:lang w:val="en-GB"/>
        </w:rPr>
      </w:pPr>
    </w:p>
    <w:p w:rsidR="00786DFF" w:rsidRPr="003832E8" w:rsidRDefault="00786DFF" w:rsidP="00B06978">
      <w:pPr>
        <w:pStyle w:val="ListParagraph"/>
        <w:numPr>
          <w:ilvl w:val="0"/>
          <w:numId w:val="1"/>
        </w:numPr>
        <w:jc w:val="both"/>
        <w:rPr>
          <w:b/>
          <w:lang w:val="en-GB"/>
        </w:rPr>
      </w:pPr>
      <w:r w:rsidRPr="003832E8">
        <w:rPr>
          <w:b/>
          <w:lang w:val="en-GB"/>
        </w:rPr>
        <w:t>Consumer</w:t>
      </w:r>
      <w:r w:rsidR="00752A59">
        <w:rPr>
          <w:b/>
          <w:lang w:val="en-GB"/>
        </w:rPr>
        <w:t>’s</w:t>
      </w:r>
      <w:r w:rsidRPr="003832E8">
        <w:rPr>
          <w:b/>
          <w:lang w:val="en-GB"/>
        </w:rPr>
        <w:t xml:space="preserve"> &amp; </w:t>
      </w:r>
      <w:r w:rsidR="003832E8" w:rsidRPr="003832E8">
        <w:rPr>
          <w:b/>
          <w:lang w:val="en-GB"/>
        </w:rPr>
        <w:t>traveller</w:t>
      </w:r>
      <w:r w:rsidR="00752A59">
        <w:rPr>
          <w:b/>
          <w:lang w:val="en-GB"/>
        </w:rPr>
        <w:t>’s</w:t>
      </w:r>
      <w:r w:rsidRPr="003832E8">
        <w:rPr>
          <w:b/>
          <w:lang w:val="en-GB"/>
        </w:rPr>
        <w:t xml:space="preserve"> notions in EU law</w:t>
      </w:r>
    </w:p>
    <w:p w:rsidR="00786DFF" w:rsidRPr="003832E8" w:rsidRDefault="00786DFF" w:rsidP="00B06978">
      <w:pPr>
        <w:pStyle w:val="ListParagraph"/>
        <w:ind w:left="360"/>
        <w:jc w:val="both"/>
        <w:rPr>
          <w:lang w:val="en-GB"/>
        </w:rPr>
      </w:pPr>
    </w:p>
    <w:p w:rsidR="00DC29CD" w:rsidRPr="003832E8" w:rsidRDefault="00B06978" w:rsidP="00B06978">
      <w:pPr>
        <w:pStyle w:val="ListParagraph"/>
        <w:ind w:left="360"/>
        <w:jc w:val="both"/>
        <w:rPr>
          <w:lang w:val="en-GB"/>
        </w:rPr>
      </w:pPr>
      <w:r w:rsidRPr="003832E8">
        <w:rPr>
          <w:lang w:val="en-GB"/>
        </w:rPr>
        <w:t>The old P</w:t>
      </w:r>
      <w:r w:rsidR="00D618F9">
        <w:rPr>
          <w:lang w:val="en-GB"/>
        </w:rPr>
        <w:t xml:space="preserve">ackage </w:t>
      </w:r>
      <w:r w:rsidRPr="003832E8">
        <w:rPr>
          <w:lang w:val="en-GB"/>
        </w:rPr>
        <w:t>T</w:t>
      </w:r>
      <w:r w:rsidR="00D618F9">
        <w:rPr>
          <w:lang w:val="en-GB"/>
        </w:rPr>
        <w:t xml:space="preserve">ravel </w:t>
      </w:r>
      <w:r w:rsidRPr="003832E8">
        <w:rPr>
          <w:lang w:val="en-GB"/>
        </w:rPr>
        <w:t>D</w:t>
      </w:r>
      <w:r w:rsidR="00D618F9">
        <w:rPr>
          <w:lang w:val="en-GB"/>
        </w:rPr>
        <w:t>irective</w:t>
      </w:r>
      <w:r w:rsidR="00EC573E">
        <w:rPr>
          <w:rStyle w:val="FootnoteReference"/>
          <w:lang w:val="en-GB"/>
        </w:rPr>
        <w:footnoteReference w:id="9"/>
      </w:r>
      <w:r w:rsidRPr="003832E8">
        <w:rPr>
          <w:lang w:val="en-GB"/>
        </w:rPr>
        <w:t xml:space="preserve"> was a rare bird in the world of European consumer law, with regard to the basic notion of the </w:t>
      </w:r>
      <w:r w:rsidR="005C207A" w:rsidRPr="003832E8">
        <w:rPr>
          <w:lang w:val="en-GB"/>
        </w:rPr>
        <w:t>“</w:t>
      </w:r>
      <w:r w:rsidRPr="003832E8">
        <w:rPr>
          <w:lang w:val="en-GB"/>
        </w:rPr>
        <w:t>consumer</w:t>
      </w:r>
      <w:r w:rsidR="005C207A" w:rsidRPr="003832E8">
        <w:rPr>
          <w:lang w:val="en-GB"/>
        </w:rPr>
        <w:t>”</w:t>
      </w:r>
      <w:r w:rsidRPr="003832E8">
        <w:rPr>
          <w:lang w:val="en-GB"/>
        </w:rPr>
        <w:t xml:space="preserve"> it adopted. Its Article 2(4) defined a consumer as </w:t>
      </w:r>
      <w:r w:rsidR="005C207A" w:rsidRPr="003832E8">
        <w:rPr>
          <w:lang w:val="en-GB"/>
        </w:rPr>
        <w:t>“</w:t>
      </w:r>
      <w:r w:rsidRPr="003832E8">
        <w:rPr>
          <w:lang w:val="en-GB"/>
        </w:rPr>
        <w:t>a person who takes or agrees to take the package</w:t>
      </w:r>
      <w:r w:rsidR="005C207A" w:rsidRPr="003832E8">
        <w:rPr>
          <w:lang w:val="en-GB"/>
        </w:rPr>
        <w:t>”</w:t>
      </w:r>
      <w:r w:rsidRPr="003832E8">
        <w:rPr>
          <w:lang w:val="en-GB"/>
        </w:rPr>
        <w:t xml:space="preserve">. A person would fall within this definition only on the grounds of the type of contract, </w:t>
      </w:r>
      <w:r w:rsidR="00F037AE">
        <w:rPr>
          <w:lang w:val="en-GB"/>
        </w:rPr>
        <w:t xml:space="preserve">he or </w:t>
      </w:r>
      <w:r w:rsidRPr="003832E8">
        <w:rPr>
          <w:lang w:val="en-GB"/>
        </w:rPr>
        <w:t xml:space="preserve">she concluded. This is contrary to the trend used in other European consumer law instruments, which define a </w:t>
      </w:r>
      <w:r w:rsidR="005C207A" w:rsidRPr="003832E8">
        <w:rPr>
          <w:lang w:val="en-GB"/>
        </w:rPr>
        <w:t>“</w:t>
      </w:r>
      <w:r w:rsidRPr="003832E8">
        <w:rPr>
          <w:lang w:val="en-GB"/>
        </w:rPr>
        <w:t>consumer</w:t>
      </w:r>
      <w:r w:rsidR="005C207A" w:rsidRPr="003832E8">
        <w:rPr>
          <w:lang w:val="en-GB"/>
        </w:rPr>
        <w:t>”</w:t>
      </w:r>
      <w:r w:rsidRPr="003832E8">
        <w:rPr>
          <w:lang w:val="en-GB"/>
        </w:rPr>
        <w:t xml:space="preserve"> mainly as </w:t>
      </w:r>
      <w:r w:rsidR="005C207A" w:rsidRPr="003832E8">
        <w:rPr>
          <w:lang w:val="en-GB"/>
        </w:rPr>
        <w:t>“</w:t>
      </w:r>
      <w:r w:rsidRPr="003832E8">
        <w:rPr>
          <w:lang w:val="en-GB"/>
        </w:rPr>
        <w:t>any natural person who … is acting for purposes which are outside his trade, business, craft or profession</w:t>
      </w:r>
      <w:r w:rsidR="005C207A" w:rsidRPr="003832E8">
        <w:rPr>
          <w:lang w:val="en-GB"/>
        </w:rPr>
        <w:t>”</w:t>
      </w:r>
      <w:r w:rsidRPr="003832E8">
        <w:rPr>
          <w:rStyle w:val="FootnoteReference"/>
          <w:lang w:val="en-GB"/>
        </w:rPr>
        <w:footnoteReference w:id="10"/>
      </w:r>
      <w:r w:rsidRPr="003832E8">
        <w:rPr>
          <w:lang w:val="en-GB"/>
        </w:rPr>
        <w:t>.</w:t>
      </w:r>
      <w:r w:rsidR="00DC29CD" w:rsidRPr="003832E8">
        <w:rPr>
          <w:lang w:val="en-GB"/>
        </w:rPr>
        <w:t xml:space="preserve"> Thus, in other areas of European consumer law the classification occur</w:t>
      </w:r>
      <w:r w:rsidR="0002127B">
        <w:rPr>
          <w:lang w:val="en-GB"/>
        </w:rPr>
        <w:t>s</w:t>
      </w:r>
      <w:r w:rsidR="00DC29CD" w:rsidRPr="003832E8">
        <w:rPr>
          <w:lang w:val="en-GB"/>
        </w:rPr>
        <w:t xml:space="preserve"> on the basis of the transaction’s purpose, personal against professional, rather than its type.</w:t>
      </w:r>
      <w:r w:rsidR="000F7B9F" w:rsidRPr="003832E8">
        <w:rPr>
          <w:lang w:val="en-GB"/>
        </w:rPr>
        <w:t xml:space="preserve"> </w:t>
      </w:r>
      <w:r w:rsidR="00D618F9">
        <w:rPr>
          <w:lang w:val="en-GB"/>
        </w:rPr>
        <w:t xml:space="preserve">When </w:t>
      </w:r>
      <w:r w:rsidR="000F7B9F" w:rsidRPr="003832E8">
        <w:rPr>
          <w:lang w:val="en-GB"/>
        </w:rPr>
        <w:t>the notion of a “consumer”</w:t>
      </w:r>
      <w:r w:rsidR="00D618F9">
        <w:rPr>
          <w:lang w:val="en-GB"/>
        </w:rPr>
        <w:t xml:space="preserve"> uses the transaction’s purpose as its denominator and it is interpreted narrowly</w:t>
      </w:r>
      <w:r w:rsidR="000F7B9F" w:rsidRPr="003832E8">
        <w:rPr>
          <w:lang w:val="en-GB"/>
        </w:rPr>
        <w:t xml:space="preserve">, </w:t>
      </w:r>
      <w:r w:rsidR="00D618F9">
        <w:rPr>
          <w:lang w:val="en-GB"/>
        </w:rPr>
        <w:t xml:space="preserve">also </w:t>
      </w:r>
      <w:r w:rsidR="000F7B9F" w:rsidRPr="003832E8">
        <w:rPr>
          <w:lang w:val="en-GB"/>
        </w:rPr>
        <w:t xml:space="preserve">persons concluding mixed contracts, partially for personal and partially for professional </w:t>
      </w:r>
      <w:r w:rsidR="000F7B9F" w:rsidRPr="003832E8">
        <w:rPr>
          <w:lang w:val="en-GB"/>
        </w:rPr>
        <w:lastRenderedPageBreak/>
        <w:t>purposes, fall outside the scope of consumer protection</w:t>
      </w:r>
      <w:r w:rsidR="00D622AA" w:rsidRPr="003832E8">
        <w:rPr>
          <w:rStyle w:val="FootnoteReference"/>
          <w:lang w:val="en-GB"/>
        </w:rPr>
        <w:footnoteReference w:id="11"/>
      </w:r>
      <w:r w:rsidR="000F7B9F" w:rsidRPr="003832E8">
        <w:rPr>
          <w:lang w:val="en-GB"/>
        </w:rPr>
        <w:t xml:space="preserve">. </w:t>
      </w:r>
      <w:r w:rsidR="00D618F9">
        <w:rPr>
          <w:lang w:val="en-GB"/>
        </w:rPr>
        <w:t>However, as</w:t>
      </w:r>
      <w:r w:rsidR="000F7B9F" w:rsidRPr="003832E8">
        <w:rPr>
          <w:lang w:val="en-GB"/>
        </w:rPr>
        <w:t xml:space="preserve"> a result of </w:t>
      </w:r>
      <w:r w:rsidR="00DC29CD" w:rsidRPr="003832E8">
        <w:rPr>
          <w:lang w:val="en-GB"/>
        </w:rPr>
        <w:t>the different framing of the notion of the “consumer” in the old PTD, its rules provided protection to persons concluding package travel contracts also for professional purposes</w:t>
      </w:r>
      <w:r w:rsidR="00B84166" w:rsidRPr="003832E8">
        <w:rPr>
          <w:lang w:val="en-GB"/>
        </w:rPr>
        <w:t>, as well as those who combined travel for business and for pleasure</w:t>
      </w:r>
      <w:r w:rsidR="00DC29CD" w:rsidRPr="003832E8">
        <w:rPr>
          <w:rStyle w:val="FootnoteReference"/>
          <w:lang w:val="en-GB"/>
        </w:rPr>
        <w:footnoteReference w:id="12"/>
      </w:r>
      <w:r w:rsidR="00DC29CD" w:rsidRPr="003832E8">
        <w:rPr>
          <w:lang w:val="en-GB"/>
        </w:rPr>
        <w:t>.</w:t>
      </w:r>
      <w:r w:rsidR="00E5050A" w:rsidRPr="003832E8">
        <w:rPr>
          <w:lang w:val="en-GB"/>
        </w:rPr>
        <w:t xml:space="preserve"> </w:t>
      </w:r>
      <w:r w:rsidR="0085711E" w:rsidRPr="003832E8">
        <w:rPr>
          <w:lang w:val="en-GB"/>
        </w:rPr>
        <w:t xml:space="preserve">This </w:t>
      </w:r>
      <w:r w:rsidR="00E5050A" w:rsidRPr="003832E8">
        <w:rPr>
          <w:lang w:val="en-GB"/>
        </w:rPr>
        <w:t xml:space="preserve">broad scope of protection has been upheld in </w:t>
      </w:r>
      <w:r w:rsidR="00182E9D" w:rsidRPr="003832E8">
        <w:rPr>
          <w:lang w:val="en-GB"/>
        </w:rPr>
        <w:t xml:space="preserve">the </w:t>
      </w:r>
      <w:r w:rsidR="00D622AA" w:rsidRPr="003832E8">
        <w:rPr>
          <w:lang w:val="en-GB"/>
        </w:rPr>
        <w:t>Directive 2015/2302</w:t>
      </w:r>
      <w:r w:rsidR="00E5050A" w:rsidRPr="003832E8">
        <w:rPr>
          <w:lang w:val="en-GB"/>
        </w:rPr>
        <w:t xml:space="preserve">, but, in order to avoid </w:t>
      </w:r>
      <w:r w:rsidR="00FA6169" w:rsidRPr="003832E8">
        <w:rPr>
          <w:lang w:val="en-GB"/>
        </w:rPr>
        <w:t xml:space="preserve">further confusion and </w:t>
      </w:r>
      <w:r w:rsidR="00E5050A" w:rsidRPr="003832E8">
        <w:rPr>
          <w:lang w:val="en-GB"/>
        </w:rPr>
        <w:t xml:space="preserve">legal uncertainty about the scope of the notion of the “consumer”, the European legislator introduced </w:t>
      </w:r>
      <w:r w:rsidR="0002127B">
        <w:rPr>
          <w:lang w:val="en-GB"/>
        </w:rPr>
        <w:t xml:space="preserve">the </w:t>
      </w:r>
      <w:r w:rsidR="00E5050A" w:rsidRPr="003832E8">
        <w:rPr>
          <w:lang w:val="en-GB"/>
        </w:rPr>
        <w:t>new notion of a “trave</w:t>
      </w:r>
      <w:r w:rsidR="0085711E" w:rsidRPr="003832E8">
        <w:rPr>
          <w:lang w:val="en-GB"/>
        </w:rPr>
        <w:t>l</w:t>
      </w:r>
      <w:r w:rsidR="00E5050A" w:rsidRPr="003832E8">
        <w:rPr>
          <w:lang w:val="en-GB"/>
        </w:rPr>
        <w:t>ler” in its Article 3</w:t>
      </w:r>
      <w:r w:rsidR="00FA6169" w:rsidRPr="003832E8">
        <w:rPr>
          <w:lang w:val="en-GB"/>
        </w:rPr>
        <w:t xml:space="preserve"> (</w:t>
      </w:r>
      <w:r w:rsidR="00E5050A" w:rsidRPr="003832E8">
        <w:rPr>
          <w:lang w:val="en-GB"/>
        </w:rPr>
        <w:t>6</w:t>
      </w:r>
      <w:r w:rsidR="00FA6169" w:rsidRPr="003832E8">
        <w:rPr>
          <w:lang w:val="en-GB"/>
        </w:rPr>
        <w:t>)</w:t>
      </w:r>
      <w:r w:rsidR="00FF05D8" w:rsidRPr="003832E8">
        <w:rPr>
          <w:rStyle w:val="FootnoteReference"/>
          <w:lang w:val="en-GB"/>
        </w:rPr>
        <w:footnoteReference w:id="13"/>
      </w:r>
      <w:r w:rsidR="00E5050A" w:rsidRPr="003832E8">
        <w:rPr>
          <w:lang w:val="en-GB"/>
        </w:rPr>
        <w:t>.</w:t>
      </w:r>
    </w:p>
    <w:p w:rsidR="0085711E" w:rsidRPr="003832E8" w:rsidRDefault="0085711E" w:rsidP="00B06978">
      <w:pPr>
        <w:pStyle w:val="ListParagraph"/>
        <w:ind w:left="360"/>
        <w:jc w:val="both"/>
        <w:rPr>
          <w:lang w:val="en-GB"/>
        </w:rPr>
      </w:pPr>
    </w:p>
    <w:p w:rsidR="00772FCF" w:rsidRPr="003832E8" w:rsidRDefault="0085711E" w:rsidP="00B06978">
      <w:pPr>
        <w:pStyle w:val="ListParagraph"/>
        <w:ind w:left="360"/>
        <w:jc w:val="both"/>
        <w:rPr>
          <w:lang w:val="en-GB"/>
        </w:rPr>
      </w:pPr>
      <w:r w:rsidRPr="003832E8">
        <w:rPr>
          <w:lang w:val="en-GB"/>
        </w:rPr>
        <w:t xml:space="preserve">Since </w:t>
      </w:r>
      <w:r w:rsidR="00182E9D" w:rsidRPr="003832E8">
        <w:rPr>
          <w:lang w:val="en-GB"/>
        </w:rPr>
        <w:t>Directive 2015/2302</w:t>
      </w:r>
      <w:r w:rsidRPr="003832E8">
        <w:rPr>
          <w:lang w:val="en-GB"/>
        </w:rPr>
        <w:t xml:space="preserve"> </w:t>
      </w:r>
      <w:r w:rsidR="00CE2879" w:rsidRPr="003832E8">
        <w:rPr>
          <w:lang w:val="en-GB"/>
        </w:rPr>
        <w:t xml:space="preserve">determines </w:t>
      </w:r>
      <w:r w:rsidR="003832E8" w:rsidRPr="003832E8">
        <w:rPr>
          <w:lang w:val="en-GB"/>
        </w:rPr>
        <w:t>travellers’</w:t>
      </w:r>
      <w:r w:rsidR="00CE2879" w:rsidRPr="003832E8">
        <w:rPr>
          <w:lang w:val="en-GB"/>
        </w:rPr>
        <w:t xml:space="preserve"> and not consumers’ rights</w:t>
      </w:r>
      <w:r w:rsidRPr="003832E8">
        <w:rPr>
          <w:lang w:val="en-GB"/>
        </w:rPr>
        <w:t xml:space="preserve">, we could wonder whether </w:t>
      </w:r>
      <w:r w:rsidR="00F037AE">
        <w:rPr>
          <w:lang w:val="en-GB"/>
        </w:rPr>
        <w:t xml:space="preserve">this Directive </w:t>
      </w:r>
      <w:r w:rsidRPr="003832E8">
        <w:rPr>
          <w:lang w:val="en-GB"/>
        </w:rPr>
        <w:t>still fall</w:t>
      </w:r>
      <w:r w:rsidR="00CE2879" w:rsidRPr="003832E8">
        <w:rPr>
          <w:lang w:val="en-GB"/>
        </w:rPr>
        <w:t>s</w:t>
      </w:r>
      <w:r w:rsidRPr="003832E8">
        <w:rPr>
          <w:lang w:val="en-GB"/>
        </w:rPr>
        <w:t xml:space="preserve"> within the scope of the </w:t>
      </w:r>
      <w:r w:rsidRPr="003832E8">
        <w:rPr>
          <w:i/>
          <w:lang w:val="en-GB"/>
        </w:rPr>
        <w:t>consumer acquis</w:t>
      </w:r>
      <w:r w:rsidRPr="003832E8">
        <w:rPr>
          <w:lang w:val="en-GB"/>
        </w:rPr>
        <w:t xml:space="preserve">. For the further analysis of the position of a vulnerable </w:t>
      </w:r>
      <w:r w:rsidR="003832E8" w:rsidRPr="003832E8">
        <w:rPr>
          <w:lang w:val="en-GB"/>
        </w:rPr>
        <w:t>traveller</w:t>
      </w:r>
      <w:r w:rsidRPr="003832E8">
        <w:rPr>
          <w:lang w:val="en-GB"/>
        </w:rPr>
        <w:t xml:space="preserve">, it is crucial to indicate that the European legislator seems to think so. Recital 3 of the </w:t>
      </w:r>
      <w:r w:rsidR="00182E9D" w:rsidRPr="003832E8">
        <w:rPr>
          <w:lang w:val="en-GB"/>
        </w:rPr>
        <w:t>Directive 2015/2302</w:t>
      </w:r>
      <w:r w:rsidRPr="003832E8">
        <w:rPr>
          <w:lang w:val="en-GB"/>
        </w:rPr>
        <w:t xml:space="preserve"> refers to the legal basis used to justify the adoption of this new European law – Article 114 TFEU</w:t>
      </w:r>
      <w:r w:rsidR="00CB2535" w:rsidRPr="003832E8">
        <w:rPr>
          <w:rStyle w:val="FootnoteReference"/>
          <w:lang w:val="en-GB"/>
        </w:rPr>
        <w:footnoteReference w:id="14"/>
      </w:r>
      <w:r w:rsidRPr="003832E8">
        <w:rPr>
          <w:lang w:val="en-GB"/>
        </w:rPr>
        <w:t xml:space="preserve">. </w:t>
      </w:r>
      <w:r w:rsidR="00752A59">
        <w:rPr>
          <w:lang w:val="en-GB"/>
        </w:rPr>
        <w:t>Through</w:t>
      </w:r>
      <w:r w:rsidR="00017739" w:rsidRPr="003832E8">
        <w:rPr>
          <w:lang w:val="en-GB"/>
        </w:rPr>
        <w:t xml:space="preserve"> the adoption of these new rules, the European legislator still, therefore, aims to ascertain a high level of consumer protection. Through further </w:t>
      </w:r>
      <w:r w:rsidR="00F037AE">
        <w:rPr>
          <w:lang w:val="en-GB"/>
        </w:rPr>
        <w:t xml:space="preserve">harmonisation of </w:t>
      </w:r>
      <w:r w:rsidR="00017739" w:rsidRPr="003832E8">
        <w:rPr>
          <w:lang w:val="en-GB"/>
        </w:rPr>
        <w:t xml:space="preserve">the travel sector, the European legislator claims to decrease legal fragmentation, which stands in the way of conducting cross-border business and thus is “limiting consumers’ choice” (Recital 4). </w:t>
      </w:r>
      <w:r w:rsidR="00CE2879" w:rsidRPr="003832E8">
        <w:rPr>
          <w:lang w:val="en-GB"/>
        </w:rPr>
        <w:t>This</w:t>
      </w:r>
      <w:r w:rsidR="00017739" w:rsidRPr="003832E8">
        <w:rPr>
          <w:lang w:val="en-GB"/>
        </w:rPr>
        <w:t>, in turn, could lead to the creation of “a real consumer internal market in that area, striking the right balance between a high level of consumer protection and the competitiveness of businesses”</w:t>
      </w:r>
      <w:r w:rsidR="001558FA" w:rsidRPr="003832E8">
        <w:rPr>
          <w:lang w:val="en-GB"/>
        </w:rPr>
        <w:t>.</w:t>
      </w:r>
      <w:r w:rsidR="00772FCF" w:rsidRPr="003832E8">
        <w:rPr>
          <w:lang w:val="en-GB"/>
        </w:rPr>
        <w:t xml:space="preserve"> </w:t>
      </w:r>
      <w:r w:rsidR="000F7B9F" w:rsidRPr="003832E8">
        <w:rPr>
          <w:lang w:val="en-GB"/>
        </w:rPr>
        <w:t>A careful analysis of the justifications used by the European legislator</w:t>
      </w:r>
      <w:r w:rsidR="00CE2879" w:rsidRPr="003832E8">
        <w:rPr>
          <w:lang w:val="en-GB"/>
        </w:rPr>
        <w:t xml:space="preserve"> </w:t>
      </w:r>
      <w:r w:rsidR="000F7B9F" w:rsidRPr="003832E8">
        <w:rPr>
          <w:lang w:val="en-GB"/>
        </w:rPr>
        <w:t xml:space="preserve">in the recitals of the </w:t>
      </w:r>
      <w:r w:rsidR="00CB2535" w:rsidRPr="003832E8">
        <w:rPr>
          <w:lang w:val="en-GB"/>
        </w:rPr>
        <w:t xml:space="preserve">Directive 2015/2302 </w:t>
      </w:r>
      <w:r w:rsidR="000F7B9F" w:rsidRPr="003832E8">
        <w:rPr>
          <w:lang w:val="en-GB"/>
        </w:rPr>
        <w:t xml:space="preserve">clearly shows that </w:t>
      </w:r>
      <w:r w:rsidR="00CE2879" w:rsidRPr="003832E8">
        <w:rPr>
          <w:lang w:val="en-GB"/>
        </w:rPr>
        <w:t xml:space="preserve">the change of the terminology does not </w:t>
      </w:r>
      <w:r w:rsidR="00772FCF" w:rsidRPr="003832E8">
        <w:rPr>
          <w:lang w:val="en-GB"/>
        </w:rPr>
        <w:t xml:space="preserve">indicate an intention to remove this instrument from the </w:t>
      </w:r>
      <w:r w:rsidR="00772FCF" w:rsidRPr="003832E8">
        <w:rPr>
          <w:i/>
          <w:lang w:val="en-GB"/>
        </w:rPr>
        <w:t xml:space="preserve">consumer acquis. </w:t>
      </w:r>
      <w:r w:rsidR="00CB2535" w:rsidRPr="003832E8">
        <w:rPr>
          <w:lang w:val="en-GB"/>
        </w:rPr>
        <w:t>It is rather, indeed</w:t>
      </w:r>
      <w:r w:rsidR="00C62F57">
        <w:rPr>
          <w:lang w:val="en-GB"/>
        </w:rPr>
        <w:t>,</w:t>
      </w:r>
      <w:r w:rsidR="00CB2535" w:rsidRPr="003832E8">
        <w:rPr>
          <w:lang w:val="en-GB"/>
        </w:rPr>
        <w:t xml:space="preserve"> a cosmetic change to prevent further reliance by proponents of the broad interpretation of the consumer</w:t>
      </w:r>
      <w:r w:rsidR="00752A59">
        <w:rPr>
          <w:lang w:val="en-GB"/>
        </w:rPr>
        <w:t>’s</w:t>
      </w:r>
      <w:r w:rsidR="00CB2535" w:rsidRPr="003832E8">
        <w:rPr>
          <w:lang w:val="en-GB"/>
        </w:rPr>
        <w:t xml:space="preserve"> notion on the definition </w:t>
      </w:r>
      <w:r w:rsidR="00C62F57">
        <w:rPr>
          <w:lang w:val="en-GB"/>
        </w:rPr>
        <w:t xml:space="preserve">provided </w:t>
      </w:r>
      <w:r w:rsidR="00CB2535" w:rsidRPr="003832E8">
        <w:rPr>
          <w:lang w:val="en-GB"/>
        </w:rPr>
        <w:t xml:space="preserve">in the </w:t>
      </w:r>
      <w:r w:rsidR="00752A59">
        <w:rPr>
          <w:lang w:val="en-GB"/>
        </w:rPr>
        <w:t>Directive 2015/2302</w:t>
      </w:r>
      <w:r w:rsidR="00CB2535" w:rsidRPr="003832E8">
        <w:rPr>
          <w:lang w:val="en-GB"/>
        </w:rPr>
        <w:t>.</w:t>
      </w:r>
    </w:p>
    <w:p w:rsidR="00772FCF" w:rsidRPr="003832E8" w:rsidRDefault="00772FCF" w:rsidP="00B06978">
      <w:pPr>
        <w:pStyle w:val="ListParagraph"/>
        <w:ind w:left="360"/>
        <w:jc w:val="both"/>
        <w:rPr>
          <w:lang w:val="en-GB"/>
        </w:rPr>
      </w:pPr>
    </w:p>
    <w:p w:rsidR="00C36EFA" w:rsidRPr="003832E8" w:rsidRDefault="00C36EFA" w:rsidP="00C36EFA">
      <w:pPr>
        <w:pStyle w:val="ListParagraph"/>
        <w:numPr>
          <w:ilvl w:val="0"/>
          <w:numId w:val="1"/>
        </w:numPr>
        <w:jc w:val="both"/>
        <w:rPr>
          <w:b/>
          <w:lang w:val="en-GB"/>
        </w:rPr>
      </w:pPr>
      <w:r w:rsidRPr="003832E8">
        <w:rPr>
          <w:b/>
          <w:lang w:val="en-GB"/>
        </w:rPr>
        <w:t>Average consumers</w:t>
      </w:r>
      <w:r w:rsidR="00F037AE">
        <w:rPr>
          <w:b/>
          <w:lang w:val="en-GB"/>
        </w:rPr>
        <w:t xml:space="preserve"> &amp; travellers</w:t>
      </w:r>
    </w:p>
    <w:p w:rsidR="00AC02CF" w:rsidRPr="003832E8" w:rsidRDefault="00AC02CF" w:rsidP="00B06978">
      <w:pPr>
        <w:pStyle w:val="ListParagraph"/>
        <w:ind w:left="360"/>
        <w:jc w:val="both"/>
        <w:rPr>
          <w:lang w:val="en-GB"/>
        </w:rPr>
      </w:pPr>
    </w:p>
    <w:p w:rsidR="00BA0E16" w:rsidRDefault="00292FBA" w:rsidP="00B06978">
      <w:pPr>
        <w:pStyle w:val="ListParagraph"/>
        <w:ind w:left="360"/>
        <w:jc w:val="both"/>
        <w:rPr>
          <w:lang w:val="en-GB"/>
        </w:rPr>
      </w:pPr>
      <w:r w:rsidRPr="003832E8">
        <w:rPr>
          <w:lang w:val="en-GB"/>
        </w:rPr>
        <w:t>R</w:t>
      </w:r>
      <w:r w:rsidR="00772FCF" w:rsidRPr="003832E8">
        <w:rPr>
          <w:lang w:val="en-GB"/>
        </w:rPr>
        <w:t xml:space="preserve">ecent developments in European consumer law show the increased importance of the benchmark of an </w:t>
      </w:r>
      <w:r w:rsidR="002601D8" w:rsidRPr="003832E8">
        <w:rPr>
          <w:lang w:val="en-GB"/>
        </w:rPr>
        <w:t>“</w:t>
      </w:r>
      <w:r w:rsidR="00772FCF" w:rsidRPr="003832E8">
        <w:rPr>
          <w:lang w:val="en-GB"/>
        </w:rPr>
        <w:t>average consumer</w:t>
      </w:r>
      <w:r w:rsidR="002601D8" w:rsidRPr="003832E8">
        <w:rPr>
          <w:lang w:val="en-GB"/>
        </w:rPr>
        <w:t>”</w:t>
      </w:r>
      <w:r w:rsidR="00772FCF" w:rsidRPr="003832E8">
        <w:rPr>
          <w:lang w:val="en-GB"/>
        </w:rPr>
        <w:t xml:space="preserve"> that courts use to assess when consumer protection should be granted to individuals</w:t>
      </w:r>
      <w:r w:rsidR="00772FCF" w:rsidRPr="003832E8">
        <w:rPr>
          <w:rStyle w:val="FootnoteReference"/>
          <w:lang w:val="en-GB"/>
        </w:rPr>
        <w:footnoteReference w:id="15"/>
      </w:r>
      <w:r w:rsidR="00772FCF" w:rsidRPr="003832E8">
        <w:rPr>
          <w:lang w:val="en-GB"/>
        </w:rPr>
        <w:t xml:space="preserve">. </w:t>
      </w:r>
      <w:r w:rsidR="002601D8" w:rsidRPr="003832E8">
        <w:rPr>
          <w:lang w:val="en-GB"/>
        </w:rPr>
        <w:t>This benchmark</w:t>
      </w:r>
      <w:r w:rsidRPr="003832E8">
        <w:rPr>
          <w:lang w:val="en-GB"/>
        </w:rPr>
        <w:t xml:space="preserve"> has, so far, only been mentioned by the European legislator in one instrument of European consumer law, i.e., the Unfair Commercial Practices Directive</w:t>
      </w:r>
      <w:r w:rsidR="00500816" w:rsidRPr="003832E8">
        <w:rPr>
          <w:lang w:val="en-GB"/>
        </w:rPr>
        <w:t xml:space="preserve"> (hereafter, the “UCPD”)</w:t>
      </w:r>
      <w:r w:rsidRPr="003832E8">
        <w:rPr>
          <w:rStyle w:val="FootnoteReference"/>
          <w:lang w:val="en-GB"/>
        </w:rPr>
        <w:footnoteReference w:id="16"/>
      </w:r>
      <w:r w:rsidRPr="003832E8">
        <w:rPr>
          <w:lang w:val="en-GB"/>
        </w:rPr>
        <w:t xml:space="preserve">. The </w:t>
      </w:r>
      <w:r w:rsidR="00E63C9B">
        <w:rPr>
          <w:lang w:val="en-GB"/>
        </w:rPr>
        <w:t>CJEU</w:t>
      </w:r>
      <w:r w:rsidRPr="003832E8">
        <w:rPr>
          <w:lang w:val="en-GB"/>
        </w:rPr>
        <w:t xml:space="preserve"> has, however, </w:t>
      </w:r>
      <w:r w:rsidR="003E1E6B" w:rsidRPr="003832E8">
        <w:rPr>
          <w:lang w:val="en-GB"/>
        </w:rPr>
        <w:t>also prior to the implementation of the UCPD</w:t>
      </w:r>
      <w:r w:rsidRPr="003832E8">
        <w:rPr>
          <w:lang w:val="en-GB"/>
        </w:rPr>
        <w:t xml:space="preserve"> used this benchmark in its case law, to determine</w:t>
      </w:r>
      <w:r w:rsidR="0040609B" w:rsidRPr="003832E8">
        <w:rPr>
          <w:lang w:val="en-GB"/>
        </w:rPr>
        <w:t xml:space="preserve"> whether a </w:t>
      </w:r>
      <w:r w:rsidR="0040609B" w:rsidRPr="003832E8">
        <w:rPr>
          <w:lang w:val="en-GB"/>
        </w:rPr>
        <w:lastRenderedPageBreak/>
        <w:t>consumer could be misled by a given commercial practice</w:t>
      </w:r>
      <w:r w:rsidRPr="003832E8">
        <w:rPr>
          <w:rStyle w:val="FootnoteReference"/>
          <w:lang w:val="en-GB"/>
        </w:rPr>
        <w:footnoteReference w:id="17"/>
      </w:r>
      <w:r w:rsidR="0040609B" w:rsidRPr="003832E8">
        <w:rPr>
          <w:lang w:val="en-GB"/>
        </w:rPr>
        <w:t>, as well as</w:t>
      </w:r>
      <w:r w:rsidR="00142003" w:rsidRPr="003832E8">
        <w:rPr>
          <w:lang w:val="en-GB"/>
        </w:rPr>
        <w:t xml:space="preserve"> to evaluate </w:t>
      </w:r>
      <w:r w:rsidR="0040609B" w:rsidRPr="003832E8">
        <w:rPr>
          <w:lang w:val="en-GB"/>
        </w:rPr>
        <w:t>the likelihood of confusion in trademark law</w:t>
      </w:r>
      <w:r w:rsidR="00142003" w:rsidRPr="003832E8">
        <w:rPr>
          <w:rStyle w:val="FootnoteReference"/>
          <w:lang w:val="en-GB"/>
        </w:rPr>
        <w:footnoteReference w:id="18"/>
      </w:r>
      <w:r w:rsidRPr="003832E8">
        <w:rPr>
          <w:lang w:val="en-GB"/>
        </w:rPr>
        <w:t xml:space="preserve">. </w:t>
      </w:r>
    </w:p>
    <w:p w:rsidR="00BA0E16" w:rsidRDefault="00BA0E16" w:rsidP="00B06978">
      <w:pPr>
        <w:pStyle w:val="ListParagraph"/>
        <w:ind w:left="360"/>
        <w:jc w:val="both"/>
        <w:rPr>
          <w:lang w:val="en-GB"/>
        </w:rPr>
      </w:pPr>
    </w:p>
    <w:p w:rsidR="00CE2879" w:rsidRPr="003832E8" w:rsidRDefault="00292FBA" w:rsidP="00B06978">
      <w:pPr>
        <w:pStyle w:val="ListParagraph"/>
        <w:ind w:left="360"/>
        <w:jc w:val="both"/>
        <w:rPr>
          <w:lang w:val="en-GB"/>
        </w:rPr>
      </w:pPr>
      <w:r w:rsidRPr="003832E8">
        <w:rPr>
          <w:lang w:val="en-GB"/>
        </w:rPr>
        <w:t xml:space="preserve">The </w:t>
      </w:r>
      <w:r w:rsidR="00E63C9B">
        <w:rPr>
          <w:lang w:val="en-GB"/>
        </w:rPr>
        <w:t>CJEU</w:t>
      </w:r>
      <w:r w:rsidRPr="003832E8">
        <w:rPr>
          <w:lang w:val="en-GB"/>
        </w:rPr>
        <w:t xml:space="preserve"> </w:t>
      </w:r>
      <w:r w:rsidR="0002127B">
        <w:rPr>
          <w:lang w:val="en-GB"/>
        </w:rPr>
        <w:t>assumes that</w:t>
      </w:r>
      <w:r w:rsidRPr="003832E8">
        <w:rPr>
          <w:lang w:val="en-GB"/>
        </w:rPr>
        <w:t xml:space="preserve"> an average consumer </w:t>
      </w:r>
      <w:r w:rsidR="0002127B">
        <w:rPr>
          <w:lang w:val="en-GB"/>
        </w:rPr>
        <w:t>is</w:t>
      </w:r>
      <w:r w:rsidRPr="003832E8">
        <w:rPr>
          <w:lang w:val="en-GB"/>
        </w:rPr>
        <w:t xml:space="preserve"> “reasonably </w:t>
      </w:r>
      <w:r w:rsidR="001D09B0" w:rsidRPr="003832E8">
        <w:rPr>
          <w:lang w:val="en-GB"/>
        </w:rPr>
        <w:t xml:space="preserve">well informed and reasonably </w:t>
      </w:r>
      <w:r w:rsidRPr="003832E8">
        <w:rPr>
          <w:lang w:val="en-GB"/>
        </w:rPr>
        <w:t>observant and circumspect”</w:t>
      </w:r>
      <w:r w:rsidR="0054516D" w:rsidRPr="003832E8">
        <w:rPr>
          <w:rStyle w:val="FootnoteReference"/>
          <w:lang w:val="en-GB"/>
        </w:rPr>
        <w:footnoteReference w:id="19"/>
      </w:r>
      <w:r w:rsidRPr="003832E8">
        <w:rPr>
          <w:lang w:val="en-GB"/>
        </w:rPr>
        <w:t xml:space="preserve">. </w:t>
      </w:r>
      <w:r w:rsidR="00596A7D">
        <w:rPr>
          <w:lang w:val="en-GB"/>
        </w:rPr>
        <w:t>A</w:t>
      </w:r>
      <w:r w:rsidR="003E1E6B" w:rsidRPr="003832E8">
        <w:rPr>
          <w:lang w:val="en-GB"/>
        </w:rPr>
        <w:t>verage consumer</w:t>
      </w:r>
      <w:r w:rsidR="00596A7D">
        <w:rPr>
          <w:lang w:val="en-GB"/>
        </w:rPr>
        <w:t>s</w:t>
      </w:r>
      <w:r w:rsidR="003E1E6B" w:rsidRPr="003832E8">
        <w:rPr>
          <w:lang w:val="en-GB"/>
        </w:rPr>
        <w:t xml:space="preserve"> should thus read (pre-</w:t>
      </w:r>
      <w:proofErr w:type="gramStart"/>
      <w:r w:rsidR="003E1E6B" w:rsidRPr="003832E8">
        <w:rPr>
          <w:lang w:val="en-GB"/>
        </w:rPr>
        <w:t>)contractual</w:t>
      </w:r>
      <w:proofErr w:type="gramEnd"/>
      <w:r w:rsidR="003E1E6B" w:rsidRPr="003832E8">
        <w:rPr>
          <w:lang w:val="en-GB"/>
        </w:rPr>
        <w:t xml:space="preserve"> information provided to </w:t>
      </w:r>
      <w:r w:rsidR="00596A7D">
        <w:rPr>
          <w:lang w:val="en-GB"/>
        </w:rPr>
        <w:t xml:space="preserve">them </w:t>
      </w:r>
      <w:r w:rsidR="003E1E6B" w:rsidRPr="003832E8">
        <w:rPr>
          <w:lang w:val="en-GB"/>
        </w:rPr>
        <w:t>and understand it, as long as it is transparent, and would not easily be misled</w:t>
      </w:r>
      <w:r w:rsidR="00B961A2" w:rsidRPr="003832E8">
        <w:rPr>
          <w:rStyle w:val="FootnoteReference"/>
          <w:lang w:val="en-GB"/>
        </w:rPr>
        <w:footnoteReference w:id="20"/>
      </w:r>
      <w:r w:rsidR="003E1E6B" w:rsidRPr="003832E8">
        <w:rPr>
          <w:lang w:val="en-GB"/>
        </w:rPr>
        <w:t>.</w:t>
      </w:r>
      <w:r w:rsidR="00596A7D">
        <w:rPr>
          <w:lang w:val="en-GB"/>
        </w:rPr>
        <w:t xml:space="preserve"> The understanding </w:t>
      </w:r>
      <w:r w:rsidR="0002127B">
        <w:rPr>
          <w:lang w:val="en-GB"/>
        </w:rPr>
        <w:t xml:space="preserve">of this benchmark </w:t>
      </w:r>
      <w:r w:rsidR="00596A7D">
        <w:rPr>
          <w:lang w:val="en-GB"/>
        </w:rPr>
        <w:t xml:space="preserve">adopted by the </w:t>
      </w:r>
      <w:r w:rsidR="00E63C9B">
        <w:rPr>
          <w:lang w:val="en-GB"/>
        </w:rPr>
        <w:t>CJEU</w:t>
      </w:r>
      <w:r w:rsidR="00596A7D">
        <w:rPr>
          <w:lang w:val="en-GB"/>
        </w:rPr>
        <w:t xml:space="preserve">, excludes from the scope of consumer protection consumers who would either not pay attention to the terms provided to them or not take an effort to understand them. This interpretation may </w:t>
      </w:r>
      <w:r w:rsidR="00E63C9B">
        <w:rPr>
          <w:lang w:val="en-GB"/>
        </w:rPr>
        <w:t xml:space="preserve">thus </w:t>
      </w:r>
      <w:r w:rsidR="00596A7D">
        <w:rPr>
          <w:lang w:val="en-GB"/>
        </w:rPr>
        <w:t xml:space="preserve">leave many consumers </w:t>
      </w:r>
      <w:r w:rsidR="008E4100">
        <w:rPr>
          <w:lang w:val="en-GB"/>
        </w:rPr>
        <w:t>unprotected, since empirical research shows that most consumers nowadays either ignore disclosures</w:t>
      </w:r>
      <w:r w:rsidR="008E4100">
        <w:rPr>
          <w:rStyle w:val="FootnoteReference"/>
          <w:lang w:val="en-GB"/>
        </w:rPr>
        <w:footnoteReference w:id="21"/>
      </w:r>
      <w:r w:rsidR="008E4100">
        <w:rPr>
          <w:lang w:val="en-GB"/>
        </w:rPr>
        <w:t xml:space="preserve"> or do not understand them</w:t>
      </w:r>
      <w:r w:rsidR="008E4100">
        <w:rPr>
          <w:rStyle w:val="FootnoteReference"/>
          <w:lang w:val="en-GB"/>
        </w:rPr>
        <w:footnoteReference w:id="22"/>
      </w:r>
      <w:r w:rsidR="008E4100">
        <w:rPr>
          <w:lang w:val="en-GB"/>
        </w:rPr>
        <w:t>.</w:t>
      </w:r>
      <w:r w:rsidR="003E1E6B" w:rsidRPr="003832E8">
        <w:rPr>
          <w:lang w:val="en-GB"/>
        </w:rPr>
        <w:t xml:space="preserve"> </w:t>
      </w:r>
      <w:r w:rsidR="00BA0E16">
        <w:rPr>
          <w:lang w:val="en-GB"/>
        </w:rPr>
        <w:t>W</w:t>
      </w:r>
      <w:r w:rsidR="00A94410" w:rsidRPr="003832E8">
        <w:rPr>
          <w:lang w:val="en-GB"/>
        </w:rPr>
        <w:t>e should</w:t>
      </w:r>
      <w:r w:rsidR="00BA0E16">
        <w:rPr>
          <w:lang w:val="en-GB"/>
        </w:rPr>
        <w:t>, however,</w:t>
      </w:r>
      <w:r w:rsidR="00A94410" w:rsidRPr="003832E8">
        <w:rPr>
          <w:lang w:val="en-GB"/>
        </w:rPr>
        <w:t xml:space="preserve"> recall that </w:t>
      </w:r>
      <w:r w:rsidR="003E1E6B" w:rsidRPr="003832E8">
        <w:rPr>
          <w:lang w:val="en-GB"/>
        </w:rPr>
        <w:t>in the area of unfair commercial practices providing a high standard of consumer protection was only one of the European legislator’s aims</w:t>
      </w:r>
      <w:r w:rsidR="003E1E6B" w:rsidRPr="003832E8">
        <w:rPr>
          <w:rStyle w:val="FootnoteReference"/>
          <w:lang w:val="en-GB"/>
        </w:rPr>
        <w:footnoteReference w:id="23"/>
      </w:r>
      <w:r w:rsidR="003E1E6B" w:rsidRPr="003832E8">
        <w:rPr>
          <w:lang w:val="en-GB"/>
        </w:rPr>
        <w:t>. The other goal</w:t>
      </w:r>
      <w:r w:rsidR="00C36EFA" w:rsidRPr="003832E8">
        <w:rPr>
          <w:lang w:val="en-GB"/>
        </w:rPr>
        <w:t>s</w:t>
      </w:r>
      <w:r w:rsidR="003E1E6B" w:rsidRPr="003832E8">
        <w:rPr>
          <w:lang w:val="en-GB"/>
        </w:rPr>
        <w:t xml:space="preserve"> w</w:t>
      </w:r>
      <w:r w:rsidR="00C36EFA" w:rsidRPr="003832E8">
        <w:rPr>
          <w:lang w:val="en-GB"/>
        </w:rPr>
        <w:t>ere</w:t>
      </w:r>
      <w:r w:rsidR="003E1E6B" w:rsidRPr="003832E8">
        <w:rPr>
          <w:lang w:val="en-GB"/>
        </w:rPr>
        <w:t xml:space="preserve"> to ensure fair competition rules </w:t>
      </w:r>
      <w:r w:rsidR="00C36EFA" w:rsidRPr="003832E8">
        <w:rPr>
          <w:lang w:val="en-GB"/>
        </w:rPr>
        <w:t>i</w:t>
      </w:r>
      <w:r w:rsidR="003E1E6B" w:rsidRPr="003832E8">
        <w:rPr>
          <w:lang w:val="en-GB"/>
        </w:rPr>
        <w:t>n the internal market and to stimulate cross-border trade</w:t>
      </w:r>
      <w:r w:rsidR="003E1E6B" w:rsidRPr="003832E8">
        <w:rPr>
          <w:rStyle w:val="FootnoteReference"/>
          <w:lang w:val="en-GB"/>
        </w:rPr>
        <w:footnoteReference w:id="24"/>
      </w:r>
      <w:r w:rsidR="003E1E6B" w:rsidRPr="003832E8">
        <w:rPr>
          <w:lang w:val="en-GB"/>
        </w:rPr>
        <w:t>, which</w:t>
      </w:r>
      <w:r w:rsidR="00BA0E16">
        <w:rPr>
          <w:lang w:val="en-GB"/>
        </w:rPr>
        <w:t xml:space="preserve"> </w:t>
      </w:r>
      <w:r w:rsidR="00500816" w:rsidRPr="003832E8">
        <w:rPr>
          <w:lang w:val="en-GB"/>
        </w:rPr>
        <w:t>aims could justify the narrow delimitation of the notion of an average consumer</w:t>
      </w:r>
      <w:r w:rsidR="00E63C9B">
        <w:rPr>
          <w:lang w:val="en-GB"/>
        </w:rPr>
        <w:t xml:space="preserve"> and</w:t>
      </w:r>
      <w:r w:rsidR="00C3037F">
        <w:rPr>
          <w:lang w:val="en-GB"/>
        </w:rPr>
        <w:t>, consequently,</w:t>
      </w:r>
      <w:r w:rsidR="00E63C9B">
        <w:rPr>
          <w:lang w:val="en-GB"/>
        </w:rPr>
        <w:t xml:space="preserve"> of the scope of consumer protection</w:t>
      </w:r>
      <w:r w:rsidR="00500816" w:rsidRPr="003832E8">
        <w:rPr>
          <w:lang w:val="en-GB"/>
        </w:rPr>
        <w:t>.</w:t>
      </w:r>
    </w:p>
    <w:p w:rsidR="00500816" w:rsidRPr="003832E8" w:rsidRDefault="00500816" w:rsidP="00B06978">
      <w:pPr>
        <w:pStyle w:val="ListParagraph"/>
        <w:ind w:left="360"/>
        <w:jc w:val="both"/>
        <w:rPr>
          <w:lang w:val="en-GB"/>
        </w:rPr>
      </w:pPr>
    </w:p>
    <w:p w:rsidR="00131958" w:rsidRPr="00483554" w:rsidRDefault="00500816" w:rsidP="00B06978">
      <w:pPr>
        <w:pStyle w:val="ListParagraph"/>
        <w:ind w:left="360"/>
        <w:jc w:val="both"/>
        <w:rPr>
          <w:lang w:val="en-GB"/>
        </w:rPr>
      </w:pPr>
      <w:r w:rsidRPr="003832E8">
        <w:rPr>
          <w:lang w:val="en-GB"/>
        </w:rPr>
        <w:t xml:space="preserve">Interestingly, </w:t>
      </w:r>
      <w:r w:rsidR="00C36EFA" w:rsidRPr="003832E8">
        <w:rPr>
          <w:lang w:val="en-GB"/>
        </w:rPr>
        <w:t>as mentioned above</w:t>
      </w:r>
      <w:r w:rsidR="00C36EFA" w:rsidRPr="003832E8">
        <w:rPr>
          <w:rStyle w:val="FootnoteReference"/>
          <w:lang w:val="en-GB"/>
        </w:rPr>
        <w:footnoteReference w:id="25"/>
      </w:r>
      <w:r w:rsidR="00C36EFA" w:rsidRPr="003832E8">
        <w:rPr>
          <w:lang w:val="en-GB"/>
        </w:rPr>
        <w:t xml:space="preserve">, </w:t>
      </w:r>
      <w:r w:rsidRPr="003832E8">
        <w:rPr>
          <w:lang w:val="en-GB"/>
        </w:rPr>
        <w:t xml:space="preserve">the </w:t>
      </w:r>
      <w:r w:rsidR="00E63C9B">
        <w:rPr>
          <w:lang w:val="en-GB"/>
        </w:rPr>
        <w:t>CJEU</w:t>
      </w:r>
      <w:r w:rsidR="00483554">
        <w:rPr>
          <w:lang w:val="en-GB"/>
        </w:rPr>
        <w:t xml:space="preserve"> </w:t>
      </w:r>
      <w:r w:rsidR="00483554" w:rsidRPr="003832E8">
        <w:rPr>
          <w:lang w:val="en-GB"/>
        </w:rPr>
        <w:t xml:space="preserve">recently </w:t>
      </w:r>
      <w:r w:rsidRPr="003832E8">
        <w:rPr>
          <w:lang w:val="en-GB"/>
        </w:rPr>
        <w:t xml:space="preserve">started to apply the </w:t>
      </w:r>
      <w:r w:rsidR="001D3F03" w:rsidRPr="003832E8">
        <w:rPr>
          <w:lang w:val="en-GB"/>
        </w:rPr>
        <w:t xml:space="preserve">benchmark </w:t>
      </w:r>
      <w:r w:rsidRPr="003832E8">
        <w:rPr>
          <w:lang w:val="en-GB"/>
        </w:rPr>
        <w:t xml:space="preserve">of an average consumer </w:t>
      </w:r>
      <w:r w:rsidR="001D3F03" w:rsidRPr="003832E8">
        <w:rPr>
          <w:lang w:val="en-GB"/>
        </w:rPr>
        <w:t xml:space="preserve">in its </w:t>
      </w:r>
      <w:r w:rsidRPr="003832E8">
        <w:rPr>
          <w:lang w:val="en-GB"/>
        </w:rPr>
        <w:t>assess</w:t>
      </w:r>
      <w:r w:rsidR="001D3F03" w:rsidRPr="003832E8">
        <w:rPr>
          <w:lang w:val="en-GB"/>
        </w:rPr>
        <w:t>ment</w:t>
      </w:r>
      <w:r w:rsidRPr="003832E8">
        <w:rPr>
          <w:lang w:val="en-GB"/>
        </w:rPr>
        <w:t xml:space="preserve"> </w:t>
      </w:r>
      <w:r w:rsidR="001D3F03" w:rsidRPr="003832E8">
        <w:rPr>
          <w:lang w:val="en-GB"/>
        </w:rPr>
        <w:t xml:space="preserve">of the </w:t>
      </w:r>
      <w:r w:rsidRPr="003832E8">
        <w:rPr>
          <w:lang w:val="en-GB"/>
        </w:rPr>
        <w:t xml:space="preserve">transparency </w:t>
      </w:r>
      <w:r w:rsidR="001D3F03" w:rsidRPr="003832E8">
        <w:rPr>
          <w:lang w:val="en-GB"/>
        </w:rPr>
        <w:t>of standard terms and conditions</w:t>
      </w:r>
      <w:r w:rsidRPr="003832E8">
        <w:rPr>
          <w:lang w:val="en-GB"/>
        </w:rPr>
        <w:t xml:space="preserve"> </w:t>
      </w:r>
      <w:r w:rsidR="00A94410" w:rsidRPr="003832E8">
        <w:rPr>
          <w:lang w:val="en-GB"/>
        </w:rPr>
        <w:t xml:space="preserve">under </w:t>
      </w:r>
      <w:r w:rsidRPr="003832E8">
        <w:rPr>
          <w:lang w:val="en-GB"/>
        </w:rPr>
        <w:t>the Unfair Contract Terms Directive (hereafter, the “UCTD”)</w:t>
      </w:r>
      <w:r w:rsidRPr="003832E8">
        <w:rPr>
          <w:rStyle w:val="FootnoteReference"/>
          <w:lang w:val="en-GB"/>
        </w:rPr>
        <w:footnoteReference w:id="26"/>
      </w:r>
      <w:r w:rsidRPr="003832E8">
        <w:rPr>
          <w:lang w:val="en-GB"/>
        </w:rPr>
        <w:t>.</w:t>
      </w:r>
      <w:r w:rsidR="001D09B0" w:rsidRPr="003832E8">
        <w:rPr>
          <w:lang w:val="en-GB"/>
        </w:rPr>
        <w:t xml:space="preserve"> </w:t>
      </w:r>
      <w:r w:rsidR="002F5D47" w:rsidRPr="003832E8">
        <w:rPr>
          <w:lang w:val="en-GB"/>
        </w:rPr>
        <w:t xml:space="preserve">This </w:t>
      </w:r>
      <w:r w:rsidR="009E51D6" w:rsidRPr="003832E8">
        <w:rPr>
          <w:lang w:val="en-GB"/>
        </w:rPr>
        <w:t>transplant of the average consumer</w:t>
      </w:r>
      <w:r w:rsidR="002601D8" w:rsidRPr="003832E8">
        <w:rPr>
          <w:lang w:val="en-GB"/>
        </w:rPr>
        <w:t>’s</w:t>
      </w:r>
      <w:r w:rsidR="009E51D6" w:rsidRPr="003832E8">
        <w:rPr>
          <w:lang w:val="en-GB"/>
        </w:rPr>
        <w:t xml:space="preserve"> benchmark from the context of unfair commercial practices to unfair contract terms occurred </w:t>
      </w:r>
      <w:r w:rsidR="002F5D47" w:rsidRPr="003832E8">
        <w:rPr>
          <w:lang w:val="en-GB"/>
        </w:rPr>
        <w:t>d</w:t>
      </w:r>
      <w:r w:rsidR="001D09B0" w:rsidRPr="003832E8">
        <w:rPr>
          <w:lang w:val="en-GB"/>
        </w:rPr>
        <w:t xml:space="preserve">espite the different unfairness test </w:t>
      </w:r>
      <w:r w:rsidR="00EB1BE2" w:rsidRPr="003832E8">
        <w:rPr>
          <w:lang w:val="en-GB"/>
        </w:rPr>
        <w:t xml:space="preserve">applied by </w:t>
      </w:r>
      <w:r w:rsidR="0002127B">
        <w:rPr>
          <w:lang w:val="en-GB"/>
        </w:rPr>
        <w:t xml:space="preserve">the two </w:t>
      </w:r>
      <w:r w:rsidR="001D09B0" w:rsidRPr="003832E8">
        <w:rPr>
          <w:lang w:val="en-GB"/>
        </w:rPr>
        <w:t>directives</w:t>
      </w:r>
      <w:r w:rsidR="001D09B0" w:rsidRPr="003832E8">
        <w:rPr>
          <w:rStyle w:val="FootnoteReference"/>
          <w:lang w:val="en-GB"/>
        </w:rPr>
        <w:footnoteReference w:id="27"/>
      </w:r>
      <w:r w:rsidR="0002127B">
        <w:rPr>
          <w:lang w:val="en-GB"/>
        </w:rPr>
        <w:t xml:space="preserve"> and</w:t>
      </w:r>
      <w:r w:rsidR="001D09B0" w:rsidRPr="003832E8">
        <w:rPr>
          <w:lang w:val="en-GB"/>
        </w:rPr>
        <w:t xml:space="preserve"> despite the lack of </w:t>
      </w:r>
      <w:r w:rsidR="00A94410" w:rsidRPr="003832E8">
        <w:rPr>
          <w:lang w:val="en-GB"/>
        </w:rPr>
        <w:t xml:space="preserve">a </w:t>
      </w:r>
      <w:r w:rsidR="001D09B0" w:rsidRPr="003832E8">
        <w:rPr>
          <w:lang w:val="en-GB"/>
        </w:rPr>
        <w:t>reference to an average consumer in the UCTD</w:t>
      </w:r>
      <w:r w:rsidR="002F5D47" w:rsidRPr="003832E8">
        <w:rPr>
          <w:lang w:val="en-GB"/>
        </w:rPr>
        <w:t>.</w:t>
      </w:r>
      <w:r w:rsidR="00EB1BE2" w:rsidRPr="003832E8">
        <w:rPr>
          <w:lang w:val="en-GB"/>
        </w:rPr>
        <w:t xml:space="preserve"> This raises a question, whether the </w:t>
      </w:r>
      <w:r w:rsidR="00E63C9B">
        <w:rPr>
          <w:lang w:val="en-GB"/>
        </w:rPr>
        <w:t>CJEU</w:t>
      </w:r>
      <w:r w:rsidR="00EB1BE2" w:rsidRPr="003832E8">
        <w:rPr>
          <w:lang w:val="en-GB"/>
        </w:rPr>
        <w:t xml:space="preserve"> will now apply the </w:t>
      </w:r>
      <w:r w:rsidR="00AD3A4B" w:rsidRPr="003832E8">
        <w:rPr>
          <w:lang w:val="en-GB"/>
        </w:rPr>
        <w:t xml:space="preserve">benchmark </w:t>
      </w:r>
      <w:r w:rsidR="00EB1BE2" w:rsidRPr="003832E8">
        <w:rPr>
          <w:lang w:val="en-GB"/>
        </w:rPr>
        <w:t xml:space="preserve">of an average consumer to determine the scope of consumer protection across the whole </w:t>
      </w:r>
      <w:r w:rsidR="00EB1BE2" w:rsidRPr="003832E8">
        <w:rPr>
          <w:i/>
          <w:lang w:val="en-GB"/>
        </w:rPr>
        <w:t>consumer acquis</w:t>
      </w:r>
      <w:r w:rsidR="00EB1BE2" w:rsidRPr="003832E8">
        <w:rPr>
          <w:lang w:val="en-GB"/>
        </w:rPr>
        <w:t xml:space="preserve">. </w:t>
      </w:r>
      <w:r w:rsidR="00483554">
        <w:rPr>
          <w:lang w:val="en-GB"/>
        </w:rPr>
        <w:t xml:space="preserve">This is a relevant question to consider </w:t>
      </w:r>
      <w:r w:rsidR="00483554">
        <w:rPr>
          <w:lang w:val="en-GB"/>
        </w:rPr>
        <w:lastRenderedPageBreak/>
        <w:t xml:space="preserve">in this contribution, since, as mentioned above, Directive 2015/2302 remains within </w:t>
      </w:r>
      <w:r w:rsidR="00483554">
        <w:rPr>
          <w:i/>
          <w:lang w:val="en-GB"/>
        </w:rPr>
        <w:t>consumer acquis</w:t>
      </w:r>
      <w:r w:rsidR="00C33D10">
        <w:rPr>
          <w:lang w:val="en-GB"/>
        </w:rPr>
        <w:t xml:space="preserve"> and thus the </w:t>
      </w:r>
      <w:r w:rsidR="00E63C9B">
        <w:rPr>
          <w:lang w:val="en-GB"/>
        </w:rPr>
        <w:t>CJEU</w:t>
      </w:r>
      <w:r w:rsidR="00C33D10">
        <w:rPr>
          <w:lang w:val="en-GB"/>
        </w:rPr>
        <w:t xml:space="preserve"> could </w:t>
      </w:r>
      <w:r w:rsidR="003B5B63">
        <w:rPr>
          <w:lang w:val="en-GB"/>
        </w:rPr>
        <w:t>introduce</w:t>
      </w:r>
      <w:r w:rsidR="00C33D10">
        <w:rPr>
          <w:lang w:val="en-GB"/>
        </w:rPr>
        <w:t xml:space="preserve"> a benchmark of an average traveller, as well</w:t>
      </w:r>
      <w:r w:rsidR="00483554">
        <w:rPr>
          <w:lang w:val="en-GB"/>
        </w:rPr>
        <w:t>.</w:t>
      </w:r>
    </w:p>
    <w:p w:rsidR="00131958" w:rsidRPr="003832E8" w:rsidRDefault="00131958" w:rsidP="00B06978">
      <w:pPr>
        <w:pStyle w:val="ListParagraph"/>
        <w:ind w:left="360"/>
        <w:jc w:val="both"/>
        <w:rPr>
          <w:lang w:val="en-GB"/>
        </w:rPr>
      </w:pPr>
    </w:p>
    <w:p w:rsidR="00500816" w:rsidRPr="003832E8" w:rsidRDefault="00131958" w:rsidP="00B06978">
      <w:pPr>
        <w:pStyle w:val="ListParagraph"/>
        <w:ind w:left="360"/>
        <w:jc w:val="both"/>
        <w:rPr>
          <w:lang w:val="en-GB"/>
        </w:rPr>
      </w:pPr>
      <w:r w:rsidRPr="003832E8">
        <w:rPr>
          <w:lang w:val="en-GB"/>
        </w:rPr>
        <w:t xml:space="preserve">It is </w:t>
      </w:r>
      <w:r w:rsidR="0002127B">
        <w:rPr>
          <w:lang w:val="en-GB"/>
        </w:rPr>
        <w:t>possible</w:t>
      </w:r>
      <w:r w:rsidRPr="003832E8">
        <w:rPr>
          <w:lang w:val="en-GB"/>
        </w:rPr>
        <w:t xml:space="preserve"> that </w:t>
      </w:r>
      <w:r w:rsidR="00EB1BE2" w:rsidRPr="003832E8">
        <w:rPr>
          <w:lang w:val="en-GB"/>
        </w:rPr>
        <w:t xml:space="preserve">the </w:t>
      </w:r>
      <w:r w:rsidR="00E63C9B">
        <w:rPr>
          <w:lang w:val="en-GB"/>
        </w:rPr>
        <w:t>CJEU</w:t>
      </w:r>
      <w:r w:rsidR="00EC2061" w:rsidRPr="003832E8">
        <w:rPr>
          <w:lang w:val="en-GB"/>
        </w:rPr>
        <w:t xml:space="preserve"> will continue to only apply the </w:t>
      </w:r>
      <w:r w:rsidRPr="003832E8">
        <w:rPr>
          <w:lang w:val="en-GB"/>
        </w:rPr>
        <w:t xml:space="preserve">benchmark </w:t>
      </w:r>
      <w:r w:rsidR="00EC2061" w:rsidRPr="003832E8">
        <w:rPr>
          <w:lang w:val="en-GB"/>
        </w:rPr>
        <w:t>of an average consumer within the assessment of the impact that information provided to consumers could have on them</w:t>
      </w:r>
      <w:r w:rsidRPr="003832E8">
        <w:rPr>
          <w:lang w:val="en-GB"/>
        </w:rPr>
        <w:t xml:space="preserve">. </w:t>
      </w:r>
      <w:proofErr w:type="gramStart"/>
      <w:r w:rsidRPr="003832E8">
        <w:rPr>
          <w:lang w:val="en-GB"/>
        </w:rPr>
        <w:t>That is to say, in establishing</w:t>
      </w:r>
      <w:r w:rsidR="00EC2061" w:rsidRPr="003832E8">
        <w:rPr>
          <w:lang w:val="en-GB"/>
        </w:rPr>
        <w:t xml:space="preserve"> </w:t>
      </w:r>
      <w:r w:rsidRPr="003832E8">
        <w:rPr>
          <w:lang w:val="en-GB"/>
        </w:rPr>
        <w:t>either the</w:t>
      </w:r>
      <w:r w:rsidR="00EC2061" w:rsidRPr="003832E8">
        <w:rPr>
          <w:lang w:val="en-GB"/>
        </w:rPr>
        <w:t xml:space="preserve"> </w:t>
      </w:r>
      <w:r w:rsidR="002446D7">
        <w:rPr>
          <w:lang w:val="en-GB"/>
        </w:rPr>
        <w:t xml:space="preserve">unfair </w:t>
      </w:r>
      <w:r w:rsidRPr="003832E8">
        <w:rPr>
          <w:lang w:val="en-GB"/>
        </w:rPr>
        <w:t xml:space="preserve">character of a trader’s </w:t>
      </w:r>
      <w:r w:rsidR="00EC2061" w:rsidRPr="003832E8">
        <w:rPr>
          <w:lang w:val="en-GB"/>
        </w:rPr>
        <w:t xml:space="preserve">commercial practice or </w:t>
      </w:r>
      <w:r w:rsidR="002446D7">
        <w:rPr>
          <w:lang w:val="en-GB"/>
        </w:rPr>
        <w:t xml:space="preserve">of </w:t>
      </w:r>
      <w:r w:rsidRPr="003832E8">
        <w:rPr>
          <w:lang w:val="en-GB"/>
        </w:rPr>
        <w:t>a trader’s standard term and condition</w:t>
      </w:r>
      <w:r w:rsidR="00EC2061" w:rsidRPr="003832E8">
        <w:rPr>
          <w:lang w:val="en-GB"/>
        </w:rPr>
        <w:t>.</w:t>
      </w:r>
      <w:proofErr w:type="gramEnd"/>
      <w:r w:rsidR="00057203" w:rsidRPr="003832E8">
        <w:rPr>
          <w:lang w:val="en-GB"/>
        </w:rPr>
        <w:t xml:space="preserve"> </w:t>
      </w:r>
      <w:r w:rsidRPr="003832E8">
        <w:rPr>
          <w:lang w:val="en-GB"/>
        </w:rPr>
        <w:t xml:space="preserve">However, since the </w:t>
      </w:r>
      <w:r w:rsidR="00E63C9B">
        <w:rPr>
          <w:lang w:val="en-GB"/>
        </w:rPr>
        <w:t>CJEU</w:t>
      </w:r>
      <w:r w:rsidRPr="003832E8">
        <w:rPr>
          <w:lang w:val="en-GB"/>
        </w:rPr>
        <w:t xml:space="preserve">, without a legislative basis for this action, </w:t>
      </w:r>
      <w:r w:rsidR="006101DE">
        <w:rPr>
          <w:lang w:val="en-GB"/>
        </w:rPr>
        <w:t xml:space="preserve">extended </w:t>
      </w:r>
      <w:r w:rsidRPr="003832E8">
        <w:rPr>
          <w:lang w:val="en-GB"/>
        </w:rPr>
        <w:t>the scope of application of the average consumer’s benchmark</w:t>
      </w:r>
      <w:r w:rsidR="00483554">
        <w:rPr>
          <w:lang w:val="en-GB"/>
        </w:rPr>
        <w:t xml:space="preserve"> from the area of unfair commercial practices to unfair contract terms</w:t>
      </w:r>
      <w:r w:rsidRPr="003832E8">
        <w:rPr>
          <w:lang w:val="en-GB"/>
        </w:rPr>
        <w:t xml:space="preserve">, we could, as well, speculate that in the future </w:t>
      </w:r>
      <w:r w:rsidR="00483554">
        <w:rPr>
          <w:lang w:val="en-GB"/>
        </w:rPr>
        <w:t>this benchmark</w:t>
      </w:r>
      <w:r w:rsidRPr="003832E8">
        <w:rPr>
          <w:lang w:val="en-GB"/>
        </w:rPr>
        <w:t xml:space="preserve"> will be </w:t>
      </w:r>
      <w:r w:rsidR="00057203" w:rsidRPr="003832E8">
        <w:rPr>
          <w:lang w:val="en-GB"/>
        </w:rPr>
        <w:t>applied in other areas of European consumer law</w:t>
      </w:r>
      <w:r w:rsidR="00057203" w:rsidRPr="003832E8">
        <w:rPr>
          <w:rStyle w:val="FootnoteReference"/>
          <w:lang w:val="en-GB"/>
        </w:rPr>
        <w:footnoteReference w:id="28"/>
      </w:r>
      <w:r w:rsidR="00057203" w:rsidRPr="003832E8">
        <w:rPr>
          <w:lang w:val="en-GB"/>
        </w:rPr>
        <w:t>.</w:t>
      </w:r>
      <w:r w:rsidR="00AA12A6" w:rsidRPr="003832E8">
        <w:rPr>
          <w:lang w:val="en-GB"/>
        </w:rPr>
        <w:t xml:space="preserve"> </w:t>
      </w:r>
      <w:r w:rsidR="00C33D10">
        <w:rPr>
          <w:lang w:val="en-GB"/>
        </w:rPr>
        <w:t>How could</w:t>
      </w:r>
      <w:r w:rsidR="00AA12A6" w:rsidRPr="003832E8">
        <w:rPr>
          <w:lang w:val="en-GB"/>
        </w:rPr>
        <w:t xml:space="preserve"> the average </w:t>
      </w:r>
      <w:r w:rsidR="00C33D10">
        <w:rPr>
          <w:lang w:val="en-GB"/>
        </w:rPr>
        <w:t>traveller</w:t>
      </w:r>
      <w:r w:rsidR="00AA12A6" w:rsidRPr="003832E8">
        <w:rPr>
          <w:lang w:val="en-GB"/>
        </w:rPr>
        <w:t xml:space="preserve">’s benchmark apply </w:t>
      </w:r>
      <w:r w:rsidR="00C33D10">
        <w:rPr>
          <w:lang w:val="en-GB"/>
        </w:rPr>
        <w:t>to</w:t>
      </w:r>
      <w:r w:rsidR="00AA12A6" w:rsidRPr="003832E8">
        <w:rPr>
          <w:lang w:val="en-GB"/>
        </w:rPr>
        <w:t xml:space="preserve"> package travel contracts</w:t>
      </w:r>
      <w:r w:rsidR="00C33D10">
        <w:rPr>
          <w:lang w:val="en-GB"/>
        </w:rPr>
        <w:t>?</w:t>
      </w:r>
      <w:r w:rsidR="00AA12A6" w:rsidRPr="003832E8">
        <w:rPr>
          <w:lang w:val="en-GB"/>
        </w:rPr>
        <w:t xml:space="preserve"> For example, when establishing whether the information provided to </w:t>
      </w:r>
      <w:r w:rsidR="003832E8" w:rsidRPr="003832E8">
        <w:rPr>
          <w:lang w:val="en-GB"/>
        </w:rPr>
        <w:t>travellers</w:t>
      </w:r>
      <w:r w:rsidR="00AA12A6" w:rsidRPr="003832E8">
        <w:rPr>
          <w:lang w:val="en-GB"/>
        </w:rPr>
        <w:t xml:space="preserve"> </w:t>
      </w:r>
      <w:r w:rsidR="00C33D10">
        <w:rPr>
          <w:lang w:val="en-GB"/>
        </w:rPr>
        <w:t>with regards to the</w:t>
      </w:r>
      <w:r w:rsidR="00AA12A6" w:rsidRPr="003832E8">
        <w:rPr>
          <w:lang w:val="en-GB"/>
        </w:rPr>
        <w:t xml:space="preserve"> package was clear, comprehensible and prominently displayed, pursuant to Article 5 (3) of the Directive 2015/2302, the courts could apply the average </w:t>
      </w:r>
      <w:r w:rsidR="00182543">
        <w:rPr>
          <w:lang w:val="en-GB"/>
        </w:rPr>
        <w:t>traveller</w:t>
      </w:r>
      <w:r w:rsidR="00AA12A6" w:rsidRPr="003832E8">
        <w:rPr>
          <w:lang w:val="en-GB"/>
        </w:rPr>
        <w:t xml:space="preserve">’s benchmark when setting the standard for </w:t>
      </w:r>
      <w:r w:rsidR="00D2090F">
        <w:rPr>
          <w:lang w:val="en-GB"/>
        </w:rPr>
        <w:t>the assessment</w:t>
      </w:r>
      <w:r w:rsidR="006101DE">
        <w:rPr>
          <w:lang w:val="en-GB"/>
        </w:rPr>
        <w:t xml:space="preserve"> of </w:t>
      </w:r>
      <w:r w:rsidR="00402FBF">
        <w:rPr>
          <w:lang w:val="en-GB"/>
        </w:rPr>
        <w:t>such</w:t>
      </w:r>
      <w:r w:rsidR="006101DE">
        <w:rPr>
          <w:lang w:val="en-GB"/>
        </w:rPr>
        <w:t xml:space="preserve"> disclosure’s transparency</w:t>
      </w:r>
      <w:r w:rsidR="00AA12A6" w:rsidRPr="003832E8">
        <w:rPr>
          <w:lang w:val="en-GB"/>
        </w:rPr>
        <w:t xml:space="preserve">. </w:t>
      </w:r>
    </w:p>
    <w:p w:rsidR="007076F7" w:rsidRPr="003832E8" w:rsidRDefault="007076F7" w:rsidP="007076F7">
      <w:pPr>
        <w:pStyle w:val="ListParagraph"/>
        <w:ind w:left="360"/>
        <w:jc w:val="both"/>
        <w:rPr>
          <w:b/>
          <w:lang w:val="en-GB"/>
        </w:rPr>
      </w:pPr>
    </w:p>
    <w:p w:rsidR="007076F7" w:rsidRPr="003832E8" w:rsidRDefault="007076F7" w:rsidP="007076F7">
      <w:pPr>
        <w:pStyle w:val="ListParagraph"/>
        <w:numPr>
          <w:ilvl w:val="0"/>
          <w:numId w:val="1"/>
        </w:numPr>
        <w:jc w:val="both"/>
        <w:rPr>
          <w:b/>
          <w:lang w:val="en-GB"/>
        </w:rPr>
      </w:pPr>
      <w:r w:rsidRPr="003832E8">
        <w:rPr>
          <w:b/>
          <w:lang w:val="en-GB"/>
        </w:rPr>
        <w:t xml:space="preserve">Vulnerable consumers &amp; </w:t>
      </w:r>
      <w:r w:rsidR="003832E8" w:rsidRPr="003832E8">
        <w:rPr>
          <w:b/>
          <w:lang w:val="en-GB"/>
        </w:rPr>
        <w:t>travellers</w:t>
      </w:r>
      <w:r w:rsidRPr="003832E8">
        <w:rPr>
          <w:b/>
          <w:lang w:val="en-GB"/>
        </w:rPr>
        <w:t xml:space="preserve"> </w:t>
      </w:r>
    </w:p>
    <w:p w:rsidR="00AD3A4B" w:rsidRPr="003832E8" w:rsidRDefault="00AD3A4B" w:rsidP="00B06978">
      <w:pPr>
        <w:pStyle w:val="ListParagraph"/>
        <w:ind w:left="360"/>
        <w:jc w:val="both"/>
        <w:rPr>
          <w:lang w:val="en-GB"/>
        </w:rPr>
      </w:pPr>
    </w:p>
    <w:p w:rsidR="00A94410" w:rsidRPr="003832E8" w:rsidRDefault="001C3B1B" w:rsidP="00B06978">
      <w:pPr>
        <w:pStyle w:val="ListParagraph"/>
        <w:ind w:left="360"/>
        <w:jc w:val="both"/>
        <w:rPr>
          <w:lang w:val="en-GB"/>
        </w:rPr>
      </w:pPr>
      <w:r w:rsidRPr="003832E8">
        <w:rPr>
          <w:lang w:val="en-GB"/>
        </w:rPr>
        <w:t xml:space="preserve">Since the benchmark of an average consumer limits the scope of consumer protection to a particular group of reasonably </w:t>
      </w:r>
      <w:r w:rsidR="003832E8" w:rsidRPr="003832E8">
        <w:rPr>
          <w:lang w:val="en-GB"/>
        </w:rPr>
        <w:t xml:space="preserve">well informed, </w:t>
      </w:r>
      <w:r w:rsidRPr="003832E8">
        <w:rPr>
          <w:lang w:val="en-GB"/>
        </w:rPr>
        <w:t>observant, and circumspect consumers, consumer protection measures would fail to encompass within their scope the most needing,</w:t>
      </w:r>
      <w:r w:rsidR="003832E8" w:rsidRPr="003832E8">
        <w:rPr>
          <w:lang w:val="en-GB"/>
        </w:rPr>
        <w:t xml:space="preserve"> prone to behavioural biases,</w:t>
      </w:r>
      <w:r w:rsidRPr="003832E8">
        <w:rPr>
          <w:lang w:val="en-GB"/>
        </w:rPr>
        <w:t xml:space="preserve"> </w:t>
      </w:r>
      <w:r w:rsidR="00A07A98">
        <w:rPr>
          <w:lang w:val="en-GB"/>
        </w:rPr>
        <w:t xml:space="preserve">less informed and </w:t>
      </w:r>
      <w:r w:rsidRPr="003832E8">
        <w:rPr>
          <w:lang w:val="en-GB"/>
        </w:rPr>
        <w:t>relationally weak consumers</w:t>
      </w:r>
      <w:r w:rsidR="00A07A98">
        <w:rPr>
          <w:lang w:val="en-GB"/>
        </w:rPr>
        <w:t xml:space="preserve">, </w:t>
      </w:r>
      <w:r w:rsidR="00187A9E">
        <w:rPr>
          <w:lang w:val="en-GB"/>
        </w:rPr>
        <w:t xml:space="preserve">who </w:t>
      </w:r>
      <w:r w:rsidR="00A07A98">
        <w:rPr>
          <w:lang w:val="en-GB"/>
        </w:rPr>
        <w:t>may form quite a large group</w:t>
      </w:r>
      <w:r w:rsidR="00A07A98">
        <w:rPr>
          <w:rStyle w:val="FootnoteReference"/>
          <w:lang w:val="en-GB"/>
        </w:rPr>
        <w:footnoteReference w:id="29"/>
      </w:r>
      <w:r w:rsidRPr="003832E8">
        <w:rPr>
          <w:lang w:val="en-GB"/>
        </w:rPr>
        <w:t xml:space="preserve">. </w:t>
      </w:r>
      <w:r w:rsidR="00187A9E">
        <w:rPr>
          <w:lang w:val="en-GB"/>
        </w:rPr>
        <w:t>To prevent such a negative effect</w:t>
      </w:r>
      <w:r w:rsidRPr="003832E8">
        <w:rPr>
          <w:lang w:val="en-GB"/>
        </w:rPr>
        <w:t xml:space="preserve">, the UCPD has also introduced a notion of a “vulnerable consumer” in its scope, in order to </w:t>
      </w:r>
      <w:r w:rsidR="000363C4">
        <w:rPr>
          <w:lang w:val="en-GB"/>
        </w:rPr>
        <w:t xml:space="preserve">deter </w:t>
      </w:r>
      <w:r w:rsidRPr="003832E8">
        <w:rPr>
          <w:lang w:val="en-GB"/>
        </w:rPr>
        <w:t xml:space="preserve">the exploitation of </w:t>
      </w:r>
      <w:r w:rsidR="00402FBF">
        <w:rPr>
          <w:lang w:val="en-GB"/>
        </w:rPr>
        <w:t xml:space="preserve">especially </w:t>
      </w:r>
      <w:r w:rsidRPr="003832E8">
        <w:rPr>
          <w:lang w:val="en-GB"/>
        </w:rPr>
        <w:t>vulnerable consumers</w:t>
      </w:r>
      <w:r w:rsidR="008356E6">
        <w:rPr>
          <w:lang w:val="en-GB"/>
        </w:rPr>
        <w:t>. Vulnerable consumers</w:t>
      </w:r>
      <w:r w:rsidR="0078197E" w:rsidRPr="003832E8">
        <w:rPr>
          <w:lang w:val="en-GB"/>
        </w:rPr>
        <w:t xml:space="preserve"> might be </w:t>
      </w:r>
      <w:r w:rsidR="00402FBF">
        <w:rPr>
          <w:lang w:val="en-GB"/>
        </w:rPr>
        <w:t xml:space="preserve">particularly </w:t>
      </w:r>
      <w:r w:rsidR="0078197E" w:rsidRPr="003832E8">
        <w:rPr>
          <w:lang w:val="en-GB"/>
        </w:rPr>
        <w:t>affected by the commercial practice, even if it is directed at a general public</w:t>
      </w:r>
      <w:r w:rsidRPr="003832E8">
        <w:rPr>
          <w:rStyle w:val="FootnoteReference"/>
          <w:lang w:val="en-GB"/>
        </w:rPr>
        <w:footnoteReference w:id="30"/>
      </w:r>
      <w:r w:rsidRPr="003832E8">
        <w:rPr>
          <w:lang w:val="en-GB"/>
        </w:rPr>
        <w:t>.</w:t>
      </w:r>
      <w:r w:rsidR="003E3F60" w:rsidRPr="003832E8">
        <w:rPr>
          <w:lang w:val="en-GB"/>
        </w:rPr>
        <w:t xml:space="preserve"> As grounds for vulnerability</w:t>
      </w:r>
      <w:r w:rsidR="00910FA4">
        <w:rPr>
          <w:lang w:val="en-GB"/>
        </w:rPr>
        <w:t>,</w:t>
      </w:r>
      <w:r w:rsidR="003E3F60" w:rsidRPr="003832E8">
        <w:rPr>
          <w:lang w:val="en-GB"/>
        </w:rPr>
        <w:t xml:space="preserve"> Article 5 </w:t>
      </w:r>
      <w:r w:rsidR="00910FA4">
        <w:rPr>
          <w:lang w:val="en-GB"/>
        </w:rPr>
        <w:t>(</w:t>
      </w:r>
      <w:r w:rsidR="003E3F60" w:rsidRPr="003832E8">
        <w:rPr>
          <w:lang w:val="en-GB"/>
        </w:rPr>
        <w:t>3</w:t>
      </w:r>
      <w:r w:rsidR="00910FA4">
        <w:rPr>
          <w:lang w:val="en-GB"/>
        </w:rPr>
        <w:t>)</w:t>
      </w:r>
      <w:r w:rsidR="003E3F60" w:rsidRPr="003832E8">
        <w:rPr>
          <w:lang w:val="en-GB"/>
        </w:rPr>
        <w:t xml:space="preserve"> of the UCPD names</w:t>
      </w:r>
      <w:r w:rsidR="0078197E" w:rsidRPr="003832E8">
        <w:rPr>
          <w:lang w:val="en-GB"/>
        </w:rPr>
        <w:t>, indicatively</w:t>
      </w:r>
      <w:r w:rsidR="0078197E" w:rsidRPr="003832E8">
        <w:rPr>
          <w:rStyle w:val="FootnoteReference"/>
          <w:lang w:val="en-GB"/>
        </w:rPr>
        <w:footnoteReference w:id="31"/>
      </w:r>
      <w:r w:rsidR="0078197E" w:rsidRPr="003832E8">
        <w:rPr>
          <w:lang w:val="en-GB"/>
        </w:rPr>
        <w:t>,</w:t>
      </w:r>
      <w:r w:rsidR="003E3F60" w:rsidRPr="003832E8">
        <w:rPr>
          <w:lang w:val="en-GB"/>
        </w:rPr>
        <w:t xml:space="preserve"> mental or physical infirmity, age or credulity of consumers, to an extent that these grounds could be reasonably foreseeable to the trader.</w:t>
      </w:r>
    </w:p>
    <w:p w:rsidR="007076F7" w:rsidRPr="003832E8" w:rsidRDefault="007076F7" w:rsidP="00B06978">
      <w:pPr>
        <w:pStyle w:val="ListParagraph"/>
        <w:ind w:left="360"/>
        <w:jc w:val="both"/>
        <w:rPr>
          <w:lang w:val="en-GB"/>
        </w:rPr>
      </w:pPr>
    </w:p>
    <w:p w:rsidR="007076F7" w:rsidRDefault="007076F7" w:rsidP="00B06978">
      <w:pPr>
        <w:pStyle w:val="ListParagraph"/>
        <w:ind w:left="360"/>
        <w:jc w:val="both"/>
        <w:rPr>
          <w:lang w:val="en-GB"/>
        </w:rPr>
      </w:pPr>
      <w:r w:rsidRPr="003832E8">
        <w:rPr>
          <w:lang w:val="en-GB"/>
        </w:rPr>
        <w:t xml:space="preserve">If the </w:t>
      </w:r>
      <w:r w:rsidR="00402FBF">
        <w:rPr>
          <w:lang w:val="en-GB"/>
        </w:rPr>
        <w:t xml:space="preserve">CJEU </w:t>
      </w:r>
      <w:r w:rsidRPr="003832E8">
        <w:rPr>
          <w:lang w:val="en-GB"/>
        </w:rPr>
        <w:t xml:space="preserve">continues to apply the benchmark of the average consumer to other areas of consumer protection than protection against unfair commercial practices, it begs the question whether the alternative benchmark of the vulnerable consumer should be applied </w:t>
      </w:r>
      <w:r w:rsidR="008356E6">
        <w:rPr>
          <w:lang w:val="en-GB"/>
        </w:rPr>
        <w:t xml:space="preserve">in other consumer </w:t>
      </w:r>
      <w:r w:rsidR="008356E6">
        <w:rPr>
          <w:i/>
          <w:lang w:val="en-GB"/>
        </w:rPr>
        <w:t>acquis</w:t>
      </w:r>
      <w:r w:rsidRPr="003832E8">
        <w:rPr>
          <w:lang w:val="en-GB"/>
        </w:rPr>
        <w:t xml:space="preserve">, as well. </w:t>
      </w:r>
      <w:r w:rsidR="008356E6">
        <w:rPr>
          <w:lang w:val="en-GB"/>
        </w:rPr>
        <w:t>For example, i</w:t>
      </w:r>
      <w:r w:rsidRPr="003832E8">
        <w:rPr>
          <w:lang w:val="en-GB"/>
        </w:rPr>
        <w:t xml:space="preserve">n </w:t>
      </w:r>
      <w:proofErr w:type="spellStart"/>
      <w:r w:rsidRPr="003832E8">
        <w:rPr>
          <w:i/>
          <w:lang w:val="en-GB"/>
        </w:rPr>
        <w:t>Kásler</w:t>
      </w:r>
      <w:proofErr w:type="spellEnd"/>
      <w:r w:rsidR="008356E6">
        <w:rPr>
          <w:lang w:val="en-GB"/>
        </w:rPr>
        <w:t>,</w:t>
      </w:r>
      <w:r w:rsidRPr="003832E8">
        <w:rPr>
          <w:lang w:val="en-GB"/>
        </w:rPr>
        <w:t xml:space="preserve"> the </w:t>
      </w:r>
      <w:r w:rsidR="00402FBF">
        <w:rPr>
          <w:lang w:val="en-GB"/>
        </w:rPr>
        <w:t xml:space="preserve">CJEU </w:t>
      </w:r>
      <w:r w:rsidRPr="003832E8">
        <w:rPr>
          <w:lang w:val="en-GB"/>
        </w:rPr>
        <w:t xml:space="preserve">adopts the standard </w:t>
      </w:r>
      <w:r w:rsidR="000363C4" w:rsidRPr="003832E8">
        <w:rPr>
          <w:lang w:val="en-GB"/>
        </w:rPr>
        <w:t xml:space="preserve">of a “reasonably well informed and reasonably observant and circumspect” consumer </w:t>
      </w:r>
      <w:r w:rsidRPr="003832E8">
        <w:rPr>
          <w:lang w:val="en-GB"/>
        </w:rPr>
        <w:t>for understanding of the consumer credit agreement provisions</w:t>
      </w:r>
      <w:r w:rsidR="008356E6">
        <w:rPr>
          <w:rStyle w:val="FootnoteReference"/>
          <w:lang w:val="en-GB"/>
        </w:rPr>
        <w:footnoteReference w:id="32"/>
      </w:r>
      <w:r w:rsidR="008356E6">
        <w:rPr>
          <w:lang w:val="en-GB"/>
        </w:rPr>
        <w:t>.</w:t>
      </w:r>
      <w:r w:rsidRPr="003832E8">
        <w:rPr>
          <w:lang w:val="en-GB"/>
        </w:rPr>
        <w:t xml:space="preserve"> </w:t>
      </w:r>
      <w:r w:rsidR="008356E6">
        <w:rPr>
          <w:lang w:val="en-GB"/>
        </w:rPr>
        <w:t xml:space="preserve">What </w:t>
      </w:r>
      <w:r w:rsidRPr="003832E8">
        <w:rPr>
          <w:lang w:val="en-GB"/>
        </w:rPr>
        <w:t>if,</w:t>
      </w:r>
      <w:r w:rsidR="008F13BC">
        <w:rPr>
          <w:lang w:val="en-GB"/>
        </w:rPr>
        <w:t xml:space="preserve"> for instance, the type of</w:t>
      </w:r>
      <w:r w:rsidRPr="003832E8">
        <w:rPr>
          <w:lang w:val="en-GB"/>
        </w:rPr>
        <w:t xml:space="preserve"> a given consumer credit</w:t>
      </w:r>
      <w:r w:rsidR="008356E6">
        <w:rPr>
          <w:lang w:val="en-GB"/>
        </w:rPr>
        <w:t xml:space="preserve"> </w:t>
      </w:r>
      <w:r w:rsidRPr="003832E8">
        <w:rPr>
          <w:lang w:val="en-GB"/>
        </w:rPr>
        <w:t xml:space="preserve">was </w:t>
      </w:r>
      <w:r w:rsidR="008356E6">
        <w:rPr>
          <w:lang w:val="en-GB"/>
        </w:rPr>
        <w:t>attractive especially</w:t>
      </w:r>
      <w:r w:rsidRPr="003832E8">
        <w:rPr>
          <w:lang w:val="en-GB"/>
        </w:rPr>
        <w:t xml:space="preserve"> </w:t>
      </w:r>
      <w:r w:rsidR="008356E6">
        <w:rPr>
          <w:lang w:val="en-GB"/>
        </w:rPr>
        <w:t xml:space="preserve">to </w:t>
      </w:r>
      <w:r w:rsidRPr="003832E8">
        <w:rPr>
          <w:lang w:val="en-GB"/>
        </w:rPr>
        <w:t>elderly people</w:t>
      </w:r>
      <w:r w:rsidR="008356E6">
        <w:rPr>
          <w:lang w:val="en-GB"/>
        </w:rPr>
        <w:t xml:space="preserve"> and affected mostly them, </w:t>
      </w:r>
      <w:r w:rsidR="00402FBF">
        <w:rPr>
          <w:lang w:val="en-GB"/>
        </w:rPr>
        <w:t xml:space="preserve">and </w:t>
      </w:r>
      <w:r w:rsidR="008356E6">
        <w:rPr>
          <w:lang w:val="en-GB"/>
        </w:rPr>
        <w:t>the trader could expect</w:t>
      </w:r>
      <w:r w:rsidR="00402FBF">
        <w:rPr>
          <w:lang w:val="en-GB"/>
        </w:rPr>
        <w:t xml:space="preserve"> this</w:t>
      </w:r>
      <w:r w:rsidR="00D2090F">
        <w:rPr>
          <w:lang w:val="en-GB"/>
        </w:rPr>
        <w:t>,</w:t>
      </w:r>
      <w:r w:rsidR="008356E6">
        <w:rPr>
          <w:lang w:val="en-GB"/>
        </w:rPr>
        <w:t xml:space="preserve"> based on the previously conducted, own market research</w:t>
      </w:r>
      <w:r w:rsidRPr="003832E8">
        <w:rPr>
          <w:lang w:val="en-GB"/>
        </w:rPr>
        <w:t xml:space="preserve">. Under the UCPD </w:t>
      </w:r>
      <w:r w:rsidRPr="003832E8">
        <w:rPr>
          <w:lang w:val="en-GB"/>
        </w:rPr>
        <w:lastRenderedPageBreak/>
        <w:t>provisions</w:t>
      </w:r>
      <w:r w:rsidR="008356E6">
        <w:rPr>
          <w:lang w:val="en-GB"/>
        </w:rPr>
        <w:t xml:space="preserve">, </w:t>
      </w:r>
      <w:r w:rsidR="00431CB9">
        <w:rPr>
          <w:lang w:val="en-GB"/>
        </w:rPr>
        <w:t xml:space="preserve">national </w:t>
      </w:r>
      <w:r w:rsidR="008356E6">
        <w:rPr>
          <w:lang w:val="en-GB"/>
        </w:rPr>
        <w:t xml:space="preserve">courts </w:t>
      </w:r>
      <w:r w:rsidR="00431CB9">
        <w:rPr>
          <w:lang w:val="en-GB"/>
        </w:rPr>
        <w:t>and the CJEU sh</w:t>
      </w:r>
      <w:r w:rsidR="008356E6">
        <w:rPr>
          <w:lang w:val="en-GB"/>
        </w:rPr>
        <w:t>ould then use</w:t>
      </w:r>
      <w:r w:rsidRPr="003832E8">
        <w:rPr>
          <w:lang w:val="en-GB"/>
        </w:rPr>
        <w:t xml:space="preserve"> an average elderly person as a benchmark in the assessment of the unfairness</w:t>
      </w:r>
      <w:r w:rsidR="008F13BC">
        <w:rPr>
          <w:lang w:val="en-GB"/>
        </w:rPr>
        <w:t xml:space="preserve"> of market practices concerning the credit provision</w:t>
      </w:r>
      <w:r w:rsidR="00431CB9">
        <w:rPr>
          <w:lang w:val="en-GB"/>
        </w:rPr>
        <w:t>. However,</w:t>
      </w:r>
      <w:r w:rsidRPr="003832E8">
        <w:rPr>
          <w:lang w:val="en-GB"/>
        </w:rPr>
        <w:t xml:space="preserve"> other consumer protection measures, such as</w:t>
      </w:r>
      <w:r w:rsidR="008356E6">
        <w:rPr>
          <w:lang w:val="en-GB"/>
        </w:rPr>
        <w:t>,</w:t>
      </w:r>
      <w:r w:rsidRPr="003832E8">
        <w:rPr>
          <w:lang w:val="en-GB"/>
        </w:rPr>
        <w:t xml:space="preserve"> e.g.</w:t>
      </w:r>
      <w:r w:rsidR="008356E6">
        <w:rPr>
          <w:lang w:val="en-GB"/>
        </w:rPr>
        <w:t>,</w:t>
      </w:r>
      <w:r w:rsidRPr="003832E8">
        <w:rPr>
          <w:lang w:val="en-GB"/>
        </w:rPr>
        <w:t xml:space="preserve"> the UCTD </w:t>
      </w:r>
      <w:r w:rsidR="008356E6">
        <w:rPr>
          <w:lang w:val="en-GB"/>
        </w:rPr>
        <w:t xml:space="preserve">or Directive 2015/2302 that </w:t>
      </w:r>
      <w:proofErr w:type="gramStart"/>
      <w:r w:rsidR="008356E6">
        <w:rPr>
          <w:lang w:val="en-GB"/>
        </w:rPr>
        <w:t>do</w:t>
      </w:r>
      <w:proofErr w:type="gramEnd"/>
      <w:r w:rsidR="008356E6">
        <w:rPr>
          <w:lang w:val="en-GB"/>
        </w:rPr>
        <w:t xml:space="preserve"> not even </w:t>
      </w:r>
      <w:r w:rsidR="00D2090F">
        <w:rPr>
          <w:lang w:val="en-GB"/>
        </w:rPr>
        <w:t xml:space="preserve">contain </w:t>
      </w:r>
      <w:r w:rsidR="008356E6">
        <w:rPr>
          <w:lang w:val="en-GB"/>
        </w:rPr>
        <w:t xml:space="preserve">the average consumer’s notion, </w:t>
      </w:r>
      <w:r w:rsidRPr="003832E8">
        <w:rPr>
          <w:lang w:val="en-GB"/>
        </w:rPr>
        <w:t>do not foresee such a possibility.</w:t>
      </w:r>
      <w:r w:rsidR="008356E6">
        <w:rPr>
          <w:lang w:val="en-GB"/>
        </w:rPr>
        <w:t xml:space="preserve"> </w:t>
      </w:r>
      <w:r w:rsidR="00977A65">
        <w:rPr>
          <w:lang w:val="en-GB"/>
        </w:rPr>
        <w:t xml:space="preserve">Of course, when the courts start applying the average consumer’s benchmark without a legislative basis for this, we might, as well, expect that they </w:t>
      </w:r>
      <w:r w:rsidR="008356E6">
        <w:rPr>
          <w:lang w:val="en-GB"/>
        </w:rPr>
        <w:t xml:space="preserve">would </w:t>
      </w:r>
      <w:r w:rsidR="00977A65">
        <w:rPr>
          <w:lang w:val="en-GB"/>
        </w:rPr>
        <w:t xml:space="preserve">also </w:t>
      </w:r>
      <w:r w:rsidR="008356E6">
        <w:rPr>
          <w:lang w:val="en-GB"/>
        </w:rPr>
        <w:t xml:space="preserve">begin to imply a benchmark of a vulnerable consumer in their </w:t>
      </w:r>
      <w:r w:rsidR="009B621E">
        <w:rPr>
          <w:lang w:val="en-GB"/>
        </w:rPr>
        <w:t>enactment</w:t>
      </w:r>
      <w:r w:rsidR="008356E6">
        <w:rPr>
          <w:lang w:val="en-GB"/>
        </w:rPr>
        <w:t xml:space="preserve"> of </w:t>
      </w:r>
      <w:r w:rsidR="00E0181C">
        <w:rPr>
          <w:lang w:val="en-GB"/>
        </w:rPr>
        <w:t xml:space="preserve">the </w:t>
      </w:r>
      <w:r w:rsidR="008356E6">
        <w:rPr>
          <w:lang w:val="en-GB"/>
        </w:rPr>
        <w:t xml:space="preserve">consumer </w:t>
      </w:r>
      <w:r w:rsidR="008356E6">
        <w:rPr>
          <w:i/>
          <w:lang w:val="en-GB"/>
        </w:rPr>
        <w:t>acquis</w:t>
      </w:r>
      <w:r w:rsidR="008356E6">
        <w:rPr>
          <w:lang w:val="en-GB"/>
        </w:rPr>
        <w:t>.</w:t>
      </w:r>
    </w:p>
    <w:p w:rsidR="00EE415C" w:rsidRDefault="00EE415C" w:rsidP="00B06978">
      <w:pPr>
        <w:pStyle w:val="ListParagraph"/>
        <w:ind w:left="360"/>
        <w:jc w:val="both"/>
        <w:rPr>
          <w:lang w:val="en-GB"/>
        </w:rPr>
      </w:pPr>
    </w:p>
    <w:p w:rsidR="00EE415C" w:rsidRPr="00EE415C" w:rsidRDefault="00EE415C" w:rsidP="00B06978">
      <w:pPr>
        <w:pStyle w:val="ListParagraph"/>
        <w:ind w:left="360"/>
        <w:jc w:val="both"/>
        <w:rPr>
          <w:lang w:val="en-GB"/>
        </w:rPr>
      </w:pPr>
      <w:r>
        <w:rPr>
          <w:lang w:val="en-GB"/>
        </w:rPr>
        <w:t xml:space="preserve">Whether this </w:t>
      </w:r>
      <w:r w:rsidR="0081702A">
        <w:rPr>
          <w:lang w:val="en-GB"/>
        </w:rPr>
        <w:t xml:space="preserve">implication </w:t>
      </w:r>
      <w:r>
        <w:rPr>
          <w:lang w:val="en-GB"/>
        </w:rPr>
        <w:t>would indeed occur</w:t>
      </w:r>
      <w:r w:rsidR="00FF1295">
        <w:rPr>
          <w:lang w:val="en-GB"/>
        </w:rPr>
        <w:t>,</w:t>
      </w:r>
      <w:r>
        <w:rPr>
          <w:lang w:val="en-GB"/>
        </w:rPr>
        <w:t xml:space="preserve"> we may doubt</w:t>
      </w:r>
      <w:r w:rsidR="00FF1295">
        <w:rPr>
          <w:lang w:val="en-GB"/>
        </w:rPr>
        <w:t>,</w:t>
      </w:r>
      <w:r>
        <w:rPr>
          <w:lang w:val="en-GB"/>
        </w:rPr>
        <w:t xml:space="preserve"> based on the </w:t>
      </w:r>
      <w:r w:rsidR="00E63C9B">
        <w:rPr>
          <w:lang w:val="en-GB"/>
        </w:rPr>
        <w:t>CJEU</w:t>
      </w:r>
      <w:r w:rsidR="00E0181C">
        <w:rPr>
          <w:lang w:val="en-GB"/>
        </w:rPr>
        <w:t xml:space="preserve">’s case law to date that does not mention such a possibility. Especially </w:t>
      </w:r>
      <w:r>
        <w:rPr>
          <w:lang w:val="en-GB"/>
        </w:rPr>
        <w:t xml:space="preserve">the </w:t>
      </w:r>
      <w:r>
        <w:rPr>
          <w:i/>
          <w:lang w:val="en-GB"/>
        </w:rPr>
        <w:t>Van Hove</w:t>
      </w:r>
      <w:r>
        <w:rPr>
          <w:lang w:val="en-GB"/>
        </w:rPr>
        <w:t xml:space="preserve"> </w:t>
      </w:r>
      <w:proofErr w:type="gramStart"/>
      <w:r>
        <w:rPr>
          <w:lang w:val="en-GB"/>
        </w:rPr>
        <w:t>case</w:t>
      </w:r>
      <w:r w:rsidR="00E0181C">
        <w:rPr>
          <w:lang w:val="en-GB"/>
        </w:rPr>
        <w:t>,</w:t>
      </w:r>
      <w:proofErr w:type="gramEnd"/>
      <w:r w:rsidR="00E0181C">
        <w:rPr>
          <w:lang w:val="en-GB"/>
        </w:rPr>
        <w:t xml:space="preserve"> </w:t>
      </w:r>
      <w:r w:rsidR="00F6592F">
        <w:rPr>
          <w:lang w:val="en-GB"/>
        </w:rPr>
        <w:t xml:space="preserve">provided </w:t>
      </w:r>
      <w:r w:rsidR="00E0181C">
        <w:rPr>
          <w:lang w:val="en-GB"/>
        </w:rPr>
        <w:t xml:space="preserve">the </w:t>
      </w:r>
      <w:r w:rsidR="00E63C9B">
        <w:rPr>
          <w:lang w:val="en-GB"/>
        </w:rPr>
        <w:t>CJEU</w:t>
      </w:r>
      <w:r w:rsidR="00E0181C">
        <w:rPr>
          <w:lang w:val="en-GB"/>
        </w:rPr>
        <w:t xml:space="preserve"> </w:t>
      </w:r>
      <w:r w:rsidR="00F6592F">
        <w:rPr>
          <w:lang w:val="en-GB"/>
        </w:rPr>
        <w:t xml:space="preserve">with an opportunity to elaborate on the </w:t>
      </w:r>
      <w:r w:rsidR="00E0181C">
        <w:rPr>
          <w:lang w:val="en-GB"/>
        </w:rPr>
        <w:t>scope of protection of vulnerable consumers</w:t>
      </w:r>
      <w:r>
        <w:rPr>
          <w:lang w:val="en-GB"/>
        </w:rPr>
        <w:t xml:space="preserve">. </w:t>
      </w:r>
      <w:r w:rsidR="00E0181C">
        <w:rPr>
          <w:lang w:val="en-GB"/>
        </w:rPr>
        <w:t>In this case, t</w:t>
      </w:r>
      <w:r>
        <w:rPr>
          <w:lang w:val="en-GB"/>
        </w:rPr>
        <w:t>he</w:t>
      </w:r>
      <w:r w:rsidR="00F6592F">
        <w:rPr>
          <w:lang w:val="en-GB"/>
        </w:rPr>
        <w:t xml:space="preserve"> insurance provided to a consumer</w:t>
      </w:r>
      <w:r>
        <w:rPr>
          <w:lang w:val="en-GB"/>
        </w:rPr>
        <w:t xml:space="preserve"> aimed at protecting </w:t>
      </w:r>
      <w:r w:rsidR="00F6592F">
        <w:rPr>
          <w:lang w:val="en-GB"/>
        </w:rPr>
        <w:t xml:space="preserve">him or her </w:t>
      </w:r>
      <w:r>
        <w:rPr>
          <w:lang w:val="en-GB"/>
        </w:rPr>
        <w:t xml:space="preserve">against the risk of </w:t>
      </w:r>
      <w:r w:rsidR="00E0181C">
        <w:rPr>
          <w:lang w:val="en-GB"/>
        </w:rPr>
        <w:t xml:space="preserve">a </w:t>
      </w:r>
      <w:r>
        <w:rPr>
          <w:lang w:val="en-GB"/>
        </w:rPr>
        <w:t>default on the mortgage loan payments due to the borrower</w:t>
      </w:r>
      <w:r w:rsidR="00FF1295">
        <w:rPr>
          <w:lang w:val="en-GB"/>
        </w:rPr>
        <w:t>s</w:t>
      </w:r>
      <w:r>
        <w:rPr>
          <w:lang w:val="en-GB"/>
        </w:rPr>
        <w:t xml:space="preserve">’ incapacity for work. </w:t>
      </w:r>
      <w:r w:rsidR="00D42C3C">
        <w:rPr>
          <w:lang w:val="en-GB"/>
        </w:rPr>
        <w:t xml:space="preserve">It seems thus, that the commercial practice of providing such insurances could affect mostly vulnerable consumers, i.e., consumers who might already have a limited potential on the employment market, e.g., because of their age or mobility. The </w:t>
      </w:r>
      <w:r w:rsidR="00E63C9B">
        <w:rPr>
          <w:lang w:val="en-GB"/>
        </w:rPr>
        <w:t>CJEU</w:t>
      </w:r>
      <w:r w:rsidR="00D42C3C">
        <w:rPr>
          <w:lang w:val="en-GB"/>
        </w:rPr>
        <w:t xml:space="preserve"> applied, however, the </w:t>
      </w:r>
      <w:r w:rsidR="00F6592F">
        <w:rPr>
          <w:lang w:val="en-GB"/>
        </w:rPr>
        <w:t xml:space="preserve">standard </w:t>
      </w:r>
      <w:r w:rsidR="00D42C3C">
        <w:rPr>
          <w:lang w:val="en-GB"/>
        </w:rPr>
        <w:t>benchmark</w:t>
      </w:r>
      <w:r w:rsidR="00F6592F">
        <w:rPr>
          <w:lang w:val="en-GB"/>
        </w:rPr>
        <w:t xml:space="preserve"> of an average consumer</w:t>
      </w:r>
      <w:r w:rsidR="00D42C3C">
        <w:rPr>
          <w:lang w:val="en-GB"/>
        </w:rPr>
        <w:t xml:space="preserve">, without considering the </w:t>
      </w:r>
      <w:r w:rsidR="000B426E">
        <w:rPr>
          <w:lang w:val="en-GB"/>
        </w:rPr>
        <w:t>possibility that this contract could affect vulnerable consumers and thus the standard would need to be adjusted</w:t>
      </w:r>
      <w:r w:rsidR="0066217A">
        <w:rPr>
          <w:rStyle w:val="FootnoteReference"/>
          <w:lang w:val="en-GB"/>
        </w:rPr>
        <w:footnoteReference w:id="33"/>
      </w:r>
      <w:r w:rsidR="00D42C3C">
        <w:rPr>
          <w:lang w:val="en-GB"/>
        </w:rPr>
        <w:t>.</w:t>
      </w:r>
    </w:p>
    <w:p w:rsidR="007076F7" w:rsidRPr="003832E8" w:rsidRDefault="007076F7" w:rsidP="00B06978">
      <w:pPr>
        <w:pStyle w:val="ListParagraph"/>
        <w:ind w:left="360"/>
        <w:jc w:val="both"/>
        <w:rPr>
          <w:lang w:val="en-GB"/>
        </w:rPr>
      </w:pPr>
    </w:p>
    <w:p w:rsidR="006A0D0B" w:rsidRPr="003832E8" w:rsidRDefault="007076F7" w:rsidP="00B06978">
      <w:pPr>
        <w:pStyle w:val="ListParagraph"/>
        <w:ind w:left="360"/>
        <w:jc w:val="both"/>
        <w:rPr>
          <w:lang w:val="en-GB"/>
        </w:rPr>
      </w:pPr>
      <w:r w:rsidRPr="003832E8">
        <w:rPr>
          <w:lang w:val="en-GB"/>
        </w:rPr>
        <w:t xml:space="preserve">This </w:t>
      </w:r>
      <w:r w:rsidR="00446745">
        <w:rPr>
          <w:lang w:val="en-GB"/>
        </w:rPr>
        <w:t xml:space="preserve">disassociation </w:t>
      </w:r>
      <w:r w:rsidRPr="003832E8">
        <w:rPr>
          <w:lang w:val="en-GB"/>
        </w:rPr>
        <w:t xml:space="preserve">of vulnerable consumers from </w:t>
      </w:r>
      <w:r w:rsidR="008F13BC">
        <w:rPr>
          <w:lang w:val="en-GB"/>
        </w:rPr>
        <w:t xml:space="preserve">the </w:t>
      </w:r>
      <w:r w:rsidRPr="003832E8">
        <w:rPr>
          <w:lang w:val="en-GB"/>
        </w:rPr>
        <w:t xml:space="preserve">average consumer group may also be important in the travel sector. </w:t>
      </w:r>
      <w:r w:rsidR="0087150D">
        <w:rPr>
          <w:lang w:val="en-GB"/>
        </w:rPr>
        <w:t xml:space="preserve">While the </w:t>
      </w:r>
      <w:r w:rsidR="00446745">
        <w:rPr>
          <w:lang w:val="en-GB"/>
        </w:rPr>
        <w:t>Directive 2015/2302</w:t>
      </w:r>
      <w:r w:rsidRPr="003832E8">
        <w:rPr>
          <w:lang w:val="en-GB"/>
        </w:rPr>
        <w:t xml:space="preserve"> does not introduce a concept of an </w:t>
      </w:r>
      <w:r w:rsidR="0087150D">
        <w:rPr>
          <w:lang w:val="en-GB"/>
        </w:rPr>
        <w:t>“</w:t>
      </w:r>
      <w:r w:rsidRPr="003832E8">
        <w:rPr>
          <w:lang w:val="en-GB"/>
        </w:rPr>
        <w:t xml:space="preserve">average </w:t>
      </w:r>
      <w:r w:rsidR="00B5315F" w:rsidRPr="003832E8">
        <w:rPr>
          <w:lang w:val="en-GB"/>
        </w:rPr>
        <w:t>traveller</w:t>
      </w:r>
      <w:r w:rsidRPr="003832E8">
        <w:rPr>
          <w:lang w:val="en-GB"/>
        </w:rPr>
        <w:t>”</w:t>
      </w:r>
      <w:r w:rsidR="0087150D">
        <w:rPr>
          <w:lang w:val="en-GB"/>
        </w:rPr>
        <w:t>,</w:t>
      </w:r>
      <w:r w:rsidRPr="003832E8">
        <w:rPr>
          <w:lang w:val="en-GB"/>
        </w:rPr>
        <w:t xml:space="preserve"> </w:t>
      </w:r>
      <w:r w:rsidR="0087150D">
        <w:rPr>
          <w:lang w:val="en-GB"/>
        </w:rPr>
        <w:t>t</w:t>
      </w:r>
      <w:r w:rsidRPr="003832E8">
        <w:rPr>
          <w:lang w:val="en-GB"/>
        </w:rPr>
        <w:t xml:space="preserve">his argument may soon no longer </w:t>
      </w:r>
      <w:r w:rsidR="0087150D">
        <w:rPr>
          <w:lang w:val="en-GB"/>
        </w:rPr>
        <w:t>suffice</w:t>
      </w:r>
      <w:r w:rsidRPr="003832E8">
        <w:rPr>
          <w:lang w:val="en-GB"/>
        </w:rPr>
        <w:t xml:space="preserve">, since, as mentioned above, neither did the UCTD. If, at one point, the </w:t>
      </w:r>
      <w:r w:rsidR="00E63C9B">
        <w:rPr>
          <w:lang w:val="en-GB"/>
        </w:rPr>
        <w:t>CJEU</w:t>
      </w:r>
      <w:r w:rsidR="00F77790">
        <w:rPr>
          <w:lang w:val="en-GB"/>
        </w:rPr>
        <w:t xml:space="preserve"> </w:t>
      </w:r>
      <w:r w:rsidRPr="003832E8">
        <w:rPr>
          <w:lang w:val="en-GB"/>
        </w:rPr>
        <w:t xml:space="preserve">needs to assess whether the mandatory information provided under the </w:t>
      </w:r>
      <w:r w:rsidR="00F77790">
        <w:rPr>
          <w:lang w:val="en-GB"/>
        </w:rPr>
        <w:t>Directive 2015/2302</w:t>
      </w:r>
      <w:r w:rsidRPr="003832E8">
        <w:rPr>
          <w:lang w:val="en-GB"/>
        </w:rPr>
        <w:t xml:space="preserve"> to </w:t>
      </w:r>
      <w:r w:rsidR="00B5315F">
        <w:rPr>
          <w:lang w:val="en-GB"/>
        </w:rPr>
        <w:t>traveller</w:t>
      </w:r>
      <w:r w:rsidR="006A0D0B" w:rsidRPr="003832E8">
        <w:rPr>
          <w:lang w:val="en-GB"/>
        </w:rPr>
        <w:t xml:space="preserve">s </w:t>
      </w:r>
      <w:r w:rsidRPr="003832E8">
        <w:rPr>
          <w:lang w:val="en-GB"/>
        </w:rPr>
        <w:t>was transparent</w:t>
      </w:r>
      <w:r w:rsidR="00F77790">
        <w:rPr>
          <w:lang w:val="en-GB"/>
        </w:rPr>
        <w:t xml:space="preserve"> pursuant to its Article 5(3)</w:t>
      </w:r>
      <w:r w:rsidRPr="003832E8">
        <w:rPr>
          <w:lang w:val="en-GB"/>
        </w:rPr>
        <w:t xml:space="preserve">, it may rely on the </w:t>
      </w:r>
      <w:r w:rsidR="00685D5F">
        <w:rPr>
          <w:lang w:val="en-GB"/>
        </w:rPr>
        <w:t xml:space="preserve">already established </w:t>
      </w:r>
      <w:r w:rsidR="006A0D0B" w:rsidRPr="003832E8">
        <w:rPr>
          <w:lang w:val="en-GB"/>
        </w:rPr>
        <w:t>perception of transparency</w:t>
      </w:r>
      <w:r w:rsidR="00685D5F">
        <w:rPr>
          <w:lang w:val="en-GB"/>
        </w:rPr>
        <w:t>,</w:t>
      </w:r>
      <w:r w:rsidR="006A0D0B" w:rsidRPr="003832E8">
        <w:rPr>
          <w:lang w:val="en-GB"/>
        </w:rPr>
        <w:t xml:space="preserve"> of a reasonably well informed, and reasonably observant and circumspect </w:t>
      </w:r>
      <w:r w:rsidR="00B5315F">
        <w:rPr>
          <w:lang w:val="en-GB"/>
        </w:rPr>
        <w:t>traveller</w:t>
      </w:r>
      <w:r w:rsidR="006A0D0B" w:rsidRPr="003832E8">
        <w:rPr>
          <w:lang w:val="en-GB"/>
        </w:rPr>
        <w:t xml:space="preserve">. If, </w:t>
      </w:r>
      <w:r w:rsidR="008527D1">
        <w:rPr>
          <w:lang w:val="en-GB"/>
        </w:rPr>
        <w:t>indeed</w:t>
      </w:r>
      <w:r w:rsidR="006A0D0B" w:rsidRPr="003832E8">
        <w:rPr>
          <w:lang w:val="en-GB"/>
        </w:rPr>
        <w:t xml:space="preserve">, this high standard </w:t>
      </w:r>
      <w:r w:rsidR="008527D1">
        <w:rPr>
          <w:lang w:val="en-GB"/>
        </w:rPr>
        <w:t xml:space="preserve">for the assessment of the </w:t>
      </w:r>
      <w:r w:rsidR="006A0D0B" w:rsidRPr="003832E8">
        <w:rPr>
          <w:lang w:val="en-GB"/>
        </w:rPr>
        <w:t xml:space="preserve">understanding </w:t>
      </w:r>
      <w:r w:rsidR="008527D1">
        <w:rPr>
          <w:lang w:val="en-GB"/>
        </w:rPr>
        <w:t xml:space="preserve">of </w:t>
      </w:r>
      <w:r w:rsidR="006A0D0B" w:rsidRPr="003832E8">
        <w:rPr>
          <w:lang w:val="en-GB"/>
        </w:rPr>
        <w:t xml:space="preserve">disclosures applies, vulnerable </w:t>
      </w:r>
      <w:r w:rsidR="00B5315F">
        <w:rPr>
          <w:lang w:val="en-GB"/>
        </w:rPr>
        <w:t>traveller</w:t>
      </w:r>
      <w:r w:rsidR="006A0D0B" w:rsidRPr="003832E8">
        <w:rPr>
          <w:lang w:val="en-GB"/>
        </w:rPr>
        <w:t>s, e.g.</w:t>
      </w:r>
      <w:r w:rsidR="008527D1">
        <w:rPr>
          <w:lang w:val="en-GB"/>
        </w:rPr>
        <w:t>,</w:t>
      </w:r>
      <w:r w:rsidR="006A0D0B" w:rsidRPr="003832E8">
        <w:rPr>
          <w:lang w:val="en-GB"/>
        </w:rPr>
        <w:t xml:space="preserve"> </w:t>
      </w:r>
      <w:r w:rsidR="0096130B" w:rsidRPr="003832E8">
        <w:rPr>
          <w:lang w:val="en-GB"/>
        </w:rPr>
        <w:t>seniors or minors,</w:t>
      </w:r>
      <w:r w:rsidR="006A0D0B" w:rsidRPr="003832E8">
        <w:rPr>
          <w:lang w:val="en-GB"/>
        </w:rPr>
        <w:t xml:space="preserve"> or </w:t>
      </w:r>
      <w:r w:rsidR="00B5315F">
        <w:rPr>
          <w:lang w:val="en-GB"/>
        </w:rPr>
        <w:t>traveller</w:t>
      </w:r>
      <w:r w:rsidR="0096130B" w:rsidRPr="003832E8">
        <w:rPr>
          <w:lang w:val="en-GB"/>
        </w:rPr>
        <w:t>s with reduced mobility</w:t>
      </w:r>
      <w:r w:rsidR="006A0D0B" w:rsidRPr="003832E8">
        <w:rPr>
          <w:lang w:val="en-GB"/>
        </w:rPr>
        <w:t xml:space="preserve">, may require </w:t>
      </w:r>
      <w:r w:rsidR="008527D1">
        <w:rPr>
          <w:lang w:val="en-GB"/>
        </w:rPr>
        <w:t xml:space="preserve">the </w:t>
      </w:r>
      <w:r w:rsidR="00E63C9B">
        <w:rPr>
          <w:lang w:val="en-GB"/>
        </w:rPr>
        <w:t>CJEU</w:t>
      </w:r>
      <w:r w:rsidR="008527D1">
        <w:rPr>
          <w:lang w:val="en-GB"/>
        </w:rPr>
        <w:t xml:space="preserve"> to establish an additional level </w:t>
      </w:r>
      <w:r w:rsidR="00CA6C28">
        <w:rPr>
          <w:lang w:val="en-GB"/>
        </w:rPr>
        <w:t xml:space="preserve">of protection </w:t>
      </w:r>
      <w:r w:rsidR="008527D1">
        <w:rPr>
          <w:lang w:val="en-GB"/>
        </w:rPr>
        <w:t>for them</w:t>
      </w:r>
      <w:r w:rsidR="006A0D0B" w:rsidRPr="003832E8">
        <w:rPr>
          <w:lang w:val="en-GB"/>
        </w:rPr>
        <w:t>.</w:t>
      </w:r>
    </w:p>
    <w:p w:rsidR="006A0D0B" w:rsidRPr="003832E8" w:rsidRDefault="006A0D0B" w:rsidP="00B06978">
      <w:pPr>
        <w:pStyle w:val="ListParagraph"/>
        <w:ind w:left="360"/>
        <w:jc w:val="both"/>
        <w:rPr>
          <w:lang w:val="en-GB"/>
        </w:rPr>
      </w:pPr>
    </w:p>
    <w:p w:rsidR="006A0D0B" w:rsidRDefault="008F13BC" w:rsidP="00B06978">
      <w:pPr>
        <w:pStyle w:val="ListParagraph"/>
        <w:ind w:left="360"/>
        <w:jc w:val="both"/>
        <w:rPr>
          <w:lang w:val="en-GB"/>
        </w:rPr>
      </w:pPr>
      <w:r>
        <w:rPr>
          <w:lang w:val="en-GB"/>
        </w:rPr>
        <w:t>Perhaps s</w:t>
      </w:r>
      <w:r w:rsidR="009418EB">
        <w:rPr>
          <w:lang w:val="en-GB"/>
        </w:rPr>
        <w:t xml:space="preserve">urprisingly, the concept of a vulnerable traveller is not foreign to </w:t>
      </w:r>
      <w:r>
        <w:rPr>
          <w:lang w:val="en-GB"/>
        </w:rPr>
        <w:t xml:space="preserve">the </w:t>
      </w:r>
      <w:r w:rsidR="009418EB">
        <w:rPr>
          <w:lang w:val="en-GB"/>
        </w:rPr>
        <w:t>Directive 2015/2302, contrary to the benchmark</w:t>
      </w:r>
      <w:r w:rsidR="00972E0F">
        <w:rPr>
          <w:lang w:val="en-GB"/>
        </w:rPr>
        <w:t xml:space="preserve"> of an average consumer</w:t>
      </w:r>
      <w:r w:rsidR="009418EB">
        <w:rPr>
          <w:lang w:val="en-GB"/>
        </w:rPr>
        <w:t>.</w:t>
      </w:r>
      <w:r w:rsidR="007D0B93">
        <w:rPr>
          <w:lang w:val="en-GB"/>
        </w:rPr>
        <w:t xml:space="preserve"> While the old PTD did not consider in its provisions vulnerable travellers, </w:t>
      </w:r>
      <w:r w:rsidR="00A47748">
        <w:rPr>
          <w:lang w:val="en-GB"/>
        </w:rPr>
        <w:t>Directive 2015/2302</w:t>
      </w:r>
      <w:r w:rsidR="006A0D0B" w:rsidRPr="003832E8">
        <w:rPr>
          <w:lang w:val="en-GB"/>
        </w:rPr>
        <w:t xml:space="preserve"> mentions </w:t>
      </w:r>
      <w:r w:rsidR="007D0B93">
        <w:rPr>
          <w:lang w:val="en-GB"/>
        </w:rPr>
        <w:t xml:space="preserve">them </w:t>
      </w:r>
      <w:r w:rsidR="006A0D0B" w:rsidRPr="003832E8">
        <w:rPr>
          <w:lang w:val="en-GB"/>
        </w:rPr>
        <w:t xml:space="preserve">in its Recital 25 that </w:t>
      </w:r>
      <w:r w:rsidR="002B76BA">
        <w:rPr>
          <w:lang w:val="en-GB"/>
        </w:rPr>
        <w:t xml:space="preserve">appeals to </w:t>
      </w:r>
      <w:r w:rsidR="006A0D0B" w:rsidRPr="003832E8">
        <w:rPr>
          <w:lang w:val="en-GB"/>
        </w:rPr>
        <w:t xml:space="preserve">traders to consider specific and foreseeable needs of </w:t>
      </w:r>
      <w:r w:rsidR="00B5315F">
        <w:rPr>
          <w:lang w:val="en-GB"/>
        </w:rPr>
        <w:t>traveller</w:t>
      </w:r>
      <w:r w:rsidR="006A0D0B" w:rsidRPr="003832E8">
        <w:rPr>
          <w:lang w:val="en-GB"/>
        </w:rPr>
        <w:t xml:space="preserve">s who are particularly vulnerable. </w:t>
      </w:r>
      <w:r w:rsidR="0050097F" w:rsidRPr="003832E8">
        <w:rPr>
          <w:lang w:val="en-GB"/>
        </w:rPr>
        <w:t>As grounds of vulnerability</w:t>
      </w:r>
      <w:r w:rsidR="00EE415C">
        <w:rPr>
          <w:lang w:val="en-GB"/>
        </w:rPr>
        <w:t>,</w:t>
      </w:r>
      <w:r w:rsidR="0050097F" w:rsidRPr="003832E8">
        <w:rPr>
          <w:lang w:val="en-GB"/>
        </w:rPr>
        <w:t xml:space="preserve"> Recital 25 indicates only age and infirmity, but it is </w:t>
      </w:r>
      <w:r w:rsidR="005E3551">
        <w:rPr>
          <w:lang w:val="en-GB"/>
        </w:rPr>
        <w:t xml:space="preserve">conceivable </w:t>
      </w:r>
      <w:r w:rsidR="0050097F" w:rsidRPr="003832E8">
        <w:rPr>
          <w:lang w:val="en-GB"/>
        </w:rPr>
        <w:t xml:space="preserve">that also other characteristics </w:t>
      </w:r>
      <w:r w:rsidR="00061649" w:rsidRPr="003832E8">
        <w:rPr>
          <w:lang w:val="en-GB"/>
        </w:rPr>
        <w:t>c</w:t>
      </w:r>
      <w:r w:rsidR="0050097F" w:rsidRPr="003832E8">
        <w:rPr>
          <w:lang w:val="en-GB"/>
        </w:rPr>
        <w:t xml:space="preserve">ould </w:t>
      </w:r>
      <w:r w:rsidR="00061649" w:rsidRPr="003832E8">
        <w:rPr>
          <w:lang w:val="en-GB"/>
        </w:rPr>
        <w:t xml:space="preserve">lead to such a classification, similarly as under the UCPD. Despite </w:t>
      </w:r>
      <w:r w:rsidR="007D0B93">
        <w:rPr>
          <w:lang w:val="en-GB"/>
        </w:rPr>
        <w:t xml:space="preserve">this </w:t>
      </w:r>
      <w:r w:rsidR="00061649" w:rsidRPr="003832E8">
        <w:rPr>
          <w:lang w:val="en-GB"/>
        </w:rPr>
        <w:t xml:space="preserve">general call to traders to take into account potential vulnerability of </w:t>
      </w:r>
      <w:r w:rsidR="00B5315F">
        <w:rPr>
          <w:lang w:val="en-GB"/>
        </w:rPr>
        <w:t>traveller</w:t>
      </w:r>
      <w:r w:rsidR="00061649" w:rsidRPr="003832E8">
        <w:rPr>
          <w:lang w:val="en-GB"/>
        </w:rPr>
        <w:t xml:space="preserve">s, </w:t>
      </w:r>
      <w:r w:rsidR="005E3551">
        <w:rPr>
          <w:lang w:val="en-GB"/>
        </w:rPr>
        <w:t>Directive 2015/2302</w:t>
      </w:r>
      <w:r w:rsidR="00061649" w:rsidRPr="003832E8">
        <w:rPr>
          <w:lang w:val="en-GB"/>
        </w:rPr>
        <w:t xml:space="preserve"> does not introduce </w:t>
      </w:r>
      <w:r w:rsidR="008D37B3">
        <w:rPr>
          <w:lang w:val="en-GB"/>
        </w:rPr>
        <w:t xml:space="preserve">any </w:t>
      </w:r>
      <w:r w:rsidR="007D0B93" w:rsidRPr="003832E8">
        <w:rPr>
          <w:lang w:val="en-GB"/>
        </w:rPr>
        <w:t>specific</w:t>
      </w:r>
      <w:r w:rsidRPr="008F13BC">
        <w:rPr>
          <w:lang w:val="en-GB"/>
        </w:rPr>
        <w:t xml:space="preserve"> </w:t>
      </w:r>
      <w:r w:rsidRPr="003832E8">
        <w:rPr>
          <w:lang w:val="en-GB"/>
        </w:rPr>
        <w:t xml:space="preserve">duties </w:t>
      </w:r>
      <w:r>
        <w:rPr>
          <w:lang w:val="en-GB"/>
        </w:rPr>
        <w:t>for the traders</w:t>
      </w:r>
      <w:r w:rsidR="007D0B93" w:rsidRPr="003832E8">
        <w:rPr>
          <w:lang w:val="en-GB"/>
        </w:rPr>
        <w:t xml:space="preserve"> </w:t>
      </w:r>
      <w:r w:rsidR="008D37B3">
        <w:rPr>
          <w:lang w:val="en-GB"/>
        </w:rPr>
        <w:t>related to the travelle</w:t>
      </w:r>
      <w:r w:rsidR="007D0B93">
        <w:rPr>
          <w:lang w:val="en-GB"/>
        </w:rPr>
        <w:t>rs’ vulnerability. It also does not set</w:t>
      </w:r>
      <w:r w:rsidR="008D37B3">
        <w:rPr>
          <w:lang w:val="en-GB"/>
        </w:rPr>
        <w:t xml:space="preserve"> </w:t>
      </w:r>
      <w:r w:rsidR="007D0B93">
        <w:rPr>
          <w:lang w:val="en-GB"/>
        </w:rPr>
        <w:t>any vulnerability</w:t>
      </w:r>
      <w:r>
        <w:rPr>
          <w:lang w:val="en-GB"/>
        </w:rPr>
        <w:t>-related</w:t>
      </w:r>
      <w:r w:rsidR="00061649" w:rsidRPr="003832E8">
        <w:rPr>
          <w:lang w:val="en-GB"/>
        </w:rPr>
        <w:t xml:space="preserve"> standards for </w:t>
      </w:r>
      <w:r w:rsidR="008D37B3">
        <w:rPr>
          <w:lang w:val="en-GB"/>
        </w:rPr>
        <w:t xml:space="preserve">the national enforcement authorities to consider in their </w:t>
      </w:r>
      <w:r w:rsidR="00061649" w:rsidRPr="003832E8">
        <w:rPr>
          <w:lang w:val="en-GB"/>
        </w:rPr>
        <w:t xml:space="preserve">assessment of compliance </w:t>
      </w:r>
      <w:r w:rsidR="008D37B3">
        <w:rPr>
          <w:lang w:val="en-GB"/>
        </w:rPr>
        <w:t xml:space="preserve">by the traders with the Directive’s provisions. </w:t>
      </w:r>
      <w:r w:rsidR="00061649" w:rsidRPr="003832E8">
        <w:rPr>
          <w:lang w:val="en-GB"/>
        </w:rPr>
        <w:t>The only special provision, in this regard, is Article 5 para a (viii)</w:t>
      </w:r>
      <w:r w:rsidR="00900893">
        <w:rPr>
          <w:lang w:val="en-GB"/>
        </w:rPr>
        <w:t xml:space="preserve"> of Directive 2015/2302</w:t>
      </w:r>
      <w:r w:rsidR="00061649" w:rsidRPr="003832E8">
        <w:rPr>
          <w:lang w:val="en-GB"/>
        </w:rPr>
        <w:t xml:space="preserve"> that obliges the trader to provide </w:t>
      </w:r>
      <w:r w:rsidR="001A08EF">
        <w:rPr>
          <w:lang w:val="en-GB"/>
        </w:rPr>
        <w:t xml:space="preserve">travellers </w:t>
      </w:r>
      <w:r w:rsidR="00061649" w:rsidRPr="003832E8">
        <w:rPr>
          <w:lang w:val="en-GB"/>
        </w:rPr>
        <w:t xml:space="preserve">with information on the suitability of a given package travel for persons with reduced mobility. </w:t>
      </w:r>
      <w:r w:rsidR="00E46189">
        <w:rPr>
          <w:lang w:val="en-GB"/>
        </w:rPr>
        <w:t>However</w:t>
      </w:r>
      <w:r w:rsidR="00061649" w:rsidRPr="003832E8">
        <w:rPr>
          <w:lang w:val="en-GB"/>
        </w:rPr>
        <w:t xml:space="preserve">, </w:t>
      </w:r>
      <w:r w:rsidR="00E46189">
        <w:rPr>
          <w:lang w:val="en-GB"/>
        </w:rPr>
        <w:t xml:space="preserve">even </w:t>
      </w:r>
      <w:r w:rsidR="00061649" w:rsidRPr="003832E8">
        <w:rPr>
          <w:lang w:val="en-GB"/>
        </w:rPr>
        <w:t xml:space="preserve">this </w:t>
      </w:r>
      <w:r w:rsidR="00E46189">
        <w:rPr>
          <w:lang w:val="en-GB"/>
        </w:rPr>
        <w:lastRenderedPageBreak/>
        <w:t xml:space="preserve">limited </w:t>
      </w:r>
      <w:r w:rsidR="00061649" w:rsidRPr="003832E8">
        <w:rPr>
          <w:lang w:val="en-GB"/>
        </w:rPr>
        <w:t xml:space="preserve">information should </w:t>
      </w:r>
      <w:r w:rsidR="00E46189">
        <w:rPr>
          <w:lang w:val="en-GB"/>
        </w:rPr>
        <w:t xml:space="preserve">only </w:t>
      </w:r>
      <w:r w:rsidR="00061649" w:rsidRPr="003832E8">
        <w:rPr>
          <w:lang w:val="en-GB"/>
        </w:rPr>
        <w:t>be provided</w:t>
      </w:r>
      <w:r w:rsidR="00E46189">
        <w:rPr>
          <w:lang w:val="en-GB"/>
        </w:rPr>
        <w:t xml:space="preserve"> </w:t>
      </w:r>
      <w:r w:rsidR="00061649" w:rsidRPr="003832E8">
        <w:rPr>
          <w:lang w:val="en-GB"/>
        </w:rPr>
        <w:t xml:space="preserve">upon </w:t>
      </w:r>
      <w:r w:rsidR="00A152B7">
        <w:rPr>
          <w:lang w:val="en-GB"/>
        </w:rPr>
        <w:t xml:space="preserve">the </w:t>
      </w:r>
      <w:r w:rsidR="00B5315F">
        <w:rPr>
          <w:lang w:val="en-GB"/>
        </w:rPr>
        <w:t>traveller</w:t>
      </w:r>
      <w:r w:rsidR="00061649" w:rsidRPr="003832E8">
        <w:rPr>
          <w:lang w:val="en-GB"/>
        </w:rPr>
        <w:t xml:space="preserve">’s request, thus the trader </w:t>
      </w:r>
      <w:r w:rsidR="00E46189">
        <w:rPr>
          <w:lang w:val="en-GB"/>
        </w:rPr>
        <w:t xml:space="preserve">still </w:t>
      </w:r>
      <w:r w:rsidR="00E26214" w:rsidRPr="003832E8">
        <w:rPr>
          <w:lang w:val="en-GB"/>
        </w:rPr>
        <w:t xml:space="preserve">does not need to anticipate </w:t>
      </w:r>
      <w:r w:rsidR="00A152B7">
        <w:rPr>
          <w:lang w:val="en-GB"/>
        </w:rPr>
        <w:t xml:space="preserve">the </w:t>
      </w:r>
      <w:r w:rsidR="00B5315F">
        <w:rPr>
          <w:lang w:val="en-GB"/>
        </w:rPr>
        <w:t>traveller</w:t>
      </w:r>
      <w:r w:rsidR="001A08EF">
        <w:rPr>
          <w:lang w:val="en-GB"/>
        </w:rPr>
        <w:t>s</w:t>
      </w:r>
      <w:r w:rsidR="00E26214" w:rsidRPr="003832E8">
        <w:rPr>
          <w:lang w:val="en-GB"/>
        </w:rPr>
        <w:t>’ vulnerability and their special needs</w:t>
      </w:r>
      <w:r w:rsidR="00061649" w:rsidRPr="003832E8">
        <w:rPr>
          <w:lang w:val="en-GB"/>
        </w:rPr>
        <w:t>.</w:t>
      </w:r>
      <w:r w:rsidR="00A152B7">
        <w:rPr>
          <w:lang w:val="en-GB"/>
        </w:rPr>
        <w:t xml:space="preserve"> As a result, also this provision does not force trader</w:t>
      </w:r>
      <w:r w:rsidR="00EF6C44">
        <w:rPr>
          <w:lang w:val="en-GB"/>
        </w:rPr>
        <w:t>s</w:t>
      </w:r>
      <w:r w:rsidR="00A152B7">
        <w:rPr>
          <w:lang w:val="en-GB"/>
        </w:rPr>
        <w:t xml:space="preserve"> to consider the vulnerability of travellers and does not oblige </w:t>
      </w:r>
      <w:r w:rsidR="00A01CA4">
        <w:rPr>
          <w:lang w:val="en-GB"/>
        </w:rPr>
        <w:t xml:space="preserve">them </w:t>
      </w:r>
      <w:r w:rsidR="00A152B7">
        <w:rPr>
          <w:lang w:val="en-GB"/>
        </w:rPr>
        <w:t xml:space="preserve">to accommodate </w:t>
      </w:r>
      <w:r w:rsidR="00A01CA4">
        <w:rPr>
          <w:lang w:val="en-GB"/>
        </w:rPr>
        <w:t xml:space="preserve">consumers’ </w:t>
      </w:r>
      <w:r w:rsidR="00A152B7">
        <w:rPr>
          <w:lang w:val="en-GB"/>
        </w:rPr>
        <w:t>special needs</w:t>
      </w:r>
      <w:r w:rsidR="00EF6C44">
        <w:rPr>
          <w:lang w:val="en-GB"/>
        </w:rPr>
        <w:t xml:space="preserve"> of their own </w:t>
      </w:r>
      <w:r>
        <w:rPr>
          <w:lang w:val="en-GB"/>
        </w:rPr>
        <w:t>motion</w:t>
      </w:r>
      <w:r w:rsidR="00A152B7">
        <w:rPr>
          <w:lang w:val="en-GB"/>
        </w:rPr>
        <w:t>.</w:t>
      </w:r>
    </w:p>
    <w:p w:rsidR="00D3394E" w:rsidRDefault="00D3394E" w:rsidP="00B06978">
      <w:pPr>
        <w:pStyle w:val="ListParagraph"/>
        <w:ind w:left="360"/>
        <w:jc w:val="both"/>
        <w:rPr>
          <w:lang w:val="en-GB"/>
        </w:rPr>
      </w:pPr>
    </w:p>
    <w:p w:rsidR="00894034" w:rsidRDefault="00894034" w:rsidP="00B06978">
      <w:pPr>
        <w:pStyle w:val="ListParagraph"/>
        <w:ind w:left="360"/>
        <w:jc w:val="both"/>
        <w:rPr>
          <w:lang w:val="en-GB"/>
        </w:rPr>
      </w:pPr>
      <w:r w:rsidRPr="003832E8">
        <w:rPr>
          <w:lang w:val="en-GB"/>
        </w:rPr>
        <w:t xml:space="preserve">Due to the lack of special provisions granting </w:t>
      </w:r>
      <w:r w:rsidR="00DD4251">
        <w:rPr>
          <w:lang w:val="en-GB"/>
        </w:rPr>
        <w:t xml:space="preserve">additional </w:t>
      </w:r>
      <w:r w:rsidRPr="003832E8">
        <w:rPr>
          <w:lang w:val="en-GB"/>
        </w:rPr>
        <w:t xml:space="preserve">protection to vulnerable </w:t>
      </w:r>
      <w:r w:rsidR="00B5315F">
        <w:rPr>
          <w:lang w:val="en-GB"/>
        </w:rPr>
        <w:t>traveller</w:t>
      </w:r>
      <w:r w:rsidRPr="003832E8">
        <w:rPr>
          <w:lang w:val="en-GB"/>
        </w:rPr>
        <w:t>s,</w:t>
      </w:r>
      <w:r w:rsidR="008F13BC">
        <w:rPr>
          <w:lang w:val="en-GB"/>
        </w:rPr>
        <w:t xml:space="preserve"> aside the insertion of a new information obligation related to the travellers’ reduced mobility, </w:t>
      </w:r>
      <w:r w:rsidRPr="003832E8">
        <w:rPr>
          <w:lang w:val="en-GB"/>
        </w:rPr>
        <w:t>it is hard to foresee how traders</w:t>
      </w:r>
      <w:r w:rsidR="008F13BC" w:rsidRPr="008F13BC">
        <w:rPr>
          <w:lang w:val="en-GB"/>
        </w:rPr>
        <w:t xml:space="preserve"> </w:t>
      </w:r>
      <w:r w:rsidR="008F13BC" w:rsidRPr="003832E8">
        <w:rPr>
          <w:lang w:val="en-GB"/>
        </w:rPr>
        <w:t>in various Member States</w:t>
      </w:r>
      <w:r w:rsidR="000B4120">
        <w:rPr>
          <w:lang w:val="en-GB"/>
        </w:rPr>
        <w:t>,</w:t>
      </w:r>
      <w:r w:rsidRPr="003832E8">
        <w:rPr>
          <w:lang w:val="en-GB"/>
        </w:rPr>
        <w:t xml:space="preserve"> </w:t>
      </w:r>
      <w:r w:rsidR="000B4120">
        <w:rPr>
          <w:lang w:val="en-GB"/>
        </w:rPr>
        <w:t xml:space="preserve">but </w:t>
      </w:r>
      <w:r w:rsidRPr="003832E8">
        <w:rPr>
          <w:lang w:val="en-GB"/>
        </w:rPr>
        <w:t>also national courts</w:t>
      </w:r>
      <w:r w:rsidR="000B4120">
        <w:rPr>
          <w:lang w:val="en-GB"/>
        </w:rPr>
        <w:t>,</w:t>
      </w:r>
      <w:r w:rsidRPr="003832E8">
        <w:rPr>
          <w:lang w:val="en-GB"/>
        </w:rPr>
        <w:t xml:space="preserve"> will assess and address </w:t>
      </w:r>
      <w:r w:rsidR="00806EE3">
        <w:rPr>
          <w:lang w:val="en-GB"/>
        </w:rPr>
        <w:t xml:space="preserve">such travellers’ </w:t>
      </w:r>
      <w:r w:rsidRPr="003832E8">
        <w:rPr>
          <w:lang w:val="en-GB"/>
        </w:rPr>
        <w:t xml:space="preserve">needs. This seems to be an important omission in the scope of the </w:t>
      </w:r>
      <w:r w:rsidR="00806EE3">
        <w:rPr>
          <w:lang w:val="en-GB"/>
        </w:rPr>
        <w:t>Directive 2015/2302</w:t>
      </w:r>
      <w:r w:rsidRPr="003832E8">
        <w:rPr>
          <w:lang w:val="en-GB"/>
        </w:rPr>
        <w:t>, especially</w:t>
      </w:r>
      <w:r w:rsidR="00556394">
        <w:rPr>
          <w:lang w:val="en-GB"/>
        </w:rPr>
        <w:t>,</w:t>
      </w:r>
      <w:r w:rsidRPr="003832E8">
        <w:rPr>
          <w:lang w:val="en-GB"/>
        </w:rPr>
        <w:t xml:space="preserve"> considering the mention of vulnerable </w:t>
      </w:r>
      <w:r w:rsidR="00B5315F">
        <w:rPr>
          <w:lang w:val="en-GB"/>
        </w:rPr>
        <w:t>traveller</w:t>
      </w:r>
      <w:r w:rsidR="008F13BC">
        <w:rPr>
          <w:lang w:val="en-GB"/>
        </w:rPr>
        <w:t>s</w:t>
      </w:r>
      <w:r w:rsidRPr="003832E8">
        <w:rPr>
          <w:lang w:val="en-GB"/>
        </w:rPr>
        <w:t xml:space="preserve"> in its Recital 25, which shows us that the European legislator did </w:t>
      </w:r>
      <w:r w:rsidR="00647D2E">
        <w:rPr>
          <w:lang w:val="en-GB"/>
        </w:rPr>
        <w:t xml:space="preserve">consider </w:t>
      </w:r>
      <w:r w:rsidRPr="003832E8">
        <w:rPr>
          <w:lang w:val="en-GB"/>
        </w:rPr>
        <w:t>this issue.</w:t>
      </w:r>
      <w:r w:rsidR="009D14F3" w:rsidRPr="009D14F3">
        <w:rPr>
          <w:lang w:val="en-GB"/>
        </w:rPr>
        <w:t xml:space="preserve"> </w:t>
      </w:r>
      <w:r w:rsidR="009D14F3">
        <w:rPr>
          <w:lang w:val="en-GB"/>
        </w:rPr>
        <w:t>Especially surprising is the lack of any provisions that would consider the other</w:t>
      </w:r>
      <w:r w:rsidR="008F13BC">
        <w:rPr>
          <w:lang w:val="en-GB"/>
        </w:rPr>
        <w:t xml:space="preserve"> </w:t>
      </w:r>
      <w:r w:rsidR="009D14F3">
        <w:rPr>
          <w:lang w:val="en-GB"/>
        </w:rPr>
        <w:t>ground for vulnerability mentioned in Recital 25 of the Directive 2015/2302 – the age of travellers. Considering that the travellers’ age is also relatively easy for the tour organizers to foresee, as well as that certain package travel contracts are targeted at particular age groups, this is a surprising oversight.</w:t>
      </w:r>
    </w:p>
    <w:p w:rsidR="00550745" w:rsidRDefault="00550745" w:rsidP="00B06978">
      <w:pPr>
        <w:pStyle w:val="ListParagraph"/>
        <w:ind w:left="360"/>
        <w:jc w:val="both"/>
        <w:rPr>
          <w:lang w:val="en-GB"/>
        </w:rPr>
      </w:pPr>
    </w:p>
    <w:p w:rsidR="00550745" w:rsidRPr="003832E8" w:rsidRDefault="00550745" w:rsidP="00B06978">
      <w:pPr>
        <w:pStyle w:val="ListParagraph"/>
        <w:ind w:left="360"/>
        <w:jc w:val="both"/>
        <w:rPr>
          <w:lang w:val="en-GB"/>
        </w:rPr>
      </w:pPr>
      <w:r>
        <w:rPr>
          <w:lang w:val="en-GB"/>
        </w:rPr>
        <w:t>Before I continue in part VI</w:t>
      </w:r>
      <w:r w:rsidR="003158BC">
        <w:rPr>
          <w:lang w:val="en-GB"/>
        </w:rPr>
        <w:t>I</w:t>
      </w:r>
      <w:r>
        <w:rPr>
          <w:lang w:val="en-GB"/>
        </w:rPr>
        <w:t xml:space="preserve"> with the assessment of what provisions could have been introduced to the Directive 2015/2302 to improve the position of vulnerable travellers,</w:t>
      </w:r>
      <w:r w:rsidR="009D14F3">
        <w:rPr>
          <w:lang w:val="en-GB"/>
        </w:rPr>
        <w:t xml:space="preserve"> especially considering their age,</w:t>
      </w:r>
      <w:r>
        <w:rPr>
          <w:lang w:val="en-GB"/>
        </w:rPr>
        <w:t xml:space="preserve"> I want to shortly introduce current trends in the </w:t>
      </w:r>
      <w:r w:rsidR="008F13BC">
        <w:rPr>
          <w:lang w:val="en-GB"/>
        </w:rPr>
        <w:t xml:space="preserve">travel </w:t>
      </w:r>
      <w:r>
        <w:rPr>
          <w:lang w:val="en-GB"/>
        </w:rPr>
        <w:t xml:space="preserve">sector. </w:t>
      </w:r>
      <w:r w:rsidR="00DD4251">
        <w:rPr>
          <w:lang w:val="en-GB"/>
        </w:rPr>
        <w:t xml:space="preserve">The next </w:t>
      </w:r>
      <w:r w:rsidR="00B37883">
        <w:rPr>
          <w:lang w:val="en-GB"/>
        </w:rPr>
        <w:t xml:space="preserve">sections </w:t>
      </w:r>
      <w:r>
        <w:rPr>
          <w:lang w:val="en-GB"/>
        </w:rPr>
        <w:t xml:space="preserve">illustrate whether and what types of consumers </w:t>
      </w:r>
      <w:r w:rsidR="00B44FD3">
        <w:rPr>
          <w:lang w:val="en-GB"/>
        </w:rPr>
        <w:t xml:space="preserve">nowadays </w:t>
      </w:r>
      <w:r>
        <w:rPr>
          <w:lang w:val="en-GB"/>
        </w:rPr>
        <w:t xml:space="preserve">choose to arrange a package travel and may give us some insights as to the scope of </w:t>
      </w:r>
      <w:r w:rsidR="00B37883">
        <w:rPr>
          <w:lang w:val="en-GB"/>
        </w:rPr>
        <w:t>protection</w:t>
      </w:r>
      <w:r>
        <w:rPr>
          <w:lang w:val="en-GB"/>
        </w:rPr>
        <w:t xml:space="preserve"> of vulnerable traveller</w:t>
      </w:r>
      <w:r w:rsidR="00B37883">
        <w:rPr>
          <w:lang w:val="en-GB"/>
        </w:rPr>
        <w:t>s</w:t>
      </w:r>
      <w:r>
        <w:rPr>
          <w:lang w:val="en-GB"/>
        </w:rPr>
        <w:t>.</w:t>
      </w:r>
    </w:p>
    <w:p w:rsidR="00786DFF" w:rsidRPr="003832E8" w:rsidRDefault="00786DFF" w:rsidP="00B06978">
      <w:pPr>
        <w:pStyle w:val="ListParagraph"/>
        <w:ind w:left="360"/>
        <w:jc w:val="both"/>
        <w:rPr>
          <w:lang w:val="en-GB"/>
        </w:rPr>
      </w:pPr>
    </w:p>
    <w:p w:rsidR="00E41841" w:rsidRDefault="00E41841" w:rsidP="00B06978">
      <w:pPr>
        <w:pStyle w:val="ListParagraph"/>
        <w:numPr>
          <w:ilvl w:val="0"/>
          <w:numId w:val="1"/>
        </w:numPr>
        <w:jc w:val="both"/>
        <w:rPr>
          <w:b/>
          <w:lang w:val="en-GB"/>
        </w:rPr>
      </w:pPr>
      <w:r w:rsidRPr="003832E8">
        <w:rPr>
          <w:b/>
          <w:lang w:val="en-GB"/>
        </w:rPr>
        <w:t xml:space="preserve">Traveling </w:t>
      </w:r>
      <w:r w:rsidR="006C4911">
        <w:rPr>
          <w:b/>
          <w:lang w:val="en-GB"/>
        </w:rPr>
        <w:t>trends in XXI century</w:t>
      </w:r>
    </w:p>
    <w:p w:rsidR="006C4911" w:rsidRDefault="006C4911" w:rsidP="006C4911">
      <w:pPr>
        <w:pStyle w:val="ListParagraph"/>
        <w:ind w:left="360"/>
        <w:jc w:val="both"/>
        <w:rPr>
          <w:b/>
          <w:lang w:val="en-GB"/>
        </w:rPr>
      </w:pPr>
    </w:p>
    <w:p w:rsidR="00D3394E" w:rsidRDefault="00D3394E" w:rsidP="006C4911">
      <w:pPr>
        <w:pStyle w:val="ListParagraph"/>
        <w:ind w:left="360"/>
        <w:jc w:val="both"/>
        <w:rPr>
          <w:lang w:val="en-GB"/>
        </w:rPr>
      </w:pPr>
      <w:r>
        <w:rPr>
          <w:lang w:val="en-GB"/>
        </w:rPr>
        <w:t xml:space="preserve">The first thing that </w:t>
      </w:r>
      <w:r w:rsidR="00B44FD3">
        <w:rPr>
          <w:lang w:val="en-GB"/>
        </w:rPr>
        <w:t xml:space="preserve">attracts </w:t>
      </w:r>
      <w:r>
        <w:rPr>
          <w:lang w:val="en-GB"/>
        </w:rPr>
        <w:t xml:space="preserve">attention when analysing the </w:t>
      </w:r>
      <w:r w:rsidR="00B44FD3">
        <w:rPr>
          <w:lang w:val="en-GB"/>
        </w:rPr>
        <w:t xml:space="preserve">statistical </w:t>
      </w:r>
      <w:r>
        <w:rPr>
          <w:lang w:val="en-GB"/>
        </w:rPr>
        <w:t xml:space="preserve">data </w:t>
      </w:r>
      <w:r w:rsidR="00B75320">
        <w:rPr>
          <w:lang w:val="en-GB"/>
        </w:rPr>
        <w:t xml:space="preserve">regarding </w:t>
      </w:r>
      <w:r>
        <w:rPr>
          <w:lang w:val="en-GB"/>
        </w:rPr>
        <w:t>the European travel sector is the decline in the travellers’ choice for package travel options</w:t>
      </w:r>
      <w:r>
        <w:rPr>
          <w:rStyle w:val="FootnoteReference"/>
          <w:lang w:val="en-GB"/>
        </w:rPr>
        <w:footnoteReference w:id="34"/>
      </w:r>
      <w:r>
        <w:rPr>
          <w:lang w:val="en-GB"/>
        </w:rPr>
        <w:t xml:space="preserve">. Instead, travellers’ tend to choose more often nowadays to organize their holidays and trips through </w:t>
      </w:r>
      <w:r w:rsidRPr="003832E8">
        <w:rPr>
          <w:lang w:val="en-GB"/>
        </w:rPr>
        <w:t>separate</w:t>
      </w:r>
      <w:r>
        <w:rPr>
          <w:lang w:val="en-GB"/>
        </w:rPr>
        <w:t>ly booking various travel services</w:t>
      </w:r>
      <w:r w:rsidRPr="003832E8">
        <w:rPr>
          <w:lang w:val="en-GB"/>
        </w:rPr>
        <w:t xml:space="preserve">. </w:t>
      </w:r>
      <w:r w:rsidR="006C4911" w:rsidRPr="003832E8">
        <w:rPr>
          <w:lang w:val="en-GB"/>
        </w:rPr>
        <w:t xml:space="preserve">We may </w:t>
      </w:r>
      <w:r>
        <w:rPr>
          <w:lang w:val="en-GB"/>
        </w:rPr>
        <w:t xml:space="preserve">thus </w:t>
      </w:r>
      <w:r w:rsidR="006C4911" w:rsidRPr="003832E8">
        <w:rPr>
          <w:lang w:val="en-GB"/>
        </w:rPr>
        <w:t>wonder</w:t>
      </w:r>
      <w:r>
        <w:rPr>
          <w:lang w:val="en-GB"/>
        </w:rPr>
        <w:t>, generally, whether package travel</w:t>
      </w:r>
      <w:r w:rsidR="006C4911" w:rsidRPr="003832E8">
        <w:rPr>
          <w:lang w:val="en-GB"/>
        </w:rPr>
        <w:t xml:space="preserve"> is the future of the travelling sector, and whether the European legislator’s focus should </w:t>
      </w:r>
      <w:r w:rsidR="00B75320">
        <w:rPr>
          <w:lang w:val="en-GB"/>
        </w:rPr>
        <w:t xml:space="preserve">really </w:t>
      </w:r>
      <w:r w:rsidR="006C4911" w:rsidRPr="003832E8">
        <w:rPr>
          <w:lang w:val="en-GB"/>
        </w:rPr>
        <w:t xml:space="preserve">be on the rules </w:t>
      </w:r>
      <w:r>
        <w:rPr>
          <w:lang w:val="en-GB"/>
        </w:rPr>
        <w:t>harmonizing</w:t>
      </w:r>
      <w:r w:rsidR="006C4911" w:rsidRPr="003832E8">
        <w:rPr>
          <w:lang w:val="en-GB"/>
        </w:rPr>
        <w:t xml:space="preserve"> t</w:t>
      </w:r>
      <w:r w:rsidR="00AA59C2">
        <w:rPr>
          <w:lang w:val="en-GB"/>
        </w:rPr>
        <w:t>his</w:t>
      </w:r>
      <w:r w:rsidR="006C4911" w:rsidRPr="003832E8">
        <w:rPr>
          <w:lang w:val="en-GB"/>
        </w:rPr>
        <w:t xml:space="preserve"> type of contract</w:t>
      </w:r>
      <w:r w:rsidR="00AA59C2">
        <w:rPr>
          <w:lang w:val="en-GB"/>
        </w:rPr>
        <w:t xml:space="preserve">. </w:t>
      </w:r>
    </w:p>
    <w:p w:rsidR="00D3394E" w:rsidRDefault="00D3394E" w:rsidP="006C4911">
      <w:pPr>
        <w:pStyle w:val="ListParagraph"/>
        <w:ind w:left="360"/>
        <w:jc w:val="both"/>
        <w:rPr>
          <w:lang w:val="en-GB"/>
        </w:rPr>
      </w:pPr>
    </w:p>
    <w:p w:rsidR="00B66321" w:rsidRDefault="00B75320" w:rsidP="006C4911">
      <w:pPr>
        <w:pStyle w:val="ListParagraph"/>
        <w:ind w:left="360"/>
        <w:jc w:val="both"/>
        <w:rPr>
          <w:lang w:val="en-GB"/>
        </w:rPr>
      </w:pPr>
      <w:r>
        <w:rPr>
          <w:lang w:val="en-GB"/>
        </w:rPr>
        <w:t xml:space="preserve">Even though one might guess that </w:t>
      </w:r>
      <w:r w:rsidR="000875BF">
        <w:rPr>
          <w:lang w:val="en-GB"/>
        </w:rPr>
        <w:t>vulnerable travellers may perceive package travel as a safe option, eliminating some of the risks related to going on holidays</w:t>
      </w:r>
      <w:r w:rsidR="000875BF">
        <w:rPr>
          <w:rStyle w:val="FootnoteReference"/>
          <w:lang w:val="en-GB"/>
        </w:rPr>
        <w:footnoteReference w:id="35"/>
      </w:r>
      <w:r w:rsidR="000875BF">
        <w:rPr>
          <w:lang w:val="en-GB"/>
        </w:rPr>
        <w:t xml:space="preserve">, </w:t>
      </w:r>
      <w:r w:rsidR="00BD19ED">
        <w:rPr>
          <w:lang w:val="en-GB"/>
        </w:rPr>
        <w:t xml:space="preserve">statistics reveal that also </w:t>
      </w:r>
      <w:r w:rsidR="000875BF">
        <w:rPr>
          <w:lang w:val="en-GB"/>
        </w:rPr>
        <w:t xml:space="preserve">travellers that could be perceived as vulnerable due to their age, started to book their holidays </w:t>
      </w:r>
      <w:r w:rsidR="00D13A6B">
        <w:rPr>
          <w:lang w:val="en-GB"/>
        </w:rPr>
        <w:t>individually</w:t>
      </w:r>
      <w:r w:rsidR="000875BF">
        <w:rPr>
          <w:lang w:val="en-GB"/>
        </w:rPr>
        <w:t xml:space="preserve">. </w:t>
      </w:r>
      <w:r w:rsidR="00553B96">
        <w:rPr>
          <w:lang w:val="en-GB"/>
        </w:rPr>
        <w:t xml:space="preserve">It was 42 % of the </w:t>
      </w:r>
      <w:r w:rsidR="00D13A6B">
        <w:rPr>
          <w:lang w:val="en-GB"/>
        </w:rPr>
        <w:t xml:space="preserve">young travellers </w:t>
      </w:r>
      <w:r w:rsidR="00553B96">
        <w:rPr>
          <w:lang w:val="en-GB"/>
        </w:rPr>
        <w:t>(age 15-24) as well as 35% of the elderly travellers (these are traveller</w:t>
      </w:r>
      <w:r w:rsidR="00553B96" w:rsidRPr="003832E8">
        <w:rPr>
          <w:lang w:val="en-GB"/>
        </w:rPr>
        <w:t>s over the age of 55</w:t>
      </w:r>
      <w:r w:rsidR="00553B96">
        <w:rPr>
          <w:lang w:val="en-GB"/>
        </w:rPr>
        <w:t xml:space="preserve">) who booked </w:t>
      </w:r>
      <w:r w:rsidR="00D13A6B">
        <w:rPr>
          <w:lang w:val="en-GB"/>
        </w:rPr>
        <w:t>a</w:t>
      </w:r>
      <w:r w:rsidR="006C4911" w:rsidRPr="003832E8">
        <w:rPr>
          <w:lang w:val="en-GB"/>
        </w:rPr>
        <w:t>t least one non-package trip a year</w:t>
      </w:r>
      <w:r w:rsidR="006B525B">
        <w:rPr>
          <w:rStyle w:val="FootnoteReference"/>
          <w:lang w:val="en-GB"/>
        </w:rPr>
        <w:footnoteReference w:id="36"/>
      </w:r>
      <w:r w:rsidR="00206993">
        <w:rPr>
          <w:lang w:val="en-GB"/>
        </w:rPr>
        <w:t>.</w:t>
      </w:r>
      <w:r w:rsidR="006C4911" w:rsidRPr="003832E8">
        <w:rPr>
          <w:lang w:val="en-GB"/>
        </w:rPr>
        <w:t xml:space="preserve"> Also the OECD report of 2014 mentions that tourists are nowadays more open to self-guided holidays</w:t>
      </w:r>
      <w:r w:rsidR="006C4911" w:rsidRPr="003832E8">
        <w:rPr>
          <w:rStyle w:val="FootnoteReference"/>
          <w:lang w:val="en-GB"/>
        </w:rPr>
        <w:footnoteReference w:id="37"/>
      </w:r>
      <w:r w:rsidR="006C4911" w:rsidRPr="003832E8">
        <w:rPr>
          <w:lang w:val="en-GB"/>
        </w:rPr>
        <w:t xml:space="preserve">. Still, the European legislator while revising the </w:t>
      </w:r>
      <w:r w:rsidR="004E097A">
        <w:rPr>
          <w:lang w:val="en-GB"/>
        </w:rPr>
        <w:t xml:space="preserve">old </w:t>
      </w:r>
      <w:r w:rsidR="006C4911" w:rsidRPr="003832E8">
        <w:rPr>
          <w:lang w:val="en-GB"/>
        </w:rPr>
        <w:t xml:space="preserve">PTD has not decided to forego the notion of a “package” and to regulate all travel contracts equally. </w:t>
      </w:r>
      <w:r w:rsidR="00842929">
        <w:rPr>
          <w:lang w:val="en-GB"/>
        </w:rPr>
        <w:t xml:space="preserve">While the European </w:t>
      </w:r>
      <w:r w:rsidR="00842929">
        <w:rPr>
          <w:lang w:val="en-GB"/>
        </w:rPr>
        <w:lastRenderedPageBreak/>
        <w:t xml:space="preserve">legislator has introduced a wider </w:t>
      </w:r>
      <w:r w:rsidR="006C4911" w:rsidRPr="003832E8">
        <w:rPr>
          <w:lang w:val="en-GB"/>
        </w:rPr>
        <w:t xml:space="preserve">notion of “package” in </w:t>
      </w:r>
      <w:r w:rsidR="004E097A">
        <w:rPr>
          <w:lang w:val="en-GB"/>
        </w:rPr>
        <w:t>Directive 2015/2302</w:t>
      </w:r>
      <w:r w:rsidR="006C4911" w:rsidRPr="003832E8">
        <w:rPr>
          <w:lang w:val="en-GB"/>
        </w:rPr>
        <w:t xml:space="preserve">, in comparison to the </w:t>
      </w:r>
      <w:r w:rsidR="004E097A">
        <w:rPr>
          <w:lang w:val="en-GB"/>
        </w:rPr>
        <w:t xml:space="preserve">old </w:t>
      </w:r>
      <w:r w:rsidR="006C4911" w:rsidRPr="003832E8">
        <w:rPr>
          <w:lang w:val="en-GB"/>
        </w:rPr>
        <w:t>PTD</w:t>
      </w:r>
      <w:r w:rsidR="006C4911" w:rsidRPr="003832E8">
        <w:rPr>
          <w:rStyle w:val="FootnoteReference"/>
          <w:lang w:val="en-GB"/>
        </w:rPr>
        <w:footnoteReference w:id="38"/>
      </w:r>
      <w:r w:rsidR="006C4911" w:rsidRPr="003832E8">
        <w:rPr>
          <w:lang w:val="en-GB"/>
        </w:rPr>
        <w:t xml:space="preserve">, </w:t>
      </w:r>
      <w:r w:rsidR="00842929">
        <w:rPr>
          <w:lang w:val="en-GB"/>
        </w:rPr>
        <w:t xml:space="preserve">as well as </w:t>
      </w:r>
      <w:r w:rsidR="00BE0E0D">
        <w:rPr>
          <w:lang w:val="en-GB"/>
        </w:rPr>
        <w:t xml:space="preserve">has </w:t>
      </w:r>
      <w:r w:rsidR="00842929">
        <w:rPr>
          <w:lang w:val="en-GB"/>
        </w:rPr>
        <w:t>regulated other linked travel arrangements</w:t>
      </w:r>
      <w:r w:rsidR="005976BC">
        <w:rPr>
          <w:rStyle w:val="FootnoteReference"/>
          <w:lang w:val="en-GB"/>
        </w:rPr>
        <w:footnoteReference w:id="39"/>
      </w:r>
      <w:r w:rsidR="00842929">
        <w:rPr>
          <w:lang w:val="en-GB"/>
        </w:rPr>
        <w:t xml:space="preserve">, travellers </w:t>
      </w:r>
      <w:r w:rsidR="00BE0E0D">
        <w:rPr>
          <w:lang w:val="en-GB"/>
        </w:rPr>
        <w:t xml:space="preserve">are bound to still receive </w:t>
      </w:r>
      <w:r w:rsidR="006C4911" w:rsidRPr="003832E8">
        <w:rPr>
          <w:lang w:val="en-GB"/>
        </w:rPr>
        <w:t>different level</w:t>
      </w:r>
      <w:r w:rsidR="00BE0E0D">
        <w:rPr>
          <w:lang w:val="en-GB"/>
        </w:rPr>
        <w:t xml:space="preserve"> of protection</w:t>
      </w:r>
      <w:r w:rsidR="00842929">
        <w:rPr>
          <w:lang w:val="en-GB"/>
        </w:rPr>
        <w:t>, depending on the contract they have concluded</w:t>
      </w:r>
      <w:r w:rsidR="00BE0E0D">
        <w:rPr>
          <w:lang w:val="en-GB"/>
        </w:rPr>
        <w:t xml:space="preserve">, even if they experience </w:t>
      </w:r>
      <w:r w:rsidR="00826524">
        <w:rPr>
          <w:lang w:val="en-GB"/>
        </w:rPr>
        <w:t xml:space="preserve">the </w:t>
      </w:r>
      <w:r w:rsidR="00BE0E0D">
        <w:rPr>
          <w:lang w:val="en-GB"/>
        </w:rPr>
        <w:t>same travelling issues</w:t>
      </w:r>
      <w:r w:rsidR="006C4911" w:rsidRPr="003832E8">
        <w:rPr>
          <w:lang w:val="en-GB"/>
        </w:rPr>
        <w:t xml:space="preserve">. </w:t>
      </w:r>
    </w:p>
    <w:p w:rsidR="00B66321" w:rsidRDefault="00B66321" w:rsidP="006C4911">
      <w:pPr>
        <w:pStyle w:val="ListParagraph"/>
        <w:ind w:left="360"/>
        <w:jc w:val="both"/>
        <w:rPr>
          <w:lang w:val="en-GB"/>
        </w:rPr>
      </w:pPr>
    </w:p>
    <w:p w:rsidR="006C4911" w:rsidRPr="003832E8" w:rsidRDefault="006C4911" w:rsidP="006C4911">
      <w:pPr>
        <w:pStyle w:val="ListParagraph"/>
        <w:ind w:left="360"/>
        <w:jc w:val="both"/>
        <w:rPr>
          <w:lang w:val="en-GB"/>
        </w:rPr>
      </w:pPr>
      <w:r w:rsidRPr="003832E8">
        <w:rPr>
          <w:lang w:val="en-GB"/>
        </w:rPr>
        <w:t xml:space="preserve">It is relevant to consider which groups of </w:t>
      </w:r>
      <w:r>
        <w:rPr>
          <w:lang w:val="en-GB"/>
        </w:rPr>
        <w:t>traveller</w:t>
      </w:r>
      <w:r w:rsidRPr="003832E8">
        <w:rPr>
          <w:lang w:val="en-GB"/>
        </w:rPr>
        <w:t xml:space="preserve">s are more prone to concluding package travel contracts, especially </w:t>
      </w:r>
      <w:r w:rsidR="00084A73">
        <w:rPr>
          <w:lang w:val="en-GB"/>
        </w:rPr>
        <w:t xml:space="preserve">considering their </w:t>
      </w:r>
      <w:r w:rsidRPr="003832E8">
        <w:rPr>
          <w:lang w:val="en-GB"/>
        </w:rPr>
        <w:t>age</w:t>
      </w:r>
      <w:r w:rsidR="00084A73">
        <w:rPr>
          <w:lang w:val="en-GB"/>
        </w:rPr>
        <w:t>, which</w:t>
      </w:r>
      <w:r w:rsidRPr="003832E8">
        <w:rPr>
          <w:lang w:val="en-GB"/>
        </w:rPr>
        <w:t xml:space="preserve"> is one of the determinants of the consumers’ vulnerability.</w:t>
      </w:r>
      <w:r w:rsidR="00B66321">
        <w:rPr>
          <w:lang w:val="en-GB"/>
        </w:rPr>
        <w:t xml:space="preserve"> </w:t>
      </w:r>
      <w:r w:rsidRPr="003832E8">
        <w:rPr>
          <w:lang w:val="en-GB"/>
        </w:rPr>
        <w:t xml:space="preserve">In 2014, 30% of European </w:t>
      </w:r>
      <w:r>
        <w:rPr>
          <w:lang w:val="en-GB"/>
        </w:rPr>
        <w:t>traveller</w:t>
      </w:r>
      <w:r w:rsidRPr="003832E8">
        <w:rPr>
          <w:lang w:val="en-GB"/>
        </w:rPr>
        <w:t xml:space="preserve">s chose an all-inclusive package travel option and 36% for a non-all-inclusive package. All-inclusive travel is most popular among </w:t>
      </w:r>
      <w:r>
        <w:rPr>
          <w:lang w:val="en-GB"/>
        </w:rPr>
        <w:t>traveller</w:t>
      </w:r>
      <w:r w:rsidRPr="003832E8">
        <w:rPr>
          <w:lang w:val="en-GB"/>
        </w:rPr>
        <w:t xml:space="preserve">s in the age group 25-34, as 38% of those chose to conclude such a contract. It is most popular in countries such as Turkey, Belgium, Lithuania and Luxembourg and least popular in, e.g., Finland, Sweden, Ireland and the Netherlands. Package travel that is not all-inclusive appeals to </w:t>
      </w:r>
      <w:r w:rsidR="00B226C3">
        <w:rPr>
          <w:lang w:val="en-GB"/>
        </w:rPr>
        <w:t>the youngest</w:t>
      </w:r>
      <w:r w:rsidRPr="003832E8">
        <w:rPr>
          <w:lang w:val="en-GB"/>
        </w:rPr>
        <w:t xml:space="preserve"> group of </w:t>
      </w:r>
      <w:r w:rsidR="00B226C3">
        <w:rPr>
          <w:lang w:val="en-GB"/>
        </w:rPr>
        <w:t xml:space="preserve">independent </w:t>
      </w:r>
      <w:r>
        <w:rPr>
          <w:lang w:val="en-GB"/>
        </w:rPr>
        <w:t>traveller</w:t>
      </w:r>
      <w:r w:rsidRPr="003832E8">
        <w:rPr>
          <w:lang w:val="en-GB"/>
        </w:rPr>
        <w:t xml:space="preserve">s; in the age group 15-24 43% </w:t>
      </w:r>
      <w:r w:rsidR="00034832">
        <w:rPr>
          <w:lang w:val="en-GB"/>
        </w:rPr>
        <w:t xml:space="preserve">of </w:t>
      </w:r>
      <w:r>
        <w:rPr>
          <w:lang w:val="en-GB"/>
        </w:rPr>
        <w:t>traveller</w:t>
      </w:r>
      <w:r w:rsidRPr="003832E8">
        <w:rPr>
          <w:lang w:val="en-GB"/>
        </w:rPr>
        <w:t xml:space="preserve">s have chosen for this option. It is also least attractive to elderly </w:t>
      </w:r>
      <w:r>
        <w:rPr>
          <w:lang w:val="en-GB"/>
        </w:rPr>
        <w:t>traveller</w:t>
      </w:r>
      <w:r w:rsidRPr="003832E8">
        <w:rPr>
          <w:lang w:val="en-GB"/>
        </w:rPr>
        <w:t xml:space="preserve">s, with only 32% of these </w:t>
      </w:r>
      <w:r>
        <w:rPr>
          <w:lang w:val="en-GB"/>
        </w:rPr>
        <w:t>traveller</w:t>
      </w:r>
      <w:r w:rsidRPr="003832E8">
        <w:rPr>
          <w:lang w:val="en-GB"/>
        </w:rPr>
        <w:t xml:space="preserve">s concluding such contracts. Not all-inclusive package travel contract is most popular: in France, Czech Republic and Slovakia; and least popular in: Moldavia or Estonia. </w:t>
      </w:r>
    </w:p>
    <w:p w:rsidR="006C4911" w:rsidRPr="003832E8" w:rsidRDefault="006C4911" w:rsidP="006C4911">
      <w:pPr>
        <w:pStyle w:val="ListParagraph"/>
        <w:ind w:left="360"/>
        <w:jc w:val="both"/>
        <w:rPr>
          <w:lang w:val="en-GB"/>
        </w:rPr>
      </w:pPr>
    </w:p>
    <w:p w:rsidR="006C4911" w:rsidRPr="003832E8" w:rsidRDefault="006C4911" w:rsidP="006C4911">
      <w:pPr>
        <w:pStyle w:val="ListParagraph"/>
        <w:ind w:left="360"/>
        <w:jc w:val="both"/>
        <w:rPr>
          <w:lang w:val="en-GB"/>
        </w:rPr>
      </w:pPr>
      <w:r w:rsidRPr="003832E8">
        <w:rPr>
          <w:lang w:val="en-GB"/>
        </w:rPr>
        <w:t xml:space="preserve">Considering </w:t>
      </w:r>
      <w:r w:rsidR="00EF60F1">
        <w:rPr>
          <w:lang w:val="en-GB"/>
        </w:rPr>
        <w:t>this</w:t>
      </w:r>
      <w:r w:rsidR="00826524" w:rsidRPr="003832E8">
        <w:rPr>
          <w:lang w:val="en-GB"/>
        </w:rPr>
        <w:t xml:space="preserve"> </w:t>
      </w:r>
      <w:r w:rsidRPr="003832E8">
        <w:rPr>
          <w:lang w:val="en-GB"/>
        </w:rPr>
        <w:t xml:space="preserve">data, it seems that all-inclusive package travel is most popular </w:t>
      </w:r>
      <w:r w:rsidR="00B226C3">
        <w:rPr>
          <w:lang w:val="en-GB"/>
        </w:rPr>
        <w:t xml:space="preserve">with </w:t>
      </w:r>
      <w:r>
        <w:rPr>
          <w:lang w:val="en-GB"/>
        </w:rPr>
        <w:t>traveller</w:t>
      </w:r>
      <w:r w:rsidRPr="003832E8">
        <w:rPr>
          <w:lang w:val="en-GB"/>
        </w:rPr>
        <w:t xml:space="preserve">s in the age group that would not be perceived as vulnerable. </w:t>
      </w:r>
      <w:r>
        <w:rPr>
          <w:lang w:val="en-GB"/>
        </w:rPr>
        <w:t>Traveller</w:t>
      </w:r>
      <w:r w:rsidRPr="003832E8">
        <w:rPr>
          <w:lang w:val="en-GB"/>
        </w:rPr>
        <w:t>s age</w:t>
      </w:r>
      <w:r w:rsidR="00826524">
        <w:rPr>
          <w:lang w:val="en-GB"/>
        </w:rPr>
        <w:t>d</w:t>
      </w:r>
      <w:r w:rsidRPr="003832E8">
        <w:rPr>
          <w:lang w:val="en-GB"/>
        </w:rPr>
        <w:t xml:space="preserve"> 25-34 usually already have some travel experience and should not yet require special assistance on the basis of their age</w:t>
      </w:r>
      <w:r w:rsidR="005714C9">
        <w:rPr>
          <w:rStyle w:val="FootnoteReference"/>
          <w:lang w:val="en-GB"/>
        </w:rPr>
        <w:footnoteReference w:id="40"/>
      </w:r>
      <w:r w:rsidRPr="003832E8">
        <w:rPr>
          <w:lang w:val="en-GB"/>
        </w:rPr>
        <w:t xml:space="preserve">. Non-all-inclusive travel is, however, most popular among very young </w:t>
      </w:r>
      <w:r>
        <w:rPr>
          <w:lang w:val="en-GB"/>
        </w:rPr>
        <w:t>traveller</w:t>
      </w:r>
      <w:r w:rsidRPr="003832E8">
        <w:rPr>
          <w:lang w:val="en-GB"/>
        </w:rPr>
        <w:t>s, who may have no prior experience with concluding a package travel contract and thus could require additional protection, e.g.</w:t>
      </w:r>
      <w:r w:rsidR="00EE2793">
        <w:rPr>
          <w:lang w:val="en-GB"/>
        </w:rPr>
        <w:t>,</w:t>
      </w:r>
      <w:r w:rsidRPr="003832E8">
        <w:rPr>
          <w:lang w:val="en-GB"/>
        </w:rPr>
        <w:t xml:space="preserve"> by </w:t>
      </w:r>
      <w:r w:rsidR="00EE2793">
        <w:rPr>
          <w:lang w:val="en-GB"/>
        </w:rPr>
        <w:t xml:space="preserve">requiring </w:t>
      </w:r>
      <w:r w:rsidR="007D6312">
        <w:rPr>
          <w:lang w:val="en-GB"/>
        </w:rPr>
        <w:t xml:space="preserve">the tour organizer to provide them with </w:t>
      </w:r>
      <w:r w:rsidRPr="003832E8">
        <w:rPr>
          <w:lang w:val="en-GB"/>
        </w:rPr>
        <w:t>more extensive information on this type of contract.</w:t>
      </w:r>
    </w:p>
    <w:p w:rsidR="006C4911" w:rsidRDefault="006C4911" w:rsidP="006C4911">
      <w:pPr>
        <w:pStyle w:val="ListParagraph"/>
        <w:ind w:left="360"/>
        <w:jc w:val="both"/>
        <w:rPr>
          <w:lang w:val="en-GB"/>
        </w:rPr>
      </w:pPr>
    </w:p>
    <w:p w:rsidR="00EE2793" w:rsidRDefault="00544154" w:rsidP="006C4911">
      <w:pPr>
        <w:pStyle w:val="ListParagraph"/>
        <w:ind w:left="360"/>
        <w:jc w:val="both"/>
        <w:rPr>
          <w:lang w:val="en-GB"/>
        </w:rPr>
      </w:pPr>
      <w:r>
        <w:rPr>
          <w:lang w:val="en-GB"/>
        </w:rPr>
        <w:t>While the above-mentioned statistics do not illustrate an overwhelming participation of elderly travellers in package travel contracts, other data show</w:t>
      </w:r>
      <w:r w:rsidR="00EF60F1">
        <w:rPr>
          <w:lang w:val="en-GB"/>
        </w:rPr>
        <w:t>s</w:t>
      </w:r>
      <w:r>
        <w:rPr>
          <w:lang w:val="en-GB"/>
        </w:rPr>
        <w:t xml:space="preserve"> that </w:t>
      </w:r>
      <w:r w:rsidR="00EE2793" w:rsidRPr="003832E8">
        <w:rPr>
          <w:lang w:val="en-GB"/>
        </w:rPr>
        <w:t xml:space="preserve">the group of elderly </w:t>
      </w:r>
      <w:r w:rsidR="00EE2793">
        <w:rPr>
          <w:lang w:val="en-GB"/>
        </w:rPr>
        <w:t>traveller</w:t>
      </w:r>
      <w:r w:rsidR="00EE2793" w:rsidRPr="003832E8">
        <w:rPr>
          <w:lang w:val="en-GB"/>
        </w:rPr>
        <w:t>s is the most likely to book their holiday</w:t>
      </w:r>
      <w:r>
        <w:rPr>
          <w:lang w:val="en-GB"/>
        </w:rPr>
        <w:t>s</w:t>
      </w:r>
      <w:r w:rsidR="00EE2793" w:rsidRPr="003832E8">
        <w:rPr>
          <w:lang w:val="en-GB"/>
        </w:rPr>
        <w:t xml:space="preserve"> through a travel agency</w:t>
      </w:r>
      <w:r>
        <w:rPr>
          <w:rStyle w:val="FootnoteReference"/>
          <w:lang w:val="en-GB"/>
        </w:rPr>
        <w:footnoteReference w:id="41"/>
      </w:r>
      <w:r>
        <w:rPr>
          <w:lang w:val="en-GB"/>
        </w:rPr>
        <w:t xml:space="preserve">. As a result, elderly travellers may be especially prone to fall victim </w:t>
      </w:r>
      <w:r w:rsidR="00826524">
        <w:rPr>
          <w:lang w:val="en-GB"/>
        </w:rPr>
        <w:t xml:space="preserve">to </w:t>
      </w:r>
      <w:r>
        <w:rPr>
          <w:lang w:val="en-GB"/>
        </w:rPr>
        <w:t>the tour organizer’s unfair commercial practices, regardless of whether they end up concluding a package travel contract</w:t>
      </w:r>
      <w:r w:rsidR="00034832">
        <w:rPr>
          <w:rStyle w:val="FootnoteReference"/>
          <w:lang w:val="en-GB"/>
        </w:rPr>
        <w:footnoteReference w:id="42"/>
      </w:r>
      <w:r>
        <w:rPr>
          <w:lang w:val="en-GB"/>
        </w:rPr>
        <w:t>. Aside protection of the UCPD, elderly travellers may</w:t>
      </w:r>
      <w:r w:rsidR="00EE2793">
        <w:rPr>
          <w:lang w:val="en-GB"/>
        </w:rPr>
        <w:t xml:space="preserve"> still be </w:t>
      </w:r>
      <w:r w:rsidR="00EE2793" w:rsidRPr="003832E8">
        <w:rPr>
          <w:lang w:val="en-GB"/>
        </w:rPr>
        <w:t xml:space="preserve">eligible for protection </w:t>
      </w:r>
      <w:r w:rsidR="00EE2793">
        <w:rPr>
          <w:lang w:val="en-GB"/>
        </w:rPr>
        <w:t>under Directive 2015/2302, provided their booking satisfied the conditions of a “package”</w:t>
      </w:r>
      <w:r w:rsidR="00EE2793" w:rsidRPr="003832E8">
        <w:rPr>
          <w:lang w:val="en-GB"/>
        </w:rPr>
        <w:t xml:space="preserve">. </w:t>
      </w:r>
    </w:p>
    <w:p w:rsidR="006C4911" w:rsidRDefault="006C4911" w:rsidP="006C4911">
      <w:pPr>
        <w:pStyle w:val="ListParagraph"/>
        <w:ind w:left="360"/>
        <w:jc w:val="both"/>
        <w:rPr>
          <w:b/>
          <w:lang w:val="en-GB"/>
        </w:rPr>
      </w:pPr>
    </w:p>
    <w:p w:rsidR="006C4911" w:rsidRPr="003832E8" w:rsidRDefault="006C4911" w:rsidP="00B06978">
      <w:pPr>
        <w:pStyle w:val="ListParagraph"/>
        <w:numPr>
          <w:ilvl w:val="0"/>
          <w:numId w:val="1"/>
        </w:numPr>
        <w:jc w:val="both"/>
        <w:rPr>
          <w:b/>
          <w:lang w:val="en-GB"/>
        </w:rPr>
      </w:pPr>
      <w:r w:rsidRPr="003832E8">
        <w:rPr>
          <w:b/>
          <w:lang w:val="en-GB"/>
        </w:rPr>
        <w:t>Traveling in the digital &amp; sharing economy age</w:t>
      </w:r>
    </w:p>
    <w:p w:rsidR="00786DFF" w:rsidRPr="003832E8" w:rsidRDefault="00786DFF" w:rsidP="00B06978">
      <w:pPr>
        <w:pStyle w:val="ListParagraph"/>
        <w:jc w:val="both"/>
        <w:rPr>
          <w:lang w:val="en-GB"/>
        </w:rPr>
      </w:pPr>
    </w:p>
    <w:p w:rsidR="003158BC" w:rsidRPr="003832E8" w:rsidRDefault="003158BC" w:rsidP="003158BC">
      <w:pPr>
        <w:pStyle w:val="ListParagraph"/>
        <w:ind w:left="360"/>
        <w:jc w:val="both"/>
        <w:rPr>
          <w:lang w:val="en-GB"/>
        </w:rPr>
      </w:pPr>
      <w:r w:rsidRPr="003832E8">
        <w:rPr>
          <w:lang w:val="en-GB"/>
        </w:rPr>
        <w:t xml:space="preserve">Recital 2 of the new PTD mentions the Internet as an increasingly important medium in concluding package travel contracts. The European legislator expects many </w:t>
      </w:r>
      <w:r>
        <w:rPr>
          <w:lang w:val="en-GB"/>
        </w:rPr>
        <w:t>traveller</w:t>
      </w:r>
      <w:r w:rsidRPr="003832E8">
        <w:rPr>
          <w:lang w:val="en-GB"/>
        </w:rPr>
        <w:t xml:space="preserve">s to be digitalized and to increasingly conclude contracts online in the years to come. Flash </w:t>
      </w:r>
      <w:r w:rsidRPr="003832E8">
        <w:rPr>
          <w:lang w:val="en-GB"/>
        </w:rPr>
        <w:lastRenderedPageBreak/>
        <w:t>Eurobarometer 414</w:t>
      </w:r>
      <w:r w:rsidRPr="003832E8">
        <w:rPr>
          <w:rStyle w:val="FootnoteReference"/>
          <w:lang w:val="en-GB"/>
        </w:rPr>
        <w:footnoteReference w:id="43"/>
      </w:r>
      <w:r w:rsidRPr="003832E8">
        <w:rPr>
          <w:lang w:val="en-GB"/>
        </w:rPr>
        <w:t xml:space="preserve"> indicates the Internet as one of the main </w:t>
      </w:r>
      <w:r>
        <w:rPr>
          <w:lang w:val="en-GB"/>
        </w:rPr>
        <w:t>traveller</w:t>
      </w:r>
      <w:r w:rsidRPr="003832E8">
        <w:rPr>
          <w:lang w:val="en-GB"/>
        </w:rPr>
        <w:t>s’ sources of information about holiday</w:t>
      </w:r>
      <w:r w:rsidR="00ED63C0">
        <w:rPr>
          <w:lang w:val="en-GB"/>
        </w:rPr>
        <w:t>s</w:t>
      </w:r>
      <w:r w:rsidRPr="003832E8">
        <w:rPr>
          <w:lang w:val="en-GB"/>
        </w:rPr>
        <w:t xml:space="preserve">, aside information provided by friends and family. Two thirds of </w:t>
      </w:r>
      <w:r>
        <w:rPr>
          <w:lang w:val="en-GB"/>
        </w:rPr>
        <w:t>traveller</w:t>
      </w:r>
      <w:r w:rsidRPr="003832E8">
        <w:rPr>
          <w:lang w:val="en-GB"/>
        </w:rPr>
        <w:t>s use the Internet when they arrang</w:t>
      </w:r>
      <w:r w:rsidR="000E7666">
        <w:rPr>
          <w:lang w:val="en-GB"/>
        </w:rPr>
        <w:t>e</w:t>
      </w:r>
      <w:r w:rsidRPr="003832E8">
        <w:rPr>
          <w:lang w:val="en-GB"/>
        </w:rPr>
        <w:t xml:space="preserve"> their holiday</w:t>
      </w:r>
      <w:r w:rsidR="00F4069D">
        <w:rPr>
          <w:lang w:val="en-GB"/>
        </w:rPr>
        <w:t>s</w:t>
      </w:r>
      <w:r w:rsidRPr="003832E8">
        <w:rPr>
          <w:lang w:val="en-GB"/>
        </w:rPr>
        <w:t xml:space="preserve">, but the numbers still significantly differ between various Member States; from 27% in Macedonia to 84% in Ireland. Interestingly, slightly more than half of the group of elderly </w:t>
      </w:r>
      <w:r>
        <w:rPr>
          <w:lang w:val="en-GB"/>
        </w:rPr>
        <w:t>traveller</w:t>
      </w:r>
      <w:r w:rsidRPr="003832E8">
        <w:rPr>
          <w:lang w:val="en-GB"/>
        </w:rPr>
        <w:t xml:space="preserve">s, which we could </w:t>
      </w:r>
      <w:r w:rsidR="00034832">
        <w:rPr>
          <w:lang w:val="en-GB"/>
        </w:rPr>
        <w:t>expect</w:t>
      </w:r>
      <w:r w:rsidRPr="003832E8">
        <w:rPr>
          <w:lang w:val="en-GB"/>
        </w:rPr>
        <w:t xml:space="preserve"> to be the least likely group to conclude online contracts, also uses the Internet to arrange their holiday</w:t>
      </w:r>
      <w:r w:rsidR="00842148">
        <w:rPr>
          <w:lang w:val="en-GB"/>
        </w:rPr>
        <w:t>s</w:t>
      </w:r>
      <w:r w:rsidRPr="003832E8">
        <w:rPr>
          <w:lang w:val="en-GB"/>
        </w:rPr>
        <w:t xml:space="preserve">. In this group, the percentages </w:t>
      </w:r>
      <w:r w:rsidR="007374F9">
        <w:rPr>
          <w:lang w:val="en-GB"/>
        </w:rPr>
        <w:t xml:space="preserve">of participation in the digital environment </w:t>
      </w:r>
      <w:r w:rsidRPr="003832E8">
        <w:rPr>
          <w:lang w:val="en-GB"/>
        </w:rPr>
        <w:t xml:space="preserve">change rapidly from year to year – compared to 45% of elderly </w:t>
      </w:r>
      <w:r>
        <w:rPr>
          <w:lang w:val="en-GB"/>
        </w:rPr>
        <w:t>traveller</w:t>
      </w:r>
      <w:r w:rsidRPr="003832E8">
        <w:rPr>
          <w:lang w:val="en-GB"/>
        </w:rPr>
        <w:t xml:space="preserve">s booking their holiday online in </w:t>
      </w:r>
      <w:r w:rsidR="00EF60F1" w:rsidRPr="00EF60F1">
        <w:rPr>
          <w:lang w:val="en-GB"/>
        </w:rPr>
        <w:t>201</w:t>
      </w:r>
      <w:r w:rsidR="00EF60F1" w:rsidRPr="00496B36">
        <w:rPr>
          <w:lang w:val="en-GB"/>
        </w:rPr>
        <w:t>3</w:t>
      </w:r>
      <w:r w:rsidR="00EF60F1" w:rsidRPr="00496B36">
        <w:rPr>
          <w:rStyle w:val="FootnoteReference"/>
          <w:lang w:val="en-GB"/>
        </w:rPr>
        <w:footnoteReference w:id="44"/>
      </w:r>
      <w:r w:rsidRPr="003832E8">
        <w:rPr>
          <w:lang w:val="en-GB"/>
        </w:rPr>
        <w:t xml:space="preserve">, it was </w:t>
      </w:r>
      <w:r>
        <w:rPr>
          <w:lang w:val="en-GB"/>
        </w:rPr>
        <w:t xml:space="preserve">already </w:t>
      </w:r>
      <w:r w:rsidRPr="003832E8">
        <w:rPr>
          <w:lang w:val="en-GB"/>
        </w:rPr>
        <w:t xml:space="preserve">51% in </w:t>
      </w:r>
      <w:r w:rsidRPr="00EF60F1">
        <w:rPr>
          <w:lang w:val="en-GB"/>
        </w:rPr>
        <w:t>2014</w:t>
      </w:r>
      <w:r w:rsidR="00EF60F1" w:rsidRPr="00496B36">
        <w:rPr>
          <w:rStyle w:val="FootnoteReference"/>
          <w:lang w:val="en-GB"/>
        </w:rPr>
        <w:footnoteReference w:id="45"/>
      </w:r>
      <w:r w:rsidRPr="00EF60F1">
        <w:rPr>
          <w:lang w:val="en-GB"/>
        </w:rPr>
        <w:t>.</w:t>
      </w:r>
      <w:r w:rsidRPr="003832E8">
        <w:rPr>
          <w:lang w:val="en-GB"/>
        </w:rPr>
        <w:t xml:space="preserve"> </w:t>
      </w:r>
    </w:p>
    <w:p w:rsidR="003158BC" w:rsidRPr="003832E8" w:rsidRDefault="003158BC" w:rsidP="003158BC">
      <w:pPr>
        <w:pStyle w:val="ListParagraph"/>
        <w:ind w:left="360"/>
        <w:jc w:val="both"/>
        <w:rPr>
          <w:lang w:val="en-GB"/>
        </w:rPr>
      </w:pPr>
    </w:p>
    <w:p w:rsidR="00BF0992" w:rsidRDefault="003158BC" w:rsidP="003158BC">
      <w:pPr>
        <w:pStyle w:val="ListParagraph"/>
        <w:ind w:left="360"/>
        <w:jc w:val="both"/>
        <w:rPr>
          <w:lang w:val="en-GB"/>
        </w:rPr>
      </w:pPr>
      <w:proofErr w:type="gramStart"/>
      <w:r w:rsidRPr="003832E8">
        <w:rPr>
          <w:lang w:val="en-GB"/>
        </w:rPr>
        <w:t xml:space="preserve">The fact that many </w:t>
      </w:r>
      <w:r>
        <w:rPr>
          <w:lang w:val="en-GB"/>
        </w:rPr>
        <w:t>traveller</w:t>
      </w:r>
      <w:r w:rsidRPr="003832E8">
        <w:rPr>
          <w:lang w:val="en-GB"/>
        </w:rPr>
        <w:t>s turn to the Internet to look for information about their holiday</w:t>
      </w:r>
      <w:r w:rsidR="00585E6C">
        <w:rPr>
          <w:lang w:val="en-GB"/>
        </w:rPr>
        <w:t>s</w:t>
      </w:r>
      <w:r w:rsidRPr="003832E8">
        <w:rPr>
          <w:lang w:val="en-GB"/>
        </w:rPr>
        <w:t xml:space="preserve"> and to conclude online contracts, may lead to a different sort of vulnerability of consumers.</w:t>
      </w:r>
      <w:proofErr w:type="gramEnd"/>
      <w:r w:rsidRPr="003832E8">
        <w:rPr>
          <w:lang w:val="en-GB"/>
        </w:rPr>
        <w:t xml:space="preserve"> </w:t>
      </w:r>
      <w:r w:rsidR="00585E6C">
        <w:rPr>
          <w:lang w:val="en-GB"/>
        </w:rPr>
        <w:t>The legislator and the national enforcement authorities may ne</w:t>
      </w:r>
      <w:r w:rsidR="00644206">
        <w:rPr>
          <w:lang w:val="en-GB"/>
        </w:rPr>
        <w:t>ed</w:t>
      </w:r>
      <w:r w:rsidR="00585E6C">
        <w:rPr>
          <w:lang w:val="en-GB"/>
        </w:rPr>
        <w:t xml:space="preserve"> to consider the introduction of n</w:t>
      </w:r>
      <w:r w:rsidRPr="003832E8">
        <w:rPr>
          <w:lang w:val="en-GB"/>
        </w:rPr>
        <w:t>ew standards of protection, e.g., with regard to online disclosures and their transparency on the characteristics of travel destinations</w:t>
      </w:r>
      <w:r w:rsidR="00582AA2">
        <w:rPr>
          <w:lang w:val="en-GB"/>
        </w:rPr>
        <w:t>;</w:t>
      </w:r>
      <w:r w:rsidRPr="003832E8">
        <w:rPr>
          <w:lang w:val="en-GB"/>
        </w:rPr>
        <w:t xml:space="preserve"> </w:t>
      </w:r>
      <w:r w:rsidR="00892E57">
        <w:rPr>
          <w:lang w:val="en-GB"/>
        </w:rPr>
        <w:t xml:space="preserve">the type of concluded contracts; </w:t>
      </w:r>
      <w:r w:rsidRPr="003832E8">
        <w:rPr>
          <w:lang w:val="en-GB"/>
        </w:rPr>
        <w:t xml:space="preserve">the </w:t>
      </w:r>
      <w:r>
        <w:rPr>
          <w:lang w:val="en-GB"/>
        </w:rPr>
        <w:t>traveller</w:t>
      </w:r>
      <w:r w:rsidRPr="003832E8">
        <w:rPr>
          <w:lang w:val="en-GB"/>
        </w:rPr>
        <w:t>s</w:t>
      </w:r>
      <w:r w:rsidR="00582AA2">
        <w:rPr>
          <w:lang w:val="en-GB"/>
        </w:rPr>
        <w:t>’ rights</w:t>
      </w:r>
      <w:r w:rsidRPr="003832E8">
        <w:rPr>
          <w:lang w:val="en-GB"/>
        </w:rPr>
        <w:t xml:space="preserve"> and the </w:t>
      </w:r>
      <w:r w:rsidR="00582AA2">
        <w:rPr>
          <w:lang w:val="en-GB"/>
        </w:rPr>
        <w:t xml:space="preserve">online tour organizer’s </w:t>
      </w:r>
      <w:r w:rsidRPr="003832E8">
        <w:rPr>
          <w:lang w:val="en-GB"/>
        </w:rPr>
        <w:t>obligations.</w:t>
      </w:r>
      <w:r>
        <w:rPr>
          <w:lang w:val="en-GB"/>
        </w:rPr>
        <w:t xml:space="preserve"> This will be further discussed in the </w:t>
      </w:r>
      <w:r w:rsidR="005E293D">
        <w:rPr>
          <w:lang w:val="en-GB"/>
        </w:rPr>
        <w:t xml:space="preserve">concluding </w:t>
      </w:r>
      <w:r w:rsidR="00B37883">
        <w:rPr>
          <w:lang w:val="en-GB"/>
        </w:rPr>
        <w:t>section</w:t>
      </w:r>
      <w:r>
        <w:rPr>
          <w:lang w:val="en-GB"/>
        </w:rPr>
        <w:t>.</w:t>
      </w:r>
    </w:p>
    <w:p w:rsidR="005E293D" w:rsidRDefault="005E293D" w:rsidP="003158BC">
      <w:pPr>
        <w:pStyle w:val="ListParagraph"/>
        <w:ind w:left="360"/>
        <w:jc w:val="both"/>
        <w:rPr>
          <w:lang w:val="en-GB"/>
        </w:rPr>
      </w:pPr>
    </w:p>
    <w:p w:rsidR="005E293D" w:rsidRDefault="00C95877" w:rsidP="003158BC">
      <w:pPr>
        <w:pStyle w:val="ListParagraph"/>
        <w:ind w:left="360"/>
        <w:jc w:val="both"/>
        <w:rPr>
          <w:lang w:val="en-GB"/>
        </w:rPr>
      </w:pPr>
      <w:r>
        <w:rPr>
          <w:lang w:val="en-GB"/>
        </w:rPr>
        <w:t xml:space="preserve">First, however, </w:t>
      </w:r>
      <w:r w:rsidR="000E5A78">
        <w:rPr>
          <w:lang w:val="en-GB"/>
        </w:rPr>
        <w:t xml:space="preserve">I would also like to briefly mention the new online trend of </w:t>
      </w:r>
      <w:r w:rsidR="00034832">
        <w:rPr>
          <w:lang w:val="en-GB"/>
        </w:rPr>
        <w:t xml:space="preserve">the so-called </w:t>
      </w:r>
      <w:r w:rsidR="000E5A78">
        <w:rPr>
          <w:lang w:val="en-GB"/>
        </w:rPr>
        <w:t>sharing economy, which allows consumers to either acquire second-hand commodities online or to rent such commodities from third parties through the use of online platforms</w:t>
      </w:r>
      <w:r w:rsidR="000E5A78">
        <w:rPr>
          <w:rStyle w:val="FootnoteReference"/>
          <w:lang w:val="en-GB"/>
        </w:rPr>
        <w:footnoteReference w:id="46"/>
      </w:r>
      <w:r w:rsidR="000E5A78">
        <w:rPr>
          <w:lang w:val="en-GB"/>
        </w:rPr>
        <w:t xml:space="preserve">. Sharing economy </w:t>
      </w:r>
      <w:r w:rsidR="00034832">
        <w:rPr>
          <w:lang w:val="en-GB"/>
        </w:rPr>
        <w:t xml:space="preserve">regulation </w:t>
      </w:r>
      <w:r w:rsidR="000E5A78">
        <w:rPr>
          <w:lang w:val="en-GB"/>
        </w:rPr>
        <w:t xml:space="preserve">has not yet been harmonised by the European legislator and </w:t>
      </w:r>
      <w:r w:rsidR="00843814">
        <w:rPr>
          <w:lang w:val="en-GB"/>
        </w:rPr>
        <w:t xml:space="preserve">thus </w:t>
      </w:r>
      <w:r w:rsidR="000E7666">
        <w:rPr>
          <w:lang w:val="en-GB"/>
        </w:rPr>
        <w:t xml:space="preserve">it is still the applicable </w:t>
      </w:r>
      <w:r w:rsidR="00843814">
        <w:rPr>
          <w:lang w:val="en-GB"/>
        </w:rPr>
        <w:t>national contract and tort law</w:t>
      </w:r>
      <w:r w:rsidR="00496B36">
        <w:rPr>
          <w:lang w:val="en-GB"/>
        </w:rPr>
        <w:t>,</w:t>
      </w:r>
      <w:r w:rsidR="000E7666">
        <w:rPr>
          <w:lang w:val="en-GB"/>
        </w:rPr>
        <w:t xml:space="preserve"> which </w:t>
      </w:r>
      <w:r w:rsidR="00843814">
        <w:rPr>
          <w:lang w:val="en-GB"/>
        </w:rPr>
        <w:t>determine</w:t>
      </w:r>
      <w:r w:rsidR="000E7666">
        <w:rPr>
          <w:lang w:val="en-GB"/>
        </w:rPr>
        <w:t>s</w:t>
      </w:r>
      <w:r w:rsidR="00843814">
        <w:rPr>
          <w:lang w:val="en-GB"/>
        </w:rPr>
        <w:t xml:space="preserve"> rights and obligations of parties in their triangular relations</w:t>
      </w:r>
      <w:r w:rsidR="00034832">
        <w:rPr>
          <w:lang w:val="en-GB"/>
        </w:rPr>
        <w:t xml:space="preserve"> between the online platforms, service providers and their users</w:t>
      </w:r>
      <w:r w:rsidR="00843814">
        <w:rPr>
          <w:rStyle w:val="FootnoteReference"/>
          <w:lang w:val="en-GB"/>
        </w:rPr>
        <w:footnoteReference w:id="47"/>
      </w:r>
      <w:r w:rsidR="00843814">
        <w:rPr>
          <w:lang w:val="en-GB"/>
        </w:rPr>
        <w:t xml:space="preserve">. </w:t>
      </w:r>
      <w:r w:rsidR="00F05E45">
        <w:rPr>
          <w:lang w:val="en-GB"/>
        </w:rPr>
        <w:t xml:space="preserve">Also in the travel sector </w:t>
      </w:r>
      <w:r w:rsidR="00034832">
        <w:rPr>
          <w:lang w:val="en-GB"/>
        </w:rPr>
        <w:t xml:space="preserve">the </w:t>
      </w:r>
      <w:r w:rsidR="00F05E45">
        <w:rPr>
          <w:lang w:val="en-GB"/>
        </w:rPr>
        <w:t xml:space="preserve">sharing economy has been widely popularized through the operation of such online platforms like Airbnb, </w:t>
      </w:r>
      <w:proofErr w:type="spellStart"/>
      <w:r w:rsidR="00F05E45">
        <w:rPr>
          <w:lang w:val="en-GB"/>
        </w:rPr>
        <w:t>Widmu</w:t>
      </w:r>
      <w:proofErr w:type="spellEnd"/>
      <w:r w:rsidR="00F05E45">
        <w:rPr>
          <w:lang w:val="en-GB"/>
        </w:rPr>
        <w:t xml:space="preserve"> or 9flats that enable travellers to cheaply rent accommodation</w:t>
      </w:r>
      <w:r w:rsidR="008F2426">
        <w:rPr>
          <w:rStyle w:val="FootnoteReference"/>
          <w:lang w:val="en-GB"/>
        </w:rPr>
        <w:footnoteReference w:id="48"/>
      </w:r>
      <w:r w:rsidR="00F05E45">
        <w:rPr>
          <w:lang w:val="en-GB"/>
        </w:rPr>
        <w:t>.</w:t>
      </w:r>
      <w:r w:rsidR="000A080B">
        <w:rPr>
          <w:lang w:val="en-GB"/>
        </w:rPr>
        <w:t xml:space="preserve"> </w:t>
      </w:r>
    </w:p>
    <w:p w:rsidR="000A080B" w:rsidRDefault="000A080B" w:rsidP="003158BC">
      <w:pPr>
        <w:pStyle w:val="ListParagraph"/>
        <w:ind w:left="360"/>
        <w:jc w:val="both"/>
        <w:rPr>
          <w:lang w:val="en-GB"/>
        </w:rPr>
      </w:pPr>
    </w:p>
    <w:p w:rsidR="000A080B" w:rsidRDefault="000A080B" w:rsidP="003158BC">
      <w:pPr>
        <w:pStyle w:val="ListParagraph"/>
        <w:ind w:left="360"/>
        <w:jc w:val="both"/>
        <w:rPr>
          <w:lang w:val="en-GB"/>
        </w:rPr>
      </w:pPr>
      <w:r>
        <w:rPr>
          <w:lang w:val="en-GB"/>
        </w:rPr>
        <w:t>Could the provisions of the new Directive 2015/2302 be applicable to sharing economy contracts? The definition of package in Article 2 para 2 of Directive 2015/2302</w:t>
      </w:r>
      <w:r w:rsidR="00034832">
        <w:rPr>
          <w:rStyle w:val="FootnoteReference"/>
          <w:lang w:val="en-GB"/>
        </w:rPr>
        <w:footnoteReference w:id="49"/>
      </w:r>
      <w:r>
        <w:rPr>
          <w:lang w:val="en-GB"/>
        </w:rPr>
        <w:t xml:space="preserve"> is broad but still </w:t>
      </w:r>
      <w:r>
        <w:rPr>
          <w:lang w:val="en-GB"/>
        </w:rPr>
        <w:lastRenderedPageBreak/>
        <w:t>requires a combination of at least two different types of travel services</w:t>
      </w:r>
      <w:r w:rsidR="00DC57E2">
        <w:rPr>
          <w:rStyle w:val="FootnoteReference"/>
          <w:lang w:val="en-GB"/>
        </w:rPr>
        <w:footnoteReference w:id="50"/>
      </w:r>
      <w:r>
        <w:rPr>
          <w:lang w:val="en-GB"/>
        </w:rPr>
        <w:t xml:space="preserve">. Online platforms like Airbnb enable travellers to acquire mainly accommodation, which is one of the types of travel services listed in paragraph 1 of this provision. Imagine though that the given Airbnb listing includes an offer of a guided walk in the city, in which the accommodation is located; or the Airbnb listing’s owner offers the traveller a car, </w:t>
      </w:r>
      <w:r w:rsidR="002E3464">
        <w:rPr>
          <w:lang w:val="en-GB"/>
        </w:rPr>
        <w:t xml:space="preserve">a </w:t>
      </w:r>
      <w:r>
        <w:rPr>
          <w:lang w:val="en-GB"/>
        </w:rPr>
        <w:t>motorcycle, or a bicycle to use during the traveller’s stay in his accommodation.</w:t>
      </w:r>
      <w:r w:rsidR="006B561F">
        <w:rPr>
          <w:lang w:val="en-GB"/>
        </w:rPr>
        <w:t xml:space="preserve"> In the first case scenario, a guided walk in the city could likely be considered as another tourist service that is not intrinsically part of the accommodation. However, its value is likely not to be significant when comparing it to the value of the accommodation and thus a combination of an offer for accommodation and a guided city walk would </w:t>
      </w:r>
      <w:r w:rsidR="000E7666">
        <w:rPr>
          <w:lang w:val="en-GB"/>
        </w:rPr>
        <w:t xml:space="preserve">probably </w:t>
      </w:r>
      <w:r w:rsidR="006B561F">
        <w:rPr>
          <w:lang w:val="en-GB"/>
        </w:rPr>
        <w:t>fall outside the definition of a package. In the second case scenario the assessment is more complicated, since if the location of the accommodation is distant</w:t>
      </w:r>
      <w:r w:rsidR="009E6FFB">
        <w:rPr>
          <w:lang w:val="en-GB"/>
        </w:rPr>
        <w:t>, the traveller may very well perceive the availability of a vehicle as an essential feature of the Airbnb listing. The value of the vehicle given to the traveller’s disposal and its relation to the value of the rented accommodation may thus be decisive in determining whether a traveller concluded a package travel contract.</w:t>
      </w:r>
      <w:r w:rsidR="002545CE">
        <w:rPr>
          <w:lang w:val="en-GB"/>
        </w:rPr>
        <w:t xml:space="preserve"> Of course, to talk about a conclusion of a package travel contract there needs to be a professional trader that offers such a package to travellers.</w:t>
      </w:r>
      <w:r w:rsidR="000416C7">
        <w:rPr>
          <w:lang w:val="en-GB"/>
        </w:rPr>
        <w:t xml:space="preserve"> </w:t>
      </w:r>
      <w:r w:rsidR="008C3A0C">
        <w:rPr>
          <w:lang w:val="en-GB"/>
        </w:rPr>
        <w:t>If a package travel contract may be concluded through an online platform, we may question whether the online platform would have the information obligations and bear the liability of the tour organizer or whether it would be its particular user, i.e., the owner of the accommodation.</w:t>
      </w:r>
      <w:r w:rsidR="0049537B">
        <w:rPr>
          <w:lang w:val="en-GB"/>
        </w:rPr>
        <w:t xml:space="preserve"> </w:t>
      </w:r>
      <w:r w:rsidR="002E3464">
        <w:rPr>
          <w:lang w:val="en-GB"/>
        </w:rPr>
        <w:t>This distinction is relevant since, e.g.</w:t>
      </w:r>
      <w:r w:rsidR="0049537B">
        <w:rPr>
          <w:lang w:val="en-GB"/>
        </w:rPr>
        <w:t>, the owner of the accommodation may not be perceived as a trader in all national laws of the Member States if he is a private party that only occasionally rents out his own apartment</w:t>
      </w:r>
      <w:r w:rsidR="005D03E5">
        <w:rPr>
          <w:rStyle w:val="FootnoteReference"/>
          <w:lang w:val="en-GB"/>
        </w:rPr>
        <w:footnoteReference w:id="51"/>
      </w:r>
      <w:r w:rsidR="002E3464">
        <w:rPr>
          <w:lang w:val="en-GB"/>
        </w:rPr>
        <w:t>.</w:t>
      </w:r>
      <w:r w:rsidR="0049537B">
        <w:rPr>
          <w:lang w:val="en-GB"/>
        </w:rPr>
        <w:t xml:space="preserve"> </w:t>
      </w:r>
      <w:r w:rsidR="002E3464">
        <w:rPr>
          <w:lang w:val="en-GB"/>
        </w:rPr>
        <w:t>E</w:t>
      </w:r>
      <w:r w:rsidR="0049537B">
        <w:rPr>
          <w:lang w:val="en-GB"/>
        </w:rPr>
        <w:t xml:space="preserve">ven if </w:t>
      </w:r>
      <w:r w:rsidR="002E3464">
        <w:rPr>
          <w:lang w:val="en-GB"/>
        </w:rPr>
        <w:t xml:space="preserve">the accommodation’s owner </w:t>
      </w:r>
      <w:r w:rsidR="0049537B">
        <w:rPr>
          <w:lang w:val="en-GB"/>
        </w:rPr>
        <w:t>uses a professional party – the online platform – as his or her intermediary</w:t>
      </w:r>
      <w:r w:rsidR="002E3464">
        <w:rPr>
          <w:lang w:val="en-GB"/>
        </w:rPr>
        <w:t>, this may not change the perception of the national law on this party’s character as non-trader</w:t>
      </w:r>
      <w:r w:rsidR="0049537B">
        <w:rPr>
          <w:lang w:val="en-GB"/>
        </w:rPr>
        <w:t>.</w:t>
      </w:r>
    </w:p>
    <w:p w:rsidR="008C3A0C" w:rsidRDefault="008C3A0C" w:rsidP="003158BC">
      <w:pPr>
        <w:pStyle w:val="ListParagraph"/>
        <w:ind w:left="360"/>
        <w:jc w:val="both"/>
        <w:rPr>
          <w:lang w:val="en-GB"/>
        </w:rPr>
      </w:pPr>
    </w:p>
    <w:p w:rsidR="008C3A0C" w:rsidRDefault="002545CE" w:rsidP="003158BC">
      <w:pPr>
        <w:pStyle w:val="ListParagraph"/>
        <w:ind w:left="360"/>
        <w:jc w:val="both"/>
        <w:rPr>
          <w:lang w:val="en-GB"/>
        </w:rPr>
      </w:pPr>
      <w:r>
        <w:rPr>
          <w:lang w:val="en-GB"/>
        </w:rPr>
        <w:t xml:space="preserve">Since sharing economy is largely under-regulated at the moment and there are more questions than ready answers as to the rights and obligations of the parties in such </w:t>
      </w:r>
      <w:r w:rsidR="00C37A36">
        <w:rPr>
          <w:lang w:val="en-GB"/>
        </w:rPr>
        <w:t xml:space="preserve">triangular relationships, there are additional risks involved for travellers concluding such contracts. Namely, travellers may not easily identify who they are concluding a contract with, what type of contract it may be </w:t>
      </w:r>
      <w:r w:rsidR="00C37A36">
        <w:rPr>
          <w:lang w:val="en-GB"/>
        </w:rPr>
        <w:lastRenderedPageBreak/>
        <w:t>and thus what rights and obligations the parties to this contract may have</w:t>
      </w:r>
      <w:r w:rsidR="005D03E5">
        <w:rPr>
          <w:rStyle w:val="FootnoteReference"/>
          <w:lang w:val="en-GB"/>
        </w:rPr>
        <w:footnoteReference w:id="52"/>
      </w:r>
      <w:r w:rsidR="00C37A36">
        <w:rPr>
          <w:lang w:val="en-GB"/>
        </w:rPr>
        <w:t xml:space="preserve">. This assessment may be even more difficult for vulnerable travellers and, therefore, it is </w:t>
      </w:r>
      <w:r w:rsidR="000E7666">
        <w:rPr>
          <w:lang w:val="en-GB"/>
        </w:rPr>
        <w:t xml:space="preserve">essential </w:t>
      </w:r>
      <w:r w:rsidR="00C37A36">
        <w:rPr>
          <w:lang w:val="en-GB"/>
        </w:rPr>
        <w:t xml:space="preserve">that also their needs </w:t>
      </w:r>
      <w:r w:rsidR="000E7666">
        <w:rPr>
          <w:lang w:val="en-GB"/>
        </w:rPr>
        <w:t>are</w:t>
      </w:r>
      <w:r w:rsidR="00C37A36">
        <w:rPr>
          <w:lang w:val="en-GB"/>
        </w:rPr>
        <w:t xml:space="preserve"> considered by the European legislator when </w:t>
      </w:r>
      <w:r w:rsidR="005237FB">
        <w:rPr>
          <w:lang w:val="en-GB"/>
        </w:rPr>
        <w:t xml:space="preserve">it </w:t>
      </w:r>
      <w:r w:rsidR="00C37A36">
        <w:rPr>
          <w:lang w:val="en-GB"/>
        </w:rPr>
        <w:t>finally decide</w:t>
      </w:r>
      <w:r w:rsidR="005237FB">
        <w:rPr>
          <w:lang w:val="en-GB"/>
        </w:rPr>
        <w:t>s</w:t>
      </w:r>
      <w:r w:rsidR="00C37A36">
        <w:rPr>
          <w:lang w:val="en-GB"/>
        </w:rPr>
        <w:t xml:space="preserve"> to tackle harmonisation of such new digital services.</w:t>
      </w:r>
    </w:p>
    <w:p w:rsidR="00894034" w:rsidRPr="003832E8" w:rsidRDefault="00894034" w:rsidP="00B06978">
      <w:pPr>
        <w:pStyle w:val="ListParagraph"/>
        <w:ind w:left="360"/>
        <w:jc w:val="both"/>
        <w:rPr>
          <w:lang w:val="en-GB"/>
        </w:rPr>
      </w:pPr>
    </w:p>
    <w:p w:rsidR="00E41841" w:rsidRPr="003832E8" w:rsidRDefault="007B7111" w:rsidP="00B06978">
      <w:pPr>
        <w:pStyle w:val="ListParagraph"/>
        <w:numPr>
          <w:ilvl w:val="0"/>
          <w:numId w:val="1"/>
        </w:numPr>
        <w:jc w:val="both"/>
        <w:rPr>
          <w:b/>
          <w:lang w:val="en-GB"/>
        </w:rPr>
      </w:pPr>
      <w:r>
        <w:rPr>
          <w:b/>
          <w:lang w:val="en-GB"/>
        </w:rPr>
        <w:t>Additional</w:t>
      </w:r>
      <w:r w:rsidR="00786DFF" w:rsidRPr="003832E8">
        <w:rPr>
          <w:b/>
          <w:lang w:val="en-GB"/>
        </w:rPr>
        <w:t xml:space="preserve"> protection for vulnerable </w:t>
      </w:r>
      <w:r w:rsidR="00B5315F">
        <w:rPr>
          <w:b/>
          <w:lang w:val="en-GB"/>
        </w:rPr>
        <w:t>traveller</w:t>
      </w:r>
      <w:r w:rsidR="00786DFF" w:rsidRPr="003832E8">
        <w:rPr>
          <w:b/>
          <w:lang w:val="en-GB"/>
        </w:rPr>
        <w:t>s</w:t>
      </w:r>
      <w:r>
        <w:rPr>
          <w:b/>
          <w:lang w:val="en-GB"/>
        </w:rPr>
        <w:t xml:space="preserve"> – missed opportunities</w:t>
      </w:r>
    </w:p>
    <w:p w:rsidR="00786DFF" w:rsidRPr="003832E8" w:rsidRDefault="00786DFF" w:rsidP="00B06978">
      <w:pPr>
        <w:pStyle w:val="ListParagraph"/>
        <w:ind w:left="360"/>
        <w:jc w:val="both"/>
        <w:rPr>
          <w:lang w:val="en-GB"/>
        </w:rPr>
      </w:pPr>
    </w:p>
    <w:p w:rsidR="004608F6" w:rsidRDefault="00FB6232" w:rsidP="004608F6">
      <w:pPr>
        <w:pStyle w:val="ListParagraph"/>
        <w:ind w:left="360"/>
        <w:jc w:val="both"/>
        <w:rPr>
          <w:lang w:val="en-GB"/>
        </w:rPr>
      </w:pPr>
      <w:r>
        <w:rPr>
          <w:lang w:val="en-GB"/>
        </w:rPr>
        <w:t>Since the European legislator acknowledge</w:t>
      </w:r>
      <w:r w:rsidR="000E7666">
        <w:rPr>
          <w:lang w:val="en-GB"/>
        </w:rPr>
        <w:t>s</w:t>
      </w:r>
      <w:r>
        <w:rPr>
          <w:lang w:val="en-GB"/>
        </w:rPr>
        <w:t xml:space="preserve"> in Recital 25 of </w:t>
      </w:r>
      <w:r w:rsidR="004608F6">
        <w:rPr>
          <w:lang w:val="en-GB"/>
        </w:rPr>
        <w:t>Directive 2015/2302</w:t>
      </w:r>
      <w:r>
        <w:rPr>
          <w:lang w:val="en-GB"/>
        </w:rPr>
        <w:t xml:space="preserve"> the existence of vulnerable travellers, we</w:t>
      </w:r>
      <w:r w:rsidR="004608F6">
        <w:rPr>
          <w:lang w:val="en-GB"/>
        </w:rPr>
        <w:t xml:space="preserve"> could have </w:t>
      </w:r>
      <w:r>
        <w:rPr>
          <w:lang w:val="en-GB"/>
        </w:rPr>
        <w:t>expected that</w:t>
      </w:r>
      <w:r w:rsidR="004608F6">
        <w:rPr>
          <w:lang w:val="en-GB"/>
        </w:rPr>
        <w:t xml:space="preserve"> </w:t>
      </w:r>
      <w:r>
        <w:rPr>
          <w:lang w:val="en-GB"/>
        </w:rPr>
        <w:t xml:space="preserve">it would provide </w:t>
      </w:r>
      <w:r w:rsidR="004608F6">
        <w:rPr>
          <w:lang w:val="en-GB"/>
        </w:rPr>
        <w:t xml:space="preserve">an additional layer of protection for </w:t>
      </w:r>
      <w:r>
        <w:rPr>
          <w:lang w:val="en-GB"/>
        </w:rPr>
        <w:t>them. The most pressing, considering the above-discussed case law of the CJEU, seems to be the need for the adoption</w:t>
      </w:r>
      <w:r w:rsidR="004608F6">
        <w:rPr>
          <w:lang w:val="en-GB"/>
        </w:rPr>
        <w:t xml:space="preserve"> </w:t>
      </w:r>
      <w:r>
        <w:rPr>
          <w:lang w:val="en-GB"/>
        </w:rPr>
        <w:t xml:space="preserve">of </w:t>
      </w:r>
      <w:r w:rsidR="004608F6">
        <w:rPr>
          <w:lang w:val="en-GB"/>
        </w:rPr>
        <w:t xml:space="preserve">a different standard for the assessment of compliance of the tour organizer with the transparency </w:t>
      </w:r>
      <w:r w:rsidR="007B7111">
        <w:rPr>
          <w:lang w:val="en-GB"/>
        </w:rPr>
        <w:t>requirements</w:t>
      </w:r>
      <w:r>
        <w:rPr>
          <w:lang w:val="en-GB"/>
        </w:rPr>
        <w:t xml:space="preserve"> of mandatory disclosure required by the Directive 2015/2302</w:t>
      </w:r>
      <w:r w:rsidR="004608F6">
        <w:rPr>
          <w:lang w:val="en-GB"/>
        </w:rPr>
        <w:t xml:space="preserve">. </w:t>
      </w:r>
      <w:r>
        <w:rPr>
          <w:lang w:val="en-GB"/>
        </w:rPr>
        <w:t xml:space="preserve">However, the European legislator could also have anticipated needs of </w:t>
      </w:r>
      <w:r w:rsidR="004608F6">
        <w:rPr>
          <w:lang w:val="en-GB"/>
        </w:rPr>
        <w:t xml:space="preserve">vulnerable travellers </w:t>
      </w:r>
      <w:r>
        <w:rPr>
          <w:lang w:val="en-GB"/>
        </w:rPr>
        <w:t>with regard to</w:t>
      </w:r>
      <w:r w:rsidR="004608F6">
        <w:rPr>
          <w:lang w:val="en-GB"/>
        </w:rPr>
        <w:t xml:space="preserve"> information </w:t>
      </w:r>
      <w:r w:rsidR="007B7111">
        <w:rPr>
          <w:lang w:val="en-GB"/>
        </w:rPr>
        <w:t xml:space="preserve">on specific, additional issues </w:t>
      </w:r>
      <w:r>
        <w:rPr>
          <w:lang w:val="en-GB"/>
        </w:rPr>
        <w:t xml:space="preserve">as </w:t>
      </w:r>
      <w:r w:rsidR="007B7111">
        <w:rPr>
          <w:lang w:val="en-GB"/>
        </w:rPr>
        <w:t>to their travel plans</w:t>
      </w:r>
      <w:r>
        <w:rPr>
          <w:lang w:val="en-GB"/>
        </w:rPr>
        <w:t xml:space="preserve"> (e.g., access to hotel facilities for travellers with reduced mobility)</w:t>
      </w:r>
      <w:r w:rsidR="007B7111">
        <w:rPr>
          <w:lang w:val="en-GB"/>
        </w:rPr>
        <w:t xml:space="preserve">, as well as </w:t>
      </w:r>
      <w:r>
        <w:rPr>
          <w:lang w:val="en-GB"/>
        </w:rPr>
        <w:t xml:space="preserve">their problems with assimilation of such information. Therefore, the mandatory </w:t>
      </w:r>
      <w:r w:rsidR="004608F6">
        <w:rPr>
          <w:lang w:val="en-GB"/>
        </w:rPr>
        <w:t xml:space="preserve">information </w:t>
      </w:r>
      <w:r>
        <w:rPr>
          <w:lang w:val="en-GB"/>
        </w:rPr>
        <w:t xml:space="preserve">for vulnerable travellers may need to be </w:t>
      </w:r>
      <w:r w:rsidR="004608F6">
        <w:rPr>
          <w:lang w:val="en-GB"/>
        </w:rPr>
        <w:t xml:space="preserve">drafted </w:t>
      </w:r>
      <w:r w:rsidR="007B7111">
        <w:rPr>
          <w:lang w:val="en-GB"/>
        </w:rPr>
        <w:t xml:space="preserve">and presented to them </w:t>
      </w:r>
      <w:r w:rsidR="004608F6">
        <w:rPr>
          <w:lang w:val="en-GB"/>
        </w:rPr>
        <w:t xml:space="preserve">in </w:t>
      </w:r>
      <w:r w:rsidR="007B7111">
        <w:rPr>
          <w:lang w:val="en-GB"/>
        </w:rPr>
        <w:t xml:space="preserve">a </w:t>
      </w:r>
      <w:r w:rsidR="00C500F3">
        <w:rPr>
          <w:lang w:val="en-GB"/>
        </w:rPr>
        <w:t xml:space="preserve">different than standard, </w:t>
      </w:r>
      <w:r w:rsidR="007B7111">
        <w:rPr>
          <w:lang w:val="en-GB"/>
        </w:rPr>
        <w:t>more approachable</w:t>
      </w:r>
      <w:r w:rsidR="004608F6">
        <w:rPr>
          <w:lang w:val="en-GB"/>
        </w:rPr>
        <w:t xml:space="preserve"> form</w:t>
      </w:r>
      <w:r w:rsidR="007B7111">
        <w:rPr>
          <w:lang w:val="en-GB"/>
        </w:rPr>
        <w:t>.</w:t>
      </w:r>
      <w:r w:rsidR="004608F6">
        <w:rPr>
          <w:lang w:val="en-GB"/>
        </w:rPr>
        <w:t xml:space="preserve"> </w:t>
      </w:r>
      <w:r w:rsidR="007B7111">
        <w:rPr>
          <w:lang w:val="en-GB"/>
        </w:rPr>
        <w:t>Below I briefly address these two requirements</w:t>
      </w:r>
      <w:r w:rsidR="00C500F3">
        <w:rPr>
          <w:lang w:val="en-GB"/>
        </w:rPr>
        <w:t xml:space="preserve"> on an example of </w:t>
      </w:r>
      <w:r>
        <w:rPr>
          <w:lang w:val="en-GB"/>
        </w:rPr>
        <w:t>senior</w:t>
      </w:r>
      <w:r w:rsidR="00C500F3">
        <w:rPr>
          <w:lang w:val="en-GB"/>
        </w:rPr>
        <w:t xml:space="preserve"> </w:t>
      </w:r>
      <w:r w:rsidR="00205AC6">
        <w:rPr>
          <w:lang w:val="en-GB"/>
        </w:rPr>
        <w:t xml:space="preserve">and young </w:t>
      </w:r>
      <w:r w:rsidR="00C500F3">
        <w:rPr>
          <w:lang w:val="en-GB"/>
        </w:rPr>
        <w:t>traveller</w:t>
      </w:r>
      <w:r w:rsidR="00205AC6">
        <w:rPr>
          <w:lang w:val="en-GB"/>
        </w:rPr>
        <w:t>s</w:t>
      </w:r>
      <w:r w:rsidR="00C500F3">
        <w:rPr>
          <w:lang w:val="en-GB"/>
        </w:rPr>
        <w:t xml:space="preserve"> as vulnerable traveller</w:t>
      </w:r>
      <w:r w:rsidR="00205AC6">
        <w:rPr>
          <w:lang w:val="en-GB"/>
        </w:rPr>
        <w:t>s</w:t>
      </w:r>
      <w:r w:rsidR="007B7111">
        <w:rPr>
          <w:lang w:val="en-GB"/>
        </w:rPr>
        <w:t>.</w:t>
      </w:r>
    </w:p>
    <w:p w:rsidR="00786DFF" w:rsidRDefault="00786DFF" w:rsidP="00B06978">
      <w:pPr>
        <w:pStyle w:val="ListParagraph"/>
        <w:ind w:left="360"/>
        <w:jc w:val="both"/>
        <w:rPr>
          <w:lang w:val="en-GB"/>
        </w:rPr>
      </w:pPr>
    </w:p>
    <w:p w:rsidR="007B7111" w:rsidRDefault="00FF1B60" w:rsidP="00B06978">
      <w:pPr>
        <w:pStyle w:val="ListParagraph"/>
        <w:ind w:left="360"/>
        <w:jc w:val="both"/>
        <w:rPr>
          <w:lang w:val="en-GB"/>
        </w:rPr>
      </w:pPr>
      <w:r>
        <w:rPr>
          <w:lang w:val="en-GB"/>
        </w:rPr>
        <w:t>V</w:t>
      </w:r>
      <w:r w:rsidR="00AD4ABF">
        <w:rPr>
          <w:lang w:val="en-GB"/>
        </w:rPr>
        <w:t>ulnerability due to age, i.e. vulnerability of senior and young travellers, provides us with a good example for a case study</w:t>
      </w:r>
      <w:r w:rsidR="006235F5">
        <w:rPr>
          <w:lang w:val="en-GB"/>
        </w:rPr>
        <w:t xml:space="preserve">, since such </w:t>
      </w:r>
      <w:proofErr w:type="gramStart"/>
      <w:r w:rsidR="006235F5">
        <w:rPr>
          <w:lang w:val="en-GB"/>
        </w:rPr>
        <w:t>a vulnerability</w:t>
      </w:r>
      <w:proofErr w:type="gramEnd"/>
      <w:r w:rsidR="006235F5">
        <w:rPr>
          <w:lang w:val="en-GB"/>
        </w:rPr>
        <w:t xml:space="preserve"> is listed in Recital 25</w:t>
      </w:r>
      <w:r w:rsidR="008A00BE">
        <w:rPr>
          <w:lang w:val="en-GB"/>
        </w:rPr>
        <w:t xml:space="preserve"> of Directive 2015/2302</w:t>
      </w:r>
      <w:r w:rsidR="006235F5">
        <w:rPr>
          <w:lang w:val="en-GB"/>
        </w:rPr>
        <w:t xml:space="preserve"> and should be reasonably easy to foresee for the tour organizer</w:t>
      </w:r>
      <w:r w:rsidR="007B7111">
        <w:rPr>
          <w:lang w:val="en-GB"/>
        </w:rPr>
        <w:t xml:space="preserve">. </w:t>
      </w:r>
      <w:r w:rsidR="00AD4ABF">
        <w:rPr>
          <w:lang w:val="en-GB"/>
        </w:rPr>
        <w:t xml:space="preserve">Senior travellers may have various age related disabilities that will, e.g., require </w:t>
      </w:r>
      <w:r w:rsidR="00FD5BBD">
        <w:rPr>
          <w:lang w:val="en-GB"/>
        </w:rPr>
        <w:t xml:space="preserve">a </w:t>
      </w:r>
      <w:r w:rsidR="00AD4ABF">
        <w:rPr>
          <w:lang w:val="en-GB"/>
        </w:rPr>
        <w:t>different approach to the provision of information to them</w:t>
      </w:r>
      <w:r w:rsidR="00925B1F">
        <w:rPr>
          <w:rStyle w:val="FootnoteReference"/>
          <w:lang w:val="en-GB"/>
        </w:rPr>
        <w:footnoteReference w:id="53"/>
      </w:r>
      <w:r w:rsidR="00AD4ABF">
        <w:rPr>
          <w:lang w:val="en-GB"/>
        </w:rPr>
        <w:t>. Young travellers, due to their contractual and financial inexperience, as well as the lack of time to consider the choices they make</w:t>
      </w:r>
      <w:r w:rsidR="00CB5EB7">
        <w:rPr>
          <w:lang w:val="en-GB"/>
        </w:rPr>
        <w:t xml:space="preserve"> due to their busy pursuit of successful career and family lives</w:t>
      </w:r>
      <w:r w:rsidR="00AD4ABF">
        <w:rPr>
          <w:lang w:val="en-GB"/>
        </w:rPr>
        <w:t>, may diverge from the average consumer standard, and make poor contractual choices they could use additional protection from</w:t>
      </w:r>
      <w:r w:rsidR="00AD4ABF">
        <w:rPr>
          <w:rStyle w:val="FootnoteReference"/>
          <w:lang w:val="en-GB"/>
        </w:rPr>
        <w:footnoteReference w:id="54"/>
      </w:r>
      <w:r w:rsidR="00AD4ABF">
        <w:rPr>
          <w:lang w:val="en-GB"/>
        </w:rPr>
        <w:t>.</w:t>
      </w:r>
    </w:p>
    <w:p w:rsidR="007B7111" w:rsidRDefault="007B7111" w:rsidP="00B06978">
      <w:pPr>
        <w:pStyle w:val="ListParagraph"/>
        <w:ind w:left="360"/>
        <w:jc w:val="both"/>
        <w:rPr>
          <w:lang w:val="en-GB"/>
        </w:rPr>
      </w:pPr>
    </w:p>
    <w:p w:rsidR="006C66FD" w:rsidRDefault="007B7111" w:rsidP="00B06978">
      <w:pPr>
        <w:pStyle w:val="ListParagraph"/>
        <w:ind w:left="360"/>
        <w:jc w:val="both"/>
        <w:rPr>
          <w:lang w:val="en-GB"/>
        </w:rPr>
      </w:pPr>
      <w:r>
        <w:rPr>
          <w:lang w:val="en-GB"/>
        </w:rPr>
        <w:t xml:space="preserve">Senior travellers </w:t>
      </w:r>
      <w:r w:rsidR="00DD1933">
        <w:rPr>
          <w:lang w:val="en-GB"/>
        </w:rPr>
        <w:t>tend to choose different holiday options than other travellers, due to their higher preference for risk-avoidance</w:t>
      </w:r>
      <w:r w:rsidR="00DD1933">
        <w:rPr>
          <w:rStyle w:val="FootnoteReference"/>
          <w:lang w:val="en-GB"/>
        </w:rPr>
        <w:footnoteReference w:id="55"/>
      </w:r>
      <w:r w:rsidR="00DD1933">
        <w:rPr>
          <w:lang w:val="en-GB"/>
        </w:rPr>
        <w:t>.</w:t>
      </w:r>
      <w:r w:rsidR="00CF6AF7">
        <w:rPr>
          <w:lang w:val="en-GB"/>
        </w:rPr>
        <w:t xml:space="preserve"> Seniors may perceive package tours as a safe holiday option, since such a choice does not force them to individually </w:t>
      </w:r>
      <w:r w:rsidR="00481057">
        <w:rPr>
          <w:lang w:val="en-GB"/>
        </w:rPr>
        <w:t xml:space="preserve">select </w:t>
      </w:r>
      <w:r w:rsidR="00CF6AF7">
        <w:rPr>
          <w:lang w:val="en-GB"/>
        </w:rPr>
        <w:t xml:space="preserve">and evaluate the reliability of different services and service providers and, additionally, provides them with comprehensive holidays. </w:t>
      </w:r>
      <w:r>
        <w:rPr>
          <w:lang w:val="en-GB"/>
        </w:rPr>
        <w:t>When they choose</w:t>
      </w:r>
      <w:r w:rsidR="00CF6AF7">
        <w:rPr>
          <w:lang w:val="en-GB"/>
        </w:rPr>
        <w:t xml:space="preserve"> upfront a package travel encompassing transport, accommodation, an all-inclusive board and even some optional tours</w:t>
      </w:r>
      <w:r w:rsidR="002432F0">
        <w:rPr>
          <w:lang w:val="en-GB"/>
        </w:rPr>
        <w:t>,</w:t>
      </w:r>
      <w:r w:rsidR="00CF6AF7">
        <w:rPr>
          <w:lang w:val="en-GB"/>
        </w:rPr>
        <w:t xml:space="preserve"> </w:t>
      </w:r>
      <w:r>
        <w:rPr>
          <w:lang w:val="en-GB"/>
        </w:rPr>
        <w:t xml:space="preserve">this </w:t>
      </w:r>
      <w:r w:rsidR="00CF6AF7">
        <w:rPr>
          <w:lang w:val="en-GB"/>
        </w:rPr>
        <w:t xml:space="preserve">means </w:t>
      </w:r>
      <w:r>
        <w:rPr>
          <w:lang w:val="en-GB"/>
        </w:rPr>
        <w:t>they do not have</w:t>
      </w:r>
      <w:r w:rsidR="00CF6AF7">
        <w:rPr>
          <w:lang w:val="en-GB"/>
        </w:rPr>
        <w:t xml:space="preserve"> to worry about particularities of their holidays during the trip.</w:t>
      </w:r>
      <w:r w:rsidR="002432F0">
        <w:rPr>
          <w:lang w:val="en-GB"/>
        </w:rPr>
        <w:t xml:space="preserve"> Due to </w:t>
      </w:r>
      <w:r>
        <w:rPr>
          <w:lang w:val="en-GB"/>
        </w:rPr>
        <w:t xml:space="preserve">this </w:t>
      </w:r>
      <w:r w:rsidR="002432F0">
        <w:rPr>
          <w:lang w:val="en-GB"/>
        </w:rPr>
        <w:t xml:space="preserve">vulnerable travellers’ need for safe choices, the European legislator could have </w:t>
      </w:r>
      <w:r w:rsidR="006C66FD">
        <w:rPr>
          <w:lang w:val="en-GB"/>
        </w:rPr>
        <w:t>considered the introduction of additional insurance and liability obligations for tour organizer</w:t>
      </w:r>
      <w:r w:rsidR="00C500F3">
        <w:rPr>
          <w:lang w:val="en-GB"/>
        </w:rPr>
        <w:t>s</w:t>
      </w:r>
      <w:r w:rsidR="006C66FD">
        <w:rPr>
          <w:lang w:val="en-GB"/>
        </w:rPr>
        <w:t xml:space="preserve"> </w:t>
      </w:r>
      <w:r w:rsidR="000E7666">
        <w:rPr>
          <w:lang w:val="en-GB"/>
        </w:rPr>
        <w:t xml:space="preserve">for </w:t>
      </w:r>
      <w:r w:rsidR="006C66FD">
        <w:rPr>
          <w:lang w:val="en-GB"/>
        </w:rPr>
        <w:t xml:space="preserve">these passengers. </w:t>
      </w:r>
      <w:r w:rsidR="00CC5912">
        <w:rPr>
          <w:lang w:val="en-GB"/>
        </w:rPr>
        <w:t xml:space="preserve">For example, the European legislator could </w:t>
      </w:r>
      <w:r w:rsidR="00481057">
        <w:rPr>
          <w:lang w:val="en-GB"/>
        </w:rPr>
        <w:t xml:space="preserve">have </w:t>
      </w:r>
      <w:r w:rsidR="00CC5912">
        <w:rPr>
          <w:lang w:val="en-GB"/>
        </w:rPr>
        <w:t>prescribe</w:t>
      </w:r>
      <w:r w:rsidR="00481057">
        <w:rPr>
          <w:lang w:val="en-GB"/>
        </w:rPr>
        <w:t>d</w:t>
      </w:r>
      <w:r w:rsidR="00CC5912">
        <w:rPr>
          <w:lang w:val="en-GB"/>
        </w:rPr>
        <w:t xml:space="preserve"> </w:t>
      </w:r>
      <w:r>
        <w:rPr>
          <w:lang w:val="en-GB"/>
        </w:rPr>
        <w:t xml:space="preserve">an insolvency scheme that would not only ensure a possibility of </w:t>
      </w:r>
      <w:r>
        <w:rPr>
          <w:lang w:val="en-GB"/>
        </w:rPr>
        <w:lastRenderedPageBreak/>
        <w:t>repatriation of a senior traveller</w:t>
      </w:r>
      <w:r w:rsidR="008D28A5">
        <w:rPr>
          <w:rStyle w:val="FootnoteReference"/>
          <w:lang w:val="en-GB"/>
        </w:rPr>
        <w:footnoteReference w:id="56"/>
      </w:r>
      <w:r>
        <w:rPr>
          <w:lang w:val="en-GB"/>
        </w:rPr>
        <w:t xml:space="preserve">, but rather secure </w:t>
      </w:r>
      <w:r w:rsidR="00CC5912">
        <w:rPr>
          <w:lang w:val="en-GB"/>
        </w:rPr>
        <w:t xml:space="preserve">such </w:t>
      </w:r>
      <w:r>
        <w:rPr>
          <w:lang w:val="en-GB"/>
        </w:rPr>
        <w:t>traveller’s option to continue with the unchanged program of the package tour.</w:t>
      </w:r>
      <w:r w:rsidR="006C66FD">
        <w:rPr>
          <w:lang w:val="en-GB"/>
        </w:rPr>
        <w:t xml:space="preserve"> </w:t>
      </w:r>
      <w:r>
        <w:rPr>
          <w:lang w:val="en-GB"/>
        </w:rPr>
        <w:t xml:space="preserve">This </w:t>
      </w:r>
      <w:r w:rsidR="006C66FD">
        <w:rPr>
          <w:lang w:val="en-GB"/>
        </w:rPr>
        <w:t>could have made package travel even more attractive to this group of consumers</w:t>
      </w:r>
      <w:r>
        <w:rPr>
          <w:lang w:val="en-GB"/>
        </w:rPr>
        <w:t>, by further minimizing their risks of concluding such contracts</w:t>
      </w:r>
      <w:r w:rsidR="006C66FD">
        <w:rPr>
          <w:lang w:val="en-GB"/>
        </w:rPr>
        <w:t xml:space="preserve">. </w:t>
      </w:r>
      <w:r w:rsidR="00481057">
        <w:rPr>
          <w:lang w:val="en-GB"/>
        </w:rPr>
        <w:t>Currently, however, Article 17 paragraph 1 of the Directive 2015/2302 only provides for an option of a continuation of a package.</w:t>
      </w:r>
    </w:p>
    <w:p w:rsidR="006C66FD" w:rsidRDefault="006C66FD" w:rsidP="00B06978">
      <w:pPr>
        <w:pStyle w:val="ListParagraph"/>
        <w:ind w:left="360"/>
        <w:jc w:val="both"/>
        <w:rPr>
          <w:lang w:val="en-GB"/>
        </w:rPr>
      </w:pPr>
    </w:p>
    <w:p w:rsidR="00DD1933" w:rsidRDefault="006C66FD" w:rsidP="00B06978">
      <w:pPr>
        <w:pStyle w:val="ListParagraph"/>
        <w:ind w:left="360"/>
        <w:jc w:val="both"/>
        <w:rPr>
          <w:lang w:val="en-GB"/>
        </w:rPr>
      </w:pPr>
      <w:r>
        <w:rPr>
          <w:lang w:val="en-GB"/>
        </w:rPr>
        <w:t xml:space="preserve">Moreover, senior travellers could </w:t>
      </w:r>
      <w:r w:rsidR="00CB5EB7">
        <w:rPr>
          <w:lang w:val="en-GB"/>
        </w:rPr>
        <w:t xml:space="preserve">need </w:t>
      </w:r>
      <w:r>
        <w:rPr>
          <w:lang w:val="en-GB"/>
        </w:rPr>
        <w:t>the tour organizer or a retailer to provide them with</w:t>
      </w:r>
      <w:r w:rsidR="00044EA4">
        <w:rPr>
          <w:lang w:val="en-GB"/>
        </w:rPr>
        <w:t xml:space="preserve"> </w:t>
      </w:r>
      <w:r w:rsidR="00481057">
        <w:rPr>
          <w:lang w:val="en-GB"/>
        </w:rPr>
        <w:t xml:space="preserve">a </w:t>
      </w:r>
      <w:r w:rsidR="00044EA4">
        <w:rPr>
          <w:lang w:val="en-GB"/>
        </w:rPr>
        <w:t>different scope of information than other travellers</w:t>
      </w:r>
      <w:r>
        <w:rPr>
          <w:lang w:val="en-GB"/>
        </w:rPr>
        <w:t xml:space="preserve">. The tour organizer </w:t>
      </w:r>
      <w:r w:rsidR="00060A87">
        <w:rPr>
          <w:lang w:val="en-GB"/>
        </w:rPr>
        <w:t xml:space="preserve">could </w:t>
      </w:r>
      <w:r>
        <w:rPr>
          <w:lang w:val="en-GB"/>
        </w:rPr>
        <w:t>reasonably foresee problems of senior travellers with such issues as mobility or illumination</w:t>
      </w:r>
      <w:r w:rsidR="00424D36">
        <w:rPr>
          <w:lang w:val="en-GB"/>
        </w:rPr>
        <w:t>, as well as other various age related disabilities that could impede their activities</w:t>
      </w:r>
      <w:r>
        <w:rPr>
          <w:lang w:val="en-GB"/>
        </w:rPr>
        <w:t>. Thus, additional information as to</w:t>
      </w:r>
      <w:r w:rsidR="00060A87">
        <w:rPr>
          <w:lang w:val="en-GB"/>
        </w:rPr>
        <w:t xml:space="preserve"> </w:t>
      </w:r>
      <w:r>
        <w:rPr>
          <w:lang w:val="en-GB"/>
        </w:rPr>
        <w:t xml:space="preserve">lifts in the hotel or </w:t>
      </w:r>
      <w:r w:rsidR="00BF6881">
        <w:rPr>
          <w:lang w:val="en-GB"/>
        </w:rPr>
        <w:t xml:space="preserve">the </w:t>
      </w:r>
      <w:r>
        <w:rPr>
          <w:lang w:val="en-GB"/>
        </w:rPr>
        <w:t xml:space="preserve">quality of </w:t>
      </w:r>
      <w:r w:rsidR="00044EA4">
        <w:rPr>
          <w:lang w:val="en-GB"/>
        </w:rPr>
        <w:t xml:space="preserve">the </w:t>
      </w:r>
      <w:r w:rsidR="00BF6881">
        <w:rPr>
          <w:lang w:val="en-GB"/>
        </w:rPr>
        <w:t xml:space="preserve">hotel </w:t>
      </w:r>
      <w:r>
        <w:rPr>
          <w:lang w:val="en-GB"/>
        </w:rPr>
        <w:t>lighting,</w:t>
      </w:r>
      <w:r w:rsidR="00BF6881">
        <w:rPr>
          <w:lang w:val="en-GB"/>
        </w:rPr>
        <w:t xml:space="preserve"> </w:t>
      </w:r>
      <w:r w:rsidR="00044EA4">
        <w:rPr>
          <w:lang w:val="en-GB"/>
        </w:rPr>
        <w:t xml:space="preserve">the </w:t>
      </w:r>
      <w:r w:rsidR="00BF6881">
        <w:rPr>
          <w:lang w:val="en-GB"/>
        </w:rPr>
        <w:t>ease of access to the beach or a swimming pool,</w:t>
      </w:r>
      <w:r w:rsidR="00060A87">
        <w:rPr>
          <w:lang w:val="en-GB"/>
        </w:rPr>
        <w:t xml:space="preserve"> etc.</w:t>
      </w:r>
      <w:r>
        <w:rPr>
          <w:lang w:val="en-GB"/>
        </w:rPr>
        <w:t xml:space="preserve"> could </w:t>
      </w:r>
      <w:r w:rsidR="00BF6881">
        <w:rPr>
          <w:lang w:val="en-GB"/>
        </w:rPr>
        <w:t xml:space="preserve">prove </w:t>
      </w:r>
      <w:r w:rsidR="00044EA4">
        <w:rPr>
          <w:lang w:val="en-GB"/>
        </w:rPr>
        <w:t xml:space="preserve">to be </w:t>
      </w:r>
      <w:r>
        <w:rPr>
          <w:lang w:val="en-GB"/>
        </w:rPr>
        <w:t>e</w:t>
      </w:r>
      <w:r w:rsidR="00BF6881">
        <w:rPr>
          <w:lang w:val="en-GB"/>
        </w:rPr>
        <w:t xml:space="preserve">ssential information for </w:t>
      </w:r>
      <w:r w:rsidR="00CB5EB7">
        <w:rPr>
          <w:lang w:val="en-GB"/>
        </w:rPr>
        <w:t xml:space="preserve">these </w:t>
      </w:r>
      <w:r w:rsidR="00BF6881">
        <w:rPr>
          <w:lang w:val="en-GB"/>
        </w:rPr>
        <w:t xml:space="preserve">travellers. Article 5 para a (viii) of Directive 2015/2302 does not </w:t>
      </w:r>
      <w:r w:rsidR="009C73E3">
        <w:rPr>
          <w:lang w:val="en-GB"/>
        </w:rPr>
        <w:t xml:space="preserve">fully </w:t>
      </w:r>
      <w:r w:rsidR="00BF6881">
        <w:rPr>
          <w:lang w:val="en-GB"/>
        </w:rPr>
        <w:t xml:space="preserve">guarantee </w:t>
      </w:r>
      <w:r w:rsidR="009C73E3">
        <w:rPr>
          <w:lang w:val="en-GB"/>
        </w:rPr>
        <w:t xml:space="preserve">that </w:t>
      </w:r>
      <w:r w:rsidR="00BF6881">
        <w:rPr>
          <w:lang w:val="en-GB"/>
        </w:rPr>
        <w:t>this information reach</w:t>
      </w:r>
      <w:r w:rsidR="009C73E3">
        <w:rPr>
          <w:lang w:val="en-GB"/>
        </w:rPr>
        <w:t>es</w:t>
      </w:r>
      <w:r w:rsidR="00BF6881">
        <w:rPr>
          <w:lang w:val="en-GB"/>
        </w:rPr>
        <w:t xml:space="preserve"> the senior traveller, unless </w:t>
      </w:r>
      <w:r w:rsidR="009C73E3">
        <w:rPr>
          <w:lang w:val="en-GB"/>
        </w:rPr>
        <w:t xml:space="preserve">this </w:t>
      </w:r>
      <w:r w:rsidR="00BF6881">
        <w:rPr>
          <w:lang w:val="en-GB"/>
        </w:rPr>
        <w:t>traveller takes the initiative in asking the right questions to the tour organizer</w:t>
      </w:r>
      <w:r w:rsidR="009C73E3">
        <w:rPr>
          <w:lang w:val="en-GB"/>
        </w:rPr>
        <w:t>,</w:t>
      </w:r>
      <w:r w:rsidR="00044EA4">
        <w:rPr>
          <w:lang w:val="en-GB"/>
        </w:rPr>
        <w:t xml:space="preserve"> and then only with respect to the traveller’s needs regarding his or her mobility</w:t>
      </w:r>
      <w:r w:rsidR="00BF6881">
        <w:rPr>
          <w:lang w:val="en-GB"/>
        </w:rPr>
        <w:t>.</w:t>
      </w:r>
    </w:p>
    <w:p w:rsidR="007D6FF0" w:rsidRDefault="007D6FF0" w:rsidP="00B06978">
      <w:pPr>
        <w:pStyle w:val="ListParagraph"/>
        <w:ind w:left="360"/>
        <w:jc w:val="both"/>
        <w:rPr>
          <w:lang w:val="en-GB"/>
        </w:rPr>
      </w:pPr>
    </w:p>
    <w:p w:rsidR="007D6FF0" w:rsidRPr="003832E8" w:rsidRDefault="007D6FF0" w:rsidP="007D6FF0">
      <w:pPr>
        <w:pStyle w:val="ListParagraph"/>
        <w:ind w:left="360"/>
        <w:jc w:val="both"/>
        <w:rPr>
          <w:lang w:val="en-GB"/>
        </w:rPr>
      </w:pPr>
      <w:r>
        <w:rPr>
          <w:lang w:val="en-GB"/>
        </w:rPr>
        <w:t>Young travellers, as mentioned above, would be less experienced in concluding such package travel contracts and may require the tour organizer to specifically indicate certain rights and obligations that the package travel contract grants them. Thus, the scope of the information duties may not need to change to accommodate their needs, but they would be likely to benefit from more attention being drawn to contractual provisions.</w:t>
      </w:r>
    </w:p>
    <w:p w:rsidR="00744761" w:rsidRDefault="00744761" w:rsidP="00B06978">
      <w:pPr>
        <w:pStyle w:val="ListParagraph"/>
        <w:ind w:left="360"/>
        <w:jc w:val="both"/>
        <w:rPr>
          <w:lang w:val="en-GB"/>
        </w:rPr>
      </w:pPr>
    </w:p>
    <w:p w:rsidR="00744761" w:rsidRDefault="00744761" w:rsidP="00B06978">
      <w:pPr>
        <w:pStyle w:val="ListParagraph"/>
        <w:ind w:left="360"/>
        <w:jc w:val="both"/>
        <w:rPr>
          <w:lang w:val="en-GB"/>
        </w:rPr>
      </w:pPr>
      <w:r>
        <w:rPr>
          <w:lang w:val="en-GB"/>
        </w:rPr>
        <w:t xml:space="preserve">Senior travellers would also be likely to differently approach </w:t>
      </w:r>
      <w:r w:rsidR="00DB5FD2">
        <w:rPr>
          <w:lang w:val="en-GB"/>
        </w:rPr>
        <w:t xml:space="preserve">the </w:t>
      </w:r>
      <w:r>
        <w:rPr>
          <w:lang w:val="en-GB"/>
        </w:rPr>
        <w:t>information revealed to them, especially online.</w:t>
      </w:r>
      <w:r w:rsidR="00832D14">
        <w:rPr>
          <w:lang w:val="en-GB"/>
        </w:rPr>
        <w:t xml:space="preserve"> While an elderly consumer may have more experience with contract conclusion and could have time at his or her disposal to search for and analyse available information, he or she may be less informed about the modern technology</w:t>
      </w:r>
      <w:r w:rsidR="00DB5FD2">
        <w:rPr>
          <w:lang w:val="en-GB"/>
        </w:rPr>
        <w:t>,</w:t>
      </w:r>
      <w:r w:rsidR="00832D14">
        <w:rPr>
          <w:lang w:val="en-GB"/>
        </w:rPr>
        <w:t xml:space="preserve"> and his or her various age</w:t>
      </w:r>
      <w:r w:rsidR="00DB5FD2">
        <w:rPr>
          <w:lang w:val="en-GB"/>
        </w:rPr>
        <w:t>-</w:t>
      </w:r>
      <w:r w:rsidR="00832D14">
        <w:rPr>
          <w:lang w:val="en-GB"/>
        </w:rPr>
        <w:t>related disabilities may hinder proper receipt of information</w:t>
      </w:r>
      <w:r w:rsidR="00832D14">
        <w:rPr>
          <w:rStyle w:val="FootnoteReference"/>
          <w:lang w:val="en-GB"/>
        </w:rPr>
        <w:footnoteReference w:id="57"/>
      </w:r>
      <w:r w:rsidR="00832D14">
        <w:rPr>
          <w:lang w:val="en-GB"/>
        </w:rPr>
        <w:t>.</w:t>
      </w:r>
      <w:r w:rsidR="00173E9E">
        <w:rPr>
          <w:lang w:val="en-GB"/>
        </w:rPr>
        <w:t xml:space="preserve"> Other reported problems of elderly consumers that hinder their assimilation of information are social isolation, lack of self-confidence</w:t>
      </w:r>
      <w:r w:rsidR="003F4D9E">
        <w:rPr>
          <w:lang w:val="en-GB"/>
        </w:rPr>
        <w:t>, lower competence, lack of sound judgment,</w:t>
      </w:r>
      <w:r w:rsidR="00173E9E">
        <w:rPr>
          <w:lang w:val="en-GB"/>
        </w:rPr>
        <w:t xml:space="preserve"> or diminished eyesight</w:t>
      </w:r>
      <w:r w:rsidR="00173E9E">
        <w:rPr>
          <w:rStyle w:val="FootnoteReference"/>
          <w:lang w:val="en-GB"/>
        </w:rPr>
        <w:footnoteReference w:id="58"/>
      </w:r>
      <w:r w:rsidR="00173E9E">
        <w:rPr>
          <w:lang w:val="en-GB"/>
        </w:rPr>
        <w:t>.</w:t>
      </w:r>
      <w:r>
        <w:rPr>
          <w:lang w:val="en-GB"/>
        </w:rPr>
        <w:t xml:space="preserve"> </w:t>
      </w:r>
      <w:r w:rsidR="00DB5FD2">
        <w:rPr>
          <w:lang w:val="en-GB"/>
        </w:rPr>
        <w:t xml:space="preserve">With regard to </w:t>
      </w:r>
      <w:r w:rsidR="00173E9E">
        <w:rPr>
          <w:lang w:val="en-GB"/>
        </w:rPr>
        <w:t xml:space="preserve">this last problem, </w:t>
      </w:r>
      <w:r w:rsidR="00832D14">
        <w:rPr>
          <w:lang w:val="en-GB"/>
        </w:rPr>
        <w:t>the</w:t>
      </w:r>
      <w:r>
        <w:rPr>
          <w:lang w:val="en-GB"/>
        </w:rPr>
        <w:t xml:space="preserve"> avoidance of the small font by the tour organizer or the retailer is even more crucial, considering the possibility of </w:t>
      </w:r>
      <w:r w:rsidR="00FF1B60">
        <w:rPr>
          <w:lang w:val="en-GB"/>
        </w:rPr>
        <w:t xml:space="preserve">reduced vision </w:t>
      </w:r>
      <w:r>
        <w:rPr>
          <w:lang w:val="en-GB"/>
        </w:rPr>
        <w:t>of such travellers.</w:t>
      </w:r>
      <w:r w:rsidR="00550745">
        <w:rPr>
          <w:lang w:val="en-GB"/>
        </w:rPr>
        <w:t xml:space="preserve"> Potentially, their attention span could also vary from </w:t>
      </w:r>
      <w:r w:rsidR="00CB5EB7">
        <w:rPr>
          <w:lang w:val="en-GB"/>
        </w:rPr>
        <w:t xml:space="preserve">that of </w:t>
      </w:r>
      <w:r w:rsidR="00550745">
        <w:rPr>
          <w:lang w:val="en-GB"/>
        </w:rPr>
        <w:t>an average consumer and the information would need to be more concise to reach them.</w:t>
      </w:r>
      <w:r>
        <w:rPr>
          <w:lang w:val="en-GB"/>
        </w:rPr>
        <w:t xml:space="preserve"> Furthermore, the </w:t>
      </w:r>
      <w:r w:rsidR="00CB5EB7">
        <w:rPr>
          <w:lang w:val="en-GB"/>
        </w:rPr>
        <w:t xml:space="preserve">data above </w:t>
      </w:r>
      <w:r>
        <w:rPr>
          <w:lang w:val="en-GB"/>
        </w:rPr>
        <w:t xml:space="preserve">showed that also senior travellers currently commonly use the Internet to book their package travel. Such travellers may, however, be less savvy with the Internet and if </w:t>
      </w:r>
      <w:r w:rsidR="00761F65">
        <w:rPr>
          <w:lang w:val="en-GB"/>
        </w:rPr>
        <w:t xml:space="preserve">information </w:t>
      </w:r>
      <w:r>
        <w:rPr>
          <w:lang w:val="en-GB"/>
        </w:rPr>
        <w:t xml:space="preserve">is hidden somewhere on the website, e.g., when it requires clicking on a few hyperlinks to reach it, it may </w:t>
      </w:r>
      <w:r w:rsidR="0085686D">
        <w:rPr>
          <w:lang w:val="en-GB"/>
        </w:rPr>
        <w:t xml:space="preserve">escape the attention of </w:t>
      </w:r>
      <w:r>
        <w:rPr>
          <w:lang w:val="en-GB"/>
        </w:rPr>
        <w:t>a senior traveller.</w:t>
      </w:r>
      <w:r w:rsidR="0085686D">
        <w:rPr>
          <w:lang w:val="en-GB"/>
        </w:rPr>
        <w:t xml:space="preserve"> </w:t>
      </w:r>
      <w:r w:rsidR="00E37DD9">
        <w:rPr>
          <w:lang w:val="en-GB"/>
        </w:rPr>
        <w:t xml:space="preserve">The </w:t>
      </w:r>
      <w:r w:rsidR="00750023">
        <w:rPr>
          <w:lang w:val="en-GB"/>
        </w:rPr>
        <w:t xml:space="preserve">national enforcement authority might thus </w:t>
      </w:r>
      <w:r w:rsidR="00E37DD9">
        <w:rPr>
          <w:lang w:val="en-GB"/>
        </w:rPr>
        <w:t xml:space="preserve">potentially differently assess </w:t>
      </w:r>
      <w:r w:rsidR="00750023">
        <w:rPr>
          <w:lang w:val="en-GB"/>
        </w:rPr>
        <w:t xml:space="preserve">the tour </w:t>
      </w:r>
      <w:proofErr w:type="gramStart"/>
      <w:r w:rsidR="00750023">
        <w:rPr>
          <w:lang w:val="en-GB"/>
        </w:rPr>
        <w:t>organizer’s</w:t>
      </w:r>
      <w:proofErr w:type="gramEnd"/>
      <w:r w:rsidR="00750023">
        <w:rPr>
          <w:lang w:val="en-GB"/>
        </w:rPr>
        <w:t xml:space="preserve"> and a retailer’s </w:t>
      </w:r>
      <w:r w:rsidR="00E37DD9">
        <w:rPr>
          <w:lang w:val="en-GB"/>
        </w:rPr>
        <w:t xml:space="preserve">compliance with the </w:t>
      </w:r>
      <w:r w:rsidR="00E37DD9">
        <w:rPr>
          <w:lang w:val="en-GB"/>
        </w:rPr>
        <w:lastRenderedPageBreak/>
        <w:t>requirement of transparent disclosure of essential package travel information, depending on whether their services would be likely to affect senior travellers.</w:t>
      </w:r>
    </w:p>
    <w:p w:rsidR="006C4911" w:rsidRDefault="006C4911" w:rsidP="00B06978">
      <w:pPr>
        <w:pStyle w:val="ListParagraph"/>
        <w:ind w:left="360"/>
        <w:jc w:val="both"/>
        <w:rPr>
          <w:lang w:val="en-GB"/>
        </w:rPr>
      </w:pPr>
    </w:p>
    <w:p w:rsidR="004B3CDA" w:rsidRDefault="004B3CDA" w:rsidP="00B06978">
      <w:pPr>
        <w:pStyle w:val="ListParagraph"/>
        <w:ind w:left="360"/>
        <w:jc w:val="both"/>
        <w:rPr>
          <w:lang w:val="en-GB"/>
        </w:rPr>
      </w:pPr>
      <w:r>
        <w:rPr>
          <w:lang w:val="en-GB"/>
        </w:rPr>
        <w:t>One last thing to mention is that due to the senior travellers’ perceived gullibility, tour organizers may more often subject them to unfair commercial practices</w:t>
      </w:r>
      <w:r w:rsidR="00445BEA">
        <w:rPr>
          <w:rStyle w:val="FootnoteReference"/>
          <w:lang w:val="en-GB"/>
        </w:rPr>
        <w:footnoteReference w:id="59"/>
      </w:r>
      <w:r>
        <w:rPr>
          <w:lang w:val="en-GB"/>
        </w:rPr>
        <w:t xml:space="preserve">. This </w:t>
      </w:r>
      <w:r w:rsidR="00E30D48">
        <w:rPr>
          <w:lang w:val="en-GB"/>
        </w:rPr>
        <w:t>could have also been anticipated by the European legislator, e.g., by placing additional information obligations on the tour organizers. Previous empirical research showed that if traders have been instructed to empathize with an elderly consumer or even just made to think more about him or her and his or her situation, this diminished the risk of them using an unethical selling tactic</w:t>
      </w:r>
      <w:r w:rsidR="00E30D48">
        <w:rPr>
          <w:rStyle w:val="FootnoteReference"/>
          <w:lang w:val="en-GB"/>
        </w:rPr>
        <w:footnoteReference w:id="60"/>
      </w:r>
      <w:r w:rsidR="00E30D48">
        <w:rPr>
          <w:lang w:val="en-GB"/>
        </w:rPr>
        <w:t>.</w:t>
      </w:r>
    </w:p>
    <w:p w:rsidR="00642905" w:rsidRDefault="00642905" w:rsidP="00B06978">
      <w:pPr>
        <w:pStyle w:val="ListParagraph"/>
        <w:ind w:left="360"/>
        <w:jc w:val="both"/>
        <w:rPr>
          <w:lang w:val="en-GB"/>
        </w:rPr>
      </w:pPr>
    </w:p>
    <w:p w:rsidR="007E005A" w:rsidRDefault="007E005A" w:rsidP="00B06978">
      <w:pPr>
        <w:pStyle w:val="ListParagraph"/>
        <w:ind w:left="360"/>
        <w:jc w:val="both"/>
        <w:rPr>
          <w:lang w:val="en-GB"/>
        </w:rPr>
      </w:pPr>
      <w:r>
        <w:rPr>
          <w:lang w:val="en-GB"/>
        </w:rPr>
        <w:t xml:space="preserve">The above suggestions are just an example of what rights and obligations the European legislator could have considered when drafting Directive 2015/2302. Obviously, we can leave it to the market to respond to the travellers’ vulnerabilities, but the whole concept of consumer protection is based on the assumption of the need for a </w:t>
      </w:r>
      <w:r w:rsidR="00CB5EB7">
        <w:rPr>
          <w:lang w:val="en-GB"/>
        </w:rPr>
        <w:t xml:space="preserve">more interventionist </w:t>
      </w:r>
      <w:r>
        <w:rPr>
          <w:lang w:val="en-GB"/>
        </w:rPr>
        <w:t>approach, due to the market’s imperfections in regulating itself. This justification should also apply to the scope of protection of vulnerable travellers and we could expect more initiative of the European legislator in this area.</w:t>
      </w:r>
      <w:r w:rsidR="001E728D">
        <w:rPr>
          <w:lang w:val="en-GB"/>
        </w:rPr>
        <w:t xml:space="preserve"> Especially, since the European Commission has </w:t>
      </w:r>
      <w:r w:rsidR="00761F65">
        <w:rPr>
          <w:lang w:val="en-GB"/>
        </w:rPr>
        <w:t xml:space="preserve">now </w:t>
      </w:r>
      <w:r w:rsidR="001E728D">
        <w:rPr>
          <w:lang w:val="en-GB"/>
        </w:rPr>
        <w:t>long worked on a study on consumer vulnerability, which was finally published in January 2016</w:t>
      </w:r>
      <w:r w:rsidR="001E728D">
        <w:rPr>
          <w:rStyle w:val="FootnoteReference"/>
          <w:lang w:val="en-GB"/>
        </w:rPr>
        <w:footnoteReference w:id="61"/>
      </w:r>
      <w:r w:rsidR="001E728D">
        <w:rPr>
          <w:lang w:val="en-GB"/>
        </w:rPr>
        <w:t xml:space="preserve">. This study includes policy implications for tackling consumer vulnerability, among other things, in online transactions. While the study did not investigate the extent of the travellers’ vulnerability, </w:t>
      </w:r>
      <w:r w:rsidR="002C2669">
        <w:rPr>
          <w:lang w:val="en-GB"/>
        </w:rPr>
        <w:t xml:space="preserve">at least </w:t>
      </w:r>
      <w:r w:rsidR="001E728D">
        <w:rPr>
          <w:lang w:val="en-GB"/>
        </w:rPr>
        <w:t xml:space="preserve">one of its suggested policy measures, namely the improvement of the quality and transparency of information, could apply also </w:t>
      </w:r>
      <w:r w:rsidR="00123C4B">
        <w:rPr>
          <w:lang w:val="en-GB"/>
        </w:rPr>
        <w:t xml:space="preserve">to </w:t>
      </w:r>
      <w:r w:rsidR="001E728D">
        <w:rPr>
          <w:lang w:val="en-GB"/>
        </w:rPr>
        <w:t xml:space="preserve">the travel sector. It seems, thus, that European travellers might have benefited from more protection, if only the new Directive 2015/2302 had been finalized </w:t>
      </w:r>
      <w:r w:rsidR="002C2669">
        <w:rPr>
          <w:lang w:val="en-GB"/>
        </w:rPr>
        <w:t>a year later.</w:t>
      </w:r>
    </w:p>
    <w:sectPr w:rsidR="007E005A" w:rsidSect="004B06FB">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82" w:rsidRDefault="008C7382" w:rsidP="00786DFF">
      <w:pPr>
        <w:spacing w:after="0" w:line="240" w:lineRule="auto"/>
      </w:pPr>
      <w:r>
        <w:separator/>
      </w:r>
    </w:p>
  </w:endnote>
  <w:endnote w:type="continuationSeparator" w:id="0">
    <w:p w:rsidR="008C7382" w:rsidRDefault="008C7382" w:rsidP="0078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5078"/>
      <w:docPartObj>
        <w:docPartGallery w:val="Page Numbers (Bottom of Page)"/>
        <w:docPartUnique/>
      </w:docPartObj>
    </w:sdtPr>
    <w:sdtEndPr>
      <w:rPr>
        <w:noProof/>
      </w:rPr>
    </w:sdtEndPr>
    <w:sdtContent>
      <w:p w:rsidR="00C95877" w:rsidRDefault="008F2F28">
        <w:pPr>
          <w:pStyle w:val="Footer"/>
          <w:jc w:val="right"/>
        </w:pPr>
        <w:r>
          <w:fldChar w:fldCharType="begin"/>
        </w:r>
        <w:r w:rsidR="00D61FE8">
          <w:instrText xml:space="preserve"> PAGE   \* MERGEFORMAT </w:instrText>
        </w:r>
        <w:r>
          <w:fldChar w:fldCharType="separate"/>
        </w:r>
        <w:r w:rsidR="00910DB3">
          <w:rPr>
            <w:noProof/>
          </w:rPr>
          <w:t>1</w:t>
        </w:r>
        <w:r>
          <w:rPr>
            <w:noProof/>
          </w:rPr>
          <w:fldChar w:fldCharType="end"/>
        </w:r>
      </w:p>
    </w:sdtContent>
  </w:sdt>
  <w:p w:rsidR="00C95877" w:rsidRDefault="00C9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82" w:rsidRDefault="008C7382" w:rsidP="00786DFF">
      <w:pPr>
        <w:spacing w:after="0" w:line="240" w:lineRule="auto"/>
      </w:pPr>
      <w:r>
        <w:separator/>
      </w:r>
    </w:p>
  </w:footnote>
  <w:footnote w:type="continuationSeparator" w:id="0">
    <w:p w:rsidR="008C7382" w:rsidRDefault="008C7382" w:rsidP="00786DFF">
      <w:pPr>
        <w:spacing w:after="0" w:line="240" w:lineRule="auto"/>
      </w:pPr>
      <w:r>
        <w:continuationSeparator/>
      </w:r>
    </w:p>
  </w:footnote>
  <w:footnote w:id="1">
    <w:p w:rsidR="00C95877" w:rsidRPr="00786DFF" w:rsidRDefault="00C95877" w:rsidP="00D61FE8">
      <w:pPr>
        <w:pStyle w:val="FootnoteText"/>
        <w:jc w:val="both"/>
        <w:rPr>
          <w:lang w:val="en-GB"/>
        </w:rPr>
      </w:pPr>
      <w:r>
        <w:rPr>
          <w:rStyle w:val="FootnoteReference"/>
        </w:rPr>
        <w:footnoteRef/>
      </w:r>
      <w:r>
        <w:t xml:space="preserve"> Dr. </w:t>
      </w:r>
      <w:proofErr w:type="spellStart"/>
      <w:r>
        <w:t>Joasia</w:t>
      </w:r>
      <w:proofErr w:type="spellEnd"/>
      <w:r>
        <w:t xml:space="preserve"> </w:t>
      </w:r>
      <w:proofErr w:type="spellStart"/>
      <w:r>
        <w:t>Luzak</w:t>
      </w:r>
      <w:proofErr w:type="spellEnd"/>
      <w:r>
        <w:t xml:space="preserve">, </w:t>
      </w:r>
      <w:r>
        <w:rPr>
          <w:lang w:val="en-GB"/>
        </w:rPr>
        <w:t>Associate Professor, University of Exeter Law School, Rennes Drive, Exeter EX4 4RJ, Amory Building (United Kingdom), Email: &lt;j.luzak@exeter.ac.uk&gt;.</w:t>
      </w:r>
      <w:r w:rsidR="00B37883">
        <w:rPr>
          <w:lang w:val="en-GB"/>
        </w:rPr>
        <w:t xml:space="preserve"> </w:t>
      </w:r>
      <w:proofErr w:type="gramStart"/>
      <w:r w:rsidR="00B37883">
        <w:rPr>
          <w:lang w:val="en-GB"/>
        </w:rPr>
        <w:t xml:space="preserve">External research fellow at the Centre for the </w:t>
      </w:r>
      <w:r w:rsidR="00910DB3">
        <w:rPr>
          <w:lang w:val="en-GB"/>
        </w:rPr>
        <w:t xml:space="preserve">Study of </w:t>
      </w:r>
      <w:r w:rsidR="00B37883">
        <w:rPr>
          <w:lang w:val="en-GB"/>
        </w:rPr>
        <w:t>European Contract Law, University of Amsterdam.</w:t>
      </w:r>
      <w:proofErr w:type="gramEnd"/>
      <w:r w:rsidR="00B37883">
        <w:rPr>
          <w:lang w:val="en-GB"/>
        </w:rPr>
        <w:t xml:space="preserve"> </w:t>
      </w:r>
      <w:proofErr w:type="gramStart"/>
      <w:r w:rsidR="00B37883">
        <w:rPr>
          <w:lang w:val="en-GB"/>
        </w:rPr>
        <w:t xml:space="preserve">Member of the </w:t>
      </w:r>
      <w:proofErr w:type="spellStart"/>
      <w:r w:rsidR="00B37883">
        <w:rPr>
          <w:lang w:val="en-GB"/>
        </w:rPr>
        <w:t>Ius</w:t>
      </w:r>
      <w:proofErr w:type="spellEnd"/>
      <w:r w:rsidR="00B37883">
        <w:rPr>
          <w:lang w:val="en-GB"/>
        </w:rPr>
        <w:t xml:space="preserve"> Commune Research School.</w:t>
      </w:r>
      <w:proofErr w:type="gramEnd"/>
      <w:r w:rsidR="00B37883">
        <w:rPr>
          <w:lang w:val="en-GB"/>
        </w:rPr>
        <w:t xml:space="preserve"> </w:t>
      </w:r>
      <w:r w:rsidR="00B37883">
        <w:t>The author would like to thank C. Leone for her valuable comments regarding an earlier version of this paper.</w:t>
      </w:r>
    </w:p>
  </w:footnote>
  <w:footnote w:id="2">
    <w:p w:rsidR="00C95877" w:rsidRPr="008A40F6" w:rsidRDefault="00C95877" w:rsidP="00D61FE8">
      <w:pPr>
        <w:pStyle w:val="FootnoteText"/>
        <w:jc w:val="both"/>
        <w:rPr>
          <w:lang w:val="en-GB"/>
        </w:rPr>
      </w:pPr>
      <w:r>
        <w:rPr>
          <w:rStyle w:val="FootnoteReference"/>
        </w:rPr>
        <w:footnoteRef/>
      </w:r>
      <w:r>
        <w:t xml:space="preserve"> Directive 2015/2302 of the European Parliament and of the Council of 25 November 2015 on package travel and linked travel arrangements [2015] OJ L326/1 (“Directive 2015/2302”).</w:t>
      </w:r>
    </w:p>
  </w:footnote>
  <w:footnote w:id="3">
    <w:p w:rsidR="00C95877" w:rsidRPr="00E07B64" w:rsidRDefault="00C95877" w:rsidP="00D61FE8">
      <w:pPr>
        <w:pStyle w:val="FootnoteText"/>
        <w:jc w:val="both"/>
        <w:rPr>
          <w:lang w:val="en-GB"/>
        </w:rPr>
      </w:pPr>
      <w:r>
        <w:rPr>
          <w:rStyle w:val="FootnoteReference"/>
        </w:rPr>
        <w:footnoteRef/>
      </w:r>
      <w:r>
        <w:t xml:space="preserve"> See e.g. S de </w:t>
      </w:r>
      <w:proofErr w:type="spellStart"/>
      <w:r>
        <w:t>Vries</w:t>
      </w:r>
      <w:proofErr w:type="spellEnd"/>
      <w:r>
        <w:t xml:space="preserve">, ‘Consumer protection and the EU Single Market rules – The search for the ‘paradigm consumer’ (2012) 4 </w:t>
      </w:r>
      <w:r w:rsidRPr="001064AB">
        <w:rPr>
          <w:i/>
        </w:rPr>
        <w:t>Journal of European Consumer and Market Law</w:t>
      </w:r>
      <w:r>
        <w:t xml:space="preserve"> (</w:t>
      </w:r>
      <w:proofErr w:type="spellStart"/>
      <w:r w:rsidRPr="001064AB">
        <w:rPr>
          <w:i/>
        </w:rPr>
        <w:t>euvr</w:t>
      </w:r>
      <w:proofErr w:type="spellEnd"/>
      <w:r>
        <w:t xml:space="preserve">) 228-243; V </w:t>
      </w:r>
      <w:proofErr w:type="spellStart"/>
      <w:r>
        <w:t>Mak</w:t>
      </w:r>
      <w:proofErr w:type="spellEnd"/>
      <w:r>
        <w:t xml:space="preserve">, ‘The Myth of the ‘Empowered Consumer’: Lessons from Financial Literacy Studies’ (2012) 4 </w:t>
      </w:r>
      <w:proofErr w:type="spellStart"/>
      <w:r w:rsidRPr="001064AB">
        <w:rPr>
          <w:i/>
        </w:rPr>
        <w:t>euvr</w:t>
      </w:r>
      <w:proofErr w:type="spellEnd"/>
      <w:r>
        <w:t xml:space="preserve"> 254-263; B </w:t>
      </w:r>
      <w:proofErr w:type="spellStart"/>
      <w:r>
        <w:t>Duivenvoorde</w:t>
      </w:r>
      <w:proofErr w:type="spellEnd"/>
      <w:r>
        <w:t xml:space="preserve">, ‘The Protection of Vulnerable Consumers under the Unfair Commercial Practices Directive’ (2013) 2 </w:t>
      </w:r>
      <w:proofErr w:type="spellStart"/>
      <w:r w:rsidRPr="001064AB">
        <w:rPr>
          <w:i/>
        </w:rPr>
        <w:t>euvr</w:t>
      </w:r>
      <w:proofErr w:type="spellEnd"/>
      <w:r>
        <w:t xml:space="preserve"> 69-79; I </w:t>
      </w:r>
      <w:proofErr w:type="spellStart"/>
      <w:r>
        <w:t>Domurath</w:t>
      </w:r>
      <w:proofErr w:type="spellEnd"/>
      <w:r>
        <w:t xml:space="preserve">, ‘The Case </w:t>
      </w:r>
      <w:proofErr w:type="spellStart"/>
      <w:r>
        <w:t>fo</w:t>
      </w:r>
      <w:proofErr w:type="spellEnd"/>
      <w:r>
        <w:t xml:space="preserve"> Vulnerability as the Normative Standard in European Consumer Credit and Mortgage Law – An Inquiry into the Paradigms of Consumer Law’ (2013) 3 </w:t>
      </w:r>
      <w:proofErr w:type="spellStart"/>
      <w:r w:rsidRPr="001064AB">
        <w:rPr>
          <w:i/>
        </w:rPr>
        <w:t>euvr</w:t>
      </w:r>
      <w:proofErr w:type="spellEnd"/>
      <w:r>
        <w:t xml:space="preserve"> 124-138; M </w:t>
      </w:r>
      <w:proofErr w:type="spellStart"/>
      <w:r>
        <w:t>Coester</w:t>
      </w:r>
      <w:proofErr w:type="spellEnd"/>
      <w:r>
        <w:t xml:space="preserve">, ‘Party Autonomy and Consumer Protection’ (2014) 3 </w:t>
      </w:r>
      <w:proofErr w:type="spellStart"/>
      <w:r w:rsidRPr="001064AB">
        <w:rPr>
          <w:i/>
        </w:rPr>
        <w:t>euvr</w:t>
      </w:r>
      <w:proofErr w:type="spellEnd"/>
      <w:r>
        <w:t xml:space="preserve"> 170</w:t>
      </w:r>
      <w:r>
        <w:softHyphen/>
        <w:t xml:space="preserve">-178; B </w:t>
      </w:r>
      <w:proofErr w:type="spellStart"/>
      <w:r>
        <w:t>Duivenvoorde</w:t>
      </w:r>
      <w:proofErr w:type="spellEnd"/>
      <w:r>
        <w:t xml:space="preserve">, </w:t>
      </w:r>
      <w:r>
        <w:rPr>
          <w:i/>
        </w:rPr>
        <w:t>The Consumer Benchmarks in the Unfair Commercial Practices Directive</w:t>
      </w:r>
      <w:r>
        <w:t xml:space="preserve"> (Springer 2015) 29-60.</w:t>
      </w:r>
    </w:p>
  </w:footnote>
  <w:footnote w:id="4">
    <w:p w:rsidR="00C95877" w:rsidRPr="00E07B64" w:rsidRDefault="00C95877" w:rsidP="00D61FE8">
      <w:pPr>
        <w:pStyle w:val="FootnoteText"/>
        <w:jc w:val="both"/>
        <w:rPr>
          <w:lang w:val="en-GB"/>
        </w:rPr>
      </w:pPr>
      <w:r>
        <w:rPr>
          <w:rStyle w:val="FootnoteReference"/>
        </w:rPr>
        <w:footnoteRef/>
      </w:r>
      <w:r>
        <w:t xml:space="preserve"> See CJEU 30 April 2014, Case C-26/13 </w:t>
      </w:r>
      <w:proofErr w:type="spellStart"/>
      <w:r>
        <w:rPr>
          <w:i/>
        </w:rPr>
        <w:t>Kásler</w:t>
      </w:r>
      <w:proofErr w:type="spellEnd"/>
      <w:r>
        <w:t xml:space="preserve">, ECLI:EU:C:2014:282; </w:t>
      </w:r>
      <w:r>
        <w:rPr>
          <w:lang w:val="en-GB"/>
        </w:rPr>
        <w:t xml:space="preserve">CJEU 26 February 2015, Case C-143/13 </w:t>
      </w:r>
      <w:proofErr w:type="spellStart"/>
      <w:r>
        <w:rPr>
          <w:i/>
          <w:lang w:val="en-GB"/>
        </w:rPr>
        <w:t>Matei</w:t>
      </w:r>
      <w:proofErr w:type="spellEnd"/>
      <w:r>
        <w:rPr>
          <w:lang w:val="en-GB"/>
        </w:rPr>
        <w:t xml:space="preserve">, ECLI:EU:C:2015:127; </w:t>
      </w:r>
      <w:r>
        <w:t xml:space="preserve">CJEU 23 April 2015, Case C-96/14 </w:t>
      </w:r>
      <w:r>
        <w:rPr>
          <w:i/>
        </w:rPr>
        <w:t>Van Hove</w:t>
      </w:r>
      <w:r>
        <w:t>, ECLI:EU:C:2015:262.</w:t>
      </w:r>
    </w:p>
  </w:footnote>
  <w:footnote w:id="5">
    <w:p w:rsidR="00C95877" w:rsidRPr="00BE3462" w:rsidRDefault="00C95877" w:rsidP="00D61FE8">
      <w:pPr>
        <w:pStyle w:val="FootnoteText"/>
        <w:jc w:val="both"/>
        <w:rPr>
          <w:lang w:val="en-GB"/>
        </w:rPr>
      </w:pPr>
      <w:r>
        <w:rPr>
          <w:rStyle w:val="FootnoteReference"/>
        </w:rPr>
        <w:footnoteRef/>
      </w:r>
      <w:r>
        <w:t xml:space="preserve"> J M </w:t>
      </w:r>
      <w:proofErr w:type="spellStart"/>
      <w:r>
        <w:t>Bech</w:t>
      </w:r>
      <w:proofErr w:type="spellEnd"/>
      <w:r>
        <w:t xml:space="preserve"> </w:t>
      </w:r>
      <w:proofErr w:type="spellStart"/>
      <w:r>
        <w:t>Serrat</w:t>
      </w:r>
      <w:proofErr w:type="spellEnd"/>
      <w:r>
        <w:t>, ‘Why is there a Separation between Distance Selling in the EU and the Tourism Industry?’ (2010) 33</w:t>
      </w:r>
      <w:r>
        <w:rPr>
          <w:i/>
        </w:rPr>
        <w:t xml:space="preserve"> Journal of Consumer Policy (JCP)</w:t>
      </w:r>
      <w:r>
        <w:t xml:space="preserve"> 75-76; J </w:t>
      </w:r>
      <w:proofErr w:type="spellStart"/>
      <w:r>
        <w:t>Karsten</w:t>
      </w:r>
      <w:proofErr w:type="spellEnd"/>
      <w:r>
        <w:t xml:space="preserve">, ‘Passengers, consumers and travelers: The rise of passenger rights in EC transport law and its repercussions for Community consumer law and policy’ (2007) 30 </w:t>
      </w:r>
      <w:r>
        <w:rPr>
          <w:i/>
        </w:rPr>
        <w:t xml:space="preserve">JCP </w:t>
      </w:r>
      <w:r>
        <w:t>121-122.</w:t>
      </w:r>
    </w:p>
  </w:footnote>
  <w:footnote w:id="6">
    <w:p w:rsidR="00C95877" w:rsidRPr="00740439" w:rsidRDefault="00C95877" w:rsidP="00D61FE8">
      <w:pPr>
        <w:pStyle w:val="FootnoteText"/>
        <w:jc w:val="both"/>
        <w:rPr>
          <w:lang w:val="en-GB"/>
        </w:rPr>
      </w:pPr>
      <w:r>
        <w:rPr>
          <w:rStyle w:val="FootnoteReference"/>
        </w:rPr>
        <w:footnoteRef/>
      </w:r>
      <w:r>
        <w:t xml:space="preserve"> </w:t>
      </w:r>
      <w:proofErr w:type="spellStart"/>
      <w:r>
        <w:t>Ch</w:t>
      </w:r>
      <w:proofErr w:type="spellEnd"/>
      <w:r>
        <w:t xml:space="preserve"> </w:t>
      </w:r>
      <w:proofErr w:type="spellStart"/>
      <w:r>
        <w:t>Twigg-Flesner</w:t>
      </w:r>
      <w:proofErr w:type="spellEnd"/>
      <w:r>
        <w:t xml:space="preserve"> &amp; R Schulze, ‘Protecting rational choice: information and the right of withdrawal’ in G Howells et al. (eds.), </w:t>
      </w:r>
      <w:r>
        <w:rPr>
          <w:i/>
        </w:rPr>
        <w:t>Handbook of Research on International Consumer Law</w:t>
      </w:r>
      <w:r>
        <w:t xml:space="preserve"> (Edward Elgar 2010) 145; H </w:t>
      </w:r>
      <w:proofErr w:type="spellStart"/>
      <w:r>
        <w:t>Luth</w:t>
      </w:r>
      <w:proofErr w:type="spellEnd"/>
      <w:r>
        <w:t xml:space="preserve">, </w:t>
      </w:r>
      <w:proofErr w:type="spellStart"/>
      <w:r>
        <w:rPr>
          <w:i/>
        </w:rPr>
        <w:t>Behavioural</w:t>
      </w:r>
      <w:proofErr w:type="spellEnd"/>
      <w:r>
        <w:rPr>
          <w:i/>
        </w:rPr>
        <w:t xml:space="preserve"> Economics in Consumer Policy</w:t>
      </w:r>
      <w:r>
        <w:t xml:space="preserve"> (</w:t>
      </w:r>
      <w:proofErr w:type="spellStart"/>
      <w:r>
        <w:t>Intersentia</w:t>
      </w:r>
      <w:proofErr w:type="spellEnd"/>
      <w:r>
        <w:t xml:space="preserve"> 2010) 48-50; T Hansen, ‘Perspectives on consumer decision making: An integrated approach’ (2005) 4 </w:t>
      </w:r>
      <w:r>
        <w:rPr>
          <w:i/>
        </w:rPr>
        <w:t xml:space="preserve">Journal of Consumer </w:t>
      </w:r>
      <w:proofErr w:type="spellStart"/>
      <w:r>
        <w:rPr>
          <w:i/>
        </w:rPr>
        <w:t>Behaviour</w:t>
      </w:r>
      <w:proofErr w:type="spellEnd"/>
      <w:r>
        <w:t xml:space="preserve"> 421.</w:t>
      </w:r>
    </w:p>
  </w:footnote>
  <w:footnote w:id="7">
    <w:p w:rsidR="00C95877" w:rsidRPr="001E728D" w:rsidRDefault="00C95877" w:rsidP="00D61FE8">
      <w:pPr>
        <w:pStyle w:val="FootnoteText"/>
        <w:jc w:val="both"/>
      </w:pPr>
      <w:r>
        <w:rPr>
          <w:rStyle w:val="FootnoteReference"/>
        </w:rPr>
        <w:footnoteRef/>
      </w:r>
      <w:r w:rsidRPr="0002127B">
        <w:rPr>
          <w:lang w:val="nl-NL"/>
        </w:rPr>
        <w:t xml:space="preserve"> See e.g. B Duivenvoorde (2013) (fn 3) 70-73.</w:t>
      </w:r>
      <w:r w:rsidR="001E728D">
        <w:rPr>
          <w:lang w:val="nl-NL"/>
        </w:rPr>
        <w:t xml:space="preserve"> </w:t>
      </w:r>
      <w:r w:rsidR="001E728D" w:rsidRPr="001E728D">
        <w:t xml:space="preserve">See also: </w:t>
      </w:r>
      <w:r w:rsidR="001E728D">
        <w:t>European Commission, “Consumer vulnerability across key markets in the European Union” (January 2016) available online at &lt;&lt;</w:t>
      </w:r>
      <w:r w:rsidR="001E728D" w:rsidRPr="002C5FDF">
        <w:t>http://ec.europa.eu/consumers/consumer_evidence/market_studies/docs/vulnerable_consumers_exec_sum_27_01_2016_en.pdf</w:t>
      </w:r>
      <w:r w:rsidR="001E728D">
        <w:t>&gt;&gt;.</w:t>
      </w:r>
    </w:p>
  </w:footnote>
  <w:footnote w:id="8">
    <w:p w:rsidR="002C5FDF" w:rsidRPr="002C5FDF" w:rsidRDefault="002C5FDF" w:rsidP="00D61FE8">
      <w:pPr>
        <w:pStyle w:val="FootnoteText"/>
        <w:jc w:val="both"/>
      </w:pPr>
      <w:r>
        <w:rPr>
          <w:rStyle w:val="FootnoteReference"/>
        </w:rPr>
        <w:footnoteRef/>
      </w:r>
      <w:r>
        <w:t xml:space="preserve"> See European Commission</w:t>
      </w:r>
      <w:r w:rsidR="001E728D">
        <w:t xml:space="preserve"> (</w:t>
      </w:r>
      <w:proofErr w:type="spellStart"/>
      <w:proofErr w:type="gramStart"/>
      <w:r w:rsidR="001E728D">
        <w:t>fn</w:t>
      </w:r>
      <w:proofErr w:type="spellEnd"/>
      <w:proofErr w:type="gramEnd"/>
      <w:r w:rsidR="001E728D">
        <w:t xml:space="preserve"> 7)</w:t>
      </w:r>
      <w:r>
        <w:t xml:space="preserve">. </w:t>
      </w:r>
    </w:p>
  </w:footnote>
  <w:footnote w:id="9">
    <w:p w:rsidR="00C95877" w:rsidRPr="00EC573E" w:rsidRDefault="00C95877" w:rsidP="00D61FE8">
      <w:pPr>
        <w:pStyle w:val="FootnoteText"/>
        <w:jc w:val="both"/>
        <w:rPr>
          <w:lang w:val="en-GB"/>
        </w:rPr>
      </w:pPr>
      <w:r>
        <w:rPr>
          <w:rStyle w:val="FootnoteReference"/>
        </w:rPr>
        <w:footnoteRef/>
      </w:r>
      <w:r>
        <w:t xml:space="preserve"> </w:t>
      </w:r>
      <w:proofErr w:type="gramStart"/>
      <w:r>
        <w:rPr>
          <w:lang w:val="en-GB"/>
        </w:rPr>
        <w:t>Council Directive 90/314/EEC of 13 June 1990 on package travel, package holidays and package tours [1990] OJ L158/59 (“PTD”).</w:t>
      </w:r>
      <w:proofErr w:type="gramEnd"/>
    </w:p>
  </w:footnote>
  <w:footnote w:id="10">
    <w:p w:rsidR="00C95877" w:rsidRPr="00B06978" w:rsidRDefault="00C95877" w:rsidP="00D61FE8">
      <w:pPr>
        <w:pStyle w:val="FootnoteText"/>
        <w:jc w:val="both"/>
        <w:rPr>
          <w:lang w:val="en-GB"/>
        </w:rPr>
      </w:pPr>
      <w:r>
        <w:rPr>
          <w:rStyle w:val="FootnoteReference"/>
        </w:rPr>
        <w:footnoteRef/>
      </w:r>
      <w:r>
        <w:t xml:space="preserve"> </w:t>
      </w:r>
      <w:r>
        <w:rPr>
          <w:lang w:val="en-GB"/>
        </w:rPr>
        <w:t>See e.g. definition adopted in Article 2(1) of the Directive 2011/83/EU of the European Parliament and of the Council of 25 October 2011 on consumer rights [2011] OJ L304/64 (“CRD”).</w:t>
      </w:r>
    </w:p>
  </w:footnote>
  <w:footnote w:id="11">
    <w:p w:rsidR="00C95877" w:rsidRPr="00D622AA" w:rsidRDefault="00C95877" w:rsidP="00D61FE8">
      <w:pPr>
        <w:pStyle w:val="FootnoteText"/>
        <w:jc w:val="both"/>
        <w:rPr>
          <w:lang w:val="en-GB"/>
        </w:rPr>
      </w:pPr>
      <w:r>
        <w:rPr>
          <w:rStyle w:val="FootnoteReference"/>
        </w:rPr>
        <w:footnoteRef/>
      </w:r>
      <w:r>
        <w:t xml:space="preserve"> </w:t>
      </w:r>
      <w:r>
        <w:rPr>
          <w:lang w:val="en-GB"/>
        </w:rPr>
        <w:t>See e.g. Recital 17 of the CRD.</w:t>
      </w:r>
    </w:p>
  </w:footnote>
  <w:footnote w:id="12">
    <w:p w:rsidR="00C95877" w:rsidRPr="00DC29CD" w:rsidRDefault="00C95877" w:rsidP="00D61FE8">
      <w:pPr>
        <w:pStyle w:val="FootnoteText"/>
        <w:jc w:val="both"/>
        <w:rPr>
          <w:lang w:val="en-GB"/>
        </w:rPr>
      </w:pPr>
      <w:r>
        <w:rPr>
          <w:rStyle w:val="FootnoteReference"/>
        </w:rPr>
        <w:footnoteRef/>
      </w:r>
      <w:r>
        <w:t xml:space="preserve"> </w:t>
      </w:r>
      <w:r>
        <w:rPr>
          <w:lang w:val="en-GB"/>
        </w:rPr>
        <w:t xml:space="preserve">J </w:t>
      </w:r>
      <w:proofErr w:type="spellStart"/>
      <w:r>
        <w:rPr>
          <w:lang w:val="en-GB"/>
        </w:rPr>
        <w:t>Karsten</w:t>
      </w:r>
      <w:proofErr w:type="spellEnd"/>
      <w:r>
        <w:rPr>
          <w:lang w:val="en-GB"/>
        </w:rPr>
        <w:t xml:space="preserve"> (</w:t>
      </w:r>
      <w:proofErr w:type="spellStart"/>
      <w:proofErr w:type="gramStart"/>
      <w:r>
        <w:rPr>
          <w:lang w:val="en-GB"/>
        </w:rPr>
        <w:t>fn</w:t>
      </w:r>
      <w:proofErr w:type="spellEnd"/>
      <w:proofErr w:type="gramEnd"/>
      <w:r>
        <w:rPr>
          <w:lang w:val="en-GB"/>
        </w:rPr>
        <w:t xml:space="preserve"> 5) 129; J </w:t>
      </w:r>
      <w:proofErr w:type="spellStart"/>
      <w:r>
        <w:rPr>
          <w:lang w:val="en-GB"/>
        </w:rPr>
        <w:t>Luzak</w:t>
      </w:r>
      <w:proofErr w:type="spellEnd"/>
      <w:r>
        <w:rPr>
          <w:lang w:val="en-GB"/>
        </w:rPr>
        <w:t xml:space="preserve">, ‘European Private Law: Up in the Air?’ in M </w:t>
      </w:r>
      <w:proofErr w:type="spellStart"/>
      <w:r>
        <w:rPr>
          <w:lang w:val="en-GB"/>
        </w:rPr>
        <w:t>Bobek</w:t>
      </w:r>
      <w:proofErr w:type="spellEnd"/>
      <w:r>
        <w:rPr>
          <w:lang w:val="en-GB"/>
        </w:rPr>
        <w:t xml:space="preserve"> and J </w:t>
      </w:r>
      <w:proofErr w:type="spellStart"/>
      <w:r>
        <w:rPr>
          <w:lang w:val="en-GB"/>
        </w:rPr>
        <w:t>Prassl</w:t>
      </w:r>
      <w:proofErr w:type="spellEnd"/>
      <w:r>
        <w:rPr>
          <w:lang w:val="en-GB"/>
        </w:rPr>
        <w:t xml:space="preserve"> (</w:t>
      </w:r>
      <w:proofErr w:type="spellStart"/>
      <w:r>
        <w:rPr>
          <w:lang w:val="en-GB"/>
        </w:rPr>
        <w:t>eds</w:t>
      </w:r>
      <w:proofErr w:type="spellEnd"/>
      <w:r>
        <w:rPr>
          <w:lang w:val="en-GB"/>
        </w:rPr>
        <w:t xml:space="preserve">), </w:t>
      </w:r>
      <w:r>
        <w:rPr>
          <w:i/>
          <w:lang w:val="en-GB"/>
        </w:rPr>
        <w:t>Air Passenger Rights: Ten Years On</w:t>
      </w:r>
      <w:r>
        <w:rPr>
          <w:lang w:val="en-GB"/>
        </w:rPr>
        <w:t xml:space="preserve"> (Hart Publishing 2016) 299-301.</w:t>
      </w:r>
    </w:p>
  </w:footnote>
  <w:footnote w:id="13">
    <w:p w:rsidR="00C95877" w:rsidRPr="00FF05D8" w:rsidRDefault="00C95877" w:rsidP="00D61FE8">
      <w:pPr>
        <w:pStyle w:val="FootnoteText"/>
        <w:jc w:val="both"/>
        <w:rPr>
          <w:lang w:val="en-GB"/>
        </w:rPr>
      </w:pPr>
      <w:r>
        <w:rPr>
          <w:rStyle w:val="FootnoteReference"/>
        </w:rPr>
        <w:footnoteRef/>
      </w:r>
      <w:r>
        <w:t xml:space="preserve"> </w:t>
      </w:r>
      <w:r>
        <w:rPr>
          <w:lang w:val="en-GB"/>
        </w:rPr>
        <w:t>See Recital 7 of Directive 2015/2302 for the justification of the change.</w:t>
      </w:r>
    </w:p>
  </w:footnote>
  <w:footnote w:id="14">
    <w:p w:rsidR="00C95877" w:rsidRPr="00CB2535" w:rsidRDefault="00C95877" w:rsidP="00D61FE8">
      <w:pPr>
        <w:pStyle w:val="FootnoteText"/>
        <w:jc w:val="both"/>
        <w:rPr>
          <w:lang w:val="en-GB"/>
        </w:rPr>
      </w:pPr>
      <w:r>
        <w:rPr>
          <w:rStyle w:val="FootnoteReference"/>
        </w:rPr>
        <w:footnoteRef/>
      </w:r>
      <w:r>
        <w:t xml:space="preserve"> </w:t>
      </w:r>
      <w:proofErr w:type="gramStart"/>
      <w:r>
        <w:t xml:space="preserve">The </w:t>
      </w:r>
      <w:r>
        <w:rPr>
          <w:lang w:val="en-GB"/>
        </w:rPr>
        <w:t>Treaty on the Functioning of the European Union, consolidated version in OJ 2012 C 326/47.</w:t>
      </w:r>
      <w:proofErr w:type="gramEnd"/>
    </w:p>
  </w:footnote>
  <w:footnote w:id="15">
    <w:p w:rsidR="00C95877" w:rsidRPr="00772FCF" w:rsidRDefault="00C95877" w:rsidP="00D61FE8">
      <w:pPr>
        <w:pStyle w:val="FootnoteText"/>
        <w:jc w:val="both"/>
        <w:rPr>
          <w:lang w:val="en-GB"/>
        </w:rPr>
      </w:pPr>
      <w:r>
        <w:rPr>
          <w:rStyle w:val="FootnoteReference"/>
        </w:rPr>
        <w:footnoteRef/>
      </w:r>
      <w:r>
        <w:t xml:space="preserve"> See </w:t>
      </w:r>
      <w:proofErr w:type="spellStart"/>
      <w:proofErr w:type="gramStart"/>
      <w:r>
        <w:t>fn</w:t>
      </w:r>
      <w:proofErr w:type="spellEnd"/>
      <w:proofErr w:type="gramEnd"/>
      <w:r>
        <w:t xml:space="preserve"> 4.</w:t>
      </w:r>
    </w:p>
  </w:footnote>
  <w:footnote w:id="16">
    <w:p w:rsidR="00C95877" w:rsidRPr="00292FBA" w:rsidRDefault="00C95877" w:rsidP="00D61FE8">
      <w:pPr>
        <w:pStyle w:val="FootnoteText"/>
        <w:jc w:val="both"/>
        <w:rPr>
          <w:lang w:val="en-GB"/>
        </w:rPr>
      </w:pPr>
      <w:r>
        <w:rPr>
          <w:rStyle w:val="FootnoteReference"/>
        </w:rPr>
        <w:footnoteRef/>
      </w:r>
      <w:r>
        <w:t xml:space="preserve"> See Art. 5 (2) (b) of the </w:t>
      </w:r>
      <w:r>
        <w:rPr>
          <w:lang w:val="en-GB"/>
        </w:rPr>
        <w:t>Directive 2005/29/EC of the European Parliament and of the Council of 11 May 2005 concerning unfair business-to-consumer commercial practices [2005] OJ L149/22 (“UCPD”).</w:t>
      </w:r>
    </w:p>
  </w:footnote>
  <w:footnote w:id="17">
    <w:p w:rsidR="00C95877" w:rsidRPr="00142003" w:rsidRDefault="00C95877" w:rsidP="00D61FE8">
      <w:pPr>
        <w:pStyle w:val="FootnoteText"/>
        <w:jc w:val="both"/>
        <w:rPr>
          <w:lang w:val="en-GB"/>
        </w:rPr>
      </w:pPr>
      <w:r>
        <w:rPr>
          <w:rStyle w:val="FootnoteReference"/>
        </w:rPr>
        <w:footnoteRef/>
      </w:r>
      <w:r>
        <w:t xml:space="preserve"> </w:t>
      </w:r>
      <w:proofErr w:type="gramStart"/>
      <w:r>
        <w:t xml:space="preserve">CJEU 16 July 1998, Case C-210/96 </w:t>
      </w:r>
      <w:r>
        <w:rPr>
          <w:i/>
        </w:rPr>
        <w:t xml:space="preserve">Gut </w:t>
      </w:r>
      <w:proofErr w:type="spellStart"/>
      <w:r>
        <w:rPr>
          <w:i/>
        </w:rPr>
        <w:t>Springenheide</w:t>
      </w:r>
      <w:proofErr w:type="spellEnd"/>
      <w:r>
        <w:t xml:space="preserve">, </w:t>
      </w:r>
      <w:r>
        <w:rPr>
          <w:i/>
        </w:rPr>
        <w:t>ECR</w:t>
      </w:r>
      <w:r>
        <w:t xml:space="preserve"> 1998, p I-4657; CJEU 16 September 1999, Case C-220/98 </w:t>
      </w:r>
      <w:r>
        <w:rPr>
          <w:i/>
        </w:rPr>
        <w:t>Lifting</w:t>
      </w:r>
      <w:r>
        <w:t xml:space="preserve">, </w:t>
      </w:r>
      <w:r>
        <w:rPr>
          <w:i/>
        </w:rPr>
        <w:t xml:space="preserve">ECR </w:t>
      </w:r>
      <w:r>
        <w:t>2000, p I-117.</w:t>
      </w:r>
      <w:proofErr w:type="gramEnd"/>
    </w:p>
  </w:footnote>
  <w:footnote w:id="18">
    <w:p w:rsidR="00C95877" w:rsidRPr="0002127B" w:rsidRDefault="00C95877" w:rsidP="00D61FE8">
      <w:pPr>
        <w:pStyle w:val="FootnoteText"/>
        <w:jc w:val="both"/>
        <w:rPr>
          <w:lang w:val="nl-NL"/>
        </w:rPr>
      </w:pPr>
      <w:r>
        <w:rPr>
          <w:rStyle w:val="FootnoteReference"/>
        </w:rPr>
        <w:footnoteRef/>
      </w:r>
      <w:r>
        <w:t xml:space="preserve"> CJEU 22 June 1999, Case C-342/97 </w:t>
      </w:r>
      <w:r>
        <w:rPr>
          <w:i/>
        </w:rPr>
        <w:t xml:space="preserve">Lloyd </w:t>
      </w:r>
      <w:proofErr w:type="spellStart"/>
      <w:r>
        <w:rPr>
          <w:i/>
        </w:rPr>
        <w:t>Schuhfabrik</w:t>
      </w:r>
      <w:proofErr w:type="spellEnd"/>
      <w:r>
        <w:t xml:space="preserve">, </w:t>
      </w:r>
      <w:r>
        <w:rPr>
          <w:i/>
        </w:rPr>
        <w:t xml:space="preserve">ECR </w:t>
      </w:r>
      <w:r>
        <w:t xml:space="preserve">1999, p I-3819. </w:t>
      </w:r>
      <w:r w:rsidRPr="0002127B">
        <w:rPr>
          <w:lang w:val="nl-NL"/>
        </w:rPr>
        <w:t>See also: B Duivenvoorde (2015) (fn 3) 29-60.</w:t>
      </w:r>
    </w:p>
  </w:footnote>
  <w:footnote w:id="19">
    <w:p w:rsidR="00C95877" w:rsidRPr="0002127B" w:rsidRDefault="00C95877" w:rsidP="00D61FE8">
      <w:pPr>
        <w:pStyle w:val="FootnoteText"/>
        <w:jc w:val="both"/>
        <w:rPr>
          <w:lang w:val="nl-NL"/>
        </w:rPr>
      </w:pPr>
      <w:r>
        <w:rPr>
          <w:rStyle w:val="FootnoteReference"/>
        </w:rPr>
        <w:footnoteRef/>
      </w:r>
      <w:r w:rsidRPr="0002127B">
        <w:rPr>
          <w:lang w:val="nl-NL"/>
        </w:rPr>
        <w:t xml:space="preserve"> See </w:t>
      </w:r>
      <w:r w:rsidRPr="0002127B">
        <w:rPr>
          <w:i/>
          <w:lang w:val="nl-NL"/>
        </w:rPr>
        <w:t>Gut Springenheide</w:t>
      </w:r>
      <w:r w:rsidRPr="0002127B">
        <w:rPr>
          <w:lang w:val="nl-NL"/>
        </w:rPr>
        <w:t xml:space="preserve"> (fn 1</w:t>
      </w:r>
      <w:r w:rsidR="002C5FDF">
        <w:rPr>
          <w:lang w:val="nl-NL"/>
        </w:rPr>
        <w:t>7</w:t>
      </w:r>
      <w:r w:rsidRPr="0002127B">
        <w:rPr>
          <w:lang w:val="nl-NL"/>
        </w:rPr>
        <w:t>).</w:t>
      </w:r>
    </w:p>
  </w:footnote>
  <w:footnote w:id="20">
    <w:p w:rsidR="00C95877" w:rsidRPr="0002127B" w:rsidRDefault="00C95877" w:rsidP="00D61FE8">
      <w:pPr>
        <w:pStyle w:val="FootnoteText"/>
        <w:jc w:val="both"/>
        <w:rPr>
          <w:lang w:val="nl-NL"/>
        </w:rPr>
      </w:pPr>
      <w:r>
        <w:rPr>
          <w:rStyle w:val="FootnoteReference"/>
        </w:rPr>
        <w:footnoteRef/>
      </w:r>
      <w:r w:rsidRPr="0002127B">
        <w:rPr>
          <w:lang w:val="nl-NL"/>
        </w:rPr>
        <w:t xml:space="preserve"> See B Duivenvoorde (2015) (fn 3) 49-50, 67-69.</w:t>
      </w:r>
    </w:p>
  </w:footnote>
  <w:footnote w:id="21">
    <w:p w:rsidR="00C95877" w:rsidRPr="008E4100" w:rsidRDefault="00C95877" w:rsidP="00D61FE8">
      <w:pPr>
        <w:pStyle w:val="FootnoteText"/>
        <w:jc w:val="both"/>
        <w:rPr>
          <w:lang w:val="en-GB"/>
        </w:rPr>
      </w:pPr>
      <w:r>
        <w:rPr>
          <w:rStyle w:val="FootnoteReference"/>
        </w:rPr>
        <w:footnoteRef/>
      </w:r>
      <w:r>
        <w:t xml:space="preserve"> F Marotta-</w:t>
      </w:r>
      <w:proofErr w:type="spellStart"/>
      <w:r>
        <w:t>Wurgler</w:t>
      </w:r>
      <w:proofErr w:type="spellEnd"/>
      <w:r>
        <w:t xml:space="preserve">, ‘Does Contract Disclosure Matter?’ (2012) 168 </w:t>
      </w:r>
      <w:r>
        <w:rPr>
          <w:i/>
        </w:rPr>
        <w:t xml:space="preserve">Journal of Institutional and Theoretical Economics </w:t>
      </w:r>
      <w:r>
        <w:t xml:space="preserve">94; Committee on the Internal Market and Consumer Protection of the European Parliament (IMCO) (2011) </w:t>
      </w:r>
      <w:r>
        <w:rPr>
          <w:i/>
        </w:rPr>
        <w:t>Consumer behavior in a digital environment</w:t>
      </w:r>
      <w:r>
        <w:t xml:space="preserve"> 80-81, &lt;&lt;</w:t>
      </w:r>
      <w:r w:rsidRPr="003F3C9E">
        <w:t xml:space="preserve"> http://www.europarl.europa.eu/RegData/etudes/etudes/join/2011/464441/IPOL-IMCO_ET%282011%29464441_EN.pdf</w:t>
      </w:r>
      <w:r>
        <w:t xml:space="preserve">&gt;&gt;; S </w:t>
      </w:r>
      <w:proofErr w:type="spellStart"/>
      <w:r>
        <w:t>Furnell</w:t>
      </w:r>
      <w:proofErr w:type="spellEnd"/>
      <w:r>
        <w:t xml:space="preserve"> &amp; A </w:t>
      </w:r>
      <w:proofErr w:type="spellStart"/>
      <w:r>
        <w:t>Phippen</w:t>
      </w:r>
      <w:proofErr w:type="spellEnd"/>
      <w:r>
        <w:t xml:space="preserve">, ‘Online privacy: a matter of policy?’ </w:t>
      </w:r>
      <w:proofErr w:type="gramStart"/>
      <w:r>
        <w:t>(2012) C</w:t>
      </w:r>
      <w:r>
        <w:rPr>
          <w:i/>
        </w:rPr>
        <w:t xml:space="preserve">omputer Fraud &amp; Society </w:t>
      </w:r>
      <w:r>
        <w:t>15.</w:t>
      </w:r>
      <w:proofErr w:type="gramEnd"/>
      <w:r>
        <w:t xml:space="preserve"> See also: O Ben-</w:t>
      </w:r>
      <w:proofErr w:type="spellStart"/>
      <w:r>
        <w:t>Shahar</w:t>
      </w:r>
      <w:proofErr w:type="spellEnd"/>
      <w:r>
        <w:t xml:space="preserve"> &amp; C Schneider, </w:t>
      </w:r>
      <w:r>
        <w:rPr>
          <w:i/>
        </w:rPr>
        <w:t>More Than You Wanted to Know. The Failure of Mandated Disclosure</w:t>
      </w:r>
      <w:r>
        <w:t xml:space="preserve"> (Princeton University Press 2014) 74-78.</w:t>
      </w:r>
    </w:p>
  </w:footnote>
  <w:footnote w:id="22">
    <w:p w:rsidR="00C95877" w:rsidRPr="003F7747" w:rsidRDefault="00C95877" w:rsidP="00D61FE8">
      <w:pPr>
        <w:pStyle w:val="FootnoteText"/>
        <w:jc w:val="both"/>
        <w:rPr>
          <w:lang w:val="en-GB"/>
        </w:rPr>
      </w:pPr>
      <w:r>
        <w:rPr>
          <w:rStyle w:val="FootnoteReference"/>
        </w:rPr>
        <w:footnoteRef/>
      </w:r>
      <w:r>
        <w:t xml:space="preserve"> I </w:t>
      </w:r>
      <w:proofErr w:type="spellStart"/>
      <w:r>
        <w:t>Pollach</w:t>
      </w:r>
      <w:proofErr w:type="spellEnd"/>
      <w:r>
        <w:t xml:space="preserve">, ‘A typology of communicative strategies in online privacy policies: Ethics, power and informed consent’ (2005) 62 </w:t>
      </w:r>
      <w:r>
        <w:rPr>
          <w:i/>
        </w:rPr>
        <w:t>Journal of Business Ethics</w:t>
      </w:r>
      <w:r>
        <w:t xml:space="preserve"> 223; S </w:t>
      </w:r>
      <w:proofErr w:type="spellStart"/>
      <w:r>
        <w:t>Furnell</w:t>
      </w:r>
      <w:proofErr w:type="spellEnd"/>
      <w:r>
        <w:t xml:space="preserve"> &amp; </w:t>
      </w:r>
      <w:proofErr w:type="gramStart"/>
      <w:r>
        <w:t>A</w:t>
      </w:r>
      <w:proofErr w:type="gramEnd"/>
      <w:r>
        <w:t xml:space="preserve"> </w:t>
      </w:r>
      <w:proofErr w:type="spellStart"/>
      <w:r>
        <w:t>Phippen</w:t>
      </w:r>
      <w:proofErr w:type="spellEnd"/>
      <w:r>
        <w:t xml:space="preserve"> (</w:t>
      </w:r>
      <w:proofErr w:type="spellStart"/>
      <w:r>
        <w:t>fn</w:t>
      </w:r>
      <w:proofErr w:type="spellEnd"/>
      <w:r>
        <w:t xml:space="preserve"> 2</w:t>
      </w:r>
      <w:r w:rsidR="002C5FDF">
        <w:t>1</w:t>
      </w:r>
      <w:r>
        <w:t>) 14-15. See also: O Ben-</w:t>
      </w:r>
      <w:proofErr w:type="spellStart"/>
      <w:r>
        <w:t>Shahar</w:t>
      </w:r>
      <w:proofErr w:type="spellEnd"/>
      <w:r>
        <w:t xml:space="preserve"> &amp; C Schneider (</w:t>
      </w:r>
      <w:proofErr w:type="spellStart"/>
      <w:proofErr w:type="gramStart"/>
      <w:r>
        <w:t>fn</w:t>
      </w:r>
      <w:proofErr w:type="spellEnd"/>
      <w:proofErr w:type="gramEnd"/>
      <w:r>
        <w:t xml:space="preserve"> 2</w:t>
      </w:r>
      <w:r w:rsidR="002C5FDF">
        <w:t>1</w:t>
      </w:r>
      <w:r>
        <w:t>) 80-86.</w:t>
      </w:r>
    </w:p>
  </w:footnote>
  <w:footnote w:id="23">
    <w:p w:rsidR="00C95877" w:rsidRPr="003E1E6B" w:rsidRDefault="00C95877" w:rsidP="00D61FE8">
      <w:pPr>
        <w:pStyle w:val="FootnoteText"/>
        <w:jc w:val="both"/>
        <w:rPr>
          <w:lang w:val="en-GB"/>
        </w:rPr>
      </w:pPr>
      <w:r>
        <w:rPr>
          <w:rStyle w:val="FootnoteReference"/>
        </w:rPr>
        <w:footnoteRef/>
      </w:r>
      <w:r>
        <w:t xml:space="preserve"> </w:t>
      </w:r>
      <w:proofErr w:type="gramStart"/>
      <w:r>
        <w:rPr>
          <w:lang w:val="en-GB"/>
        </w:rPr>
        <w:t>Recitals 1 and 4 of the UCPD.</w:t>
      </w:r>
      <w:proofErr w:type="gramEnd"/>
    </w:p>
  </w:footnote>
  <w:footnote w:id="24">
    <w:p w:rsidR="00C95877" w:rsidRPr="003E1E6B" w:rsidRDefault="00C95877" w:rsidP="00D61FE8">
      <w:pPr>
        <w:pStyle w:val="FootnoteText"/>
        <w:jc w:val="both"/>
        <w:rPr>
          <w:lang w:val="en-GB"/>
        </w:rPr>
      </w:pPr>
      <w:r>
        <w:rPr>
          <w:rStyle w:val="FootnoteReference"/>
        </w:rPr>
        <w:footnoteRef/>
      </w:r>
      <w:r>
        <w:t xml:space="preserve"> </w:t>
      </w:r>
      <w:proofErr w:type="gramStart"/>
      <w:r>
        <w:rPr>
          <w:lang w:val="en-GB"/>
        </w:rPr>
        <w:t>Recitals 2-4 of the UCPD.</w:t>
      </w:r>
      <w:proofErr w:type="gramEnd"/>
    </w:p>
  </w:footnote>
  <w:footnote w:id="25">
    <w:p w:rsidR="00C95877" w:rsidRPr="002F5D47" w:rsidRDefault="00C95877" w:rsidP="00D61FE8">
      <w:pPr>
        <w:pStyle w:val="FootnoteText"/>
        <w:jc w:val="both"/>
        <w:rPr>
          <w:lang w:val="en-GB"/>
        </w:rPr>
      </w:pPr>
      <w:r>
        <w:rPr>
          <w:rStyle w:val="FootnoteReference"/>
        </w:rPr>
        <w:footnoteRef/>
      </w:r>
      <w:r>
        <w:t xml:space="preserve"> </w:t>
      </w:r>
      <w:r>
        <w:rPr>
          <w:lang w:val="en-GB"/>
        </w:rPr>
        <w:t>See (</w:t>
      </w:r>
      <w:proofErr w:type="spellStart"/>
      <w:proofErr w:type="gramStart"/>
      <w:r>
        <w:rPr>
          <w:lang w:val="en-GB"/>
        </w:rPr>
        <w:t>fn</w:t>
      </w:r>
      <w:proofErr w:type="spellEnd"/>
      <w:proofErr w:type="gramEnd"/>
      <w:r>
        <w:rPr>
          <w:lang w:val="en-GB"/>
        </w:rPr>
        <w:t xml:space="preserve"> 4).</w:t>
      </w:r>
    </w:p>
  </w:footnote>
  <w:footnote w:id="26">
    <w:p w:rsidR="00C95877" w:rsidRPr="00500816" w:rsidRDefault="00C95877" w:rsidP="00D61FE8">
      <w:pPr>
        <w:pStyle w:val="FootnoteText"/>
        <w:jc w:val="both"/>
        <w:rPr>
          <w:lang w:val="en-GB"/>
        </w:rPr>
      </w:pPr>
      <w:r>
        <w:rPr>
          <w:rStyle w:val="FootnoteReference"/>
        </w:rPr>
        <w:footnoteRef/>
      </w:r>
      <w:r>
        <w:t xml:space="preserve"> Council </w:t>
      </w:r>
      <w:r>
        <w:rPr>
          <w:lang w:val="en-GB"/>
        </w:rPr>
        <w:t>Directive 93/13/EEC of 5 April 1993 on unfair terms in consumer contracts [1993] OJ L095/29 (“UCTD”).</w:t>
      </w:r>
    </w:p>
  </w:footnote>
  <w:footnote w:id="27">
    <w:p w:rsidR="00C95877" w:rsidRPr="009E51D6" w:rsidRDefault="00C95877" w:rsidP="00D61FE8">
      <w:pPr>
        <w:pStyle w:val="FootnoteText"/>
        <w:jc w:val="both"/>
        <w:rPr>
          <w:lang w:val="en-GB"/>
        </w:rPr>
      </w:pPr>
      <w:r>
        <w:rPr>
          <w:rStyle w:val="FootnoteReference"/>
        </w:rPr>
        <w:footnoteRef/>
      </w:r>
      <w:r>
        <w:t xml:space="preserve"> CJEU 15 March 2012, Case C-453/10 </w:t>
      </w:r>
      <w:proofErr w:type="spellStart"/>
      <w:r w:rsidRPr="0056363B">
        <w:rPr>
          <w:i/>
          <w:lang w:val="en-GB"/>
        </w:rPr>
        <w:t>Pereniĉová</w:t>
      </w:r>
      <w:proofErr w:type="spellEnd"/>
      <w:r w:rsidRPr="0056363B">
        <w:rPr>
          <w:i/>
          <w:lang w:val="en-GB"/>
        </w:rPr>
        <w:t xml:space="preserve"> and </w:t>
      </w:r>
      <w:proofErr w:type="spellStart"/>
      <w:r w:rsidRPr="0056363B">
        <w:rPr>
          <w:i/>
          <w:lang w:val="en-GB"/>
        </w:rPr>
        <w:t>Pereniĉ</w:t>
      </w:r>
      <w:proofErr w:type="spellEnd"/>
      <w:r>
        <w:rPr>
          <w:lang w:val="en-GB"/>
        </w:rPr>
        <w:t>, ECLI</w:t>
      </w:r>
      <w:proofErr w:type="gramStart"/>
      <w:r>
        <w:rPr>
          <w:lang w:val="en-GB"/>
        </w:rPr>
        <w:t>:EU:C:2012:144</w:t>
      </w:r>
      <w:proofErr w:type="gramEnd"/>
      <w:r>
        <w:rPr>
          <w:lang w:val="en-GB"/>
        </w:rPr>
        <w:t xml:space="preserve">, para 46. See for a comparison, e.g. J </w:t>
      </w:r>
      <w:proofErr w:type="spellStart"/>
      <w:r>
        <w:rPr>
          <w:lang w:val="en-GB"/>
        </w:rPr>
        <w:t>Luzak</w:t>
      </w:r>
      <w:proofErr w:type="spellEnd"/>
      <w:r>
        <w:rPr>
          <w:lang w:val="en-GB"/>
        </w:rPr>
        <w:t xml:space="preserve">, ‘Unfair commercial practice ≠ unfair contract term ≠ void contract. </w:t>
      </w:r>
      <w:proofErr w:type="gramStart"/>
      <w:r>
        <w:rPr>
          <w:lang w:val="en-GB"/>
        </w:rPr>
        <w:t>The CJEU’s judgment in the case C-453/10 (</w:t>
      </w:r>
      <w:proofErr w:type="spellStart"/>
      <w:r>
        <w:rPr>
          <w:lang w:val="en-GB"/>
        </w:rPr>
        <w:t>Pereniĉová</w:t>
      </w:r>
      <w:proofErr w:type="spellEnd"/>
      <w:r>
        <w:rPr>
          <w:lang w:val="en-GB"/>
        </w:rPr>
        <w:t xml:space="preserve"> and </w:t>
      </w:r>
      <w:proofErr w:type="spellStart"/>
      <w:r>
        <w:rPr>
          <w:lang w:val="en-GB"/>
        </w:rPr>
        <w:t>Pereniĉ</w:t>
      </w:r>
      <w:proofErr w:type="spellEnd"/>
      <w:r>
        <w:rPr>
          <w:lang w:val="en-GB"/>
        </w:rPr>
        <w:t xml:space="preserve">)’ (2012) 6 </w:t>
      </w:r>
      <w:proofErr w:type="spellStart"/>
      <w:r>
        <w:rPr>
          <w:i/>
          <w:lang w:val="en-GB"/>
        </w:rPr>
        <w:t>Ars</w:t>
      </w:r>
      <w:proofErr w:type="spellEnd"/>
      <w:r>
        <w:rPr>
          <w:i/>
          <w:lang w:val="en-GB"/>
        </w:rPr>
        <w:t xml:space="preserve"> </w:t>
      </w:r>
      <w:proofErr w:type="spellStart"/>
      <w:r>
        <w:rPr>
          <w:i/>
          <w:lang w:val="en-GB"/>
        </w:rPr>
        <w:t>Aequi</w:t>
      </w:r>
      <w:proofErr w:type="spellEnd"/>
      <w:r>
        <w:rPr>
          <w:lang w:val="en-GB"/>
        </w:rPr>
        <w:t xml:space="preserve"> 428-432.</w:t>
      </w:r>
      <w:proofErr w:type="gramEnd"/>
    </w:p>
  </w:footnote>
  <w:footnote w:id="28">
    <w:p w:rsidR="00C95877" w:rsidRPr="00131958" w:rsidRDefault="00C95877" w:rsidP="00D61FE8">
      <w:pPr>
        <w:pStyle w:val="FootnoteText"/>
        <w:jc w:val="both"/>
        <w:rPr>
          <w:lang w:val="en-GB"/>
        </w:rPr>
      </w:pPr>
      <w:r>
        <w:rPr>
          <w:rStyle w:val="FootnoteReference"/>
        </w:rPr>
        <w:footnoteRef/>
      </w:r>
      <w:r>
        <w:t xml:space="preserve"> </w:t>
      </w:r>
      <w:r>
        <w:rPr>
          <w:lang w:val="en-GB"/>
        </w:rPr>
        <w:t xml:space="preserve">See e.g. about the notion of an average consumer that could be implied into the system of the Directive 2013/11/EU of the European Parliament and of the Council of 21 May 2013 on alternative dispute resolution for consumer disputes [2013] OJ L165/63 (“ADR Directive”): E </w:t>
      </w:r>
      <w:proofErr w:type="spellStart"/>
      <w:r>
        <w:rPr>
          <w:lang w:val="en-GB"/>
        </w:rPr>
        <w:t>Théocharidi</w:t>
      </w:r>
      <w:proofErr w:type="spellEnd"/>
      <w:r>
        <w:rPr>
          <w:lang w:val="en-GB"/>
        </w:rPr>
        <w:t xml:space="preserve">, ‘Effectiveness of the ADR Directive: Standard of Average Consumer and Exceptions’ (2016) 24 </w:t>
      </w:r>
      <w:r>
        <w:rPr>
          <w:i/>
          <w:lang w:val="en-GB"/>
        </w:rPr>
        <w:t>European Review of Private Law</w:t>
      </w:r>
      <w:r>
        <w:rPr>
          <w:lang w:val="en-GB"/>
        </w:rPr>
        <w:t xml:space="preserve"> 103-116.</w:t>
      </w:r>
    </w:p>
  </w:footnote>
  <w:footnote w:id="29">
    <w:p w:rsidR="00C95877" w:rsidRPr="00A07A98" w:rsidRDefault="00C95877" w:rsidP="00D61FE8">
      <w:pPr>
        <w:pStyle w:val="FootnoteText"/>
        <w:jc w:val="both"/>
        <w:rPr>
          <w:lang w:val="en-GB"/>
        </w:rPr>
      </w:pPr>
      <w:r>
        <w:rPr>
          <w:rStyle w:val="FootnoteReference"/>
        </w:rPr>
        <w:footnoteRef/>
      </w:r>
      <w:r>
        <w:t xml:space="preserve"> </w:t>
      </w:r>
      <w:r>
        <w:rPr>
          <w:lang w:val="en-GB"/>
        </w:rPr>
        <w:t xml:space="preserve">See B </w:t>
      </w:r>
      <w:proofErr w:type="spellStart"/>
      <w:r>
        <w:rPr>
          <w:lang w:val="en-GB"/>
        </w:rPr>
        <w:t>Duivenvoorde</w:t>
      </w:r>
      <w:proofErr w:type="spellEnd"/>
      <w:r>
        <w:rPr>
          <w:lang w:val="en-GB"/>
        </w:rPr>
        <w:t xml:space="preserve"> (2015) (</w:t>
      </w:r>
      <w:proofErr w:type="spellStart"/>
      <w:proofErr w:type="gramStart"/>
      <w:r>
        <w:rPr>
          <w:lang w:val="en-GB"/>
        </w:rPr>
        <w:t>fn</w:t>
      </w:r>
      <w:proofErr w:type="spellEnd"/>
      <w:proofErr w:type="gramEnd"/>
      <w:r>
        <w:rPr>
          <w:lang w:val="en-GB"/>
        </w:rPr>
        <w:t xml:space="preserve"> 3) 197.</w:t>
      </w:r>
    </w:p>
  </w:footnote>
  <w:footnote w:id="30">
    <w:p w:rsidR="00C95877" w:rsidRPr="001C3B1B" w:rsidRDefault="00C95877" w:rsidP="00D61FE8">
      <w:pPr>
        <w:pStyle w:val="FootnoteText"/>
        <w:jc w:val="both"/>
        <w:rPr>
          <w:lang w:val="en-GB"/>
        </w:rPr>
      </w:pPr>
      <w:r>
        <w:rPr>
          <w:rStyle w:val="FootnoteReference"/>
        </w:rPr>
        <w:footnoteRef/>
      </w:r>
      <w:r>
        <w:t xml:space="preserve"> </w:t>
      </w:r>
      <w:proofErr w:type="gramStart"/>
      <w:r>
        <w:rPr>
          <w:lang w:val="en-GB"/>
        </w:rPr>
        <w:t>Recital 18 of UCPD.</w:t>
      </w:r>
      <w:proofErr w:type="gramEnd"/>
      <w:r>
        <w:rPr>
          <w:lang w:val="en-GB"/>
        </w:rPr>
        <w:t xml:space="preserve"> See also B. </w:t>
      </w:r>
      <w:proofErr w:type="spellStart"/>
      <w:r>
        <w:rPr>
          <w:lang w:val="en-GB"/>
        </w:rPr>
        <w:t>Duivenvoorde</w:t>
      </w:r>
      <w:proofErr w:type="spellEnd"/>
      <w:r>
        <w:rPr>
          <w:lang w:val="en-GB"/>
        </w:rPr>
        <w:t xml:space="preserve"> (2015) (</w:t>
      </w:r>
      <w:proofErr w:type="spellStart"/>
      <w:proofErr w:type="gramStart"/>
      <w:r>
        <w:rPr>
          <w:lang w:val="en-GB"/>
        </w:rPr>
        <w:t>fn</w:t>
      </w:r>
      <w:proofErr w:type="spellEnd"/>
      <w:proofErr w:type="gramEnd"/>
      <w:r>
        <w:rPr>
          <w:lang w:val="en-GB"/>
        </w:rPr>
        <w:t xml:space="preserve"> 3) 24-26.</w:t>
      </w:r>
    </w:p>
  </w:footnote>
  <w:footnote w:id="31">
    <w:p w:rsidR="00C95877" w:rsidRPr="0078197E" w:rsidRDefault="00C95877" w:rsidP="00D61FE8">
      <w:pPr>
        <w:pStyle w:val="FootnoteText"/>
        <w:jc w:val="both"/>
        <w:rPr>
          <w:lang w:val="en-GB"/>
        </w:rPr>
      </w:pPr>
      <w:r>
        <w:rPr>
          <w:rStyle w:val="FootnoteReference"/>
        </w:rPr>
        <w:footnoteRef/>
      </w:r>
      <w:r>
        <w:t xml:space="preserve"> As to the indicative character of the vulnerability grounds, please s</w:t>
      </w:r>
      <w:proofErr w:type="spellStart"/>
      <w:r>
        <w:rPr>
          <w:lang w:val="en-GB"/>
        </w:rPr>
        <w:t>ee</w:t>
      </w:r>
      <w:proofErr w:type="spellEnd"/>
      <w:r>
        <w:rPr>
          <w:lang w:val="en-GB"/>
        </w:rPr>
        <w:t xml:space="preserve"> Recital 19 of UCPD and the EC Guidance SEC (2009) 1666, 29.</w:t>
      </w:r>
    </w:p>
  </w:footnote>
  <w:footnote w:id="32">
    <w:p w:rsidR="00C95877" w:rsidRPr="0002127B" w:rsidRDefault="00C95877" w:rsidP="00D61FE8">
      <w:pPr>
        <w:pStyle w:val="FootnoteText"/>
        <w:jc w:val="both"/>
        <w:rPr>
          <w:lang w:val="nl-NL"/>
        </w:rPr>
      </w:pPr>
      <w:r>
        <w:rPr>
          <w:rStyle w:val="FootnoteReference"/>
        </w:rPr>
        <w:footnoteRef/>
      </w:r>
      <w:r w:rsidRPr="0002127B">
        <w:rPr>
          <w:lang w:val="nl-NL"/>
        </w:rPr>
        <w:t xml:space="preserve"> </w:t>
      </w:r>
      <w:r w:rsidRPr="0002127B">
        <w:rPr>
          <w:i/>
          <w:lang w:val="nl-NL"/>
        </w:rPr>
        <w:t>Kásler</w:t>
      </w:r>
      <w:r w:rsidRPr="0002127B">
        <w:rPr>
          <w:lang w:val="nl-NL"/>
        </w:rPr>
        <w:t xml:space="preserve"> (fn 4) para 74.</w:t>
      </w:r>
    </w:p>
  </w:footnote>
  <w:footnote w:id="33">
    <w:p w:rsidR="00C95877" w:rsidRPr="0002127B" w:rsidRDefault="00C95877" w:rsidP="00D61FE8">
      <w:pPr>
        <w:pStyle w:val="FootnoteText"/>
        <w:jc w:val="both"/>
        <w:rPr>
          <w:lang w:val="nl-NL"/>
        </w:rPr>
      </w:pPr>
      <w:r>
        <w:rPr>
          <w:rStyle w:val="FootnoteReference"/>
        </w:rPr>
        <w:footnoteRef/>
      </w:r>
      <w:r w:rsidRPr="0002127B">
        <w:rPr>
          <w:lang w:val="nl-NL"/>
        </w:rPr>
        <w:t xml:space="preserve"> </w:t>
      </w:r>
      <w:r w:rsidRPr="0002127B">
        <w:rPr>
          <w:i/>
          <w:lang w:val="nl-NL"/>
        </w:rPr>
        <w:t>Van Hove</w:t>
      </w:r>
      <w:r w:rsidRPr="0002127B">
        <w:rPr>
          <w:lang w:val="nl-NL"/>
        </w:rPr>
        <w:t xml:space="preserve"> (fn 4) para 47.</w:t>
      </w:r>
    </w:p>
  </w:footnote>
  <w:footnote w:id="34">
    <w:p w:rsidR="00C95877" w:rsidRPr="00D3394E" w:rsidRDefault="00C95877" w:rsidP="00D61FE8">
      <w:pPr>
        <w:pStyle w:val="FootnoteText"/>
        <w:jc w:val="both"/>
        <w:rPr>
          <w:lang w:val="en-GB"/>
        </w:rPr>
      </w:pPr>
      <w:r>
        <w:rPr>
          <w:rStyle w:val="FootnoteReference"/>
        </w:rPr>
        <w:footnoteRef/>
      </w:r>
      <w:r>
        <w:t xml:space="preserve"> See Eurobarometer 414 (February 2015) </w:t>
      </w:r>
      <w:r>
        <w:rPr>
          <w:lang w:val="en-GB"/>
        </w:rPr>
        <w:t>&lt;&lt;</w:t>
      </w:r>
      <w:r w:rsidRPr="00D862E4">
        <w:rPr>
          <w:lang w:val="en-GB"/>
        </w:rPr>
        <w:t>http://ec.europa.eu/public_opinion/flash/fl_414_en.pdf</w:t>
      </w:r>
      <w:r>
        <w:rPr>
          <w:lang w:val="en-GB"/>
        </w:rPr>
        <w:t>&gt;&gt;.</w:t>
      </w:r>
    </w:p>
  </w:footnote>
  <w:footnote w:id="35">
    <w:p w:rsidR="00C95877" w:rsidRPr="000875BF" w:rsidRDefault="00C95877" w:rsidP="00D61FE8">
      <w:pPr>
        <w:pStyle w:val="FootnoteText"/>
        <w:jc w:val="both"/>
        <w:rPr>
          <w:lang w:val="en-GB"/>
        </w:rPr>
      </w:pPr>
      <w:r>
        <w:rPr>
          <w:rStyle w:val="FootnoteReference"/>
        </w:rPr>
        <w:footnoteRef/>
      </w:r>
      <w:r>
        <w:t xml:space="preserve"> </w:t>
      </w:r>
      <w:proofErr w:type="gramStart"/>
      <w:r>
        <w:rPr>
          <w:lang w:val="en-GB"/>
        </w:rPr>
        <w:t xml:space="preserve">See further on this in the following </w:t>
      </w:r>
      <w:r w:rsidR="00B37883">
        <w:rPr>
          <w:lang w:val="en-GB"/>
        </w:rPr>
        <w:t>section</w:t>
      </w:r>
      <w:r>
        <w:rPr>
          <w:lang w:val="en-GB"/>
        </w:rPr>
        <w:t>.</w:t>
      </w:r>
      <w:proofErr w:type="gramEnd"/>
    </w:p>
  </w:footnote>
  <w:footnote w:id="36">
    <w:p w:rsidR="00C95877" w:rsidRPr="006B525B" w:rsidRDefault="00C95877" w:rsidP="00D61FE8">
      <w:pPr>
        <w:pStyle w:val="FootnoteText"/>
        <w:jc w:val="both"/>
        <w:rPr>
          <w:lang w:val="en-GB"/>
        </w:rPr>
      </w:pPr>
      <w:r>
        <w:rPr>
          <w:rStyle w:val="FootnoteReference"/>
        </w:rPr>
        <w:footnoteRef/>
      </w:r>
      <w:r>
        <w:t xml:space="preserve"> </w:t>
      </w:r>
      <w:r>
        <w:rPr>
          <w:lang w:val="en-GB"/>
        </w:rPr>
        <w:t>See (</w:t>
      </w:r>
      <w:proofErr w:type="spellStart"/>
      <w:proofErr w:type="gramStart"/>
      <w:r>
        <w:rPr>
          <w:lang w:val="en-GB"/>
        </w:rPr>
        <w:t>fn</w:t>
      </w:r>
      <w:proofErr w:type="spellEnd"/>
      <w:proofErr w:type="gramEnd"/>
      <w:r>
        <w:rPr>
          <w:lang w:val="en-GB"/>
        </w:rPr>
        <w:t xml:space="preserve"> 3</w:t>
      </w:r>
      <w:r w:rsidR="002C5FDF">
        <w:rPr>
          <w:lang w:val="en-GB"/>
        </w:rPr>
        <w:t>4</w:t>
      </w:r>
      <w:r>
        <w:rPr>
          <w:lang w:val="en-GB"/>
        </w:rPr>
        <w:t>).</w:t>
      </w:r>
      <w:r w:rsidR="008F13BC">
        <w:rPr>
          <w:lang w:val="en-GB"/>
        </w:rPr>
        <w:t xml:space="preserve"> The provided data does not clearly indicate </w:t>
      </w:r>
      <w:r w:rsidR="006A2A02">
        <w:rPr>
          <w:lang w:val="en-GB"/>
        </w:rPr>
        <w:t>how many of these travellers have only booked non-package holidays.</w:t>
      </w:r>
    </w:p>
  </w:footnote>
  <w:footnote w:id="37">
    <w:p w:rsidR="00C95877" w:rsidRPr="00D862E4" w:rsidRDefault="00C95877" w:rsidP="00D61FE8">
      <w:pPr>
        <w:pStyle w:val="FootnoteText"/>
        <w:jc w:val="both"/>
        <w:rPr>
          <w:lang w:val="en-GB"/>
        </w:rPr>
      </w:pPr>
      <w:r>
        <w:rPr>
          <w:rStyle w:val="FootnoteReference"/>
        </w:rPr>
        <w:footnoteRef/>
      </w:r>
      <w:r>
        <w:t xml:space="preserve"> </w:t>
      </w:r>
      <w:proofErr w:type="gramStart"/>
      <w:r>
        <w:t>OECD Tourism Trends and Policies (2014) &lt;&lt;</w:t>
      </w:r>
      <w:r w:rsidRPr="001C6778">
        <w:t>http://www.oecd-ilibrary.org/industry-and-services/oecd-tourism-trends-and-policies-2014_tour-2014-en;jsessionid=1ppeh0hue5dn4.x-oecd-live-03</w:t>
      </w:r>
      <w:r>
        <w:t>&gt;&gt;.</w:t>
      </w:r>
      <w:proofErr w:type="gramEnd"/>
    </w:p>
  </w:footnote>
  <w:footnote w:id="38">
    <w:p w:rsidR="00C95877" w:rsidRPr="00564399" w:rsidRDefault="00C95877" w:rsidP="00D61FE8">
      <w:pPr>
        <w:pStyle w:val="FootnoteText"/>
        <w:jc w:val="both"/>
        <w:rPr>
          <w:lang w:val="en-GB"/>
        </w:rPr>
      </w:pPr>
      <w:r>
        <w:rPr>
          <w:rStyle w:val="FootnoteReference"/>
        </w:rPr>
        <w:footnoteRef/>
      </w:r>
      <w:r>
        <w:t xml:space="preserve"> </w:t>
      </w:r>
      <w:r>
        <w:rPr>
          <w:lang w:val="en-GB"/>
        </w:rPr>
        <w:t xml:space="preserve">Compare Art. </w:t>
      </w:r>
      <w:proofErr w:type="gramStart"/>
      <w:r>
        <w:rPr>
          <w:lang w:val="en-GB"/>
        </w:rPr>
        <w:t>2 para 1 of the PTD with Art.</w:t>
      </w:r>
      <w:proofErr w:type="gramEnd"/>
      <w:r>
        <w:rPr>
          <w:lang w:val="en-GB"/>
        </w:rPr>
        <w:t xml:space="preserve"> </w:t>
      </w:r>
      <w:proofErr w:type="gramStart"/>
      <w:r>
        <w:rPr>
          <w:lang w:val="en-GB"/>
        </w:rPr>
        <w:t>3 para 2 of the Directive 2015/2302.</w:t>
      </w:r>
      <w:proofErr w:type="gramEnd"/>
    </w:p>
  </w:footnote>
  <w:footnote w:id="39">
    <w:p w:rsidR="00C95877" w:rsidRPr="005976BC" w:rsidRDefault="00C95877" w:rsidP="00D61FE8">
      <w:pPr>
        <w:pStyle w:val="FootnoteText"/>
        <w:jc w:val="both"/>
        <w:rPr>
          <w:lang w:val="en-GB"/>
        </w:rPr>
      </w:pPr>
      <w:r>
        <w:rPr>
          <w:rStyle w:val="FootnoteReference"/>
        </w:rPr>
        <w:footnoteRef/>
      </w:r>
      <w:r>
        <w:t xml:space="preserve"> </w:t>
      </w:r>
      <w:r>
        <w:rPr>
          <w:lang w:val="en-GB"/>
        </w:rPr>
        <w:t xml:space="preserve">See Art. </w:t>
      </w:r>
      <w:proofErr w:type="gramStart"/>
      <w:r>
        <w:rPr>
          <w:lang w:val="en-GB"/>
        </w:rPr>
        <w:t>2 para 5 of the Directive 2015/2302.</w:t>
      </w:r>
      <w:proofErr w:type="gramEnd"/>
    </w:p>
  </w:footnote>
  <w:footnote w:id="40">
    <w:p w:rsidR="00C95877" w:rsidRPr="005714C9" w:rsidRDefault="00C95877" w:rsidP="00D61FE8">
      <w:pPr>
        <w:pStyle w:val="FootnoteText"/>
        <w:jc w:val="both"/>
        <w:rPr>
          <w:lang w:val="en-GB"/>
        </w:rPr>
      </w:pPr>
      <w:r>
        <w:rPr>
          <w:rStyle w:val="FootnoteReference"/>
        </w:rPr>
        <w:footnoteRef/>
      </w:r>
      <w:r>
        <w:t xml:space="preserve"> </w:t>
      </w:r>
      <w:r>
        <w:rPr>
          <w:lang w:val="en-GB"/>
        </w:rPr>
        <w:t xml:space="preserve">On the effect that age may have on consumer capabilities see e.g. L Berg, ‘Consumer vulnerability: are older people more vulnerable as consumers than others?’ </w:t>
      </w:r>
      <w:proofErr w:type="gramStart"/>
      <w:r>
        <w:rPr>
          <w:lang w:val="en-GB"/>
        </w:rPr>
        <w:t xml:space="preserve">(2015) 39 </w:t>
      </w:r>
      <w:r>
        <w:rPr>
          <w:i/>
          <w:lang w:val="en-GB"/>
        </w:rPr>
        <w:t>International Journal of Consumer Studies</w:t>
      </w:r>
      <w:r>
        <w:rPr>
          <w:lang w:val="en-GB"/>
        </w:rPr>
        <w:t xml:space="preserve"> 286.</w:t>
      </w:r>
      <w:proofErr w:type="gramEnd"/>
    </w:p>
  </w:footnote>
  <w:footnote w:id="41">
    <w:p w:rsidR="00C95877" w:rsidRPr="00544154" w:rsidRDefault="00C95877" w:rsidP="00D61FE8">
      <w:pPr>
        <w:pStyle w:val="FootnoteText"/>
        <w:jc w:val="both"/>
        <w:rPr>
          <w:lang w:val="en-GB"/>
        </w:rPr>
      </w:pPr>
      <w:r>
        <w:rPr>
          <w:rStyle w:val="FootnoteReference"/>
        </w:rPr>
        <w:footnoteRef/>
      </w:r>
      <w:r>
        <w:t xml:space="preserve"> </w:t>
      </w:r>
      <w:r>
        <w:rPr>
          <w:lang w:val="en-GB"/>
        </w:rPr>
        <w:t>Despite being the most likely group to book their holidays with a travel agency</w:t>
      </w:r>
      <w:r w:rsidRPr="003832E8">
        <w:rPr>
          <w:lang w:val="en-GB"/>
        </w:rPr>
        <w:t xml:space="preserve">, in 2014 only 24% of the elderly </w:t>
      </w:r>
      <w:r>
        <w:rPr>
          <w:lang w:val="en-GB"/>
        </w:rPr>
        <w:t>traveller</w:t>
      </w:r>
      <w:r w:rsidRPr="003832E8">
        <w:rPr>
          <w:lang w:val="en-GB"/>
        </w:rPr>
        <w:t xml:space="preserve">s booked </w:t>
      </w:r>
      <w:r>
        <w:rPr>
          <w:lang w:val="en-GB"/>
        </w:rPr>
        <w:t>proceeded to do so, see (</w:t>
      </w:r>
      <w:proofErr w:type="spellStart"/>
      <w:proofErr w:type="gramStart"/>
      <w:r>
        <w:rPr>
          <w:lang w:val="en-GB"/>
        </w:rPr>
        <w:t>fn</w:t>
      </w:r>
      <w:proofErr w:type="spellEnd"/>
      <w:proofErr w:type="gramEnd"/>
      <w:r>
        <w:rPr>
          <w:lang w:val="en-GB"/>
        </w:rPr>
        <w:t xml:space="preserve"> 3</w:t>
      </w:r>
      <w:r w:rsidR="002C5FDF">
        <w:rPr>
          <w:lang w:val="en-GB"/>
        </w:rPr>
        <w:t>4</w:t>
      </w:r>
      <w:r>
        <w:rPr>
          <w:lang w:val="en-GB"/>
        </w:rPr>
        <w:t>)</w:t>
      </w:r>
      <w:r w:rsidRPr="003832E8">
        <w:rPr>
          <w:lang w:val="en-GB"/>
        </w:rPr>
        <w:t>.</w:t>
      </w:r>
    </w:p>
  </w:footnote>
  <w:footnote w:id="42">
    <w:p w:rsidR="00034832" w:rsidRPr="00034832" w:rsidRDefault="00034832" w:rsidP="00D61FE8">
      <w:pPr>
        <w:pStyle w:val="FootnoteText"/>
        <w:jc w:val="both"/>
      </w:pPr>
      <w:r>
        <w:rPr>
          <w:rStyle w:val="FootnoteReference"/>
        </w:rPr>
        <w:footnoteRef/>
      </w:r>
      <w:r>
        <w:t xml:space="preserve"> </w:t>
      </w:r>
      <w:r w:rsidRPr="00034832">
        <w:t xml:space="preserve">Some package tours will be also clearly targeted at a specific vulnerable group of consumers, e.g. </w:t>
      </w:r>
      <w:r>
        <w:t>summer camps or surfing schools for teenagers; or cruises for the elderly.</w:t>
      </w:r>
    </w:p>
  </w:footnote>
  <w:footnote w:id="43">
    <w:p w:rsidR="00C95877" w:rsidRPr="001451CF" w:rsidRDefault="00C95877" w:rsidP="00D61FE8">
      <w:pPr>
        <w:pStyle w:val="FootnoteText"/>
        <w:jc w:val="both"/>
        <w:rPr>
          <w:lang w:val="en-GB"/>
        </w:rPr>
      </w:pPr>
      <w:r>
        <w:rPr>
          <w:rStyle w:val="FootnoteReference"/>
        </w:rPr>
        <w:footnoteRef/>
      </w:r>
      <w:r>
        <w:t xml:space="preserve"> </w:t>
      </w:r>
      <w:r>
        <w:rPr>
          <w:lang w:val="en-GB"/>
        </w:rPr>
        <w:t>See (</w:t>
      </w:r>
      <w:proofErr w:type="spellStart"/>
      <w:proofErr w:type="gramStart"/>
      <w:r>
        <w:rPr>
          <w:lang w:val="en-GB"/>
        </w:rPr>
        <w:t>fn</w:t>
      </w:r>
      <w:proofErr w:type="spellEnd"/>
      <w:proofErr w:type="gramEnd"/>
      <w:r>
        <w:rPr>
          <w:lang w:val="en-GB"/>
        </w:rPr>
        <w:t xml:space="preserve"> 3</w:t>
      </w:r>
      <w:r w:rsidR="002C5FDF">
        <w:rPr>
          <w:lang w:val="en-GB"/>
        </w:rPr>
        <w:t>4</w:t>
      </w:r>
      <w:r>
        <w:rPr>
          <w:lang w:val="en-GB"/>
        </w:rPr>
        <w:t>).</w:t>
      </w:r>
    </w:p>
  </w:footnote>
  <w:footnote w:id="44">
    <w:p w:rsidR="00EF60F1" w:rsidRPr="00496B36" w:rsidRDefault="00EF60F1">
      <w:pPr>
        <w:pStyle w:val="FootnoteText"/>
        <w:rPr>
          <w:lang w:val="en-GB"/>
        </w:rPr>
      </w:pPr>
      <w:r>
        <w:rPr>
          <w:rStyle w:val="FootnoteReference"/>
        </w:rPr>
        <w:footnoteRef/>
      </w:r>
      <w:r>
        <w:t xml:space="preserve"> See Flash Eurobarometer 392 (February 2014) </w:t>
      </w:r>
      <w:r>
        <w:rPr>
          <w:lang w:val="en-GB"/>
        </w:rPr>
        <w:t>&lt;&lt;</w:t>
      </w:r>
      <w:r w:rsidRPr="00EF60F1">
        <w:rPr>
          <w:lang w:val="en-GB"/>
        </w:rPr>
        <w:t>http://ec.europa.eu/public_opinion/flash/fl_392_en.pdf</w:t>
      </w:r>
      <w:r>
        <w:rPr>
          <w:lang w:val="en-GB"/>
        </w:rPr>
        <w:t>&gt;&gt; 22.</w:t>
      </w:r>
    </w:p>
  </w:footnote>
  <w:footnote w:id="45">
    <w:p w:rsidR="00EF60F1" w:rsidRPr="00496B36" w:rsidRDefault="00EF60F1">
      <w:pPr>
        <w:pStyle w:val="FootnoteText"/>
        <w:rPr>
          <w:lang w:val="en-GB"/>
        </w:rPr>
      </w:pPr>
      <w:r>
        <w:rPr>
          <w:rStyle w:val="FootnoteReference"/>
        </w:rPr>
        <w:footnoteRef/>
      </w:r>
      <w:r>
        <w:t xml:space="preserve"> </w:t>
      </w:r>
      <w:r>
        <w:rPr>
          <w:lang w:val="en-GB"/>
        </w:rPr>
        <w:t>See (</w:t>
      </w:r>
      <w:proofErr w:type="spellStart"/>
      <w:proofErr w:type="gramStart"/>
      <w:r>
        <w:rPr>
          <w:lang w:val="en-GB"/>
        </w:rPr>
        <w:t>fn</w:t>
      </w:r>
      <w:proofErr w:type="spellEnd"/>
      <w:proofErr w:type="gramEnd"/>
      <w:r>
        <w:rPr>
          <w:lang w:val="en-GB"/>
        </w:rPr>
        <w:t xml:space="preserve"> 34) 25.</w:t>
      </w:r>
    </w:p>
  </w:footnote>
  <w:footnote w:id="46">
    <w:p w:rsidR="00C95877" w:rsidRPr="00B378C2" w:rsidRDefault="00C95877" w:rsidP="00D61FE8">
      <w:pPr>
        <w:pStyle w:val="FootnoteText"/>
        <w:jc w:val="both"/>
        <w:rPr>
          <w:lang w:val="en-GB"/>
        </w:rPr>
      </w:pPr>
      <w:r>
        <w:rPr>
          <w:rStyle w:val="FootnoteReference"/>
        </w:rPr>
        <w:footnoteRef/>
      </w:r>
      <w:r>
        <w:t xml:space="preserve"> </w:t>
      </w:r>
      <w:r w:rsidR="00B378C2">
        <w:t xml:space="preserve">See e.g. </w:t>
      </w:r>
      <w:r w:rsidR="008A6EF2">
        <w:t xml:space="preserve">R </w:t>
      </w:r>
      <w:proofErr w:type="spellStart"/>
      <w:r w:rsidR="008A6EF2">
        <w:t>Botsman</w:t>
      </w:r>
      <w:proofErr w:type="spellEnd"/>
      <w:r w:rsidR="008A6EF2">
        <w:t xml:space="preserve"> &amp; R Rogers, </w:t>
      </w:r>
      <w:r w:rsidR="008A6EF2">
        <w:rPr>
          <w:i/>
        </w:rPr>
        <w:t xml:space="preserve">What’s mine is yours: The rise of collaborative consumption </w:t>
      </w:r>
      <w:r w:rsidR="008A6EF2">
        <w:t xml:space="preserve">(Harper Collins 2010); </w:t>
      </w:r>
      <w:r w:rsidR="00B378C2">
        <w:t xml:space="preserve">R Belk, ‘You are what you can access: Sharing and collaborative consumption online’ (2014) 67 </w:t>
      </w:r>
      <w:r w:rsidR="00B378C2">
        <w:rPr>
          <w:i/>
        </w:rPr>
        <w:t xml:space="preserve">Journal of Business Research </w:t>
      </w:r>
      <w:r w:rsidR="00B378C2">
        <w:t xml:space="preserve">1595-1600; M </w:t>
      </w:r>
      <w:proofErr w:type="spellStart"/>
      <w:r w:rsidR="00B378C2">
        <w:t>Möhlmann</w:t>
      </w:r>
      <w:proofErr w:type="spellEnd"/>
      <w:r w:rsidR="00B378C2">
        <w:t xml:space="preserve">, ‘Collaborative consumption:  determinants of satisfaction and the likelihood of using a sharing economy option again’ (2015) 14 </w:t>
      </w:r>
      <w:r w:rsidR="00B378C2">
        <w:rPr>
          <w:i/>
        </w:rPr>
        <w:t xml:space="preserve">Journal of Consumer </w:t>
      </w:r>
      <w:proofErr w:type="spellStart"/>
      <w:r w:rsidR="00B378C2">
        <w:rPr>
          <w:i/>
        </w:rPr>
        <w:t>Behaviour</w:t>
      </w:r>
      <w:proofErr w:type="spellEnd"/>
      <w:r w:rsidR="00B378C2">
        <w:t xml:space="preserve"> 194.</w:t>
      </w:r>
    </w:p>
  </w:footnote>
  <w:footnote w:id="47">
    <w:p w:rsidR="00C95877" w:rsidRPr="008A6EF2" w:rsidRDefault="00C95877" w:rsidP="00D61FE8">
      <w:pPr>
        <w:pStyle w:val="FootnoteText"/>
        <w:jc w:val="both"/>
        <w:rPr>
          <w:lang w:val="en-GB"/>
        </w:rPr>
      </w:pPr>
      <w:r>
        <w:rPr>
          <w:rStyle w:val="FootnoteReference"/>
        </w:rPr>
        <w:footnoteRef/>
      </w:r>
      <w:r>
        <w:t xml:space="preserve"> </w:t>
      </w:r>
      <w:r w:rsidR="008A6EF2">
        <w:t xml:space="preserve">See e.g. </w:t>
      </w:r>
      <w:proofErr w:type="spellStart"/>
      <w:r w:rsidR="008A6EF2">
        <w:t>Ch</w:t>
      </w:r>
      <w:proofErr w:type="spellEnd"/>
      <w:r w:rsidR="008A6EF2">
        <w:t xml:space="preserve"> Busch et al., ‘The Rise of the Platform Economy: A New Challenge for EU Consumer Law?’ (2016) 1 </w:t>
      </w:r>
      <w:r w:rsidR="005D03E5">
        <w:rPr>
          <w:i/>
        </w:rPr>
        <w:t xml:space="preserve">Journal of </w:t>
      </w:r>
      <w:proofErr w:type="spellStart"/>
      <w:proofErr w:type="gramStart"/>
      <w:r w:rsidR="005D03E5">
        <w:rPr>
          <w:i/>
        </w:rPr>
        <w:t>european</w:t>
      </w:r>
      <w:proofErr w:type="spellEnd"/>
      <w:proofErr w:type="gramEnd"/>
      <w:r w:rsidR="005D03E5">
        <w:rPr>
          <w:i/>
        </w:rPr>
        <w:t xml:space="preserve"> Consumer and Market Law (</w:t>
      </w:r>
      <w:proofErr w:type="spellStart"/>
      <w:r w:rsidR="005D03E5">
        <w:rPr>
          <w:i/>
        </w:rPr>
        <w:t>EuCML</w:t>
      </w:r>
      <w:proofErr w:type="spellEnd"/>
      <w:r w:rsidR="005D03E5">
        <w:rPr>
          <w:i/>
        </w:rPr>
        <w:t>)</w:t>
      </w:r>
      <w:r w:rsidR="008A6EF2">
        <w:t xml:space="preserve"> 9.</w:t>
      </w:r>
    </w:p>
  </w:footnote>
  <w:footnote w:id="48">
    <w:p w:rsidR="008F2426" w:rsidRPr="008F2426" w:rsidRDefault="008F2426" w:rsidP="00D61FE8">
      <w:pPr>
        <w:pStyle w:val="FootnoteText"/>
        <w:jc w:val="both"/>
        <w:rPr>
          <w:lang w:val="en-GB"/>
        </w:rPr>
      </w:pPr>
      <w:r>
        <w:rPr>
          <w:rStyle w:val="FootnoteReference"/>
        </w:rPr>
        <w:footnoteRef/>
      </w:r>
      <w:r>
        <w:t xml:space="preserve"> </w:t>
      </w:r>
      <w:proofErr w:type="gramStart"/>
      <w:r>
        <w:rPr>
          <w:lang w:val="en-GB"/>
        </w:rPr>
        <w:t xml:space="preserve">See on online platforms in the travel sector e.g. V Mak, ‘Private Law Perspectives on Platform Services’ (2016) 1 </w:t>
      </w:r>
      <w:proofErr w:type="spellStart"/>
      <w:r w:rsidR="005D03E5">
        <w:rPr>
          <w:i/>
          <w:lang w:val="en-GB"/>
        </w:rPr>
        <w:t>EuCML</w:t>
      </w:r>
      <w:proofErr w:type="spellEnd"/>
      <w:r>
        <w:rPr>
          <w:i/>
          <w:lang w:val="en-GB"/>
        </w:rPr>
        <w:t xml:space="preserve"> </w:t>
      </w:r>
      <w:r>
        <w:rPr>
          <w:lang w:val="en-GB"/>
        </w:rPr>
        <w:t xml:space="preserve">19-25; E </w:t>
      </w:r>
      <w:proofErr w:type="spellStart"/>
      <w:r>
        <w:rPr>
          <w:lang w:val="en-GB"/>
        </w:rPr>
        <w:t>Terryn</w:t>
      </w:r>
      <w:proofErr w:type="spellEnd"/>
      <w:r>
        <w:rPr>
          <w:lang w:val="en-GB"/>
        </w:rPr>
        <w:t>, ‘The sharing economy in Belgium – a case for regulation?’</w:t>
      </w:r>
      <w:proofErr w:type="gramEnd"/>
      <w:r>
        <w:rPr>
          <w:lang w:val="en-GB"/>
        </w:rPr>
        <w:t xml:space="preserve"> (2016) 1 </w:t>
      </w:r>
      <w:proofErr w:type="spellStart"/>
      <w:r w:rsidR="005D03E5">
        <w:rPr>
          <w:i/>
          <w:lang w:val="en-GB"/>
        </w:rPr>
        <w:t>EuCML</w:t>
      </w:r>
      <w:proofErr w:type="spellEnd"/>
      <w:r w:rsidR="005D03E5">
        <w:rPr>
          <w:i/>
          <w:lang w:val="en-GB"/>
        </w:rPr>
        <w:t xml:space="preserve"> </w:t>
      </w:r>
      <w:r>
        <w:rPr>
          <w:lang w:val="en-GB"/>
        </w:rPr>
        <w:t>47-48.</w:t>
      </w:r>
    </w:p>
  </w:footnote>
  <w:footnote w:id="49">
    <w:p w:rsidR="00034832" w:rsidRPr="00034832" w:rsidRDefault="00034832" w:rsidP="00D61FE8">
      <w:pPr>
        <w:pStyle w:val="FootnoteText"/>
        <w:jc w:val="both"/>
      </w:pPr>
      <w:r>
        <w:rPr>
          <w:rStyle w:val="FootnoteReference"/>
        </w:rPr>
        <w:footnoteRef/>
      </w:r>
      <w:r>
        <w:t xml:space="preserve"> </w:t>
      </w:r>
      <w:r w:rsidR="00DC57E2">
        <w:t xml:space="preserve">“‘package’ means a combination of at least two different types of travel services for the purpose of the same trip or holiday, if: (a) those services are combined by one trader, including at the request of or in accordance with the selection of the </w:t>
      </w:r>
      <w:proofErr w:type="spellStart"/>
      <w:r w:rsidR="00DC57E2">
        <w:t>traveller</w:t>
      </w:r>
      <w:proofErr w:type="spellEnd"/>
      <w:r w:rsidR="00DC57E2">
        <w:t>, before a single contract on all services is concluded; or (b) irrespective of whether separate contracts are concluded with individual travel service providers, those services are: (</w:t>
      </w:r>
      <w:proofErr w:type="spellStart"/>
      <w:r w:rsidR="00DC57E2">
        <w:t>i</w:t>
      </w:r>
      <w:proofErr w:type="spellEnd"/>
      <w:r w:rsidR="00DC57E2">
        <w:t xml:space="preserve">) purchased from a single point of sale and those services have been selected before the </w:t>
      </w:r>
      <w:proofErr w:type="spellStart"/>
      <w:r w:rsidR="00DC57E2">
        <w:t>traveller</w:t>
      </w:r>
      <w:proofErr w:type="spellEnd"/>
      <w:r w:rsidR="00DC57E2">
        <w:t xml:space="preserve"> agrees to pay, (ii) offered, sold or charged at an inclusive or total price, (iii) advertised or sold under the term ‘package’ or under a similar term, (iv) combined after the conclusion of a contract by which a trader entitles the </w:t>
      </w:r>
      <w:proofErr w:type="spellStart"/>
      <w:r w:rsidR="00DC57E2">
        <w:t>traveller</w:t>
      </w:r>
      <w:proofErr w:type="spellEnd"/>
      <w:r w:rsidR="00DC57E2">
        <w:t xml:space="preserve"> to choose among a selection of different types of travel services, or (v) purchased from separate traders through linked online booking processes where the </w:t>
      </w:r>
      <w:proofErr w:type="spellStart"/>
      <w:r w:rsidR="00DC57E2">
        <w:t>traveller's</w:t>
      </w:r>
      <w:proofErr w:type="spellEnd"/>
      <w:r w:rsidR="00DC57E2">
        <w:t xml:space="preserve"> name, payment details and e-mail address are transmitted from the trader with whom the first contract is concluded to another trader or traders and a contract with the latter trader or traders is concluded at the latest 24 hours after the confirmation of the booking of the first travel service. A combination of travel services where not more than one type of travel service as referred to in point (a), (b) or (c) of point 1 is combined with one or more tourist services as referred to in point (d) of point 1 is not a package if the latter services: (a) do not account for a significant proportion of the value of the combination and are not advertised as and do not otherwise represent an essential feature of the combination; or (b) are selected and purchased only after the performance of a travel service as referred to in point (a), (b) or (c) of point 1 has started.”</w:t>
      </w:r>
    </w:p>
  </w:footnote>
  <w:footnote w:id="50">
    <w:p w:rsidR="00DC57E2" w:rsidRPr="00DC57E2" w:rsidRDefault="00DC57E2" w:rsidP="00D61FE8">
      <w:pPr>
        <w:pStyle w:val="FootnoteText"/>
        <w:jc w:val="both"/>
      </w:pPr>
      <w:r>
        <w:rPr>
          <w:rStyle w:val="FootnoteReference"/>
        </w:rPr>
        <w:footnoteRef/>
      </w:r>
      <w:r>
        <w:t xml:space="preserve"> Travel services are defined in Article 2 para 1 of the Directive 2015/2302 as: “(a) carriage of passengers; (b) accommodation which is not intrinsically part of carriage of passengers and is not for residential purposes; (c) rental of cars, other motor vehicles (…), or motorcycles (…); (d) any other tourist service not intrinsically part of a travel service within the meaning of points (a), (b) or (c)”</w:t>
      </w:r>
    </w:p>
  </w:footnote>
  <w:footnote w:id="51">
    <w:p w:rsidR="005D03E5" w:rsidRPr="005D03E5" w:rsidRDefault="005D03E5" w:rsidP="00D61FE8">
      <w:pPr>
        <w:pStyle w:val="FootnoteText"/>
        <w:jc w:val="both"/>
        <w:rPr>
          <w:lang w:val="en-GB"/>
        </w:rPr>
      </w:pPr>
      <w:r>
        <w:rPr>
          <w:rStyle w:val="FootnoteReference"/>
        </w:rPr>
        <w:footnoteRef/>
      </w:r>
      <w:r>
        <w:t xml:space="preserve"> </w:t>
      </w:r>
      <w:r>
        <w:rPr>
          <w:lang w:val="en-GB"/>
        </w:rPr>
        <w:t xml:space="preserve">See on this issue also e.g. D </w:t>
      </w:r>
      <w:proofErr w:type="spellStart"/>
      <w:r>
        <w:rPr>
          <w:lang w:val="en-GB"/>
        </w:rPr>
        <w:t>Možina</w:t>
      </w:r>
      <w:proofErr w:type="spellEnd"/>
      <w:r>
        <w:rPr>
          <w:lang w:val="en-GB"/>
        </w:rPr>
        <w:t xml:space="preserve">, ‘Retail business, platform services and information duties’ (2016) 1 </w:t>
      </w:r>
      <w:proofErr w:type="spellStart"/>
      <w:r>
        <w:rPr>
          <w:i/>
          <w:lang w:val="en-GB"/>
        </w:rPr>
        <w:t>EuCML</w:t>
      </w:r>
      <w:proofErr w:type="spellEnd"/>
      <w:r>
        <w:rPr>
          <w:i/>
          <w:lang w:val="en-GB"/>
        </w:rPr>
        <w:t xml:space="preserve"> </w:t>
      </w:r>
      <w:r>
        <w:rPr>
          <w:lang w:val="en-GB"/>
        </w:rPr>
        <w:t xml:space="preserve">26-27. </w:t>
      </w:r>
    </w:p>
  </w:footnote>
  <w:footnote w:id="52">
    <w:p w:rsidR="005D03E5" w:rsidRPr="0002127B" w:rsidRDefault="005D03E5" w:rsidP="00D61FE8">
      <w:pPr>
        <w:pStyle w:val="FootnoteText"/>
        <w:jc w:val="both"/>
        <w:rPr>
          <w:lang w:val="nl-NL"/>
        </w:rPr>
      </w:pPr>
      <w:r>
        <w:rPr>
          <w:rStyle w:val="FootnoteReference"/>
        </w:rPr>
        <w:footnoteRef/>
      </w:r>
      <w:r>
        <w:t xml:space="preserve"> </w:t>
      </w:r>
      <w:r>
        <w:rPr>
          <w:lang w:val="en-GB"/>
        </w:rPr>
        <w:t xml:space="preserve">See on this issue also e.g. </w:t>
      </w:r>
      <w:proofErr w:type="spellStart"/>
      <w:r>
        <w:rPr>
          <w:lang w:val="en-GB"/>
        </w:rPr>
        <w:t>Ch</w:t>
      </w:r>
      <w:proofErr w:type="spellEnd"/>
      <w:r>
        <w:rPr>
          <w:lang w:val="en-GB"/>
        </w:rPr>
        <w:t xml:space="preserve"> Busch et al. </w:t>
      </w:r>
      <w:r w:rsidRPr="0002127B">
        <w:rPr>
          <w:lang w:val="nl-NL"/>
        </w:rPr>
        <w:t>(</w:t>
      </w:r>
      <w:proofErr w:type="gramStart"/>
      <w:r w:rsidRPr="0002127B">
        <w:rPr>
          <w:lang w:val="nl-NL"/>
        </w:rPr>
        <w:t>fn</w:t>
      </w:r>
      <w:proofErr w:type="gramEnd"/>
      <w:r w:rsidRPr="0002127B">
        <w:rPr>
          <w:lang w:val="nl-NL"/>
        </w:rPr>
        <w:t xml:space="preserve"> 4</w:t>
      </w:r>
      <w:r w:rsidR="00496B36">
        <w:rPr>
          <w:lang w:val="nl-NL"/>
        </w:rPr>
        <w:t>7</w:t>
      </w:r>
      <w:r w:rsidRPr="0002127B">
        <w:rPr>
          <w:lang w:val="nl-NL"/>
        </w:rPr>
        <w:t>) 7-8.</w:t>
      </w:r>
    </w:p>
  </w:footnote>
  <w:footnote w:id="53">
    <w:p w:rsidR="00925B1F" w:rsidRPr="0002127B" w:rsidRDefault="00925B1F" w:rsidP="00D61FE8">
      <w:pPr>
        <w:pStyle w:val="FootnoteText"/>
        <w:jc w:val="both"/>
        <w:rPr>
          <w:lang w:val="nl-NL"/>
        </w:rPr>
      </w:pPr>
      <w:r>
        <w:rPr>
          <w:rStyle w:val="FootnoteReference"/>
        </w:rPr>
        <w:footnoteRef/>
      </w:r>
      <w:r w:rsidRPr="0002127B">
        <w:rPr>
          <w:lang w:val="nl-NL"/>
        </w:rPr>
        <w:t xml:space="preserve"> See e.g. B Duivenvoorde (2013) (fn 3) 75-76.</w:t>
      </w:r>
    </w:p>
  </w:footnote>
  <w:footnote w:id="54">
    <w:p w:rsidR="00C95877" w:rsidRPr="0002127B" w:rsidRDefault="00C95877" w:rsidP="00D61FE8">
      <w:pPr>
        <w:pStyle w:val="FootnoteText"/>
        <w:jc w:val="both"/>
        <w:rPr>
          <w:lang w:val="nl-NL"/>
        </w:rPr>
      </w:pPr>
      <w:r>
        <w:rPr>
          <w:rStyle w:val="FootnoteReference"/>
        </w:rPr>
        <w:footnoteRef/>
      </w:r>
      <w:r w:rsidRPr="0002127B">
        <w:rPr>
          <w:lang w:val="nl-NL"/>
        </w:rPr>
        <w:t xml:space="preserve"> See e.g. L Berg (fn </w:t>
      </w:r>
      <w:r w:rsidR="002C5FDF">
        <w:rPr>
          <w:lang w:val="nl-NL"/>
        </w:rPr>
        <w:t>40</w:t>
      </w:r>
      <w:r w:rsidRPr="0002127B">
        <w:rPr>
          <w:lang w:val="nl-NL"/>
        </w:rPr>
        <w:t>) 292</w:t>
      </w:r>
      <w:r w:rsidR="006A2103" w:rsidRPr="0002127B">
        <w:rPr>
          <w:lang w:val="nl-NL"/>
        </w:rPr>
        <w:t>; B Duivenvoorde (2013) (fn 3) 74</w:t>
      </w:r>
      <w:r w:rsidR="00925B1F" w:rsidRPr="0002127B">
        <w:rPr>
          <w:lang w:val="nl-NL"/>
        </w:rPr>
        <w:t>-75</w:t>
      </w:r>
      <w:r w:rsidRPr="0002127B">
        <w:rPr>
          <w:lang w:val="nl-NL"/>
        </w:rPr>
        <w:t>.</w:t>
      </w:r>
    </w:p>
  </w:footnote>
  <w:footnote w:id="55">
    <w:p w:rsidR="00C95877" w:rsidRPr="002D5071" w:rsidRDefault="00C95877" w:rsidP="00D61FE8">
      <w:pPr>
        <w:pStyle w:val="FootnoteText"/>
        <w:jc w:val="both"/>
        <w:rPr>
          <w:lang w:val="en-GB"/>
        </w:rPr>
      </w:pPr>
      <w:r>
        <w:rPr>
          <w:rStyle w:val="FootnoteReference"/>
        </w:rPr>
        <w:footnoteRef/>
      </w:r>
      <w:r>
        <w:t xml:space="preserve"> K </w:t>
      </w:r>
      <w:proofErr w:type="spellStart"/>
      <w:r>
        <w:rPr>
          <w:lang w:val="en-GB"/>
        </w:rPr>
        <w:t>Vojvodic</w:t>
      </w:r>
      <w:proofErr w:type="spellEnd"/>
      <w:r>
        <w:rPr>
          <w:lang w:val="en-GB"/>
        </w:rPr>
        <w:t xml:space="preserve">, ‘Understanding the Senior Travel Market: A Review’ (2015) 3 </w:t>
      </w:r>
      <w:r>
        <w:rPr>
          <w:i/>
          <w:lang w:val="en-GB"/>
        </w:rPr>
        <w:t>Tourism in Southern and Eastern Europe</w:t>
      </w:r>
      <w:r>
        <w:rPr>
          <w:lang w:val="en-GB"/>
        </w:rPr>
        <w:t xml:space="preserve"> 479-488.</w:t>
      </w:r>
    </w:p>
  </w:footnote>
  <w:footnote w:id="56">
    <w:p w:rsidR="008D28A5" w:rsidRPr="008D28A5" w:rsidRDefault="008D28A5" w:rsidP="00D61FE8">
      <w:pPr>
        <w:pStyle w:val="FootnoteText"/>
        <w:jc w:val="both"/>
        <w:rPr>
          <w:lang w:val="en-GB"/>
        </w:rPr>
      </w:pPr>
      <w:r>
        <w:rPr>
          <w:rStyle w:val="FootnoteReference"/>
        </w:rPr>
        <w:footnoteRef/>
      </w:r>
      <w:r>
        <w:t xml:space="preserve"> </w:t>
      </w:r>
      <w:r>
        <w:rPr>
          <w:lang w:val="en-GB"/>
        </w:rPr>
        <w:t>See Article 17 para 1 of the Directive 2015/2302.</w:t>
      </w:r>
    </w:p>
  </w:footnote>
  <w:footnote w:id="57">
    <w:p w:rsidR="00C95877" w:rsidRPr="00832D14" w:rsidRDefault="00C95877" w:rsidP="00D61FE8">
      <w:pPr>
        <w:pStyle w:val="FootnoteText"/>
        <w:jc w:val="both"/>
        <w:rPr>
          <w:lang w:val="en-GB"/>
        </w:rPr>
      </w:pPr>
      <w:r>
        <w:rPr>
          <w:rStyle w:val="FootnoteReference"/>
        </w:rPr>
        <w:footnoteRef/>
      </w:r>
      <w:r>
        <w:t xml:space="preserve"> </w:t>
      </w:r>
      <w:r>
        <w:rPr>
          <w:lang w:val="en-GB"/>
        </w:rPr>
        <w:t>See e.g. L Berg (</w:t>
      </w:r>
      <w:proofErr w:type="spellStart"/>
      <w:proofErr w:type="gramStart"/>
      <w:r>
        <w:rPr>
          <w:lang w:val="en-GB"/>
        </w:rPr>
        <w:t>fn</w:t>
      </w:r>
      <w:proofErr w:type="spellEnd"/>
      <w:proofErr w:type="gramEnd"/>
      <w:r>
        <w:rPr>
          <w:lang w:val="en-GB"/>
        </w:rPr>
        <w:t xml:space="preserve"> </w:t>
      </w:r>
      <w:r w:rsidR="002C5FDF">
        <w:rPr>
          <w:lang w:val="en-GB"/>
        </w:rPr>
        <w:t>40</w:t>
      </w:r>
      <w:r>
        <w:rPr>
          <w:lang w:val="en-GB"/>
        </w:rPr>
        <w:t>) 286 on elderly consumers getting frustrated while trying to use smartphones.</w:t>
      </w:r>
    </w:p>
  </w:footnote>
  <w:footnote w:id="58">
    <w:p w:rsidR="00C95877" w:rsidRPr="00173E9E" w:rsidRDefault="00C95877" w:rsidP="00D61FE8">
      <w:pPr>
        <w:pStyle w:val="FootnoteText"/>
        <w:jc w:val="both"/>
        <w:rPr>
          <w:lang w:val="en-GB"/>
        </w:rPr>
      </w:pPr>
      <w:r>
        <w:rPr>
          <w:rStyle w:val="FootnoteReference"/>
        </w:rPr>
        <w:footnoteRef/>
      </w:r>
      <w:r>
        <w:t xml:space="preserve"> See e.g. J Lee &amp; H </w:t>
      </w:r>
      <w:proofErr w:type="spellStart"/>
      <w:r>
        <w:t>Soberon</w:t>
      </w:r>
      <w:proofErr w:type="spellEnd"/>
      <w:r>
        <w:t xml:space="preserve">-Ferrer, ‘Consumer Vulnerability to Fraud: Influencing Factors’ (1997) 31 </w:t>
      </w:r>
      <w:r>
        <w:rPr>
          <w:i/>
        </w:rPr>
        <w:t>The Journal of Consumer Affairs</w:t>
      </w:r>
      <w:r>
        <w:t xml:space="preserve"> 70-74; C Cohen, ‘Conmen and Confusion: Consumer Fraud and Vulnerable Older People in the Community’ (1998) 46 </w:t>
      </w:r>
      <w:r>
        <w:rPr>
          <w:i/>
        </w:rPr>
        <w:t>Journal of the American Geriatrics Society</w:t>
      </w:r>
      <w:r>
        <w:t xml:space="preserve"> 118; K Cowart &amp; P Drake, ‘Targeting Miss Daisy: Using age and gender to target unethical sales tactics’ (2013) 25 </w:t>
      </w:r>
      <w:r>
        <w:rPr>
          <w:i/>
        </w:rPr>
        <w:t>Marketing Letters</w:t>
      </w:r>
      <w:r>
        <w:t xml:space="preserve"> 69</w:t>
      </w:r>
      <w:r w:rsidR="00925B1F">
        <w:t xml:space="preserve">; </w:t>
      </w:r>
      <w:r w:rsidR="00925B1F">
        <w:rPr>
          <w:lang w:val="en-GB"/>
        </w:rPr>
        <w:t xml:space="preserve">B </w:t>
      </w:r>
      <w:proofErr w:type="spellStart"/>
      <w:r w:rsidR="00925B1F">
        <w:rPr>
          <w:lang w:val="en-GB"/>
        </w:rPr>
        <w:t>Duivenvoorde</w:t>
      </w:r>
      <w:proofErr w:type="spellEnd"/>
      <w:r w:rsidR="00925B1F">
        <w:rPr>
          <w:lang w:val="en-GB"/>
        </w:rPr>
        <w:t xml:space="preserve"> (2013) (</w:t>
      </w:r>
      <w:proofErr w:type="spellStart"/>
      <w:r w:rsidR="00925B1F">
        <w:rPr>
          <w:lang w:val="en-GB"/>
        </w:rPr>
        <w:t>fn</w:t>
      </w:r>
      <w:proofErr w:type="spellEnd"/>
      <w:r w:rsidR="00925B1F">
        <w:rPr>
          <w:lang w:val="en-GB"/>
        </w:rPr>
        <w:t xml:space="preserve"> 3) 76</w:t>
      </w:r>
      <w:r>
        <w:t>.</w:t>
      </w:r>
    </w:p>
  </w:footnote>
  <w:footnote w:id="59">
    <w:p w:rsidR="00C95877" w:rsidRPr="00445BEA" w:rsidRDefault="00C95877" w:rsidP="00D61FE8">
      <w:pPr>
        <w:pStyle w:val="FootnoteText"/>
        <w:jc w:val="both"/>
        <w:rPr>
          <w:lang w:val="en-GB"/>
        </w:rPr>
      </w:pPr>
      <w:r>
        <w:rPr>
          <w:rStyle w:val="FootnoteReference"/>
        </w:rPr>
        <w:footnoteRef/>
      </w:r>
      <w:r>
        <w:t xml:space="preserve"> </w:t>
      </w:r>
      <w:r>
        <w:rPr>
          <w:lang w:val="en-GB"/>
        </w:rPr>
        <w:t xml:space="preserve">See e.g. </w:t>
      </w:r>
      <w:r>
        <w:t>K Cowart &amp; P Drake (</w:t>
      </w:r>
      <w:proofErr w:type="spellStart"/>
      <w:r>
        <w:t>fn</w:t>
      </w:r>
      <w:proofErr w:type="spellEnd"/>
      <w:r>
        <w:t xml:space="preserve"> </w:t>
      </w:r>
      <w:r w:rsidR="0005444B">
        <w:t>5</w:t>
      </w:r>
      <w:r w:rsidR="00496B36">
        <w:t>8</w:t>
      </w:r>
      <w:r>
        <w:t xml:space="preserve">) 73; S </w:t>
      </w:r>
      <w:proofErr w:type="spellStart"/>
      <w:r>
        <w:t>Scheibe</w:t>
      </w:r>
      <w:proofErr w:type="spellEnd"/>
      <w:r>
        <w:t xml:space="preserve"> et al., ‘Forewarning Reduces Fraud Susceptibility in Vulnerable Consumers’ (2014) </w:t>
      </w:r>
      <w:r>
        <w:rPr>
          <w:i/>
        </w:rPr>
        <w:t>Basic and Applied Social Psychology</w:t>
      </w:r>
      <w:r>
        <w:t xml:space="preserve"> 272-279.</w:t>
      </w:r>
    </w:p>
  </w:footnote>
  <w:footnote w:id="60">
    <w:p w:rsidR="00C95877" w:rsidRPr="0002127B" w:rsidRDefault="00C95877" w:rsidP="00D61FE8">
      <w:pPr>
        <w:pStyle w:val="FootnoteText"/>
        <w:jc w:val="both"/>
        <w:rPr>
          <w:lang w:val="nl-NL"/>
        </w:rPr>
      </w:pPr>
      <w:r>
        <w:rPr>
          <w:rStyle w:val="FootnoteReference"/>
        </w:rPr>
        <w:footnoteRef/>
      </w:r>
      <w:r w:rsidRPr="0002127B">
        <w:rPr>
          <w:lang w:val="nl-NL"/>
        </w:rPr>
        <w:t xml:space="preserve"> K Cowart &amp; P Drake (fn </w:t>
      </w:r>
      <w:r w:rsidR="0005444B" w:rsidRPr="0002127B">
        <w:rPr>
          <w:lang w:val="nl-NL"/>
        </w:rPr>
        <w:t>5</w:t>
      </w:r>
      <w:r w:rsidR="00496B36">
        <w:rPr>
          <w:lang w:val="nl-NL"/>
        </w:rPr>
        <w:t>8</w:t>
      </w:r>
      <w:r w:rsidRPr="0002127B">
        <w:rPr>
          <w:lang w:val="nl-NL"/>
        </w:rPr>
        <w:t>) 73.</w:t>
      </w:r>
    </w:p>
  </w:footnote>
  <w:footnote w:id="61">
    <w:p w:rsidR="001E728D" w:rsidRPr="001E728D" w:rsidRDefault="001E728D" w:rsidP="00D61FE8">
      <w:pPr>
        <w:pStyle w:val="FootnoteText"/>
        <w:jc w:val="both"/>
        <w:rPr>
          <w:lang w:val="nl-NL"/>
        </w:rPr>
      </w:pPr>
      <w:r>
        <w:rPr>
          <w:rStyle w:val="FootnoteReference"/>
        </w:rPr>
        <w:footnoteRef/>
      </w:r>
      <w:r>
        <w:t xml:space="preserve"> </w:t>
      </w:r>
      <w:r>
        <w:rPr>
          <w:lang w:val="nl-NL"/>
        </w:rPr>
        <w:t>See European Commission (fn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344"/>
    <w:multiLevelType w:val="hybridMultilevel"/>
    <w:tmpl w:val="4BC098F6"/>
    <w:lvl w:ilvl="0" w:tplc="08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41"/>
    <w:rsid w:val="00003CF2"/>
    <w:rsid w:val="0000448F"/>
    <w:rsid w:val="000049E4"/>
    <w:rsid w:val="00012E67"/>
    <w:rsid w:val="000130F6"/>
    <w:rsid w:val="00013994"/>
    <w:rsid w:val="00017739"/>
    <w:rsid w:val="0002127B"/>
    <w:rsid w:val="00034832"/>
    <w:rsid w:val="000363C4"/>
    <w:rsid w:val="000376A0"/>
    <w:rsid w:val="00040576"/>
    <w:rsid w:val="000416C7"/>
    <w:rsid w:val="00041732"/>
    <w:rsid w:val="00044EA4"/>
    <w:rsid w:val="00050C1C"/>
    <w:rsid w:val="0005444B"/>
    <w:rsid w:val="000565C0"/>
    <w:rsid w:val="00057203"/>
    <w:rsid w:val="00060A87"/>
    <w:rsid w:val="00061649"/>
    <w:rsid w:val="00061B1E"/>
    <w:rsid w:val="00076FC4"/>
    <w:rsid w:val="00080B32"/>
    <w:rsid w:val="00080DF6"/>
    <w:rsid w:val="00084A73"/>
    <w:rsid w:val="000852DA"/>
    <w:rsid w:val="000875BF"/>
    <w:rsid w:val="00091179"/>
    <w:rsid w:val="000938D0"/>
    <w:rsid w:val="00097930"/>
    <w:rsid w:val="000A080B"/>
    <w:rsid w:val="000A6F10"/>
    <w:rsid w:val="000B209C"/>
    <w:rsid w:val="000B4120"/>
    <w:rsid w:val="000B426E"/>
    <w:rsid w:val="000B566D"/>
    <w:rsid w:val="000E5A78"/>
    <w:rsid w:val="000E7666"/>
    <w:rsid w:val="000E7DE5"/>
    <w:rsid w:val="000F274E"/>
    <w:rsid w:val="000F6499"/>
    <w:rsid w:val="000F7B9F"/>
    <w:rsid w:val="001064AB"/>
    <w:rsid w:val="00106A29"/>
    <w:rsid w:val="00117449"/>
    <w:rsid w:val="0012377E"/>
    <w:rsid w:val="00123C4B"/>
    <w:rsid w:val="00131958"/>
    <w:rsid w:val="00131D87"/>
    <w:rsid w:val="001356CD"/>
    <w:rsid w:val="00137DB4"/>
    <w:rsid w:val="00142003"/>
    <w:rsid w:val="00142039"/>
    <w:rsid w:val="001451CF"/>
    <w:rsid w:val="00151E5E"/>
    <w:rsid w:val="00153A96"/>
    <w:rsid w:val="001558FA"/>
    <w:rsid w:val="00165757"/>
    <w:rsid w:val="0016596B"/>
    <w:rsid w:val="00172557"/>
    <w:rsid w:val="00172C79"/>
    <w:rsid w:val="00173E9E"/>
    <w:rsid w:val="0017618E"/>
    <w:rsid w:val="001804F0"/>
    <w:rsid w:val="00182543"/>
    <w:rsid w:val="00182E9D"/>
    <w:rsid w:val="001837D5"/>
    <w:rsid w:val="001843D8"/>
    <w:rsid w:val="00184655"/>
    <w:rsid w:val="00187A9E"/>
    <w:rsid w:val="00191429"/>
    <w:rsid w:val="00193884"/>
    <w:rsid w:val="00197355"/>
    <w:rsid w:val="001A08EF"/>
    <w:rsid w:val="001A3FB1"/>
    <w:rsid w:val="001A427C"/>
    <w:rsid w:val="001A5287"/>
    <w:rsid w:val="001A5559"/>
    <w:rsid w:val="001C3B1B"/>
    <w:rsid w:val="001C5062"/>
    <w:rsid w:val="001C6778"/>
    <w:rsid w:val="001D09B0"/>
    <w:rsid w:val="001D1DCB"/>
    <w:rsid w:val="001D3F03"/>
    <w:rsid w:val="001D4589"/>
    <w:rsid w:val="001D4867"/>
    <w:rsid w:val="001E6CB7"/>
    <w:rsid w:val="001E6F86"/>
    <w:rsid w:val="001E728D"/>
    <w:rsid w:val="001E782C"/>
    <w:rsid w:val="001E7A03"/>
    <w:rsid w:val="001F3D6E"/>
    <w:rsid w:val="001F587C"/>
    <w:rsid w:val="001F7798"/>
    <w:rsid w:val="0020401D"/>
    <w:rsid w:val="00204685"/>
    <w:rsid w:val="00205AC6"/>
    <w:rsid w:val="00206993"/>
    <w:rsid w:val="00212C33"/>
    <w:rsid w:val="002208C0"/>
    <w:rsid w:val="002432F0"/>
    <w:rsid w:val="002446D7"/>
    <w:rsid w:val="002545CE"/>
    <w:rsid w:val="00256F25"/>
    <w:rsid w:val="002601D8"/>
    <w:rsid w:val="00263C05"/>
    <w:rsid w:val="002712CD"/>
    <w:rsid w:val="002736A4"/>
    <w:rsid w:val="00281A5D"/>
    <w:rsid w:val="0029108B"/>
    <w:rsid w:val="00292FBA"/>
    <w:rsid w:val="002A6E77"/>
    <w:rsid w:val="002B0AA8"/>
    <w:rsid w:val="002B21A1"/>
    <w:rsid w:val="002B52D6"/>
    <w:rsid w:val="002B5979"/>
    <w:rsid w:val="002B76BA"/>
    <w:rsid w:val="002C2669"/>
    <w:rsid w:val="002C5FDF"/>
    <w:rsid w:val="002D5071"/>
    <w:rsid w:val="002E080C"/>
    <w:rsid w:val="002E3464"/>
    <w:rsid w:val="002F5D47"/>
    <w:rsid w:val="002F7D65"/>
    <w:rsid w:val="0030135C"/>
    <w:rsid w:val="00311DB1"/>
    <w:rsid w:val="003158BC"/>
    <w:rsid w:val="00316FF9"/>
    <w:rsid w:val="00323EA1"/>
    <w:rsid w:val="003379F3"/>
    <w:rsid w:val="003406F6"/>
    <w:rsid w:val="00354207"/>
    <w:rsid w:val="00356D06"/>
    <w:rsid w:val="00372E7A"/>
    <w:rsid w:val="0037453E"/>
    <w:rsid w:val="00376246"/>
    <w:rsid w:val="003832E8"/>
    <w:rsid w:val="00387DC9"/>
    <w:rsid w:val="00390D6F"/>
    <w:rsid w:val="003921E8"/>
    <w:rsid w:val="00392E81"/>
    <w:rsid w:val="00393591"/>
    <w:rsid w:val="003B2A3C"/>
    <w:rsid w:val="003B2F70"/>
    <w:rsid w:val="003B5B63"/>
    <w:rsid w:val="003C1A95"/>
    <w:rsid w:val="003C625E"/>
    <w:rsid w:val="003C6F68"/>
    <w:rsid w:val="003D5906"/>
    <w:rsid w:val="003E03D0"/>
    <w:rsid w:val="003E076D"/>
    <w:rsid w:val="003E1E6B"/>
    <w:rsid w:val="003E3F60"/>
    <w:rsid w:val="003F3C9E"/>
    <w:rsid w:val="003F4A4F"/>
    <w:rsid w:val="003F4D9E"/>
    <w:rsid w:val="003F57B0"/>
    <w:rsid w:val="003F7747"/>
    <w:rsid w:val="00400405"/>
    <w:rsid w:val="00402FBF"/>
    <w:rsid w:val="0040339C"/>
    <w:rsid w:val="0040609B"/>
    <w:rsid w:val="0040652F"/>
    <w:rsid w:val="0040654A"/>
    <w:rsid w:val="00422ABE"/>
    <w:rsid w:val="00424D36"/>
    <w:rsid w:val="004253B4"/>
    <w:rsid w:val="00426144"/>
    <w:rsid w:val="0042662E"/>
    <w:rsid w:val="004300FC"/>
    <w:rsid w:val="00430838"/>
    <w:rsid w:val="00431CB9"/>
    <w:rsid w:val="0043307E"/>
    <w:rsid w:val="00445BEA"/>
    <w:rsid w:val="00446745"/>
    <w:rsid w:val="0045230A"/>
    <w:rsid w:val="00453033"/>
    <w:rsid w:val="004553C9"/>
    <w:rsid w:val="004608F6"/>
    <w:rsid w:val="00463C26"/>
    <w:rsid w:val="004656A8"/>
    <w:rsid w:val="00465B0C"/>
    <w:rsid w:val="00475C11"/>
    <w:rsid w:val="00481057"/>
    <w:rsid w:val="00483554"/>
    <w:rsid w:val="00483603"/>
    <w:rsid w:val="00487868"/>
    <w:rsid w:val="00491A03"/>
    <w:rsid w:val="0049537B"/>
    <w:rsid w:val="00496B36"/>
    <w:rsid w:val="004A5892"/>
    <w:rsid w:val="004B06FB"/>
    <w:rsid w:val="004B3CDA"/>
    <w:rsid w:val="004C6390"/>
    <w:rsid w:val="004D24C3"/>
    <w:rsid w:val="004E097A"/>
    <w:rsid w:val="004E30DE"/>
    <w:rsid w:val="004F3623"/>
    <w:rsid w:val="00500816"/>
    <w:rsid w:val="0050097F"/>
    <w:rsid w:val="00501E2E"/>
    <w:rsid w:val="005023E2"/>
    <w:rsid w:val="00503B02"/>
    <w:rsid w:val="00504F26"/>
    <w:rsid w:val="00505E76"/>
    <w:rsid w:val="005060B0"/>
    <w:rsid w:val="00515249"/>
    <w:rsid w:val="005201BD"/>
    <w:rsid w:val="00522F42"/>
    <w:rsid w:val="005237FB"/>
    <w:rsid w:val="00523E1B"/>
    <w:rsid w:val="00524765"/>
    <w:rsid w:val="00526D38"/>
    <w:rsid w:val="00526FDD"/>
    <w:rsid w:val="00534E66"/>
    <w:rsid w:val="00537F14"/>
    <w:rsid w:val="00544154"/>
    <w:rsid w:val="0054516D"/>
    <w:rsid w:val="00550745"/>
    <w:rsid w:val="005528B7"/>
    <w:rsid w:val="00553B96"/>
    <w:rsid w:val="00556394"/>
    <w:rsid w:val="00561FD8"/>
    <w:rsid w:val="0056363B"/>
    <w:rsid w:val="00564399"/>
    <w:rsid w:val="0057090B"/>
    <w:rsid w:val="005714C9"/>
    <w:rsid w:val="00582AA2"/>
    <w:rsid w:val="005839DE"/>
    <w:rsid w:val="00585E6C"/>
    <w:rsid w:val="00596606"/>
    <w:rsid w:val="00596A7D"/>
    <w:rsid w:val="005976BC"/>
    <w:rsid w:val="005A029C"/>
    <w:rsid w:val="005A0A40"/>
    <w:rsid w:val="005A16DF"/>
    <w:rsid w:val="005A1DBB"/>
    <w:rsid w:val="005A3BCB"/>
    <w:rsid w:val="005A3C41"/>
    <w:rsid w:val="005A6BB4"/>
    <w:rsid w:val="005B1539"/>
    <w:rsid w:val="005B4373"/>
    <w:rsid w:val="005C207A"/>
    <w:rsid w:val="005D03E5"/>
    <w:rsid w:val="005E293D"/>
    <w:rsid w:val="005E3551"/>
    <w:rsid w:val="005E59E3"/>
    <w:rsid w:val="005F2BFD"/>
    <w:rsid w:val="00602273"/>
    <w:rsid w:val="00604F0A"/>
    <w:rsid w:val="006101DE"/>
    <w:rsid w:val="006115E3"/>
    <w:rsid w:val="00612BBC"/>
    <w:rsid w:val="00620ACE"/>
    <w:rsid w:val="00621D9F"/>
    <w:rsid w:val="006235F5"/>
    <w:rsid w:val="00627700"/>
    <w:rsid w:val="00633D4D"/>
    <w:rsid w:val="00642905"/>
    <w:rsid w:val="00644206"/>
    <w:rsid w:val="00646E2E"/>
    <w:rsid w:val="00647D2E"/>
    <w:rsid w:val="006538DE"/>
    <w:rsid w:val="0066217A"/>
    <w:rsid w:val="006721E3"/>
    <w:rsid w:val="006775B7"/>
    <w:rsid w:val="00685D5F"/>
    <w:rsid w:val="00690EF1"/>
    <w:rsid w:val="006936FE"/>
    <w:rsid w:val="006967B7"/>
    <w:rsid w:val="006A0D0B"/>
    <w:rsid w:val="006A2103"/>
    <w:rsid w:val="006A2A02"/>
    <w:rsid w:val="006A3E3B"/>
    <w:rsid w:val="006B525B"/>
    <w:rsid w:val="006B561F"/>
    <w:rsid w:val="006B6ED9"/>
    <w:rsid w:val="006C170C"/>
    <w:rsid w:val="006C4911"/>
    <w:rsid w:val="006C66FD"/>
    <w:rsid w:val="006C7497"/>
    <w:rsid w:val="006E26E2"/>
    <w:rsid w:val="006E3362"/>
    <w:rsid w:val="006E7354"/>
    <w:rsid w:val="006E7938"/>
    <w:rsid w:val="006F1233"/>
    <w:rsid w:val="006F12B1"/>
    <w:rsid w:val="006F21D7"/>
    <w:rsid w:val="006F4E9E"/>
    <w:rsid w:val="006F68FA"/>
    <w:rsid w:val="007076F7"/>
    <w:rsid w:val="00707CD8"/>
    <w:rsid w:val="00713EDD"/>
    <w:rsid w:val="00723D05"/>
    <w:rsid w:val="00732F43"/>
    <w:rsid w:val="007374F9"/>
    <w:rsid w:val="00740439"/>
    <w:rsid w:val="00744761"/>
    <w:rsid w:val="00750023"/>
    <w:rsid w:val="00752A59"/>
    <w:rsid w:val="00753E5C"/>
    <w:rsid w:val="00761F65"/>
    <w:rsid w:val="00772FCF"/>
    <w:rsid w:val="007759DC"/>
    <w:rsid w:val="0078038F"/>
    <w:rsid w:val="0078197E"/>
    <w:rsid w:val="00786DFF"/>
    <w:rsid w:val="00792C7D"/>
    <w:rsid w:val="0079530B"/>
    <w:rsid w:val="007A2376"/>
    <w:rsid w:val="007A2E3B"/>
    <w:rsid w:val="007B3D6D"/>
    <w:rsid w:val="007B7111"/>
    <w:rsid w:val="007C28B0"/>
    <w:rsid w:val="007C6889"/>
    <w:rsid w:val="007D078B"/>
    <w:rsid w:val="007D0B93"/>
    <w:rsid w:val="007D6312"/>
    <w:rsid w:val="007D6FF0"/>
    <w:rsid w:val="007E005A"/>
    <w:rsid w:val="007E00D3"/>
    <w:rsid w:val="007E4BE5"/>
    <w:rsid w:val="007E7714"/>
    <w:rsid w:val="007E7F17"/>
    <w:rsid w:val="007F09BB"/>
    <w:rsid w:val="007F2AFC"/>
    <w:rsid w:val="007F7161"/>
    <w:rsid w:val="00806EE3"/>
    <w:rsid w:val="00814350"/>
    <w:rsid w:val="0081702A"/>
    <w:rsid w:val="008203CC"/>
    <w:rsid w:val="00820C57"/>
    <w:rsid w:val="0082461B"/>
    <w:rsid w:val="00824AA4"/>
    <w:rsid w:val="00825FC6"/>
    <w:rsid w:val="00826524"/>
    <w:rsid w:val="00832D14"/>
    <w:rsid w:val="00834064"/>
    <w:rsid w:val="00834E33"/>
    <w:rsid w:val="008356E6"/>
    <w:rsid w:val="00837A5C"/>
    <w:rsid w:val="008405A9"/>
    <w:rsid w:val="00840C4F"/>
    <w:rsid w:val="00842148"/>
    <w:rsid w:val="00842929"/>
    <w:rsid w:val="00843814"/>
    <w:rsid w:val="008500A5"/>
    <w:rsid w:val="008527D1"/>
    <w:rsid w:val="0085686D"/>
    <w:rsid w:val="0085711E"/>
    <w:rsid w:val="0087150D"/>
    <w:rsid w:val="00871BEB"/>
    <w:rsid w:val="008724B4"/>
    <w:rsid w:val="008767CE"/>
    <w:rsid w:val="00877B82"/>
    <w:rsid w:val="008810AE"/>
    <w:rsid w:val="008833C8"/>
    <w:rsid w:val="0088746E"/>
    <w:rsid w:val="00892ABB"/>
    <w:rsid w:val="00892E57"/>
    <w:rsid w:val="00894034"/>
    <w:rsid w:val="008A00BE"/>
    <w:rsid w:val="008A40F6"/>
    <w:rsid w:val="008A6EF2"/>
    <w:rsid w:val="008B15A7"/>
    <w:rsid w:val="008C3A0C"/>
    <w:rsid w:val="008C7382"/>
    <w:rsid w:val="008D23E7"/>
    <w:rsid w:val="008D28A5"/>
    <w:rsid w:val="008D37B3"/>
    <w:rsid w:val="008E4100"/>
    <w:rsid w:val="008E48CC"/>
    <w:rsid w:val="008F0741"/>
    <w:rsid w:val="008F13BC"/>
    <w:rsid w:val="008F2426"/>
    <w:rsid w:val="008F2F28"/>
    <w:rsid w:val="008F4AB0"/>
    <w:rsid w:val="008F5531"/>
    <w:rsid w:val="008F5D16"/>
    <w:rsid w:val="00900893"/>
    <w:rsid w:val="00901831"/>
    <w:rsid w:val="0090354D"/>
    <w:rsid w:val="0090567E"/>
    <w:rsid w:val="00910DB3"/>
    <w:rsid w:val="00910FA4"/>
    <w:rsid w:val="00923621"/>
    <w:rsid w:val="00925B1F"/>
    <w:rsid w:val="00932184"/>
    <w:rsid w:val="00934179"/>
    <w:rsid w:val="00935CC1"/>
    <w:rsid w:val="0094003D"/>
    <w:rsid w:val="00940FFA"/>
    <w:rsid w:val="009418EB"/>
    <w:rsid w:val="009438AA"/>
    <w:rsid w:val="00944FB5"/>
    <w:rsid w:val="0096130B"/>
    <w:rsid w:val="00964260"/>
    <w:rsid w:val="009668FB"/>
    <w:rsid w:val="00971AE7"/>
    <w:rsid w:val="00971DC2"/>
    <w:rsid w:val="00972E0F"/>
    <w:rsid w:val="00977A65"/>
    <w:rsid w:val="0098670A"/>
    <w:rsid w:val="009922A3"/>
    <w:rsid w:val="009938BE"/>
    <w:rsid w:val="00995F57"/>
    <w:rsid w:val="009A2B5B"/>
    <w:rsid w:val="009A2DAE"/>
    <w:rsid w:val="009A52DA"/>
    <w:rsid w:val="009A70D5"/>
    <w:rsid w:val="009B621E"/>
    <w:rsid w:val="009C73E3"/>
    <w:rsid w:val="009D14F3"/>
    <w:rsid w:val="009E51D6"/>
    <w:rsid w:val="009E550D"/>
    <w:rsid w:val="009E6FFB"/>
    <w:rsid w:val="009F6F5D"/>
    <w:rsid w:val="00A01CA4"/>
    <w:rsid w:val="00A01D2C"/>
    <w:rsid w:val="00A027E9"/>
    <w:rsid w:val="00A07A98"/>
    <w:rsid w:val="00A152B7"/>
    <w:rsid w:val="00A22161"/>
    <w:rsid w:val="00A23942"/>
    <w:rsid w:val="00A27B87"/>
    <w:rsid w:val="00A34A8C"/>
    <w:rsid w:val="00A35B76"/>
    <w:rsid w:val="00A3727F"/>
    <w:rsid w:val="00A409FE"/>
    <w:rsid w:val="00A46DF7"/>
    <w:rsid w:val="00A4735A"/>
    <w:rsid w:val="00A47748"/>
    <w:rsid w:val="00A5718E"/>
    <w:rsid w:val="00A71604"/>
    <w:rsid w:val="00A83D73"/>
    <w:rsid w:val="00A84ACD"/>
    <w:rsid w:val="00A8609F"/>
    <w:rsid w:val="00A902D6"/>
    <w:rsid w:val="00A94410"/>
    <w:rsid w:val="00AA12A6"/>
    <w:rsid w:val="00AA1BB6"/>
    <w:rsid w:val="00AA59C2"/>
    <w:rsid w:val="00AB3994"/>
    <w:rsid w:val="00AB79E0"/>
    <w:rsid w:val="00AC02CF"/>
    <w:rsid w:val="00AC101D"/>
    <w:rsid w:val="00AC23E4"/>
    <w:rsid w:val="00AD149F"/>
    <w:rsid w:val="00AD3A4B"/>
    <w:rsid w:val="00AD4ABF"/>
    <w:rsid w:val="00AD667E"/>
    <w:rsid w:val="00AE0F7A"/>
    <w:rsid w:val="00AF032F"/>
    <w:rsid w:val="00AF0527"/>
    <w:rsid w:val="00AF1BF5"/>
    <w:rsid w:val="00B029D0"/>
    <w:rsid w:val="00B0528F"/>
    <w:rsid w:val="00B06978"/>
    <w:rsid w:val="00B17647"/>
    <w:rsid w:val="00B17D9F"/>
    <w:rsid w:val="00B226C3"/>
    <w:rsid w:val="00B26A40"/>
    <w:rsid w:val="00B27655"/>
    <w:rsid w:val="00B345F9"/>
    <w:rsid w:val="00B34690"/>
    <w:rsid w:val="00B37883"/>
    <w:rsid w:val="00B378C2"/>
    <w:rsid w:val="00B40AD5"/>
    <w:rsid w:val="00B41B1B"/>
    <w:rsid w:val="00B44FD3"/>
    <w:rsid w:val="00B5275E"/>
    <w:rsid w:val="00B5315F"/>
    <w:rsid w:val="00B61BE1"/>
    <w:rsid w:val="00B64FFA"/>
    <w:rsid w:val="00B66321"/>
    <w:rsid w:val="00B745B2"/>
    <w:rsid w:val="00B75320"/>
    <w:rsid w:val="00B84166"/>
    <w:rsid w:val="00B8491B"/>
    <w:rsid w:val="00B86CC1"/>
    <w:rsid w:val="00B931E6"/>
    <w:rsid w:val="00B935B6"/>
    <w:rsid w:val="00B94689"/>
    <w:rsid w:val="00B95134"/>
    <w:rsid w:val="00B961A2"/>
    <w:rsid w:val="00BA0E16"/>
    <w:rsid w:val="00BA5EBC"/>
    <w:rsid w:val="00BA5F41"/>
    <w:rsid w:val="00BA6EFC"/>
    <w:rsid w:val="00BB0851"/>
    <w:rsid w:val="00BB49DE"/>
    <w:rsid w:val="00BC05CF"/>
    <w:rsid w:val="00BC1CA8"/>
    <w:rsid w:val="00BC357D"/>
    <w:rsid w:val="00BC5D7F"/>
    <w:rsid w:val="00BD19ED"/>
    <w:rsid w:val="00BD329E"/>
    <w:rsid w:val="00BD504E"/>
    <w:rsid w:val="00BD5193"/>
    <w:rsid w:val="00BD5DD0"/>
    <w:rsid w:val="00BE0E0D"/>
    <w:rsid w:val="00BE3462"/>
    <w:rsid w:val="00BE435F"/>
    <w:rsid w:val="00BE70D4"/>
    <w:rsid w:val="00BF0992"/>
    <w:rsid w:val="00BF65B6"/>
    <w:rsid w:val="00BF6881"/>
    <w:rsid w:val="00BF7D9C"/>
    <w:rsid w:val="00C02575"/>
    <w:rsid w:val="00C05DCA"/>
    <w:rsid w:val="00C2527C"/>
    <w:rsid w:val="00C3037F"/>
    <w:rsid w:val="00C303EA"/>
    <w:rsid w:val="00C3141D"/>
    <w:rsid w:val="00C33D10"/>
    <w:rsid w:val="00C34CB2"/>
    <w:rsid w:val="00C36EFA"/>
    <w:rsid w:val="00C37A36"/>
    <w:rsid w:val="00C42579"/>
    <w:rsid w:val="00C44FB8"/>
    <w:rsid w:val="00C500F3"/>
    <w:rsid w:val="00C62F57"/>
    <w:rsid w:val="00C74608"/>
    <w:rsid w:val="00C7583A"/>
    <w:rsid w:val="00C816E6"/>
    <w:rsid w:val="00C91278"/>
    <w:rsid w:val="00C92032"/>
    <w:rsid w:val="00C93640"/>
    <w:rsid w:val="00C95877"/>
    <w:rsid w:val="00C96018"/>
    <w:rsid w:val="00CA6AC5"/>
    <w:rsid w:val="00CA6C28"/>
    <w:rsid w:val="00CB2535"/>
    <w:rsid w:val="00CB283E"/>
    <w:rsid w:val="00CB5EB7"/>
    <w:rsid w:val="00CC147C"/>
    <w:rsid w:val="00CC5912"/>
    <w:rsid w:val="00CE2879"/>
    <w:rsid w:val="00CF0B22"/>
    <w:rsid w:val="00CF1728"/>
    <w:rsid w:val="00CF6AF7"/>
    <w:rsid w:val="00CF7196"/>
    <w:rsid w:val="00D01C56"/>
    <w:rsid w:val="00D074E7"/>
    <w:rsid w:val="00D1170D"/>
    <w:rsid w:val="00D13A6B"/>
    <w:rsid w:val="00D1493F"/>
    <w:rsid w:val="00D153BE"/>
    <w:rsid w:val="00D2090F"/>
    <w:rsid w:val="00D22310"/>
    <w:rsid w:val="00D22BF2"/>
    <w:rsid w:val="00D24F47"/>
    <w:rsid w:val="00D3394E"/>
    <w:rsid w:val="00D42C3C"/>
    <w:rsid w:val="00D51067"/>
    <w:rsid w:val="00D54350"/>
    <w:rsid w:val="00D55E99"/>
    <w:rsid w:val="00D618F9"/>
    <w:rsid w:val="00D61FE8"/>
    <w:rsid w:val="00D622AA"/>
    <w:rsid w:val="00D62C03"/>
    <w:rsid w:val="00D66EBE"/>
    <w:rsid w:val="00D728F6"/>
    <w:rsid w:val="00D72DC9"/>
    <w:rsid w:val="00D862E4"/>
    <w:rsid w:val="00D91912"/>
    <w:rsid w:val="00D91942"/>
    <w:rsid w:val="00D91A40"/>
    <w:rsid w:val="00DA0C26"/>
    <w:rsid w:val="00DA1452"/>
    <w:rsid w:val="00DA6983"/>
    <w:rsid w:val="00DB27F3"/>
    <w:rsid w:val="00DB4696"/>
    <w:rsid w:val="00DB5FD2"/>
    <w:rsid w:val="00DC29CD"/>
    <w:rsid w:val="00DC3934"/>
    <w:rsid w:val="00DC5106"/>
    <w:rsid w:val="00DC57E2"/>
    <w:rsid w:val="00DC57FD"/>
    <w:rsid w:val="00DC6DD8"/>
    <w:rsid w:val="00DD1933"/>
    <w:rsid w:val="00DD4251"/>
    <w:rsid w:val="00DD761C"/>
    <w:rsid w:val="00DE4EF0"/>
    <w:rsid w:val="00DE5D27"/>
    <w:rsid w:val="00DE60C6"/>
    <w:rsid w:val="00DF0E9A"/>
    <w:rsid w:val="00DF133C"/>
    <w:rsid w:val="00DF5A0E"/>
    <w:rsid w:val="00DF5C6F"/>
    <w:rsid w:val="00DF7399"/>
    <w:rsid w:val="00DF752B"/>
    <w:rsid w:val="00E005DB"/>
    <w:rsid w:val="00E0181C"/>
    <w:rsid w:val="00E02043"/>
    <w:rsid w:val="00E07B64"/>
    <w:rsid w:val="00E11703"/>
    <w:rsid w:val="00E12150"/>
    <w:rsid w:val="00E25C1C"/>
    <w:rsid w:val="00E26214"/>
    <w:rsid w:val="00E30D48"/>
    <w:rsid w:val="00E37DD9"/>
    <w:rsid w:val="00E41841"/>
    <w:rsid w:val="00E45DBC"/>
    <w:rsid w:val="00E46189"/>
    <w:rsid w:val="00E5050A"/>
    <w:rsid w:val="00E5549F"/>
    <w:rsid w:val="00E600BB"/>
    <w:rsid w:val="00E63C9B"/>
    <w:rsid w:val="00E67F25"/>
    <w:rsid w:val="00E702BB"/>
    <w:rsid w:val="00E704A2"/>
    <w:rsid w:val="00E76D6F"/>
    <w:rsid w:val="00E775C9"/>
    <w:rsid w:val="00E810B8"/>
    <w:rsid w:val="00E94255"/>
    <w:rsid w:val="00E944D0"/>
    <w:rsid w:val="00EB1BE2"/>
    <w:rsid w:val="00EC2061"/>
    <w:rsid w:val="00EC2C73"/>
    <w:rsid w:val="00EC326F"/>
    <w:rsid w:val="00EC573E"/>
    <w:rsid w:val="00ED1F8F"/>
    <w:rsid w:val="00ED63C0"/>
    <w:rsid w:val="00EE2793"/>
    <w:rsid w:val="00EE3C11"/>
    <w:rsid w:val="00EE415C"/>
    <w:rsid w:val="00EE77AF"/>
    <w:rsid w:val="00EF1D80"/>
    <w:rsid w:val="00EF3685"/>
    <w:rsid w:val="00EF60F1"/>
    <w:rsid w:val="00EF6C44"/>
    <w:rsid w:val="00EF6E28"/>
    <w:rsid w:val="00F037AE"/>
    <w:rsid w:val="00F05198"/>
    <w:rsid w:val="00F05E45"/>
    <w:rsid w:val="00F10161"/>
    <w:rsid w:val="00F2067A"/>
    <w:rsid w:val="00F21BC5"/>
    <w:rsid w:val="00F30B38"/>
    <w:rsid w:val="00F35642"/>
    <w:rsid w:val="00F37393"/>
    <w:rsid w:val="00F4069D"/>
    <w:rsid w:val="00F469E0"/>
    <w:rsid w:val="00F54479"/>
    <w:rsid w:val="00F6592F"/>
    <w:rsid w:val="00F67F1E"/>
    <w:rsid w:val="00F70901"/>
    <w:rsid w:val="00F742A2"/>
    <w:rsid w:val="00F77790"/>
    <w:rsid w:val="00F81D89"/>
    <w:rsid w:val="00F85521"/>
    <w:rsid w:val="00F92939"/>
    <w:rsid w:val="00F956B8"/>
    <w:rsid w:val="00FA6169"/>
    <w:rsid w:val="00FA67D6"/>
    <w:rsid w:val="00FB0C15"/>
    <w:rsid w:val="00FB6232"/>
    <w:rsid w:val="00FC597C"/>
    <w:rsid w:val="00FC668C"/>
    <w:rsid w:val="00FC6A3F"/>
    <w:rsid w:val="00FC7835"/>
    <w:rsid w:val="00FD5A52"/>
    <w:rsid w:val="00FD5BBD"/>
    <w:rsid w:val="00FE226C"/>
    <w:rsid w:val="00FE4850"/>
    <w:rsid w:val="00FF05D8"/>
    <w:rsid w:val="00FF1295"/>
    <w:rsid w:val="00FF1B60"/>
    <w:rsid w:val="00FF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41"/>
    <w:pPr>
      <w:ind w:left="720"/>
      <w:contextualSpacing/>
    </w:pPr>
  </w:style>
  <w:style w:type="paragraph" w:styleId="FootnoteText">
    <w:name w:val="footnote text"/>
    <w:basedOn w:val="Normal"/>
    <w:link w:val="FootnoteTextChar"/>
    <w:uiPriority w:val="99"/>
    <w:semiHidden/>
    <w:unhideWhenUsed/>
    <w:rsid w:val="00786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DFF"/>
    <w:rPr>
      <w:sz w:val="20"/>
      <w:szCs w:val="20"/>
    </w:rPr>
  </w:style>
  <w:style w:type="character" w:styleId="FootnoteReference">
    <w:name w:val="footnote reference"/>
    <w:basedOn w:val="DefaultParagraphFont"/>
    <w:uiPriority w:val="99"/>
    <w:semiHidden/>
    <w:unhideWhenUsed/>
    <w:rsid w:val="00786DFF"/>
    <w:rPr>
      <w:vertAlign w:val="superscript"/>
    </w:rPr>
  </w:style>
  <w:style w:type="paragraph" w:styleId="Header">
    <w:name w:val="header"/>
    <w:basedOn w:val="Normal"/>
    <w:link w:val="HeaderChar"/>
    <w:uiPriority w:val="99"/>
    <w:unhideWhenUsed/>
    <w:rsid w:val="00B2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55"/>
  </w:style>
  <w:style w:type="paragraph" w:styleId="Footer">
    <w:name w:val="footer"/>
    <w:basedOn w:val="Normal"/>
    <w:link w:val="FooterChar"/>
    <w:uiPriority w:val="99"/>
    <w:unhideWhenUsed/>
    <w:rsid w:val="00B2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55"/>
  </w:style>
  <w:style w:type="character" w:styleId="CommentReference">
    <w:name w:val="annotation reference"/>
    <w:basedOn w:val="DefaultParagraphFont"/>
    <w:uiPriority w:val="99"/>
    <w:semiHidden/>
    <w:unhideWhenUsed/>
    <w:rsid w:val="00550745"/>
    <w:rPr>
      <w:sz w:val="16"/>
      <w:szCs w:val="16"/>
    </w:rPr>
  </w:style>
  <w:style w:type="paragraph" w:styleId="CommentText">
    <w:name w:val="annotation text"/>
    <w:basedOn w:val="Normal"/>
    <w:link w:val="CommentTextChar"/>
    <w:uiPriority w:val="99"/>
    <w:semiHidden/>
    <w:unhideWhenUsed/>
    <w:rsid w:val="00550745"/>
    <w:pPr>
      <w:spacing w:line="240" w:lineRule="auto"/>
    </w:pPr>
    <w:rPr>
      <w:sz w:val="20"/>
      <w:szCs w:val="20"/>
    </w:rPr>
  </w:style>
  <w:style w:type="character" w:customStyle="1" w:styleId="CommentTextChar">
    <w:name w:val="Comment Text Char"/>
    <w:basedOn w:val="DefaultParagraphFont"/>
    <w:link w:val="CommentText"/>
    <w:uiPriority w:val="99"/>
    <w:semiHidden/>
    <w:rsid w:val="00550745"/>
    <w:rPr>
      <w:sz w:val="20"/>
      <w:szCs w:val="20"/>
    </w:rPr>
  </w:style>
  <w:style w:type="paragraph" w:styleId="CommentSubject">
    <w:name w:val="annotation subject"/>
    <w:basedOn w:val="CommentText"/>
    <w:next w:val="CommentText"/>
    <w:link w:val="CommentSubjectChar"/>
    <w:uiPriority w:val="99"/>
    <w:semiHidden/>
    <w:unhideWhenUsed/>
    <w:rsid w:val="00550745"/>
    <w:rPr>
      <w:b/>
      <w:bCs/>
    </w:rPr>
  </w:style>
  <w:style w:type="character" w:customStyle="1" w:styleId="CommentSubjectChar">
    <w:name w:val="Comment Subject Char"/>
    <w:basedOn w:val="CommentTextChar"/>
    <w:link w:val="CommentSubject"/>
    <w:uiPriority w:val="99"/>
    <w:semiHidden/>
    <w:rsid w:val="00550745"/>
    <w:rPr>
      <w:b/>
      <w:bCs/>
      <w:sz w:val="20"/>
      <w:szCs w:val="20"/>
    </w:rPr>
  </w:style>
  <w:style w:type="paragraph" w:styleId="BalloonText">
    <w:name w:val="Balloon Text"/>
    <w:basedOn w:val="Normal"/>
    <w:link w:val="BalloonTextChar"/>
    <w:uiPriority w:val="99"/>
    <w:semiHidden/>
    <w:unhideWhenUsed/>
    <w:rsid w:val="0055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41"/>
    <w:pPr>
      <w:ind w:left="720"/>
      <w:contextualSpacing/>
    </w:pPr>
  </w:style>
  <w:style w:type="paragraph" w:styleId="FootnoteText">
    <w:name w:val="footnote text"/>
    <w:basedOn w:val="Normal"/>
    <w:link w:val="FootnoteTextChar"/>
    <w:uiPriority w:val="99"/>
    <w:semiHidden/>
    <w:unhideWhenUsed/>
    <w:rsid w:val="00786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DFF"/>
    <w:rPr>
      <w:sz w:val="20"/>
      <w:szCs w:val="20"/>
    </w:rPr>
  </w:style>
  <w:style w:type="character" w:styleId="FootnoteReference">
    <w:name w:val="footnote reference"/>
    <w:basedOn w:val="DefaultParagraphFont"/>
    <w:uiPriority w:val="99"/>
    <w:semiHidden/>
    <w:unhideWhenUsed/>
    <w:rsid w:val="00786DFF"/>
    <w:rPr>
      <w:vertAlign w:val="superscript"/>
    </w:rPr>
  </w:style>
  <w:style w:type="paragraph" w:styleId="Header">
    <w:name w:val="header"/>
    <w:basedOn w:val="Normal"/>
    <w:link w:val="HeaderChar"/>
    <w:uiPriority w:val="99"/>
    <w:unhideWhenUsed/>
    <w:rsid w:val="00B2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55"/>
  </w:style>
  <w:style w:type="paragraph" w:styleId="Footer">
    <w:name w:val="footer"/>
    <w:basedOn w:val="Normal"/>
    <w:link w:val="FooterChar"/>
    <w:uiPriority w:val="99"/>
    <w:unhideWhenUsed/>
    <w:rsid w:val="00B2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55"/>
  </w:style>
  <w:style w:type="character" w:styleId="CommentReference">
    <w:name w:val="annotation reference"/>
    <w:basedOn w:val="DefaultParagraphFont"/>
    <w:uiPriority w:val="99"/>
    <w:semiHidden/>
    <w:unhideWhenUsed/>
    <w:rsid w:val="00550745"/>
    <w:rPr>
      <w:sz w:val="16"/>
      <w:szCs w:val="16"/>
    </w:rPr>
  </w:style>
  <w:style w:type="paragraph" w:styleId="CommentText">
    <w:name w:val="annotation text"/>
    <w:basedOn w:val="Normal"/>
    <w:link w:val="CommentTextChar"/>
    <w:uiPriority w:val="99"/>
    <w:semiHidden/>
    <w:unhideWhenUsed/>
    <w:rsid w:val="00550745"/>
    <w:pPr>
      <w:spacing w:line="240" w:lineRule="auto"/>
    </w:pPr>
    <w:rPr>
      <w:sz w:val="20"/>
      <w:szCs w:val="20"/>
    </w:rPr>
  </w:style>
  <w:style w:type="character" w:customStyle="1" w:styleId="CommentTextChar">
    <w:name w:val="Comment Text Char"/>
    <w:basedOn w:val="DefaultParagraphFont"/>
    <w:link w:val="CommentText"/>
    <w:uiPriority w:val="99"/>
    <w:semiHidden/>
    <w:rsid w:val="00550745"/>
    <w:rPr>
      <w:sz w:val="20"/>
      <w:szCs w:val="20"/>
    </w:rPr>
  </w:style>
  <w:style w:type="paragraph" w:styleId="CommentSubject">
    <w:name w:val="annotation subject"/>
    <w:basedOn w:val="CommentText"/>
    <w:next w:val="CommentText"/>
    <w:link w:val="CommentSubjectChar"/>
    <w:uiPriority w:val="99"/>
    <w:semiHidden/>
    <w:unhideWhenUsed/>
    <w:rsid w:val="00550745"/>
    <w:rPr>
      <w:b/>
      <w:bCs/>
    </w:rPr>
  </w:style>
  <w:style w:type="character" w:customStyle="1" w:styleId="CommentSubjectChar">
    <w:name w:val="Comment Subject Char"/>
    <w:basedOn w:val="CommentTextChar"/>
    <w:link w:val="CommentSubject"/>
    <w:uiPriority w:val="99"/>
    <w:semiHidden/>
    <w:rsid w:val="00550745"/>
    <w:rPr>
      <w:b/>
      <w:bCs/>
      <w:sz w:val="20"/>
      <w:szCs w:val="20"/>
    </w:rPr>
  </w:style>
  <w:style w:type="paragraph" w:styleId="BalloonText">
    <w:name w:val="Balloon Text"/>
    <w:basedOn w:val="Normal"/>
    <w:link w:val="BalloonTextChar"/>
    <w:uiPriority w:val="99"/>
    <w:semiHidden/>
    <w:unhideWhenUsed/>
    <w:rsid w:val="0055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7759">
      <w:bodyDiv w:val="1"/>
      <w:marLeft w:val="0"/>
      <w:marRight w:val="0"/>
      <w:marTop w:val="0"/>
      <w:marBottom w:val="0"/>
      <w:divBdr>
        <w:top w:val="none" w:sz="0" w:space="0" w:color="auto"/>
        <w:left w:val="none" w:sz="0" w:space="0" w:color="auto"/>
        <w:bottom w:val="none" w:sz="0" w:space="0" w:color="auto"/>
        <w:right w:val="none" w:sz="0" w:space="0" w:color="auto"/>
      </w:divBdr>
    </w:div>
    <w:div w:id="1357736254">
      <w:bodyDiv w:val="1"/>
      <w:marLeft w:val="0"/>
      <w:marRight w:val="0"/>
      <w:marTop w:val="0"/>
      <w:marBottom w:val="0"/>
      <w:divBdr>
        <w:top w:val="none" w:sz="0" w:space="0" w:color="auto"/>
        <w:left w:val="none" w:sz="0" w:space="0" w:color="auto"/>
        <w:bottom w:val="none" w:sz="0" w:space="0" w:color="auto"/>
        <w:right w:val="none" w:sz="0" w:space="0" w:color="auto"/>
      </w:divBdr>
      <w:divsChild>
        <w:div w:id="825633539">
          <w:marLeft w:val="0"/>
          <w:marRight w:val="0"/>
          <w:marTop w:val="0"/>
          <w:marBottom w:val="0"/>
          <w:divBdr>
            <w:top w:val="none" w:sz="0" w:space="0" w:color="auto"/>
            <w:left w:val="none" w:sz="0" w:space="0" w:color="auto"/>
            <w:bottom w:val="none" w:sz="0" w:space="0" w:color="auto"/>
            <w:right w:val="none" w:sz="0" w:space="0" w:color="auto"/>
          </w:divBdr>
        </w:div>
        <w:div w:id="455756172">
          <w:marLeft w:val="0"/>
          <w:marRight w:val="0"/>
          <w:marTop w:val="0"/>
          <w:marBottom w:val="0"/>
          <w:divBdr>
            <w:top w:val="none" w:sz="0" w:space="0" w:color="auto"/>
            <w:left w:val="none" w:sz="0" w:space="0" w:color="auto"/>
            <w:bottom w:val="none" w:sz="0" w:space="0" w:color="auto"/>
            <w:right w:val="none" w:sz="0" w:space="0" w:color="auto"/>
          </w:divBdr>
        </w:div>
        <w:div w:id="520820982">
          <w:marLeft w:val="0"/>
          <w:marRight w:val="0"/>
          <w:marTop w:val="0"/>
          <w:marBottom w:val="0"/>
          <w:divBdr>
            <w:top w:val="none" w:sz="0" w:space="0" w:color="auto"/>
            <w:left w:val="none" w:sz="0" w:space="0" w:color="auto"/>
            <w:bottom w:val="none" w:sz="0" w:space="0" w:color="auto"/>
            <w:right w:val="none" w:sz="0" w:space="0" w:color="auto"/>
          </w:divBdr>
        </w:div>
        <w:div w:id="615328694">
          <w:marLeft w:val="0"/>
          <w:marRight w:val="0"/>
          <w:marTop w:val="0"/>
          <w:marBottom w:val="0"/>
          <w:divBdr>
            <w:top w:val="none" w:sz="0" w:space="0" w:color="auto"/>
            <w:left w:val="none" w:sz="0" w:space="0" w:color="auto"/>
            <w:bottom w:val="none" w:sz="0" w:space="0" w:color="auto"/>
            <w:right w:val="none" w:sz="0" w:space="0" w:color="auto"/>
          </w:divBdr>
        </w:div>
        <w:div w:id="78988554">
          <w:marLeft w:val="0"/>
          <w:marRight w:val="0"/>
          <w:marTop w:val="0"/>
          <w:marBottom w:val="0"/>
          <w:divBdr>
            <w:top w:val="none" w:sz="0" w:space="0" w:color="auto"/>
            <w:left w:val="none" w:sz="0" w:space="0" w:color="auto"/>
            <w:bottom w:val="none" w:sz="0" w:space="0" w:color="auto"/>
            <w:right w:val="none" w:sz="0" w:space="0" w:color="auto"/>
          </w:divBdr>
        </w:div>
        <w:div w:id="495417197">
          <w:marLeft w:val="0"/>
          <w:marRight w:val="0"/>
          <w:marTop w:val="0"/>
          <w:marBottom w:val="0"/>
          <w:divBdr>
            <w:top w:val="none" w:sz="0" w:space="0" w:color="auto"/>
            <w:left w:val="none" w:sz="0" w:space="0" w:color="auto"/>
            <w:bottom w:val="none" w:sz="0" w:space="0" w:color="auto"/>
            <w:right w:val="none" w:sz="0" w:space="0" w:color="auto"/>
          </w:divBdr>
        </w:div>
        <w:div w:id="1311521852">
          <w:marLeft w:val="0"/>
          <w:marRight w:val="0"/>
          <w:marTop w:val="0"/>
          <w:marBottom w:val="0"/>
          <w:divBdr>
            <w:top w:val="none" w:sz="0" w:space="0" w:color="auto"/>
            <w:left w:val="none" w:sz="0" w:space="0" w:color="auto"/>
            <w:bottom w:val="none" w:sz="0" w:space="0" w:color="auto"/>
            <w:right w:val="none" w:sz="0" w:space="0" w:color="auto"/>
          </w:divBdr>
        </w:div>
        <w:div w:id="1748762897">
          <w:marLeft w:val="0"/>
          <w:marRight w:val="0"/>
          <w:marTop w:val="0"/>
          <w:marBottom w:val="0"/>
          <w:divBdr>
            <w:top w:val="none" w:sz="0" w:space="0" w:color="auto"/>
            <w:left w:val="none" w:sz="0" w:space="0" w:color="auto"/>
            <w:bottom w:val="none" w:sz="0" w:space="0" w:color="auto"/>
            <w:right w:val="none" w:sz="0" w:space="0" w:color="auto"/>
          </w:divBdr>
        </w:div>
        <w:div w:id="1800299252">
          <w:marLeft w:val="0"/>
          <w:marRight w:val="0"/>
          <w:marTop w:val="0"/>
          <w:marBottom w:val="0"/>
          <w:divBdr>
            <w:top w:val="none" w:sz="0" w:space="0" w:color="auto"/>
            <w:left w:val="none" w:sz="0" w:space="0" w:color="auto"/>
            <w:bottom w:val="none" w:sz="0" w:space="0" w:color="auto"/>
            <w:right w:val="none" w:sz="0" w:space="0" w:color="auto"/>
          </w:divBdr>
        </w:div>
      </w:divsChild>
    </w:div>
    <w:div w:id="1366294906">
      <w:bodyDiv w:val="1"/>
      <w:marLeft w:val="0"/>
      <w:marRight w:val="0"/>
      <w:marTop w:val="0"/>
      <w:marBottom w:val="0"/>
      <w:divBdr>
        <w:top w:val="none" w:sz="0" w:space="0" w:color="auto"/>
        <w:left w:val="none" w:sz="0" w:space="0" w:color="auto"/>
        <w:bottom w:val="none" w:sz="0" w:space="0" w:color="auto"/>
        <w:right w:val="none" w:sz="0" w:space="0" w:color="auto"/>
      </w:divBdr>
    </w:div>
    <w:div w:id="15331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CE95-33DE-4AD9-BA1E-820D6C8F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5216</Words>
  <Characters>29733</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34880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Luzak, Joasia</dc:creator>
  <cp:lastModifiedBy>Luzak, Joasia</cp:lastModifiedBy>
  <cp:revision>3</cp:revision>
  <dcterms:created xsi:type="dcterms:W3CDTF">2016-05-17T09:37:00Z</dcterms:created>
  <dcterms:modified xsi:type="dcterms:W3CDTF">2016-06-08T16:55:00Z</dcterms:modified>
</cp:coreProperties>
</file>