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596A13" w14:textId="2E68C1CB" w:rsidR="00831F77" w:rsidRPr="00B853F5" w:rsidRDefault="00831F77" w:rsidP="006A76D6">
      <w:pPr>
        <w:pageBreakBefore/>
        <w:spacing w:line="276" w:lineRule="auto"/>
        <w:rPr>
          <w:b/>
          <w:sz w:val="28"/>
          <w:szCs w:val="28"/>
        </w:rPr>
      </w:pPr>
      <w:r>
        <w:rPr>
          <w:b/>
          <w:sz w:val="28"/>
          <w:szCs w:val="28"/>
        </w:rPr>
        <w:t>Trace levels of</w:t>
      </w:r>
      <w:r w:rsidRPr="00B853F5">
        <w:rPr>
          <w:b/>
          <w:sz w:val="28"/>
          <w:szCs w:val="28"/>
        </w:rPr>
        <w:t xml:space="preserve"> sewage effluent</w:t>
      </w:r>
      <w:r>
        <w:rPr>
          <w:b/>
          <w:sz w:val="28"/>
          <w:szCs w:val="28"/>
        </w:rPr>
        <w:t xml:space="preserve"> are sufficient to</w:t>
      </w:r>
      <w:r w:rsidRPr="00B853F5">
        <w:rPr>
          <w:b/>
          <w:sz w:val="28"/>
          <w:szCs w:val="28"/>
        </w:rPr>
        <w:t xml:space="preserve"> increase</w:t>
      </w:r>
      <w:r>
        <w:rPr>
          <w:b/>
          <w:sz w:val="28"/>
          <w:szCs w:val="28"/>
        </w:rPr>
        <w:t xml:space="preserve"> class 1 integron prevalence in freshwater biofilms without changing </w:t>
      </w:r>
      <w:r w:rsidR="009B0621">
        <w:rPr>
          <w:b/>
          <w:sz w:val="28"/>
          <w:szCs w:val="28"/>
        </w:rPr>
        <w:t xml:space="preserve">the </w:t>
      </w:r>
      <w:r>
        <w:rPr>
          <w:b/>
          <w:sz w:val="28"/>
          <w:szCs w:val="28"/>
        </w:rPr>
        <w:t>core community</w:t>
      </w:r>
    </w:p>
    <w:p w14:paraId="39470B4F" w14:textId="77777777" w:rsidR="00831F77" w:rsidRPr="003364D6" w:rsidRDefault="00831F77" w:rsidP="006A76D6">
      <w:pPr>
        <w:spacing w:line="240" w:lineRule="auto"/>
        <w:jc w:val="left"/>
      </w:pPr>
      <w:r w:rsidRPr="003364D6">
        <w:t>Katja Lehmann</w:t>
      </w:r>
      <w:r w:rsidRPr="00963EC3">
        <w:rPr>
          <w:vertAlign w:val="superscript"/>
        </w:rPr>
        <w:t>1</w:t>
      </w:r>
      <w:r w:rsidRPr="003364D6">
        <w:t>*</w:t>
      </w:r>
      <w:r>
        <w:t>,</w:t>
      </w:r>
      <w:r w:rsidRPr="003364D6">
        <w:t xml:space="preserve"> Thomas Bell</w:t>
      </w:r>
      <w:r>
        <w:rPr>
          <w:vertAlign w:val="superscript"/>
        </w:rPr>
        <w:t>2</w:t>
      </w:r>
      <w:r w:rsidRPr="003364D6">
        <w:t xml:space="preserve">, </w:t>
      </w:r>
      <w:r>
        <w:t>Michael J. Bowes</w:t>
      </w:r>
      <w:r w:rsidRPr="00963EC3">
        <w:rPr>
          <w:vertAlign w:val="superscript"/>
        </w:rPr>
        <w:t>1</w:t>
      </w:r>
      <w:r>
        <w:t>, Gregory C.A. Amos</w:t>
      </w:r>
      <w:r w:rsidRPr="00F21CAB">
        <w:rPr>
          <w:vertAlign w:val="superscript"/>
        </w:rPr>
        <w:t>3</w:t>
      </w:r>
      <w:r>
        <w:t>, Will H. Gaze</w:t>
      </w:r>
      <w:r w:rsidRPr="00F21CAB">
        <w:rPr>
          <w:vertAlign w:val="superscript"/>
        </w:rPr>
        <w:t>4</w:t>
      </w:r>
      <w:r>
        <w:t>, Elizabeth M.H. Wellington</w:t>
      </w:r>
      <w:r>
        <w:rPr>
          <w:vertAlign w:val="superscript"/>
        </w:rPr>
        <w:t>3</w:t>
      </w:r>
      <w:r>
        <w:t xml:space="preserve">, </w:t>
      </w:r>
      <w:r w:rsidRPr="003364D6">
        <w:t xml:space="preserve">Andrew </w:t>
      </w:r>
      <w:r>
        <w:t xml:space="preserve">C. </w:t>
      </w:r>
      <w:r w:rsidRPr="003364D6">
        <w:t>Singer</w:t>
      </w:r>
      <w:r w:rsidRPr="00963EC3">
        <w:rPr>
          <w:vertAlign w:val="superscript"/>
        </w:rPr>
        <w:t>1</w:t>
      </w:r>
    </w:p>
    <w:p w14:paraId="3A547E84" w14:textId="77777777" w:rsidR="00831F77" w:rsidRDefault="00831F77" w:rsidP="006A76D6">
      <w:pPr>
        <w:spacing w:line="240" w:lineRule="auto"/>
        <w:jc w:val="left"/>
      </w:pPr>
    </w:p>
    <w:p w14:paraId="5686732E" w14:textId="77777777" w:rsidR="00831F77" w:rsidRDefault="00831F77" w:rsidP="006A76D6">
      <w:pPr>
        <w:spacing w:line="240" w:lineRule="auto"/>
        <w:jc w:val="left"/>
      </w:pPr>
      <w:r w:rsidRPr="00963EC3">
        <w:rPr>
          <w:vertAlign w:val="superscript"/>
        </w:rPr>
        <w:t>1</w:t>
      </w:r>
      <w:r>
        <w:rPr>
          <w:vertAlign w:val="superscript"/>
        </w:rPr>
        <w:t xml:space="preserve"> </w:t>
      </w:r>
      <w:r>
        <w:t>NERC Centre for Ecology &amp; Hydrology, Wallingford, OX10 8BB, UK</w:t>
      </w:r>
    </w:p>
    <w:p w14:paraId="7EFD94C2" w14:textId="77777777" w:rsidR="00831F77" w:rsidRDefault="00831F77" w:rsidP="006A76D6">
      <w:pPr>
        <w:spacing w:line="240" w:lineRule="auto"/>
        <w:jc w:val="left"/>
      </w:pPr>
      <w:r>
        <w:rPr>
          <w:vertAlign w:val="superscript"/>
        </w:rPr>
        <w:t>2</w:t>
      </w:r>
      <w:r>
        <w:t>Imperial College London, Department of Life Sciences, Silwood Park Campus, SL5 7PY, UK</w:t>
      </w:r>
    </w:p>
    <w:p w14:paraId="6140C9A4" w14:textId="77777777" w:rsidR="00831F77" w:rsidRDefault="00831F77" w:rsidP="006A76D6">
      <w:pPr>
        <w:tabs>
          <w:tab w:val="left" w:pos="1750"/>
        </w:tabs>
        <w:spacing w:line="240" w:lineRule="auto"/>
        <w:jc w:val="left"/>
      </w:pPr>
      <w:r>
        <w:rPr>
          <w:vertAlign w:val="superscript"/>
        </w:rPr>
        <w:t xml:space="preserve">3 </w:t>
      </w:r>
      <w:r>
        <w:t>European Centre for Environment and Human Health,</w:t>
      </w:r>
    </w:p>
    <w:p w14:paraId="0D847977" w14:textId="77777777" w:rsidR="00831F77" w:rsidRPr="00724979" w:rsidRDefault="00831F77" w:rsidP="006A76D6">
      <w:pPr>
        <w:tabs>
          <w:tab w:val="left" w:pos="1750"/>
        </w:tabs>
        <w:spacing w:line="240" w:lineRule="auto"/>
        <w:jc w:val="left"/>
      </w:pPr>
      <w:r>
        <w:t>University of Exeter Medical School, Knowledge Spa, Royal Cornwall Hospital, Truro, UK</w:t>
      </w:r>
      <w:r>
        <w:tab/>
      </w:r>
    </w:p>
    <w:p w14:paraId="2E347863" w14:textId="77777777" w:rsidR="00831F77" w:rsidRDefault="00831F77" w:rsidP="006A76D6">
      <w:pPr>
        <w:spacing w:line="240" w:lineRule="auto"/>
        <w:jc w:val="left"/>
      </w:pPr>
      <w:r>
        <w:rPr>
          <w:vertAlign w:val="superscript"/>
        </w:rPr>
        <w:t xml:space="preserve">4 </w:t>
      </w:r>
      <w:r w:rsidRPr="00F0262D">
        <w:t>School of Life Sciences, University of Warwick, Coventry, UK</w:t>
      </w:r>
    </w:p>
    <w:p w14:paraId="2DFB439C" w14:textId="77777777" w:rsidR="00831F77" w:rsidRPr="003364D6" w:rsidRDefault="00831F77" w:rsidP="006A76D6">
      <w:pPr>
        <w:spacing w:line="240" w:lineRule="auto"/>
        <w:jc w:val="left"/>
      </w:pPr>
      <w:r w:rsidRPr="003364D6">
        <w:t>*correspondence to</w:t>
      </w:r>
    </w:p>
    <w:p w14:paraId="1B5D82C1" w14:textId="77777777" w:rsidR="00831F77" w:rsidRDefault="00831F77" w:rsidP="006A76D6"/>
    <w:p w14:paraId="6D6DD9BD" w14:textId="77777777" w:rsidR="00831F77" w:rsidRPr="0097733E" w:rsidRDefault="00831F77" w:rsidP="006A76D6">
      <w:pPr>
        <w:rPr>
          <w:b/>
        </w:rPr>
      </w:pPr>
      <w:r w:rsidRPr="0097733E">
        <w:rPr>
          <w:b/>
        </w:rPr>
        <w:t>Abstract:</w:t>
      </w:r>
    </w:p>
    <w:p w14:paraId="01EEB338" w14:textId="1A3E5266" w:rsidR="00831F77" w:rsidRPr="006954E3" w:rsidRDefault="000771E8" w:rsidP="00911D95">
      <w:r>
        <w:t xml:space="preserve">Most river systems are composed, in part, of sewage effluent. It remains unclear </w:t>
      </w:r>
      <w:r w:rsidR="00EF0EB6">
        <w:t>if there is a</w:t>
      </w:r>
      <w:r>
        <w:t xml:space="preserve"> lower threshold </w:t>
      </w:r>
      <w:r w:rsidR="00EF0EB6">
        <w:t xml:space="preserve">to the </w:t>
      </w:r>
      <w:r>
        <w:t xml:space="preserve">concentration of sewage effluent </w:t>
      </w:r>
      <w:r w:rsidR="00EF0EB6">
        <w:t xml:space="preserve">that </w:t>
      </w:r>
      <w:r>
        <w:t xml:space="preserve">can significantly impact the microbial community structure and mobilome of a natural river biofilm. </w:t>
      </w:r>
      <w:r w:rsidR="00831F77">
        <w:t xml:space="preserve">We used an experimental </w:t>
      </w:r>
      <w:r w:rsidR="00246B09" w:rsidRPr="00EF0EB6">
        <w:rPr>
          <w:i/>
        </w:rPr>
        <w:t>in situ</w:t>
      </w:r>
      <w:r w:rsidR="00246B09">
        <w:t xml:space="preserve"> river mesocosm system </w:t>
      </w:r>
      <w:r w:rsidR="00831F77">
        <w:t>to study the effect</w:t>
      </w:r>
      <w:r w:rsidR="00297034">
        <w:t>s</w:t>
      </w:r>
      <w:r w:rsidR="00831F77">
        <w:t xml:space="preserve"> of </w:t>
      </w:r>
      <w:r w:rsidR="00911D95">
        <w:t>low-level</w:t>
      </w:r>
      <w:r w:rsidR="00297034">
        <w:t xml:space="preserve"> </w:t>
      </w:r>
      <w:r w:rsidR="00831F77">
        <w:t xml:space="preserve">concentrations of sewage effluent </w:t>
      </w:r>
      <w:r>
        <w:t xml:space="preserve">(nominally 2.5 ppm) </w:t>
      </w:r>
      <w:r w:rsidR="00831F77">
        <w:t>on river biofilms</w:t>
      </w:r>
      <w:r w:rsidR="00297034">
        <w:t xml:space="preserve">. </w:t>
      </w:r>
      <w:r w:rsidR="00246B09">
        <w:t>Two chalk river systems, Rivers</w:t>
      </w:r>
      <w:r w:rsidR="00297034">
        <w:t xml:space="preserve"> </w:t>
      </w:r>
      <w:r w:rsidR="00831F77">
        <w:t>Kennet and Lambourn</w:t>
      </w:r>
      <w:r w:rsidR="00246B09">
        <w:t xml:space="preserve">, </w:t>
      </w:r>
      <w:r w:rsidR="00911D95">
        <w:t>were compared as they contrast in their existing sewage impact (</w:t>
      </w:r>
      <w:r w:rsidR="00246B09">
        <w:t xml:space="preserve">highly sewage </w:t>
      </w:r>
      <w:r w:rsidR="00911D95">
        <w:t>and marginal, respectively)</w:t>
      </w:r>
      <w:r w:rsidR="00246B09">
        <w:t>.</w:t>
      </w:r>
      <w:r w:rsidR="00911D95">
        <w:t xml:space="preserve"> </w:t>
      </w:r>
      <w:r w:rsidR="00831F77">
        <w:t xml:space="preserve">Community composition was not significantly changed by the sewage effluent addition, but </w:t>
      </w:r>
      <w:r w:rsidR="009B0621">
        <w:t xml:space="preserve">class 1 </w:t>
      </w:r>
      <w:r w:rsidR="00831F77">
        <w:t>integron prevalence wa</w:t>
      </w:r>
      <w:r w:rsidR="00831F77" w:rsidRPr="006A2D67">
        <w:t xml:space="preserve">s </w:t>
      </w:r>
      <w:r w:rsidR="00911D95">
        <w:t xml:space="preserve">significantly </w:t>
      </w:r>
      <w:r w:rsidR="00831F77" w:rsidRPr="006A2D67">
        <w:t xml:space="preserve">greater in the communities exposed to </w:t>
      </w:r>
      <w:r w:rsidR="00831F77">
        <w:t xml:space="preserve">sewage effluent </w:t>
      </w:r>
      <w:r w:rsidR="00831F77" w:rsidRPr="006A2D67">
        <w:t>than in the control channels</w:t>
      </w:r>
      <w:r w:rsidR="00831F77">
        <w:t xml:space="preserve"> (ANOVA, F=5.11,</w:t>
      </w:r>
      <w:r w:rsidR="00831F77" w:rsidRPr="006537CB">
        <w:rPr>
          <w:i/>
        </w:rPr>
        <w:t xml:space="preserve"> p=0.045</w:t>
      </w:r>
      <w:r w:rsidR="00831F77">
        <w:t>)</w:t>
      </w:r>
      <w:r w:rsidR="00831F77" w:rsidRPr="006954E3">
        <w:t xml:space="preserve"> </w:t>
      </w:r>
      <w:r w:rsidR="00831F77">
        <w:t>in both rivers. Furthermore, the difference in integron prevalence between the Kennet control and Kennet sewage-treated samples was proportionally greater than the difference in prevalence between the Lambourn control and sewage-treated samples (ANOVA</w:t>
      </w:r>
      <w:r w:rsidR="00831F77" w:rsidRPr="006954E3">
        <w:t xml:space="preserve"> </w:t>
      </w:r>
      <w:r w:rsidR="00831F77">
        <w:t>(interaction between treatment and river), F=</w:t>
      </w:r>
      <w:r w:rsidR="00831F77" w:rsidRPr="004B4F03">
        <w:t>6.42</w:t>
      </w:r>
      <w:r w:rsidR="00831F77">
        <w:t>,</w:t>
      </w:r>
      <w:r w:rsidR="00831F77" w:rsidRPr="004B4F03">
        <w:t xml:space="preserve"> </w:t>
      </w:r>
      <w:r w:rsidR="00831F77" w:rsidRPr="004B4F03">
        <w:rPr>
          <w:i/>
        </w:rPr>
        <w:t>p=0.028</w:t>
      </w:r>
      <w:r w:rsidR="00831F77">
        <w:t>). Mechanisms that lead to such differences could include macronutrient/biofilm or phage/bacteria interactions</w:t>
      </w:r>
      <w:bookmarkStart w:id="0" w:name="_GoBack"/>
      <w:bookmarkEnd w:id="0"/>
      <w:r w:rsidR="00831F77">
        <w:t xml:space="preserve">. Our findings highlight the role that low-level exposure to complex polluting mixtures such as </w:t>
      </w:r>
      <w:r w:rsidR="00911D95">
        <w:t xml:space="preserve">sewage </w:t>
      </w:r>
      <w:r w:rsidR="00831F77">
        <w:t>effluent can play in the spread of ARGs. The results also highlight that certain conditions, such as macronutrient load, can accelerate ARG spread.</w:t>
      </w:r>
    </w:p>
    <w:p w14:paraId="3D5E13F5" w14:textId="77777777" w:rsidR="00831F77" w:rsidRDefault="00831F77" w:rsidP="006A76D6"/>
    <w:p w14:paraId="2C54BC0C" w14:textId="77777777" w:rsidR="00515A01" w:rsidRDefault="00515A01" w:rsidP="006A76D6"/>
    <w:p w14:paraId="5D3062B7" w14:textId="77777777" w:rsidR="00831F77" w:rsidRPr="00E729EA" w:rsidRDefault="00831F77" w:rsidP="006A76D6">
      <w:pPr>
        <w:rPr>
          <w:b/>
        </w:rPr>
      </w:pPr>
      <w:r w:rsidRPr="00E729EA">
        <w:rPr>
          <w:b/>
        </w:rPr>
        <w:t>1. Introduction</w:t>
      </w:r>
    </w:p>
    <w:p w14:paraId="2447E69E" w14:textId="77777777" w:rsidR="00831F77" w:rsidRDefault="00831F77" w:rsidP="006A76D6">
      <w:r>
        <w:lastRenderedPageBreak/>
        <w:t xml:space="preserve">Many rivers are dominated by sewage-effluent, e.g. because they are small and are overwhelmed by sewage treatment works (STW) effluent and other urban discharge, such as the Emscher in Germany, or the Tiber in Italy, or because water abstraction upstream is combined with sewage effluent addition further downstream, such as the Platte in the US </w:t>
      </w:r>
      <w:r>
        <w:rPr>
          <w:noProof/>
        </w:rPr>
        <w:t>(Novotny &amp; Brown, 2014)</w:t>
      </w:r>
      <w:r>
        <w:t xml:space="preserve">.  The proportion of rivers impacted in this way is projected to grow as increased water abstraction caused by anthropogenic water use combines with climate change-induced declines in river flows </w:t>
      </w:r>
      <w:r>
        <w:rPr>
          <w:noProof/>
        </w:rPr>
        <w:t>(Johnson</w:t>
      </w:r>
      <w:r w:rsidRPr="00807A39">
        <w:rPr>
          <w:i/>
          <w:noProof/>
        </w:rPr>
        <w:t xml:space="preserve"> et al.</w:t>
      </w:r>
      <w:r>
        <w:rPr>
          <w:noProof/>
        </w:rPr>
        <w:t>, 2009)</w:t>
      </w:r>
      <w:r>
        <w:t xml:space="preserve">. Sewage-effluent poses risks to the environment, to essential ecosystem services performed by rivers and to humans in a number of ways </w:t>
      </w:r>
      <w:r>
        <w:rPr>
          <w:noProof/>
        </w:rPr>
        <w:t>(Brooks</w:t>
      </w:r>
      <w:r w:rsidRPr="00807A39">
        <w:rPr>
          <w:i/>
          <w:noProof/>
        </w:rPr>
        <w:t xml:space="preserve"> et al.</w:t>
      </w:r>
      <w:r>
        <w:rPr>
          <w:noProof/>
        </w:rPr>
        <w:t>, 2006, Waiser</w:t>
      </w:r>
      <w:r w:rsidRPr="00807A39">
        <w:rPr>
          <w:i/>
          <w:noProof/>
        </w:rPr>
        <w:t xml:space="preserve"> et al.</w:t>
      </w:r>
      <w:r>
        <w:rPr>
          <w:noProof/>
        </w:rPr>
        <w:t>, 2011), and so the increased influx of sewage effluent needs to be investigated</w:t>
      </w:r>
      <w:r>
        <w:t>. Effects of</w:t>
      </w:r>
      <w:r w:rsidRPr="00D82A07">
        <w:t xml:space="preserve"> </w:t>
      </w:r>
      <w:r>
        <w:t>STW-effluent on riverine biofilms, at the heart of the riverine biogeochemical cycles and food webs, range from decreased biofilm adhesion, decreased bacterial diversity, lower photosynthetic or metabolic efficiency</w:t>
      </w:r>
      <w:r w:rsidRPr="0068019A">
        <w:t xml:space="preserve"> </w:t>
      </w:r>
      <w:r>
        <w:t xml:space="preserve">to antibiotic resistance </w:t>
      </w:r>
      <w:r>
        <w:rPr>
          <w:noProof/>
        </w:rPr>
        <w:t>(Lawrence</w:t>
      </w:r>
      <w:r w:rsidRPr="009F4CB5">
        <w:rPr>
          <w:i/>
          <w:noProof/>
        </w:rPr>
        <w:t xml:space="preserve"> et al.</w:t>
      </w:r>
      <w:r>
        <w:rPr>
          <w:noProof/>
        </w:rPr>
        <w:t>, 2005, Verma</w:t>
      </w:r>
      <w:r w:rsidRPr="009F4CB5">
        <w:rPr>
          <w:i/>
          <w:noProof/>
        </w:rPr>
        <w:t xml:space="preserve"> et al.</w:t>
      </w:r>
      <w:r>
        <w:rPr>
          <w:noProof/>
        </w:rPr>
        <w:t>, 2007, Schreiber &amp; Szewzyk, 2008, Wakelin</w:t>
      </w:r>
      <w:r w:rsidRPr="009F4CB5">
        <w:rPr>
          <w:i/>
          <w:noProof/>
        </w:rPr>
        <w:t xml:space="preserve"> et al.</w:t>
      </w:r>
      <w:r>
        <w:rPr>
          <w:noProof/>
        </w:rPr>
        <w:t>, 2008, Ricciardi</w:t>
      </w:r>
      <w:r w:rsidRPr="009F4CB5">
        <w:rPr>
          <w:i/>
          <w:noProof/>
        </w:rPr>
        <w:t xml:space="preserve"> et al.</w:t>
      </w:r>
      <w:r>
        <w:rPr>
          <w:noProof/>
        </w:rPr>
        <w:t>, 2009)</w:t>
      </w:r>
      <w:r>
        <w:t xml:space="preserve">. </w:t>
      </w:r>
      <w:r w:rsidRPr="005319C4">
        <w:t xml:space="preserve"> </w:t>
      </w:r>
      <w:r>
        <w:t>This range of responses reflects the diversity of chemicals</w:t>
      </w:r>
      <w:r w:rsidRPr="00D82A07">
        <w:t xml:space="preserve"> </w:t>
      </w:r>
      <w:r>
        <w:t>and microorganisms emitted by</w:t>
      </w:r>
      <w:r w:rsidRPr="00D82A07">
        <w:t xml:space="preserve"> </w:t>
      </w:r>
      <w:r>
        <w:t xml:space="preserve">STW, whose actions either on their own or in synergy with each other, remain poorly understood </w:t>
      </w:r>
      <w:r>
        <w:rPr>
          <w:noProof/>
        </w:rPr>
        <w:t>(Schwarzenbach</w:t>
      </w:r>
      <w:r w:rsidRPr="009F4CB5">
        <w:rPr>
          <w:i/>
          <w:noProof/>
        </w:rPr>
        <w:t xml:space="preserve"> et al.</w:t>
      </w:r>
      <w:r>
        <w:rPr>
          <w:noProof/>
        </w:rPr>
        <w:t>, 2006, Ricciardi</w:t>
      </w:r>
      <w:r w:rsidRPr="009F4CB5">
        <w:rPr>
          <w:i/>
          <w:noProof/>
        </w:rPr>
        <w:t xml:space="preserve"> et al.</w:t>
      </w:r>
      <w:r>
        <w:rPr>
          <w:noProof/>
        </w:rPr>
        <w:t>, 2009)</w:t>
      </w:r>
      <w:r>
        <w:t xml:space="preserve">. Contamination of river microbiota by STW-effluent compounds, be it metals or antibiotic resistance genes (ARG), gets subsequently passed up the food chain to higher organisms </w:t>
      </w:r>
      <w:r>
        <w:rPr>
          <w:noProof/>
        </w:rPr>
        <w:t>(Brooks</w:t>
      </w:r>
      <w:r w:rsidRPr="00807A39">
        <w:rPr>
          <w:i/>
          <w:noProof/>
        </w:rPr>
        <w:t xml:space="preserve"> et al.</w:t>
      </w:r>
      <w:r>
        <w:rPr>
          <w:noProof/>
        </w:rPr>
        <w:t>, 2006)</w:t>
      </w:r>
      <w:r>
        <w:t xml:space="preserve">. There have been calls to develop sewage systems that produce effluent stripped of bacteria, pharmaceuticals, macronutrients, nanoparticles and other contaminants, but cleaner systems are costly </w:t>
      </w:r>
      <w:r>
        <w:rPr>
          <w:noProof/>
        </w:rPr>
        <w:t>(Amos</w:t>
      </w:r>
      <w:r w:rsidRPr="00807A39">
        <w:rPr>
          <w:i/>
          <w:noProof/>
        </w:rPr>
        <w:t xml:space="preserve"> et al.</w:t>
      </w:r>
      <w:r>
        <w:rPr>
          <w:noProof/>
        </w:rPr>
        <w:t>, 2014, Huang</w:t>
      </w:r>
      <w:r w:rsidRPr="00807A39">
        <w:rPr>
          <w:i/>
          <w:noProof/>
        </w:rPr>
        <w:t xml:space="preserve"> et al.</w:t>
      </w:r>
      <w:r>
        <w:rPr>
          <w:noProof/>
        </w:rPr>
        <w:t>, 2015)</w:t>
      </w:r>
      <w:r>
        <w:t xml:space="preserve">. One of the most problematic outcomes of exposing environmental bacteria to STW-effluent may be that this exposure contributes to multi-drug resistance </w:t>
      </w:r>
      <w:r>
        <w:rPr>
          <w:noProof/>
        </w:rPr>
        <w:t>(Akiyama &amp; Savin, 2010, Amos</w:t>
      </w:r>
      <w:r w:rsidRPr="00807A39">
        <w:rPr>
          <w:i/>
          <w:noProof/>
        </w:rPr>
        <w:t xml:space="preserve"> et al.</w:t>
      </w:r>
      <w:r>
        <w:rPr>
          <w:noProof/>
        </w:rPr>
        <w:t>, 2014)</w:t>
      </w:r>
      <w:r>
        <w:t xml:space="preserve">. Multi-drug resistance is developing into a crisis of world-wide proportions </w:t>
      </w:r>
      <w:r>
        <w:rPr>
          <w:noProof/>
        </w:rPr>
        <w:t>(WHO, 2015)</w:t>
      </w:r>
      <w:r>
        <w:t xml:space="preserve">, as bacteria emerge that resist even last-resort antibiotics </w:t>
      </w:r>
      <w:r>
        <w:rPr>
          <w:noProof/>
        </w:rPr>
        <w:t>(Liu</w:t>
      </w:r>
      <w:r w:rsidRPr="00807A39">
        <w:rPr>
          <w:i/>
          <w:noProof/>
        </w:rPr>
        <w:t xml:space="preserve"> et al.</w:t>
      </w:r>
      <w:r>
        <w:rPr>
          <w:noProof/>
        </w:rPr>
        <w:t>, 2015)</w:t>
      </w:r>
      <w:r>
        <w:t xml:space="preserve">. While there has always been an environmental resistome, i.e. a pool of genes that are resistant to antibiotics, that has evolved naturally </w:t>
      </w:r>
      <w:r>
        <w:rPr>
          <w:noProof/>
        </w:rPr>
        <w:t>(Bhullar</w:t>
      </w:r>
      <w:r w:rsidRPr="0018452A">
        <w:rPr>
          <w:i/>
          <w:noProof/>
        </w:rPr>
        <w:t xml:space="preserve"> et al.</w:t>
      </w:r>
      <w:r>
        <w:rPr>
          <w:noProof/>
        </w:rPr>
        <w:t>, 2012, Martínez, 2012)</w:t>
      </w:r>
      <w:r>
        <w:t xml:space="preserve">, it is now well known that resistance in the environment is increasing </w:t>
      </w:r>
      <w:r>
        <w:rPr>
          <w:noProof/>
        </w:rPr>
        <w:t>(Alanis, 2005, Da Silva</w:t>
      </w:r>
      <w:r w:rsidRPr="00807A39">
        <w:rPr>
          <w:i/>
          <w:noProof/>
        </w:rPr>
        <w:t xml:space="preserve"> et al.</w:t>
      </w:r>
      <w:r>
        <w:rPr>
          <w:noProof/>
        </w:rPr>
        <w:t>, 2006, Knapp</w:t>
      </w:r>
      <w:r w:rsidRPr="00807A39">
        <w:rPr>
          <w:i/>
          <w:noProof/>
        </w:rPr>
        <w:t xml:space="preserve"> et al.</w:t>
      </w:r>
      <w:r>
        <w:rPr>
          <w:noProof/>
        </w:rPr>
        <w:t>, 2009)</w:t>
      </w:r>
      <w:r>
        <w:t xml:space="preserve">. Antibiotic resistance genes (ARG) are more prevalent where bacteria are exposed to antibiotics, metals or detergents </w:t>
      </w:r>
      <w:r>
        <w:rPr>
          <w:noProof/>
        </w:rPr>
        <w:t>(Pei</w:t>
      </w:r>
      <w:r w:rsidRPr="00807A39">
        <w:rPr>
          <w:i/>
          <w:noProof/>
        </w:rPr>
        <w:t xml:space="preserve"> et al.</w:t>
      </w:r>
      <w:r>
        <w:rPr>
          <w:noProof/>
        </w:rPr>
        <w:t>, 2006, Graham</w:t>
      </w:r>
      <w:r w:rsidRPr="00807A39">
        <w:rPr>
          <w:i/>
          <w:noProof/>
        </w:rPr>
        <w:t xml:space="preserve"> et al.</w:t>
      </w:r>
      <w:r>
        <w:rPr>
          <w:noProof/>
        </w:rPr>
        <w:t>, 2010)</w:t>
      </w:r>
      <w:r>
        <w:t xml:space="preserve">. </w:t>
      </w:r>
      <w:r>
        <w:rPr>
          <w:noProof/>
        </w:rPr>
        <w:t>(Huang</w:t>
      </w:r>
      <w:r w:rsidRPr="00807A39">
        <w:rPr>
          <w:i/>
          <w:noProof/>
        </w:rPr>
        <w:t xml:space="preserve"> et al.</w:t>
      </w:r>
      <w:r>
        <w:rPr>
          <w:noProof/>
        </w:rPr>
        <w:t>, 2015)</w:t>
      </w:r>
      <w:r>
        <w:t xml:space="preserve"> have demonstrated that tetracycline resistance genes were still </w:t>
      </w:r>
      <w:r>
        <w:lastRenderedPageBreak/>
        <w:t xml:space="preserve">prevalent in final cleaned effluent treated with ozone, even after tetracycline and tetracycline-resistant bacteria had been removed, marking out STW-effluent as a potent source of ARG regardless of cleaning effort </w:t>
      </w:r>
      <w:r>
        <w:rPr>
          <w:noProof/>
        </w:rPr>
        <w:t>(Baquero</w:t>
      </w:r>
      <w:r w:rsidRPr="00807A39">
        <w:rPr>
          <w:i/>
          <w:noProof/>
        </w:rPr>
        <w:t xml:space="preserve"> et al.</w:t>
      </w:r>
      <w:r>
        <w:rPr>
          <w:noProof/>
        </w:rPr>
        <w:t>, 2008, Huang</w:t>
      </w:r>
      <w:r w:rsidRPr="00807A39">
        <w:rPr>
          <w:i/>
          <w:noProof/>
        </w:rPr>
        <w:t xml:space="preserve"> et al.</w:t>
      </w:r>
      <w:r>
        <w:rPr>
          <w:noProof/>
        </w:rPr>
        <w:t>, 2015)</w:t>
      </w:r>
      <w:r>
        <w:t xml:space="preserve">. A growing number of studies show that proximity to STW-effluent increases the occurrence of antibiotic resistance in riverine microbiota </w:t>
      </w:r>
      <w:r>
        <w:rPr>
          <w:noProof/>
        </w:rPr>
        <w:t>(Edge &amp; Hill, 2005, Servais &amp; Passerat, 2009, Graham</w:t>
      </w:r>
      <w:r w:rsidRPr="00807A39">
        <w:rPr>
          <w:i/>
          <w:noProof/>
        </w:rPr>
        <w:t xml:space="preserve"> et al.</w:t>
      </w:r>
      <w:r>
        <w:rPr>
          <w:noProof/>
        </w:rPr>
        <w:t>, 2010, Amos</w:t>
      </w:r>
      <w:r w:rsidRPr="00807A39">
        <w:rPr>
          <w:i/>
          <w:noProof/>
        </w:rPr>
        <w:t xml:space="preserve"> et al.</w:t>
      </w:r>
      <w:r>
        <w:rPr>
          <w:noProof/>
        </w:rPr>
        <w:t>, 2015)</w:t>
      </w:r>
      <w:r>
        <w:t xml:space="preserve">. The effects of STW-effluent are hard to unravel, because of the complexity of its compounds and the variability of its composition. Many studies have therefore focused on the effects of particular polluting substances, such as antibiotics, antivirals or nanoparticles </w:t>
      </w:r>
      <w:r>
        <w:rPr>
          <w:noProof/>
        </w:rPr>
        <w:t>(Graham</w:t>
      </w:r>
      <w:r w:rsidRPr="00807A39">
        <w:rPr>
          <w:i/>
          <w:noProof/>
        </w:rPr>
        <w:t xml:space="preserve"> et al.</w:t>
      </w:r>
      <w:r>
        <w:rPr>
          <w:noProof/>
        </w:rPr>
        <w:t>, 2010, Kaegi</w:t>
      </w:r>
      <w:r w:rsidRPr="00807A39">
        <w:rPr>
          <w:i/>
          <w:noProof/>
        </w:rPr>
        <w:t xml:space="preserve"> et al.</w:t>
      </w:r>
      <w:r>
        <w:rPr>
          <w:noProof/>
        </w:rPr>
        <w:t>, 2011, Slater</w:t>
      </w:r>
      <w:r w:rsidRPr="00807A39">
        <w:rPr>
          <w:i/>
          <w:noProof/>
        </w:rPr>
        <w:t xml:space="preserve"> et al.</w:t>
      </w:r>
      <w:r>
        <w:rPr>
          <w:noProof/>
        </w:rPr>
        <w:t>, 2011)</w:t>
      </w:r>
      <w:r>
        <w:t xml:space="preserve">, not on the mixture itself. This study sets out to investigate the impact of low levels of STW-effluent on bacterial communities in a healthy and a disturbed river system. </w:t>
      </w:r>
    </w:p>
    <w:p w14:paraId="7566F098" w14:textId="77777777" w:rsidR="00831F77" w:rsidRDefault="00831F77" w:rsidP="006A76D6">
      <w:pPr>
        <w:ind w:firstLine="720"/>
      </w:pPr>
    </w:p>
    <w:p w14:paraId="0928F613" w14:textId="77777777" w:rsidR="00831F77" w:rsidRDefault="00831F77" w:rsidP="006A76D6">
      <w:r>
        <w:t xml:space="preserve">The study uses an experimental approach to compare biofilms grown in mesocosms at two sites in different chalk streams within the Thames catchment, one heavily impacted by sewage effluent, the other without known sewage effluent inputs. Based on findings of a laboratory-based pilot study, we added nominal concentrations of ~2.5 ppm of STW-effluent to the experimental flumes. This low concentration was designed to avoid changing the microbial communities through addition of nutrients, with an aim to focus on the effects from the complex mixture of micropollutants within sewage effluent. </w:t>
      </w:r>
    </w:p>
    <w:p w14:paraId="0374FE50" w14:textId="77777777" w:rsidR="00831F77" w:rsidRDefault="00831F77" w:rsidP="006A76D6"/>
    <w:p w14:paraId="3A4CFA83" w14:textId="1788FD75" w:rsidR="00831F77" w:rsidRPr="003454D6" w:rsidRDefault="00831F77" w:rsidP="006A76D6">
      <w:r>
        <w:t xml:space="preserve">We used a molecular sequencing approach to estimate the impact of STW-effluent on the biofilm communities. We used the 16S rRNA locus to characterise the community composition. We also assessed the prevalence of class </w:t>
      </w:r>
      <w:r w:rsidR="009B0621">
        <w:t xml:space="preserve">1 </w:t>
      </w:r>
      <w:r>
        <w:t>integrons to investigate if low level STW-effluent exposure can induce genetic changes to a microbial community, such as an increase of antibiotic resistance genes stored on mobile genetic elements. M</w:t>
      </w:r>
      <w:r w:rsidRPr="003454D6">
        <w:t xml:space="preserve">obile genetic elements, such as class 1 integrons, which carry </w:t>
      </w:r>
      <w:r>
        <w:t>such genes,</w:t>
      </w:r>
      <w:r w:rsidRPr="003454D6">
        <w:t xml:space="preserve"> can be passed </w:t>
      </w:r>
      <w:r>
        <w:t xml:space="preserve">between bacteria </w:t>
      </w:r>
      <w:r w:rsidRPr="003454D6">
        <w:t>by horizontal gene transfer</w:t>
      </w:r>
      <w:r>
        <w:t xml:space="preserve"> and confer antibiotic resistance</w:t>
      </w:r>
      <w:r w:rsidRPr="003454D6">
        <w:t>.</w:t>
      </w:r>
      <w:r>
        <w:t xml:space="preserve"> Class </w:t>
      </w:r>
      <w:r w:rsidR="009B0621">
        <w:t xml:space="preserve">1 </w:t>
      </w:r>
      <w:r>
        <w:t xml:space="preserve">integrons </w:t>
      </w:r>
      <w:r w:rsidRPr="003454D6">
        <w:t>encode IntI1 integrase</w:t>
      </w:r>
      <w:r>
        <w:t xml:space="preserve">, which </w:t>
      </w:r>
      <w:r w:rsidRPr="003454D6">
        <w:t xml:space="preserve">is able to insert up to 6 gene cassettes at an integron-associated recombination site </w:t>
      </w:r>
      <w:r>
        <w:rPr>
          <w:noProof/>
        </w:rPr>
        <w:t>(Gillings</w:t>
      </w:r>
      <w:r w:rsidRPr="00807A39">
        <w:rPr>
          <w:i/>
          <w:noProof/>
        </w:rPr>
        <w:t xml:space="preserve"> et al.</w:t>
      </w:r>
      <w:r>
        <w:rPr>
          <w:noProof/>
        </w:rPr>
        <w:t>, 2009)</w:t>
      </w:r>
      <w:r w:rsidRPr="003454D6">
        <w:t xml:space="preserve">. Class 1 integrons were first known to primarily confer resistance </w:t>
      </w:r>
      <w:r>
        <w:t xml:space="preserve">to </w:t>
      </w:r>
      <w:r w:rsidRPr="003454D6">
        <w:t>antibiotic drug</w:t>
      </w:r>
      <w:r>
        <w:t>s</w:t>
      </w:r>
      <w:r w:rsidRPr="003454D6">
        <w:t xml:space="preserve"> </w:t>
      </w:r>
      <w:r>
        <w:rPr>
          <w:noProof/>
        </w:rPr>
        <w:t>(Recchia &amp; Hall, 1995, Partridge</w:t>
      </w:r>
      <w:r w:rsidRPr="00807A39">
        <w:rPr>
          <w:i/>
          <w:noProof/>
        </w:rPr>
        <w:t xml:space="preserve"> et al.</w:t>
      </w:r>
      <w:r>
        <w:rPr>
          <w:noProof/>
        </w:rPr>
        <w:t>, 2001)</w:t>
      </w:r>
      <w:r w:rsidRPr="003454D6">
        <w:t xml:space="preserve">, but they also confer resistance to a variety of other antibiotic compounds </w:t>
      </w:r>
      <w:r>
        <w:rPr>
          <w:noProof/>
        </w:rPr>
        <w:t>(Gillings</w:t>
      </w:r>
      <w:r w:rsidRPr="00807A39">
        <w:rPr>
          <w:i/>
          <w:noProof/>
        </w:rPr>
        <w:t xml:space="preserve"> et al.</w:t>
      </w:r>
      <w:r>
        <w:rPr>
          <w:noProof/>
        </w:rPr>
        <w:t>, 2009, Gaze</w:t>
      </w:r>
      <w:r w:rsidRPr="00807A39">
        <w:rPr>
          <w:i/>
          <w:noProof/>
        </w:rPr>
        <w:t xml:space="preserve"> et al.</w:t>
      </w:r>
      <w:r>
        <w:rPr>
          <w:noProof/>
        </w:rPr>
        <w:t>, 2011)</w:t>
      </w:r>
      <w:r w:rsidRPr="003454D6">
        <w:t xml:space="preserve">. </w:t>
      </w:r>
      <w:r>
        <w:t xml:space="preserve">Class 1 integrons are </w:t>
      </w:r>
      <w:r>
        <w:lastRenderedPageBreak/>
        <w:t xml:space="preserve">elevated in sewage sludge and elevated levels have also been found in sewage effluent </w:t>
      </w:r>
      <w:r>
        <w:rPr>
          <w:noProof/>
        </w:rPr>
        <w:t>(Gaze</w:t>
      </w:r>
      <w:r w:rsidRPr="00807A39">
        <w:rPr>
          <w:i/>
          <w:noProof/>
        </w:rPr>
        <w:t xml:space="preserve"> et al.</w:t>
      </w:r>
      <w:r>
        <w:rPr>
          <w:noProof/>
        </w:rPr>
        <w:t>, 2011, Amos</w:t>
      </w:r>
      <w:r w:rsidRPr="00807A39">
        <w:rPr>
          <w:i/>
          <w:noProof/>
        </w:rPr>
        <w:t xml:space="preserve"> et al.</w:t>
      </w:r>
      <w:r>
        <w:rPr>
          <w:noProof/>
        </w:rPr>
        <w:t>, 2015, Paiva</w:t>
      </w:r>
      <w:r w:rsidRPr="00807A39">
        <w:rPr>
          <w:i/>
          <w:noProof/>
        </w:rPr>
        <w:t xml:space="preserve"> et al.</w:t>
      </w:r>
      <w:r>
        <w:rPr>
          <w:noProof/>
        </w:rPr>
        <w:t>, 2015)</w:t>
      </w:r>
      <w:r>
        <w:t xml:space="preserve">. </w:t>
      </w:r>
      <w:r>
        <w:rPr>
          <w:noProof/>
        </w:rPr>
        <w:t>(Gillings</w:t>
      </w:r>
      <w:r w:rsidRPr="00807A39">
        <w:rPr>
          <w:i/>
          <w:noProof/>
        </w:rPr>
        <w:t xml:space="preserve"> et al.</w:t>
      </w:r>
      <w:r>
        <w:rPr>
          <w:noProof/>
        </w:rPr>
        <w:t>, 2015)</w:t>
      </w:r>
      <w:r>
        <w:t xml:space="preserve"> have recently proposed to use the gene as a genetic marker for anthropogenic pollution.</w:t>
      </w:r>
    </w:p>
    <w:p w14:paraId="363336F4" w14:textId="77777777" w:rsidR="00831F77" w:rsidRDefault="00831F77" w:rsidP="006A76D6"/>
    <w:p w14:paraId="65CFED6E" w14:textId="77777777" w:rsidR="00831F77" w:rsidRDefault="00831F77" w:rsidP="006A76D6">
      <w:r>
        <w:t>We hypothesized that adding sewage effluent to a river, even in as low a concentration as 2.5 ppm,</w:t>
      </w:r>
      <w:r>
        <w:rPr>
          <w:color w:val="FF0000"/>
        </w:rPr>
        <w:t xml:space="preserve"> </w:t>
      </w:r>
      <w:r w:rsidRPr="00504B43">
        <w:t xml:space="preserve">would </w:t>
      </w:r>
      <w:r>
        <w:t>significantly change the diversity and structure of riverine biofilms or lead to increased transfer of mobile genetic elements. We tested our hypothesis with a factorial design, using two different chalk streams as experimental platforms and two treatments (sewage effluent and control) per experiment.</w:t>
      </w:r>
    </w:p>
    <w:p w14:paraId="74D4770A" w14:textId="77777777" w:rsidR="00831F77" w:rsidRDefault="00831F77" w:rsidP="006A76D6">
      <w:pPr>
        <w:rPr>
          <w:b/>
        </w:rPr>
      </w:pPr>
    </w:p>
    <w:p w14:paraId="15E7B1EC" w14:textId="77777777" w:rsidR="00831F77" w:rsidRPr="00A317BD" w:rsidRDefault="00831F77" w:rsidP="006A76D6">
      <w:pPr>
        <w:rPr>
          <w:b/>
        </w:rPr>
      </w:pPr>
      <w:r>
        <w:rPr>
          <w:b/>
        </w:rPr>
        <w:t>2. Methods</w:t>
      </w:r>
    </w:p>
    <w:p w14:paraId="74A164CD" w14:textId="24AC71D0" w:rsidR="00831F77" w:rsidRPr="0097733E" w:rsidRDefault="0097733E" w:rsidP="006A76D6">
      <w:pPr>
        <w:rPr>
          <w:i/>
        </w:rPr>
      </w:pPr>
      <w:r w:rsidRPr="0097733E">
        <w:rPr>
          <w:i/>
        </w:rPr>
        <w:t xml:space="preserve">2.1 </w:t>
      </w:r>
      <w:r w:rsidR="00831F77" w:rsidRPr="0097733E">
        <w:rPr>
          <w:i/>
        </w:rPr>
        <w:t>Sites</w:t>
      </w:r>
    </w:p>
    <w:p w14:paraId="6EA503E8" w14:textId="77777777" w:rsidR="00831F77" w:rsidRPr="00C819DC" w:rsidRDefault="00831F77" w:rsidP="006A76D6">
      <w:pPr>
        <w:rPr>
          <w:b/>
        </w:rPr>
      </w:pPr>
      <w:r>
        <w:rPr>
          <w:rFonts w:eastAsia="Times New Roman"/>
        </w:rPr>
        <w:t xml:space="preserve">The Lambourn site </w:t>
      </w:r>
      <w:r>
        <w:t>(</w:t>
      </w:r>
      <w:r w:rsidRPr="00722D96">
        <w:t>51.446022,</w:t>
      </w:r>
      <w:r>
        <w:t xml:space="preserve"> </w:t>
      </w:r>
      <w:r w:rsidRPr="00722D96">
        <w:t>-1.382894</w:t>
      </w:r>
      <w:r w:rsidRPr="001C5A3A">
        <w:t xml:space="preserve"> </w:t>
      </w:r>
      <w:r>
        <w:t>Lat/Long, Decimal Geographic Coordinates)</w:t>
      </w:r>
      <w:r>
        <w:rPr>
          <w:rFonts w:eastAsia="Times New Roman"/>
        </w:rPr>
        <w:t xml:space="preserve"> and the Kennet site </w:t>
      </w:r>
      <w:r>
        <w:t>(</w:t>
      </w:r>
      <w:r w:rsidRPr="00722D96">
        <w:t>51.422744,</w:t>
      </w:r>
      <w:r>
        <w:t xml:space="preserve"> </w:t>
      </w:r>
      <w:r w:rsidRPr="00722D96">
        <w:t>-1.698095</w:t>
      </w:r>
      <w:r w:rsidRPr="001C5A3A">
        <w:t xml:space="preserve"> </w:t>
      </w:r>
      <w:r>
        <w:t>Lat/Long, Decimal Geographic Coordinates)</w:t>
      </w:r>
      <w:r>
        <w:rPr>
          <w:rFonts w:eastAsia="Times New Roman"/>
        </w:rPr>
        <w:t xml:space="preserve"> have a similar underlying geology. As chalk streams, they are fed by the aquifer that underlies the area. They are calcium and bi-carbonate rich and have relatively constant chemical compositions </w:t>
      </w:r>
      <w:r>
        <w:rPr>
          <w:rFonts w:eastAsia="Times New Roman"/>
          <w:noProof/>
        </w:rPr>
        <w:t>(Neal</w:t>
      </w:r>
      <w:r w:rsidRPr="0018452A">
        <w:rPr>
          <w:rFonts w:eastAsia="Times New Roman"/>
          <w:i/>
          <w:noProof/>
        </w:rPr>
        <w:t xml:space="preserve"> et al.</w:t>
      </w:r>
      <w:r>
        <w:rPr>
          <w:rFonts w:eastAsia="Times New Roman"/>
          <w:noProof/>
        </w:rPr>
        <w:t>, 2000, Neal</w:t>
      </w:r>
      <w:r w:rsidRPr="0018452A">
        <w:rPr>
          <w:rFonts w:eastAsia="Times New Roman"/>
          <w:i/>
          <w:noProof/>
        </w:rPr>
        <w:t xml:space="preserve"> et al.</w:t>
      </w:r>
      <w:r>
        <w:rPr>
          <w:rFonts w:eastAsia="Times New Roman"/>
          <w:noProof/>
        </w:rPr>
        <w:t>, 2004)</w:t>
      </w:r>
      <w:r>
        <w:rPr>
          <w:rFonts w:eastAsia="Times New Roman"/>
        </w:rPr>
        <w:t>.</w:t>
      </w:r>
    </w:p>
    <w:p w14:paraId="4B93C9CD" w14:textId="44184FC8" w:rsidR="00831F77" w:rsidRDefault="00831F77" w:rsidP="006A76D6">
      <w:r>
        <w:t>The Kennet is impacted by point source and diffuse pollution, and by low water flow due to abstraction at the Axford borehole, ca. 2 km downstream of the experimental site to supply household water to Swindon. Marlborough STW is located 1.7 km upstream from the experimental site (</w:t>
      </w:r>
      <w:r w:rsidR="00D3574F">
        <w:t>supplement/ figure 6</w:t>
      </w:r>
      <w:r>
        <w:t xml:space="preserve">), serving a population of ca. 8000 </w:t>
      </w:r>
      <w:r>
        <w:rPr>
          <w:noProof/>
        </w:rPr>
        <w:t>(Census, 2001)</w:t>
      </w:r>
      <w:r>
        <w:t xml:space="preserve">. Marlborough STW had a tertiary treatment upgrade in 1997 </w:t>
      </w:r>
      <w:r>
        <w:rPr>
          <w:noProof/>
        </w:rPr>
        <w:t>(Neal</w:t>
      </w:r>
      <w:r w:rsidRPr="0018452A">
        <w:rPr>
          <w:i/>
          <w:noProof/>
        </w:rPr>
        <w:t xml:space="preserve"> et al.</w:t>
      </w:r>
      <w:r>
        <w:rPr>
          <w:noProof/>
        </w:rPr>
        <w:t>, 2010)</w:t>
      </w:r>
      <w:r>
        <w:t xml:space="preserve"> reducing phosphorus input by 70%, which did not significantly reduce phytoplankton growth </w:t>
      </w:r>
      <w:r>
        <w:rPr>
          <w:noProof/>
        </w:rPr>
        <w:t>(Neal</w:t>
      </w:r>
      <w:r w:rsidRPr="0018452A">
        <w:rPr>
          <w:i/>
          <w:noProof/>
        </w:rPr>
        <w:t xml:space="preserve"> et al.</w:t>
      </w:r>
      <w:r>
        <w:rPr>
          <w:noProof/>
        </w:rPr>
        <w:t>, 2010)</w:t>
      </w:r>
      <w:r>
        <w:t xml:space="preserve">. Regular monitoring shows that the site is frequently affected by excessive benthic algae growth </w:t>
      </w:r>
      <w:r>
        <w:rPr>
          <w:noProof/>
        </w:rPr>
        <w:t>(Bowes</w:t>
      </w:r>
      <w:r w:rsidRPr="00807A39">
        <w:rPr>
          <w:i/>
          <w:noProof/>
        </w:rPr>
        <w:t xml:space="preserve"> et al.</w:t>
      </w:r>
      <w:r>
        <w:rPr>
          <w:noProof/>
        </w:rPr>
        <w:t>, 2010)</w:t>
      </w:r>
      <w:r>
        <w:t xml:space="preserve">. Macrophyte growth is sparse </w:t>
      </w:r>
      <w:r w:rsidRPr="00FD76AC">
        <w:t xml:space="preserve">and consists mainly of </w:t>
      </w:r>
      <w:r w:rsidRPr="00FD76AC">
        <w:rPr>
          <w:i/>
        </w:rPr>
        <w:t>Callitriche platycarpa</w:t>
      </w:r>
      <w:r w:rsidRPr="006E250A">
        <w:t>, a plant common in eutrophic waters</w:t>
      </w:r>
      <w:r>
        <w:t xml:space="preserve"> </w:t>
      </w:r>
      <w:r>
        <w:rPr>
          <w:noProof/>
        </w:rPr>
        <w:t>(Thiébaut &amp; Muller, 1999)</w:t>
      </w:r>
      <w:r>
        <w:t xml:space="preserve">. The absence of macrophytes is thought to be partly caused by low streamflow </w:t>
      </w:r>
      <w:r>
        <w:rPr>
          <w:noProof/>
        </w:rPr>
        <w:t>(Jarvie</w:t>
      </w:r>
      <w:r w:rsidRPr="00807A39">
        <w:rPr>
          <w:i/>
          <w:noProof/>
        </w:rPr>
        <w:t xml:space="preserve"> et al.</w:t>
      </w:r>
      <w:r>
        <w:rPr>
          <w:noProof/>
        </w:rPr>
        <w:t>, 2004)</w:t>
      </w:r>
      <w:r>
        <w:t>.</w:t>
      </w:r>
    </w:p>
    <w:p w14:paraId="7FB19450" w14:textId="77777777" w:rsidR="00831F77" w:rsidRDefault="00831F77" w:rsidP="006A76D6"/>
    <w:p w14:paraId="5A93AEE8" w14:textId="7D703CBA" w:rsidR="00831F77" w:rsidRPr="00E22074" w:rsidRDefault="00831F77" w:rsidP="006A76D6">
      <w:r w:rsidRPr="00E83578">
        <w:t>The Ri</w:t>
      </w:r>
      <w:r>
        <w:t xml:space="preserve">ver Lambourn </w:t>
      </w:r>
      <w:r w:rsidRPr="00E83578">
        <w:t>is</w:t>
      </w:r>
      <w:r>
        <w:t xml:space="preserve"> a tributary of the River Kennet. Like the Kennet, the river is chiefly groundwater-fed. East Shefford STW, which serves a population of </w:t>
      </w:r>
      <w:r w:rsidRPr="0049008F">
        <w:t>ca. 1000 people</w:t>
      </w:r>
      <w:r>
        <w:t xml:space="preserve"> </w:t>
      </w:r>
      <w:r>
        <w:rPr>
          <w:noProof/>
        </w:rPr>
        <w:t>(Census, 2001),</w:t>
      </w:r>
      <w:r>
        <w:t xml:space="preserve"> is discharging into the Lambourn 5km upstream from the </w:t>
      </w:r>
      <w:r>
        <w:lastRenderedPageBreak/>
        <w:t xml:space="preserve">experimental site. The STW has tertiary treatment facilities that remove between 80-90% of phosphorus from the sewage effluent </w:t>
      </w:r>
      <w:r>
        <w:rPr>
          <w:noProof/>
        </w:rPr>
        <w:t>(Jarvie</w:t>
      </w:r>
      <w:r w:rsidRPr="00807A39">
        <w:rPr>
          <w:i/>
          <w:noProof/>
        </w:rPr>
        <w:t xml:space="preserve"> et al.</w:t>
      </w:r>
      <w:r>
        <w:rPr>
          <w:noProof/>
        </w:rPr>
        <w:t>, 2006)</w:t>
      </w:r>
      <w:r>
        <w:t xml:space="preserve">. Additional waste water input might be received from septic tanks which release into groundwater close to the river </w:t>
      </w:r>
      <w:r>
        <w:rPr>
          <w:noProof/>
        </w:rPr>
        <w:t>(Neal</w:t>
      </w:r>
      <w:r w:rsidRPr="00807A39">
        <w:rPr>
          <w:i/>
          <w:noProof/>
        </w:rPr>
        <w:t xml:space="preserve"> et al.</w:t>
      </w:r>
      <w:r>
        <w:rPr>
          <w:noProof/>
        </w:rPr>
        <w:t>, 2004)</w:t>
      </w:r>
      <w:r>
        <w:t xml:space="preserve">. </w:t>
      </w:r>
      <w:r w:rsidRPr="00460B8C">
        <w:rPr>
          <w:rFonts w:eastAsia="Times New Roman"/>
        </w:rPr>
        <w:t xml:space="preserve">The </w:t>
      </w:r>
      <w:r>
        <w:rPr>
          <w:rFonts w:eastAsia="Times New Roman"/>
        </w:rPr>
        <w:t xml:space="preserve">location </w:t>
      </w:r>
      <w:bookmarkStart w:id="1" w:name="OLE_LINK93"/>
      <w:bookmarkStart w:id="2" w:name="OLE_LINK96"/>
      <w:r>
        <w:rPr>
          <w:rFonts w:eastAsia="Times New Roman"/>
        </w:rPr>
        <w:t xml:space="preserve">shows minimal signs of impact from eutrophication and has high macrophyte biomass, including abundant </w:t>
      </w:r>
      <w:bookmarkStart w:id="3" w:name="OLE_LINK33"/>
      <w:bookmarkStart w:id="4" w:name="OLE_LINK34"/>
      <w:r w:rsidRPr="004D673E">
        <w:rPr>
          <w:i/>
        </w:rPr>
        <w:t>Ranunculus fluitans</w:t>
      </w:r>
      <w:bookmarkEnd w:id="3"/>
      <w:bookmarkEnd w:id="4"/>
      <w:r>
        <w:t xml:space="preserve">, </w:t>
      </w:r>
      <w:bookmarkStart w:id="5" w:name="OLE_LINK126"/>
      <w:bookmarkStart w:id="6" w:name="OLE_LINK127"/>
      <w:r>
        <w:t xml:space="preserve">a keystone species in </w:t>
      </w:r>
      <w:bookmarkEnd w:id="5"/>
      <w:bookmarkEnd w:id="6"/>
      <w:r>
        <w:t xml:space="preserve">Chalk Rivers and indicator for an undisturbed habitat </w:t>
      </w:r>
      <w:r>
        <w:rPr>
          <w:noProof/>
        </w:rPr>
        <w:t>(Hatton-Ellis &amp; Grieve, 2003)</w:t>
      </w:r>
      <w:r w:rsidRPr="004D673E">
        <w:rPr>
          <w:rFonts w:eastAsia="Times New Roman"/>
        </w:rPr>
        <w:t>.</w:t>
      </w:r>
      <w:bookmarkEnd w:id="1"/>
      <w:bookmarkEnd w:id="2"/>
      <w:r>
        <w:rPr>
          <w:rFonts w:eastAsia="Times New Roman"/>
        </w:rPr>
        <w:t xml:space="preserve"> </w:t>
      </w:r>
      <w:r>
        <w:t>Nutrient and boron measurements taken in the first half of 2009 (</w:t>
      </w:r>
      <w:r w:rsidR="00D3574F">
        <w:t>supplement/ figure 8</w:t>
      </w:r>
      <w:r w:rsidR="002D3B1F">
        <w:t xml:space="preserve">) </w:t>
      </w:r>
      <w:r>
        <w:t xml:space="preserve">in the build-up to our study showed that the main differences in the river chemistry were soluble reactive phosphorus (SRP) and boron levels, where boron is used as a tracer for anthropogenic contamination </w:t>
      </w:r>
      <w:r>
        <w:rPr>
          <w:noProof/>
        </w:rPr>
        <w:t>(Barth, 1998)</w:t>
      </w:r>
      <w:r>
        <w:t>. Both SRP and boron are higher in the Kennet, suggesting that t</w:t>
      </w:r>
      <w:r w:rsidRPr="003840D2">
        <w:t>he</w:t>
      </w:r>
      <w:r>
        <w:t xml:space="preserve"> defining</w:t>
      </w:r>
      <w:r w:rsidRPr="003840D2">
        <w:t xml:space="preserve"> </w:t>
      </w:r>
      <w:r>
        <w:t xml:space="preserve">difference between the two sites is the measure of human impact on each site. </w:t>
      </w:r>
    </w:p>
    <w:p w14:paraId="6EA9DF35" w14:textId="77777777" w:rsidR="00831F77" w:rsidRDefault="00831F77" w:rsidP="006A76D6">
      <w:pPr>
        <w:rPr>
          <w:b/>
        </w:rPr>
      </w:pPr>
    </w:p>
    <w:p w14:paraId="05E4E7CC" w14:textId="32301445" w:rsidR="00831F77" w:rsidRPr="0097733E" w:rsidRDefault="0097733E" w:rsidP="006A76D6">
      <w:pPr>
        <w:rPr>
          <w:rFonts w:eastAsia="Times New Roman"/>
          <w:i/>
        </w:rPr>
      </w:pPr>
      <w:r w:rsidRPr="0097733E">
        <w:rPr>
          <w:rFonts w:eastAsia="Times New Roman"/>
          <w:i/>
        </w:rPr>
        <w:t xml:space="preserve">2.2 </w:t>
      </w:r>
      <w:r w:rsidR="00831F77" w:rsidRPr="0097733E">
        <w:rPr>
          <w:rFonts w:eastAsia="Times New Roman"/>
          <w:i/>
        </w:rPr>
        <w:t>Experiment methodology</w:t>
      </w:r>
    </w:p>
    <w:p w14:paraId="399D342F" w14:textId="55D6B9DC" w:rsidR="00831F77" w:rsidRDefault="00831F77" w:rsidP="006A76D6">
      <w:r>
        <w:t xml:space="preserve">We conducted mesocosm </w:t>
      </w:r>
      <w:r w:rsidR="009B0621">
        <w:t>experiments</w:t>
      </w:r>
      <w:r>
        <w:t xml:space="preserve"> in the Rivers Lambourn and Kennet using the mescososms described in </w:t>
      </w:r>
      <w:r>
        <w:rPr>
          <w:noProof/>
        </w:rPr>
        <w:t>(Bowes</w:t>
      </w:r>
      <w:r w:rsidRPr="00807A39">
        <w:rPr>
          <w:i/>
          <w:noProof/>
        </w:rPr>
        <w:t xml:space="preserve"> et al.</w:t>
      </w:r>
      <w:r>
        <w:rPr>
          <w:noProof/>
        </w:rPr>
        <w:t>, 2010)</w:t>
      </w:r>
      <w:r>
        <w:t>. Briefly, they are constructed as blocks of 3 flumes that float directly in the river, allowing river water to flow through freely (</w:t>
      </w:r>
      <w:r w:rsidR="002D3B1F">
        <w:t>supplement/ figure 7</w:t>
      </w:r>
      <w:r>
        <w:t xml:space="preserve">). Each flume was gated to standardise flow rates at the upstream end and a sump to collect river debris ¾ of the length from the inlet </w:t>
      </w:r>
      <w:r>
        <w:rPr>
          <w:noProof/>
        </w:rPr>
        <w:t>(Bowes</w:t>
      </w:r>
      <w:r w:rsidRPr="00807A39">
        <w:rPr>
          <w:i/>
          <w:noProof/>
        </w:rPr>
        <w:t xml:space="preserve"> et al.</w:t>
      </w:r>
      <w:r>
        <w:rPr>
          <w:noProof/>
        </w:rPr>
        <w:t>, 2010)</w:t>
      </w:r>
      <w:r>
        <w:t>. The flumes were made of polyvinyl chloride sheeting set in an aluminium frame, with each flume measuring 5 m x 0.3 m. Treatments can be pumped directly into the flumes with one peristaltic pump. Treatment concentration within the flumes is controlled by regulation of both flow rate and pump drip rate, making it possible to replicate conditions from one flume to the other. We therefore considered each flume to be one biological replicate. For this experiment, sets of flumes were tethered to the riverbank and positioned 0.5 m above the streambed,</w:t>
      </w:r>
      <w:r w:rsidRPr="0011668F">
        <w:t xml:space="preserve"> </w:t>
      </w:r>
      <w:r>
        <w:t>held by scaffolding poles. Floats ensured a constant water depth of ~6 cm inside the flumes. The gap between the riverbed and mesocosms limited the number of invertebrate colonizers entering the flumes</w:t>
      </w:r>
      <w:r w:rsidRPr="00871FF5">
        <w:t>.</w:t>
      </w:r>
      <w:r>
        <w:t xml:space="preserve"> The Kennet’s smaller channel width allowed for two mesocosms (6 channels), whereas the Lambourn could fit four mesocosms (of which we used 8 channels). We grew microbial biofilms on </w:t>
      </w:r>
      <w:r w:rsidRPr="00E44B4B">
        <w:t>2 cm x 2</w:t>
      </w:r>
      <w:r>
        <w:t xml:space="preserve"> cm limestone tiles placed behind the sump area of the flume channels (</w:t>
      </w:r>
      <w:r w:rsidR="002D3B1F">
        <w:t>supplement/ figure 7</w:t>
      </w:r>
      <w:r>
        <w:t xml:space="preserve">). For both experiments, we placed six sterile tiles in each channel at the beginning of the experiment. During the experiments, we set the flow rate in each channel to </w:t>
      </w:r>
      <w:r w:rsidRPr="00E2212F">
        <w:t>0.1 m s</w:t>
      </w:r>
      <w:r w:rsidRPr="00E2212F">
        <w:rPr>
          <w:vertAlign w:val="superscript"/>
        </w:rPr>
        <w:t>-1</w:t>
      </w:r>
      <w:r>
        <w:rPr>
          <w:vertAlign w:val="superscript"/>
        </w:rPr>
        <w:t xml:space="preserve"> </w:t>
      </w:r>
      <w:r>
        <w:t xml:space="preserve">(measured by a Valeport </w:t>
      </w:r>
      <w:r>
        <w:lastRenderedPageBreak/>
        <w:t>801 flow meter)</w:t>
      </w:r>
      <w:r w:rsidRPr="00871FF5">
        <w:t>.</w:t>
      </w:r>
      <w:r>
        <w:t xml:space="preserve">  </w:t>
      </w:r>
      <w:bookmarkStart w:id="7" w:name="OLE_LINK134"/>
      <w:bookmarkStart w:id="8" w:name="OLE_LINK135"/>
      <w:r>
        <w:t>Treatments were delivered through a tube to the upstream ends of randomly chosen channels,</w:t>
      </w:r>
      <w:bookmarkEnd w:id="7"/>
      <w:bookmarkEnd w:id="8"/>
      <w:r>
        <w:t xml:space="preserve"> using a peristaltic pump (</w:t>
      </w:r>
      <w:r>
        <w:rPr>
          <w:rFonts w:eastAsia="Times New Roman"/>
        </w:rPr>
        <w:t>FH100M, Fisher Scientific, Loughborough, UK)</w:t>
      </w:r>
      <w:r>
        <w:t xml:space="preserve"> to drip in the treatments at a drip rate needed to maintain the desired concentrations. The pump dripped sewage effluent</w:t>
      </w:r>
      <w:r w:rsidRPr="00463B27">
        <w:t xml:space="preserve"> </w:t>
      </w:r>
      <w:r>
        <w:t xml:space="preserve">into the treatment channels to maintain a concentration of </w:t>
      </w:r>
      <w:r w:rsidRPr="00463B27">
        <w:t>≥ 2.5 ppm</w:t>
      </w:r>
      <w:r>
        <w:t>. The sewage was kept in plastic containers wrapped in aluminium foil that we stored in dark metal cupboards, to minimize changes to the effluent caused by light and temperature effects. The tiles were harvested after 9 days, because biofilms grown in pilot studies invariable had matured enough to slough off the tiles and float downstream by that timepoint.</w:t>
      </w:r>
    </w:p>
    <w:p w14:paraId="5EE7B5F4" w14:textId="77777777" w:rsidR="00831F77" w:rsidRPr="00156337" w:rsidRDefault="00831F77" w:rsidP="006A76D6"/>
    <w:p w14:paraId="7A3C4B65" w14:textId="01C4423C" w:rsidR="00831F77" w:rsidRPr="0097733E" w:rsidRDefault="0097733E" w:rsidP="006A76D6">
      <w:pPr>
        <w:rPr>
          <w:i/>
        </w:rPr>
      </w:pPr>
      <w:r w:rsidRPr="0097733E">
        <w:rPr>
          <w:i/>
        </w:rPr>
        <w:t xml:space="preserve">2.3 </w:t>
      </w:r>
      <w:r w:rsidR="00831F77" w:rsidRPr="0097733E">
        <w:rPr>
          <w:i/>
        </w:rPr>
        <w:t>Sample collection and DNA sequencing</w:t>
      </w:r>
    </w:p>
    <w:p w14:paraId="76256842" w14:textId="77777777" w:rsidR="00831F77" w:rsidRDefault="00831F77" w:rsidP="006A76D6">
      <w:pPr>
        <w:widowControl w:val="0"/>
        <w:autoSpaceDE w:val="0"/>
        <w:autoSpaceDN w:val="0"/>
        <w:adjustRightInd w:val="0"/>
        <w:spacing w:after="240"/>
        <w:rPr>
          <w:rFonts w:eastAsia="Times New Roman"/>
        </w:rPr>
      </w:pPr>
      <w:r>
        <w:t xml:space="preserve">The experiments started on 17/06/09 and 02/09/09 respectively. On day 9 of each experiment, we harvested the biofilms in all flumes and extracted the DNA, pooling the 6 tiles within each treatment/flume. On collection, the tiles and some river water were moved into sterile sampling bags and stored in a dark cooling container during transport. Upon arrival in the laboratory </w:t>
      </w:r>
      <w:r w:rsidRPr="00E44B4B">
        <w:t>(&lt; 5 h)</w:t>
      </w:r>
      <w:r>
        <w:t xml:space="preserve"> the tiles were frozen at -80˚C. To extract DNA w</w:t>
      </w:r>
      <w:r w:rsidRPr="00E45DFD">
        <w:t xml:space="preserve">e added 300 μl of lysis buffer </w:t>
      </w:r>
      <w:r>
        <w:t>(</w:t>
      </w:r>
      <w:r w:rsidRPr="00E45DFD">
        <w:t>100</w:t>
      </w:r>
      <w:r>
        <w:t xml:space="preserve"> m</w:t>
      </w:r>
      <w:r w:rsidRPr="00E45DFD">
        <w:t>M NaCl, 500 mM Tris</w:t>
      </w:r>
      <w:r>
        <w:t xml:space="preserve"> (</w:t>
      </w:r>
      <w:r w:rsidRPr="00E45DFD">
        <w:t>pH 8</w:t>
      </w:r>
      <w:r>
        <w:t>)</w:t>
      </w:r>
      <w:r w:rsidRPr="00E45DFD">
        <w:t>, 10%</w:t>
      </w:r>
      <w:r>
        <w:t xml:space="preserve"> (</w:t>
      </w:r>
      <w:r w:rsidRPr="00E45DFD">
        <w:t>w/</w:t>
      </w:r>
      <w:r>
        <w:t>v)</w:t>
      </w:r>
      <w:r w:rsidRPr="00E45DFD">
        <w:t xml:space="preserve"> </w:t>
      </w:r>
      <w:r>
        <w:t>sodium dodecyl sulfate</w:t>
      </w:r>
      <w:r w:rsidRPr="00E45DFD">
        <w:t>, 2</w:t>
      </w:r>
      <w:r>
        <w:t xml:space="preserve"> </w:t>
      </w:r>
      <w:r w:rsidRPr="00E45DFD">
        <w:t>mg ml</w:t>
      </w:r>
      <w:r w:rsidRPr="00EF0CF0">
        <w:rPr>
          <w:vertAlign w:val="superscript"/>
        </w:rPr>
        <w:t>-1</w:t>
      </w:r>
      <w:r w:rsidRPr="00E45DFD">
        <w:t xml:space="preserve"> </w:t>
      </w:r>
      <w:r>
        <w:t>p</w:t>
      </w:r>
      <w:r w:rsidRPr="00E45DFD">
        <w:t>roteinase K, 2</w:t>
      </w:r>
      <w:r>
        <w:t xml:space="preserve"> </w:t>
      </w:r>
      <w:r w:rsidRPr="00E45DFD">
        <w:t>mg ml</w:t>
      </w:r>
      <w:r w:rsidRPr="0041577F">
        <w:rPr>
          <w:vertAlign w:val="superscript"/>
        </w:rPr>
        <w:t>-1</w:t>
      </w:r>
      <w:r w:rsidRPr="00E45DFD">
        <w:t xml:space="preserve"> </w:t>
      </w:r>
      <w:r>
        <w:t>l</w:t>
      </w:r>
      <w:r w:rsidRPr="00E45DFD">
        <w:t xml:space="preserve">ysing enzyme mix </w:t>
      </w:r>
      <w:r>
        <w:t>(</w:t>
      </w:r>
      <w:r w:rsidRPr="00E45DFD">
        <w:t>both Sigma-Genosys, Gillingham, U</w:t>
      </w:r>
      <w:r>
        <w:t>K)) and 300 μl of NaH</w:t>
      </w:r>
      <w:r w:rsidRPr="00EF0CF0">
        <w:rPr>
          <w:vertAlign w:val="subscript"/>
        </w:rPr>
        <w:t>2</w:t>
      </w:r>
      <w:r>
        <w:t>PO</w:t>
      </w:r>
      <w:r w:rsidRPr="00EF0CF0">
        <w:rPr>
          <w:vertAlign w:val="subscript"/>
        </w:rPr>
        <w:t>4</w:t>
      </w:r>
      <w:r>
        <w:t xml:space="preserve"> (pH 8.0) to the pooled sample,</w:t>
      </w:r>
      <w:r w:rsidRPr="00E45DFD">
        <w:t xml:space="preserve"> incubated</w:t>
      </w:r>
      <w:r>
        <w:t xml:space="preserve"> the DNA</w:t>
      </w:r>
      <w:r w:rsidRPr="00E45DFD">
        <w:t xml:space="preserve"> in a 55</w:t>
      </w:r>
      <w:r>
        <w:t>°C</w:t>
      </w:r>
      <w:r w:rsidRPr="00E45DFD">
        <w:t xml:space="preserve"> water bath for 30 min and mixed every 10 min</w:t>
      </w:r>
      <w:r>
        <w:t>.,</w:t>
      </w:r>
      <w:r w:rsidRPr="00E45DFD">
        <w:t xml:space="preserve"> added 80 μl of </w:t>
      </w:r>
      <w:r>
        <w:t>pre</w:t>
      </w:r>
      <w:r w:rsidRPr="00E45DFD">
        <w:t xml:space="preserve">warmed </w:t>
      </w:r>
      <w:r>
        <w:t xml:space="preserve">10% </w:t>
      </w:r>
      <w:r w:rsidRPr="00E45DFD">
        <w:t xml:space="preserve">CTAB solution </w:t>
      </w:r>
      <w:r>
        <w:t>(</w:t>
      </w:r>
      <w:r w:rsidRPr="00E45DFD">
        <w:t>65</w:t>
      </w:r>
      <w:r>
        <w:t>°C),</w:t>
      </w:r>
      <w:r w:rsidRPr="00E45DFD">
        <w:t xml:space="preserve"> incubated in 65</w:t>
      </w:r>
      <w:r>
        <w:t>°C</w:t>
      </w:r>
      <w:r w:rsidRPr="00E45DFD">
        <w:t xml:space="preserve"> for 10 </w:t>
      </w:r>
      <w:r w:rsidRPr="0041577F">
        <w:t>minutes, added 680</w:t>
      </w:r>
      <w:r w:rsidRPr="00E45DFD">
        <w:t>μl</w:t>
      </w:r>
      <w:r>
        <w:t xml:space="preserve"> </w:t>
      </w:r>
      <w:r w:rsidRPr="0041577F">
        <w:t>chloroform:isoamyl alcohol (24:1 vol/vol)</w:t>
      </w:r>
      <w:r w:rsidRPr="00E45DFD">
        <w:t xml:space="preserve">. The tubes were </w:t>
      </w:r>
      <w:r>
        <w:t xml:space="preserve">centrifuged </w:t>
      </w:r>
      <w:r w:rsidRPr="00E45DFD">
        <w:t>for 5 minutes at 14000 rpm. The aqueous top layer was aspirated into a new tube</w:t>
      </w:r>
      <w:r>
        <w:t xml:space="preserve"> and t</w:t>
      </w:r>
      <w:r w:rsidRPr="00E45DFD">
        <w:t xml:space="preserve">he DNA precipitated by adding 300% </w:t>
      </w:r>
      <w:r>
        <w:t>(</w:t>
      </w:r>
      <w:r w:rsidRPr="00E45DFD">
        <w:t>w/v</w:t>
      </w:r>
      <w:r>
        <w:t>)</w:t>
      </w:r>
      <w:r w:rsidRPr="00E45DFD">
        <w:t xml:space="preserve"> TE Buffer, pH 8.0 </w:t>
      </w:r>
      <w:r>
        <w:t>(</w:t>
      </w:r>
      <w:r w:rsidRPr="00E45DFD">
        <w:t>10 mM TRIS-HCl, 1 mM EDTA, pH 8.0</w:t>
      </w:r>
      <w:r>
        <w:t>)</w:t>
      </w:r>
      <w:r w:rsidRPr="00E45DFD">
        <w:t xml:space="preserve"> and 200% </w:t>
      </w:r>
      <w:r>
        <w:t>(</w:t>
      </w:r>
      <w:r w:rsidRPr="00E45DFD">
        <w:t>w/v</w:t>
      </w:r>
      <w:r>
        <w:t>)</w:t>
      </w:r>
      <w:r w:rsidRPr="00E45DFD">
        <w:t xml:space="preserve"> PEG/MgCl</w:t>
      </w:r>
      <w:r w:rsidRPr="00742040">
        <w:rPr>
          <w:vertAlign w:val="subscript"/>
        </w:rPr>
        <w:t>2</w:t>
      </w:r>
      <w:r w:rsidRPr="00E45DFD">
        <w:t xml:space="preserve"> mix </w:t>
      </w:r>
      <w:r>
        <w:t>(</w:t>
      </w:r>
      <w:r w:rsidRPr="00E45DFD">
        <w:t xml:space="preserve">30% </w:t>
      </w:r>
      <w:r>
        <w:t>(</w:t>
      </w:r>
      <w:r w:rsidRPr="00E45DFD">
        <w:t>w/v</w:t>
      </w:r>
      <w:r>
        <w:t>)</w:t>
      </w:r>
      <w:r w:rsidRPr="00E45DFD">
        <w:t xml:space="preserve"> PEG 8000, 30 mM MgCl</w:t>
      </w:r>
      <w:r w:rsidRPr="00EF0CF0">
        <w:rPr>
          <w:vertAlign w:val="subscript"/>
        </w:rPr>
        <w:t>2</w:t>
      </w:r>
      <w:r>
        <w:t>)</w:t>
      </w:r>
      <w:r w:rsidRPr="00E45DFD">
        <w:t>, leaving the samples overnight at 5</w:t>
      </w:r>
      <w:r>
        <w:t>°C</w:t>
      </w:r>
      <w:r w:rsidRPr="004A74BB" w:rsidDel="00EF0CF0">
        <w:rPr>
          <w:vertAlign w:val="superscript"/>
        </w:rPr>
        <w:t xml:space="preserve"> </w:t>
      </w:r>
      <w:r>
        <w:rPr>
          <w:noProof/>
        </w:rPr>
        <w:t>(Paithankar and Prasad 1991)</w:t>
      </w:r>
      <w:r w:rsidRPr="00E45DFD">
        <w:t xml:space="preserve">. </w:t>
      </w:r>
      <w:r w:rsidRPr="0041577F">
        <w:t>We</w:t>
      </w:r>
      <w:r w:rsidRPr="00E45DFD">
        <w:t xml:space="preserve"> then centrifuged</w:t>
      </w:r>
      <w:r>
        <w:t xml:space="preserve"> the replicates</w:t>
      </w:r>
      <w:r w:rsidRPr="00E45DFD">
        <w:t xml:space="preserve"> </w:t>
      </w:r>
      <w:r>
        <w:t xml:space="preserve">(12 per treatment) </w:t>
      </w:r>
      <w:r w:rsidRPr="00E45DFD">
        <w:t>for 10 min at 14000 rpm, discarded the supernatant and washed the DNA pellet</w:t>
      </w:r>
      <w:r>
        <w:t>s</w:t>
      </w:r>
      <w:r w:rsidRPr="00E45DFD">
        <w:t xml:space="preserve"> by adding 300 μl 70% chilled ethanol. </w:t>
      </w:r>
      <w:r w:rsidRPr="000A0D97">
        <w:t>We</w:t>
      </w:r>
      <w:r w:rsidRPr="00E45DFD">
        <w:t xml:space="preserve"> </w:t>
      </w:r>
      <w:r>
        <w:t>centrifuged the tubes again,</w:t>
      </w:r>
      <w:r w:rsidRPr="00E45DFD">
        <w:t xml:space="preserve"> discarded the ethanol and left the tubes to dry in </w:t>
      </w:r>
      <w:r>
        <w:t xml:space="preserve">a laminar </w:t>
      </w:r>
      <w:r w:rsidRPr="00E45DFD">
        <w:t xml:space="preserve">flow </w:t>
      </w:r>
      <w:r>
        <w:t xml:space="preserve">cabinet </w:t>
      </w:r>
      <w:r w:rsidRPr="00E45DFD">
        <w:t>until the etha</w:t>
      </w:r>
      <w:r>
        <w:t xml:space="preserve">nol had evaporated. We added 50 </w:t>
      </w:r>
      <w:r w:rsidRPr="00E45DFD">
        <w:t xml:space="preserve">μl ultrapure water and left the DNA to resuspend </w:t>
      </w:r>
      <w:r>
        <w:t>for</w:t>
      </w:r>
      <w:r w:rsidRPr="00E45DFD">
        <w:t xml:space="preserve"> 1</w:t>
      </w:r>
      <w:r>
        <w:t xml:space="preserve"> </w:t>
      </w:r>
      <w:r w:rsidRPr="00E45DFD">
        <w:t>h on the bench.</w:t>
      </w:r>
      <w:r>
        <w:t xml:space="preserve"> </w:t>
      </w:r>
      <w:r>
        <w:rPr>
          <w:rFonts w:eastAsia="Times New Roman"/>
        </w:rPr>
        <w:t xml:space="preserve">We used the </w:t>
      </w:r>
      <w:r>
        <w:rPr>
          <w:rStyle w:val="rtfparagraph"/>
          <w:rFonts w:eastAsia="Times New Roman"/>
        </w:rPr>
        <w:t>454 GS-FLX TITANIUM platform</w:t>
      </w:r>
      <w:r>
        <w:rPr>
          <w:rFonts w:eastAsia="Times New Roman"/>
        </w:rPr>
        <w:t xml:space="preserve"> (Roche 454 Life Sciences, Branford, CT, USA) to produce tag-encoded 16S amplicons of ~400 bp length. </w:t>
      </w:r>
      <w:r>
        <w:t xml:space="preserve">We targeted a fragment of </w:t>
      </w:r>
      <w:r w:rsidRPr="006D5085">
        <w:t xml:space="preserve">the </w:t>
      </w:r>
      <w:r>
        <w:t xml:space="preserve">16S ribosomal RNA (rRNA), </w:t>
      </w:r>
      <w:r w:rsidRPr="006D5085">
        <w:t xml:space="preserve">comprising the V6 and V7 regions. Primers used for the </w:t>
      </w:r>
      <w:r w:rsidRPr="006D5085">
        <w:lastRenderedPageBreak/>
        <w:t xml:space="preserve">PCR were 967F, 5’-CNACGCGAAGAACCTTANC-3’, and </w:t>
      </w:r>
      <w:r>
        <w:t xml:space="preserve">1391R, 5’- GACGGGCGGTGTGTRCA-3’ </w:t>
      </w:r>
      <w:r>
        <w:rPr>
          <w:noProof/>
        </w:rPr>
        <w:t>(Huber, et al. 2009: 1292-302, Huse, et al. 2008)</w:t>
      </w:r>
      <w:r w:rsidRPr="006D5085">
        <w:t>.</w:t>
      </w:r>
      <w:r>
        <w:t xml:space="preserve"> These universal primers are designed to amplify a large variety of 16S sequences, but, as with all universal primers, it cannot be excluded that some OTUs (both chloroplast and bacterial 16S rRNA) did not get captured. </w:t>
      </w:r>
      <w:r>
        <w:rPr>
          <w:rFonts w:eastAsia="Times New Roman"/>
        </w:rPr>
        <w:t>The sequencing libraries were generated through a one-step PCR with a total of 30 cycles, a mixture of Hot Start and Hot Start high fidelity taq polymerases and amplicons extending from the forward primers</w:t>
      </w:r>
      <w:r>
        <w:t>.</w:t>
      </w:r>
      <w:r w:rsidRPr="000A4E6C">
        <w:t xml:space="preserve"> </w:t>
      </w:r>
      <w:r>
        <w:rPr>
          <w:rFonts w:eastAsia="Times New Roman"/>
        </w:rPr>
        <w:t>DNA amplification and pyrosequencing were carried out at Research and Testing Laboratory (Lubbock, TX, USA).</w:t>
      </w:r>
    </w:p>
    <w:p w14:paraId="141DB4E0" w14:textId="74953009" w:rsidR="00831F77" w:rsidRPr="0097733E" w:rsidRDefault="0097733E" w:rsidP="006A76D6">
      <w:pPr>
        <w:rPr>
          <w:i/>
        </w:rPr>
      </w:pPr>
      <w:r w:rsidRPr="0097733E">
        <w:rPr>
          <w:i/>
        </w:rPr>
        <w:t xml:space="preserve">2.4 </w:t>
      </w:r>
      <w:r w:rsidR="00831F77" w:rsidRPr="0097733E">
        <w:rPr>
          <w:i/>
        </w:rPr>
        <w:t>Analysis of Integron Prevalence</w:t>
      </w:r>
    </w:p>
    <w:p w14:paraId="52B0A375" w14:textId="77777777" w:rsidR="00831F77" w:rsidRDefault="00831F77" w:rsidP="006A76D6">
      <w:r>
        <w:t xml:space="preserve">For the analysis of integron prevalence in the Kennet, we pooled controls from the two successive experiments (i.e. both 02/06/2009 and 17/06/2009) to match the number of Lambourn replicates. </w:t>
      </w:r>
      <w:r>
        <w:rPr>
          <w:noProof/>
        </w:rPr>
        <w:t>(Amos</w:t>
      </w:r>
      <w:r w:rsidRPr="00807A39">
        <w:rPr>
          <w:i/>
          <w:noProof/>
        </w:rPr>
        <w:t xml:space="preserve"> et al.</w:t>
      </w:r>
      <w:r>
        <w:rPr>
          <w:noProof/>
        </w:rPr>
        <w:t>, 2015)</w:t>
      </w:r>
      <w:r>
        <w:t xml:space="preserve"> have shown that no significant changes to integron prevalence levels in the Thames catchment between summer months could be observed, and we tested our data with ANOVA for time effects and found none. The integron prevalence analysis was done as per </w:t>
      </w:r>
      <w:r>
        <w:rPr>
          <w:noProof/>
        </w:rPr>
        <w:t>(Gaze</w:t>
      </w:r>
      <w:r w:rsidRPr="00807A39">
        <w:rPr>
          <w:i/>
          <w:noProof/>
        </w:rPr>
        <w:t xml:space="preserve"> et al.</w:t>
      </w:r>
      <w:r>
        <w:rPr>
          <w:noProof/>
        </w:rPr>
        <w:t>, 2011)</w:t>
      </w:r>
      <w:r>
        <w:t>. In short, s</w:t>
      </w:r>
      <w:r w:rsidRPr="00F95FD1">
        <w:t>ubsamples of the DNA extract</w:t>
      </w:r>
      <w:r>
        <w:t xml:space="preserve">ions were amplified by real time PCR with primers targeting class 1 integrons. Class 1 integrons can carry antibiotic resistance genes and are hence an indicator for prevalence of antibiotic resistance in microbial communities </w:t>
      </w:r>
      <w:r>
        <w:rPr>
          <w:noProof/>
        </w:rPr>
        <w:t>(Gaze</w:t>
      </w:r>
      <w:r w:rsidRPr="00807A39">
        <w:rPr>
          <w:i/>
          <w:noProof/>
        </w:rPr>
        <w:t xml:space="preserve"> et al.</w:t>
      </w:r>
      <w:r>
        <w:rPr>
          <w:noProof/>
        </w:rPr>
        <w:t>, 2008)</w:t>
      </w:r>
      <w:r>
        <w:t xml:space="preserve">. </w:t>
      </w:r>
      <w:r>
        <w:rPr>
          <w:rFonts w:eastAsia="Times New Roman"/>
        </w:rPr>
        <w:t xml:space="preserve">Standard curves for absolute quantification of </w:t>
      </w:r>
      <w:r>
        <w:rPr>
          <w:rFonts w:eastAsia="Times New Roman"/>
          <w:i/>
          <w:iCs/>
        </w:rPr>
        <w:t>intI1</w:t>
      </w:r>
      <w:r>
        <w:rPr>
          <w:rFonts w:eastAsia="Times New Roman"/>
        </w:rPr>
        <w:t xml:space="preserve"> were produced from serial dilutions of </w:t>
      </w:r>
      <w:r>
        <w:rPr>
          <w:rFonts w:eastAsia="Times New Roman"/>
          <w:i/>
          <w:iCs/>
        </w:rPr>
        <w:t>E. coli</w:t>
      </w:r>
      <w:r>
        <w:rPr>
          <w:rFonts w:eastAsia="Times New Roman"/>
        </w:rPr>
        <w:t xml:space="preserve"> SK4903 and enumerated by viable plate counts. Molecular prevalence was calculated by dividing the number of target genes by the number of 16S rRNA copies, with corrections made for 16S rRNA copy number. </w:t>
      </w:r>
      <w:r>
        <w:t>One sewage effluent replicate from the Kennet did not amplify.</w:t>
      </w:r>
    </w:p>
    <w:p w14:paraId="5D7B8E2D" w14:textId="77777777" w:rsidR="00831F77" w:rsidRPr="00CF7372" w:rsidRDefault="00831F77" w:rsidP="006A76D6"/>
    <w:p w14:paraId="680A49E8" w14:textId="0B022CEF" w:rsidR="00831F77" w:rsidRPr="0097733E" w:rsidRDefault="0097733E" w:rsidP="006A76D6">
      <w:pPr>
        <w:rPr>
          <w:i/>
        </w:rPr>
      </w:pPr>
      <w:r w:rsidRPr="0097733E">
        <w:rPr>
          <w:i/>
        </w:rPr>
        <w:t xml:space="preserve">2.5 </w:t>
      </w:r>
      <w:r w:rsidR="00831F77" w:rsidRPr="0097733E">
        <w:rPr>
          <w:i/>
        </w:rPr>
        <w:t>Bioinformatics</w:t>
      </w:r>
    </w:p>
    <w:p w14:paraId="6DC24942" w14:textId="29A5045D" w:rsidR="00831F77" w:rsidRDefault="00831F77" w:rsidP="006A76D6">
      <w:pPr>
        <w:rPr>
          <w:rFonts w:eastAsia="Times New Roman"/>
        </w:rPr>
      </w:pPr>
      <w:r w:rsidRPr="000A0D97">
        <w:t>We</w:t>
      </w:r>
      <w:r>
        <w:t xml:space="preserve"> used CloVR 1.0 RC4 </w:t>
      </w:r>
      <w:r>
        <w:rPr>
          <w:noProof/>
        </w:rPr>
        <w:t>(Angiuoli</w:t>
      </w:r>
      <w:r w:rsidRPr="0018452A">
        <w:rPr>
          <w:i/>
          <w:noProof/>
        </w:rPr>
        <w:t xml:space="preserve"> et al.</w:t>
      </w:r>
      <w:r>
        <w:rPr>
          <w:noProof/>
        </w:rPr>
        <w:t>, 2011)</w:t>
      </w:r>
      <w:r>
        <w:t xml:space="preserve"> on the Data Intensive Academic Grid (DIAG, University of Maryland, USA) to run the QIIME workflow </w:t>
      </w:r>
      <w:r>
        <w:rPr>
          <w:noProof/>
        </w:rPr>
        <w:t>'pick_otus_through_otu_tables.py' (Caporaso</w:t>
      </w:r>
      <w:r w:rsidRPr="0018452A">
        <w:rPr>
          <w:i/>
          <w:noProof/>
        </w:rPr>
        <w:t xml:space="preserve"> et al.</w:t>
      </w:r>
      <w:r>
        <w:rPr>
          <w:noProof/>
        </w:rPr>
        <w:t xml:space="preserve">, 2010). Within the QIIME workflow: (1) we set </w:t>
      </w:r>
      <w:r>
        <w:t>the minimum and maximum sequence length to 100 bp and 2000 bp respectively, the maximum homopolymer length to 8 bp and maximum number of ambiguous calls to zero; (2) clustering was performed using UCLUST</w:t>
      </w:r>
      <w:r w:rsidRPr="006170F9">
        <w:t xml:space="preserve"> </w:t>
      </w:r>
      <w:r>
        <w:t xml:space="preserve">with a nucleotide sequence identity threshold within each cluster at 97% and alignment </w:t>
      </w:r>
      <w:r>
        <w:lastRenderedPageBreak/>
        <w:t xml:space="preserve">against the Greengenes 16S database with PyNAST; (3) taxonomy assignment of each OTU-representing sequence through the RDP classifier with a confidence threshold of 0.8. </w:t>
      </w:r>
      <w:r w:rsidRPr="00C0124B">
        <w:t xml:space="preserve">After quality control, the data set consisted of </w:t>
      </w:r>
      <w:r w:rsidRPr="00523012">
        <w:rPr>
          <w:lang w:val="en-GB" w:eastAsia="en-US"/>
        </w:rPr>
        <w:t>57225</w:t>
      </w:r>
      <w:r>
        <w:t xml:space="preserve"> combined reads for the 6 channels of the Kennet sewage study, and</w:t>
      </w:r>
      <w:r w:rsidRPr="00523012">
        <w:t xml:space="preserve"> </w:t>
      </w:r>
      <w:r w:rsidRPr="00523012">
        <w:rPr>
          <w:lang w:val="en-GB" w:eastAsia="en-US"/>
        </w:rPr>
        <w:t>279583</w:t>
      </w:r>
      <w:r>
        <w:rPr>
          <w:lang w:val="en-GB" w:eastAsia="en-US"/>
        </w:rPr>
        <w:t xml:space="preserve"> reads for the 8 channels of the Lambourn sewage study</w:t>
      </w:r>
      <w:r w:rsidRPr="00C0124B">
        <w:t xml:space="preserve">. Clustering and chimera removal left </w:t>
      </w:r>
      <w:r w:rsidRPr="00741B8C">
        <w:t xml:space="preserve">43925 and </w:t>
      </w:r>
      <w:r w:rsidRPr="00741B8C">
        <w:rPr>
          <w:lang w:val="en-GB" w:eastAsia="en-US"/>
        </w:rPr>
        <w:t>259637</w:t>
      </w:r>
      <w:r>
        <w:rPr>
          <w:lang w:val="en-GB" w:eastAsia="en-US"/>
        </w:rPr>
        <w:t xml:space="preserve"> reads respectively</w:t>
      </w:r>
      <w:r w:rsidRPr="00C0124B">
        <w:t xml:space="preserve">. </w:t>
      </w:r>
      <w:r>
        <w:t xml:space="preserve">Following from earlier studies </w:t>
      </w:r>
      <w:r>
        <w:rPr>
          <w:noProof/>
        </w:rPr>
        <w:t>(Pillet</w:t>
      </w:r>
      <w:r w:rsidRPr="0018452A">
        <w:rPr>
          <w:i/>
          <w:noProof/>
        </w:rPr>
        <w:t xml:space="preserve"> et al.</w:t>
      </w:r>
      <w:r>
        <w:rPr>
          <w:noProof/>
        </w:rPr>
        <w:t>, 2011, Lindemann</w:t>
      </w:r>
      <w:r w:rsidRPr="0018452A">
        <w:rPr>
          <w:i/>
          <w:noProof/>
        </w:rPr>
        <w:t xml:space="preserve"> et al.</w:t>
      </w:r>
      <w:r>
        <w:rPr>
          <w:noProof/>
        </w:rPr>
        <w:t>, 2013) we used the chloroplast 16S rRNA to focus on the algal communities</w:t>
      </w:r>
      <w:r>
        <w:t xml:space="preserve">. Therefore, of those OTU's that were identified to genus level, we divided the community into algal-derived chloroplast reads and bacterial (including cyanobacterial) reads. We equilibrated the number of sequences per sample by rarefaction (randomly sampling without replacement </w:t>
      </w:r>
      <w:r>
        <w:rPr>
          <w:noProof/>
        </w:rPr>
        <w:t>(Hamady</w:t>
      </w:r>
      <w:r w:rsidRPr="0018452A">
        <w:rPr>
          <w:i/>
          <w:noProof/>
        </w:rPr>
        <w:t xml:space="preserve"> et al.</w:t>
      </w:r>
      <w:r>
        <w:rPr>
          <w:noProof/>
        </w:rPr>
        <w:t>, 2009, Koren</w:t>
      </w:r>
      <w:r w:rsidRPr="0018452A">
        <w:rPr>
          <w:i/>
          <w:noProof/>
        </w:rPr>
        <w:t xml:space="preserve"> et al.</w:t>
      </w:r>
      <w:r>
        <w:rPr>
          <w:noProof/>
        </w:rPr>
        <w:t>, 2013)</w:t>
      </w:r>
      <w:r>
        <w:t>, resulting in</w:t>
      </w:r>
      <w:r w:rsidRPr="00E83336">
        <w:rPr>
          <w:color w:val="FF0000"/>
        </w:rPr>
        <w:t xml:space="preserve"> </w:t>
      </w:r>
      <w:r w:rsidRPr="00C4382B">
        <w:t xml:space="preserve">1589 algal sequences per sample, and 1390 bacterial sequences per sample. </w:t>
      </w:r>
      <w:r>
        <w:t xml:space="preserve">The rarefied OTU table lists 2765 bacterial OTUs and 350 eukaryotic OTUs. Any </w:t>
      </w:r>
      <w:r w:rsidRPr="00C4382B">
        <w:t xml:space="preserve">OTUs that are discussed on the species level </w:t>
      </w:r>
      <w:r>
        <w:t xml:space="preserve">were blasted individually against the RDP database </w:t>
      </w:r>
      <w:r>
        <w:rPr>
          <w:noProof/>
        </w:rPr>
        <w:t>(Cole</w:t>
      </w:r>
      <w:r w:rsidRPr="0018452A">
        <w:rPr>
          <w:i/>
          <w:noProof/>
        </w:rPr>
        <w:t xml:space="preserve"> et al.</w:t>
      </w:r>
      <w:r>
        <w:rPr>
          <w:noProof/>
        </w:rPr>
        <w:t>, 2009)</w:t>
      </w:r>
      <w:r>
        <w:t>. Only fragments that could be matched at 97% or above were classified to species level. The rarefied OTU tables were imported into the R environment (www.r-project.org) for statistical analysis and into</w:t>
      </w:r>
      <w:r w:rsidRPr="003D59DD">
        <w:t xml:space="preserve"> Galaxy </w:t>
      </w:r>
      <w:r>
        <w:rPr>
          <w:noProof/>
        </w:rPr>
        <w:t>(Afgan</w:t>
      </w:r>
      <w:r w:rsidRPr="00807A39">
        <w:rPr>
          <w:i/>
          <w:noProof/>
        </w:rPr>
        <w:t xml:space="preserve"> et al.</w:t>
      </w:r>
      <w:r>
        <w:rPr>
          <w:noProof/>
        </w:rPr>
        <w:t>, 2016)</w:t>
      </w:r>
      <w:r>
        <w:t xml:space="preserve"> </w:t>
      </w:r>
      <w:r w:rsidRPr="003D59DD">
        <w:t>to predict functional traits in each community</w:t>
      </w:r>
      <w:r>
        <w:t xml:space="preserve"> and to link those to treatments and sites</w:t>
      </w:r>
      <w:r w:rsidRPr="003D59DD">
        <w:t xml:space="preserve"> with PICRUSt</w:t>
      </w:r>
      <w:r>
        <w:t xml:space="preserve"> </w:t>
      </w:r>
      <w:r>
        <w:rPr>
          <w:noProof/>
        </w:rPr>
        <w:t>(Langille</w:t>
      </w:r>
      <w:r w:rsidRPr="00807A39">
        <w:rPr>
          <w:i/>
          <w:noProof/>
        </w:rPr>
        <w:t xml:space="preserve"> et al.</w:t>
      </w:r>
      <w:r>
        <w:rPr>
          <w:noProof/>
        </w:rPr>
        <w:t>, 2013)</w:t>
      </w:r>
      <w:r>
        <w:t xml:space="preserve"> and </w:t>
      </w:r>
      <w:r w:rsidRPr="003D59DD">
        <w:rPr>
          <w:rFonts w:eastAsia="Times New Roman"/>
        </w:rPr>
        <w:t>MaAsLin</w:t>
      </w:r>
      <w:r w:rsidRPr="003D59DD">
        <w:t xml:space="preserve"> analysis</w:t>
      </w:r>
      <w:r>
        <w:rPr>
          <w:rFonts w:eastAsia="Times New Roman"/>
        </w:rPr>
        <w:t xml:space="preserve"> </w:t>
      </w:r>
      <w:r>
        <w:rPr>
          <w:rFonts w:eastAsia="Times New Roman"/>
          <w:noProof/>
        </w:rPr>
        <w:t>(T</w:t>
      </w:r>
      <w:r w:rsidRPr="0018452A">
        <w:rPr>
          <w:rFonts w:eastAsia="Times New Roman"/>
          <w:i/>
          <w:noProof/>
        </w:rPr>
        <w:t xml:space="preserve"> et al.</w:t>
      </w:r>
      <w:r>
        <w:rPr>
          <w:rFonts w:eastAsia="Times New Roman"/>
          <w:noProof/>
        </w:rPr>
        <w:t>, In progress)</w:t>
      </w:r>
      <w:r>
        <w:t xml:space="preserve">. </w:t>
      </w:r>
      <w:r>
        <w:rPr>
          <w:rFonts w:eastAsia="Times New Roman"/>
        </w:rPr>
        <w:t xml:space="preserve">PICRUSt first uses an ancestral state reconstruction algorithm to estimate ancestral gene content, on the assumption that this can provide a baseline to predict gene content even in a modern unknown organism </w:t>
      </w:r>
      <w:r>
        <w:rPr>
          <w:rFonts w:eastAsia="Times New Roman"/>
          <w:noProof/>
        </w:rPr>
        <w:t>(Langille</w:t>
      </w:r>
      <w:r w:rsidRPr="00807A39">
        <w:rPr>
          <w:rFonts w:eastAsia="Times New Roman"/>
          <w:i/>
          <w:noProof/>
        </w:rPr>
        <w:t xml:space="preserve"> et al.</w:t>
      </w:r>
      <w:r>
        <w:rPr>
          <w:rFonts w:eastAsia="Times New Roman"/>
          <w:noProof/>
        </w:rPr>
        <w:t>, 2013)</w:t>
      </w:r>
      <w:r>
        <w:rPr>
          <w:rFonts w:eastAsia="Times New Roman"/>
        </w:rPr>
        <w:t>. Based on three pieces of key information (gene counts in each sequenced genome, the ancestral traits and a reference tree containing both reference organisms and inferred ancestral organisms), the analysis then predicts metabolic functions of the organisms found in the community. PICRUSt predicts the functional composition of a microbial community metagenome from its 16S profile in a two-step process: 1) gene content inference, 2) metagenome inference.</w:t>
      </w:r>
    </w:p>
    <w:p w14:paraId="51814C1B" w14:textId="77777777" w:rsidR="00831F77" w:rsidRDefault="00831F77" w:rsidP="006A76D6">
      <w:pPr>
        <w:rPr>
          <w:rFonts w:eastAsia="Times New Roman"/>
        </w:rPr>
      </w:pPr>
    </w:p>
    <w:p w14:paraId="68518DA2" w14:textId="77777777" w:rsidR="00831F77" w:rsidRDefault="00831F77" w:rsidP="006A76D6">
      <w:pPr>
        <w:rPr>
          <w:rFonts w:eastAsia="Times New Roman"/>
        </w:rPr>
      </w:pPr>
      <w:r>
        <w:rPr>
          <w:rFonts w:eastAsia="Times New Roman"/>
        </w:rPr>
        <w:t>In step 1, PICRUSt uses ancestral state reconstruction to precompute the gene content for each organism in a reference phylogenetic tree. This reconstructs a table of predicted gene family abundances for each organism in the 16S-based phylogeny. To do this, PICRUSt uses existing annotations of gene content from reference genomes in the IMG database. We used the KEGG Orthology (KOs) for reference.</w:t>
      </w:r>
    </w:p>
    <w:p w14:paraId="1BB37A49" w14:textId="77777777" w:rsidR="00831F77" w:rsidRDefault="00831F77" w:rsidP="006A76D6">
      <w:pPr>
        <w:rPr>
          <w:rFonts w:eastAsia="Times New Roman"/>
        </w:rPr>
      </w:pPr>
      <w:r>
        <w:rPr>
          <w:rFonts w:eastAsia="Times New Roman"/>
        </w:rPr>
        <w:lastRenderedPageBreak/>
        <w:t xml:space="preserve">In step 2, PICRUST combines the resulting gene content predictions for all microbial taxa with the relative abundance of 16S rRNA genes in one or more microbial community samples, corrected for expected 16S rRNA gene copy number, to generate the expected abundances of gene families in the entire community. Briefly, this step is based on a user-provided table of operational taxonomic units (OTUs) with associated Greengenes identifiers for each sample. The OTU table is normalized by dividing the abundance of each organism by its predicted 16S copy number. The 16S rRNA copy numbers for each organism are themselves inferred as a quantitative trait by ancestral state reconstruction during step 1. Normalized OTU abundances are subsequently multiplied by the set of gene family abundances calculated for each in step 1. The output is a table of predicted gene family counts for each sample, where gene families are KOs. </w:t>
      </w:r>
    </w:p>
    <w:p w14:paraId="4F6714B7" w14:textId="77777777" w:rsidR="00831F77" w:rsidRPr="007659C3" w:rsidRDefault="00831F77" w:rsidP="006A76D6">
      <w:pPr>
        <w:rPr>
          <w:rFonts w:eastAsia="Times New Roman"/>
        </w:rPr>
      </w:pPr>
      <w:r>
        <w:rPr>
          <w:rFonts w:eastAsia="Times New Roman"/>
        </w:rPr>
        <w:t xml:space="preserve">The table that resulted from our PICRUSt process was turned into proportional data and combined with metadata to perform </w:t>
      </w:r>
      <w:r>
        <w:rPr>
          <w:rStyle w:val="st"/>
          <w:rFonts w:eastAsia="Times New Roman"/>
        </w:rPr>
        <w:t>Multivariate Association with Linear Models</w:t>
      </w:r>
      <w:r>
        <w:rPr>
          <w:rFonts w:eastAsia="Times New Roman"/>
        </w:rPr>
        <w:t xml:space="preserve"> (MaAsLin, </w:t>
      </w:r>
      <w:r>
        <w:rPr>
          <w:rFonts w:eastAsia="Times New Roman"/>
          <w:noProof/>
        </w:rPr>
        <w:t>(T</w:t>
      </w:r>
      <w:r w:rsidRPr="0018452A">
        <w:rPr>
          <w:rFonts w:eastAsia="Times New Roman"/>
          <w:i/>
          <w:noProof/>
        </w:rPr>
        <w:t xml:space="preserve"> et al.</w:t>
      </w:r>
      <w:r>
        <w:rPr>
          <w:rFonts w:eastAsia="Times New Roman"/>
          <w:noProof/>
        </w:rPr>
        <w:t>, In progress)</w:t>
      </w:r>
      <w:r>
        <w:rPr>
          <w:rFonts w:eastAsia="Times New Roman"/>
        </w:rPr>
        <w:t>). MaAsLin performs additive general linear models between one group of data (in our case water chemistry measurements and location) and another group (the OTU’s) to discover associations between the metadata and microbial community relative abundance or function. As a first step, MaAsLin performs a variable selection. As metagenomic data is often sparse (</w:t>
      </w:r>
      <w:r>
        <w:rPr>
          <w:rStyle w:val="tgc"/>
          <w:rFonts w:eastAsia="Times New Roman"/>
        </w:rPr>
        <w:t xml:space="preserve">i.e. most of the elements are zero) the data is pre-analyzed </w:t>
      </w:r>
      <w:r>
        <w:rPr>
          <w:rFonts w:eastAsia="Times New Roman"/>
        </w:rPr>
        <w:t xml:space="preserve">(boosting) </w:t>
      </w:r>
      <w:r>
        <w:rPr>
          <w:rStyle w:val="tgc"/>
          <w:rFonts w:eastAsia="Times New Roman"/>
        </w:rPr>
        <w:t>for its</w:t>
      </w:r>
      <w:r>
        <w:rPr>
          <w:rFonts w:eastAsia="Times New Roman"/>
        </w:rPr>
        <w:t xml:space="preserve"> potential to be useful in a linear model between the metadata and OTU abundances. Every OTU/predictor and metadata/response variable combination from this pre-selected data is subsequently used in a general linear model. The final output shows the results from the linear models, correlations, a p-value and a q-value to correct for False Discovery Rate.</w:t>
      </w:r>
    </w:p>
    <w:p w14:paraId="40929449" w14:textId="77777777" w:rsidR="00831F77" w:rsidRPr="00742104" w:rsidRDefault="00831F77" w:rsidP="006A76D6">
      <w:pPr>
        <w:tabs>
          <w:tab w:val="left" w:pos="1276"/>
        </w:tabs>
        <w:rPr>
          <w:noProof/>
        </w:rPr>
      </w:pPr>
    </w:p>
    <w:p w14:paraId="524F8C43" w14:textId="77777777" w:rsidR="00831F77" w:rsidRDefault="00831F77" w:rsidP="006A76D6">
      <w:pPr>
        <w:rPr>
          <w:b/>
          <w:i/>
        </w:rPr>
      </w:pPr>
      <w:r>
        <w:rPr>
          <w:b/>
        </w:rPr>
        <w:t xml:space="preserve">3. </w:t>
      </w:r>
      <w:r w:rsidRPr="00184F91">
        <w:rPr>
          <w:b/>
        </w:rPr>
        <w:t>Results</w:t>
      </w:r>
    </w:p>
    <w:p w14:paraId="50C4B4B7" w14:textId="77777777" w:rsidR="00831F77" w:rsidRPr="00104AAE" w:rsidRDefault="00831F77" w:rsidP="006A76D6">
      <w:pPr>
        <w:rPr>
          <w:i/>
        </w:rPr>
      </w:pPr>
      <w:r w:rsidRPr="00104AAE">
        <w:rPr>
          <w:i/>
        </w:rPr>
        <w:t>3.1 Nutrient levels</w:t>
      </w:r>
    </w:p>
    <w:p w14:paraId="2555AA2C" w14:textId="47B10EE8" w:rsidR="00831F77" w:rsidRPr="00485C8D" w:rsidRDefault="00831F77" w:rsidP="006A76D6">
      <w:pPr>
        <w:rPr>
          <w:b/>
          <w:i/>
        </w:rPr>
      </w:pPr>
      <w:r>
        <w:t>The nutrients measured in both rivers at the beginning and end of the experiment (</w:t>
      </w:r>
      <w:r w:rsidR="002D3B1F">
        <w:t xml:space="preserve">supplement/ figure </w:t>
      </w:r>
      <w:r w:rsidR="00D3574F">
        <w:t>9</w:t>
      </w:r>
      <w:r>
        <w:t xml:space="preserve">) showed that the Lambourn had </w:t>
      </w:r>
      <w:r>
        <w:rPr>
          <w:rFonts w:eastAsia="Times New Roman"/>
        </w:rPr>
        <w:t>55.56%</w:t>
      </w:r>
      <w:r>
        <w:t xml:space="preserve"> less soluble reactive phosphorus (SRP) than the Kennet, but very similar</w:t>
      </w:r>
      <w:r w:rsidRPr="00E86D55">
        <w:t xml:space="preserve"> </w:t>
      </w:r>
      <w:r>
        <w:t xml:space="preserve">total dissolved nitrogen (TDN - </w:t>
      </w:r>
      <w:r>
        <w:rPr>
          <w:rFonts w:eastAsia="Times New Roman"/>
        </w:rPr>
        <w:t>100.4%)</w:t>
      </w:r>
      <w:r>
        <w:t xml:space="preserve"> and silicon concentrations (</w:t>
      </w:r>
      <w:r>
        <w:rPr>
          <w:rFonts w:eastAsia="Times New Roman"/>
        </w:rPr>
        <w:t xml:space="preserve">101.81% - </w:t>
      </w:r>
      <w:r>
        <w:t>silicon is required primarily by diatoms).</w:t>
      </w:r>
    </w:p>
    <w:p w14:paraId="626E1DB8" w14:textId="77777777" w:rsidR="00831F77" w:rsidRDefault="00831F77" w:rsidP="006A76D6">
      <w:pPr>
        <w:rPr>
          <w:i/>
        </w:rPr>
      </w:pPr>
    </w:p>
    <w:p w14:paraId="3576FD7A" w14:textId="77777777" w:rsidR="00831F77" w:rsidRPr="007D5EC7" w:rsidRDefault="00831F77" w:rsidP="006A76D6">
      <w:pPr>
        <w:rPr>
          <w:i/>
        </w:rPr>
      </w:pPr>
      <w:r w:rsidRPr="007D5EC7">
        <w:rPr>
          <w:i/>
        </w:rPr>
        <w:t>3.2 Biofilm community differences</w:t>
      </w:r>
    </w:p>
    <w:p w14:paraId="30E6FECC" w14:textId="3AA53CA7" w:rsidR="00831F77" w:rsidRPr="002D1EC0" w:rsidRDefault="00831F77" w:rsidP="006A76D6">
      <w:pPr>
        <w:rPr>
          <w:color w:val="FF0000"/>
        </w:rPr>
      </w:pPr>
      <w:r>
        <w:lastRenderedPageBreak/>
        <w:t xml:space="preserve">We investigated the algal and bacterial biofilm components of both rivers separately because sewage effluent, as a mix of different pollutants, can affect algae and bacteria in different ways </w:t>
      </w:r>
      <w:r>
        <w:rPr>
          <w:noProof/>
        </w:rPr>
        <w:t>(Crane</w:t>
      </w:r>
      <w:r w:rsidRPr="00807A39">
        <w:rPr>
          <w:i/>
          <w:noProof/>
        </w:rPr>
        <w:t xml:space="preserve"> et al.</w:t>
      </w:r>
      <w:r>
        <w:rPr>
          <w:noProof/>
        </w:rPr>
        <w:t>, 2006)</w:t>
      </w:r>
      <w:r>
        <w:t>. The most dominant algal organisms in both rivers were the</w:t>
      </w:r>
      <w:r w:rsidRPr="008C79E4">
        <w:t xml:space="preserve"> Bacillariophyta</w:t>
      </w:r>
      <w:r>
        <w:t xml:space="preserve"> and the most common bacterial </w:t>
      </w:r>
      <w:r w:rsidRPr="00A77EDD">
        <w:t>phylum</w:t>
      </w:r>
      <w:r>
        <w:t xml:space="preserve"> was that of the Proteobacteria (</w:t>
      </w:r>
      <w:r>
        <w:fldChar w:fldCharType="begin"/>
      </w:r>
      <w:r>
        <w:instrText xml:space="preserve"> REF _Ref319443165 \h </w:instrText>
      </w:r>
      <w:r>
        <w:fldChar w:fldCharType="separate"/>
      </w:r>
      <w:r w:rsidR="002D3B1F">
        <w:t xml:space="preserve">Figure </w:t>
      </w:r>
      <w:r w:rsidR="002D3B1F">
        <w:rPr>
          <w:noProof/>
        </w:rPr>
        <w:t>1</w:t>
      </w:r>
      <w:r>
        <w:fldChar w:fldCharType="end"/>
      </w:r>
      <w:r>
        <w:t>). A large number of OTUs remained unclassified. Overall, the</w:t>
      </w:r>
      <w:r w:rsidRPr="006A2D67">
        <w:t xml:space="preserve"> Lambourn and Kennet </w:t>
      </w:r>
      <w:r>
        <w:t>samples</w:t>
      </w:r>
      <w:r w:rsidRPr="006A2D67">
        <w:t xml:space="preserve"> </w:t>
      </w:r>
      <w:r>
        <w:t>had</w:t>
      </w:r>
      <w:r w:rsidRPr="006A2D67">
        <w:t xml:space="preserve"> distinctly d</w:t>
      </w:r>
      <w:r>
        <w:t xml:space="preserve">ifferent periphyton communities (PERMANOVA Bacteria: Pseudo-F=18.5, </w:t>
      </w:r>
      <w:r w:rsidRPr="00176154">
        <w:rPr>
          <w:i/>
        </w:rPr>
        <w:t>p=</w:t>
      </w:r>
      <w:r>
        <w:rPr>
          <w:i/>
        </w:rPr>
        <w:t>0.001</w:t>
      </w:r>
      <w:r>
        <w:t xml:space="preserve">, Algae: Pseudo-F=112.2, </w:t>
      </w:r>
      <w:r w:rsidRPr="00176154">
        <w:rPr>
          <w:i/>
        </w:rPr>
        <w:t>p=</w:t>
      </w:r>
      <w:r>
        <w:rPr>
          <w:i/>
        </w:rPr>
        <w:t>0.001</w:t>
      </w:r>
      <w:r>
        <w:t>). This is also apparent in their rank abundance curves (</w:t>
      </w:r>
      <w:r>
        <w:fldChar w:fldCharType="begin"/>
      </w:r>
      <w:r>
        <w:instrText xml:space="preserve"> REF _Ref319445648 \h </w:instrText>
      </w:r>
      <w:r>
        <w:fldChar w:fldCharType="separate"/>
      </w:r>
      <w:r w:rsidR="002D3B1F">
        <w:t xml:space="preserve">Figure </w:t>
      </w:r>
      <w:r w:rsidR="002D3B1F">
        <w:rPr>
          <w:noProof/>
        </w:rPr>
        <w:t>2</w:t>
      </w:r>
      <w:r>
        <w:fldChar w:fldCharType="end"/>
      </w:r>
      <w:r>
        <w:t>) in which different OTUs dominate each community both in the algal and bacterial component of the biofilms. The biofilm communities in each river were also differently diverse (</w:t>
      </w:r>
      <w:r>
        <w:fldChar w:fldCharType="begin"/>
      </w:r>
      <w:r>
        <w:instrText xml:space="preserve"> REF _Ref319345125 \h </w:instrText>
      </w:r>
      <w:r>
        <w:fldChar w:fldCharType="separate"/>
      </w:r>
      <w:r w:rsidR="002D3B1F">
        <w:t xml:space="preserve">Figure </w:t>
      </w:r>
      <w:r w:rsidR="002D3B1F">
        <w:rPr>
          <w:noProof/>
        </w:rPr>
        <w:t>3</w:t>
      </w:r>
      <w:r>
        <w:fldChar w:fldCharType="end"/>
      </w:r>
      <w:r>
        <w:t xml:space="preserve">, 2-way ANOVA, </w:t>
      </w:r>
      <w:r w:rsidRPr="009C42AB">
        <w:t xml:space="preserve">F=7.6, </w:t>
      </w:r>
      <w:r w:rsidRPr="00176154">
        <w:rPr>
          <w:i/>
        </w:rPr>
        <w:t>p=0.02</w:t>
      </w:r>
      <w:r>
        <w:t xml:space="preserve"> for bacteria, </w:t>
      </w:r>
      <w:r w:rsidRPr="009C42AB">
        <w:t>F=</w:t>
      </w:r>
      <w:r>
        <w:t xml:space="preserve">25.4, </w:t>
      </w:r>
      <w:r w:rsidRPr="00176154">
        <w:rPr>
          <w:i/>
        </w:rPr>
        <w:t>p=0.0004</w:t>
      </w:r>
      <w:r>
        <w:t xml:space="preserve"> for algae</w:t>
      </w:r>
      <w:r w:rsidRPr="009C42AB">
        <w:t>)</w:t>
      </w:r>
      <w:r>
        <w:t>, but there were no differences between sewage effluent and control channels</w:t>
      </w:r>
      <w:r w:rsidRPr="009C42AB">
        <w:t xml:space="preserve">. </w:t>
      </w:r>
      <w:r>
        <w:t>Visualizing the data with an NMDS (</w:t>
      </w:r>
      <w:r>
        <w:fldChar w:fldCharType="begin"/>
      </w:r>
      <w:r>
        <w:instrText xml:space="preserve"> REF _Ref319450342 \h </w:instrText>
      </w:r>
      <w:r>
        <w:fldChar w:fldCharType="separate"/>
      </w:r>
      <w:r w:rsidR="002D3B1F">
        <w:t xml:space="preserve">Figure </w:t>
      </w:r>
      <w:r w:rsidR="002D3B1F">
        <w:rPr>
          <w:noProof/>
        </w:rPr>
        <w:t>4</w:t>
      </w:r>
      <w:r>
        <w:fldChar w:fldCharType="end"/>
      </w:r>
      <w:r>
        <w:t xml:space="preserve">), the data points cluster very clearly by river, not by treatment. </w:t>
      </w:r>
      <w:r w:rsidRPr="00515F83">
        <w:t>PICRUSt analysis</w:t>
      </w:r>
      <w:r>
        <w:t xml:space="preserve"> of the 16S data</w:t>
      </w:r>
      <w:r w:rsidRPr="00515F83">
        <w:t xml:space="preserve"> to predict functional traits </w:t>
      </w:r>
      <w:r>
        <w:rPr>
          <w:noProof/>
        </w:rPr>
        <w:t>(Langille</w:t>
      </w:r>
      <w:r w:rsidRPr="00807A39">
        <w:rPr>
          <w:i/>
          <w:noProof/>
        </w:rPr>
        <w:t xml:space="preserve"> et al.</w:t>
      </w:r>
      <w:r>
        <w:rPr>
          <w:noProof/>
        </w:rPr>
        <w:t>, 2013)</w:t>
      </w:r>
      <w:r>
        <w:t xml:space="preserve"> </w:t>
      </w:r>
      <w:r w:rsidRPr="00515F83">
        <w:t xml:space="preserve">notably showed </w:t>
      </w:r>
      <w:r>
        <w:t>negative</w:t>
      </w:r>
      <w:r w:rsidRPr="00515F83">
        <w:t xml:space="preserve"> correlations between </w:t>
      </w:r>
      <w:r>
        <w:t>the Lambourn communities and functions relating to xenobiotic processes,</w:t>
      </w:r>
      <w:r w:rsidRPr="0075076F">
        <w:t xml:space="preserve"> </w:t>
      </w:r>
      <w:r>
        <w:t>such as naphthalene, benzylethene or benzoate degradation, which point towards sewage effluent contamination, thereby confirming that the impact of sewage effluent on the Lambourn is small.</w:t>
      </w:r>
    </w:p>
    <w:p w14:paraId="28C9AAE8" w14:textId="77777777" w:rsidR="00831F77" w:rsidRDefault="00831F77" w:rsidP="006A76D6"/>
    <w:p w14:paraId="5BAE551B" w14:textId="7014967A" w:rsidR="00831F77" w:rsidRPr="00227510" w:rsidRDefault="00831F77" w:rsidP="006A76D6">
      <w:pPr>
        <w:rPr>
          <w:i/>
          <w:color w:val="FF0000"/>
        </w:rPr>
      </w:pPr>
      <w:r w:rsidRPr="00227510">
        <w:rPr>
          <w:i/>
        </w:rPr>
        <w:t xml:space="preserve">3.3. Class </w:t>
      </w:r>
      <w:r w:rsidR="009B0621">
        <w:rPr>
          <w:i/>
        </w:rPr>
        <w:t>1</w:t>
      </w:r>
      <w:r w:rsidR="009B0621" w:rsidRPr="00227510">
        <w:rPr>
          <w:i/>
        </w:rPr>
        <w:t xml:space="preserve"> </w:t>
      </w:r>
      <w:r>
        <w:rPr>
          <w:i/>
        </w:rPr>
        <w:t>integro</w:t>
      </w:r>
      <w:r w:rsidRPr="00227510">
        <w:rPr>
          <w:i/>
        </w:rPr>
        <w:t>n prevalence</w:t>
      </w:r>
    </w:p>
    <w:p w14:paraId="4A03C9F2" w14:textId="47B6D388" w:rsidR="00831F77" w:rsidRPr="002A375A" w:rsidRDefault="00831F77" w:rsidP="006A76D6">
      <w:pPr>
        <w:rPr>
          <w:b/>
        </w:rPr>
      </w:pPr>
      <w:r>
        <w:t>Focusing on c</w:t>
      </w:r>
      <w:r w:rsidRPr="006A2D67">
        <w:t xml:space="preserve">lass </w:t>
      </w:r>
      <w:r w:rsidR="009B0621">
        <w:t>1</w:t>
      </w:r>
      <w:r w:rsidR="009B0621" w:rsidRPr="006A2D67">
        <w:t xml:space="preserve"> </w:t>
      </w:r>
      <w:r>
        <w:t>i</w:t>
      </w:r>
      <w:r w:rsidRPr="006A2D67">
        <w:t>ntegron prevalence (</w:t>
      </w:r>
      <w:r>
        <w:fldChar w:fldCharType="begin"/>
      </w:r>
      <w:r>
        <w:instrText xml:space="preserve"> REF _Ref319450684 \h </w:instrText>
      </w:r>
      <w:r>
        <w:fldChar w:fldCharType="separate"/>
      </w:r>
      <w:r w:rsidR="002D3B1F">
        <w:t xml:space="preserve">Figure </w:t>
      </w:r>
      <w:r w:rsidR="002D3B1F">
        <w:rPr>
          <w:noProof/>
        </w:rPr>
        <w:t>5</w:t>
      </w:r>
      <w:r>
        <w:fldChar w:fldCharType="end"/>
      </w:r>
      <w:r w:rsidRPr="006A2D67">
        <w:t>)</w:t>
      </w:r>
      <w:r>
        <w:t xml:space="preserve"> rather than diversity and metabolic differences between the community, a different picture emerges. Here, the treatment (ANOVA, F=5.11,</w:t>
      </w:r>
      <w:r w:rsidRPr="006537CB">
        <w:rPr>
          <w:i/>
        </w:rPr>
        <w:t xml:space="preserve"> p=0.045</w:t>
      </w:r>
      <w:r>
        <w:t>), the river (ANOVA, F=</w:t>
      </w:r>
      <w:r w:rsidRPr="004B4F03">
        <w:t>18.8</w:t>
      </w:r>
      <w:r>
        <w:t xml:space="preserve">3, </w:t>
      </w:r>
      <w:r w:rsidRPr="004B4F03">
        <w:rPr>
          <w:i/>
        </w:rPr>
        <w:t>p=0.001</w:t>
      </w:r>
      <w:r>
        <w:t>) and interactions between treatment and river (ANOVA, F=</w:t>
      </w:r>
      <w:r w:rsidRPr="004B4F03">
        <w:t>6.42</w:t>
      </w:r>
      <w:r>
        <w:t>,</w:t>
      </w:r>
      <w:r w:rsidRPr="004B4F03">
        <w:t xml:space="preserve"> </w:t>
      </w:r>
      <w:r w:rsidRPr="004B4F03">
        <w:rPr>
          <w:i/>
        </w:rPr>
        <w:t>p=0.028</w:t>
      </w:r>
      <w:r>
        <w:t xml:space="preserve">) are all significant. Both in the Kennet and in the Lambourn replicates, </w:t>
      </w:r>
      <w:r w:rsidR="009B0621">
        <w:t xml:space="preserve">class 1 </w:t>
      </w:r>
      <w:r>
        <w:t>i</w:t>
      </w:r>
      <w:r w:rsidRPr="006A2D67">
        <w:t xml:space="preserve">ntegron prevalence is greater in the communities exposed to </w:t>
      </w:r>
      <w:r>
        <w:t xml:space="preserve">sewage effluent </w:t>
      </w:r>
      <w:r w:rsidRPr="006A2D67">
        <w:t>than in the control channels</w:t>
      </w:r>
      <w:r>
        <w:t xml:space="preserve"> </w:t>
      </w:r>
      <w:r w:rsidRPr="006A2D67">
        <w:t>(</w:t>
      </w:r>
      <w:r>
        <w:fldChar w:fldCharType="begin"/>
      </w:r>
      <w:r>
        <w:instrText xml:space="preserve"> REF _Ref319450684 \h </w:instrText>
      </w:r>
      <w:r>
        <w:fldChar w:fldCharType="separate"/>
      </w:r>
      <w:r>
        <w:t xml:space="preserve">Figure </w:t>
      </w:r>
      <w:r>
        <w:rPr>
          <w:noProof/>
        </w:rPr>
        <w:t>9</w:t>
      </w:r>
      <w:r>
        <w:fldChar w:fldCharType="end"/>
      </w:r>
      <w:r w:rsidRPr="006A2D67">
        <w:t>)</w:t>
      </w:r>
      <w:r>
        <w:t xml:space="preserve">, even though there is much more overlap in the Lambourn. The Lambourn control samples show the lowest abundance of class </w:t>
      </w:r>
      <w:r w:rsidR="009B0621">
        <w:t xml:space="preserve">1 </w:t>
      </w:r>
      <w:r>
        <w:t>integrons, with a proportion of 0.07%, SE ± 0.01. The Lambourn sewage samples had a greater proportion of integrons at 0.11%, SE ± 0.006. In the Kennet control samples, integron</w:t>
      </w:r>
      <w:r w:rsidR="009B0621">
        <w:t xml:space="preserve"> prevalences</w:t>
      </w:r>
      <w:r>
        <w:t xml:space="preserve"> are seven times (0.56%, SE ± 0.01) </w:t>
      </w:r>
      <w:r w:rsidR="009B0621">
        <w:t>that of</w:t>
      </w:r>
      <w:r>
        <w:t xml:space="preserve"> the Lambourn control and in the Kennet samples treated with sewage effluent, class </w:t>
      </w:r>
      <w:r w:rsidR="009B0621">
        <w:t xml:space="preserve">1 </w:t>
      </w:r>
      <w:r>
        <w:t xml:space="preserve">integrons are 16 times as abundant (1.28%, SE ± 0.16) as in the Lambourn control. The difference in integron prevalence between the </w:t>
      </w:r>
      <w:r>
        <w:lastRenderedPageBreak/>
        <w:t>Kennet control and Kennet sewage-treated samples is proportionally greater than the difference in prevalence between the Lambourn control and sewage-treated samples.</w:t>
      </w:r>
    </w:p>
    <w:p w14:paraId="0E671A4A" w14:textId="77777777" w:rsidR="00831F77" w:rsidRDefault="00831F77" w:rsidP="006A76D6">
      <w:pPr>
        <w:rPr>
          <w:b/>
        </w:rPr>
      </w:pPr>
    </w:p>
    <w:p w14:paraId="24684667" w14:textId="77777777" w:rsidR="00831F77" w:rsidRPr="006E5FA0" w:rsidRDefault="00831F77" w:rsidP="006A76D6">
      <w:pPr>
        <w:keepNext/>
        <w:rPr>
          <w:b/>
        </w:rPr>
      </w:pPr>
      <w:r w:rsidRPr="006E5FA0">
        <w:rPr>
          <w:b/>
        </w:rPr>
        <w:t>4. Discussion</w:t>
      </w:r>
    </w:p>
    <w:p w14:paraId="4F6195C3" w14:textId="7ECE56D0" w:rsidR="00831F77" w:rsidRDefault="00831F77" w:rsidP="006A76D6">
      <w:r>
        <w:t>The two experimental river sites harboured very different microbial communities (</w:t>
      </w:r>
      <w:r>
        <w:fldChar w:fldCharType="begin"/>
      </w:r>
      <w:r>
        <w:instrText xml:space="preserve"> REF _Ref319445648 \h </w:instrText>
      </w:r>
      <w:r>
        <w:fldChar w:fldCharType="separate"/>
      </w:r>
      <w:r w:rsidR="00D3574F">
        <w:t xml:space="preserve">Figure </w:t>
      </w:r>
      <w:r w:rsidR="00D3574F">
        <w:rPr>
          <w:noProof/>
        </w:rPr>
        <w:t>2</w:t>
      </w:r>
      <w:r>
        <w:fldChar w:fldCharType="end"/>
      </w:r>
      <w:r>
        <w:t xml:space="preserve">), probably owing to different nutrient levels </w:t>
      </w:r>
      <w:r w:rsidR="00D3574F">
        <w:t xml:space="preserve">(supplement/ Figures 6 and 9) </w:t>
      </w:r>
      <w:r>
        <w:t xml:space="preserve">and different exposure to sewage effluent. Further low-level addition of sewage effluent did not cause the treated communities to diverge significantly from the controls, even though it is possible that greater replication would have shown up different patterns. The Kennet location is permanently impacted by STW effluent and the addition of a further 2.5 ppm of the same effluent had only a minor effect on community structure and diversity. The Kennet sites’ significantly lower diversity profiles, as compared to the Lambourn, are likely the effect of nutrient enrichment rather than chemical pollution </w:t>
      </w:r>
      <w:r>
        <w:rPr>
          <w:noProof/>
        </w:rPr>
        <w:t>(Hill &amp; Fanta, 2008, Ricciardi</w:t>
      </w:r>
      <w:r w:rsidRPr="0018452A">
        <w:rPr>
          <w:i/>
          <w:noProof/>
        </w:rPr>
        <w:t xml:space="preserve"> et al.</w:t>
      </w:r>
      <w:r>
        <w:rPr>
          <w:noProof/>
        </w:rPr>
        <w:t>, 2009)</w:t>
      </w:r>
      <w:r>
        <w:t xml:space="preserve">. It is possible that the Kennet community differs from the Lambourn because it has already been permanently altered by effluent, a phenomenon previously suggested in </w:t>
      </w:r>
      <w:r>
        <w:rPr>
          <w:noProof/>
        </w:rPr>
        <w:t>Serra</w:t>
      </w:r>
      <w:r w:rsidRPr="00107924">
        <w:rPr>
          <w:i/>
          <w:noProof/>
        </w:rPr>
        <w:t>, et al.</w:t>
      </w:r>
      <w:r>
        <w:rPr>
          <w:noProof/>
        </w:rPr>
        <w:t xml:space="preserve">  and Fechner</w:t>
      </w:r>
      <w:r w:rsidRPr="00945E2D">
        <w:rPr>
          <w:i/>
          <w:noProof/>
        </w:rPr>
        <w:t xml:space="preserve"> et al. </w:t>
      </w:r>
      <w:r>
        <w:rPr>
          <w:noProof/>
        </w:rPr>
        <w:t>(Serra</w:t>
      </w:r>
      <w:r w:rsidRPr="00807A39">
        <w:rPr>
          <w:i/>
          <w:noProof/>
        </w:rPr>
        <w:t xml:space="preserve"> et al.</w:t>
      </w:r>
      <w:r>
        <w:rPr>
          <w:noProof/>
        </w:rPr>
        <w:t>, 2009, Fechner</w:t>
      </w:r>
      <w:r w:rsidRPr="00807A39">
        <w:rPr>
          <w:i/>
          <w:noProof/>
        </w:rPr>
        <w:t xml:space="preserve"> et al.</w:t>
      </w:r>
      <w:r>
        <w:rPr>
          <w:noProof/>
        </w:rPr>
        <w:t>, 2012) in artificial indoor flume systems and macrocosms.</w:t>
      </w:r>
      <w:r>
        <w:t xml:space="preserve"> </w:t>
      </w:r>
    </w:p>
    <w:p w14:paraId="6DBB4A74" w14:textId="77777777" w:rsidR="00831F77" w:rsidRDefault="00831F77" w:rsidP="006A76D6">
      <w:pPr>
        <w:rPr>
          <w:lang w:eastAsia="ja-JP"/>
        </w:rPr>
      </w:pPr>
    </w:p>
    <w:p w14:paraId="45244491" w14:textId="09CC8AB0" w:rsidR="00831F77" w:rsidRDefault="00831F77" w:rsidP="006A76D6">
      <w:r>
        <w:rPr>
          <w:lang w:eastAsia="ja-JP"/>
        </w:rPr>
        <w:t xml:space="preserve">The differences in integron prevalence observed by us, however, clearly show that modification on the species level is not the only change to look out for when assessing a complex microbial community subjected to pollutants. </w:t>
      </w:r>
      <w:r>
        <w:t>The rise in intergon</w:t>
      </w:r>
      <w:r w:rsidRPr="006A2D67">
        <w:t xml:space="preserve"> prevalence in the Kennet and Lambourn</w:t>
      </w:r>
      <w:r>
        <w:t xml:space="preserve"> samples exposed to</w:t>
      </w:r>
      <w:r w:rsidRPr="006A2D67">
        <w:t xml:space="preserve"> S</w:t>
      </w:r>
      <w:r>
        <w:t>TW</w:t>
      </w:r>
      <w:r w:rsidRPr="006A2D67">
        <w:t>-</w:t>
      </w:r>
      <w:r>
        <w:t>effluent clearly show a significant</w:t>
      </w:r>
      <w:r w:rsidRPr="006A2D67">
        <w:t xml:space="preserve"> impact </w:t>
      </w:r>
      <w:r>
        <w:t>at the</w:t>
      </w:r>
      <w:r w:rsidRPr="006A2D67">
        <w:t xml:space="preserve"> </w:t>
      </w:r>
      <w:r>
        <w:t>level of functional genes, even in the absence of significant taxonomic changes</w:t>
      </w:r>
      <w:r w:rsidRPr="006A2D67">
        <w:t>.</w:t>
      </w:r>
      <w:r>
        <w:t xml:space="preserve"> </w:t>
      </w:r>
      <w:r>
        <w:rPr>
          <w:lang w:eastAsia="ja-JP"/>
        </w:rPr>
        <w:t xml:space="preserve">Effluent exposure can induce transcriptional changes and promote antibiotic resistance </w:t>
      </w:r>
      <w:r>
        <w:rPr>
          <w:noProof/>
          <w:lang w:eastAsia="ja-JP"/>
        </w:rPr>
        <w:t>e.g. (Yergeau</w:t>
      </w:r>
      <w:r w:rsidRPr="00807A39">
        <w:rPr>
          <w:i/>
          <w:noProof/>
          <w:lang w:eastAsia="ja-JP"/>
        </w:rPr>
        <w:t xml:space="preserve"> et al.</w:t>
      </w:r>
      <w:r>
        <w:rPr>
          <w:noProof/>
          <w:lang w:eastAsia="ja-JP"/>
        </w:rPr>
        <w:t>, 2010, Gaze</w:t>
      </w:r>
      <w:r w:rsidRPr="00807A39">
        <w:rPr>
          <w:i/>
          <w:noProof/>
          <w:lang w:eastAsia="ja-JP"/>
        </w:rPr>
        <w:t xml:space="preserve"> et al.</w:t>
      </w:r>
      <w:r>
        <w:rPr>
          <w:noProof/>
          <w:lang w:eastAsia="ja-JP"/>
        </w:rPr>
        <w:t>, 2011, Amos</w:t>
      </w:r>
      <w:r w:rsidRPr="00807A39">
        <w:rPr>
          <w:i/>
          <w:noProof/>
          <w:lang w:eastAsia="ja-JP"/>
        </w:rPr>
        <w:t xml:space="preserve"> et al.</w:t>
      </w:r>
      <w:r>
        <w:rPr>
          <w:noProof/>
          <w:lang w:eastAsia="ja-JP"/>
        </w:rPr>
        <w:t xml:space="preserve">, 2015). If even </w:t>
      </w:r>
      <w:r>
        <w:rPr>
          <w:lang w:eastAsia="ja-JP"/>
        </w:rPr>
        <w:t xml:space="preserve">small amounts of routinely administered sewage effluent increase the potential to spread class </w:t>
      </w:r>
      <w:r w:rsidR="009B0621">
        <w:rPr>
          <w:lang w:eastAsia="ja-JP"/>
        </w:rPr>
        <w:t xml:space="preserve">1 </w:t>
      </w:r>
      <w:r>
        <w:rPr>
          <w:lang w:eastAsia="ja-JP"/>
        </w:rPr>
        <w:t>integrons, and thereby antibiotic resistance, this needs to be acknowledged more widely.</w:t>
      </w:r>
      <w:r>
        <w:t xml:space="preserve"> </w:t>
      </w:r>
      <w:r w:rsidRPr="006A2D67">
        <w:t>The</w:t>
      </w:r>
      <w:r>
        <w:t xml:space="preserve"> </w:t>
      </w:r>
      <w:r w:rsidRPr="006A2D67">
        <w:t xml:space="preserve">higher </w:t>
      </w:r>
      <w:r>
        <w:t>abundance of</w:t>
      </w:r>
      <w:r w:rsidRPr="006A2D67">
        <w:t xml:space="preserve"> integron</w:t>
      </w:r>
      <w:r>
        <w:t>s</w:t>
      </w:r>
      <w:r w:rsidRPr="006A2D67">
        <w:t xml:space="preserve"> in the Kennet</w:t>
      </w:r>
      <w:r>
        <w:t xml:space="preserve"> control</w:t>
      </w:r>
      <w:r w:rsidRPr="006A2D67">
        <w:t xml:space="preserve"> </w:t>
      </w:r>
      <w:r>
        <w:t>samples</w:t>
      </w:r>
      <w:r w:rsidRPr="006A2D67">
        <w:t xml:space="preserve"> </w:t>
      </w:r>
      <w:r>
        <w:t>indicate that it is already</w:t>
      </w:r>
      <w:r w:rsidRPr="006A2D67">
        <w:t xml:space="preserve"> more sewage-impacted </w:t>
      </w:r>
      <w:r>
        <w:rPr>
          <w:noProof/>
        </w:rPr>
        <w:t>(Graham</w:t>
      </w:r>
      <w:r w:rsidRPr="00807A39">
        <w:rPr>
          <w:i/>
          <w:noProof/>
        </w:rPr>
        <w:t xml:space="preserve"> et al.</w:t>
      </w:r>
      <w:r>
        <w:rPr>
          <w:noProof/>
        </w:rPr>
        <w:t>, 2010, Gaze</w:t>
      </w:r>
      <w:r w:rsidRPr="00807A39">
        <w:rPr>
          <w:i/>
          <w:noProof/>
        </w:rPr>
        <w:t xml:space="preserve"> et al.</w:t>
      </w:r>
      <w:r>
        <w:rPr>
          <w:noProof/>
        </w:rPr>
        <w:t xml:space="preserve">, 2011), but the proportionally higher increase in </w:t>
      </w:r>
      <w:r w:rsidR="009B0621">
        <w:rPr>
          <w:noProof/>
        </w:rPr>
        <w:t>c</w:t>
      </w:r>
      <w:r>
        <w:rPr>
          <w:noProof/>
        </w:rPr>
        <w:t xml:space="preserve">lass </w:t>
      </w:r>
      <w:r w:rsidR="009B0621">
        <w:rPr>
          <w:noProof/>
        </w:rPr>
        <w:t xml:space="preserve">1 </w:t>
      </w:r>
      <w:r>
        <w:rPr>
          <w:noProof/>
        </w:rPr>
        <w:t>integron prevalence in the Kennet sewage effluent samples as compared to the Lambourn, point towards mechanisms in the Kennet which promote the exchange of integrons in the biofilms</w:t>
      </w:r>
      <w:r w:rsidR="009B0621">
        <w:rPr>
          <w:noProof/>
        </w:rPr>
        <w:t xml:space="preserve"> or select for antimicrobial resistant bacteria</w:t>
      </w:r>
      <w:r>
        <w:t xml:space="preserve">. The one obvious difference </w:t>
      </w:r>
      <w:r>
        <w:lastRenderedPageBreak/>
        <w:t xml:space="preserve">between the otherwise similar rivers is the Kennet’s higher nutrient load. As shown by </w:t>
      </w:r>
      <w:r>
        <w:rPr>
          <w:noProof/>
        </w:rPr>
        <w:t>(Amos</w:t>
      </w:r>
      <w:r w:rsidRPr="00807A39">
        <w:rPr>
          <w:i/>
          <w:noProof/>
        </w:rPr>
        <w:t xml:space="preserve"> et al.</w:t>
      </w:r>
      <w:r>
        <w:rPr>
          <w:noProof/>
        </w:rPr>
        <w:t>, 2015)</w:t>
      </w:r>
      <w:r>
        <w:t xml:space="preserve">, phosphorus levels in particular correlate with </w:t>
      </w:r>
      <w:r w:rsidR="009B0621">
        <w:t>c</w:t>
      </w:r>
      <w:r>
        <w:t xml:space="preserve">lass </w:t>
      </w:r>
      <w:r w:rsidR="009B0621">
        <w:t xml:space="preserve">1 </w:t>
      </w:r>
      <w:r>
        <w:t xml:space="preserve">integron prevalence and it appears that a heightened nutrient load will significantly enhance the exchange of class </w:t>
      </w:r>
      <w:r w:rsidR="009B0621">
        <w:t xml:space="preserve">1 </w:t>
      </w:r>
      <w:r>
        <w:t xml:space="preserve">integrons and presumably also other genetic material. Indeed, </w:t>
      </w:r>
      <w:r>
        <w:rPr>
          <w:noProof/>
        </w:rPr>
        <w:t>(Van Elsas</w:t>
      </w:r>
      <w:r w:rsidRPr="00807A39">
        <w:rPr>
          <w:i/>
          <w:noProof/>
        </w:rPr>
        <w:t xml:space="preserve"> et al.</w:t>
      </w:r>
      <w:r>
        <w:rPr>
          <w:noProof/>
        </w:rPr>
        <w:t>, 2003)</w:t>
      </w:r>
      <w:r>
        <w:t xml:space="preserve"> has shown that horizontal transfer of genes in soil biofilms was increased in the nutrient-rich rhizosphere of plants as a result of enhanced metabolic rates and increased cell motility. It is possible that a similar process takes place in nutrient-rich stream biofilms. </w:t>
      </w:r>
    </w:p>
    <w:p w14:paraId="1B675568" w14:textId="21BAE99F" w:rsidR="00831F77" w:rsidRDefault="00831F77" w:rsidP="006A76D6">
      <w:r w:rsidRPr="00027FFC">
        <w:rPr>
          <w:szCs w:val="24"/>
        </w:rPr>
        <w:t xml:space="preserve">Other mechanisms that could lead to the observed increased </w:t>
      </w:r>
      <w:r w:rsidR="009B0621">
        <w:rPr>
          <w:i/>
          <w:szCs w:val="24"/>
        </w:rPr>
        <w:t>ntI1 prevalence</w:t>
      </w:r>
      <w:r w:rsidRPr="00027FFC">
        <w:rPr>
          <w:szCs w:val="24"/>
        </w:rPr>
        <w:t xml:space="preserve"> in the Kennet might be related to bacteria-phages</w:t>
      </w:r>
      <w:r w:rsidRPr="00076C6D">
        <w:rPr>
          <w:szCs w:val="24"/>
        </w:rPr>
        <w:t xml:space="preserve"> interactions. </w:t>
      </w:r>
      <w:r>
        <w:rPr>
          <w:szCs w:val="24"/>
        </w:rPr>
        <w:t>Eight percent</w:t>
      </w:r>
      <w:r w:rsidRPr="00076C6D">
        <w:rPr>
          <w:szCs w:val="24"/>
        </w:rPr>
        <w:t xml:space="preserve"> of phages in an </w:t>
      </w:r>
      <w:r w:rsidRPr="0059171A">
        <w:rPr>
          <w:szCs w:val="24"/>
        </w:rPr>
        <w:t xml:space="preserve">activated sludge liquid contained mobile genetic elements </w:t>
      </w:r>
      <w:r>
        <w:rPr>
          <w:noProof/>
          <w:szCs w:val="24"/>
        </w:rPr>
        <w:t>(Parsley</w:t>
      </w:r>
      <w:r w:rsidRPr="00807A39">
        <w:rPr>
          <w:i/>
          <w:noProof/>
          <w:szCs w:val="24"/>
        </w:rPr>
        <w:t xml:space="preserve"> et al.</w:t>
      </w:r>
      <w:r>
        <w:rPr>
          <w:noProof/>
          <w:szCs w:val="24"/>
        </w:rPr>
        <w:t>, 2010)</w:t>
      </w:r>
      <w:r w:rsidRPr="0059171A">
        <w:rPr>
          <w:szCs w:val="24"/>
        </w:rPr>
        <w:t xml:space="preserve">, and phages have been found to contain </w:t>
      </w:r>
      <w:r w:rsidR="009B0621">
        <w:rPr>
          <w:szCs w:val="24"/>
        </w:rPr>
        <w:t>c</w:t>
      </w:r>
      <w:r w:rsidRPr="0059171A">
        <w:rPr>
          <w:szCs w:val="24"/>
        </w:rPr>
        <w:t xml:space="preserve">lass </w:t>
      </w:r>
      <w:r w:rsidR="009B0621">
        <w:rPr>
          <w:szCs w:val="24"/>
        </w:rPr>
        <w:t>1</w:t>
      </w:r>
      <w:r w:rsidR="009B0621" w:rsidRPr="0059171A">
        <w:rPr>
          <w:szCs w:val="24"/>
        </w:rPr>
        <w:t xml:space="preserve"> </w:t>
      </w:r>
      <w:r w:rsidRPr="0059171A">
        <w:rPr>
          <w:szCs w:val="24"/>
        </w:rPr>
        <w:t xml:space="preserve">integrons </w:t>
      </w:r>
      <w:r>
        <w:rPr>
          <w:noProof/>
          <w:szCs w:val="24"/>
        </w:rPr>
        <w:t>(Schmieger &amp; Schicklmaier, 1999)</w:t>
      </w:r>
      <w:r w:rsidRPr="00027FFC">
        <w:rPr>
          <w:szCs w:val="24"/>
        </w:rPr>
        <w:t xml:space="preserve">. </w:t>
      </w:r>
      <w:r>
        <w:rPr>
          <w:noProof/>
          <w:szCs w:val="24"/>
        </w:rPr>
        <w:t>Kenzaka</w:t>
      </w:r>
      <w:r w:rsidRPr="0018452A">
        <w:rPr>
          <w:i/>
          <w:noProof/>
          <w:szCs w:val="24"/>
        </w:rPr>
        <w:t xml:space="preserve"> et al.</w:t>
      </w:r>
      <w:r>
        <w:rPr>
          <w:noProof/>
          <w:szCs w:val="24"/>
        </w:rPr>
        <w:t xml:space="preserve">, </w:t>
      </w:r>
      <w:r w:rsidR="009B0621">
        <w:rPr>
          <w:noProof/>
          <w:szCs w:val="24"/>
        </w:rPr>
        <w:t>(</w:t>
      </w:r>
      <w:r>
        <w:rPr>
          <w:noProof/>
          <w:szCs w:val="24"/>
        </w:rPr>
        <w:t>2010)</w:t>
      </w:r>
      <w:r w:rsidRPr="00027FFC">
        <w:rPr>
          <w:szCs w:val="24"/>
        </w:rPr>
        <w:t xml:space="preserve"> showed that 20% of </w:t>
      </w:r>
      <w:r w:rsidRPr="008C79E4">
        <w:rPr>
          <w:i/>
          <w:szCs w:val="24"/>
        </w:rPr>
        <w:t>E.coli</w:t>
      </w:r>
      <w:r w:rsidRPr="00027FFC">
        <w:rPr>
          <w:szCs w:val="24"/>
        </w:rPr>
        <w:t xml:space="preserve"> cells containing genetic material transduced by phage were viable. The number of antibiotic resistance genes found in phages appears to be just 10 times lower than the those found in bacterial populations from the same environment and bacteriophages</w:t>
      </w:r>
      <w:r>
        <w:rPr>
          <w:szCs w:val="24"/>
        </w:rPr>
        <w:t xml:space="preserve"> are thought to</w:t>
      </w:r>
      <w:r w:rsidRPr="00027FFC">
        <w:rPr>
          <w:szCs w:val="24"/>
        </w:rPr>
        <w:t xml:space="preserve"> outnumber bacteria by a factor ranging from 1 to 10 </w:t>
      </w:r>
      <w:r>
        <w:rPr>
          <w:noProof/>
          <w:szCs w:val="24"/>
        </w:rPr>
        <w:t>(Muniesa</w:t>
      </w:r>
      <w:r w:rsidRPr="00807A39">
        <w:rPr>
          <w:i/>
          <w:noProof/>
          <w:szCs w:val="24"/>
        </w:rPr>
        <w:t xml:space="preserve"> et al.</w:t>
      </w:r>
      <w:r>
        <w:rPr>
          <w:noProof/>
          <w:szCs w:val="24"/>
        </w:rPr>
        <w:t>, 2013)</w:t>
      </w:r>
      <w:r w:rsidRPr="00027FFC">
        <w:rPr>
          <w:szCs w:val="24"/>
        </w:rPr>
        <w:t xml:space="preserve">. </w:t>
      </w:r>
      <w:r w:rsidRPr="0059171A">
        <w:rPr>
          <w:szCs w:val="24"/>
        </w:rPr>
        <w:t>This suggests that antibiotic resistance genes can be and are transferred from phages to bacteria.</w:t>
      </w:r>
      <w:r w:rsidRPr="0059171A">
        <w:rPr>
          <w:rFonts w:eastAsia="Times New Roman"/>
          <w:szCs w:val="24"/>
        </w:rPr>
        <w:t xml:space="preserve"> The Kennet, as a sewage-effluent impacted environment might contain a greater concentration of antibiotics than the Lambourn. </w:t>
      </w:r>
      <w:r>
        <w:rPr>
          <w:rFonts w:eastAsia="Times New Roman"/>
          <w:noProof/>
          <w:szCs w:val="24"/>
        </w:rPr>
        <w:t>(Úbeda</w:t>
      </w:r>
      <w:r w:rsidRPr="0018452A">
        <w:rPr>
          <w:rFonts w:eastAsia="Times New Roman"/>
          <w:i/>
          <w:noProof/>
          <w:szCs w:val="24"/>
        </w:rPr>
        <w:t xml:space="preserve"> et al.</w:t>
      </w:r>
      <w:r>
        <w:rPr>
          <w:rFonts w:eastAsia="Times New Roman"/>
          <w:noProof/>
          <w:szCs w:val="24"/>
        </w:rPr>
        <w:t>, 2005)</w:t>
      </w:r>
      <w:r w:rsidRPr="0059171A">
        <w:rPr>
          <w:rFonts w:eastAsia="Times New Roman"/>
          <w:szCs w:val="24"/>
        </w:rPr>
        <w:t xml:space="preserve"> describes</w:t>
      </w:r>
      <w:r w:rsidRPr="0059171A">
        <w:rPr>
          <w:szCs w:val="24"/>
        </w:rPr>
        <w:t xml:space="preserve"> </w:t>
      </w:r>
      <w:r>
        <w:rPr>
          <w:szCs w:val="24"/>
        </w:rPr>
        <w:t>how the presence of</w:t>
      </w:r>
      <w:r w:rsidRPr="00027FFC">
        <w:rPr>
          <w:szCs w:val="24"/>
        </w:rPr>
        <w:t xml:space="preserve"> antibiotic</w:t>
      </w:r>
      <w:r>
        <w:rPr>
          <w:szCs w:val="24"/>
        </w:rPr>
        <w:t xml:space="preserve">s can </w:t>
      </w:r>
      <w:r w:rsidRPr="00027FFC">
        <w:rPr>
          <w:szCs w:val="24"/>
        </w:rPr>
        <w:t xml:space="preserve">induce </w:t>
      </w:r>
      <w:r>
        <w:rPr>
          <w:szCs w:val="24"/>
        </w:rPr>
        <w:t xml:space="preserve">an </w:t>
      </w:r>
      <w:r w:rsidRPr="00027FFC">
        <w:rPr>
          <w:szCs w:val="24"/>
        </w:rPr>
        <w:t xml:space="preserve">SOS-response </w:t>
      </w:r>
      <w:r>
        <w:rPr>
          <w:szCs w:val="24"/>
        </w:rPr>
        <w:t xml:space="preserve">in prophages </w:t>
      </w:r>
      <w:r w:rsidRPr="00027FFC">
        <w:rPr>
          <w:szCs w:val="24"/>
        </w:rPr>
        <w:t xml:space="preserve">that leads to </w:t>
      </w:r>
      <w:r w:rsidRPr="00027FFC">
        <w:rPr>
          <w:rFonts w:eastAsia="Times New Roman"/>
          <w:szCs w:val="24"/>
        </w:rPr>
        <w:t>replication and high-frequency transfer of prophage RNA</w:t>
      </w:r>
      <w:r>
        <w:rPr>
          <w:rFonts w:eastAsia="Times New Roman"/>
          <w:szCs w:val="24"/>
        </w:rPr>
        <w:t>, a mechanism, which might come to play also in natural environments.</w:t>
      </w:r>
    </w:p>
    <w:p w14:paraId="66442B61" w14:textId="77777777" w:rsidR="00831F77" w:rsidRDefault="00831F77" w:rsidP="006A76D6">
      <w:pPr>
        <w:rPr>
          <w:lang w:val="en-GB"/>
        </w:rPr>
      </w:pPr>
    </w:p>
    <w:p w14:paraId="604115B5" w14:textId="77777777" w:rsidR="00831F77" w:rsidRPr="003F191C" w:rsidRDefault="00831F77" w:rsidP="006A76D6">
      <w:pPr>
        <w:rPr>
          <w:b/>
          <w:lang w:val="en-GB"/>
        </w:rPr>
      </w:pPr>
      <w:r w:rsidRPr="003F191C">
        <w:rPr>
          <w:b/>
          <w:lang w:val="en-GB"/>
        </w:rPr>
        <w:t>5. Conclusions</w:t>
      </w:r>
    </w:p>
    <w:p w14:paraId="3BEAA90E" w14:textId="06C09D06" w:rsidR="00831F77" w:rsidRDefault="00831F77" w:rsidP="006A76D6">
      <w:r>
        <w:t>Our findings highlight the role that low-level exposure to complex polluting mixtures such as STW-effluent can play</w:t>
      </w:r>
      <w:r w:rsidR="0097733E">
        <w:t xml:space="preserve"> a role</w:t>
      </w:r>
      <w:r>
        <w:t xml:space="preserve"> in the spread of ARGs. Moreover, the higher the nutrient load in the river, the more easily ARGs appear to be exchanged, which means that more attention needs to be paid also to the still elevated nutrient loading of many streams and rivers.</w:t>
      </w:r>
      <w:r w:rsidRPr="0059171A">
        <w:rPr>
          <w:color w:val="FF0000"/>
        </w:rPr>
        <w:t xml:space="preserve"> </w:t>
      </w:r>
      <w:r w:rsidRPr="0059171A">
        <w:rPr>
          <w:lang w:val="en-GB"/>
        </w:rPr>
        <w:t>If such low levels of STW effluent as those used in our experiment trigger enhanced gene cassette exchange</w:t>
      </w:r>
      <w:r>
        <w:rPr>
          <w:lang w:val="en-GB"/>
        </w:rPr>
        <w:t xml:space="preserve"> through synergies with nutrient or antibiotic medication loads</w:t>
      </w:r>
      <w:r w:rsidRPr="0059171A">
        <w:rPr>
          <w:lang w:val="en-GB"/>
        </w:rPr>
        <w:t>,</w:t>
      </w:r>
      <w:r>
        <w:rPr>
          <w:lang w:val="en-GB"/>
        </w:rPr>
        <w:t xml:space="preserve"> it will be difficult to stop ARG transfer by simply lowering concentrations of nutrients or medication</w:t>
      </w:r>
      <w:r w:rsidRPr="0059171A">
        <w:rPr>
          <w:lang w:val="en-GB"/>
        </w:rPr>
        <w:t>. It is unlikely that the exposure of r</w:t>
      </w:r>
      <w:r>
        <w:rPr>
          <w:lang w:val="en-GB"/>
        </w:rPr>
        <w:t xml:space="preserve">iver- and stream-biofilms to STW effluent can be stopped and it seems necessary at this point </w:t>
      </w:r>
      <w:r>
        <w:rPr>
          <w:lang w:val="en-GB"/>
        </w:rPr>
        <w:lastRenderedPageBreak/>
        <w:t>that we not only turn our attention to the traits which enhance the distribution of genetic material in biofilms, but study more closely what can restrict the transfer of ARGs or what reduces the need for bacteria to retain them.</w:t>
      </w:r>
    </w:p>
    <w:p w14:paraId="2091155E" w14:textId="37F6FB0B" w:rsidR="00831F77" w:rsidRDefault="00831F77" w:rsidP="00D3574F">
      <w:pPr>
        <w:pageBreakBefore/>
      </w:pPr>
      <w:r w:rsidRPr="00AA14CE">
        <w:rPr>
          <w:b/>
        </w:rPr>
        <w:lastRenderedPageBreak/>
        <w:t>Figures</w:t>
      </w:r>
    </w:p>
    <w:p w14:paraId="0D7FF70C" w14:textId="7918ADCF" w:rsidR="00831F77" w:rsidRDefault="00831F77" w:rsidP="006A76D6">
      <w:pPr>
        <w:pStyle w:val="Caption"/>
        <w:keepNext/>
      </w:pPr>
      <w:r w:rsidRPr="009C6E02">
        <w:rPr>
          <w:b w:val="0"/>
          <w:noProof/>
          <w:lang w:val="en-GB"/>
        </w:rPr>
        <w:drawing>
          <wp:inline distT="0" distB="0" distL="0" distR="0" wp14:anchorId="564E0D51" wp14:editId="0B61C315">
            <wp:extent cx="3596640" cy="4632960"/>
            <wp:effectExtent l="25400" t="25400" r="35560" b="15240"/>
            <wp:docPr id="12" name="Picture 12" descr="KL:Users:kl:Desktop:sew_figs:sew_ta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L:Users:kl:Desktop:sew_figs:sew_tax.tif"/>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596640" cy="4632960"/>
                    </a:xfrm>
                    <a:prstGeom prst="rect">
                      <a:avLst/>
                    </a:prstGeom>
                    <a:noFill/>
                    <a:ln>
                      <a:solidFill>
                        <a:schemeClr val="tx1"/>
                      </a:solidFill>
                    </a:ln>
                  </pic:spPr>
                </pic:pic>
              </a:graphicData>
            </a:graphic>
          </wp:inline>
        </w:drawing>
      </w:r>
    </w:p>
    <w:p w14:paraId="01352EC7" w14:textId="77777777" w:rsidR="00831F77" w:rsidRDefault="00831F77" w:rsidP="006A76D6">
      <w:pPr>
        <w:pStyle w:val="Caption"/>
        <w:rPr>
          <w:b w:val="0"/>
        </w:rPr>
      </w:pPr>
      <w:bookmarkStart w:id="9" w:name="_Ref319443165"/>
      <w:r>
        <w:t xml:space="preserve">Figure </w:t>
      </w:r>
      <w:fldSimple w:instr=" SEQ Figure \* ARABIC ">
        <w:r w:rsidR="006A76D6">
          <w:rPr>
            <w:noProof/>
          </w:rPr>
          <w:t>1</w:t>
        </w:r>
      </w:fldSimple>
      <w:bookmarkEnd w:id="9"/>
      <w:r>
        <w:t xml:space="preserve">: </w:t>
      </w:r>
      <w:r w:rsidRPr="002B4091">
        <w:rPr>
          <w:b w:val="0"/>
        </w:rPr>
        <w:t>Taxonomic barchart of all replicates at order level</w:t>
      </w:r>
      <w:r>
        <w:rPr>
          <w:b w:val="0"/>
        </w:rPr>
        <w:t xml:space="preserve"> where identification down to that level was possible</w:t>
      </w:r>
      <w:r w:rsidRPr="002B4091">
        <w:rPr>
          <w:b w:val="0"/>
        </w:rPr>
        <w:t>, based on relative abundance.</w:t>
      </w:r>
    </w:p>
    <w:p w14:paraId="70502A3C" w14:textId="77777777" w:rsidR="00831F77" w:rsidRDefault="00831F77" w:rsidP="006A76D6"/>
    <w:p w14:paraId="4E712480" w14:textId="77777777" w:rsidR="00831F77" w:rsidRPr="0027754B" w:rsidRDefault="00831F77" w:rsidP="006A76D6">
      <w:r>
        <w:rPr>
          <w:noProof/>
          <w:lang w:val="en-GB"/>
        </w:rPr>
        <w:lastRenderedPageBreak/>
        <w:drawing>
          <wp:inline distT="0" distB="0" distL="0" distR="0" wp14:anchorId="4085AA43" wp14:editId="62E19791">
            <wp:extent cx="5270500" cy="6433185"/>
            <wp:effectExtent l="25400" t="25400" r="38100" b="184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kabun_alg.tif"/>
                    <pic:cNvPicPr/>
                  </pic:nvPicPr>
                  <pic:blipFill>
                    <a:blip r:embed="rId5">
                      <a:extLst>
                        <a:ext uri="{28A0092B-C50C-407E-A947-70E740481C1C}">
                          <a14:useLocalDpi xmlns:a14="http://schemas.microsoft.com/office/drawing/2010/main" val="0"/>
                        </a:ext>
                      </a:extLst>
                    </a:blip>
                    <a:stretch>
                      <a:fillRect/>
                    </a:stretch>
                  </pic:blipFill>
                  <pic:spPr>
                    <a:xfrm>
                      <a:off x="0" y="0"/>
                      <a:ext cx="5270500" cy="6433185"/>
                    </a:xfrm>
                    <a:prstGeom prst="rect">
                      <a:avLst/>
                    </a:prstGeom>
                    <a:ln>
                      <a:solidFill>
                        <a:schemeClr val="tx1"/>
                      </a:solidFill>
                    </a:ln>
                  </pic:spPr>
                </pic:pic>
              </a:graphicData>
            </a:graphic>
          </wp:inline>
        </w:drawing>
      </w:r>
    </w:p>
    <w:p w14:paraId="65922CAC" w14:textId="77777777" w:rsidR="00831F77" w:rsidRDefault="00831F77" w:rsidP="006A76D6">
      <w:pPr>
        <w:pStyle w:val="Caption"/>
      </w:pPr>
      <w:bookmarkStart w:id="10" w:name="_Ref319445648"/>
      <w:r>
        <w:t xml:space="preserve">Figure </w:t>
      </w:r>
      <w:fldSimple w:instr=" SEQ Figure \* ARABIC ">
        <w:r w:rsidR="006A76D6">
          <w:rPr>
            <w:noProof/>
          </w:rPr>
          <w:t>2</w:t>
        </w:r>
      </w:fldSimple>
      <w:bookmarkEnd w:id="10"/>
      <w:r>
        <w:t>:</w:t>
      </w:r>
      <w:r w:rsidRPr="00862155">
        <w:rPr>
          <w:b w:val="0"/>
        </w:rPr>
        <w:t xml:space="preserve"> Rank Abundance curves for both algal and bacterial communities in Kennet and Lambourn</w:t>
      </w:r>
    </w:p>
    <w:p w14:paraId="33C8AB16" w14:textId="77777777" w:rsidR="00831F77" w:rsidRPr="009C6E02" w:rsidRDefault="00831F77" w:rsidP="006A76D6"/>
    <w:p w14:paraId="34583459" w14:textId="77777777" w:rsidR="00831F77" w:rsidRPr="00A70F34" w:rsidRDefault="00831F77" w:rsidP="006A76D6">
      <w:r>
        <w:rPr>
          <w:noProof/>
          <w:lang w:val="en-GB"/>
        </w:rPr>
        <w:lastRenderedPageBreak/>
        <w:drawing>
          <wp:inline distT="0" distB="0" distL="0" distR="0" wp14:anchorId="03807D9B" wp14:editId="735F544F">
            <wp:extent cx="5262880" cy="3108960"/>
            <wp:effectExtent l="25400" t="25400" r="20320" b="15240"/>
            <wp:docPr id="11" name="Picture 11" descr="KL:Users:kl:Desktop:sew_figs:shann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L:Users:kl:Desktop:sew_figs:shannon.t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62880" cy="3108960"/>
                    </a:xfrm>
                    <a:prstGeom prst="rect">
                      <a:avLst/>
                    </a:prstGeom>
                    <a:noFill/>
                    <a:ln>
                      <a:solidFill>
                        <a:schemeClr val="tx1"/>
                      </a:solidFill>
                    </a:ln>
                  </pic:spPr>
                </pic:pic>
              </a:graphicData>
            </a:graphic>
          </wp:inline>
        </w:drawing>
      </w:r>
    </w:p>
    <w:p w14:paraId="36DD0D81" w14:textId="77777777" w:rsidR="00831F77" w:rsidRPr="005D5AAD" w:rsidRDefault="00831F77" w:rsidP="006A76D6">
      <w:pPr>
        <w:pStyle w:val="Caption"/>
        <w:rPr>
          <w:b w:val="0"/>
        </w:rPr>
      </w:pPr>
      <w:bookmarkStart w:id="11" w:name="_Ref319345125"/>
      <w:r>
        <w:t xml:space="preserve">Figure </w:t>
      </w:r>
      <w:fldSimple w:instr=" SEQ Figure \* ARABIC ">
        <w:r w:rsidR="006A76D6">
          <w:rPr>
            <w:noProof/>
          </w:rPr>
          <w:t>3</w:t>
        </w:r>
      </w:fldSimple>
      <w:bookmarkEnd w:id="11"/>
      <w:r>
        <w:t xml:space="preserve">: </w:t>
      </w:r>
      <w:r>
        <w:rPr>
          <w:b w:val="0"/>
        </w:rPr>
        <w:t>Standard boxplots of s</w:t>
      </w:r>
      <w:r w:rsidRPr="002C7FE8">
        <w:rPr>
          <w:b w:val="0"/>
        </w:rPr>
        <w:t>hannon diversity indices for both bacterial and algal components of the Kennet and Lambourn biofilms</w:t>
      </w:r>
      <w:r>
        <w:rPr>
          <w:b w:val="0"/>
        </w:rPr>
        <w:t>.</w:t>
      </w:r>
    </w:p>
    <w:p w14:paraId="595BD92A" w14:textId="77777777" w:rsidR="00831F77" w:rsidRDefault="00831F77" w:rsidP="006A76D6">
      <w:pPr>
        <w:pStyle w:val="Caption"/>
        <w:rPr>
          <w:b w:val="0"/>
        </w:rPr>
      </w:pPr>
    </w:p>
    <w:p w14:paraId="33A70F27" w14:textId="77777777" w:rsidR="00831F77" w:rsidRDefault="00831F77" w:rsidP="006A76D6"/>
    <w:p w14:paraId="2AFD1E6A" w14:textId="77777777" w:rsidR="00831F77" w:rsidRDefault="00831F77" w:rsidP="006A76D6">
      <w:pPr>
        <w:keepNext/>
      </w:pPr>
      <w:r>
        <w:rPr>
          <w:noProof/>
          <w:lang w:val="en-GB"/>
        </w:rPr>
        <w:drawing>
          <wp:inline distT="0" distB="0" distL="0" distR="0" wp14:anchorId="2B3252F6" wp14:editId="44A56F60">
            <wp:extent cx="5262880" cy="3850640"/>
            <wp:effectExtent l="25400" t="25400" r="20320" b="35560"/>
            <wp:docPr id="19" name="Picture 19" descr="KL:Users:kl:Desktop:2016-03-15 05.37.4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L:Users:kl:Desktop:2016-03-15 05.37.46 pm.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62880" cy="3850640"/>
                    </a:xfrm>
                    <a:prstGeom prst="rect">
                      <a:avLst/>
                    </a:prstGeom>
                    <a:noFill/>
                    <a:ln>
                      <a:solidFill>
                        <a:schemeClr val="tx1"/>
                      </a:solidFill>
                    </a:ln>
                  </pic:spPr>
                </pic:pic>
              </a:graphicData>
            </a:graphic>
          </wp:inline>
        </w:drawing>
      </w:r>
    </w:p>
    <w:p w14:paraId="4B849AC7" w14:textId="77777777" w:rsidR="00831F77" w:rsidRDefault="00831F77" w:rsidP="006A76D6">
      <w:pPr>
        <w:pStyle w:val="Caption"/>
      </w:pPr>
      <w:bookmarkStart w:id="12" w:name="_Ref319450342"/>
      <w:r>
        <w:t xml:space="preserve">Figure </w:t>
      </w:r>
      <w:fldSimple w:instr=" SEQ Figure \* ARABIC ">
        <w:r w:rsidR="006A76D6">
          <w:rPr>
            <w:noProof/>
          </w:rPr>
          <w:t>4</w:t>
        </w:r>
      </w:fldSimple>
      <w:bookmarkEnd w:id="12"/>
      <w:r>
        <w:t>:</w:t>
      </w:r>
      <w:r w:rsidRPr="008923C4">
        <w:rPr>
          <w:b w:val="0"/>
        </w:rPr>
        <w:t xml:space="preserve"> NMDS</w:t>
      </w:r>
      <w:r>
        <w:rPr>
          <w:b w:val="0"/>
        </w:rPr>
        <w:t xml:space="preserve"> of all biofilm replicates with algal and bacterial components,</w:t>
      </w:r>
      <w:r w:rsidRPr="008923C4">
        <w:rPr>
          <w:b w:val="0"/>
        </w:rPr>
        <w:t xml:space="preserve"> </w:t>
      </w:r>
      <w:r>
        <w:rPr>
          <w:b w:val="0"/>
        </w:rPr>
        <w:t>stress:0.04</w:t>
      </w:r>
    </w:p>
    <w:p w14:paraId="3932AF11" w14:textId="77777777" w:rsidR="00831F77" w:rsidRDefault="00831F77" w:rsidP="006A76D6"/>
    <w:p w14:paraId="6872F2CB" w14:textId="77777777" w:rsidR="00831F77" w:rsidRDefault="00831F77" w:rsidP="006A76D6">
      <w:pPr>
        <w:keepNext/>
      </w:pPr>
      <w:r>
        <w:rPr>
          <w:noProof/>
          <w:lang w:val="en-GB"/>
        </w:rPr>
        <w:lastRenderedPageBreak/>
        <w:drawing>
          <wp:inline distT="0" distB="0" distL="0" distR="0" wp14:anchorId="19AE7EB5" wp14:editId="563FAE82">
            <wp:extent cx="5262880" cy="2905760"/>
            <wp:effectExtent l="25400" t="25400" r="20320" b="15240"/>
            <wp:docPr id="18" name="Picture 18" descr="KL:Users:kl:Desktop:sew_figs:Int_Pre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L:Users:kl:Desktop:sew_figs:Int_Prev.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62880" cy="2905760"/>
                    </a:xfrm>
                    <a:prstGeom prst="rect">
                      <a:avLst/>
                    </a:prstGeom>
                    <a:noFill/>
                    <a:ln>
                      <a:solidFill>
                        <a:schemeClr val="tx1"/>
                      </a:solidFill>
                    </a:ln>
                  </pic:spPr>
                </pic:pic>
              </a:graphicData>
            </a:graphic>
          </wp:inline>
        </w:drawing>
      </w:r>
    </w:p>
    <w:p w14:paraId="1CD94ADD" w14:textId="77777777" w:rsidR="00831F77" w:rsidRDefault="00831F77" w:rsidP="006A76D6">
      <w:pPr>
        <w:pStyle w:val="Caption"/>
        <w:rPr>
          <w:b w:val="0"/>
        </w:rPr>
      </w:pPr>
      <w:bookmarkStart w:id="13" w:name="_Ref319450684"/>
      <w:r>
        <w:t xml:space="preserve">Figure </w:t>
      </w:r>
      <w:fldSimple w:instr=" SEQ Figure \* ARABIC ">
        <w:r w:rsidR="006A76D6">
          <w:rPr>
            <w:noProof/>
          </w:rPr>
          <w:t>5</w:t>
        </w:r>
      </w:fldSimple>
      <w:bookmarkEnd w:id="13"/>
      <w:r>
        <w:t>:</w:t>
      </w:r>
      <w:r w:rsidRPr="005D5AAD">
        <w:rPr>
          <w:b w:val="0"/>
        </w:rPr>
        <w:t xml:space="preserve"> </w:t>
      </w:r>
      <w:r w:rsidRPr="00933944">
        <w:rPr>
          <w:b w:val="0"/>
        </w:rPr>
        <w:t xml:space="preserve">Standard boxplots of </w:t>
      </w:r>
      <w:r>
        <w:rPr>
          <w:b w:val="0"/>
        </w:rPr>
        <w:t xml:space="preserve">class I integron prevalence (%) in the Kennet and Lambourn. </w:t>
      </w:r>
    </w:p>
    <w:p w14:paraId="5719B017" w14:textId="77777777" w:rsidR="00831F77" w:rsidRDefault="00831F77" w:rsidP="006A76D6"/>
    <w:p w14:paraId="0F8537DA" w14:textId="77777777" w:rsidR="00831F77" w:rsidRDefault="00831F77" w:rsidP="006A76D6">
      <w:r>
        <w:t>Supplementary Figures:</w:t>
      </w:r>
    </w:p>
    <w:p w14:paraId="04BC6357" w14:textId="77777777" w:rsidR="00831F77" w:rsidRDefault="00831F77" w:rsidP="006A76D6">
      <w:r w:rsidRPr="00D37CD2">
        <w:rPr>
          <w:rFonts w:eastAsia="Times New Roman"/>
          <w:noProof/>
          <w:lang w:val="en-GB"/>
        </w:rPr>
        <w:drawing>
          <wp:inline distT="0" distB="0" distL="0" distR="0" wp14:anchorId="64169960" wp14:editId="5206E425">
            <wp:extent cx="5262880" cy="3159760"/>
            <wp:effectExtent l="25400" t="25400" r="20320" b="15240"/>
            <wp:docPr id="7" name="Picture 7" descr="Macintosh HD:Users:kl:Desktop:KenLam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l:Desktop:KenLamb.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62880" cy="3159760"/>
                    </a:xfrm>
                    <a:prstGeom prst="rect">
                      <a:avLst/>
                    </a:prstGeom>
                    <a:noFill/>
                    <a:ln>
                      <a:solidFill>
                        <a:schemeClr val="tx1"/>
                      </a:solidFill>
                    </a:ln>
                  </pic:spPr>
                </pic:pic>
              </a:graphicData>
            </a:graphic>
          </wp:inline>
        </w:drawing>
      </w:r>
    </w:p>
    <w:p w14:paraId="4A3BBC79" w14:textId="77777777" w:rsidR="00831F77" w:rsidRDefault="00831F77" w:rsidP="006A76D6">
      <w:pPr>
        <w:pStyle w:val="Caption"/>
        <w:rPr>
          <w:b w:val="0"/>
        </w:rPr>
      </w:pPr>
      <w:r>
        <w:t xml:space="preserve">Figure </w:t>
      </w:r>
      <w:fldSimple w:instr=" SEQ Figure \* ARABIC ">
        <w:r w:rsidR="006A76D6">
          <w:rPr>
            <w:noProof/>
          </w:rPr>
          <w:t>6</w:t>
        </w:r>
      </w:fldSimple>
      <w:r>
        <w:t xml:space="preserve">: </w:t>
      </w:r>
      <w:r w:rsidRPr="0025142A">
        <w:rPr>
          <w:b w:val="0"/>
        </w:rPr>
        <w:t>The experimental sites on the River Kennet (flowing from the Marlborough Downs to Reading) and the River Lambourn (flowing from the Lambourn Downs to Newbury).</w:t>
      </w:r>
      <w:r>
        <w:rPr>
          <w:b w:val="0"/>
        </w:rPr>
        <w:t xml:space="preserve"> The nearest upstream Sewage Treatment Works (STW) are marked as pink triangles.</w:t>
      </w:r>
    </w:p>
    <w:p w14:paraId="188B1538" w14:textId="77777777" w:rsidR="006A76D6" w:rsidRPr="006A76D6" w:rsidRDefault="006A76D6" w:rsidP="006A76D6"/>
    <w:p w14:paraId="37A12F70" w14:textId="77777777" w:rsidR="006A76D6" w:rsidRDefault="006A76D6" w:rsidP="006A76D6"/>
    <w:p w14:paraId="054ABB62" w14:textId="77777777" w:rsidR="006A76D6" w:rsidRDefault="006A76D6" w:rsidP="006A76D6">
      <w:pPr>
        <w:keepNext/>
      </w:pPr>
      <w:r>
        <w:rPr>
          <w:noProof/>
          <w:lang w:val="en-GB"/>
        </w:rPr>
        <w:lastRenderedPageBreak/>
        <w:drawing>
          <wp:inline distT="0" distB="0" distL="0" distR="0" wp14:anchorId="3336137A" wp14:editId="0D10CC19">
            <wp:extent cx="5262880" cy="1605280"/>
            <wp:effectExtent l="0" t="0" r="0" b="0"/>
            <wp:docPr id="1" name="Picture 1" descr="KL:Users:kl:Desktop:Sew:sew_figs:flu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L:Users:kl:Desktop:Sew:sew_figs:flume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2880" cy="1605280"/>
                    </a:xfrm>
                    <a:prstGeom prst="rect">
                      <a:avLst/>
                    </a:prstGeom>
                    <a:noFill/>
                    <a:ln>
                      <a:noFill/>
                    </a:ln>
                  </pic:spPr>
                </pic:pic>
              </a:graphicData>
            </a:graphic>
          </wp:inline>
        </w:drawing>
      </w:r>
    </w:p>
    <w:p w14:paraId="3DA5B12E" w14:textId="224C3323" w:rsidR="006A76D6" w:rsidRPr="006A76D6" w:rsidRDefault="006A76D6" w:rsidP="006A76D6">
      <w:pPr>
        <w:pStyle w:val="Caption"/>
        <w:rPr>
          <w:b w:val="0"/>
        </w:rPr>
      </w:pPr>
      <w:r>
        <w:t xml:space="preserve">Figure </w:t>
      </w:r>
      <w:fldSimple w:instr=" SEQ Figure \* ARABIC ">
        <w:r>
          <w:rPr>
            <w:noProof/>
          </w:rPr>
          <w:t>7</w:t>
        </w:r>
      </w:fldSimple>
      <w:r>
        <w:t>:</w:t>
      </w:r>
      <w:r w:rsidRPr="006A76D6">
        <w:rPr>
          <w:b w:val="0"/>
        </w:rPr>
        <w:t xml:space="preserve"> flume set-up in the river Lambourn</w:t>
      </w:r>
      <w:r>
        <w:rPr>
          <w:b w:val="0"/>
        </w:rPr>
        <w:t xml:space="preserve"> with treatment pipes, and schematic representation</w:t>
      </w:r>
    </w:p>
    <w:p w14:paraId="1FF919C1" w14:textId="77777777" w:rsidR="006A76D6" w:rsidRPr="006A76D6" w:rsidRDefault="006A76D6" w:rsidP="006A76D6"/>
    <w:tbl>
      <w:tblPr>
        <w:tblStyle w:val="TableGrid"/>
        <w:tblW w:w="0" w:type="auto"/>
        <w:tblLook w:val="04A0" w:firstRow="1" w:lastRow="0" w:firstColumn="1" w:lastColumn="0" w:noHBand="0" w:noVBand="1"/>
      </w:tblPr>
      <w:tblGrid>
        <w:gridCol w:w="4281"/>
        <w:gridCol w:w="4241"/>
      </w:tblGrid>
      <w:tr w:rsidR="006A76D6" w14:paraId="3B199CD0" w14:textId="77777777" w:rsidTr="006A76D6">
        <w:tc>
          <w:tcPr>
            <w:tcW w:w="4258" w:type="dxa"/>
          </w:tcPr>
          <w:p w14:paraId="0718E869" w14:textId="77777777" w:rsidR="006A76D6" w:rsidRDefault="006A76D6" w:rsidP="006A76D6">
            <w:pPr>
              <w:pStyle w:val="Caption"/>
            </w:pPr>
            <w:bookmarkStart w:id="14" w:name="_Ref318385443"/>
            <w:bookmarkStart w:id="15" w:name="_Ref324512736"/>
            <w:r>
              <w:rPr>
                <w:noProof/>
              </w:rPr>
              <w:drawing>
                <wp:inline distT="0" distB="0" distL="0" distR="0" wp14:anchorId="58CE2B19" wp14:editId="7858385E">
                  <wp:extent cx="2632927" cy="1411200"/>
                  <wp:effectExtent l="0" t="0" r="8890" b="11430"/>
                  <wp:docPr id="27" name="Picture 27" descr="KL:Users:kl:Desktop: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L:Users:kl:Desktop:N.tif"/>
                          <pic:cNvPicPr preferRelativeResize="0">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32927" cy="1411200"/>
                          </a:xfrm>
                          <a:prstGeom prst="rect">
                            <a:avLst/>
                          </a:prstGeom>
                          <a:noFill/>
                          <a:ln>
                            <a:noFill/>
                          </a:ln>
                        </pic:spPr>
                      </pic:pic>
                    </a:graphicData>
                  </a:graphic>
                </wp:inline>
              </w:drawing>
            </w:r>
          </w:p>
        </w:tc>
        <w:tc>
          <w:tcPr>
            <w:tcW w:w="4258" w:type="dxa"/>
          </w:tcPr>
          <w:p w14:paraId="6198B9B7" w14:textId="77777777" w:rsidR="006A76D6" w:rsidRDefault="006A76D6" w:rsidP="006A76D6">
            <w:pPr>
              <w:pStyle w:val="Caption"/>
            </w:pPr>
            <w:r>
              <w:rPr>
                <w:noProof/>
              </w:rPr>
              <w:drawing>
                <wp:inline distT="0" distB="0" distL="0" distR="0" wp14:anchorId="6B7769A1" wp14:editId="5F1C2C83">
                  <wp:extent cx="2610231" cy="1399032"/>
                  <wp:effectExtent l="0" t="0" r="6350" b="0"/>
                  <wp:docPr id="28" name="Picture 28" descr="KL:Users:kl:Desktop: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L:Users:kl:Desktop:B.tif"/>
                          <pic:cNvPicPr preferRelativeResize="0">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10231" cy="1399032"/>
                          </a:xfrm>
                          <a:prstGeom prst="rect">
                            <a:avLst/>
                          </a:prstGeom>
                          <a:noFill/>
                          <a:ln>
                            <a:noFill/>
                          </a:ln>
                        </pic:spPr>
                      </pic:pic>
                    </a:graphicData>
                  </a:graphic>
                </wp:inline>
              </w:drawing>
            </w:r>
          </w:p>
        </w:tc>
      </w:tr>
      <w:tr w:rsidR="006A76D6" w14:paraId="24DABED7" w14:textId="77777777" w:rsidTr="006A76D6">
        <w:tc>
          <w:tcPr>
            <w:tcW w:w="4258" w:type="dxa"/>
          </w:tcPr>
          <w:p w14:paraId="60A1B0A7" w14:textId="77777777" w:rsidR="006A76D6" w:rsidRDefault="006A76D6" w:rsidP="006A76D6">
            <w:pPr>
              <w:pStyle w:val="Caption"/>
            </w:pPr>
            <w:r>
              <w:rPr>
                <w:noProof/>
              </w:rPr>
              <w:drawing>
                <wp:inline distT="0" distB="0" distL="0" distR="0" wp14:anchorId="56E49480" wp14:editId="1A21D675">
                  <wp:extent cx="2608417" cy="1399032"/>
                  <wp:effectExtent l="0" t="0" r="8255" b="0"/>
                  <wp:docPr id="29" name="Picture 29" descr="KL:Users:kl:Desktop:S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L:Users:kl:Desktop:Si.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08417" cy="1399032"/>
                          </a:xfrm>
                          <a:prstGeom prst="rect">
                            <a:avLst/>
                          </a:prstGeom>
                          <a:noFill/>
                          <a:ln>
                            <a:noFill/>
                          </a:ln>
                        </pic:spPr>
                      </pic:pic>
                    </a:graphicData>
                  </a:graphic>
                </wp:inline>
              </w:drawing>
            </w:r>
          </w:p>
        </w:tc>
        <w:tc>
          <w:tcPr>
            <w:tcW w:w="4258" w:type="dxa"/>
          </w:tcPr>
          <w:p w14:paraId="3602CF62" w14:textId="77777777" w:rsidR="006A76D6" w:rsidRDefault="006A76D6" w:rsidP="006A76D6">
            <w:pPr>
              <w:pStyle w:val="Caption"/>
            </w:pPr>
            <w:r>
              <w:rPr>
                <w:noProof/>
              </w:rPr>
              <w:drawing>
                <wp:inline distT="0" distB="0" distL="0" distR="0" wp14:anchorId="1F2D05D2" wp14:editId="1D450F6D">
                  <wp:extent cx="2608417" cy="1399032"/>
                  <wp:effectExtent l="0" t="0" r="8255" b="0"/>
                  <wp:docPr id="30" name="Picture 30" descr="KL:Users:kl:Desktop:sr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L:Users:kl:Desktop:srp.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08417" cy="1399032"/>
                          </a:xfrm>
                          <a:prstGeom prst="rect">
                            <a:avLst/>
                          </a:prstGeom>
                          <a:noFill/>
                          <a:ln>
                            <a:noFill/>
                          </a:ln>
                        </pic:spPr>
                      </pic:pic>
                    </a:graphicData>
                  </a:graphic>
                </wp:inline>
              </w:drawing>
            </w:r>
          </w:p>
        </w:tc>
      </w:tr>
    </w:tbl>
    <w:p w14:paraId="76D80895" w14:textId="77777777" w:rsidR="006A76D6" w:rsidRDefault="006A76D6" w:rsidP="006A76D6">
      <w:pPr>
        <w:pStyle w:val="Caption"/>
        <w:rPr>
          <w:b w:val="0"/>
        </w:rPr>
      </w:pPr>
      <w:r>
        <w:t xml:space="preserve">Figure </w:t>
      </w:r>
      <w:fldSimple w:instr=" SEQ Figure \* ARABIC ">
        <w:r>
          <w:rPr>
            <w:noProof/>
          </w:rPr>
          <w:t>8</w:t>
        </w:r>
      </w:fldSimple>
      <w:bookmarkEnd w:id="14"/>
      <w:r>
        <w:t xml:space="preserve">: </w:t>
      </w:r>
      <w:r w:rsidRPr="00DC2F96">
        <w:rPr>
          <w:b w:val="0"/>
        </w:rPr>
        <w:t>Macronutrient (</w:t>
      </w:r>
      <w:r>
        <w:rPr>
          <w:b w:val="0"/>
        </w:rPr>
        <w:t>s</w:t>
      </w:r>
      <w:r w:rsidRPr="00DC2F96">
        <w:rPr>
          <w:b w:val="0"/>
        </w:rPr>
        <w:t xml:space="preserve">ilica, </w:t>
      </w:r>
      <w:r>
        <w:rPr>
          <w:b w:val="0"/>
        </w:rPr>
        <w:t>s</w:t>
      </w:r>
      <w:r w:rsidRPr="00DC2F96">
        <w:rPr>
          <w:b w:val="0"/>
        </w:rPr>
        <w:t xml:space="preserve">oluble </w:t>
      </w:r>
      <w:r>
        <w:rPr>
          <w:b w:val="0"/>
        </w:rPr>
        <w:t>r</w:t>
      </w:r>
      <w:r w:rsidRPr="00DC2F96">
        <w:rPr>
          <w:b w:val="0"/>
        </w:rPr>
        <w:t xml:space="preserve">eactive </w:t>
      </w:r>
      <w:r>
        <w:rPr>
          <w:b w:val="0"/>
        </w:rPr>
        <w:t>p</w:t>
      </w:r>
      <w:r w:rsidRPr="00DC2F96">
        <w:rPr>
          <w:b w:val="0"/>
        </w:rPr>
        <w:t xml:space="preserve">hosphorus, NO3 and NH4) and </w:t>
      </w:r>
      <w:r>
        <w:rPr>
          <w:b w:val="0"/>
        </w:rPr>
        <w:t>boron</w:t>
      </w:r>
      <w:r w:rsidRPr="00DC2F96">
        <w:rPr>
          <w:b w:val="0"/>
        </w:rPr>
        <w:t xml:space="preserve"> measurements in Kennet and Lambourn between January and August 2009</w:t>
      </w:r>
      <w:r>
        <w:rPr>
          <w:b w:val="0"/>
        </w:rPr>
        <w:t>.</w:t>
      </w:r>
      <w:bookmarkEnd w:id="15"/>
    </w:p>
    <w:p w14:paraId="3FAF0009" w14:textId="77777777" w:rsidR="006A76D6" w:rsidRPr="006A76D6" w:rsidRDefault="006A76D6" w:rsidP="006A76D6"/>
    <w:p w14:paraId="42D0E824" w14:textId="77777777" w:rsidR="006A76D6" w:rsidRDefault="006A76D6" w:rsidP="006A76D6">
      <w:pPr>
        <w:keepNext/>
      </w:pPr>
      <w:r>
        <w:rPr>
          <w:noProof/>
          <w:lang w:val="en-GB"/>
        </w:rPr>
        <w:drawing>
          <wp:inline distT="0" distB="0" distL="0" distR="0" wp14:anchorId="71A2DC66" wp14:editId="0FEE2FDE">
            <wp:extent cx="5316456" cy="2006600"/>
            <wp:effectExtent l="25400" t="25400" r="17780" b="25400"/>
            <wp:docPr id="8" name="Picture 8" descr="KL:Users:kl:Desktop:sew_figs:nutrient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L:Users:kl:Desktop:sew_figs:nutrients.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16919" cy="2006775"/>
                    </a:xfrm>
                    <a:prstGeom prst="rect">
                      <a:avLst/>
                    </a:prstGeom>
                    <a:noFill/>
                    <a:ln>
                      <a:solidFill>
                        <a:schemeClr val="tx1"/>
                      </a:solidFill>
                    </a:ln>
                  </pic:spPr>
                </pic:pic>
              </a:graphicData>
            </a:graphic>
          </wp:inline>
        </w:drawing>
      </w:r>
    </w:p>
    <w:p w14:paraId="6366965A" w14:textId="77777777" w:rsidR="006A76D6" w:rsidRDefault="006A76D6" w:rsidP="006A76D6">
      <w:pPr>
        <w:pStyle w:val="Caption"/>
        <w:rPr>
          <w:b w:val="0"/>
        </w:rPr>
      </w:pPr>
      <w:r>
        <w:t xml:space="preserve">Figure </w:t>
      </w:r>
      <w:fldSimple w:instr=" SEQ Figure \* ARABIC ">
        <w:r>
          <w:rPr>
            <w:noProof/>
          </w:rPr>
          <w:t>9</w:t>
        </w:r>
      </w:fldSimple>
      <w:r>
        <w:t xml:space="preserve">: </w:t>
      </w:r>
      <w:r w:rsidRPr="00542124">
        <w:rPr>
          <w:b w:val="0"/>
        </w:rPr>
        <w:t xml:space="preserve">Standard boxplots of the </w:t>
      </w:r>
      <w:r>
        <w:rPr>
          <w:b w:val="0"/>
        </w:rPr>
        <w:t>m</w:t>
      </w:r>
      <w:r w:rsidRPr="008A3304">
        <w:rPr>
          <w:b w:val="0"/>
        </w:rPr>
        <w:t>acronutrient levels (TDN</w:t>
      </w:r>
      <w:r>
        <w:rPr>
          <w:b w:val="0"/>
        </w:rPr>
        <w:t>=Total Dissolved Nitrogen</w:t>
      </w:r>
      <w:r w:rsidRPr="008A3304">
        <w:rPr>
          <w:b w:val="0"/>
        </w:rPr>
        <w:t>, SRP</w:t>
      </w:r>
      <w:r>
        <w:rPr>
          <w:b w:val="0"/>
        </w:rPr>
        <w:t>=Soluble Reactive Phosphorus</w:t>
      </w:r>
      <w:r w:rsidRPr="008A3304">
        <w:rPr>
          <w:b w:val="0"/>
        </w:rPr>
        <w:t xml:space="preserve"> and Si</w:t>
      </w:r>
      <w:r>
        <w:rPr>
          <w:b w:val="0"/>
        </w:rPr>
        <w:t>=Silica</w:t>
      </w:r>
      <w:r w:rsidRPr="008A3304">
        <w:rPr>
          <w:b w:val="0"/>
        </w:rPr>
        <w:t>) at the Kennet and Lambourn experimental sites during the two experiments.</w:t>
      </w:r>
    </w:p>
    <w:p w14:paraId="3621C61E" w14:textId="77777777" w:rsidR="00831F77" w:rsidRDefault="00831F77" w:rsidP="006A76D6"/>
    <w:p w14:paraId="2C07E00B" w14:textId="77777777" w:rsidR="00831F77" w:rsidRDefault="00831F77" w:rsidP="00E8257F">
      <w:pPr>
        <w:pStyle w:val="EndNoteBibliography"/>
        <w:pageBreakBefore/>
      </w:pPr>
      <w:r>
        <w:lastRenderedPageBreak/>
        <w:t>References:</w:t>
      </w:r>
    </w:p>
    <w:p w14:paraId="452AC7DC" w14:textId="77777777" w:rsidR="00831F77" w:rsidRDefault="00831F77" w:rsidP="006A76D6">
      <w:pPr>
        <w:pStyle w:val="EndNoteBibliography"/>
        <w:rPr>
          <w:noProof/>
        </w:rPr>
      </w:pPr>
      <w:r w:rsidRPr="0018452A">
        <w:rPr>
          <w:noProof/>
        </w:rPr>
        <w:t>Afgan E, Baker D, van den Beek M</w:t>
      </w:r>
      <w:r w:rsidRPr="0018452A">
        <w:rPr>
          <w:i/>
          <w:noProof/>
        </w:rPr>
        <w:t>, et al.</w:t>
      </w:r>
      <w:r w:rsidRPr="0018452A">
        <w:rPr>
          <w:noProof/>
        </w:rPr>
        <w:t xml:space="preserve"> (2016) The Galaxy platform for accessible, reproducible and collaborative biomedical analyses: 2016 update. </w:t>
      </w:r>
      <w:r w:rsidRPr="0018452A">
        <w:rPr>
          <w:i/>
          <w:noProof/>
        </w:rPr>
        <w:t>Nucleic Acids Research</w:t>
      </w:r>
      <w:r w:rsidRPr="0018452A">
        <w:rPr>
          <w:noProof/>
        </w:rPr>
        <w:t>.</w:t>
      </w:r>
    </w:p>
    <w:p w14:paraId="15420FCD" w14:textId="77777777" w:rsidR="00E8257F" w:rsidRPr="0018452A" w:rsidRDefault="00E8257F" w:rsidP="006A76D6">
      <w:pPr>
        <w:pStyle w:val="EndNoteBibliography"/>
        <w:rPr>
          <w:noProof/>
        </w:rPr>
      </w:pPr>
    </w:p>
    <w:p w14:paraId="2264ECE3" w14:textId="77777777" w:rsidR="00831F77" w:rsidRDefault="00831F77" w:rsidP="006A76D6">
      <w:pPr>
        <w:pStyle w:val="EndNoteBibliography"/>
        <w:rPr>
          <w:noProof/>
        </w:rPr>
      </w:pPr>
      <w:r w:rsidRPr="0018452A">
        <w:rPr>
          <w:noProof/>
        </w:rPr>
        <w:t xml:space="preserve">Akiyama T &amp; Savin MC (2010) Populations of antibiotic-resistant coliform bacteria change rapidly in a wastewater effluent dominated stream. </w:t>
      </w:r>
      <w:r w:rsidRPr="0018452A">
        <w:rPr>
          <w:i/>
          <w:noProof/>
        </w:rPr>
        <w:t>Science of The Total Environment</w:t>
      </w:r>
      <w:r w:rsidRPr="0018452A">
        <w:rPr>
          <w:noProof/>
        </w:rPr>
        <w:t xml:space="preserve"> </w:t>
      </w:r>
      <w:r w:rsidRPr="0018452A">
        <w:rPr>
          <w:b/>
          <w:noProof/>
        </w:rPr>
        <w:t>408</w:t>
      </w:r>
      <w:r w:rsidRPr="0018452A">
        <w:rPr>
          <w:noProof/>
        </w:rPr>
        <w:t>: 6192-6201.</w:t>
      </w:r>
    </w:p>
    <w:p w14:paraId="14E089E6" w14:textId="77777777" w:rsidR="00E8257F" w:rsidRPr="0018452A" w:rsidRDefault="00E8257F" w:rsidP="006A76D6">
      <w:pPr>
        <w:pStyle w:val="EndNoteBibliography"/>
        <w:rPr>
          <w:noProof/>
        </w:rPr>
      </w:pPr>
    </w:p>
    <w:p w14:paraId="0516F056" w14:textId="77777777" w:rsidR="00831F77" w:rsidRDefault="00831F77" w:rsidP="006A76D6">
      <w:pPr>
        <w:pStyle w:val="EndNoteBibliography"/>
        <w:rPr>
          <w:noProof/>
        </w:rPr>
      </w:pPr>
      <w:r w:rsidRPr="0018452A">
        <w:rPr>
          <w:noProof/>
        </w:rPr>
        <w:t xml:space="preserve">Alanis AJ (2005) Resistance to Antibiotics: Are We in the Post-Antibiotic Era? </w:t>
      </w:r>
      <w:r w:rsidRPr="0018452A">
        <w:rPr>
          <w:i/>
          <w:noProof/>
        </w:rPr>
        <w:t>Archives of Medical Research</w:t>
      </w:r>
      <w:r w:rsidRPr="0018452A">
        <w:rPr>
          <w:noProof/>
        </w:rPr>
        <w:t xml:space="preserve"> </w:t>
      </w:r>
      <w:r w:rsidRPr="0018452A">
        <w:rPr>
          <w:b/>
          <w:noProof/>
        </w:rPr>
        <w:t>36</w:t>
      </w:r>
      <w:r w:rsidRPr="0018452A">
        <w:rPr>
          <w:noProof/>
        </w:rPr>
        <w:t>: 697-705.</w:t>
      </w:r>
    </w:p>
    <w:p w14:paraId="5C0EB40F" w14:textId="77777777" w:rsidR="00E8257F" w:rsidRPr="0018452A" w:rsidRDefault="00E8257F" w:rsidP="006A76D6">
      <w:pPr>
        <w:pStyle w:val="EndNoteBibliography"/>
        <w:rPr>
          <w:noProof/>
        </w:rPr>
      </w:pPr>
    </w:p>
    <w:p w14:paraId="3B1E92B8" w14:textId="77777777" w:rsidR="00831F77" w:rsidRDefault="00831F77" w:rsidP="006A76D6">
      <w:pPr>
        <w:pStyle w:val="EndNoteBibliography"/>
        <w:rPr>
          <w:noProof/>
        </w:rPr>
      </w:pPr>
      <w:r w:rsidRPr="0018452A">
        <w:rPr>
          <w:noProof/>
        </w:rPr>
        <w:t xml:space="preserve">Amos GCA, Hawkey PM, Gaze WH &amp; Wellington EM (2014) Waste water effluent contributes to the dissemination of CTX-M-15 in the natural environment. </w:t>
      </w:r>
      <w:r w:rsidRPr="0018452A">
        <w:rPr>
          <w:i/>
          <w:noProof/>
        </w:rPr>
        <w:t>Journal of Antimicrobial Chemotherapy</w:t>
      </w:r>
      <w:r w:rsidRPr="0018452A">
        <w:rPr>
          <w:noProof/>
        </w:rPr>
        <w:t>.</w:t>
      </w:r>
    </w:p>
    <w:p w14:paraId="1EEF6C92" w14:textId="77777777" w:rsidR="00E8257F" w:rsidRPr="0018452A" w:rsidRDefault="00E8257F" w:rsidP="006A76D6">
      <w:pPr>
        <w:pStyle w:val="EndNoteBibliography"/>
        <w:rPr>
          <w:noProof/>
        </w:rPr>
      </w:pPr>
    </w:p>
    <w:p w14:paraId="6224DAB4" w14:textId="77777777" w:rsidR="00831F77" w:rsidRDefault="00831F77" w:rsidP="006A76D6">
      <w:pPr>
        <w:pStyle w:val="EndNoteBibliography"/>
        <w:rPr>
          <w:noProof/>
        </w:rPr>
      </w:pPr>
      <w:r w:rsidRPr="0018452A">
        <w:rPr>
          <w:noProof/>
        </w:rPr>
        <w:t xml:space="preserve">Amos GCA, Gozzard E, Carter CE, Mead A, Bowes MJ, Hawkey PM, Zhang L, Singer AC, Gaze WH &amp; Wellington EMH (2015) Validated predictive modelling of the environmental resistome. </w:t>
      </w:r>
      <w:r w:rsidRPr="0018452A">
        <w:rPr>
          <w:i/>
          <w:noProof/>
        </w:rPr>
        <w:t>ISME J</w:t>
      </w:r>
      <w:r w:rsidRPr="0018452A">
        <w:rPr>
          <w:noProof/>
        </w:rPr>
        <w:t xml:space="preserve"> </w:t>
      </w:r>
      <w:r w:rsidRPr="0018452A">
        <w:rPr>
          <w:b/>
          <w:noProof/>
        </w:rPr>
        <w:t>9</w:t>
      </w:r>
      <w:r w:rsidRPr="0018452A">
        <w:rPr>
          <w:noProof/>
        </w:rPr>
        <w:t>: 1467-1476.</w:t>
      </w:r>
    </w:p>
    <w:p w14:paraId="3AE7180A" w14:textId="77777777" w:rsidR="00E8257F" w:rsidRPr="0018452A" w:rsidRDefault="00E8257F" w:rsidP="006A76D6">
      <w:pPr>
        <w:pStyle w:val="EndNoteBibliography"/>
        <w:rPr>
          <w:noProof/>
        </w:rPr>
      </w:pPr>
    </w:p>
    <w:p w14:paraId="4E91F9A5" w14:textId="77777777" w:rsidR="00831F77" w:rsidRDefault="00831F77" w:rsidP="006A76D6">
      <w:pPr>
        <w:pStyle w:val="EndNoteBibliography"/>
        <w:rPr>
          <w:noProof/>
        </w:rPr>
      </w:pPr>
      <w:r w:rsidRPr="0018452A">
        <w:rPr>
          <w:noProof/>
        </w:rPr>
        <w:t xml:space="preserve">Angiuoli S, Matalka M, Gussman G, Galens K, Vangala M, Riley D, Arze C, White J, White O &amp; Fricke W (2011) CloVR: A virtual machine for automated and portable sequence analysis from the desktop using cloud computing. </w:t>
      </w:r>
      <w:r w:rsidRPr="0018452A">
        <w:rPr>
          <w:i/>
          <w:noProof/>
        </w:rPr>
        <w:t>BMC Bioinformatics</w:t>
      </w:r>
      <w:r w:rsidRPr="0018452A">
        <w:rPr>
          <w:noProof/>
        </w:rPr>
        <w:t xml:space="preserve"> </w:t>
      </w:r>
      <w:r w:rsidRPr="0018452A">
        <w:rPr>
          <w:b/>
          <w:noProof/>
        </w:rPr>
        <w:t>12</w:t>
      </w:r>
      <w:r w:rsidRPr="0018452A">
        <w:rPr>
          <w:noProof/>
        </w:rPr>
        <w:t>: 356-360.</w:t>
      </w:r>
    </w:p>
    <w:p w14:paraId="512309C1" w14:textId="77777777" w:rsidR="00E8257F" w:rsidRPr="0018452A" w:rsidRDefault="00E8257F" w:rsidP="006A76D6">
      <w:pPr>
        <w:pStyle w:val="EndNoteBibliography"/>
        <w:rPr>
          <w:noProof/>
        </w:rPr>
      </w:pPr>
    </w:p>
    <w:p w14:paraId="483A10A6" w14:textId="77777777" w:rsidR="00831F77" w:rsidRDefault="00831F77" w:rsidP="006A76D6">
      <w:pPr>
        <w:pStyle w:val="EndNoteBibliography"/>
        <w:rPr>
          <w:noProof/>
        </w:rPr>
      </w:pPr>
      <w:r w:rsidRPr="0018452A">
        <w:rPr>
          <w:noProof/>
        </w:rPr>
        <w:t xml:space="preserve">Baquero F, Martínez J-L &amp; Cantón R (2008) Antibiotics and antibiotic resistance in water environments. </w:t>
      </w:r>
      <w:r w:rsidRPr="0018452A">
        <w:rPr>
          <w:i/>
          <w:noProof/>
        </w:rPr>
        <w:t>Current opinion in biotechnology</w:t>
      </w:r>
      <w:r w:rsidRPr="0018452A">
        <w:rPr>
          <w:noProof/>
        </w:rPr>
        <w:t xml:space="preserve"> </w:t>
      </w:r>
      <w:r w:rsidRPr="0018452A">
        <w:rPr>
          <w:b/>
          <w:noProof/>
        </w:rPr>
        <w:t>19</w:t>
      </w:r>
      <w:r w:rsidRPr="0018452A">
        <w:rPr>
          <w:noProof/>
        </w:rPr>
        <w:t>: 260-265.</w:t>
      </w:r>
    </w:p>
    <w:p w14:paraId="769D7A7B" w14:textId="77777777" w:rsidR="00E8257F" w:rsidRPr="0018452A" w:rsidRDefault="00E8257F" w:rsidP="006A76D6">
      <w:pPr>
        <w:pStyle w:val="EndNoteBibliography"/>
        <w:rPr>
          <w:noProof/>
        </w:rPr>
      </w:pPr>
    </w:p>
    <w:p w14:paraId="1270BA25" w14:textId="77777777" w:rsidR="00831F77" w:rsidRDefault="00831F77" w:rsidP="006A76D6">
      <w:pPr>
        <w:pStyle w:val="EndNoteBibliography"/>
        <w:rPr>
          <w:noProof/>
        </w:rPr>
      </w:pPr>
      <w:r w:rsidRPr="0018452A">
        <w:rPr>
          <w:noProof/>
        </w:rPr>
        <w:t xml:space="preserve">Barth S (1998) Application of boron isotopes for tracing sources of anthropogenic contamination in groundwater. </w:t>
      </w:r>
      <w:r w:rsidRPr="0018452A">
        <w:rPr>
          <w:i/>
          <w:noProof/>
        </w:rPr>
        <w:t>Water Research</w:t>
      </w:r>
      <w:r w:rsidRPr="0018452A">
        <w:rPr>
          <w:noProof/>
        </w:rPr>
        <w:t xml:space="preserve"> </w:t>
      </w:r>
      <w:r w:rsidRPr="0018452A">
        <w:rPr>
          <w:b/>
          <w:noProof/>
        </w:rPr>
        <w:t>32</w:t>
      </w:r>
      <w:r w:rsidRPr="0018452A">
        <w:rPr>
          <w:noProof/>
        </w:rPr>
        <w:t>: 685-690.</w:t>
      </w:r>
    </w:p>
    <w:p w14:paraId="09A1E1DB" w14:textId="77777777" w:rsidR="00E8257F" w:rsidRPr="0018452A" w:rsidRDefault="00E8257F" w:rsidP="006A76D6">
      <w:pPr>
        <w:pStyle w:val="EndNoteBibliography"/>
        <w:rPr>
          <w:noProof/>
        </w:rPr>
      </w:pPr>
    </w:p>
    <w:p w14:paraId="22623BD1" w14:textId="77777777" w:rsidR="00831F77" w:rsidRDefault="00831F77" w:rsidP="006A76D6">
      <w:pPr>
        <w:pStyle w:val="EndNoteBibliography"/>
        <w:rPr>
          <w:noProof/>
        </w:rPr>
      </w:pPr>
      <w:r w:rsidRPr="0018452A">
        <w:rPr>
          <w:noProof/>
        </w:rPr>
        <w:t xml:space="preserve">Bhullar K, Waglechner N, Pawlowski A, Koteva K, Banks ED, Johnston MD, Barton HA &amp; Wright GD (2012) Antibiotic Resistance Is Prevalent in an Isolated Cave Microbiome. </w:t>
      </w:r>
      <w:r w:rsidRPr="0018452A">
        <w:rPr>
          <w:i/>
          <w:noProof/>
        </w:rPr>
        <w:t>PLoS ONE</w:t>
      </w:r>
      <w:r w:rsidRPr="0018452A">
        <w:rPr>
          <w:noProof/>
        </w:rPr>
        <w:t xml:space="preserve"> </w:t>
      </w:r>
      <w:r w:rsidRPr="0018452A">
        <w:rPr>
          <w:b/>
          <w:noProof/>
        </w:rPr>
        <w:t>7</w:t>
      </w:r>
      <w:r w:rsidRPr="0018452A">
        <w:rPr>
          <w:noProof/>
        </w:rPr>
        <w:t>: e34953.</w:t>
      </w:r>
    </w:p>
    <w:p w14:paraId="2D9D8FAD" w14:textId="77777777" w:rsidR="00E8257F" w:rsidRPr="0018452A" w:rsidRDefault="00E8257F" w:rsidP="006A76D6">
      <w:pPr>
        <w:pStyle w:val="EndNoteBibliography"/>
        <w:rPr>
          <w:noProof/>
        </w:rPr>
      </w:pPr>
    </w:p>
    <w:p w14:paraId="109DB605" w14:textId="77777777" w:rsidR="00831F77" w:rsidRDefault="00831F77" w:rsidP="006A76D6">
      <w:pPr>
        <w:pStyle w:val="EndNoteBibliography"/>
        <w:rPr>
          <w:noProof/>
        </w:rPr>
      </w:pPr>
      <w:r w:rsidRPr="0018452A">
        <w:rPr>
          <w:noProof/>
        </w:rPr>
        <w:t xml:space="preserve">Bowes MJ, Lehmann K, Jarvie H &amp; Singer AC (2010) Investigating periphyton biofilm response to changing phosphorus concentrations in UK rivers using within-river flumes. </w:t>
      </w:r>
      <w:r w:rsidRPr="0018452A">
        <w:rPr>
          <w:i/>
          <w:noProof/>
        </w:rPr>
        <w:t xml:space="preserve">Role of Hydrology in Managing Consequences of a Changing Global Environment </w:t>
      </w:r>
      <w:r w:rsidRPr="0018452A">
        <w:rPr>
          <w:noProof/>
        </w:rPr>
        <w:t>(Kirby C, ed.) p. 384-389. British Hydrological Society.</w:t>
      </w:r>
    </w:p>
    <w:p w14:paraId="0D5C8CF3" w14:textId="77777777" w:rsidR="00E8257F" w:rsidRPr="0018452A" w:rsidRDefault="00E8257F" w:rsidP="006A76D6">
      <w:pPr>
        <w:pStyle w:val="EndNoteBibliography"/>
        <w:rPr>
          <w:noProof/>
        </w:rPr>
      </w:pPr>
    </w:p>
    <w:p w14:paraId="3298036C" w14:textId="77777777" w:rsidR="00831F77" w:rsidRDefault="00831F77" w:rsidP="006A76D6">
      <w:pPr>
        <w:pStyle w:val="EndNoteBibliography"/>
        <w:rPr>
          <w:noProof/>
        </w:rPr>
      </w:pPr>
      <w:r w:rsidRPr="0018452A">
        <w:rPr>
          <w:noProof/>
        </w:rPr>
        <w:t xml:space="preserve">Brooks B, Riley T &amp; Taylor R (2006) Water Quality of Effluent-dominated Ecosystems: Ecotoxicological, Hydrological, and Management Considerations </w:t>
      </w:r>
      <w:r w:rsidRPr="0018452A">
        <w:rPr>
          <w:i/>
          <w:noProof/>
        </w:rPr>
        <w:t>Hydrobiologia</w:t>
      </w:r>
      <w:r w:rsidRPr="0018452A">
        <w:rPr>
          <w:noProof/>
        </w:rPr>
        <w:t>.</w:t>
      </w:r>
    </w:p>
    <w:p w14:paraId="0CC8021B" w14:textId="77777777" w:rsidR="00E8257F" w:rsidRPr="0018452A" w:rsidRDefault="00E8257F" w:rsidP="006A76D6">
      <w:pPr>
        <w:pStyle w:val="EndNoteBibliography"/>
        <w:rPr>
          <w:noProof/>
        </w:rPr>
      </w:pPr>
    </w:p>
    <w:p w14:paraId="70057E4D" w14:textId="77777777" w:rsidR="00831F77" w:rsidRDefault="00831F77" w:rsidP="006A76D6">
      <w:pPr>
        <w:pStyle w:val="EndNoteBibliography"/>
        <w:rPr>
          <w:noProof/>
        </w:rPr>
      </w:pPr>
      <w:r w:rsidRPr="0018452A">
        <w:rPr>
          <w:noProof/>
        </w:rPr>
        <w:t xml:space="preserve">Caporaso JG, Kuczynski J, Stombaugh J, Bittinger K, Bushman FD, Costello EK, Fierer N, Pena AG, Goodrich JK &amp; Gordon JI (2010) QIIME allows analysis of high-throughput community sequencing data. </w:t>
      </w:r>
      <w:r w:rsidRPr="0018452A">
        <w:rPr>
          <w:i/>
          <w:noProof/>
        </w:rPr>
        <w:t>Nature Methods</w:t>
      </w:r>
      <w:r w:rsidRPr="0018452A">
        <w:rPr>
          <w:noProof/>
        </w:rPr>
        <w:t xml:space="preserve"> </w:t>
      </w:r>
      <w:r w:rsidRPr="0018452A">
        <w:rPr>
          <w:b/>
          <w:noProof/>
        </w:rPr>
        <w:t>7</w:t>
      </w:r>
      <w:r w:rsidRPr="0018452A">
        <w:rPr>
          <w:noProof/>
        </w:rPr>
        <w:t>: 335-336.</w:t>
      </w:r>
    </w:p>
    <w:p w14:paraId="1DCB4E87" w14:textId="77777777" w:rsidR="00E8257F" w:rsidRPr="0018452A" w:rsidRDefault="00E8257F" w:rsidP="006A76D6">
      <w:pPr>
        <w:pStyle w:val="EndNoteBibliography"/>
        <w:rPr>
          <w:noProof/>
        </w:rPr>
      </w:pPr>
    </w:p>
    <w:p w14:paraId="1B9062F1" w14:textId="77777777" w:rsidR="00831F77" w:rsidRDefault="00E8257F" w:rsidP="006A76D6">
      <w:pPr>
        <w:pStyle w:val="EndNoteBibliography"/>
        <w:rPr>
          <w:noProof/>
        </w:rPr>
      </w:pPr>
      <w:r w:rsidRPr="0018452A">
        <w:rPr>
          <w:noProof/>
        </w:rPr>
        <w:lastRenderedPageBreak/>
        <w:t xml:space="preserve">Census Dissemination Unit </w:t>
      </w:r>
      <w:r w:rsidR="00831F77" w:rsidRPr="0018452A">
        <w:rPr>
          <w:noProof/>
        </w:rPr>
        <w:t>(2001) 2001 Census: Standard Area Statistics (England and Wales) (Office for</w:t>
      </w:r>
      <w:r>
        <w:rPr>
          <w:noProof/>
        </w:rPr>
        <w:t xml:space="preserve"> National Statistics EJCP, ed.). </w:t>
      </w:r>
      <w:r w:rsidR="00831F77" w:rsidRPr="0018452A">
        <w:rPr>
          <w:noProof/>
        </w:rPr>
        <w:t>Census Dissemination Unit, Mimas (University of Manchester).</w:t>
      </w:r>
    </w:p>
    <w:p w14:paraId="0D307F7C" w14:textId="77777777" w:rsidR="00E8257F" w:rsidRPr="0018452A" w:rsidRDefault="00E8257F" w:rsidP="006A76D6">
      <w:pPr>
        <w:pStyle w:val="EndNoteBibliography"/>
        <w:rPr>
          <w:noProof/>
        </w:rPr>
      </w:pPr>
    </w:p>
    <w:p w14:paraId="189779E9" w14:textId="77777777" w:rsidR="00831F77" w:rsidRDefault="00831F77" w:rsidP="006A76D6">
      <w:pPr>
        <w:pStyle w:val="EndNoteBibliography"/>
        <w:rPr>
          <w:noProof/>
        </w:rPr>
      </w:pPr>
      <w:r w:rsidRPr="0018452A">
        <w:rPr>
          <w:noProof/>
        </w:rPr>
        <w:t>Cole JR, Wang Q, Cardenas E</w:t>
      </w:r>
      <w:r w:rsidRPr="0018452A">
        <w:rPr>
          <w:i/>
          <w:noProof/>
        </w:rPr>
        <w:t>, et al.</w:t>
      </w:r>
      <w:r w:rsidRPr="0018452A">
        <w:rPr>
          <w:noProof/>
        </w:rPr>
        <w:t xml:space="preserve"> (2009) The Ribosomal Database Project: improved alignments and new tools for rRNA analysis. </w:t>
      </w:r>
      <w:r w:rsidRPr="0018452A">
        <w:rPr>
          <w:i/>
          <w:noProof/>
        </w:rPr>
        <w:t>Nucleic Acids Research</w:t>
      </w:r>
      <w:r w:rsidRPr="0018452A">
        <w:rPr>
          <w:noProof/>
        </w:rPr>
        <w:t xml:space="preserve"> </w:t>
      </w:r>
      <w:r w:rsidRPr="0018452A">
        <w:rPr>
          <w:b/>
          <w:noProof/>
        </w:rPr>
        <w:t>37</w:t>
      </w:r>
      <w:r w:rsidRPr="0018452A">
        <w:rPr>
          <w:noProof/>
        </w:rPr>
        <w:t>: D141-D145.</w:t>
      </w:r>
    </w:p>
    <w:p w14:paraId="062CAC86" w14:textId="77777777" w:rsidR="00E8257F" w:rsidRPr="0018452A" w:rsidRDefault="00E8257F" w:rsidP="006A76D6">
      <w:pPr>
        <w:pStyle w:val="EndNoteBibliography"/>
        <w:rPr>
          <w:noProof/>
        </w:rPr>
      </w:pPr>
    </w:p>
    <w:p w14:paraId="7AE35217" w14:textId="77777777" w:rsidR="00831F77" w:rsidRDefault="00831F77" w:rsidP="006A76D6">
      <w:pPr>
        <w:pStyle w:val="EndNoteBibliography"/>
        <w:rPr>
          <w:noProof/>
        </w:rPr>
      </w:pPr>
      <w:r w:rsidRPr="0018452A">
        <w:rPr>
          <w:noProof/>
        </w:rPr>
        <w:t xml:space="preserve">Crane M, Watts C &amp; Boucard T (2006) Chronic aquatic environmental risks from exposure to human pharmaceuticals. </w:t>
      </w:r>
      <w:r w:rsidRPr="0018452A">
        <w:rPr>
          <w:i/>
          <w:noProof/>
        </w:rPr>
        <w:t>Science of The Total Environment</w:t>
      </w:r>
      <w:r w:rsidRPr="0018452A">
        <w:rPr>
          <w:noProof/>
        </w:rPr>
        <w:t xml:space="preserve"> </w:t>
      </w:r>
      <w:r w:rsidRPr="0018452A">
        <w:rPr>
          <w:b/>
          <w:noProof/>
        </w:rPr>
        <w:t>367</w:t>
      </w:r>
      <w:r w:rsidRPr="0018452A">
        <w:rPr>
          <w:noProof/>
        </w:rPr>
        <w:t>: 23-41.</w:t>
      </w:r>
    </w:p>
    <w:p w14:paraId="7DD12C25" w14:textId="77777777" w:rsidR="00E8257F" w:rsidRPr="0018452A" w:rsidRDefault="00E8257F" w:rsidP="006A76D6">
      <w:pPr>
        <w:pStyle w:val="EndNoteBibliography"/>
        <w:rPr>
          <w:noProof/>
        </w:rPr>
      </w:pPr>
    </w:p>
    <w:p w14:paraId="5C9787F1" w14:textId="77777777" w:rsidR="00831F77" w:rsidRDefault="00831F77" w:rsidP="006A76D6">
      <w:pPr>
        <w:pStyle w:val="EndNoteBibliography"/>
        <w:rPr>
          <w:noProof/>
        </w:rPr>
      </w:pPr>
      <w:r w:rsidRPr="0018452A">
        <w:rPr>
          <w:noProof/>
        </w:rPr>
        <w:t xml:space="preserve">Da Silva MF, Tiago I, Veríssimo A, Boaventura RAR, Nunes OC &amp; Manaia CM (2006) Antibiotic resistance of enterococci and related bacteria in an urban wastewater treatment plant. </w:t>
      </w:r>
      <w:r w:rsidRPr="0018452A">
        <w:rPr>
          <w:i/>
          <w:noProof/>
        </w:rPr>
        <w:t>FEMS Microbiology Ecology</w:t>
      </w:r>
      <w:r w:rsidRPr="0018452A">
        <w:rPr>
          <w:noProof/>
        </w:rPr>
        <w:t xml:space="preserve"> </w:t>
      </w:r>
      <w:r w:rsidRPr="0018452A">
        <w:rPr>
          <w:b/>
          <w:noProof/>
        </w:rPr>
        <w:t>55</w:t>
      </w:r>
      <w:r w:rsidRPr="0018452A">
        <w:rPr>
          <w:noProof/>
        </w:rPr>
        <w:t>: 322-329.</w:t>
      </w:r>
    </w:p>
    <w:p w14:paraId="3C47162C" w14:textId="77777777" w:rsidR="00E8257F" w:rsidRPr="0018452A" w:rsidRDefault="00E8257F" w:rsidP="006A76D6">
      <w:pPr>
        <w:pStyle w:val="EndNoteBibliography"/>
        <w:rPr>
          <w:noProof/>
        </w:rPr>
      </w:pPr>
    </w:p>
    <w:p w14:paraId="0E2A65DC" w14:textId="77777777" w:rsidR="00831F77" w:rsidRDefault="00831F77" w:rsidP="006A76D6">
      <w:pPr>
        <w:pStyle w:val="EndNoteBibliography"/>
        <w:rPr>
          <w:noProof/>
        </w:rPr>
      </w:pPr>
      <w:r w:rsidRPr="0018452A">
        <w:rPr>
          <w:noProof/>
        </w:rPr>
        <w:t xml:space="preserve">Edge TA &amp; Hill S (2005) Occurrence of antibiotic resistance in Escherichia coli from surface waters and fecal pollution sources near Hamilton, Ontario. </w:t>
      </w:r>
      <w:r w:rsidRPr="0018452A">
        <w:rPr>
          <w:i/>
          <w:noProof/>
        </w:rPr>
        <w:t>Canadian Journal of Microbiology</w:t>
      </w:r>
      <w:r w:rsidRPr="0018452A">
        <w:rPr>
          <w:noProof/>
        </w:rPr>
        <w:t xml:space="preserve"> </w:t>
      </w:r>
      <w:r w:rsidRPr="0018452A">
        <w:rPr>
          <w:b/>
          <w:noProof/>
        </w:rPr>
        <w:t>51</w:t>
      </w:r>
      <w:r w:rsidRPr="0018452A">
        <w:rPr>
          <w:noProof/>
        </w:rPr>
        <w:t>: 501-505.</w:t>
      </w:r>
    </w:p>
    <w:p w14:paraId="0B927487" w14:textId="77777777" w:rsidR="00E8257F" w:rsidRPr="0018452A" w:rsidRDefault="00E8257F" w:rsidP="006A76D6">
      <w:pPr>
        <w:pStyle w:val="EndNoteBibliography"/>
        <w:rPr>
          <w:noProof/>
        </w:rPr>
      </w:pPr>
    </w:p>
    <w:p w14:paraId="0C8D1D16" w14:textId="77777777" w:rsidR="00831F77" w:rsidRDefault="00831F77" w:rsidP="006A76D6">
      <w:pPr>
        <w:pStyle w:val="EndNoteBibliography"/>
        <w:rPr>
          <w:noProof/>
        </w:rPr>
      </w:pPr>
      <w:r w:rsidRPr="0018452A">
        <w:rPr>
          <w:noProof/>
        </w:rPr>
        <w:t xml:space="preserve">Fechner LC, Gourlay-Francé C, Bourgeault A &amp; Tusseau-Vuillemin M-H (2012) Diffuse urban pollution increases metal tolerance of natural heterotrophic biofilms. </w:t>
      </w:r>
      <w:r w:rsidRPr="0018452A">
        <w:rPr>
          <w:i/>
          <w:noProof/>
        </w:rPr>
        <w:t>Environmental Pollution</w:t>
      </w:r>
      <w:r w:rsidRPr="0018452A">
        <w:rPr>
          <w:noProof/>
        </w:rPr>
        <w:t xml:space="preserve"> </w:t>
      </w:r>
      <w:r w:rsidRPr="0018452A">
        <w:rPr>
          <w:b/>
          <w:noProof/>
        </w:rPr>
        <w:t>162</w:t>
      </w:r>
      <w:r w:rsidRPr="0018452A">
        <w:rPr>
          <w:noProof/>
        </w:rPr>
        <w:t>: 311-318.</w:t>
      </w:r>
    </w:p>
    <w:p w14:paraId="1CA197C1" w14:textId="77777777" w:rsidR="00E8257F" w:rsidRPr="0018452A" w:rsidRDefault="00E8257F" w:rsidP="006A76D6">
      <w:pPr>
        <w:pStyle w:val="EndNoteBibliography"/>
        <w:rPr>
          <w:noProof/>
        </w:rPr>
      </w:pPr>
    </w:p>
    <w:p w14:paraId="7E479AE1" w14:textId="77777777" w:rsidR="00831F77" w:rsidRDefault="00831F77" w:rsidP="006A76D6">
      <w:pPr>
        <w:pStyle w:val="EndNoteBibliography"/>
        <w:rPr>
          <w:noProof/>
        </w:rPr>
      </w:pPr>
      <w:r w:rsidRPr="0018452A">
        <w:rPr>
          <w:noProof/>
        </w:rPr>
        <w:t xml:space="preserve">Gaze W, O'Neill C, Wellington E &amp; Hawkey P (2008) Antibiotic resistance in the environment, with particular reference to MRSA. </w:t>
      </w:r>
      <w:r w:rsidRPr="0018452A">
        <w:rPr>
          <w:i/>
          <w:noProof/>
        </w:rPr>
        <w:t>Adv Appl Microbiol</w:t>
      </w:r>
      <w:r w:rsidRPr="0018452A">
        <w:rPr>
          <w:noProof/>
        </w:rPr>
        <w:t xml:space="preserve"> </w:t>
      </w:r>
      <w:r w:rsidRPr="0018452A">
        <w:rPr>
          <w:b/>
          <w:noProof/>
        </w:rPr>
        <w:t>63</w:t>
      </w:r>
      <w:r w:rsidRPr="0018452A">
        <w:rPr>
          <w:noProof/>
        </w:rPr>
        <w:t>: 249-280.</w:t>
      </w:r>
    </w:p>
    <w:p w14:paraId="1C0DACCA" w14:textId="77777777" w:rsidR="00E8257F" w:rsidRPr="0018452A" w:rsidRDefault="00E8257F" w:rsidP="006A76D6">
      <w:pPr>
        <w:pStyle w:val="EndNoteBibliography"/>
        <w:rPr>
          <w:noProof/>
        </w:rPr>
      </w:pPr>
    </w:p>
    <w:p w14:paraId="53AA8F62" w14:textId="77777777" w:rsidR="00831F77" w:rsidRDefault="00831F77" w:rsidP="006A76D6">
      <w:pPr>
        <w:pStyle w:val="EndNoteBibliography"/>
        <w:rPr>
          <w:noProof/>
        </w:rPr>
      </w:pPr>
      <w:r w:rsidRPr="0018452A">
        <w:rPr>
          <w:noProof/>
        </w:rPr>
        <w:t>Gaze WH, Zhang L, Abdouslam NA</w:t>
      </w:r>
      <w:r w:rsidRPr="0018452A">
        <w:rPr>
          <w:i/>
          <w:noProof/>
        </w:rPr>
        <w:t>, et al.</w:t>
      </w:r>
      <w:r w:rsidRPr="0018452A">
        <w:rPr>
          <w:noProof/>
        </w:rPr>
        <w:t xml:space="preserve"> (2011) Impacts of anthropogenic activity on the ecology of class 1 integrons and integron-associated genes in the environment. </w:t>
      </w:r>
      <w:r w:rsidRPr="0018452A">
        <w:rPr>
          <w:i/>
          <w:noProof/>
        </w:rPr>
        <w:t>ISME J</w:t>
      </w:r>
      <w:r w:rsidRPr="0018452A">
        <w:rPr>
          <w:noProof/>
        </w:rPr>
        <w:t xml:space="preserve"> </w:t>
      </w:r>
      <w:r w:rsidRPr="0018452A">
        <w:rPr>
          <w:b/>
          <w:noProof/>
        </w:rPr>
        <w:t>5</w:t>
      </w:r>
      <w:r w:rsidRPr="0018452A">
        <w:rPr>
          <w:noProof/>
        </w:rPr>
        <w:t>: 1253-1261.</w:t>
      </w:r>
    </w:p>
    <w:p w14:paraId="514B7FD0" w14:textId="77777777" w:rsidR="00E8257F" w:rsidRPr="0018452A" w:rsidRDefault="00E8257F" w:rsidP="006A76D6">
      <w:pPr>
        <w:pStyle w:val="EndNoteBibliography"/>
        <w:rPr>
          <w:noProof/>
        </w:rPr>
      </w:pPr>
    </w:p>
    <w:p w14:paraId="587326E7" w14:textId="77777777" w:rsidR="00831F77" w:rsidRDefault="00831F77" w:rsidP="006A76D6">
      <w:pPr>
        <w:pStyle w:val="EndNoteBibliography"/>
        <w:rPr>
          <w:noProof/>
        </w:rPr>
      </w:pPr>
      <w:r w:rsidRPr="0018452A">
        <w:rPr>
          <w:noProof/>
        </w:rPr>
        <w:t xml:space="preserve">Gillings MR, Holley MP &amp; Stokes HW (2009) Evidence for dynamic exchange of qac gene cassettes between class 1 integrons and other integrons in freshwater biofilms. </w:t>
      </w:r>
      <w:r w:rsidRPr="0018452A">
        <w:rPr>
          <w:i/>
          <w:noProof/>
        </w:rPr>
        <w:t>Fems Microbiology Letters</w:t>
      </w:r>
      <w:r w:rsidRPr="0018452A">
        <w:rPr>
          <w:noProof/>
        </w:rPr>
        <w:t xml:space="preserve"> </w:t>
      </w:r>
      <w:r w:rsidRPr="0018452A">
        <w:rPr>
          <w:b/>
          <w:noProof/>
        </w:rPr>
        <w:t>296</w:t>
      </w:r>
      <w:r w:rsidRPr="0018452A">
        <w:rPr>
          <w:noProof/>
        </w:rPr>
        <w:t>: 282-288.</w:t>
      </w:r>
    </w:p>
    <w:p w14:paraId="54A84BAD" w14:textId="77777777" w:rsidR="00E8257F" w:rsidRPr="0018452A" w:rsidRDefault="00E8257F" w:rsidP="006A76D6">
      <w:pPr>
        <w:pStyle w:val="EndNoteBibliography"/>
        <w:rPr>
          <w:noProof/>
        </w:rPr>
      </w:pPr>
    </w:p>
    <w:p w14:paraId="576C0AEE" w14:textId="77777777" w:rsidR="00831F77" w:rsidRDefault="00831F77" w:rsidP="006A76D6">
      <w:pPr>
        <w:pStyle w:val="EndNoteBibliography"/>
        <w:rPr>
          <w:noProof/>
        </w:rPr>
      </w:pPr>
      <w:r w:rsidRPr="0018452A">
        <w:rPr>
          <w:noProof/>
        </w:rPr>
        <w:t xml:space="preserve">Gillings MR, Gaze WH, Pruden A, Smalla K, Tiedje JM &amp; Zhu Y-G (2015) Using the class 1 integron-integrase gene as a proxy for anthropogenic pollution. </w:t>
      </w:r>
      <w:r w:rsidRPr="0018452A">
        <w:rPr>
          <w:i/>
          <w:noProof/>
        </w:rPr>
        <w:t>ISME J</w:t>
      </w:r>
      <w:r w:rsidRPr="0018452A">
        <w:rPr>
          <w:noProof/>
        </w:rPr>
        <w:t xml:space="preserve"> </w:t>
      </w:r>
      <w:r w:rsidRPr="0018452A">
        <w:rPr>
          <w:b/>
          <w:noProof/>
        </w:rPr>
        <w:t>9</w:t>
      </w:r>
      <w:r w:rsidRPr="0018452A">
        <w:rPr>
          <w:noProof/>
        </w:rPr>
        <w:t>: 1269-1279.</w:t>
      </w:r>
    </w:p>
    <w:p w14:paraId="66EC398E" w14:textId="77777777" w:rsidR="00E8257F" w:rsidRPr="0018452A" w:rsidRDefault="00E8257F" w:rsidP="006A76D6">
      <w:pPr>
        <w:pStyle w:val="EndNoteBibliography"/>
        <w:rPr>
          <w:noProof/>
        </w:rPr>
      </w:pPr>
    </w:p>
    <w:p w14:paraId="0F68E869" w14:textId="77777777" w:rsidR="00831F77" w:rsidRDefault="00831F77" w:rsidP="006A76D6">
      <w:pPr>
        <w:pStyle w:val="EndNoteBibliography"/>
        <w:rPr>
          <w:noProof/>
        </w:rPr>
      </w:pPr>
      <w:r w:rsidRPr="0018452A">
        <w:rPr>
          <w:noProof/>
        </w:rPr>
        <w:t xml:space="preserve">Graham DW, Olivares-Rieumont S, Knapp CW, Lima L, Werner D &amp; Bowen E (2010) Antibiotic Resistance Gene Abundances Associated with Waste Discharges to the Almendares River near Havana, Cuba. </w:t>
      </w:r>
      <w:r w:rsidRPr="0018452A">
        <w:rPr>
          <w:i/>
          <w:noProof/>
        </w:rPr>
        <w:t>Environmental Science &amp; Technology</w:t>
      </w:r>
      <w:r w:rsidRPr="0018452A">
        <w:rPr>
          <w:noProof/>
        </w:rPr>
        <w:t xml:space="preserve"> </w:t>
      </w:r>
      <w:r w:rsidRPr="0018452A">
        <w:rPr>
          <w:b/>
          <w:noProof/>
        </w:rPr>
        <w:t>45</w:t>
      </w:r>
      <w:r w:rsidRPr="0018452A">
        <w:rPr>
          <w:noProof/>
        </w:rPr>
        <w:t>: 418-424.</w:t>
      </w:r>
    </w:p>
    <w:p w14:paraId="46A8C63B" w14:textId="77777777" w:rsidR="00E8257F" w:rsidRPr="0018452A" w:rsidRDefault="00E8257F" w:rsidP="006A76D6">
      <w:pPr>
        <w:pStyle w:val="EndNoteBibliography"/>
        <w:rPr>
          <w:noProof/>
        </w:rPr>
      </w:pPr>
    </w:p>
    <w:p w14:paraId="53C9A737" w14:textId="77777777" w:rsidR="00831F77" w:rsidRDefault="00831F77" w:rsidP="006A76D6">
      <w:pPr>
        <w:pStyle w:val="EndNoteBibliography"/>
        <w:rPr>
          <w:noProof/>
        </w:rPr>
      </w:pPr>
      <w:r w:rsidRPr="0018452A">
        <w:rPr>
          <w:noProof/>
        </w:rPr>
        <w:t xml:space="preserve">Hamady M, Lozupone C &amp; Knight R (2009) Fast UniFrac: facilitating high-throughput phylogenetic analyses of microbial communities including analysis of pyrosequencing and PhyloChip data. </w:t>
      </w:r>
      <w:r w:rsidRPr="0018452A">
        <w:rPr>
          <w:i/>
          <w:noProof/>
        </w:rPr>
        <w:t>The ISME journal</w:t>
      </w:r>
      <w:r w:rsidRPr="0018452A">
        <w:rPr>
          <w:noProof/>
        </w:rPr>
        <w:t xml:space="preserve"> </w:t>
      </w:r>
      <w:r w:rsidRPr="0018452A">
        <w:rPr>
          <w:b/>
          <w:noProof/>
        </w:rPr>
        <w:t>4</w:t>
      </w:r>
      <w:r w:rsidRPr="0018452A">
        <w:rPr>
          <w:noProof/>
        </w:rPr>
        <w:t>: 17-27.</w:t>
      </w:r>
    </w:p>
    <w:p w14:paraId="7A20C464" w14:textId="77777777" w:rsidR="00E8257F" w:rsidRPr="0018452A" w:rsidRDefault="00E8257F" w:rsidP="006A76D6">
      <w:pPr>
        <w:pStyle w:val="EndNoteBibliography"/>
        <w:rPr>
          <w:noProof/>
        </w:rPr>
      </w:pPr>
    </w:p>
    <w:p w14:paraId="561B213E" w14:textId="77777777" w:rsidR="00831F77" w:rsidRPr="0018452A" w:rsidRDefault="00831F77" w:rsidP="006A76D6">
      <w:pPr>
        <w:pStyle w:val="EndNoteBibliography"/>
        <w:rPr>
          <w:noProof/>
        </w:rPr>
      </w:pPr>
      <w:r w:rsidRPr="0018452A">
        <w:rPr>
          <w:noProof/>
        </w:rPr>
        <w:t xml:space="preserve">Hatton-Ellis T &amp; Grieve N (2003) Ecology of Watercourses Characterised by Ranunculion fluitantis and Callitricho-Batrachion Vegetation. </w:t>
      </w:r>
      <w:r w:rsidRPr="0018452A">
        <w:rPr>
          <w:i/>
          <w:noProof/>
        </w:rPr>
        <w:t>Conserving Natura 2000 Rivers</w:t>
      </w:r>
      <w:r w:rsidR="00E8257F">
        <w:rPr>
          <w:i/>
          <w:noProof/>
        </w:rPr>
        <w:t>,</w:t>
      </w:r>
      <w:r w:rsidRPr="0018452A">
        <w:rPr>
          <w:noProof/>
        </w:rPr>
        <w:t xml:space="preserve"> </w:t>
      </w:r>
      <w:r w:rsidRPr="0018452A">
        <w:rPr>
          <w:b/>
          <w:noProof/>
        </w:rPr>
        <w:t>Ecology Series No. 11</w:t>
      </w:r>
      <w:r w:rsidRPr="0018452A">
        <w:rPr>
          <w:noProof/>
        </w:rPr>
        <w:t>.</w:t>
      </w:r>
    </w:p>
    <w:p w14:paraId="69D73D89" w14:textId="77777777" w:rsidR="00831F77" w:rsidRDefault="00831F77" w:rsidP="006A76D6">
      <w:pPr>
        <w:pStyle w:val="EndNoteBibliography"/>
        <w:rPr>
          <w:noProof/>
        </w:rPr>
      </w:pPr>
      <w:r w:rsidRPr="0018452A">
        <w:rPr>
          <w:noProof/>
        </w:rPr>
        <w:lastRenderedPageBreak/>
        <w:t xml:space="preserve">Hill WR &amp; Fanta SE (2008) Phosphorus and light colimit periphyton growth at subsaturating irradiances. </w:t>
      </w:r>
      <w:r w:rsidRPr="0018452A">
        <w:rPr>
          <w:i/>
          <w:noProof/>
        </w:rPr>
        <w:t>Freshwater Biology</w:t>
      </w:r>
      <w:r w:rsidRPr="0018452A">
        <w:rPr>
          <w:noProof/>
        </w:rPr>
        <w:t xml:space="preserve"> </w:t>
      </w:r>
      <w:r w:rsidRPr="0018452A">
        <w:rPr>
          <w:b/>
          <w:noProof/>
        </w:rPr>
        <w:t>53</w:t>
      </w:r>
      <w:r w:rsidRPr="0018452A">
        <w:rPr>
          <w:noProof/>
        </w:rPr>
        <w:t>: 215-225.</w:t>
      </w:r>
    </w:p>
    <w:p w14:paraId="01608DD6" w14:textId="77777777" w:rsidR="00E8257F" w:rsidRPr="0018452A" w:rsidRDefault="00E8257F" w:rsidP="006A76D6">
      <w:pPr>
        <w:pStyle w:val="EndNoteBibliography"/>
        <w:rPr>
          <w:noProof/>
        </w:rPr>
      </w:pPr>
    </w:p>
    <w:p w14:paraId="702DEEC8" w14:textId="77777777" w:rsidR="00831F77" w:rsidRDefault="00831F77" w:rsidP="006A76D6">
      <w:pPr>
        <w:pStyle w:val="EndNoteBibliography"/>
        <w:rPr>
          <w:noProof/>
        </w:rPr>
      </w:pPr>
      <w:r w:rsidRPr="0018452A">
        <w:rPr>
          <w:noProof/>
        </w:rPr>
        <w:t xml:space="preserve">Huang M-H, Zhang W, Liu C &amp; Hu H-Y (2015) Fate of trace tetracycline with resistant bacteria and resistance genes in an improved AAO wastewater treatment plant. </w:t>
      </w:r>
      <w:r w:rsidRPr="0018452A">
        <w:rPr>
          <w:i/>
          <w:noProof/>
        </w:rPr>
        <w:t>Process Safety and Environmental Protection</w:t>
      </w:r>
      <w:r w:rsidRPr="0018452A">
        <w:rPr>
          <w:noProof/>
        </w:rPr>
        <w:t xml:space="preserve"> </w:t>
      </w:r>
      <w:r w:rsidRPr="0018452A">
        <w:rPr>
          <w:b/>
          <w:noProof/>
        </w:rPr>
        <w:t>93</w:t>
      </w:r>
      <w:r w:rsidRPr="0018452A">
        <w:rPr>
          <w:noProof/>
        </w:rPr>
        <w:t>: 68-74.</w:t>
      </w:r>
    </w:p>
    <w:p w14:paraId="2D2E56A9" w14:textId="77777777" w:rsidR="00E8257F" w:rsidRPr="0018452A" w:rsidRDefault="00E8257F" w:rsidP="006A76D6">
      <w:pPr>
        <w:pStyle w:val="EndNoteBibliography"/>
        <w:rPr>
          <w:noProof/>
        </w:rPr>
      </w:pPr>
    </w:p>
    <w:p w14:paraId="65BF54E7" w14:textId="77777777" w:rsidR="00831F77" w:rsidRDefault="00831F77" w:rsidP="006A76D6">
      <w:pPr>
        <w:pStyle w:val="EndNoteBibliography"/>
        <w:rPr>
          <w:noProof/>
        </w:rPr>
      </w:pPr>
      <w:r w:rsidRPr="0018452A">
        <w:rPr>
          <w:noProof/>
        </w:rPr>
        <w:t xml:space="preserve">Jarvie HP, Neal C &amp; Williams RJ (2004) Assessing Changes in Phosphorus Concentrations in Relation to In-Stream Plant Ecology in Lowland Permeable Catchments: Bringing Ecosystem Functioning Into Water Quality Monitoring. </w:t>
      </w:r>
      <w:r w:rsidRPr="0018452A">
        <w:rPr>
          <w:i/>
          <w:noProof/>
        </w:rPr>
        <w:t>Water, Air, &amp; Soil Pollution: Focus</w:t>
      </w:r>
      <w:r w:rsidRPr="0018452A">
        <w:rPr>
          <w:noProof/>
        </w:rPr>
        <w:t xml:space="preserve"> </w:t>
      </w:r>
      <w:r w:rsidRPr="0018452A">
        <w:rPr>
          <w:b/>
          <w:noProof/>
        </w:rPr>
        <w:t>4</w:t>
      </w:r>
      <w:r w:rsidRPr="0018452A">
        <w:rPr>
          <w:noProof/>
        </w:rPr>
        <w:t>: 641-655.</w:t>
      </w:r>
    </w:p>
    <w:p w14:paraId="78291501" w14:textId="77777777" w:rsidR="00E8257F" w:rsidRPr="0018452A" w:rsidRDefault="00E8257F" w:rsidP="006A76D6">
      <w:pPr>
        <w:pStyle w:val="EndNoteBibliography"/>
        <w:rPr>
          <w:noProof/>
        </w:rPr>
      </w:pPr>
    </w:p>
    <w:p w14:paraId="5B17C790" w14:textId="77777777" w:rsidR="00831F77" w:rsidRDefault="00831F77" w:rsidP="006A76D6">
      <w:pPr>
        <w:pStyle w:val="EndNoteBibliography"/>
        <w:rPr>
          <w:noProof/>
        </w:rPr>
      </w:pPr>
      <w:r w:rsidRPr="0018452A">
        <w:rPr>
          <w:noProof/>
        </w:rPr>
        <w:t xml:space="preserve">Jarvie HP, Neal C &amp; Withers PJA (2006) Sewage-effluent phosphorus: A greater risk to river eutrophication than agricultural phosphorus? </w:t>
      </w:r>
      <w:r w:rsidRPr="0018452A">
        <w:rPr>
          <w:i/>
          <w:noProof/>
        </w:rPr>
        <w:t>Science of The Total Environment</w:t>
      </w:r>
      <w:r w:rsidRPr="0018452A">
        <w:rPr>
          <w:noProof/>
        </w:rPr>
        <w:t xml:space="preserve"> </w:t>
      </w:r>
      <w:r w:rsidRPr="0018452A">
        <w:rPr>
          <w:b/>
          <w:noProof/>
        </w:rPr>
        <w:t>360</w:t>
      </w:r>
      <w:r w:rsidRPr="0018452A">
        <w:rPr>
          <w:noProof/>
        </w:rPr>
        <w:t>: 246-253.</w:t>
      </w:r>
    </w:p>
    <w:p w14:paraId="3A4FD76C" w14:textId="77777777" w:rsidR="00E8257F" w:rsidRPr="0018452A" w:rsidRDefault="00E8257F" w:rsidP="006A76D6">
      <w:pPr>
        <w:pStyle w:val="EndNoteBibliography"/>
        <w:rPr>
          <w:noProof/>
        </w:rPr>
      </w:pPr>
    </w:p>
    <w:p w14:paraId="24082A98" w14:textId="77777777" w:rsidR="00831F77" w:rsidRDefault="00831F77" w:rsidP="006A76D6">
      <w:pPr>
        <w:pStyle w:val="EndNoteBibliography"/>
        <w:rPr>
          <w:noProof/>
        </w:rPr>
      </w:pPr>
      <w:r w:rsidRPr="0018452A">
        <w:rPr>
          <w:noProof/>
        </w:rPr>
        <w:t>Johnson AC, Acreman MC, Dunbar MJ</w:t>
      </w:r>
      <w:r w:rsidRPr="0018452A">
        <w:rPr>
          <w:i/>
          <w:noProof/>
        </w:rPr>
        <w:t>, et al.</w:t>
      </w:r>
      <w:r w:rsidRPr="0018452A">
        <w:rPr>
          <w:noProof/>
        </w:rPr>
        <w:t xml:space="preserve"> (2009) The British river of the future: How climate change and human activity might affect two contrasting river ecosystems in England. </w:t>
      </w:r>
      <w:r w:rsidRPr="0018452A">
        <w:rPr>
          <w:i/>
          <w:noProof/>
        </w:rPr>
        <w:t>Science of The Total Environment</w:t>
      </w:r>
      <w:r w:rsidRPr="0018452A">
        <w:rPr>
          <w:noProof/>
        </w:rPr>
        <w:t xml:space="preserve"> </w:t>
      </w:r>
      <w:r w:rsidRPr="0018452A">
        <w:rPr>
          <w:b/>
          <w:noProof/>
        </w:rPr>
        <w:t>407</w:t>
      </w:r>
      <w:r w:rsidRPr="0018452A">
        <w:rPr>
          <w:noProof/>
        </w:rPr>
        <w:t>: 4787-4798.</w:t>
      </w:r>
    </w:p>
    <w:p w14:paraId="6856D352" w14:textId="77777777" w:rsidR="00E8257F" w:rsidRPr="0018452A" w:rsidRDefault="00E8257F" w:rsidP="006A76D6">
      <w:pPr>
        <w:pStyle w:val="EndNoteBibliography"/>
        <w:rPr>
          <w:noProof/>
        </w:rPr>
      </w:pPr>
    </w:p>
    <w:p w14:paraId="65F5E347" w14:textId="77777777" w:rsidR="00831F77" w:rsidRDefault="00831F77" w:rsidP="006A76D6">
      <w:pPr>
        <w:pStyle w:val="EndNoteBibliography"/>
        <w:rPr>
          <w:noProof/>
        </w:rPr>
      </w:pPr>
      <w:r w:rsidRPr="0018452A">
        <w:rPr>
          <w:noProof/>
        </w:rPr>
        <w:t xml:space="preserve">Kaegi R, Voegelin A, Sinnet B, Zuleeg S, Hagendorfer H, Burkhardt M &amp; Siegrist H (2011) Behavior of metallic silver nanoparticles in a pilot wastewater treatment plant. </w:t>
      </w:r>
      <w:r w:rsidRPr="0018452A">
        <w:rPr>
          <w:i/>
          <w:noProof/>
        </w:rPr>
        <w:t>Environmental science &amp; technology</w:t>
      </w:r>
      <w:r w:rsidRPr="0018452A">
        <w:rPr>
          <w:noProof/>
        </w:rPr>
        <w:t xml:space="preserve"> </w:t>
      </w:r>
      <w:r w:rsidRPr="0018452A">
        <w:rPr>
          <w:b/>
          <w:noProof/>
        </w:rPr>
        <w:t>45</w:t>
      </w:r>
      <w:r w:rsidRPr="0018452A">
        <w:rPr>
          <w:noProof/>
        </w:rPr>
        <w:t>: 3902-3908.</w:t>
      </w:r>
    </w:p>
    <w:p w14:paraId="251D099D" w14:textId="77777777" w:rsidR="00E8257F" w:rsidRPr="0018452A" w:rsidRDefault="00E8257F" w:rsidP="006A76D6">
      <w:pPr>
        <w:pStyle w:val="EndNoteBibliography"/>
        <w:rPr>
          <w:noProof/>
        </w:rPr>
      </w:pPr>
    </w:p>
    <w:p w14:paraId="6606984F" w14:textId="77777777" w:rsidR="00831F77" w:rsidRDefault="00831F77" w:rsidP="006A76D6">
      <w:pPr>
        <w:pStyle w:val="EndNoteBibliography"/>
        <w:rPr>
          <w:noProof/>
        </w:rPr>
      </w:pPr>
      <w:r w:rsidRPr="0018452A">
        <w:rPr>
          <w:noProof/>
        </w:rPr>
        <w:t xml:space="preserve">Kenzaka T, Tani K &amp; Nasu M (2010) High-frequency phage-mediated gene transfer in freshwater environments determined at single-cell level. </w:t>
      </w:r>
      <w:r w:rsidRPr="0018452A">
        <w:rPr>
          <w:i/>
          <w:noProof/>
        </w:rPr>
        <w:t>ISME J</w:t>
      </w:r>
      <w:r w:rsidRPr="0018452A">
        <w:rPr>
          <w:noProof/>
        </w:rPr>
        <w:t xml:space="preserve"> </w:t>
      </w:r>
      <w:r w:rsidRPr="0018452A">
        <w:rPr>
          <w:b/>
          <w:noProof/>
        </w:rPr>
        <w:t>4</w:t>
      </w:r>
      <w:r w:rsidRPr="0018452A">
        <w:rPr>
          <w:noProof/>
        </w:rPr>
        <w:t>: 648-659.</w:t>
      </w:r>
    </w:p>
    <w:p w14:paraId="260E0B75" w14:textId="77777777" w:rsidR="00E8257F" w:rsidRPr="0018452A" w:rsidRDefault="00E8257F" w:rsidP="006A76D6">
      <w:pPr>
        <w:pStyle w:val="EndNoteBibliography"/>
        <w:rPr>
          <w:noProof/>
        </w:rPr>
      </w:pPr>
    </w:p>
    <w:p w14:paraId="03DA4B8B" w14:textId="77777777" w:rsidR="00831F77" w:rsidRDefault="00831F77" w:rsidP="006A76D6">
      <w:pPr>
        <w:pStyle w:val="EndNoteBibliography"/>
        <w:rPr>
          <w:noProof/>
        </w:rPr>
      </w:pPr>
      <w:r w:rsidRPr="0018452A">
        <w:rPr>
          <w:noProof/>
        </w:rPr>
        <w:t xml:space="preserve">Knapp CW, Dolfing J, Ehlert PAI &amp; Graham DW (2009) Evidence of Increasing Antibiotic Resistance Gene Abundances in Archived Soils since 1940. </w:t>
      </w:r>
      <w:r w:rsidRPr="0018452A">
        <w:rPr>
          <w:i/>
          <w:noProof/>
        </w:rPr>
        <w:t>Environmental Science &amp; Technology</w:t>
      </w:r>
      <w:r w:rsidRPr="0018452A">
        <w:rPr>
          <w:noProof/>
        </w:rPr>
        <w:t xml:space="preserve"> </w:t>
      </w:r>
      <w:r w:rsidRPr="0018452A">
        <w:rPr>
          <w:b/>
          <w:noProof/>
        </w:rPr>
        <w:t>44</w:t>
      </w:r>
      <w:r w:rsidRPr="0018452A">
        <w:rPr>
          <w:noProof/>
        </w:rPr>
        <w:t>: 580-587.</w:t>
      </w:r>
    </w:p>
    <w:p w14:paraId="6890C446" w14:textId="77777777" w:rsidR="00E8257F" w:rsidRPr="0018452A" w:rsidRDefault="00E8257F" w:rsidP="006A76D6">
      <w:pPr>
        <w:pStyle w:val="EndNoteBibliography"/>
        <w:rPr>
          <w:noProof/>
        </w:rPr>
      </w:pPr>
    </w:p>
    <w:p w14:paraId="14C694CA" w14:textId="77777777" w:rsidR="00831F77" w:rsidRDefault="00831F77" w:rsidP="006A76D6">
      <w:pPr>
        <w:pStyle w:val="EndNoteBibliography"/>
        <w:rPr>
          <w:noProof/>
        </w:rPr>
      </w:pPr>
      <w:r w:rsidRPr="0018452A">
        <w:rPr>
          <w:noProof/>
        </w:rPr>
        <w:t xml:space="preserve">Koren O, Knights D, Gonzalez A, Waldron L, Segata N, Knight R, Huttenhower C &amp; Ley RE (2013) A guide to enterotypes across the human body: Meta-analysis of microbial community structures in human microbiome datasets. </w:t>
      </w:r>
      <w:r w:rsidRPr="0018452A">
        <w:rPr>
          <w:i/>
          <w:noProof/>
        </w:rPr>
        <w:t>PLoS computational biology</w:t>
      </w:r>
      <w:r w:rsidRPr="0018452A">
        <w:rPr>
          <w:noProof/>
        </w:rPr>
        <w:t xml:space="preserve"> </w:t>
      </w:r>
      <w:r w:rsidRPr="0018452A">
        <w:rPr>
          <w:b/>
          <w:noProof/>
        </w:rPr>
        <w:t>9</w:t>
      </w:r>
      <w:r w:rsidRPr="0018452A">
        <w:rPr>
          <w:noProof/>
        </w:rPr>
        <w:t>: e1002863.</w:t>
      </w:r>
    </w:p>
    <w:p w14:paraId="2146B751" w14:textId="77777777" w:rsidR="00E8257F" w:rsidRPr="0018452A" w:rsidRDefault="00E8257F" w:rsidP="006A76D6">
      <w:pPr>
        <w:pStyle w:val="EndNoteBibliography"/>
        <w:rPr>
          <w:noProof/>
        </w:rPr>
      </w:pPr>
    </w:p>
    <w:p w14:paraId="30F35F2A" w14:textId="77777777" w:rsidR="00831F77" w:rsidRDefault="00831F77" w:rsidP="006A76D6">
      <w:pPr>
        <w:pStyle w:val="EndNoteBibliography"/>
        <w:rPr>
          <w:noProof/>
        </w:rPr>
      </w:pPr>
      <w:r w:rsidRPr="0018452A">
        <w:rPr>
          <w:noProof/>
        </w:rPr>
        <w:t>Langille MGI, Zaneveld J, Caporaso JG</w:t>
      </w:r>
      <w:r w:rsidRPr="0018452A">
        <w:rPr>
          <w:i/>
          <w:noProof/>
        </w:rPr>
        <w:t>, et al.</w:t>
      </w:r>
      <w:r w:rsidRPr="0018452A">
        <w:rPr>
          <w:noProof/>
        </w:rPr>
        <w:t xml:space="preserve"> (2013) Predictive functional profiling of microbial communities using 16S rRNA marker gene sequences. </w:t>
      </w:r>
      <w:r w:rsidRPr="0018452A">
        <w:rPr>
          <w:i/>
          <w:noProof/>
        </w:rPr>
        <w:t>Nat Biotechnol</w:t>
      </w:r>
      <w:r w:rsidRPr="0018452A">
        <w:rPr>
          <w:noProof/>
        </w:rPr>
        <w:t xml:space="preserve"> </w:t>
      </w:r>
      <w:r w:rsidRPr="0018452A">
        <w:rPr>
          <w:b/>
          <w:noProof/>
        </w:rPr>
        <w:t>31</w:t>
      </w:r>
      <w:r w:rsidR="00E8257F">
        <w:rPr>
          <w:noProof/>
        </w:rPr>
        <w:t>: 814</w:t>
      </w:r>
      <w:r w:rsidRPr="0018452A">
        <w:rPr>
          <w:noProof/>
        </w:rPr>
        <w:t>.</w:t>
      </w:r>
    </w:p>
    <w:p w14:paraId="0396A5B4" w14:textId="77777777" w:rsidR="00E8257F" w:rsidRPr="0018452A" w:rsidRDefault="00E8257F" w:rsidP="006A76D6">
      <w:pPr>
        <w:pStyle w:val="EndNoteBibliography"/>
        <w:rPr>
          <w:noProof/>
        </w:rPr>
      </w:pPr>
    </w:p>
    <w:p w14:paraId="455F9CE4" w14:textId="77777777" w:rsidR="00831F77" w:rsidRDefault="00831F77" w:rsidP="006A76D6">
      <w:pPr>
        <w:pStyle w:val="EndNoteBibliography"/>
        <w:rPr>
          <w:noProof/>
        </w:rPr>
      </w:pPr>
      <w:r w:rsidRPr="0018452A">
        <w:rPr>
          <w:noProof/>
        </w:rPr>
        <w:t xml:space="preserve">Lawrence JR, Swerhone GDW, Wassenaar LI &amp; Neu TR (2005) Effects of selected pharmaceuticals on riverine biofilm communities. </w:t>
      </w:r>
      <w:r w:rsidRPr="0018452A">
        <w:rPr>
          <w:i/>
          <w:noProof/>
        </w:rPr>
        <w:t>Canadian Journal of Microbiology</w:t>
      </w:r>
      <w:r w:rsidRPr="0018452A">
        <w:rPr>
          <w:noProof/>
        </w:rPr>
        <w:t xml:space="preserve"> </w:t>
      </w:r>
      <w:r w:rsidRPr="0018452A">
        <w:rPr>
          <w:b/>
          <w:noProof/>
        </w:rPr>
        <w:t>51</w:t>
      </w:r>
      <w:r w:rsidRPr="0018452A">
        <w:rPr>
          <w:noProof/>
        </w:rPr>
        <w:t>: 655-669.</w:t>
      </w:r>
    </w:p>
    <w:p w14:paraId="0012C101" w14:textId="77777777" w:rsidR="00E8257F" w:rsidRPr="0018452A" w:rsidRDefault="00E8257F" w:rsidP="006A76D6">
      <w:pPr>
        <w:pStyle w:val="EndNoteBibliography"/>
        <w:rPr>
          <w:noProof/>
        </w:rPr>
      </w:pPr>
    </w:p>
    <w:p w14:paraId="6A830599" w14:textId="77777777" w:rsidR="00831F77" w:rsidRDefault="00831F77" w:rsidP="006A76D6">
      <w:pPr>
        <w:pStyle w:val="EndNoteBibliography"/>
        <w:rPr>
          <w:noProof/>
        </w:rPr>
      </w:pPr>
      <w:r w:rsidRPr="0018452A">
        <w:rPr>
          <w:noProof/>
        </w:rPr>
        <w:t>Lindemann SR, Moran JJ, Stegen JC</w:t>
      </w:r>
      <w:r w:rsidRPr="0018452A">
        <w:rPr>
          <w:i/>
          <w:noProof/>
        </w:rPr>
        <w:t>, et al.</w:t>
      </w:r>
      <w:r w:rsidRPr="0018452A">
        <w:rPr>
          <w:noProof/>
        </w:rPr>
        <w:t xml:space="preserve"> (2013) The epsomitic phototrophic microbial mat of Hot Lake, Washington: community structural responses to seasonal cycling. </w:t>
      </w:r>
      <w:r w:rsidRPr="0018452A">
        <w:rPr>
          <w:i/>
          <w:noProof/>
        </w:rPr>
        <w:t>Frontiers in Microbiology</w:t>
      </w:r>
      <w:r w:rsidRPr="0018452A">
        <w:rPr>
          <w:noProof/>
        </w:rPr>
        <w:t xml:space="preserve"> </w:t>
      </w:r>
      <w:r w:rsidRPr="0018452A">
        <w:rPr>
          <w:b/>
          <w:noProof/>
        </w:rPr>
        <w:t>4</w:t>
      </w:r>
      <w:r w:rsidRPr="0018452A">
        <w:rPr>
          <w:noProof/>
        </w:rPr>
        <w:t>: 323.</w:t>
      </w:r>
    </w:p>
    <w:p w14:paraId="3F7AAE4D" w14:textId="77777777" w:rsidR="00E8257F" w:rsidRPr="0018452A" w:rsidRDefault="00E8257F" w:rsidP="006A76D6">
      <w:pPr>
        <w:pStyle w:val="EndNoteBibliography"/>
        <w:rPr>
          <w:noProof/>
        </w:rPr>
      </w:pPr>
    </w:p>
    <w:p w14:paraId="607DA0C7" w14:textId="77777777" w:rsidR="00831F77" w:rsidRDefault="00831F77" w:rsidP="006A76D6">
      <w:pPr>
        <w:pStyle w:val="EndNoteBibliography"/>
        <w:rPr>
          <w:noProof/>
        </w:rPr>
      </w:pPr>
      <w:r w:rsidRPr="0018452A">
        <w:rPr>
          <w:noProof/>
        </w:rPr>
        <w:t>Liu Y-Y, Wang Y, Walsh TR</w:t>
      </w:r>
      <w:r w:rsidRPr="0018452A">
        <w:rPr>
          <w:i/>
          <w:noProof/>
        </w:rPr>
        <w:t>, et al.</w:t>
      </w:r>
      <w:r w:rsidRPr="0018452A">
        <w:rPr>
          <w:noProof/>
        </w:rPr>
        <w:t xml:space="preserve"> (2015) Emergence of plasmid-mediated colistin resistance mechanism MCR-1 in animals and human beings in China: a </w:t>
      </w:r>
      <w:r w:rsidRPr="0018452A">
        <w:rPr>
          <w:noProof/>
        </w:rPr>
        <w:lastRenderedPageBreak/>
        <w:t xml:space="preserve">microbiological and molecular biological study. </w:t>
      </w:r>
      <w:r w:rsidRPr="0018452A">
        <w:rPr>
          <w:i/>
          <w:noProof/>
        </w:rPr>
        <w:t>The Lancet Infectious Diseases</w:t>
      </w:r>
      <w:r w:rsidRPr="0018452A">
        <w:rPr>
          <w:noProof/>
        </w:rPr>
        <w:t xml:space="preserve"> </w:t>
      </w:r>
      <w:r w:rsidRPr="0018452A">
        <w:rPr>
          <w:b/>
          <w:noProof/>
        </w:rPr>
        <w:t>16</w:t>
      </w:r>
      <w:r w:rsidRPr="0018452A">
        <w:rPr>
          <w:noProof/>
        </w:rPr>
        <w:t>: 161-168.</w:t>
      </w:r>
    </w:p>
    <w:p w14:paraId="4E8DE635" w14:textId="77777777" w:rsidR="00E8257F" w:rsidRPr="0018452A" w:rsidRDefault="00E8257F" w:rsidP="006A76D6">
      <w:pPr>
        <w:pStyle w:val="EndNoteBibliography"/>
        <w:rPr>
          <w:noProof/>
        </w:rPr>
      </w:pPr>
    </w:p>
    <w:p w14:paraId="34C55905" w14:textId="77777777" w:rsidR="00831F77" w:rsidRDefault="00831F77" w:rsidP="006A76D6">
      <w:pPr>
        <w:pStyle w:val="EndNoteBibliography"/>
        <w:rPr>
          <w:noProof/>
        </w:rPr>
      </w:pPr>
      <w:r w:rsidRPr="0018452A">
        <w:rPr>
          <w:noProof/>
        </w:rPr>
        <w:t xml:space="preserve">Martínez JL (2012) Natural Antibiotic Resistance and Contamination by Antibiotic Resistance Determinants: The Two Ages in the Evolution of Resistance to Antimicrobials. </w:t>
      </w:r>
      <w:r w:rsidRPr="0018452A">
        <w:rPr>
          <w:i/>
          <w:noProof/>
        </w:rPr>
        <w:t>Frontiers in Microbiology</w:t>
      </w:r>
      <w:r w:rsidRPr="0018452A">
        <w:rPr>
          <w:noProof/>
        </w:rPr>
        <w:t xml:space="preserve"> </w:t>
      </w:r>
      <w:r w:rsidRPr="0018452A">
        <w:rPr>
          <w:b/>
          <w:noProof/>
        </w:rPr>
        <w:t>3</w:t>
      </w:r>
      <w:r w:rsidRPr="0018452A">
        <w:rPr>
          <w:noProof/>
        </w:rPr>
        <w:t>: 1.</w:t>
      </w:r>
    </w:p>
    <w:p w14:paraId="11F4DF86" w14:textId="77777777" w:rsidR="00E8257F" w:rsidRPr="0018452A" w:rsidRDefault="00E8257F" w:rsidP="006A76D6">
      <w:pPr>
        <w:pStyle w:val="EndNoteBibliography"/>
        <w:rPr>
          <w:noProof/>
        </w:rPr>
      </w:pPr>
    </w:p>
    <w:p w14:paraId="7A2FCED3" w14:textId="77777777" w:rsidR="00831F77" w:rsidRDefault="00831F77" w:rsidP="006A76D6">
      <w:pPr>
        <w:pStyle w:val="EndNoteBibliography"/>
        <w:rPr>
          <w:noProof/>
        </w:rPr>
      </w:pPr>
      <w:r w:rsidRPr="0018452A">
        <w:rPr>
          <w:noProof/>
        </w:rPr>
        <w:t xml:space="preserve">Muniesa M, Colomer-Lluch M &amp; Jofre J (2013) Potential impact of environmental bacteriophages in spreading antibiotic resistance genes. </w:t>
      </w:r>
      <w:r w:rsidRPr="0018452A">
        <w:rPr>
          <w:i/>
          <w:noProof/>
        </w:rPr>
        <w:t>Future microbiology</w:t>
      </w:r>
      <w:r w:rsidRPr="0018452A">
        <w:rPr>
          <w:noProof/>
        </w:rPr>
        <w:t xml:space="preserve"> </w:t>
      </w:r>
      <w:r w:rsidRPr="0018452A">
        <w:rPr>
          <w:b/>
          <w:noProof/>
        </w:rPr>
        <w:t>8</w:t>
      </w:r>
      <w:r w:rsidRPr="0018452A">
        <w:rPr>
          <w:noProof/>
        </w:rPr>
        <w:t>: 739-751.</w:t>
      </w:r>
    </w:p>
    <w:p w14:paraId="171E68DE" w14:textId="77777777" w:rsidR="00E8257F" w:rsidRPr="0018452A" w:rsidRDefault="00E8257F" w:rsidP="006A76D6">
      <w:pPr>
        <w:pStyle w:val="EndNoteBibliography"/>
        <w:rPr>
          <w:noProof/>
        </w:rPr>
      </w:pPr>
    </w:p>
    <w:p w14:paraId="04A9DC00" w14:textId="77777777" w:rsidR="00831F77" w:rsidRDefault="00831F77" w:rsidP="006A76D6">
      <w:pPr>
        <w:pStyle w:val="EndNoteBibliography"/>
        <w:rPr>
          <w:noProof/>
        </w:rPr>
      </w:pPr>
      <w:r w:rsidRPr="0018452A">
        <w:rPr>
          <w:noProof/>
        </w:rPr>
        <w:t xml:space="preserve">Neal C, Jarvie HP, Howarth SM, Whitehead PG, Williams RJ, Neal M, Harrow M &amp; Wickham H (2000) The water quality of the River Kennet: initial observations on a lowland chalk stream impacted by sewage inputs and phosphorus remediation. </w:t>
      </w:r>
      <w:r w:rsidRPr="0018452A">
        <w:rPr>
          <w:i/>
          <w:noProof/>
        </w:rPr>
        <w:t>Science of The Total Environment</w:t>
      </w:r>
      <w:r w:rsidRPr="0018452A">
        <w:rPr>
          <w:noProof/>
        </w:rPr>
        <w:t xml:space="preserve"> </w:t>
      </w:r>
      <w:r w:rsidRPr="0018452A">
        <w:rPr>
          <w:b/>
          <w:noProof/>
        </w:rPr>
        <w:t>251</w:t>
      </w:r>
      <w:r w:rsidRPr="0018452A">
        <w:rPr>
          <w:noProof/>
        </w:rPr>
        <w:t>: 477-495.</w:t>
      </w:r>
    </w:p>
    <w:p w14:paraId="0369AD31" w14:textId="77777777" w:rsidR="00E8257F" w:rsidRPr="0018452A" w:rsidRDefault="00E8257F" w:rsidP="006A76D6">
      <w:pPr>
        <w:pStyle w:val="EndNoteBibliography"/>
        <w:rPr>
          <w:noProof/>
        </w:rPr>
      </w:pPr>
    </w:p>
    <w:p w14:paraId="0825E554" w14:textId="77777777" w:rsidR="00831F77" w:rsidRDefault="00831F77" w:rsidP="006A76D6">
      <w:pPr>
        <w:pStyle w:val="EndNoteBibliography"/>
        <w:rPr>
          <w:noProof/>
        </w:rPr>
      </w:pPr>
      <w:r w:rsidRPr="0018452A">
        <w:rPr>
          <w:noProof/>
        </w:rPr>
        <w:t xml:space="preserve">Neal C, Jarvie HP, Wade AJ, Neal M, Wyatt R, Wickham H, Hill L &amp; Hewitt N (2004) The water quality of the LOCAR Pang and Lambourn catchments. </w:t>
      </w:r>
      <w:r w:rsidRPr="0018452A">
        <w:rPr>
          <w:i/>
          <w:noProof/>
        </w:rPr>
        <w:t>Hydrology and Earth System Sciences</w:t>
      </w:r>
      <w:r w:rsidRPr="0018452A">
        <w:rPr>
          <w:noProof/>
        </w:rPr>
        <w:t xml:space="preserve"> </w:t>
      </w:r>
      <w:r w:rsidRPr="0018452A">
        <w:rPr>
          <w:b/>
          <w:noProof/>
        </w:rPr>
        <w:t>8</w:t>
      </w:r>
      <w:r w:rsidRPr="0018452A">
        <w:rPr>
          <w:noProof/>
        </w:rPr>
        <w:t>: 614-635.</w:t>
      </w:r>
    </w:p>
    <w:p w14:paraId="30DB87A8" w14:textId="77777777" w:rsidR="00E8257F" w:rsidRPr="0018452A" w:rsidRDefault="00E8257F" w:rsidP="006A76D6">
      <w:pPr>
        <w:pStyle w:val="EndNoteBibliography"/>
        <w:rPr>
          <w:noProof/>
        </w:rPr>
      </w:pPr>
    </w:p>
    <w:p w14:paraId="70EFFE16" w14:textId="77777777" w:rsidR="00831F77" w:rsidRDefault="00831F77" w:rsidP="006A76D6">
      <w:pPr>
        <w:pStyle w:val="EndNoteBibliography"/>
        <w:rPr>
          <w:noProof/>
        </w:rPr>
      </w:pPr>
      <w:r w:rsidRPr="0018452A">
        <w:rPr>
          <w:noProof/>
        </w:rPr>
        <w:t xml:space="preserve">Neal C, Martin E, Neal M, Hallett J, Wickham HD, Harman SA, Armstrong LK, Bowes MJ, Wade AJ &amp; Keay D (2010) Sewage effluent clean-up reduces phosphorus but not phytoplankton in lowland chalk stream (River Kennet, UK) impacted by water mixing from adjacent canal. </w:t>
      </w:r>
      <w:r w:rsidRPr="0018452A">
        <w:rPr>
          <w:i/>
          <w:noProof/>
        </w:rPr>
        <w:t>Science of The Total Environment</w:t>
      </w:r>
      <w:r w:rsidRPr="0018452A">
        <w:rPr>
          <w:noProof/>
        </w:rPr>
        <w:t xml:space="preserve"> </w:t>
      </w:r>
      <w:r w:rsidRPr="0018452A">
        <w:rPr>
          <w:b/>
          <w:noProof/>
        </w:rPr>
        <w:t>408</w:t>
      </w:r>
      <w:r w:rsidRPr="0018452A">
        <w:rPr>
          <w:noProof/>
        </w:rPr>
        <w:t>: 5306-5316.</w:t>
      </w:r>
    </w:p>
    <w:p w14:paraId="41F38BD3" w14:textId="77777777" w:rsidR="00E8257F" w:rsidRPr="0018452A" w:rsidRDefault="00E8257F" w:rsidP="006A76D6">
      <w:pPr>
        <w:pStyle w:val="EndNoteBibliography"/>
        <w:rPr>
          <w:noProof/>
        </w:rPr>
      </w:pPr>
    </w:p>
    <w:p w14:paraId="374804FB" w14:textId="77777777" w:rsidR="00831F77" w:rsidRDefault="00831F77" w:rsidP="006A76D6">
      <w:pPr>
        <w:pStyle w:val="EndNoteBibliography"/>
        <w:rPr>
          <w:noProof/>
        </w:rPr>
      </w:pPr>
      <w:r w:rsidRPr="0018452A">
        <w:rPr>
          <w:noProof/>
        </w:rPr>
        <w:t xml:space="preserve">Novotny V &amp; Brown P (2014) Cities of the Future-Towards integrated sustainable water and landscape management. </w:t>
      </w:r>
      <w:r w:rsidRPr="0018452A">
        <w:rPr>
          <w:i/>
          <w:noProof/>
        </w:rPr>
        <w:t>Water Intelligence Online</w:t>
      </w:r>
      <w:r w:rsidRPr="0018452A">
        <w:rPr>
          <w:noProof/>
        </w:rPr>
        <w:t xml:space="preserve"> </w:t>
      </w:r>
      <w:r w:rsidRPr="0018452A">
        <w:rPr>
          <w:b/>
          <w:noProof/>
        </w:rPr>
        <w:t>13</w:t>
      </w:r>
      <w:r w:rsidRPr="0018452A">
        <w:rPr>
          <w:noProof/>
        </w:rPr>
        <w:t>: 9781780405308.</w:t>
      </w:r>
    </w:p>
    <w:p w14:paraId="60F3D72A" w14:textId="77777777" w:rsidR="00E8257F" w:rsidRPr="0018452A" w:rsidRDefault="00E8257F" w:rsidP="006A76D6">
      <w:pPr>
        <w:pStyle w:val="EndNoteBibliography"/>
        <w:rPr>
          <w:noProof/>
        </w:rPr>
      </w:pPr>
    </w:p>
    <w:p w14:paraId="05925920" w14:textId="77777777" w:rsidR="00831F77" w:rsidRDefault="00831F77" w:rsidP="006A76D6">
      <w:pPr>
        <w:pStyle w:val="EndNoteBibliography"/>
        <w:rPr>
          <w:noProof/>
        </w:rPr>
      </w:pPr>
      <w:r w:rsidRPr="0018452A">
        <w:rPr>
          <w:noProof/>
        </w:rPr>
        <w:t xml:space="preserve">Paiva MC, Ávila MP, Reis MP, Costa PS, Nardi RMD &amp; Nascimento AMA (2015) The Microbiota and Abundance of the Class 1 Integron-Integrase Gene in Tropical Sewage Treatment Plant Influent and Activated Sludge. </w:t>
      </w:r>
      <w:r w:rsidRPr="0018452A">
        <w:rPr>
          <w:i/>
          <w:noProof/>
        </w:rPr>
        <w:t>PLoS ONE</w:t>
      </w:r>
      <w:r w:rsidRPr="0018452A">
        <w:rPr>
          <w:noProof/>
        </w:rPr>
        <w:t xml:space="preserve"> </w:t>
      </w:r>
      <w:r w:rsidRPr="0018452A">
        <w:rPr>
          <w:b/>
          <w:noProof/>
        </w:rPr>
        <w:t>10</w:t>
      </w:r>
      <w:r w:rsidRPr="0018452A">
        <w:rPr>
          <w:noProof/>
        </w:rPr>
        <w:t>: e0131532.</w:t>
      </w:r>
    </w:p>
    <w:p w14:paraId="5A71E58F" w14:textId="77777777" w:rsidR="00E8257F" w:rsidRPr="0018452A" w:rsidRDefault="00E8257F" w:rsidP="006A76D6">
      <w:pPr>
        <w:pStyle w:val="EndNoteBibliography"/>
        <w:rPr>
          <w:noProof/>
        </w:rPr>
      </w:pPr>
    </w:p>
    <w:p w14:paraId="5E807CFC" w14:textId="77777777" w:rsidR="00831F77" w:rsidRDefault="00831F77" w:rsidP="006A76D6">
      <w:pPr>
        <w:pStyle w:val="EndNoteBibliography"/>
        <w:rPr>
          <w:noProof/>
        </w:rPr>
      </w:pPr>
      <w:r w:rsidRPr="0018452A">
        <w:rPr>
          <w:noProof/>
        </w:rPr>
        <w:t xml:space="preserve">Parsley LC, Consuegra EJ, Kakirde KS, Land AM, Harper WF &amp; Liles MR (2010) Identification of diverse antimicrobial resistance determinants carried on bacterial, plasmid, or viral metagenomes from an activated sludge microbial assemblage. </w:t>
      </w:r>
      <w:r w:rsidRPr="0018452A">
        <w:rPr>
          <w:i/>
          <w:noProof/>
        </w:rPr>
        <w:t>Applied and environmental microbiology</w:t>
      </w:r>
      <w:r w:rsidRPr="0018452A">
        <w:rPr>
          <w:noProof/>
        </w:rPr>
        <w:t xml:space="preserve"> </w:t>
      </w:r>
      <w:r w:rsidRPr="0018452A">
        <w:rPr>
          <w:b/>
          <w:noProof/>
        </w:rPr>
        <w:t>76</w:t>
      </w:r>
      <w:r w:rsidRPr="0018452A">
        <w:rPr>
          <w:noProof/>
        </w:rPr>
        <w:t>: 3753-3757.</w:t>
      </w:r>
    </w:p>
    <w:p w14:paraId="0247A7D1" w14:textId="77777777" w:rsidR="00E8257F" w:rsidRPr="0018452A" w:rsidRDefault="00E8257F" w:rsidP="006A76D6">
      <w:pPr>
        <w:pStyle w:val="EndNoteBibliography"/>
        <w:rPr>
          <w:noProof/>
        </w:rPr>
      </w:pPr>
    </w:p>
    <w:p w14:paraId="11FDAF5B" w14:textId="77777777" w:rsidR="00831F77" w:rsidRDefault="00831F77" w:rsidP="006A76D6">
      <w:pPr>
        <w:pStyle w:val="EndNoteBibliography"/>
        <w:rPr>
          <w:noProof/>
        </w:rPr>
      </w:pPr>
      <w:r w:rsidRPr="0018452A">
        <w:rPr>
          <w:noProof/>
        </w:rPr>
        <w:t xml:space="preserve">Partridge SR, Recchia GD, Stokes HW &amp; Hall RM (2001) Family of class 1 integrons related to In4 from Tn1696. </w:t>
      </w:r>
      <w:r w:rsidRPr="0018452A">
        <w:rPr>
          <w:i/>
          <w:noProof/>
        </w:rPr>
        <w:t>Antimicrob Agents Ch</w:t>
      </w:r>
      <w:r w:rsidRPr="0018452A">
        <w:rPr>
          <w:noProof/>
        </w:rPr>
        <w:t xml:space="preserve"> </w:t>
      </w:r>
      <w:r w:rsidRPr="0018452A">
        <w:rPr>
          <w:b/>
          <w:noProof/>
        </w:rPr>
        <w:t>45</w:t>
      </w:r>
      <w:r w:rsidRPr="0018452A">
        <w:rPr>
          <w:noProof/>
        </w:rPr>
        <w:t>: 3014-3020.</w:t>
      </w:r>
    </w:p>
    <w:p w14:paraId="4C3CF2E7" w14:textId="77777777" w:rsidR="00E8257F" w:rsidRPr="0018452A" w:rsidRDefault="00E8257F" w:rsidP="006A76D6">
      <w:pPr>
        <w:pStyle w:val="EndNoteBibliography"/>
        <w:rPr>
          <w:noProof/>
        </w:rPr>
      </w:pPr>
    </w:p>
    <w:p w14:paraId="593F6547" w14:textId="77777777" w:rsidR="00831F77" w:rsidRDefault="00831F77" w:rsidP="006A76D6">
      <w:pPr>
        <w:pStyle w:val="EndNoteBibliography"/>
        <w:rPr>
          <w:noProof/>
        </w:rPr>
      </w:pPr>
      <w:r w:rsidRPr="0018452A">
        <w:rPr>
          <w:noProof/>
        </w:rPr>
        <w:t xml:space="preserve">Pei R, Kim S-C, Carlson KH &amp; Pruden A (2006) Effect of river landscape on the sediment concentrations of antibiotics and corresponding antibiotic resistance genes (ARG). </w:t>
      </w:r>
      <w:r w:rsidRPr="0018452A">
        <w:rPr>
          <w:i/>
          <w:noProof/>
        </w:rPr>
        <w:t>Water Research</w:t>
      </w:r>
      <w:r w:rsidRPr="0018452A">
        <w:rPr>
          <w:noProof/>
        </w:rPr>
        <w:t xml:space="preserve"> </w:t>
      </w:r>
      <w:r w:rsidRPr="0018452A">
        <w:rPr>
          <w:b/>
          <w:noProof/>
        </w:rPr>
        <w:t>40</w:t>
      </w:r>
      <w:r w:rsidRPr="0018452A">
        <w:rPr>
          <w:noProof/>
        </w:rPr>
        <w:t>: 2427-2435.</w:t>
      </w:r>
    </w:p>
    <w:p w14:paraId="701D3B11" w14:textId="77777777" w:rsidR="00E8257F" w:rsidRPr="0018452A" w:rsidRDefault="00E8257F" w:rsidP="006A76D6">
      <w:pPr>
        <w:pStyle w:val="EndNoteBibliography"/>
        <w:rPr>
          <w:noProof/>
        </w:rPr>
      </w:pPr>
    </w:p>
    <w:p w14:paraId="2C6FF90F" w14:textId="77777777" w:rsidR="00831F77" w:rsidRDefault="00831F77" w:rsidP="006A76D6">
      <w:pPr>
        <w:pStyle w:val="EndNoteBibliography"/>
        <w:rPr>
          <w:noProof/>
        </w:rPr>
      </w:pPr>
      <w:r w:rsidRPr="0018452A">
        <w:rPr>
          <w:noProof/>
        </w:rPr>
        <w:t xml:space="preserve">Pillet L, de Vargas C &amp; Pawlowski J (2011) Molecular Identification of Sequestered Diatom Chloroplasts and Kleptoplastidy in Foraminifera. </w:t>
      </w:r>
      <w:r w:rsidRPr="0018452A">
        <w:rPr>
          <w:i/>
          <w:noProof/>
        </w:rPr>
        <w:t>Protist</w:t>
      </w:r>
      <w:r w:rsidRPr="0018452A">
        <w:rPr>
          <w:noProof/>
        </w:rPr>
        <w:t xml:space="preserve"> </w:t>
      </w:r>
      <w:r w:rsidRPr="0018452A">
        <w:rPr>
          <w:b/>
          <w:noProof/>
        </w:rPr>
        <w:t>162</w:t>
      </w:r>
      <w:r w:rsidRPr="0018452A">
        <w:rPr>
          <w:noProof/>
        </w:rPr>
        <w:t>: 394-404.</w:t>
      </w:r>
    </w:p>
    <w:p w14:paraId="5EB26DEB" w14:textId="77777777" w:rsidR="00E8257F" w:rsidRPr="0018452A" w:rsidRDefault="00E8257F" w:rsidP="006A76D6">
      <w:pPr>
        <w:pStyle w:val="EndNoteBibliography"/>
        <w:rPr>
          <w:noProof/>
        </w:rPr>
      </w:pPr>
    </w:p>
    <w:p w14:paraId="7E2FB66C" w14:textId="77777777" w:rsidR="00831F77" w:rsidRPr="0018452A" w:rsidRDefault="00831F77" w:rsidP="006A76D6">
      <w:pPr>
        <w:pStyle w:val="EndNoteBibliography"/>
        <w:rPr>
          <w:noProof/>
        </w:rPr>
      </w:pPr>
      <w:r w:rsidRPr="0018452A">
        <w:rPr>
          <w:noProof/>
        </w:rPr>
        <w:t xml:space="preserve">Recchia GD &amp; Hall RM (1995) Gene cassettes: A new class of mobile element. </w:t>
      </w:r>
      <w:r w:rsidRPr="0018452A">
        <w:rPr>
          <w:i/>
          <w:noProof/>
        </w:rPr>
        <w:t>Microbiol-Uk</w:t>
      </w:r>
      <w:r w:rsidRPr="0018452A">
        <w:rPr>
          <w:noProof/>
        </w:rPr>
        <w:t xml:space="preserve"> </w:t>
      </w:r>
      <w:r w:rsidRPr="0018452A">
        <w:rPr>
          <w:b/>
          <w:noProof/>
        </w:rPr>
        <w:t>141</w:t>
      </w:r>
      <w:r w:rsidRPr="0018452A">
        <w:rPr>
          <w:noProof/>
        </w:rPr>
        <w:t>: 3015-3027.</w:t>
      </w:r>
    </w:p>
    <w:p w14:paraId="07763636" w14:textId="77777777" w:rsidR="00831F77" w:rsidRDefault="00831F77" w:rsidP="006A76D6">
      <w:pPr>
        <w:pStyle w:val="EndNoteBibliography"/>
        <w:rPr>
          <w:noProof/>
        </w:rPr>
      </w:pPr>
      <w:r w:rsidRPr="0018452A">
        <w:rPr>
          <w:noProof/>
        </w:rPr>
        <w:lastRenderedPageBreak/>
        <w:t>Ricciardi F, Bonnineau C, Faggiano L</w:t>
      </w:r>
      <w:r w:rsidRPr="0018452A">
        <w:rPr>
          <w:i/>
          <w:noProof/>
        </w:rPr>
        <w:t>, et al.</w:t>
      </w:r>
      <w:r w:rsidRPr="0018452A">
        <w:rPr>
          <w:noProof/>
        </w:rPr>
        <w:t xml:space="preserve"> (2009) Is chemical contamination linked to the diversity of biological communities in rivers? </w:t>
      </w:r>
      <w:r w:rsidRPr="0018452A">
        <w:rPr>
          <w:i/>
          <w:noProof/>
        </w:rPr>
        <w:t>TrAC Trends in Analytical Chemistry</w:t>
      </w:r>
      <w:r w:rsidRPr="0018452A">
        <w:rPr>
          <w:noProof/>
        </w:rPr>
        <w:t xml:space="preserve"> </w:t>
      </w:r>
      <w:r w:rsidRPr="0018452A">
        <w:rPr>
          <w:b/>
          <w:noProof/>
        </w:rPr>
        <w:t>28</w:t>
      </w:r>
      <w:r w:rsidRPr="0018452A">
        <w:rPr>
          <w:noProof/>
        </w:rPr>
        <w:t>: 592-602.</w:t>
      </w:r>
    </w:p>
    <w:p w14:paraId="5D0A7B86" w14:textId="77777777" w:rsidR="00E8257F" w:rsidRPr="0018452A" w:rsidRDefault="00E8257F" w:rsidP="006A76D6">
      <w:pPr>
        <w:pStyle w:val="EndNoteBibliography"/>
        <w:rPr>
          <w:noProof/>
        </w:rPr>
      </w:pPr>
    </w:p>
    <w:p w14:paraId="7631AF93" w14:textId="77777777" w:rsidR="00831F77" w:rsidRDefault="00831F77" w:rsidP="006A76D6">
      <w:pPr>
        <w:pStyle w:val="EndNoteBibliography"/>
        <w:rPr>
          <w:noProof/>
        </w:rPr>
      </w:pPr>
      <w:r w:rsidRPr="0018452A">
        <w:rPr>
          <w:noProof/>
        </w:rPr>
        <w:t xml:space="preserve">Schmieger H &amp; Schicklmaier P (1999) Transduction of multiple drug resistance of Salmonella enterica serovar typhimurium DT104. </w:t>
      </w:r>
      <w:r w:rsidRPr="0018452A">
        <w:rPr>
          <w:i/>
          <w:noProof/>
        </w:rPr>
        <w:t>FEMS Microbiology Letters</w:t>
      </w:r>
      <w:r w:rsidRPr="0018452A">
        <w:rPr>
          <w:noProof/>
        </w:rPr>
        <w:t xml:space="preserve"> </w:t>
      </w:r>
      <w:r w:rsidRPr="0018452A">
        <w:rPr>
          <w:b/>
          <w:noProof/>
        </w:rPr>
        <w:t>170</w:t>
      </w:r>
      <w:r w:rsidRPr="0018452A">
        <w:rPr>
          <w:noProof/>
        </w:rPr>
        <w:t>: 251-256.</w:t>
      </w:r>
    </w:p>
    <w:p w14:paraId="6B2989D2" w14:textId="77777777" w:rsidR="00E8257F" w:rsidRPr="0018452A" w:rsidRDefault="00E8257F" w:rsidP="006A76D6">
      <w:pPr>
        <w:pStyle w:val="EndNoteBibliography"/>
        <w:rPr>
          <w:noProof/>
        </w:rPr>
      </w:pPr>
    </w:p>
    <w:p w14:paraId="33991B07" w14:textId="77777777" w:rsidR="00831F77" w:rsidRDefault="00831F77" w:rsidP="006A76D6">
      <w:pPr>
        <w:pStyle w:val="EndNoteBibliography"/>
        <w:rPr>
          <w:noProof/>
        </w:rPr>
      </w:pPr>
      <w:r w:rsidRPr="0018452A">
        <w:rPr>
          <w:noProof/>
        </w:rPr>
        <w:t xml:space="preserve">Schreiber F &amp; Szewzyk U (2008) Environmentally relevant concentrations of pharmaceuticals influence the initial adhesion of bacteria. </w:t>
      </w:r>
      <w:r w:rsidRPr="0018452A">
        <w:rPr>
          <w:i/>
          <w:noProof/>
        </w:rPr>
        <w:t>Aquatic Toxicology</w:t>
      </w:r>
      <w:r w:rsidRPr="0018452A">
        <w:rPr>
          <w:noProof/>
        </w:rPr>
        <w:t xml:space="preserve"> </w:t>
      </w:r>
      <w:r w:rsidRPr="0018452A">
        <w:rPr>
          <w:b/>
          <w:noProof/>
        </w:rPr>
        <w:t>87</w:t>
      </w:r>
      <w:r w:rsidRPr="0018452A">
        <w:rPr>
          <w:noProof/>
        </w:rPr>
        <w:t>: 227-233.</w:t>
      </w:r>
    </w:p>
    <w:p w14:paraId="13AE9803" w14:textId="77777777" w:rsidR="00E8257F" w:rsidRPr="0018452A" w:rsidRDefault="00E8257F" w:rsidP="006A76D6">
      <w:pPr>
        <w:pStyle w:val="EndNoteBibliography"/>
        <w:rPr>
          <w:noProof/>
        </w:rPr>
      </w:pPr>
    </w:p>
    <w:p w14:paraId="2C0A74F8" w14:textId="77777777" w:rsidR="00831F77" w:rsidRDefault="00831F77" w:rsidP="006A76D6">
      <w:pPr>
        <w:pStyle w:val="EndNoteBibliography"/>
        <w:rPr>
          <w:noProof/>
        </w:rPr>
      </w:pPr>
      <w:r w:rsidRPr="0018452A">
        <w:rPr>
          <w:noProof/>
        </w:rPr>
        <w:t xml:space="preserve">Schwarzenbach RP, Escher BI, Fenner K, Hofstetter TB, Johnson CA, von Gunten U &amp; Wehrli B (2006) The Challenge of Micropollutants in Aquatic Systems. </w:t>
      </w:r>
      <w:r w:rsidRPr="0018452A">
        <w:rPr>
          <w:i/>
          <w:noProof/>
        </w:rPr>
        <w:t>Science</w:t>
      </w:r>
      <w:r w:rsidRPr="0018452A">
        <w:rPr>
          <w:noProof/>
        </w:rPr>
        <w:t xml:space="preserve"> </w:t>
      </w:r>
      <w:r w:rsidRPr="0018452A">
        <w:rPr>
          <w:b/>
          <w:noProof/>
        </w:rPr>
        <w:t>313</w:t>
      </w:r>
      <w:r w:rsidRPr="0018452A">
        <w:rPr>
          <w:noProof/>
        </w:rPr>
        <w:t>: 1072-1077.</w:t>
      </w:r>
    </w:p>
    <w:p w14:paraId="28362BAE" w14:textId="77777777" w:rsidR="00E8257F" w:rsidRPr="0018452A" w:rsidRDefault="00E8257F" w:rsidP="006A76D6">
      <w:pPr>
        <w:pStyle w:val="EndNoteBibliography"/>
        <w:rPr>
          <w:noProof/>
        </w:rPr>
      </w:pPr>
    </w:p>
    <w:p w14:paraId="41368708" w14:textId="77777777" w:rsidR="00831F77" w:rsidRDefault="00831F77" w:rsidP="006A76D6">
      <w:pPr>
        <w:pStyle w:val="EndNoteBibliography"/>
        <w:rPr>
          <w:noProof/>
        </w:rPr>
      </w:pPr>
      <w:r w:rsidRPr="0018452A">
        <w:rPr>
          <w:noProof/>
        </w:rPr>
        <w:t xml:space="preserve">Serra A, Corcoll N &amp; Guasch H (2009) Copper accumulation and toxicity in fluvial periphyton: The influence of exposure history. </w:t>
      </w:r>
      <w:r w:rsidRPr="0018452A">
        <w:rPr>
          <w:i/>
          <w:noProof/>
        </w:rPr>
        <w:t>Chemosphere</w:t>
      </w:r>
      <w:r w:rsidRPr="0018452A">
        <w:rPr>
          <w:noProof/>
        </w:rPr>
        <w:t xml:space="preserve"> </w:t>
      </w:r>
      <w:r w:rsidRPr="0018452A">
        <w:rPr>
          <w:b/>
          <w:noProof/>
        </w:rPr>
        <w:t>74</w:t>
      </w:r>
      <w:r w:rsidRPr="0018452A">
        <w:rPr>
          <w:noProof/>
        </w:rPr>
        <w:t>: 633-641.</w:t>
      </w:r>
    </w:p>
    <w:p w14:paraId="63E7090F" w14:textId="77777777" w:rsidR="00E8257F" w:rsidRPr="0018452A" w:rsidRDefault="00E8257F" w:rsidP="006A76D6">
      <w:pPr>
        <w:pStyle w:val="EndNoteBibliography"/>
        <w:rPr>
          <w:noProof/>
        </w:rPr>
      </w:pPr>
    </w:p>
    <w:p w14:paraId="31536568" w14:textId="77777777" w:rsidR="00831F77" w:rsidRDefault="00831F77" w:rsidP="006A76D6">
      <w:pPr>
        <w:pStyle w:val="EndNoteBibliography"/>
        <w:rPr>
          <w:noProof/>
        </w:rPr>
      </w:pPr>
      <w:r w:rsidRPr="0018452A">
        <w:rPr>
          <w:noProof/>
        </w:rPr>
        <w:t xml:space="preserve">Servais P &amp; Passerat J (2009) Antimicrobial resistance of fecal bacteria in waters of the Seine river watershed (France). </w:t>
      </w:r>
      <w:r w:rsidRPr="0018452A">
        <w:rPr>
          <w:i/>
          <w:noProof/>
        </w:rPr>
        <w:t>Science of The Total Environment</w:t>
      </w:r>
      <w:r w:rsidRPr="0018452A">
        <w:rPr>
          <w:noProof/>
        </w:rPr>
        <w:t xml:space="preserve"> </w:t>
      </w:r>
      <w:r w:rsidRPr="0018452A">
        <w:rPr>
          <w:b/>
          <w:noProof/>
        </w:rPr>
        <w:t>408</w:t>
      </w:r>
      <w:r w:rsidRPr="0018452A">
        <w:rPr>
          <w:noProof/>
        </w:rPr>
        <w:t>: 365-372.</w:t>
      </w:r>
    </w:p>
    <w:p w14:paraId="67662244" w14:textId="77777777" w:rsidR="00E8257F" w:rsidRPr="0018452A" w:rsidRDefault="00E8257F" w:rsidP="006A76D6">
      <w:pPr>
        <w:pStyle w:val="EndNoteBibliography"/>
        <w:rPr>
          <w:noProof/>
        </w:rPr>
      </w:pPr>
    </w:p>
    <w:p w14:paraId="543D8296" w14:textId="77777777" w:rsidR="00831F77" w:rsidRDefault="00831F77" w:rsidP="006A76D6">
      <w:pPr>
        <w:pStyle w:val="EndNoteBibliography"/>
        <w:rPr>
          <w:noProof/>
        </w:rPr>
      </w:pPr>
      <w:r w:rsidRPr="0018452A">
        <w:rPr>
          <w:noProof/>
        </w:rPr>
        <w:t xml:space="preserve">Slater FR, Singer AC, Turner S, Barr JJ &amp; Bond PL (2011) Pandemic pharmaceutical dosing effects on wastewater treatment: no adaptation of activated sludge bacteria to degrade the antiviral drug Oseltamivir (Tamiflu®) and loss of nutrient removal performance. </w:t>
      </w:r>
      <w:r w:rsidRPr="0018452A">
        <w:rPr>
          <w:i/>
          <w:noProof/>
        </w:rPr>
        <w:t>Fems Microbiology Letters</w:t>
      </w:r>
      <w:r w:rsidRPr="0018452A">
        <w:rPr>
          <w:noProof/>
        </w:rPr>
        <w:t xml:space="preserve"> </w:t>
      </w:r>
      <w:r w:rsidRPr="0018452A">
        <w:rPr>
          <w:b/>
          <w:noProof/>
        </w:rPr>
        <w:t>315</w:t>
      </w:r>
      <w:r w:rsidRPr="0018452A">
        <w:rPr>
          <w:noProof/>
        </w:rPr>
        <w:t>: 17-22.</w:t>
      </w:r>
    </w:p>
    <w:p w14:paraId="56C7A64F" w14:textId="77777777" w:rsidR="00E8257F" w:rsidRPr="0018452A" w:rsidRDefault="00E8257F" w:rsidP="006A76D6">
      <w:pPr>
        <w:pStyle w:val="EndNoteBibliography"/>
        <w:rPr>
          <w:noProof/>
        </w:rPr>
      </w:pPr>
    </w:p>
    <w:p w14:paraId="4443FB2B" w14:textId="77777777" w:rsidR="00831F77" w:rsidRPr="00E8257F" w:rsidRDefault="00E8257F" w:rsidP="006A76D6">
      <w:pPr>
        <w:pStyle w:val="EndNoteBibliography"/>
        <w:rPr>
          <w:noProof/>
        </w:rPr>
      </w:pPr>
      <w:r w:rsidRPr="00E8257F">
        <w:rPr>
          <w:rFonts w:eastAsiaTheme="minorEastAsia" w:cs="Helvetica"/>
          <w:szCs w:val="24"/>
          <w:lang w:eastAsia="en-US"/>
        </w:rPr>
        <w:t xml:space="preserve">Tickle T; Waldron L; Yiren Lu ; C, H., Multivariate association of microbial communities with rich metadata in high-dimensional studies. </w:t>
      </w:r>
      <w:r w:rsidRPr="00E8257F">
        <w:rPr>
          <w:rFonts w:eastAsiaTheme="minorEastAsia" w:cs="Helvetica"/>
          <w:b/>
          <w:bCs/>
          <w:szCs w:val="24"/>
          <w:lang w:eastAsia="en-US"/>
        </w:rPr>
        <w:t>In progress</w:t>
      </w:r>
      <w:r w:rsidRPr="00E8257F">
        <w:rPr>
          <w:rFonts w:eastAsiaTheme="minorEastAsia" w:cs="Helvetica"/>
          <w:szCs w:val="24"/>
          <w:lang w:eastAsia="en-US"/>
        </w:rPr>
        <w:t>.</w:t>
      </w:r>
      <w:r w:rsidRPr="00E8257F">
        <w:rPr>
          <w:noProof/>
        </w:rPr>
        <w:t xml:space="preserve"> </w:t>
      </w:r>
    </w:p>
    <w:p w14:paraId="7F076B9F" w14:textId="77777777" w:rsidR="00E8257F" w:rsidRPr="0018452A" w:rsidRDefault="00E8257F" w:rsidP="006A76D6">
      <w:pPr>
        <w:pStyle w:val="EndNoteBibliography"/>
        <w:rPr>
          <w:noProof/>
        </w:rPr>
      </w:pPr>
    </w:p>
    <w:p w14:paraId="5AB8AC25" w14:textId="77777777" w:rsidR="00831F77" w:rsidRDefault="00831F77" w:rsidP="006A76D6">
      <w:pPr>
        <w:pStyle w:val="EndNoteBibliography"/>
        <w:rPr>
          <w:noProof/>
        </w:rPr>
      </w:pPr>
      <w:r w:rsidRPr="0018452A">
        <w:rPr>
          <w:noProof/>
        </w:rPr>
        <w:t xml:space="preserve">Thiébaut G &amp; Muller S (1999) A macrophyte communities sequence as an indicator of eutrophication and acidification levels in weakly mineralised streams in north-eastern France. </w:t>
      </w:r>
      <w:r w:rsidRPr="0018452A">
        <w:rPr>
          <w:i/>
          <w:noProof/>
        </w:rPr>
        <w:t>Hydrobiologia</w:t>
      </w:r>
      <w:r w:rsidRPr="0018452A">
        <w:rPr>
          <w:noProof/>
        </w:rPr>
        <w:t xml:space="preserve"> </w:t>
      </w:r>
      <w:r w:rsidRPr="0018452A">
        <w:rPr>
          <w:b/>
          <w:noProof/>
        </w:rPr>
        <w:t>410</w:t>
      </w:r>
      <w:r w:rsidRPr="0018452A">
        <w:rPr>
          <w:noProof/>
        </w:rPr>
        <w:t>: 17-24.</w:t>
      </w:r>
    </w:p>
    <w:p w14:paraId="79B0EB2B" w14:textId="77777777" w:rsidR="00E8257F" w:rsidRPr="0018452A" w:rsidRDefault="00E8257F" w:rsidP="006A76D6">
      <w:pPr>
        <w:pStyle w:val="EndNoteBibliography"/>
        <w:rPr>
          <w:noProof/>
        </w:rPr>
      </w:pPr>
    </w:p>
    <w:p w14:paraId="133AC7C3" w14:textId="77777777" w:rsidR="00831F77" w:rsidRDefault="00831F77" w:rsidP="006A76D6">
      <w:pPr>
        <w:pStyle w:val="EndNoteBibliography"/>
        <w:rPr>
          <w:noProof/>
        </w:rPr>
      </w:pPr>
      <w:r w:rsidRPr="0018452A">
        <w:rPr>
          <w:noProof/>
        </w:rPr>
        <w:t xml:space="preserve">Úbeda C, Maiques E, Knecht E, Lasa Í, Novick RP &amp; Penadés JR (2005) Antibiotic-induced SOS response promotes horizontal dissemination of pathogenicity island-encoded virulence factors in staphylococci. </w:t>
      </w:r>
      <w:r w:rsidRPr="0018452A">
        <w:rPr>
          <w:i/>
          <w:noProof/>
        </w:rPr>
        <w:t>Molecular Microbiology</w:t>
      </w:r>
      <w:r w:rsidRPr="0018452A">
        <w:rPr>
          <w:noProof/>
        </w:rPr>
        <w:t xml:space="preserve"> </w:t>
      </w:r>
      <w:r w:rsidRPr="0018452A">
        <w:rPr>
          <w:b/>
          <w:noProof/>
        </w:rPr>
        <w:t>56</w:t>
      </w:r>
      <w:r w:rsidRPr="0018452A">
        <w:rPr>
          <w:noProof/>
        </w:rPr>
        <w:t>: 836-844.</w:t>
      </w:r>
    </w:p>
    <w:p w14:paraId="510E301F" w14:textId="77777777" w:rsidR="00E8257F" w:rsidRPr="0018452A" w:rsidRDefault="00E8257F" w:rsidP="006A76D6">
      <w:pPr>
        <w:pStyle w:val="EndNoteBibliography"/>
        <w:rPr>
          <w:noProof/>
        </w:rPr>
      </w:pPr>
    </w:p>
    <w:p w14:paraId="2858FC84" w14:textId="77777777" w:rsidR="00831F77" w:rsidRDefault="00831F77" w:rsidP="006A76D6">
      <w:pPr>
        <w:pStyle w:val="EndNoteBibliography"/>
        <w:rPr>
          <w:noProof/>
        </w:rPr>
      </w:pPr>
      <w:r w:rsidRPr="0018452A">
        <w:rPr>
          <w:noProof/>
        </w:rPr>
        <w:t xml:space="preserve">Van Elsas JD, Turner S &amp; Bailey MJ (2003) Horizontal gene transfer in the phytosphere. </w:t>
      </w:r>
      <w:r w:rsidRPr="0018452A">
        <w:rPr>
          <w:i/>
          <w:noProof/>
        </w:rPr>
        <w:t>New Phytologist</w:t>
      </w:r>
      <w:r w:rsidRPr="0018452A">
        <w:rPr>
          <w:noProof/>
        </w:rPr>
        <w:t xml:space="preserve"> </w:t>
      </w:r>
      <w:r w:rsidRPr="0018452A">
        <w:rPr>
          <w:b/>
          <w:noProof/>
        </w:rPr>
        <w:t>157</w:t>
      </w:r>
      <w:r w:rsidRPr="0018452A">
        <w:rPr>
          <w:noProof/>
        </w:rPr>
        <w:t>: 525-537.</w:t>
      </w:r>
    </w:p>
    <w:p w14:paraId="78DC12F7" w14:textId="77777777" w:rsidR="00E8257F" w:rsidRPr="0018452A" w:rsidRDefault="00E8257F" w:rsidP="006A76D6">
      <w:pPr>
        <w:pStyle w:val="EndNoteBibliography"/>
        <w:rPr>
          <w:noProof/>
        </w:rPr>
      </w:pPr>
    </w:p>
    <w:p w14:paraId="2DD084B8" w14:textId="77777777" w:rsidR="00831F77" w:rsidRDefault="00831F77" w:rsidP="006A76D6">
      <w:pPr>
        <w:pStyle w:val="EndNoteBibliography"/>
        <w:rPr>
          <w:noProof/>
        </w:rPr>
      </w:pPr>
      <w:r w:rsidRPr="0018452A">
        <w:rPr>
          <w:noProof/>
        </w:rPr>
        <w:t xml:space="preserve">Verma B, Robarts RD &amp; Headley JV (2007) Effect of tetracycline on the colonization and growth of microbes on Scirpus lacustris litter in oligotrophic and eutrophic waters. </w:t>
      </w:r>
      <w:r w:rsidRPr="0018452A">
        <w:rPr>
          <w:i/>
          <w:noProof/>
        </w:rPr>
        <w:t>Aquatic Microbial Ecology</w:t>
      </w:r>
      <w:r w:rsidRPr="0018452A">
        <w:rPr>
          <w:noProof/>
        </w:rPr>
        <w:t xml:space="preserve"> </w:t>
      </w:r>
      <w:r w:rsidRPr="0018452A">
        <w:rPr>
          <w:b/>
          <w:noProof/>
        </w:rPr>
        <w:t>47</w:t>
      </w:r>
      <w:r w:rsidRPr="0018452A">
        <w:rPr>
          <w:noProof/>
        </w:rPr>
        <w:t>: 91-98.</w:t>
      </w:r>
    </w:p>
    <w:p w14:paraId="33804B67" w14:textId="77777777" w:rsidR="00E8257F" w:rsidRPr="0018452A" w:rsidRDefault="00E8257F" w:rsidP="006A76D6">
      <w:pPr>
        <w:pStyle w:val="EndNoteBibliography"/>
        <w:rPr>
          <w:noProof/>
        </w:rPr>
      </w:pPr>
    </w:p>
    <w:p w14:paraId="5BD98FF9" w14:textId="77777777" w:rsidR="00831F77" w:rsidRDefault="00831F77" w:rsidP="006A76D6">
      <w:pPr>
        <w:pStyle w:val="EndNoteBibliography"/>
        <w:rPr>
          <w:noProof/>
        </w:rPr>
      </w:pPr>
      <w:r w:rsidRPr="0018452A">
        <w:rPr>
          <w:noProof/>
        </w:rPr>
        <w:t xml:space="preserve">Waiser MJ, Tumber V &amp; Holm J (2011) Effluent-Dominated Streams. Part 1: Presence and Effects of Excess Nitrogen and Phosphorus in Wascana Creek, Saskatchewan, Canada. </w:t>
      </w:r>
      <w:r w:rsidRPr="0018452A">
        <w:rPr>
          <w:i/>
          <w:noProof/>
        </w:rPr>
        <w:t>Environmental Toxicology and Chemistry</w:t>
      </w:r>
      <w:r w:rsidRPr="0018452A">
        <w:rPr>
          <w:noProof/>
        </w:rPr>
        <w:t xml:space="preserve"> </w:t>
      </w:r>
      <w:r w:rsidRPr="0018452A">
        <w:rPr>
          <w:b/>
          <w:noProof/>
        </w:rPr>
        <w:t>30</w:t>
      </w:r>
      <w:r w:rsidRPr="0018452A">
        <w:rPr>
          <w:noProof/>
        </w:rPr>
        <w:t>: 496-507.</w:t>
      </w:r>
    </w:p>
    <w:p w14:paraId="44753054" w14:textId="77777777" w:rsidR="00E8257F" w:rsidRPr="0018452A" w:rsidRDefault="00E8257F" w:rsidP="006A76D6">
      <w:pPr>
        <w:pStyle w:val="EndNoteBibliography"/>
        <w:rPr>
          <w:noProof/>
        </w:rPr>
      </w:pPr>
    </w:p>
    <w:p w14:paraId="5ECBDD6E" w14:textId="77777777" w:rsidR="00831F77" w:rsidRDefault="00831F77" w:rsidP="006A76D6">
      <w:pPr>
        <w:pStyle w:val="EndNoteBibliography"/>
        <w:rPr>
          <w:noProof/>
        </w:rPr>
      </w:pPr>
      <w:r w:rsidRPr="0018452A">
        <w:rPr>
          <w:noProof/>
        </w:rPr>
        <w:lastRenderedPageBreak/>
        <w:t xml:space="preserve">Wakelin S, Colloff M &amp; Kookana R (2008) Effect of Wastewater Treatment Plant Effluent on Microbial Function and Community Structure in the Sediment of a Freshwater Stream with Variable Seasonal Flow. </w:t>
      </w:r>
      <w:r w:rsidRPr="0018452A">
        <w:rPr>
          <w:i/>
          <w:noProof/>
        </w:rPr>
        <w:t>Applied and Environmental Microbiology</w:t>
      </w:r>
      <w:r w:rsidRPr="0018452A">
        <w:rPr>
          <w:noProof/>
        </w:rPr>
        <w:t>.</w:t>
      </w:r>
    </w:p>
    <w:p w14:paraId="4DFAB9C6" w14:textId="77777777" w:rsidR="00E8257F" w:rsidRPr="0018452A" w:rsidRDefault="00E8257F" w:rsidP="006A76D6">
      <w:pPr>
        <w:pStyle w:val="EndNoteBibliography"/>
        <w:rPr>
          <w:noProof/>
        </w:rPr>
      </w:pPr>
    </w:p>
    <w:p w14:paraId="26B5C197" w14:textId="77777777" w:rsidR="00831F77" w:rsidRDefault="00831F77" w:rsidP="006A76D6">
      <w:pPr>
        <w:pStyle w:val="EndNoteBibliography"/>
        <w:rPr>
          <w:noProof/>
        </w:rPr>
      </w:pPr>
      <w:r w:rsidRPr="0018452A">
        <w:rPr>
          <w:noProof/>
        </w:rPr>
        <w:t>WHO (2015) Fact sheet N°194: Antimicrobial resistance. World Health Organisation.</w:t>
      </w:r>
    </w:p>
    <w:p w14:paraId="25D07D79" w14:textId="77777777" w:rsidR="00E8257F" w:rsidRPr="0018452A" w:rsidRDefault="00E8257F" w:rsidP="006A76D6">
      <w:pPr>
        <w:pStyle w:val="EndNoteBibliography"/>
        <w:rPr>
          <w:noProof/>
        </w:rPr>
      </w:pPr>
    </w:p>
    <w:p w14:paraId="6A234BE6" w14:textId="61D9AF8A" w:rsidR="00831F77" w:rsidRPr="00A966A5" w:rsidRDefault="00831F77" w:rsidP="001C65B3">
      <w:pPr>
        <w:pStyle w:val="EndNoteBibliography"/>
        <w:rPr>
          <w:noProof/>
        </w:rPr>
      </w:pPr>
      <w:r w:rsidRPr="0018452A">
        <w:rPr>
          <w:noProof/>
        </w:rPr>
        <w:t xml:space="preserve">Yergeau E, Lawrence JR, Waiser MJ, Korber DR &amp; Greer CW (2010) Meta-transcriptomic analysis of the response of river biofilms to pharmaceutical products using anonymous DNA microarrays. </w:t>
      </w:r>
      <w:r w:rsidRPr="0018452A">
        <w:rPr>
          <w:i/>
          <w:noProof/>
        </w:rPr>
        <w:t>Appl Environ Microbiol</w:t>
      </w:r>
      <w:r w:rsidRPr="0018452A">
        <w:rPr>
          <w:noProof/>
        </w:rPr>
        <w:t xml:space="preserve"> AEM.00873-00810.</w:t>
      </w:r>
    </w:p>
    <w:sectPr w:rsidR="00831F77" w:rsidRPr="00A966A5" w:rsidSect="00515A01">
      <w:pgSz w:w="11900" w:h="16840"/>
      <w:pgMar w:top="1440" w:right="1797" w:bottom="1440" w:left="1797" w:header="709" w:footer="709" w:gutter="0"/>
      <w:lnNumType w:countBy="1" w:restart="continuou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Lucida Grande">
    <w:altName w:val="Arial"/>
    <w:charset w:val="00"/>
    <w:family w:val="auto"/>
    <w:pitch w:val="variable"/>
    <w:sig w:usb0="E1000AEF" w:usb1="5000A1FF" w:usb2="00000000" w:usb3="00000000" w:csb0="000001B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831F77"/>
    <w:rsid w:val="000771E8"/>
    <w:rsid w:val="001C65B3"/>
    <w:rsid w:val="00246B09"/>
    <w:rsid w:val="00297034"/>
    <w:rsid w:val="002D3B1F"/>
    <w:rsid w:val="002F4EE9"/>
    <w:rsid w:val="00417F5E"/>
    <w:rsid w:val="004E79F3"/>
    <w:rsid w:val="00515A01"/>
    <w:rsid w:val="006A76D6"/>
    <w:rsid w:val="00831F77"/>
    <w:rsid w:val="008E7A50"/>
    <w:rsid w:val="009011C8"/>
    <w:rsid w:val="00911D95"/>
    <w:rsid w:val="0097733E"/>
    <w:rsid w:val="009B0621"/>
    <w:rsid w:val="009D4700"/>
    <w:rsid w:val="00BF672A"/>
    <w:rsid w:val="00D3574F"/>
    <w:rsid w:val="00E8257F"/>
    <w:rsid w:val="00EF0EB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F37FABE"/>
  <w14:defaultImageDpi w14:val="300"/>
  <w15:docId w15:val="{0DC7408A-F456-4C31-A60D-1D0F600F19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w:eastAsiaTheme="minorEastAsia" w:hAnsi="Times"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1F77"/>
    <w:pPr>
      <w:spacing w:line="360" w:lineRule="auto"/>
      <w:jc w:val="both"/>
    </w:pPr>
    <w:rPr>
      <w:rFonts w:eastAsia="MS Mincho" w:cs="Times New Roman"/>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831F77"/>
    <w:pPr>
      <w:spacing w:after="200" w:line="240" w:lineRule="auto"/>
    </w:pPr>
    <w:rPr>
      <w:b/>
      <w:bCs/>
      <w:sz w:val="18"/>
      <w:szCs w:val="18"/>
    </w:rPr>
  </w:style>
  <w:style w:type="table" w:styleId="TableGrid">
    <w:name w:val="Table Grid"/>
    <w:basedOn w:val="TableNormal"/>
    <w:uiPriority w:val="59"/>
    <w:rsid w:val="00831F77"/>
    <w:rPr>
      <w:rFonts w:ascii="Cambria" w:eastAsia="MS Mincho" w:hAnsi="Cambria" w:cs="Times New Roman"/>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Grid3-Accent1">
    <w:name w:val="Medium Grid 3 Accent 1"/>
    <w:basedOn w:val="TableNormal"/>
    <w:uiPriority w:val="69"/>
    <w:rsid w:val="00831F77"/>
    <w:rPr>
      <w:rFonts w:asciiTheme="minorHAnsi" w:hAnsiTheme="minorHAnsi"/>
      <w:sz w:val="20"/>
      <w:szCs w:val="20"/>
      <w:lang w:eastAsia="ja-JP"/>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BalloonText">
    <w:name w:val="Balloon Text"/>
    <w:basedOn w:val="Normal"/>
    <w:link w:val="BalloonTextChar"/>
    <w:uiPriority w:val="99"/>
    <w:semiHidden/>
    <w:unhideWhenUsed/>
    <w:rsid w:val="00831F77"/>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31F77"/>
    <w:rPr>
      <w:rFonts w:ascii="Lucida Grande" w:eastAsia="MS Mincho" w:hAnsi="Lucida Grande" w:cs="Lucida Grande"/>
      <w:sz w:val="18"/>
      <w:szCs w:val="18"/>
      <w:lang w:eastAsia="en-GB"/>
    </w:rPr>
  </w:style>
  <w:style w:type="character" w:styleId="CommentReference">
    <w:name w:val="annotation reference"/>
    <w:basedOn w:val="DefaultParagraphFont"/>
    <w:uiPriority w:val="99"/>
    <w:semiHidden/>
    <w:unhideWhenUsed/>
    <w:rsid w:val="00831F77"/>
    <w:rPr>
      <w:sz w:val="18"/>
      <w:szCs w:val="18"/>
    </w:rPr>
  </w:style>
  <w:style w:type="paragraph" w:styleId="CommentText">
    <w:name w:val="annotation text"/>
    <w:basedOn w:val="Normal"/>
    <w:link w:val="CommentTextChar"/>
    <w:uiPriority w:val="99"/>
    <w:semiHidden/>
    <w:unhideWhenUsed/>
    <w:rsid w:val="00831F77"/>
    <w:pPr>
      <w:spacing w:line="240" w:lineRule="auto"/>
    </w:pPr>
    <w:rPr>
      <w:szCs w:val="24"/>
    </w:rPr>
  </w:style>
  <w:style w:type="character" w:customStyle="1" w:styleId="CommentTextChar">
    <w:name w:val="Comment Text Char"/>
    <w:basedOn w:val="DefaultParagraphFont"/>
    <w:link w:val="CommentText"/>
    <w:uiPriority w:val="99"/>
    <w:semiHidden/>
    <w:rsid w:val="00831F77"/>
    <w:rPr>
      <w:rFonts w:eastAsia="MS Mincho" w:cs="Times New Roman"/>
      <w:lang w:eastAsia="en-GB"/>
    </w:rPr>
  </w:style>
  <w:style w:type="paragraph" w:styleId="CommentSubject">
    <w:name w:val="annotation subject"/>
    <w:basedOn w:val="CommentText"/>
    <w:next w:val="CommentText"/>
    <w:link w:val="CommentSubjectChar"/>
    <w:uiPriority w:val="99"/>
    <w:semiHidden/>
    <w:unhideWhenUsed/>
    <w:rsid w:val="00831F77"/>
    <w:rPr>
      <w:b/>
      <w:bCs/>
      <w:sz w:val="20"/>
      <w:szCs w:val="20"/>
    </w:rPr>
  </w:style>
  <w:style w:type="character" w:customStyle="1" w:styleId="CommentSubjectChar">
    <w:name w:val="Comment Subject Char"/>
    <w:basedOn w:val="CommentTextChar"/>
    <w:link w:val="CommentSubject"/>
    <w:uiPriority w:val="99"/>
    <w:semiHidden/>
    <w:rsid w:val="00831F77"/>
    <w:rPr>
      <w:rFonts w:eastAsia="MS Mincho" w:cs="Times New Roman"/>
      <w:b/>
      <w:bCs/>
      <w:sz w:val="20"/>
      <w:szCs w:val="20"/>
      <w:lang w:eastAsia="en-GB"/>
    </w:rPr>
  </w:style>
  <w:style w:type="paragraph" w:styleId="ListParagraph">
    <w:name w:val="List Paragraph"/>
    <w:basedOn w:val="Normal"/>
    <w:uiPriority w:val="34"/>
    <w:qFormat/>
    <w:rsid w:val="00831F77"/>
    <w:pPr>
      <w:ind w:left="720"/>
      <w:contextualSpacing/>
    </w:pPr>
  </w:style>
  <w:style w:type="character" w:customStyle="1" w:styleId="rtfparagraph">
    <w:name w:val="rtfparagraph"/>
    <w:basedOn w:val="DefaultParagraphFont"/>
    <w:rsid w:val="00831F77"/>
  </w:style>
  <w:style w:type="character" w:customStyle="1" w:styleId="tgc">
    <w:name w:val="_tgc"/>
    <w:basedOn w:val="DefaultParagraphFont"/>
    <w:rsid w:val="00831F77"/>
  </w:style>
  <w:style w:type="character" w:customStyle="1" w:styleId="st">
    <w:name w:val="st"/>
    <w:basedOn w:val="DefaultParagraphFont"/>
    <w:rsid w:val="00831F77"/>
  </w:style>
  <w:style w:type="paragraph" w:styleId="Revision">
    <w:name w:val="Revision"/>
    <w:hidden/>
    <w:uiPriority w:val="99"/>
    <w:semiHidden/>
    <w:rsid w:val="00831F77"/>
    <w:rPr>
      <w:rFonts w:eastAsia="MS Mincho" w:cs="Times New Roman"/>
      <w:szCs w:val="20"/>
      <w:lang w:eastAsia="en-GB"/>
    </w:rPr>
  </w:style>
  <w:style w:type="paragraph" w:styleId="TOC1">
    <w:name w:val="toc 1"/>
    <w:basedOn w:val="Normal"/>
    <w:next w:val="Normal"/>
    <w:autoRedefine/>
    <w:uiPriority w:val="39"/>
    <w:unhideWhenUsed/>
    <w:rsid w:val="00831F77"/>
  </w:style>
  <w:style w:type="paragraph" w:styleId="TOC2">
    <w:name w:val="toc 2"/>
    <w:basedOn w:val="Normal"/>
    <w:next w:val="Normal"/>
    <w:autoRedefine/>
    <w:uiPriority w:val="39"/>
    <w:unhideWhenUsed/>
    <w:rsid w:val="00831F77"/>
    <w:pPr>
      <w:ind w:left="240"/>
    </w:pPr>
  </w:style>
  <w:style w:type="paragraph" w:styleId="TOC3">
    <w:name w:val="toc 3"/>
    <w:basedOn w:val="Normal"/>
    <w:next w:val="Normal"/>
    <w:autoRedefine/>
    <w:uiPriority w:val="39"/>
    <w:unhideWhenUsed/>
    <w:rsid w:val="00831F77"/>
    <w:pPr>
      <w:ind w:left="480"/>
    </w:pPr>
  </w:style>
  <w:style w:type="paragraph" w:styleId="TOC4">
    <w:name w:val="toc 4"/>
    <w:basedOn w:val="Normal"/>
    <w:next w:val="Normal"/>
    <w:autoRedefine/>
    <w:uiPriority w:val="39"/>
    <w:unhideWhenUsed/>
    <w:rsid w:val="00831F77"/>
    <w:pPr>
      <w:ind w:left="720"/>
    </w:pPr>
  </w:style>
  <w:style w:type="paragraph" w:styleId="TOC5">
    <w:name w:val="toc 5"/>
    <w:basedOn w:val="Normal"/>
    <w:next w:val="Normal"/>
    <w:autoRedefine/>
    <w:uiPriority w:val="39"/>
    <w:unhideWhenUsed/>
    <w:rsid w:val="00831F77"/>
    <w:pPr>
      <w:ind w:left="960"/>
    </w:pPr>
  </w:style>
  <w:style w:type="paragraph" w:styleId="TOC6">
    <w:name w:val="toc 6"/>
    <w:basedOn w:val="Normal"/>
    <w:next w:val="Normal"/>
    <w:autoRedefine/>
    <w:uiPriority w:val="39"/>
    <w:unhideWhenUsed/>
    <w:rsid w:val="00831F77"/>
    <w:pPr>
      <w:ind w:left="1200"/>
    </w:pPr>
  </w:style>
  <w:style w:type="paragraph" w:styleId="TOC7">
    <w:name w:val="toc 7"/>
    <w:basedOn w:val="Normal"/>
    <w:next w:val="Normal"/>
    <w:autoRedefine/>
    <w:uiPriority w:val="39"/>
    <w:unhideWhenUsed/>
    <w:rsid w:val="00831F77"/>
    <w:pPr>
      <w:ind w:left="1440"/>
    </w:pPr>
  </w:style>
  <w:style w:type="paragraph" w:styleId="TOC8">
    <w:name w:val="toc 8"/>
    <w:basedOn w:val="Normal"/>
    <w:next w:val="Normal"/>
    <w:autoRedefine/>
    <w:uiPriority w:val="39"/>
    <w:unhideWhenUsed/>
    <w:rsid w:val="00831F77"/>
    <w:pPr>
      <w:ind w:left="1680"/>
    </w:pPr>
  </w:style>
  <w:style w:type="paragraph" w:styleId="TOC9">
    <w:name w:val="toc 9"/>
    <w:basedOn w:val="Normal"/>
    <w:next w:val="Normal"/>
    <w:autoRedefine/>
    <w:uiPriority w:val="39"/>
    <w:unhideWhenUsed/>
    <w:rsid w:val="00831F77"/>
    <w:pPr>
      <w:ind w:left="1920"/>
    </w:pPr>
  </w:style>
  <w:style w:type="character" w:styleId="Hyperlink">
    <w:name w:val="Hyperlink"/>
    <w:basedOn w:val="DefaultParagraphFont"/>
    <w:uiPriority w:val="99"/>
    <w:unhideWhenUsed/>
    <w:rsid w:val="00831F77"/>
    <w:rPr>
      <w:color w:val="0000FF" w:themeColor="hyperlink"/>
      <w:u w:val="single"/>
    </w:rPr>
  </w:style>
  <w:style w:type="character" w:styleId="FollowedHyperlink">
    <w:name w:val="FollowedHyperlink"/>
    <w:basedOn w:val="DefaultParagraphFont"/>
    <w:uiPriority w:val="99"/>
    <w:semiHidden/>
    <w:unhideWhenUsed/>
    <w:rsid w:val="00831F77"/>
    <w:rPr>
      <w:color w:val="800080" w:themeColor="followedHyperlink"/>
      <w:u w:val="single"/>
    </w:rPr>
  </w:style>
  <w:style w:type="paragraph" w:customStyle="1" w:styleId="EndNoteBibliographyTitle">
    <w:name w:val="EndNote Bibliography Title"/>
    <w:basedOn w:val="Normal"/>
    <w:rsid w:val="00831F77"/>
    <w:pPr>
      <w:jc w:val="center"/>
    </w:pPr>
    <w:rPr>
      <w:lang w:val="en-GB"/>
    </w:rPr>
  </w:style>
  <w:style w:type="paragraph" w:customStyle="1" w:styleId="EndNoteBibliography">
    <w:name w:val="EndNote Bibliography"/>
    <w:basedOn w:val="Normal"/>
    <w:rsid w:val="00831F77"/>
    <w:pPr>
      <w:spacing w:line="240" w:lineRule="auto"/>
    </w:pPr>
    <w:rPr>
      <w:lang w:val="en-GB"/>
    </w:rPr>
  </w:style>
  <w:style w:type="character" w:styleId="LineNumber">
    <w:name w:val="line number"/>
    <w:basedOn w:val="DefaultParagraphFont"/>
    <w:uiPriority w:val="99"/>
    <w:semiHidden/>
    <w:unhideWhenUsed/>
    <w:rsid w:val="00515A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tif"/><Relationship Id="rId15" Type="http://schemas.openxmlformats.org/officeDocument/2006/relationships/image" Target="media/image12.png"/><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24</Pages>
  <Words>6739</Words>
  <Characters>38416</Characters>
  <Application>Microsoft Office Word</Application>
  <DocSecurity>0</DocSecurity>
  <Lines>320</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45065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dc:creator>
  <cp:lastModifiedBy>Gaze, William</cp:lastModifiedBy>
  <cp:revision>3</cp:revision>
  <dcterms:created xsi:type="dcterms:W3CDTF">2016-06-21T16:24:00Z</dcterms:created>
  <dcterms:modified xsi:type="dcterms:W3CDTF">2017-01-09T18:19:00Z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ileId">
    <vt:lpwstr>49796</vt:lpwstr>
  </property>
  <property fmtid="{D5CDD505-2E9C-101B-9397-08002B2CF9AE}" pid="3" name="StyleId">
    <vt:lpwstr>http://www.zotero.org/styles/vancouver</vt:lpwstr>
  </property>
</Properties>
</file>