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47" w:rsidRDefault="00CF5C47" w:rsidP="00CF5C47">
      <w:pPr>
        <w:spacing w:line="480" w:lineRule="auto"/>
        <w:rPr>
          <w:rFonts w:ascii="Times" w:hAnsi="Times" w:cs="Times"/>
          <w:b/>
          <w:sz w:val="36"/>
          <w:szCs w:val="44"/>
        </w:rPr>
      </w:pPr>
      <w:r w:rsidRPr="00DD7EE7">
        <w:rPr>
          <w:rFonts w:ascii="Times" w:hAnsi="Times" w:cs="Times"/>
          <w:b/>
          <w:sz w:val="36"/>
          <w:szCs w:val="44"/>
        </w:rPr>
        <w:t>Supplementary Information</w:t>
      </w:r>
    </w:p>
    <w:p w:rsidR="00CF5C47" w:rsidRDefault="000873F6" w:rsidP="00CF5C47">
      <w:pPr>
        <w:spacing w:line="480" w:lineRule="auto"/>
        <w:rPr>
          <w:rFonts w:ascii="Times" w:hAnsi="Times" w:cs="Times"/>
          <w:i/>
          <w:sz w:val="24"/>
          <w:szCs w:val="24"/>
        </w:rPr>
      </w:pPr>
      <w:r w:rsidRPr="000873F6">
        <w:rPr>
          <w:rFonts w:ascii="Times" w:hAnsi="Times" w:cs="Times"/>
          <w:b/>
          <w:sz w:val="36"/>
          <w:szCs w:val="44"/>
        </w:rPr>
        <w:t xml:space="preserve">Contrasting effects of hypoxia on copper toxicity during development </w:t>
      </w:r>
      <w:r w:rsidR="00BC6AC8">
        <w:rPr>
          <w:rFonts w:ascii="Times" w:hAnsi="Times" w:cs="Times"/>
          <w:b/>
          <w:sz w:val="36"/>
          <w:szCs w:val="44"/>
        </w:rPr>
        <w:t>in</w:t>
      </w:r>
      <w:r w:rsidR="00BC6AC8" w:rsidRPr="000873F6">
        <w:rPr>
          <w:rFonts w:ascii="Times" w:hAnsi="Times" w:cs="Times"/>
          <w:b/>
          <w:sz w:val="36"/>
          <w:szCs w:val="44"/>
        </w:rPr>
        <w:t xml:space="preserve"> </w:t>
      </w:r>
      <w:r w:rsidRPr="000873F6">
        <w:rPr>
          <w:rFonts w:ascii="Times" w:hAnsi="Times" w:cs="Times"/>
          <w:b/>
          <w:sz w:val="36"/>
          <w:szCs w:val="44"/>
        </w:rPr>
        <w:t>the three-spined stickleback (</w:t>
      </w:r>
      <w:proofErr w:type="spellStart"/>
      <w:r w:rsidRPr="00BA778A">
        <w:rPr>
          <w:rFonts w:ascii="Times" w:hAnsi="Times" w:cs="Times"/>
          <w:b/>
          <w:i/>
          <w:sz w:val="36"/>
          <w:szCs w:val="44"/>
        </w:rPr>
        <w:t>Gasterosteus</w:t>
      </w:r>
      <w:proofErr w:type="spellEnd"/>
      <w:r w:rsidRPr="00BA778A">
        <w:rPr>
          <w:rFonts w:ascii="Times" w:hAnsi="Times" w:cs="Times"/>
          <w:b/>
          <w:i/>
          <w:sz w:val="36"/>
          <w:szCs w:val="44"/>
        </w:rPr>
        <w:t xml:space="preserve"> </w:t>
      </w:r>
      <w:proofErr w:type="spellStart"/>
      <w:r w:rsidRPr="00BA778A">
        <w:rPr>
          <w:rFonts w:ascii="Times" w:hAnsi="Times" w:cs="Times"/>
          <w:b/>
          <w:i/>
          <w:sz w:val="36"/>
          <w:szCs w:val="44"/>
        </w:rPr>
        <w:t>aculeatus</w:t>
      </w:r>
      <w:proofErr w:type="spellEnd"/>
      <w:r w:rsidRPr="000873F6">
        <w:rPr>
          <w:rFonts w:ascii="Times" w:hAnsi="Times" w:cs="Times"/>
          <w:b/>
          <w:sz w:val="36"/>
          <w:szCs w:val="44"/>
        </w:rPr>
        <w:t>)</w:t>
      </w:r>
      <w:r>
        <w:rPr>
          <w:rFonts w:ascii="Times" w:hAnsi="Times" w:cs="Times"/>
          <w:i/>
          <w:sz w:val="24"/>
          <w:szCs w:val="24"/>
        </w:rPr>
        <w:t xml:space="preserve"> </w:t>
      </w:r>
    </w:p>
    <w:p w:rsidR="00CF5C47" w:rsidRPr="007352F4" w:rsidRDefault="00CF5C47" w:rsidP="00CF5C47">
      <w:pPr>
        <w:spacing w:line="480" w:lineRule="auto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/>
          <w:i/>
          <w:sz w:val="24"/>
          <w:szCs w:val="24"/>
        </w:rPr>
        <w:t>Jennifer A. Fitzgerald</w:t>
      </w:r>
      <w:r w:rsidRPr="007352F4">
        <w:rPr>
          <w:rFonts w:ascii="Times" w:hAnsi="Times" w:cs="Times"/>
          <w:i/>
          <w:sz w:val="24"/>
          <w:szCs w:val="24"/>
          <w:vertAlign w:val="superscript"/>
        </w:rPr>
        <w:t>1</w:t>
      </w:r>
      <w:proofErr w:type="gramStart"/>
      <w:r>
        <w:rPr>
          <w:rFonts w:ascii="Times" w:hAnsi="Times" w:cs="Times"/>
          <w:i/>
          <w:sz w:val="24"/>
          <w:szCs w:val="24"/>
          <w:vertAlign w:val="superscript"/>
        </w:rPr>
        <w:t>,</w:t>
      </w:r>
      <w:r w:rsidR="00A40FD7">
        <w:rPr>
          <w:rFonts w:ascii="Times" w:hAnsi="Times" w:cs="Times"/>
          <w:i/>
          <w:sz w:val="24"/>
          <w:szCs w:val="24"/>
          <w:vertAlign w:val="superscript"/>
        </w:rPr>
        <w:t>2</w:t>
      </w:r>
      <w:proofErr w:type="gramEnd"/>
      <w:r w:rsidRPr="007352F4">
        <w:rPr>
          <w:rFonts w:ascii="Times" w:hAnsi="Times" w:cs="Times"/>
          <w:i/>
          <w:sz w:val="24"/>
          <w:szCs w:val="24"/>
        </w:rPr>
        <w:t>, Ioanna Katsiadaki</w:t>
      </w:r>
      <w:r w:rsidRPr="007352F4">
        <w:rPr>
          <w:rFonts w:ascii="Times" w:hAnsi="Times" w:cs="Times"/>
          <w:i/>
          <w:sz w:val="24"/>
          <w:szCs w:val="24"/>
          <w:vertAlign w:val="superscript"/>
        </w:rPr>
        <w:t>2</w:t>
      </w:r>
      <w:r w:rsidRPr="007352F4">
        <w:rPr>
          <w:rFonts w:ascii="Times" w:hAnsi="Times" w:cs="Times"/>
          <w:i/>
          <w:sz w:val="24"/>
          <w:szCs w:val="24"/>
        </w:rPr>
        <w:t>, Eduarda M. Santos</w:t>
      </w:r>
      <w:r w:rsidRPr="007352F4">
        <w:rPr>
          <w:rFonts w:ascii="Times" w:hAnsi="Times" w:cs="Times"/>
          <w:i/>
          <w:sz w:val="24"/>
          <w:szCs w:val="24"/>
          <w:vertAlign w:val="superscript"/>
        </w:rPr>
        <w:t>1</w:t>
      </w:r>
    </w:p>
    <w:p w:rsidR="00CF5C47" w:rsidRPr="007352F4" w:rsidRDefault="00CF5C47" w:rsidP="00CF5C47">
      <w:pPr>
        <w:spacing w:line="480" w:lineRule="auto"/>
        <w:rPr>
          <w:rFonts w:ascii="Times" w:hAnsi="Times" w:cs="Times"/>
          <w:sz w:val="24"/>
          <w:szCs w:val="24"/>
        </w:rPr>
      </w:pPr>
      <w:proofErr w:type="gramStart"/>
      <w:r w:rsidRPr="007352F4">
        <w:rPr>
          <w:rFonts w:ascii="Times" w:hAnsi="Times" w:cs="Times"/>
          <w:sz w:val="24"/>
          <w:szCs w:val="24"/>
          <w:vertAlign w:val="superscript"/>
        </w:rPr>
        <w:t>1</w:t>
      </w:r>
      <w:r w:rsidRPr="007352F4">
        <w:rPr>
          <w:rFonts w:ascii="Times" w:hAnsi="Times" w:cs="Times"/>
          <w:sz w:val="24"/>
          <w:szCs w:val="24"/>
        </w:rPr>
        <w:t xml:space="preserve"> Biosciences</w:t>
      </w:r>
      <w:proofErr w:type="gramEnd"/>
      <w:r w:rsidRPr="007352F4">
        <w:rPr>
          <w:rFonts w:ascii="Times" w:hAnsi="Times" w:cs="Times"/>
          <w:sz w:val="24"/>
          <w:szCs w:val="24"/>
        </w:rPr>
        <w:t>, College of Life &amp; Environmental Sciences, Geoffrey Pope Building, University of Exeter, Exeter, EX4 4QD, UK</w:t>
      </w:r>
    </w:p>
    <w:p w:rsidR="00CF5C47" w:rsidRPr="006518A0" w:rsidRDefault="00CF5C47" w:rsidP="00CF5C47">
      <w:pPr>
        <w:spacing w:line="480" w:lineRule="auto"/>
        <w:rPr>
          <w:rFonts w:ascii="Times" w:hAnsi="Times" w:cs="Times"/>
          <w:szCs w:val="24"/>
        </w:rPr>
      </w:pPr>
      <w:r w:rsidRPr="007352F4">
        <w:rPr>
          <w:rFonts w:ascii="Times" w:hAnsi="Times" w:cs="Times"/>
          <w:sz w:val="24"/>
          <w:szCs w:val="24"/>
          <w:vertAlign w:val="superscript"/>
        </w:rPr>
        <w:t>2</w:t>
      </w:r>
      <w:r w:rsidRPr="007352F4">
        <w:rPr>
          <w:rFonts w:ascii="Times" w:hAnsi="Times" w:cs="Times"/>
          <w:sz w:val="24"/>
          <w:szCs w:val="24"/>
        </w:rPr>
        <w:t xml:space="preserve"> </w:t>
      </w:r>
      <w:proofErr w:type="gramStart"/>
      <w:r w:rsidRPr="007352F4">
        <w:rPr>
          <w:rFonts w:ascii="Times" w:hAnsi="Times" w:cs="Times"/>
          <w:sz w:val="24"/>
          <w:szCs w:val="24"/>
        </w:rPr>
        <w:t>Centre</w:t>
      </w:r>
      <w:proofErr w:type="gramEnd"/>
      <w:r w:rsidRPr="007352F4">
        <w:rPr>
          <w:rFonts w:ascii="Times" w:hAnsi="Times" w:cs="Times"/>
          <w:sz w:val="24"/>
          <w:szCs w:val="24"/>
        </w:rPr>
        <w:t xml:space="preserve"> for Environment, Fisheries and Aquaculture Science, Barrack Road, The </w:t>
      </w:r>
      <w:proofErr w:type="spellStart"/>
      <w:r w:rsidRPr="007352F4">
        <w:rPr>
          <w:rFonts w:ascii="Times" w:hAnsi="Times" w:cs="Times"/>
          <w:sz w:val="24"/>
          <w:szCs w:val="24"/>
        </w:rPr>
        <w:t>Nothe</w:t>
      </w:r>
      <w:proofErr w:type="spellEnd"/>
      <w:r w:rsidRPr="007352F4">
        <w:rPr>
          <w:rFonts w:ascii="Times" w:hAnsi="Times" w:cs="Times"/>
          <w:sz w:val="24"/>
          <w:szCs w:val="24"/>
        </w:rPr>
        <w:t xml:space="preserve">, </w:t>
      </w:r>
      <w:bookmarkStart w:id="0" w:name="_GoBack"/>
      <w:bookmarkEnd w:id="0"/>
      <w:r w:rsidRPr="007352F4">
        <w:rPr>
          <w:rFonts w:ascii="Times" w:hAnsi="Times" w:cs="Times"/>
          <w:sz w:val="24"/>
          <w:szCs w:val="24"/>
        </w:rPr>
        <w:t>Weymouth, Dorset, DT4 8UB, UK</w:t>
      </w:r>
    </w:p>
    <w:p w:rsidR="00CF5C47" w:rsidRDefault="00CF5C47" w:rsidP="00CF5C4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F5C47" w:rsidRPr="00012C21" w:rsidRDefault="00CF5C47" w:rsidP="00CF5C4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12C21">
        <w:rPr>
          <w:rFonts w:ascii="Times New Roman" w:hAnsi="Times New Roman"/>
          <w:b/>
          <w:sz w:val="24"/>
          <w:szCs w:val="24"/>
        </w:rPr>
        <w:t>Pages</w:t>
      </w:r>
    </w:p>
    <w:p w:rsidR="00CF5C47" w:rsidRDefault="00CF5C47" w:rsidP="00CF5C4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12C21">
        <w:rPr>
          <w:rFonts w:ascii="Times New Roman" w:hAnsi="Times New Roman"/>
          <w:b/>
          <w:sz w:val="24"/>
          <w:szCs w:val="24"/>
        </w:rPr>
        <w:t>TABLES</w:t>
      </w:r>
    </w:p>
    <w:p w:rsidR="00CF5C47" w:rsidRPr="00012C21" w:rsidRDefault="00CF5C47" w:rsidP="00CF5C4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</w:t>
      </w:r>
      <w:r w:rsidR="00DD548F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012C21">
        <w:rPr>
          <w:rFonts w:ascii="Times New Roman" w:hAnsi="Times New Roman"/>
          <w:i/>
          <w:sz w:val="24"/>
          <w:szCs w:val="24"/>
        </w:rPr>
        <w:t xml:space="preserve">Generalized linear models for the combined effects of hypoxia and copper on </w:t>
      </w:r>
      <w:r>
        <w:rPr>
          <w:rFonts w:ascii="Times New Roman" w:hAnsi="Times New Roman"/>
          <w:i/>
          <w:sz w:val="24"/>
          <w:szCs w:val="24"/>
        </w:rPr>
        <w:t>stickleback</w:t>
      </w:r>
      <w:r w:rsidRPr="00012C21">
        <w:rPr>
          <w:rFonts w:ascii="Times New Roman" w:hAnsi="Times New Roman"/>
          <w:i/>
          <w:sz w:val="24"/>
          <w:szCs w:val="24"/>
        </w:rPr>
        <w:t xml:space="preserve"> mortality</w:t>
      </w:r>
      <w:r w:rsidRPr="00012C21">
        <w:rPr>
          <w:rFonts w:ascii="Times New Roman" w:hAnsi="Times New Roman"/>
          <w:sz w:val="24"/>
          <w:szCs w:val="24"/>
        </w:rPr>
        <w:t>………………………………………………..</w:t>
      </w:r>
      <w:r w:rsidR="00D84BD7">
        <w:rPr>
          <w:rFonts w:ascii="Times New Roman" w:hAnsi="Times New Roman"/>
          <w:sz w:val="24"/>
          <w:szCs w:val="24"/>
        </w:rPr>
        <w:t>…………………………………….S</w:t>
      </w:r>
      <w:r w:rsidR="00DD548F">
        <w:rPr>
          <w:rFonts w:ascii="Times New Roman" w:hAnsi="Times New Roman"/>
          <w:sz w:val="24"/>
          <w:szCs w:val="24"/>
        </w:rPr>
        <w:t>2</w:t>
      </w:r>
    </w:p>
    <w:p w:rsidR="00CF5C47" w:rsidRDefault="00CF5C47" w:rsidP="00CF5C47">
      <w:pPr>
        <w:pStyle w:val="EndNoteBibliography"/>
        <w:spacing w:line="360" w:lineRule="auto"/>
        <w:rPr>
          <w:sz w:val="24"/>
          <w:szCs w:val="24"/>
          <w:lang w:val="en-GB"/>
        </w:rPr>
      </w:pPr>
      <w:r w:rsidRPr="00012C21">
        <w:rPr>
          <w:sz w:val="24"/>
          <w:szCs w:val="24"/>
        </w:rPr>
        <w:t>S</w:t>
      </w:r>
      <w:r w:rsidR="00DD548F">
        <w:rPr>
          <w:sz w:val="24"/>
          <w:szCs w:val="24"/>
        </w:rPr>
        <w:t>2</w:t>
      </w:r>
      <w:r w:rsidRPr="00012C21">
        <w:rPr>
          <w:sz w:val="24"/>
          <w:szCs w:val="24"/>
        </w:rPr>
        <w:t>-</w:t>
      </w:r>
      <w:r w:rsidRPr="00012C21">
        <w:rPr>
          <w:i/>
          <w:sz w:val="24"/>
          <w:szCs w:val="24"/>
        </w:rPr>
        <w:t xml:space="preserve"> </w:t>
      </w:r>
      <w:r w:rsidRPr="00012C21">
        <w:rPr>
          <w:i/>
          <w:sz w:val="24"/>
          <w:szCs w:val="24"/>
          <w:lang w:val="en-GB"/>
        </w:rPr>
        <w:t>Generalized linear models for the combined effects of hypoxia and copper on hatching rates</w:t>
      </w:r>
      <w:r w:rsidRPr="00012C21">
        <w:rPr>
          <w:sz w:val="24"/>
          <w:szCs w:val="24"/>
          <w:lang w:val="en-GB"/>
        </w:rPr>
        <w:t>…………………………………………………………………………………………</w:t>
      </w:r>
      <w:r w:rsidR="00D84BD7">
        <w:rPr>
          <w:sz w:val="24"/>
          <w:szCs w:val="24"/>
          <w:lang w:val="en-GB"/>
        </w:rPr>
        <w:t>..S</w:t>
      </w:r>
      <w:r w:rsidR="00DD548F">
        <w:rPr>
          <w:sz w:val="24"/>
          <w:szCs w:val="24"/>
          <w:lang w:val="en-GB"/>
        </w:rPr>
        <w:t>3</w:t>
      </w:r>
    </w:p>
    <w:p w:rsidR="00CF5C47" w:rsidRDefault="00CF5C47" w:rsidP="00CF5C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F5C47" w:rsidRPr="001F3F42" w:rsidRDefault="00CF5C47" w:rsidP="00CF5C47">
      <w:pPr>
        <w:pStyle w:val="EndNoteBibliography"/>
        <w:rPr>
          <w:rFonts w:ascii="Times" w:hAnsi="Times"/>
          <w:b/>
          <w:sz w:val="24"/>
          <w:szCs w:val="24"/>
          <w:lang w:val="en-GB"/>
        </w:rPr>
      </w:pPr>
      <w:r w:rsidRPr="001F3F42">
        <w:rPr>
          <w:rFonts w:ascii="Times" w:hAnsi="Times"/>
          <w:b/>
          <w:sz w:val="24"/>
          <w:szCs w:val="24"/>
          <w:lang w:val="en-GB"/>
        </w:rPr>
        <w:lastRenderedPageBreak/>
        <w:t>Table S</w:t>
      </w:r>
      <w:r w:rsidR="00DD548F">
        <w:rPr>
          <w:rFonts w:ascii="Times" w:hAnsi="Times"/>
          <w:b/>
          <w:sz w:val="24"/>
          <w:szCs w:val="24"/>
          <w:lang w:val="en-GB"/>
        </w:rPr>
        <w:t>1</w:t>
      </w:r>
      <w:r w:rsidRPr="001F3F42">
        <w:rPr>
          <w:rFonts w:ascii="Times" w:hAnsi="Times"/>
          <w:b/>
          <w:sz w:val="24"/>
          <w:szCs w:val="24"/>
          <w:lang w:val="en-GB"/>
        </w:rPr>
        <w:t xml:space="preserve">. </w:t>
      </w:r>
      <w:r w:rsidRPr="001F3F42">
        <w:rPr>
          <w:rFonts w:ascii="Times" w:hAnsi="Times" w:cs="Times"/>
          <w:sz w:val="24"/>
          <w:szCs w:val="24"/>
          <w:lang w:val="en-GB"/>
        </w:rPr>
        <w:t xml:space="preserve">Generalized linear models for the relationships between mortality with copper concentration, </w:t>
      </w:r>
      <w:r>
        <w:rPr>
          <w:rFonts w:ascii="Times" w:hAnsi="Times" w:cs="Times"/>
          <w:sz w:val="24"/>
          <w:szCs w:val="24"/>
          <w:lang w:val="en-GB"/>
        </w:rPr>
        <w:t>air saturation</w:t>
      </w:r>
      <w:r w:rsidRPr="001F3F42">
        <w:rPr>
          <w:rFonts w:ascii="Times" w:hAnsi="Times" w:cs="Times"/>
          <w:sz w:val="24"/>
          <w:szCs w:val="24"/>
          <w:lang w:val="en-GB"/>
        </w:rPr>
        <w:t xml:space="preserve"> and the copper/</w:t>
      </w:r>
      <w:r>
        <w:rPr>
          <w:rFonts w:ascii="Times" w:hAnsi="Times" w:cs="Times"/>
          <w:sz w:val="24"/>
          <w:szCs w:val="24"/>
          <w:lang w:val="en-GB"/>
        </w:rPr>
        <w:t>air saturat</w:t>
      </w:r>
      <w:r w:rsidRPr="001F3F42">
        <w:rPr>
          <w:rFonts w:ascii="Times" w:hAnsi="Times" w:cs="Times"/>
          <w:sz w:val="24"/>
          <w:szCs w:val="24"/>
          <w:lang w:val="en-GB"/>
        </w:rPr>
        <w:t xml:space="preserve">ion interaction. Minimum adequate models for proportion mortality using a quasibinomial error structure are shown. A) Embryo mortality curves following exposure to copper under normoxia or hypoxia throughout development, B) Mortality curves following exposure to copper under normoxia or hypoxia </w:t>
      </w:r>
      <w:r>
        <w:rPr>
          <w:rFonts w:ascii="Times" w:hAnsi="Times" w:cs="Times"/>
          <w:sz w:val="24"/>
          <w:szCs w:val="24"/>
          <w:lang w:val="en-GB"/>
        </w:rPr>
        <w:t>during</w:t>
      </w:r>
      <w:r w:rsidRPr="001F3F42">
        <w:rPr>
          <w:rFonts w:ascii="Times" w:hAnsi="Times" w:cs="Times"/>
          <w:sz w:val="24"/>
          <w:szCs w:val="24"/>
          <w:lang w:val="en-GB"/>
        </w:rPr>
        <w:t xml:space="preserve"> the larval stage of development. (Significance codes: *** P&lt;0.001, ** P&lt;0.01, * P&lt;0.05)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392"/>
        <w:gridCol w:w="1951"/>
        <w:gridCol w:w="2130"/>
        <w:gridCol w:w="1997"/>
        <w:gridCol w:w="2468"/>
      </w:tblGrid>
      <w:tr w:rsidR="00CF5C47" w:rsidRPr="00685EF3" w:rsidTr="008C3AC1">
        <w:trPr>
          <w:trHeight w:val="531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Coefficient  (± SE)</w:t>
            </w:r>
          </w:p>
        </w:tc>
      </w:tr>
      <w:tr w:rsidR="00CF5C47" w:rsidRPr="00685EF3" w:rsidTr="008C3AC1">
        <w:trPr>
          <w:trHeight w:val="654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Intercept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Copper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Air Saturation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Copper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Air Saturation</w:t>
            </w: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Interaction</w:t>
            </w:r>
          </w:p>
        </w:tc>
      </w:tr>
      <w:tr w:rsidR="00CF5C47" w:rsidRPr="00685EF3" w:rsidTr="008C3AC1">
        <w:trPr>
          <w:trHeight w:val="531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a)</w:t>
            </w:r>
          </w:p>
        </w:tc>
      </w:tr>
      <w:tr w:rsidR="00CF5C47" w:rsidRPr="00685EF3" w:rsidTr="008C3AC1">
        <w:trPr>
          <w:trHeight w:val="531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1-25 </w:t>
            </w:r>
            <w:proofErr w:type="spellStart"/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hpf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-7.24 (±1.08)***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CF5C47" w:rsidRPr="00685EF3" w:rsidTr="008C3AC1">
        <w:trPr>
          <w:trHeight w:val="531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1-49 </w:t>
            </w:r>
            <w:proofErr w:type="spellStart"/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hpf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-5.98 (±0.72)***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22.86 (±6.18)***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CF5C47" w:rsidRPr="00685EF3" w:rsidTr="008C3AC1">
        <w:trPr>
          <w:trHeight w:val="531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1-73 </w:t>
            </w:r>
            <w:proofErr w:type="spellStart"/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hpf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-7.02 (±0.70)***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36.17 (±5.09)***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 (±0.37)**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CF5C47" w:rsidRPr="00685EF3" w:rsidTr="008C3AC1">
        <w:trPr>
          <w:trHeight w:val="531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1-97 </w:t>
            </w:r>
            <w:proofErr w:type="spellStart"/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hpf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-5.92 (±0.61)***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31.41 (±4.57)***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 (±2.98)**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CF5C47" w:rsidRPr="00685EF3" w:rsidTr="008C3AC1">
        <w:trPr>
          <w:trHeight w:val="531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1-121 </w:t>
            </w:r>
            <w:proofErr w:type="spellStart"/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hpf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-4.69 (±0.41)***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33.55 (±3.4)***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(±3.50)***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CF5C47" w:rsidRPr="00685EF3" w:rsidTr="008C3AC1">
        <w:trPr>
          <w:trHeight w:val="531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1-145 </w:t>
            </w:r>
            <w:proofErr w:type="spellStart"/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hpf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-4.14 (±0.37)***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33.78 (±3.38)***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 (±0.25)*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CF5C47" w:rsidRPr="00685EF3" w:rsidTr="008C3AC1">
        <w:trPr>
          <w:trHeight w:val="531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1-169 </w:t>
            </w:r>
            <w:proofErr w:type="spellStart"/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hpf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-3.72 (±0.33)***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35.60 (±3.49)***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CF5C47" w:rsidRPr="00685EF3" w:rsidTr="008C3AC1">
        <w:trPr>
          <w:trHeight w:val="531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1-193 </w:t>
            </w:r>
            <w:proofErr w:type="spellStart"/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hpf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-3.86 (±0.34)***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41.43 (±0.34)***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CF5C47" w:rsidRPr="00685EF3" w:rsidTr="008C3AC1">
        <w:trPr>
          <w:trHeight w:val="531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1-217 </w:t>
            </w:r>
            <w:proofErr w:type="spellStart"/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hpf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-3.18 (±0.33)***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52.04 (±4.51)***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-1.29 (±0.26)***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CF5C47" w:rsidRPr="00685EF3" w:rsidTr="008C3AC1">
        <w:trPr>
          <w:trHeight w:val="531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b)</w:t>
            </w:r>
          </w:p>
        </w:tc>
      </w:tr>
      <w:tr w:rsidR="00CF5C47" w:rsidRPr="00685EF3" w:rsidTr="008C3AC1">
        <w:trPr>
          <w:trHeight w:val="531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145-169 </w:t>
            </w:r>
            <w:proofErr w:type="spellStart"/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hpf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-5.86 (±0.50)***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53.00 (±4.57)***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1.48 (±0.33)***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  <w:tr w:rsidR="00CF5C47" w:rsidRPr="00685EF3" w:rsidTr="008C3AC1">
        <w:trPr>
          <w:trHeight w:val="531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145-217 </w:t>
            </w:r>
            <w:proofErr w:type="spellStart"/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hpf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-3.70 (±0.88)***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100.44 (±22.24)***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-2.06 (±0.85)***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NS</w:t>
            </w:r>
          </w:p>
        </w:tc>
      </w:tr>
    </w:tbl>
    <w:p w:rsidR="00CF5C47" w:rsidRPr="008238FD" w:rsidRDefault="00CF5C47" w:rsidP="00CF5C47">
      <w:pPr>
        <w:pStyle w:val="EndNoteBibliography"/>
        <w:rPr>
          <w:b/>
          <w:lang w:val="en-GB"/>
        </w:rPr>
      </w:pPr>
    </w:p>
    <w:p w:rsidR="00CF5C47" w:rsidRPr="008238FD" w:rsidRDefault="00CF5C47" w:rsidP="00CF5C47">
      <w:pPr>
        <w:rPr>
          <w:rFonts w:ascii="Arial" w:hAnsi="Arial" w:cs="Arial"/>
          <w:b/>
          <w:noProof/>
        </w:rPr>
      </w:pPr>
      <w:r w:rsidRPr="008238FD">
        <w:rPr>
          <w:rFonts w:ascii="Arial" w:hAnsi="Arial" w:cs="Arial"/>
          <w:b/>
        </w:rPr>
        <w:br w:type="page"/>
      </w:r>
    </w:p>
    <w:p w:rsidR="00CF5C47" w:rsidRPr="001F3F42" w:rsidRDefault="00CF5C47" w:rsidP="00CF5C47">
      <w:pPr>
        <w:pStyle w:val="EndNoteBibliography"/>
        <w:rPr>
          <w:rFonts w:ascii="Times" w:hAnsi="Times"/>
          <w:sz w:val="24"/>
          <w:szCs w:val="24"/>
        </w:rPr>
      </w:pPr>
      <w:r w:rsidRPr="001F3F42">
        <w:rPr>
          <w:rFonts w:ascii="Times" w:hAnsi="Times" w:cs="Times"/>
          <w:b/>
          <w:sz w:val="24"/>
          <w:szCs w:val="24"/>
        </w:rPr>
        <w:lastRenderedPageBreak/>
        <w:t>Table S</w:t>
      </w:r>
      <w:r w:rsidR="00DD548F">
        <w:rPr>
          <w:rFonts w:ascii="Times" w:hAnsi="Times" w:cs="Times"/>
          <w:b/>
          <w:sz w:val="24"/>
          <w:szCs w:val="24"/>
        </w:rPr>
        <w:t>2</w:t>
      </w:r>
      <w:r w:rsidRPr="001F3F42">
        <w:rPr>
          <w:rFonts w:ascii="Times" w:hAnsi="Times" w:cs="Times"/>
          <w:b/>
          <w:sz w:val="24"/>
          <w:szCs w:val="24"/>
        </w:rPr>
        <w:t>.</w:t>
      </w:r>
      <w:r w:rsidRPr="001F3F42">
        <w:rPr>
          <w:b/>
          <w:sz w:val="24"/>
          <w:szCs w:val="24"/>
        </w:rPr>
        <w:t xml:space="preserve"> </w:t>
      </w:r>
      <w:r w:rsidRPr="001F3F42">
        <w:rPr>
          <w:rFonts w:ascii="Times" w:hAnsi="Times" w:cs="Times"/>
          <w:sz w:val="24"/>
          <w:szCs w:val="24"/>
          <w:lang w:val="en-GB"/>
        </w:rPr>
        <w:t xml:space="preserve">Generalized linear models for the relationships between hatching with copper concentration, </w:t>
      </w:r>
      <w:r>
        <w:rPr>
          <w:rFonts w:ascii="Times" w:hAnsi="Times" w:cs="Times"/>
          <w:sz w:val="24"/>
          <w:szCs w:val="24"/>
          <w:lang w:val="en-GB"/>
        </w:rPr>
        <w:t>air saturation</w:t>
      </w:r>
      <w:r w:rsidRPr="001F3F42">
        <w:rPr>
          <w:rFonts w:ascii="Times" w:hAnsi="Times" w:cs="Times"/>
          <w:sz w:val="24"/>
          <w:szCs w:val="24"/>
          <w:lang w:val="en-GB"/>
        </w:rPr>
        <w:t xml:space="preserve"> and the copper/</w:t>
      </w:r>
      <w:r>
        <w:rPr>
          <w:rFonts w:ascii="Times" w:hAnsi="Times" w:cs="Times"/>
          <w:sz w:val="24"/>
          <w:szCs w:val="24"/>
          <w:lang w:val="en-GB"/>
        </w:rPr>
        <w:t>air saturation</w:t>
      </w:r>
      <w:r w:rsidRPr="001F3F42">
        <w:rPr>
          <w:rFonts w:ascii="Times" w:hAnsi="Times" w:cs="Times"/>
          <w:sz w:val="24"/>
          <w:szCs w:val="24"/>
          <w:lang w:val="en-GB"/>
        </w:rPr>
        <w:t xml:space="preserve"> interaction. Minimum adequate models for proportion </w:t>
      </w:r>
      <w:r>
        <w:rPr>
          <w:rFonts w:ascii="Times" w:hAnsi="Times" w:cs="Times"/>
          <w:sz w:val="24"/>
          <w:szCs w:val="24"/>
          <w:lang w:val="en-GB"/>
        </w:rPr>
        <w:t>hatching</w:t>
      </w:r>
      <w:r w:rsidRPr="001F3F42">
        <w:rPr>
          <w:rFonts w:ascii="Times" w:hAnsi="Times" w:cs="Times"/>
          <w:sz w:val="24"/>
          <w:szCs w:val="24"/>
          <w:lang w:val="en-GB"/>
        </w:rPr>
        <w:t xml:space="preserve"> using a quasibinomial error structure are shown. Data from the continuous embryo exposure, the proportion of hatched embryos from 145 to 169hpf, 145- 193hpf and 145-217hpf. (Significance codes: *** P&lt;0.001, ** P&lt;0.01, * P&lt;0.05)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2066"/>
        <w:gridCol w:w="1904"/>
        <w:gridCol w:w="1984"/>
        <w:gridCol w:w="1843"/>
        <w:gridCol w:w="2835"/>
      </w:tblGrid>
      <w:tr w:rsidR="00CF5C47" w:rsidRPr="00685EF3" w:rsidTr="008C3AC1">
        <w:trPr>
          <w:trHeight w:val="307"/>
        </w:trPr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Coefficient  (± SE)</w:t>
            </w:r>
          </w:p>
        </w:tc>
      </w:tr>
      <w:tr w:rsidR="00CF5C47" w:rsidRPr="00685EF3" w:rsidTr="008C3AC1">
        <w:trPr>
          <w:trHeight w:val="572"/>
        </w:trPr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Intercept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Copper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Air Saturation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Copper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Air Saturation</w:t>
            </w: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Interaction</w:t>
            </w:r>
          </w:p>
        </w:tc>
      </w:tr>
      <w:tr w:rsidR="00CF5C47" w:rsidRPr="00685EF3" w:rsidTr="008C3AC1">
        <w:trPr>
          <w:trHeight w:val="572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145-169 </w:t>
            </w:r>
            <w:proofErr w:type="spellStart"/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hpf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2.99 (±0.38)***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-36.18 (±6.07)***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NS</w:t>
            </w:r>
          </w:p>
        </w:tc>
      </w:tr>
      <w:tr w:rsidR="00CF5C47" w:rsidRPr="00685EF3" w:rsidTr="008C3AC1">
        <w:trPr>
          <w:trHeight w:val="572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145-193 </w:t>
            </w:r>
            <w:proofErr w:type="spellStart"/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hpf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3.76 (±0.61)***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-32.39 (±8.81)***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NS</w:t>
            </w:r>
          </w:p>
        </w:tc>
      </w:tr>
      <w:tr w:rsidR="00CF5C47" w:rsidRPr="00685EF3" w:rsidTr="008C3AC1">
        <w:trPr>
          <w:trHeight w:val="572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145-217 </w:t>
            </w:r>
            <w:proofErr w:type="spellStart"/>
            <w:r w:rsidRPr="0068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hpf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5.38 (±0.58)***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-56.06 (±7.76)***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0.77 (±0.34)*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C47" w:rsidRPr="00685EF3" w:rsidRDefault="00CF5C47" w:rsidP="008C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8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NS</w:t>
            </w:r>
          </w:p>
        </w:tc>
      </w:tr>
    </w:tbl>
    <w:p w:rsidR="00CF5C47" w:rsidRPr="00787CEE" w:rsidRDefault="00CF5C47" w:rsidP="00CF5C47">
      <w:pPr>
        <w:pStyle w:val="EndNoteBibliography"/>
        <w:rPr>
          <w:rFonts w:ascii="Times" w:hAnsi="Times"/>
          <w:sz w:val="24"/>
          <w:szCs w:val="24"/>
        </w:rPr>
      </w:pPr>
    </w:p>
    <w:p w:rsidR="00CF5C47" w:rsidRDefault="00CF5C47" w:rsidP="00CF5C47">
      <w:pPr>
        <w:rPr>
          <w:rFonts w:ascii="Times New Roman" w:hAnsi="Times New Roman"/>
          <w:sz w:val="24"/>
          <w:szCs w:val="24"/>
        </w:rPr>
      </w:pPr>
    </w:p>
    <w:p w:rsidR="00A50B88" w:rsidRPr="00193EAA" w:rsidRDefault="00A50B88">
      <w:pPr>
        <w:rPr>
          <w:rFonts w:ascii="Times New Roman" w:eastAsia="Calibri" w:hAnsi="Times New Roman" w:cs="Times New Roman"/>
          <w:noProof/>
          <w:lang w:val="en-US"/>
        </w:rPr>
      </w:pPr>
    </w:p>
    <w:sectPr w:rsidR="00A50B88" w:rsidRPr="00193EA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6E" w:rsidRDefault="0010316E" w:rsidP="00D84BD7">
      <w:pPr>
        <w:spacing w:after="0" w:line="240" w:lineRule="auto"/>
      </w:pPr>
      <w:r>
        <w:separator/>
      </w:r>
    </w:p>
  </w:endnote>
  <w:endnote w:type="continuationSeparator" w:id="0">
    <w:p w:rsidR="0010316E" w:rsidRDefault="0010316E" w:rsidP="00D8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84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BD7" w:rsidRDefault="00D84BD7">
        <w:pPr>
          <w:pStyle w:val="Footer"/>
          <w:jc w:val="center"/>
        </w:pPr>
        <w:r w:rsidRPr="00D84BD7">
          <w:rPr>
            <w:rFonts w:ascii="Times New Roman" w:hAnsi="Times New Roman" w:cs="Times New Roman"/>
          </w:rPr>
          <w:t>S</w:t>
        </w:r>
        <w:r w:rsidRPr="00D84BD7">
          <w:rPr>
            <w:rFonts w:ascii="Times New Roman" w:hAnsi="Times New Roman" w:cs="Times New Roman"/>
          </w:rPr>
          <w:fldChar w:fldCharType="begin"/>
        </w:r>
        <w:r w:rsidRPr="00D84BD7">
          <w:rPr>
            <w:rFonts w:ascii="Times New Roman" w:hAnsi="Times New Roman" w:cs="Times New Roman"/>
          </w:rPr>
          <w:instrText xml:space="preserve"> PAGE   \* MERGEFORMAT </w:instrText>
        </w:r>
        <w:r w:rsidRPr="00D84BD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D84BD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84BD7" w:rsidRDefault="00D84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6E" w:rsidRDefault="0010316E" w:rsidP="00D84BD7">
      <w:pPr>
        <w:spacing w:after="0" w:line="240" w:lineRule="auto"/>
      </w:pPr>
      <w:r>
        <w:separator/>
      </w:r>
    </w:p>
  </w:footnote>
  <w:footnote w:type="continuationSeparator" w:id="0">
    <w:p w:rsidR="0010316E" w:rsidRDefault="0010316E" w:rsidP="00D8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47"/>
    <w:rsid w:val="000873F6"/>
    <w:rsid w:val="0010316E"/>
    <w:rsid w:val="00193EAA"/>
    <w:rsid w:val="00261461"/>
    <w:rsid w:val="003276C7"/>
    <w:rsid w:val="00407CAE"/>
    <w:rsid w:val="00A40FD7"/>
    <w:rsid w:val="00A50B88"/>
    <w:rsid w:val="00BA778A"/>
    <w:rsid w:val="00BC6AC8"/>
    <w:rsid w:val="00CA6AF3"/>
    <w:rsid w:val="00CF5C47"/>
    <w:rsid w:val="00D84BD7"/>
    <w:rsid w:val="00DD548F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CF5C47"/>
    <w:pPr>
      <w:spacing w:line="480" w:lineRule="auto"/>
    </w:pPr>
    <w:rPr>
      <w:rFonts w:ascii="Times New Roman" w:eastAsia="Calibri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5C47"/>
    <w:rPr>
      <w:rFonts w:ascii="Times New Roman" w:eastAsia="Calibri" w:hAnsi="Times New Roman"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D7"/>
  </w:style>
  <w:style w:type="paragraph" w:styleId="Footer">
    <w:name w:val="footer"/>
    <w:basedOn w:val="Normal"/>
    <w:link w:val="FooterChar"/>
    <w:uiPriority w:val="99"/>
    <w:unhideWhenUsed/>
    <w:rsid w:val="00D8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CF5C47"/>
    <w:pPr>
      <w:spacing w:line="480" w:lineRule="auto"/>
    </w:pPr>
    <w:rPr>
      <w:rFonts w:ascii="Times New Roman" w:eastAsia="Calibri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5C47"/>
    <w:rPr>
      <w:rFonts w:ascii="Times New Roman" w:eastAsia="Calibri" w:hAnsi="Times New Roman"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D7"/>
  </w:style>
  <w:style w:type="paragraph" w:styleId="Footer">
    <w:name w:val="footer"/>
    <w:basedOn w:val="Normal"/>
    <w:link w:val="FooterChar"/>
    <w:uiPriority w:val="99"/>
    <w:unhideWhenUsed/>
    <w:rsid w:val="00D8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Jennifer</dc:creator>
  <cp:lastModifiedBy>Fitzgerald, Jennifer</cp:lastModifiedBy>
  <cp:revision>3</cp:revision>
  <dcterms:created xsi:type="dcterms:W3CDTF">2016-10-07T15:35:00Z</dcterms:created>
  <dcterms:modified xsi:type="dcterms:W3CDTF">2016-10-08T16:06:00Z</dcterms:modified>
</cp:coreProperties>
</file>