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6AE0" w14:textId="6A9801E6" w:rsidR="005E66FA" w:rsidRDefault="0059228B" w:rsidP="0072323F">
      <w:pPr>
        <w:spacing w:line="360" w:lineRule="auto"/>
        <w:jc w:val="center"/>
        <w:rPr>
          <w:rFonts w:ascii="Times New Roman" w:hAnsi="Times New Roman" w:cs="Times New Roman"/>
          <w:b/>
          <w:sz w:val="28"/>
          <w:szCs w:val="28"/>
        </w:rPr>
      </w:pPr>
      <w:bookmarkStart w:id="0" w:name="_GoBack"/>
      <w:bookmarkEnd w:id="0"/>
      <w:r w:rsidRPr="00881EEB">
        <w:rPr>
          <w:rFonts w:ascii="Times New Roman" w:hAnsi="Times New Roman"/>
          <w:b/>
          <w:sz w:val="28"/>
        </w:rPr>
        <w:t>Learning in the Bath-tub</w:t>
      </w:r>
      <w:r w:rsidR="0072323F" w:rsidRPr="00881EEB">
        <w:rPr>
          <w:rFonts w:ascii="Times New Roman" w:hAnsi="Times New Roman"/>
          <w:b/>
          <w:sz w:val="28"/>
        </w:rPr>
        <w:t xml:space="preserve">: </w:t>
      </w:r>
      <w:r w:rsidR="00A179C9" w:rsidRPr="0072323F">
        <w:rPr>
          <w:rFonts w:ascii="Times New Roman" w:hAnsi="Times New Roman" w:cs="Times New Roman"/>
          <w:b/>
          <w:sz w:val="28"/>
          <w:szCs w:val="28"/>
        </w:rPr>
        <w:t>The Micro and Macro Dimensions of the Causal Relation</w:t>
      </w:r>
      <w:r w:rsidRPr="0072323F">
        <w:rPr>
          <w:rFonts w:ascii="Times New Roman" w:hAnsi="Times New Roman" w:cs="Times New Roman"/>
          <w:b/>
          <w:sz w:val="28"/>
          <w:szCs w:val="28"/>
        </w:rPr>
        <w:t>ship</w:t>
      </w:r>
      <w:r w:rsidR="00A179C9" w:rsidRPr="0072323F">
        <w:rPr>
          <w:rFonts w:ascii="Times New Roman" w:hAnsi="Times New Roman" w:cs="Times New Roman"/>
          <w:b/>
          <w:sz w:val="28"/>
          <w:szCs w:val="28"/>
        </w:rPr>
        <w:t xml:space="preserve"> between Learning and Policy Change</w:t>
      </w:r>
    </w:p>
    <w:p w14:paraId="4A85F940" w14:textId="77777777" w:rsidR="00E64DB8" w:rsidRDefault="00E64DB8" w:rsidP="0072323F">
      <w:pPr>
        <w:spacing w:line="360" w:lineRule="auto"/>
        <w:jc w:val="center"/>
        <w:rPr>
          <w:rFonts w:ascii="Times New Roman" w:hAnsi="Times New Roman" w:cs="Times New Roman"/>
          <w:b/>
          <w:sz w:val="28"/>
          <w:szCs w:val="28"/>
        </w:rPr>
      </w:pPr>
    </w:p>
    <w:p w14:paraId="0AD5726E" w14:textId="1698EEAA" w:rsidR="00E64DB8" w:rsidRDefault="00E64DB8" w:rsidP="00E64DB8">
      <w:pPr>
        <w:spacing w:line="360" w:lineRule="auto"/>
        <w:jc w:val="center"/>
        <w:rPr>
          <w:rFonts w:ascii="Times New Roman" w:hAnsi="Times New Roman" w:cs="Times New Roman"/>
          <w:b/>
        </w:rPr>
      </w:pPr>
      <w:r>
        <w:rPr>
          <w:rFonts w:ascii="Times New Roman" w:hAnsi="Times New Roman" w:cs="Times New Roman"/>
          <w:b/>
        </w:rPr>
        <w:t>Claire A. Dunlop, University of Exeter</w:t>
      </w:r>
      <w:r>
        <w:rPr>
          <w:rFonts w:ascii="Times New Roman" w:hAnsi="Times New Roman" w:cs="Times New Roman"/>
          <w:b/>
        </w:rPr>
        <w:br/>
        <w:t>Claudio M. Radaelli, University of Exeter</w:t>
      </w:r>
    </w:p>
    <w:p w14:paraId="1FAEF926" w14:textId="77777777" w:rsidR="00E64DB8" w:rsidRDefault="00E64DB8" w:rsidP="00E64DB8">
      <w:pPr>
        <w:spacing w:line="360" w:lineRule="auto"/>
        <w:jc w:val="center"/>
        <w:rPr>
          <w:rFonts w:ascii="Times New Roman" w:hAnsi="Times New Roman" w:cs="Times New Roman"/>
          <w:b/>
        </w:rPr>
      </w:pPr>
    </w:p>
    <w:p w14:paraId="10B7FAEC" w14:textId="0E63197C" w:rsidR="00E64DB8" w:rsidRPr="00881EEB" w:rsidRDefault="00E64DB8" w:rsidP="0072323F">
      <w:pPr>
        <w:spacing w:line="360" w:lineRule="auto"/>
        <w:jc w:val="center"/>
        <w:rPr>
          <w:rFonts w:ascii="Times New Roman" w:hAnsi="Times New Roman"/>
          <w:b/>
          <w:sz w:val="28"/>
        </w:rPr>
      </w:pPr>
      <w:r>
        <w:rPr>
          <w:rFonts w:ascii="Times New Roman" w:hAnsi="Times New Roman" w:cs="Times New Roman"/>
          <w:b/>
        </w:rPr>
        <w:t xml:space="preserve">Accepted for </w:t>
      </w:r>
      <w:r w:rsidRPr="0050427E">
        <w:rPr>
          <w:rFonts w:ascii="Times New Roman" w:hAnsi="Times New Roman" w:cs="Times New Roman"/>
          <w:b/>
          <w:i/>
        </w:rPr>
        <w:t>Policy and Society</w:t>
      </w:r>
      <w:r>
        <w:rPr>
          <w:rFonts w:ascii="Times New Roman" w:hAnsi="Times New Roman" w:cs="Times New Roman"/>
          <w:b/>
        </w:rPr>
        <w:t>, 2017, vol. 36</w:t>
      </w:r>
    </w:p>
    <w:p w14:paraId="109CF6E2" w14:textId="77777777" w:rsidR="005E66FA" w:rsidRPr="008A0D67" w:rsidRDefault="005E66FA" w:rsidP="005C6237">
      <w:pPr>
        <w:spacing w:line="360" w:lineRule="auto"/>
        <w:jc w:val="both"/>
        <w:rPr>
          <w:rFonts w:ascii="Times New Roman" w:hAnsi="Times New Roman" w:cs="Times New Roman"/>
        </w:rPr>
      </w:pPr>
    </w:p>
    <w:p w14:paraId="5405974E" w14:textId="578CF5FF" w:rsidR="005C6237" w:rsidRPr="001258E4" w:rsidRDefault="004177B2" w:rsidP="007F5E82">
      <w:pPr>
        <w:spacing w:line="360" w:lineRule="auto"/>
        <w:jc w:val="both"/>
        <w:rPr>
          <w:rFonts w:ascii="Times New Roman" w:hAnsi="Times New Roman" w:cs="Times New Roman"/>
        </w:rPr>
      </w:pPr>
      <w:r w:rsidRPr="008A0D67">
        <w:rPr>
          <w:rFonts w:ascii="Times New Roman" w:hAnsi="Times New Roman" w:cs="Times New Roman"/>
          <w:b/>
        </w:rPr>
        <w:t>Abstract</w:t>
      </w:r>
      <w:r w:rsidR="001258E4">
        <w:rPr>
          <w:rFonts w:ascii="Times New Roman" w:hAnsi="Times New Roman" w:cs="Times New Roman"/>
          <w:b/>
        </w:rPr>
        <w:tab/>
      </w:r>
      <w:r w:rsidR="007F5E82" w:rsidRPr="007F5E82">
        <w:rPr>
          <w:rFonts w:ascii="Times New Roman" w:hAnsi="Times New Roman" w:cs="Times New Roman"/>
        </w:rPr>
        <w:t>Whilst the literature classifies policy learning in terms of types or ontological approaches (reflexive and social constructivist learning versus rational up-dating of priors), we offer a three-dimensional approach to explore the relationships between individual learning, lear</w:t>
      </w:r>
      <w:r w:rsidR="00CB56E2">
        <w:rPr>
          <w:rFonts w:ascii="Times New Roman" w:hAnsi="Times New Roman" w:cs="Times New Roman"/>
        </w:rPr>
        <w:t>ning in groups</w:t>
      </w:r>
      <w:r w:rsidR="007F5E82" w:rsidRPr="007F5E82">
        <w:rPr>
          <w:rFonts w:ascii="Times New Roman" w:hAnsi="Times New Roman" w:cs="Times New Roman"/>
        </w:rPr>
        <w:t xml:space="preserve">, and the macro-dimension. Our contribution </w:t>
      </w:r>
      <w:r w:rsidR="00D41621">
        <w:rPr>
          <w:rFonts w:ascii="Times New Roman" w:hAnsi="Times New Roman" w:cs="Times New Roman"/>
        </w:rPr>
        <w:t>maps</w:t>
      </w:r>
      <w:r w:rsidR="007F5E82" w:rsidRPr="007F5E82">
        <w:rPr>
          <w:rFonts w:ascii="Times New Roman" w:hAnsi="Times New Roman" w:cs="Times New Roman"/>
        </w:rPr>
        <w:t xml:space="preserve"> </w:t>
      </w:r>
      <w:r w:rsidR="00B40B70">
        <w:rPr>
          <w:rFonts w:ascii="Times New Roman" w:hAnsi="Times New Roman" w:cs="Times New Roman"/>
        </w:rPr>
        <w:t xml:space="preserve">most </w:t>
      </w:r>
      <w:r w:rsidR="007F5E82" w:rsidRPr="007F5E82">
        <w:rPr>
          <w:rFonts w:ascii="Times New Roman" w:hAnsi="Times New Roman" w:cs="Times New Roman"/>
        </w:rPr>
        <w:t xml:space="preserve">(although not all) lively debates in the field on a </w:t>
      </w:r>
      <w:r w:rsidR="00B40B70">
        <w:rPr>
          <w:rFonts w:ascii="Times New Roman" w:hAnsi="Times New Roman" w:cs="Times New Roman"/>
        </w:rPr>
        <w:t>multi-</w:t>
      </w:r>
      <w:r w:rsidR="00D41621">
        <w:rPr>
          <w:rFonts w:ascii="Times New Roman" w:hAnsi="Times New Roman" w:cs="Times New Roman"/>
        </w:rPr>
        <w:t>dimensional space and</w:t>
      </w:r>
      <w:r w:rsidR="007F5E82" w:rsidRPr="007F5E82">
        <w:rPr>
          <w:rFonts w:ascii="Times New Roman" w:hAnsi="Times New Roman" w:cs="Times New Roman"/>
        </w:rPr>
        <w:t xml:space="preserve"> explore</w:t>
      </w:r>
      <w:r w:rsidR="00D41621">
        <w:rPr>
          <w:rFonts w:ascii="Times New Roman" w:hAnsi="Times New Roman" w:cs="Times New Roman"/>
        </w:rPr>
        <w:t>s</w:t>
      </w:r>
      <w:r w:rsidR="007F5E82" w:rsidRPr="007F5E82">
        <w:rPr>
          <w:rFonts w:ascii="Times New Roman" w:hAnsi="Times New Roman" w:cs="Times New Roman"/>
        </w:rPr>
        <w:t xml:space="preserve"> the logic of causality from micro to macro. To achieve our two aims, we draw on </w:t>
      </w:r>
      <w:r w:rsidR="002F1698" w:rsidRPr="001A078E">
        <w:rPr>
          <w:rFonts w:ascii="Times New Roman" w:hAnsi="Times New Roman" w:cs="Times New Roman"/>
        </w:rPr>
        <w:t xml:space="preserve">Coleman’s </w:t>
      </w:r>
      <w:r w:rsidR="00D41621">
        <w:rPr>
          <w:rFonts w:ascii="Times New Roman" w:hAnsi="Times New Roman" w:cs="Times New Roman"/>
        </w:rPr>
        <w:t>‘</w:t>
      </w:r>
      <w:r w:rsidR="002F1698" w:rsidRPr="001A078E">
        <w:rPr>
          <w:rFonts w:ascii="Times New Roman" w:hAnsi="Times New Roman" w:cs="Times New Roman"/>
        </w:rPr>
        <w:t>bath-tub</w:t>
      </w:r>
      <w:r w:rsidR="00D41621">
        <w:rPr>
          <w:rFonts w:ascii="Times New Roman" w:hAnsi="Times New Roman" w:cs="Times New Roman"/>
        </w:rPr>
        <w:t>’</w:t>
      </w:r>
      <w:r w:rsidR="002F1698" w:rsidRPr="001A078E">
        <w:rPr>
          <w:rFonts w:ascii="Times New Roman" w:hAnsi="Times New Roman" w:cs="Times New Roman"/>
        </w:rPr>
        <w:t xml:space="preserve">. We </w:t>
      </w:r>
      <w:r w:rsidR="007F5E82" w:rsidRPr="001A078E">
        <w:rPr>
          <w:rFonts w:ascii="Times New Roman" w:hAnsi="Times New Roman" w:cs="Times New Roman"/>
        </w:rPr>
        <w:t>map</w:t>
      </w:r>
      <w:r w:rsidR="002F1698" w:rsidRPr="00A352A0">
        <w:rPr>
          <w:rFonts w:ascii="Times New Roman" w:hAnsi="Times New Roman" w:cs="Times New Roman"/>
        </w:rPr>
        <w:t xml:space="preserve"> learning in the bath-tub by </w:t>
      </w:r>
      <w:r w:rsidR="007F5E82" w:rsidRPr="00A352A0">
        <w:rPr>
          <w:rFonts w:ascii="Times New Roman" w:hAnsi="Times New Roman" w:cs="Times New Roman"/>
        </w:rPr>
        <w:t>considering prominent studies on learning</w:t>
      </w:r>
      <w:r w:rsidR="007F5E82" w:rsidRPr="001B6894">
        <w:rPr>
          <w:rFonts w:ascii="Times New Roman" w:hAnsi="Times New Roman" w:cs="Times New Roman"/>
        </w:rPr>
        <w:t xml:space="preserve"> but also, in some cases, by exploring and drawing lessons from</w:t>
      </w:r>
      <w:r w:rsidR="002F1698" w:rsidRPr="007F5E82">
        <w:rPr>
          <w:rFonts w:ascii="Times New Roman" w:hAnsi="Times New Roman" w:cs="Times New Roman"/>
        </w:rPr>
        <w:t xml:space="preserve"> political science and behavioral sciences. By integrating findings </w:t>
      </w:r>
      <w:r w:rsidR="00530B2E">
        <w:rPr>
          <w:rFonts w:ascii="Times New Roman" w:hAnsi="Times New Roman" w:cs="Times New Roman"/>
        </w:rPr>
        <w:t>in an eclectic way</w:t>
      </w:r>
      <w:r w:rsidR="002F1698" w:rsidRPr="007F5E82">
        <w:rPr>
          <w:rFonts w:ascii="Times New Roman" w:hAnsi="Times New Roman" w:cs="Times New Roman"/>
        </w:rPr>
        <w:t>, we explain the logic of learning using a single template and suggest methods for empirical analysis.</w:t>
      </w:r>
      <w:r w:rsidR="007F5E82" w:rsidRPr="007F5E82">
        <w:rPr>
          <w:rFonts w:ascii="Times New Roman" w:hAnsi="Times New Roman" w:cs="Times New Roman"/>
        </w:rPr>
        <w:t xml:space="preserve"> This is not a literature review but an original attempt to capture the </w:t>
      </w:r>
      <w:r w:rsidR="00AC5D1B">
        <w:rPr>
          <w:rFonts w:ascii="Times New Roman" w:hAnsi="Times New Roman" w:cs="Times New Roman"/>
        </w:rPr>
        <w:t xml:space="preserve">causal </w:t>
      </w:r>
      <w:r w:rsidR="007F5E82" w:rsidRPr="007F5E82">
        <w:rPr>
          <w:rFonts w:ascii="Times New Roman" w:hAnsi="Times New Roman" w:cs="Times New Roman"/>
        </w:rPr>
        <w:t>architecture of the field</w:t>
      </w:r>
      <w:r w:rsidR="00AC5D1B">
        <w:rPr>
          <w:rFonts w:ascii="Times New Roman" w:hAnsi="Times New Roman" w:cs="Times New Roman"/>
        </w:rPr>
        <w:t>, contributing to learning theory with findings from mainstream political and behavioral sciences.</w:t>
      </w:r>
    </w:p>
    <w:p w14:paraId="320A8F29" w14:textId="77777777" w:rsidR="005E66FA" w:rsidRPr="008A0D67" w:rsidRDefault="005E66FA" w:rsidP="005C6237">
      <w:pPr>
        <w:spacing w:line="360" w:lineRule="auto"/>
        <w:jc w:val="both"/>
        <w:rPr>
          <w:rFonts w:ascii="Times New Roman" w:hAnsi="Times New Roman" w:cs="Times New Roman"/>
        </w:rPr>
      </w:pPr>
    </w:p>
    <w:p w14:paraId="5A22F4F4" w14:textId="35F65DC2" w:rsidR="005E66FA" w:rsidRPr="008A0D67" w:rsidRDefault="005E66FA" w:rsidP="005C6237">
      <w:pPr>
        <w:spacing w:line="360" w:lineRule="auto"/>
        <w:jc w:val="both"/>
        <w:rPr>
          <w:rFonts w:ascii="Times New Roman" w:hAnsi="Times New Roman" w:cs="Times New Roman"/>
          <w:b/>
        </w:rPr>
      </w:pPr>
      <w:r w:rsidRPr="008A0D67">
        <w:rPr>
          <w:rFonts w:ascii="Times New Roman" w:hAnsi="Times New Roman" w:cs="Times New Roman"/>
          <w:b/>
        </w:rPr>
        <w:t>Keywords</w:t>
      </w:r>
      <w:r w:rsidRPr="008A0D67">
        <w:rPr>
          <w:rFonts w:ascii="Times New Roman" w:hAnsi="Times New Roman" w:cs="Times New Roman"/>
          <w:b/>
        </w:rPr>
        <w:tab/>
      </w:r>
      <w:r w:rsidR="00876E0E">
        <w:rPr>
          <w:rFonts w:ascii="Times New Roman" w:hAnsi="Times New Roman" w:cs="Times New Roman"/>
        </w:rPr>
        <w:t>c</w:t>
      </w:r>
      <w:r w:rsidR="0059228B" w:rsidRPr="0072323F">
        <w:rPr>
          <w:rFonts w:ascii="Times New Roman" w:hAnsi="Times New Roman" w:cs="Times New Roman"/>
        </w:rPr>
        <w:t xml:space="preserve">ausality, </w:t>
      </w:r>
      <w:r w:rsidR="002F1698" w:rsidRPr="0072323F">
        <w:rPr>
          <w:rFonts w:ascii="Times New Roman" w:hAnsi="Times New Roman" w:cs="Times New Roman"/>
        </w:rPr>
        <w:t xml:space="preserve">cognition, </w:t>
      </w:r>
      <w:r w:rsidR="0059228B" w:rsidRPr="0072323F">
        <w:rPr>
          <w:rFonts w:ascii="Times New Roman" w:hAnsi="Times New Roman" w:cs="Times New Roman"/>
        </w:rPr>
        <w:t xml:space="preserve">micro-foundations, </w:t>
      </w:r>
      <w:r w:rsidR="001258E4" w:rsidRPr="0072323F">
        <w:rPr>
          <w:rFonts w:ascii="Times New Roman" w:hAnsi="Times New Roman" w:cs="Times New Roman"/>
        </w:rPr>
        <w:t>policy change, policy learning</w:t>
      </w:r>
      <w:r w:rsidR="0007394D">
        <w:rPr>
          <w:rFonts w:ascii="Times New Roman" w:hAnsi="Times New Roman" w:cs="Times New Roman"/>
        </w:rPr>
        <w:t>, theories of the policy process</w:t>
      </w:r>
    </w:p>
    <w:p w14:paraId="5ADF5BB0" w14:textId="45CD4268" w:rsidR="004177B2" w:rsidRPr="008A0D67" w:rsidRDefault="004177B2" w:rsidP="004177B2">
      <w:pPr>
        <w:rPr>
          <w:rFonts w:ascii="Times New Roman" w:hAnsi="Times New Roman" w:cs="Times New Roman"/>
        </w:rPr>
      </w:pPr>
      <w:r w:rsidRPr="008A0D67">
        <w:rPr>
          <w:rFonts w:ascii="Times New Roman" w:hAnsi="Times New Roman" w:cs="Times New Roman"/>
        </w:rPr>
        <w:br w:type="page"/>
      </w:r>
    </w:p>
    <w:p w14:paraId="48BCCACA" w14:textId="52FD302E" w:rsidR="00955744" w:rsidRPr="008A0D67" w:rsidRDefault="00955744" w:rsidP="005C6237">
      <w:pPr>
        <w:pStyle w:val="ListParagraph"/>
        <w:numPr>
          <w:ilvl w:val="0"/>
          <w:numId w:val="11"/>
        </w:numPr>
        <w:spacing w:line="360" w:lineRule="auto"/>
        <w:jc w:val="both"/>
        <w:rPr>
          <w:rFonts w:ascii="Times New Roman" w:hAnsi="Times New Roman" w:cs="Times New Roman"/>
          <w:b/>
        </w:rPr>
      </w:pPr>
      <w:r w:rsidRPr="008A0D67">
        <w:rPr>
          <w:rFonts w:ascii="Times New Roman" w:hAnsi="Times New Roman" w:cs="Times New Roman"/>
          <w:b/>
        </w:rPr>
        <w:lastRenderedPageBreak/>
        <w:t>Introduction and Motivation</w:t>
      </w:r>
    </w:p>
    <w:p w14:paraId="086DF8CB" w14:textId="56E329E9" w:rsidR="001B72E8" w:rsidRPr="008A0D67" w:rsidRDefault="001B72E8" w:rsidP="001B72E8">
      <w:pPr>
        <w:spacing w:before="240" w:after="160" w:line="360" w:lineRule="auto"/>
        <w:jc w:val="both"/>
        <w:rPr>
          <w:rFonts w:ascii="Times New Roman" w:hAnsi="Times New Roman" w:cs="Times New Roman"/>
        </w:rPr>
      </w:pPr>
      <w:r w:rsidRPr="008A0D67">
        <w:rPr>
          <w:rFonts w:ascii="Times New Roman" w:hAnsi="Times New Roman" w:cs="Times New Roman"/>
        </w:rPr>
        <w:t xml:space="preserve">The claim that there is a causal relationship between learning and policy change is a classic feature of theoretical </w:t>
      </w:r>
      <w:r w:rsidR="004A3AA9" w:rsidRPr="008A0D67">
        <w:rPr>
          <w:rFonts w:ascii="Times New Roman" w:hAnsi="Times New Roman" w:cs="Times New Roman"/>
        </w:rPr>
        <w:t>and empirical</w:t>
      </w:r>
      <w:r w:rsidR="00944541">
        <w:rPr>
          <w:rFonts w:ascii="Times New Roman" w:hAnsi="Times New Roman" w:cs="Times New Roman"/>
        </w:rPr>
        <w:t xml:space="preserve"> policy analysis. </w:t>
      </w:r>
      <w:r w:rsidR="00944E0F">
        <w:rPr>
          <w:rFonts w:ascii="Times New Roman" w:hAnsi="Times New Roman" w:cs="Times New Roman"/>
        </w:rPr>
        <w:t>One popular</w:t>
      </w:r>
      <w:r w:rsidR="00BF492D">
        <w:rPr>
          <w:rFonts w:ascii="Times New Roman" w:hAnsi="Times New Roman" w:cs="Times New Roman"/>
        </w:rPr>
        <w:t xml:space="preserve"> textbook on </w:t>
      </w:r>
      <w:r w:rsidR="00BF492D" w:rsidRPr="00BF492D">
        <w:rPr>
          <w:rFonts w:ascii="Times New Roman" w:hAnsi="Times New Roman" w:cs="Times New Roman"/>
          <w:i/>
        </w:rPr>
        <w:t>Theories of the Policy P</w:t>
      </w:r>
      <w:r w:rsidRPr="00BF492D">
        <w:rPr>
          <w:rFonts w:ascii="Times New Roman" w:hAnsi="Times New Roman" w:cs="Times New Roman"/>
          <w:i/>
        </w:rPr>
        <w:t xml:space="preserve">rocess </w:t>
      </w:r>
      <w:r w:rsidRPr="008A0D67">
        <w:rPr>
          <w:rFonts w:ascii="Times New Roman" w:hAnsi="Times New Roman" w:cs="Times New Roman"/>
        </w:rPr>
        <w:t>edited by Sabatier and Weible (2014) refers to learning 80 ti</w:t>
      </w:r>
      <w:r w:rsidR="00D973A5" w:rsidRPr="008A0D67">
        <w:rPr>
          <w:rFonts w:ascii="Times New Roman" w:hAnsi="Times New Roman" w:cs="Times New Roman"/>
        </w:rPr>
        <w:t>mes</w:t>
      </w:r>
      <w:r w:rsidRPr="008A0D67">
        <w:rPr>
          <w:rFonts w:ascii="Times New Roman" w:hAnsi="Times New Roman" w:cs="Times New Roman"/>
        </w:rPr>
        <w:t xml:space="preserve"> in relation to</w:t>
      </w:r>
      <w:r w:rsidR="00D973A5" w:rsidRPr="008A0D67">
        <w:rPr>
          <w:rFonts w:ascii="Times New Roman" w:hAnsi="Times New Roman" w:cs="Times New Roman"/>
        </w:rPr>
        <w:t>:</w:t>
      </w:r>
      <w:r w:rsidRPr="008A0D67">
        <w:rPr>
          <w:rFonts w:ascii="Times New Roman" w:hAnsi="Times New Roman" w:cs="Times New Roman"/>
        </w:rPr>
        <w:t xml:space="preserve"> </w:t>
      </w:r>
      <w:r w:rsidR="00D973A5" w:rsidRPr="008A0D67">
        <w:rPr>
          <w:rFonts w:ascii="Times New Roman" w:hAnsi="Times New Roman" w:cs="Times New Roman"/>
        </w:rPr>
        <w:t>the impact of collective learning</w:t>
      </w:r>
      <w:r w:rsidRPr="008A0D67">
        <w:rPr>
          <w:rFonts w:ascii="Times New Roman" w:hAnsi="Times New Roman" w:cs="Times New Roman"/>
        </w:rPr>
        <w:t xml:space="preserve"> (</w:t>
      </w:r>
      <w:r w:rsidR="00D973A5" w:rsidRPr="008A0D67">
        <w:rPr>
          <w:rFonts w:ascii="Times New Roman" w:hAnsi="Times New Roman" w:cs="Times New Roman"/>
        </w:rPr>
        <w:t>p.13</w:t>
      </w:r>
      <w:r w:rsidR="003F2F2C">
        <w:rPr>
          <w:rFonts w:ascii="Times New Roman" w:hAnsi="Times New Roman" w:cs="Times New Roman"/>
        </w:rPr>
        <w:t>, see</w:t>
      </w:r>
      <w:r w:rsidR="00D973A5" w:rsidRPr="008A0D67">
        <w:rPr>
          <w:rFonts w:ascii="Times New Roman" w:hAnsi="Times New Roman" w:cs="Times New Roman"/>
        </w:rPr>
        <w:t xml:space="preserve"> Heikkila and Gerlak, 2013);</w:t>
      </w:r>
      <w:r w:rsidR="00973D0A">
        <w:rPr>
          <w:rFonts w:ascii="Times New Roman" w:hAnsi="Times New Roman" w:cs="Times New Roman"/>
        </w:rPr>
        <w:t xml:space="preserve"> </w:t>
      </w:r>
      <w:r w:rsidRPr="008A0D67">
        <w:rPr>
          <w:rFonts w:ascii="Times New Roman" w:hAnsi="Times New Roman" w:cs="Times New Roman"/>
        </w:rPr>
        <w:t>exp</w:t>
      </w:r>
      <w:r w:rsidR="00973D0A">
        <w:rPr>
          <w:rFonts w:ascii="Times New Roman" w:hAnsi="Times New Roman" w:cs="Times New Roman"/>
        </w:rPr>
        <w:t>eriential learning</w:t>
      </w:r>
      <w:r w:rsidR="00944541">
        <w:rPr>
          <w:rFonts w:ascii="Times New Roman" w:hAnsi="Times New Roman" w:cs="Times New Roman"/>
        </w:rPr>
        <w:t xml:space="preserve"> clashing</w:t>
      </w:r>
      <w:r w:rsidRPr="008A0D67">
        <w:rPr>
          <w:rFonts w:ascii="Times New Roman" w:hAnsi="Times New Roman" w:cs="Times New Roman"/>
        </w:rPr>
        <w:t xml:space="preserve"> with preferred policy option</w:t>
      </w:r>
      <w:r w:rsidR="00D973A5" w:rsidRPr="008A0D67">
        <w:rPr>
          <w:rFonts w:ascii="Times New Roman" w:hAnsi="Times New Roman" w:cs="Times New Roman"/>
        </w:rPr>
        <w:t>s (p.31, citing Moynihan, 2006);</w:t>
      </w:r>
      <w:r w:rsidRPr="008A0D67">
        <w:rPr>
          <w:rFonts w:ascii="Times New Roman" w:hAnsi="Times New Roman" w:cs="Times New Roman"/>
        </w:rPr>
        <w:t xml:space="preserve"> organizational learning (p.44, in relation to the multi</w:t>
      </w:r>
      <w:r w:rsidR="00D973A5" w:rsidRPr="008A0D67">
        <w:rPr>
          <w:rFonts w:ascii="Times New Roman" w:hAnsi="Times New Roman" w:cs="Times New Roman"/>
        </w:rPr>
        <w:t>ple streams framework);</w:t>
      </w:r>
      <w:r w:rsidRPr="008A0D67">
        <w:rPr>
          <w:rFonts w:ascii="Times New Roman" w:hAnsi="Times New Roman" w:cs="Times New Roman"/>
        </w:rPr>
        <w:t xml:space="preserve"> policy-oriented learning affecting social constructions (p.132, citing Montpetit 2007; p.198 in the context of the advocacy coalitions fram</w:t>
      </w:r>
      <w:r w:rsidR="00D973A5" w:rsidRPr="008A0D67">
        <w:rPr>
          <w:rFonts w:ascii="Times New Roman" w:hAnsi="Times New Roman" w:cs="Times New Roman"/>
        </w:rPr>
        <w:t>ework);</w:t>
      </w:r>
      <w:r w:rsidRPr="008A0D67">
        <w:rPr>
          <w:rFonts w:ascii="Times New Roman" w:hAnsi="Times New Roman" w:cs="Times New Roman"/>
        </w:rPr>
        <w:t xml:space="preserve"> learning as mechanism of </w:t>
      </w:r>
      <w:r w:rsidR="00D973A5" w:rsidRPr="008A0D67">
        <w:rPr>
          <w:rFonts w:ascii="Times New Roman" w:hAnsi="Times New Roman" w:cs="Times New Roman"/>
        </w:rPr>
        <w:t xml:space="preserve">policy </w:t>
      </w:r>
      <w:r w:rsidRPr="008A0D67">
        <w:rPr>
          <w:rFonts w:ascii="Times New Roman" w:hAnsi="Times New Roman" w:cs="Times New Roman"/>
        </w:rPr>
        <w:t>diffusion</w:t>
      </w:r>
      <w:r w:rsidR="00AB4BA6" w:rsidRPr="008A0D67">
        <w:rPr>
          <w:rFonts w:ascii="Times New Roman" w:hAnsi="Times New Roman" w:cs="Times New Roman"/>
        </w:rPr>
        <w:t xml:space="preserve"> (p.310-311, see Gilardi, 2010)</w:t>
      </w:r>
      <w:r w:rsidR="00D973A5" w:rsidRPr="008A0D67">
        <w:rPr>
          <w:rFonts w:ascii="Times New Roman" w:hAnsi="Times New Roman" w:cs="Times New Roman"/>
        </w:rPr>
        <w:t>;</w:t>
      </w:r>
      <w:r w:rsidRPr="008A0D67">
        <w:rPr>
          <w:rFonts w:ascii="Times New Roman" w:hAnsi="Times New Roman" w:cs="Times New Roman"/>
        </w:rPr>
        <w:t xml:space="preserve"> learning and policy capacity</w:t>
      </w:r>
      <w:r w:rsidR="00AB4BA6" w:rsidRPr="008A0D67">
        <w:rPr>
          <w:rFonts w:ascii="Times New Roman" w:hAnsi="Times New Roman" w:cs="Times New Roman"/>
        </w:rPr>
        <w:t xml:space="preserve"> (p.401, see Howlett, 2009)</w:t>
      </w:r>
      <w:r w:rsidR="00D973A5" w:rsidRPr="008A0D67">
        <w:rPr>
          <w:rFonts w:ascii="Times New Roman" w:hAnsi="Times New Roman" w:cs="Times New Roman"/>
        </w:rPr>
        <w:t>;</w:t>
      </w:r>
      <w:r w:rsidRPr="008A0D67">
        <w:rPr>
          <w:rFonts w:ascii="Times New Roman" w:hAnsi="Times New Roman" w:cs="Times New Roman"/>
        </w:rPr>
        <w:t xml:space="preserve"> and</w:t>
      </w:r>
      <w:r w:rsidR="00D973A5" w:rsidRPr="008A0D67">
        <w:rPr>
          <w:rFonts w:ascii="Times New Roman" w:hAnsi="Times New Roman" w:cs="Times New Roman"/>
        </w:rPr>
        <w:t>,</w:t>
      </w:r>
      <w:r w:rsidRPr="008A0D67">
        <w:rPr>
          <w:rFonts w:ascii="Times New Roman" w:hAnsi="Times New Roman" w:cs="Times New Roman"/>
        </w:rPr>
        <w:t xml:space="preserve"> learning as meso-theory adopted by the narrative policy framework (p.131, see Jones, Shanahan, and McBeth</w:t>
      </w:r>
      <w:r w:rsidR="00DC6786">
        <w:rPr>
          <w:rFonts w:ascii="Times New Roman" w:hAnsi="Times New Roman" w:cs="Times New Roman"/>
        </w:rPr>
        <w:t>,</w:t>
      </w:r>
      <w:r w:rsidRPr="008A0D67">
        <w:rPr>
          <w:rFonts w:ascii="Times New Roman" w:hAnsi="Times New Roman" w:cs="Times New Roman"/>
        </w:rPr>
        <w:t xml:space="preserve"> 2014).</w:t>
      </w:r>
    </w:p>
    <w:p w14:paraId="57B61DED" w14:textId="2E7F295E" w:rsidR="00AB4BA6" w:rsidRPr="008A0D67" w:rsidRDefault="00944E0F" w:rsidP="00944E0F">
      <w:pPr>
        <w:spacing w:after="160" w:line="360" w:lineRule="auto"/>
        <w:jc w:val="both"/>
        <w:rPr>
          <w:rFonts w:ascii="Times New Roman" w:hAnsi="Times New Roman" w:cs="Times New Roman"/>
        </w:rPr>
      </w:pPr>
      <w:r>
        <w:rPr>
          <w:rFonts w:ascii="Times New Roman" w:hAnsi="Times New Roman" w:cs="Times New Roman"/>
        </w:rPr>
        <w:t xml:space="preserve">We do not want to generalize from one book, although this particular one makes the claim to present the lenses on the policy process that have achieved the status of theories. Other books contain chapters on learning, for example </w:t>
      </w:r>
      <w:r w:rsidRPr="00D86553">
        <w:rPr>
          <w:rFonts w:ascii="Times New Roman" w:hAnsi="Times New Roman" w:cs="Times New Roman"/>
          <w:i/>
        </w:rPr>
        <w:t>The Oxford Handbook of Public Policy</w:t>
      </w:r>
      <w:r>
        <w:rPr>
          <w:rFonts w:ascii="Times New Roman" w:hAnsi="Times New Roman" w:cs="Times New Roman"/>
        </w:rPr>
        <w:t xml:space="preserve"> (chapter by Freeman, 2006) and </w:t>
      </w:r>
      <w:r w:rsidRPr="00D86553">
        <w:rPr>
          <w:rFonts w:ascii="Times New Roman" w:hAnsi="Times New Roman" w:cs="Times New Roman"/>
          <w:i/>
        </w:rPr>
        <w:t>The Handbook of Public Policy Analysis</w:t>
      </w:r>
      <w:r>
        <w:rPr>
          <w:rFonts w:ascii="Times New Roman" w:hAnsi="Times New Roman" w:cs="Times New Roman"/>
        </w:rPr>
        <w:t xml:space="preserve"> (chapter by Grin and Loeber, 2007). Yet</w:t>
      </w:r>
      <w:r w:rsidR="00973D0A">
        <w:rPr>
          <w:rFonts w:ascii="Times New Roman" w:hAnsi="Times New Roman" w:cs="Times New Roman"/>
        </w:rPr>
        <w:t>,</w:t>
      </w:r>
      <w:r>
        <w:rPr>
          <w:rFonts w:ascii="Times New Roman" w:hAnsi="Times New Roman" w:cs="Times New Roman"/>
        </w:rPr>
        <w:t xml:space="preserve"> when we go beyond references and empirical studies and look for the </w:t>
      </w:r>
      <w:r w:rsidR="001B72E8" w:rsidRPr="008A0D67">
        <w:rPr>
          <w:rFonts w:ascii="Times New Roman" w:hAnsi="Times New Roman" w:cs="Times New Roman"/>
        </w:rPr>
        <w:t>analytical foundations we do not fi</w:t>
      </w:r>
      <w:r w:rsidR="00AB4BA6" w:rsidRPr="008A0D67">
        <w:rPr>
          <w:rFonts w:ascii="Times New Roman" w:hAnsi="Times New Roman" w:cs="Times New Roman"/>
        </w:rPr>
        <w:t>nd a s</w:t>
      </w:r>
      <w:r w:rsidR="004738A7">
        <w:rPr>
          <w:rFonts w:ascii="Times New Roman" w:hAnsi="Times New Roman" w:cs="Times New Roman"/>
        </w:rPr>
        <w:t>ystematic field</w:t>
      </w:r>
      <w:r>
        <w:rPr>
          <w:rFonts w:ascii="Times New Roman" w:hAnsi="Times New Roman" w:cs="Times New Roman"/>
        </w:rPr>
        <w:t xml:space="preserve"> (</w:t>
      </w:r>
      <w:r w:rsidR="00973D0A">
        <w:rPr>
          <w:rFonts w:ascii="Times New Roman" w:hAnsi="Times New Roman" w:cs="Times New Roman"/>
        </w:rPr>
        <w:t>Dun</w:t>
      </w:r>
      <w:r w:rsidR="006E5108">
        <w:rPr>
          <w:rFonts w:ascii="Times New Roman" w:hAnsi="Times New Roman" w:cs="Times New Roman"/>
        </w:rPr>
        <w:t>lop and Radaelli, 2016</w:t>
      </w:r>
      <w:r>
        <w:rPr>
          <w:rFonts w:ascii="Times New Roman" w:hAnsi="Times New Roman" w:cs="Times New Roman"/>
        </w:rPr>
        <w:t>)</w:t>
      </w:r>
      <w:r w:rsidR="001B72E8" w:rsidRPr="008A0D67">
        <w:rPr>
          <w:rFonts w:ascii="Times New Roman" w:hAnsi="Times New Roman" w:cs="Times New Roman"/>
        </w:rPr>
        <w:t xml:space="preserve">. Consider these </w:t>
      </w:r>
      <w:r w:rsidR="007A542B">
        <w:rPr>
          <w:rFonts w:ascii="Times New Roman" w:hAnsi="Times New Roman" w:cs="Times New Roman"/>
        </w:rPr>
        <w:t>questions.</w:t>
      </w:r>
      <w:r w:rsidR="00B2185A" w:rsidRPr="008A0D67">
        <w:rPr>
          <w:rFonts w:ascii="Times New Roman" w:hAnsi="Times New Roman" w:cs="Times New Roman"/>
        </w:rPr>
        <w:t xml:space="preserve"> Why would w</w:t>
      </w:r>
      <w:r w:rsidR="00BD6E4D" w:rsidRPr="008A0D67">
        <w:rPr>
          <w:rFonts w:ascii="Times New Roman" w:hAnsi="Times New Roman" w:cs="Times New Roman"/>
        </w:rPr>
        <w:t>e expect an orga</w:t>
      </w:r>
      <w:r w:rsidR="00955744" w:rsidRPr="008A0D67">
        <w:rPr>
          <w:rFonts w:ascii="Times New Roman" w:hAnsi="Times New Roman" w:cs="Times New Roman"/>
        </w:rPr>
        <w:t>nization or individual to learn? O</w:t>
      </w:r>
      <w:r w:rsidR="00BD6E4D" w:rsidRPr="008A0D67">
        <w:rPr>
          <w:rFonts w:ascii="Times New Roman" w:hAnsi="Times New Roman" w:cs="Times New Roman"/>
        </w:rPr>
        <w:t>n the basis of what model of the individual</w:t>
      </w:r>
      <w:r w:rsidR="00955744" w:rsidRPr="008A0D67">
        <w:rPr>
          <w:rFonts w:ascii="Times New Roman" w:hAnsi="Times New Roman" w:cs="Times New Roman"/>
        </w:rPr>
        <w:t xml:space="preserve"> actor</w:t>
      </w:r>
      <w:r w:rsidR="007A542B">
        <w:rPr>
          <w:rFonts w:ascii="Times New Roman" w:hAnsi="Times New Roman" w:cs="Times New Roman"/>
        </w:rPr>
        <w:t>,</w:t>
      </w:r>
      <w:r w:rsidR="00955744" w:rsidRPr="008A0D67">
        <w:rPr>
          <w:rFonts w:ascii="Times New Roman" w:hAnsi="Times New Roman" w:cs="Times New Roman"/>
        </w:rPr>
        <w:t xml:space="preserve"> can we theorize learning? W</w:t>
      </w:r>
      <w:r w:rsidR="00BD6E4D" w:rsidRPr="008A0D67">
        <w:rPr>
          <w:rFonts w:ascii="Times New Roman" w:hAnsi="Times New Roman" w:cs="Times New Roman"/>
        </w:rPr>
        <w:t>hy should the process of</w:t>
      </w:r>
      <w:r w:rsidR="00955744" w:rsidRPr="008A0D67">
        <w:rPr>
          <w:rFonts w:ascii="Times New Roman" w:hAnsi="Times New Roman" w:cs="Times New Roman"/>
        </w:rPr>
        <w:t xml:space="preserve"> learning lead to policy</w:t>
      </w:r>
      <w:r w:rsidR="00B2185A" w:rsidRPr="008A0D67">
        <w:rPr>
          <w:rFonts w:ascii="Times New Roman" w:hAnsi="Times New Roman" w:cs="Times New Roman"/>
        </w:rPr>
        <w:t xml:space="preserve"> change</w:t>
      </w:r>
      <w:r w:rsidR="00955744" w:rsidRPr="008A0D67">
        <w:rPr>
          <w:rFonts w:ascii="Times New Roman" w:hAnsi="Times New Roman" w:cs="Times New Roman"/>
        </w:rPr>
        <w:t>? A</w:t>
      </w:r>
      <w:r w:rsidR="00BD6E4D" w:rsidRPr="008A0D67">
        <w:rPr>
          <w:rFonts w:ascii="Times New Roman" w:hAnsi="Times New Roman" w:cs="Times New Roman"/>
        </w:rPr>
        <w:t>nd</w:t>
      </w:r>
      <w:r w:rsidR="00955744" w:rsidRPr="008A0D67">
        <w:rPr>
          <w:rFonts w:ascii="Times New Roman" w:hAnsi="Times New Roman" w:cs="Times New Roman"/>
        </w:rPr>
        <w:t>,</w:t>
      </w:r>
      <w:r w:rsidR="00BD6E4D" w:rsidRPr="008A0D67">
        <w:rPr>
          <w:rFonts w:ascii="Times New Roman" w:hAnsi="Times New Roman" w:cs="Times New Roman"/>
        </w:rPr>
        <w:t xml:space="preserve"> what are t</w:t>
      </w:r>
      <w:r w:rsidR="00B74A78" w:rsidRPr="008A0D67">
        <w:rPr>
          <w:rFonts w:ascii="Times New Roman" w:hAnsi="Times New Roman" w:cs="Times New Roman"/>
        </w:rPr>
        <w:t xml:space="preserve">he effects of learning? </w:t>
      </w:r>
      <w:r w:rsidR="004738A7">
        <w:rPr>
          <w:rFonts w:ascii="Times New Roman" w:hAnsi="Times New Roman" w:cs="Times New Roman"/>
        </w:rPr>
        <w:t>Concepts and findings</w:t>
      </w:r>
      <w:r w:rsidR="00BD6E4D" w:rsidRPr="008A0D67">
        <w:rPr>
          <w:rFonts w:ascii="Times New Roman" w:hAnsi="Times New Roman" w:cs="Times New Roman"/>
        </w:rPr>
        <w:t xml:space="preserve"> are not systematic, and often</w:t>
      </w:r>
      <w:r w:rsidR="004738A7">
        <w:rPr>
          <w:rFonts w:ascii="Times New Roman" w:hAnsi="Times New Roman" w:cs="Times New Roman"/>
        </w:rPr>
        <w:t xml:space="preserve"> the studies on policy learning</w:t>
      </w:r>
      <w:r w:rsidR="00BD6E4D" w:rsidRPr="008A0D67">
        <w:rPr>
          <w:rFonts w:ascii="Times New Roman" w:hAnsi="Times New Roman" w:cs="Times New Roman"/>
        </w:rPr>
        <w:t xml:space="preserve"> skirt around these </w:t>
      </w:r>
      <w:r w:rsidR="003E213B" w:rsidRPr="008A0D67">
        <w:rPr>
          <w:rFonts w:ascii="Times New Roman" w:hAnsi="Times New Roman" w:cs="Times New Roman"/>
        </w:rPr>
        <w:t>questions</w:t>
      </w:r>
      <w:r w:rsidR="0040024E">
        <w:rPr>
          <w:rFonts w:ascii="Times New Roman" w:hAnsi="Times New Roman" w:cs="Times New Roman"/>
        </w:rPr>
        <w:t>. T</w:t>
      </w:r>
      <w:r w:rsidR="00BD6E4D" w:rsidRPr="008A0D67">
        <w:rPr>
          <w:rFonts w:ascii="Times New Roman" w:hAnsi="Times New Roman" w:cs="Times New Roman"/>
        </w:rPr>
        <w:t>hey document learning, but without building on the same understanding of where learning takes place, at what level and with what effects. Thus</w:t>
      </w:r>
      <w:r w:rsidR="00955744" w:rsidRPr="008A0D67">
        <w:rPr>
          <w:rFonts w:ascii="Times New Roman" w:hAnsi="Times New Roman" w:cs="Times New Roman"/>
        </w:rPr>
        <w:t>,</w:t>
      </w:r>
      <w:r w:rsidR="001B72E8" w:rsidRPr="008A0D67">
        <w:rPr>
          <w:rFonts w:ascii="Times New Roman" w:hAnsi="Times New Roman" w:cs="Times New Roman"/>
        </w:rPr>
        <w:t xml:space="preserve"> the aim</w:t>
      </w:r>
      <w:r w:rsidR="00BD6E4D" w:rsidRPr="008A0D67">
        <w:rPr>
          <w:rFonts w:ascii="Times New Roman" w:hAnsi="Times New Roman" w:cs="Times New Roman"/>
        </w:rPr>
        <w:t xml:space="preserve"> in this </w:t>
      </w:r>
      <w:r w:rsidR="00723347">
        <w:rPr>
          <w:rFonts w:ascii="Times New Roman" w:hAnsi="Times New Roman" w:cs="Times New Roman"/>
        </w:rPr>
        <w:t>article</w:t>
      </w:r>
      <w:r w:rsidR="00BD6E4D" w:rsidRPr="008A0D67">
        <w:rPr>
          <w:rFonts w:ascii="Times New Roman" w:hAnsi="Times New Roman" w:cs="Times New Roman"/>
        </w:rPr>
        <w:t xml:space="preserve"> is to provide some sort o</w:t>
      </w:r>
      <w:r w:rsidR="001B72E8" w:rsidRPr="008A0D67">
        <w:rPr>
          <w:rFonts w:ascii="Times New Roman" w:hAnsi="Times New Roman" w:cs="Times New Roman"/>
        </w:rPr>
        <w:t>f conceptual</w:t>
      </w:r>
      <w:r w:rsidR="00A46C5D" w:rsidRPr="008A0D67">
        <w:rPr>
          <w:rFonts w:ascii="Times New Roman" w:hAnsi="Times New Roman" w:cs="Times New Roman"/>
        </w:rPr>
        <w:t xml:space="preserve"> architecture</w:t>
      </w:r>
      <w:r w:rsidR="00BD6E4D" w:rsidRPr="008A0D67">
        <w:rPr>
          <w:rFonts w:ascii="Times New Roman" w:hAnsi="Times New Roman" w:cs="Times New Roman"/>
        </w:rPr>
        <w:t>, and in this way to facilitate the cumulative progress in the field.</w:t>
      </w:r>
    </w:p>
    <w:p w14:paraId="5453BA50" w14:textId="42C21152" w:rsidR="004F3B04" w:rsidRDefault="00AB4BA6" w:rsidP="00FA67AD">
      <w:pPr>
        <w:spacing w:after="160" w:line="360" w:lineRule="auto"/>
        <w:jc w:val="both"/>
        <w:rPr>
          <w:rFonts w:ascii="Times New Roman" w:hAnsi="Times New Roman" w:cs="Times New Roman"/>
        </w:rPr>
      </w:pPr>
      <w:r w:rsidRPr="008A0D67">
        <w:rPr>
          <w:rFonts w:ascii="Times New Roman" w:hAnsi="Times New Roman" w:cs="Times New Roman"/>
        </w:rPr>
        <w:t>Speaking of concepts, we do have of course a strand of research on concept formation,</w:t>
      </w:r>
      <w:r w:rsidR="00BD6E4D" w:rsidRPr="008A0D67">
        <w:rPr>
          <w:rFonts w:ascii="Times New Roman" w:hAnsi="Times New Roman" w:cs="Times New Roman"/>
        </w:rPr>
        <w:t xml:space="preserve"> mostly concerne</w:t>
      </w:r>
      <w:r w:rsidR="00845688" w:rsidRPr="008A0D67">
        <w:rPr>
          <w:rFonts w:ascii="Times New Roman" w:hAnsi="Times New Roman" w:cs="Times New Roman"/>
        </w:rPr>
        <w:t>d with the types of learning,</w:t>
      </w:r>
      <w:r w:rsidR="00BD6E4D" w:rsidRPr="008A0D67">
        <w:rPr>
          <w:rFonts w:ascii="Times New Roman" w:hAnsi="Times New Roman" w:cs="Times New Roman"/>
        </w:rPr>
        <w:t xml:space="preserve"> the difference between </w:t>
      </w:r>
      <w:r w:rsidR="00845688" w:rsidRPr="008A0D67">
        <w:rPr>
          <w:rFonts w:ascii="Times New Roman" w:hAnsi="Times New Roman" w:cs="Times New Roman"/>
        </w:rPr>
        <w:t>individual and collective learning and the relationship between the process of learning and the products of learning (</w:t>
      </w:r>
      <w:r w:rsidR="00AC52B4">
        <w:rPr>
          <w:rFonts w:ascii="Times New Roman" w:hAnsi="Times New Roman" w:cs="Times New Roman"/>
        </w:rPr>
        <w:t>Benne</w:t>
      </w:r>
      <w:r w:rsidR="0054406A">
        <w:rPr>
          <w:rFonts w:ascii="Times New Roman" w:hAnsi="Times New Roman" w:cs="Times New Roman"/>
        </w:rPr>
        <w:t>t</w:t>
      </w:r>
      <w:r w:rsidR="00AC52B4">
        <w:rPr>
          <w:rFonts w:ascii="Times New Roman" w:hAnsi="Times New Roman" w:cs="Times New Roman"/>
        </w:rPr>
        <w:t xml:space="preserve">t and Howlett, 1992; </w:t>
      </w:r>
      <w:r w:rsidR="00D01B2E" w:rsidRPr="008A0D67">
        <w:rPr>
          <w:rFonts w:ascii="Times New Roman" w:hAnsi="Times New Roman" w:cs="Times New Roman"/>
        </w:rPr>
        <w:t>Dunlop and Radaelli, 2013</w:t>
      </w:r>
      <w:r w:rsidR="00955744" w:rsidRPr="008A0D67">
        <w:rPr>
          <w:rFonts w:ascii="Times New Roman" w:hAnsi="Times New Roman" w:cs="Times New Roman"/>
        </w:rPr>
        <w:t xml:space="preserve">; </w:t>
      </w:r>
      <w:r w:rsidR="00FF2E32">
        <w:rPr>
          <w:rFonts w:ascii="Times New Roman" w:hAnsi="Times New Roman" w:cs="Times New Roman"/>
        </w:rPr>
        <w:t xml:space="preserve">Grin and Loeber, 2007; </w:t>
      </w:r>
      <w:r w:rsidR="001A078E">
        <w:rPr>
          <w:rFonts w:ascii="Times New Roman" w:hAnsi="Times New Roman" w:cs="Times New Roman"/>
        </w:rPr>
        <w:t>Hall, 199</w:t>
      </w:r>
      <w:r w:rsidR="00AC52B4">
        <w:rPr>
          <w:rFonts w:ascii="Times New Roman" w:hAnsi="Times New Roman" w:cs="Times New Roman"/>
        </w:rPr>
        <w:t xml:space="preserve">3; </w:t>
      </w:r>
      <w:r w:rsidR="00845688" w:rsidRPr="008A0D67">
        <w:rPr>
          <w:rFonts w:ascii="Times New Roman" w:hAnsi="Times New Roman" w:cs="Times New Roman"/>
        </w:rPr>
        <w:t>Heikkila and Gerlak, 2013</w:t>
      </w:r>
      <w:r w:rsidR="00955744" w:rsidRPr="008A0D67">
        <w:rPr>
          <w:rFonts w:ascii="Times New Roman" w:hAnsi="Times New Roman" w:cs="Times New Roman"/>
        </w:rPr>
        <w:t>; May, 1992</w:t>
      </w:r>
      <w:r w:rsidR="00B74A78" w:rsidRPr="008A0D67">
        <w:rPr>
          <w:rFonts w:ascii="Times New Roman" w:hAnsi="Times New Roman" w:cs="Times New Roman"/>
        </w:rPr>
        <w:t>). These conceptual efforts provide</w:t>
      </w:r>
      <w:r w:rsidR="00845688" w:rsidRPr="008A0D67">
        <w:rPr>
          <w:rFonts w:ascii="Times New Roman" w:hAnsi="Times New Roman" w:cs="Times New Roman"/>
        </w:rPr>
        <w:t xml:space="preserve"> the s</w:t>
      </w:r>
      <w:r w:rsidRPr="008A0D67">
        <w:rPr>
          <w:rFonts w:ascii="Times New Roman" w:hAnsi="Times New Roman" w:cs="Times New Roman"/>
        </w:rPr>
        <w:t xml:space="preserve">tepping stones for building the architecture we </w:t>
      </w:r>
      <w:r w:rsidR="00343FCF" w:rsidRPr="008A0D67">
        <w:rPr>
          <w:rFonts w:ascii="Times New Roman" w:hAnsi="Times New Roman" w:cs="Times New Roman"/>
        </w:rPr>
        <w:t>seek</w:t>
      </w:r>
      <w:r w:rsidR="00845688" w:rsidRPr="008A0D67">
        <w:rPr>
          <w:rFonts w:ascii="Times New Roman" w:hAnsi="Times New Roman" w:cs="Times New Roman"/>
        </w:rPr>
        <w:t xml:space="preserve">. </w:t>
      </w:r>
      <w:r w:rsidR="00A352A0">
        <w:rPr>
          <w:rFonts w:ascii="Times New Roman" w:hAnsi="Times New Roman" w:cs="Times New Roman"/>
        </w:rPr>
        <w:t>The reader should use these references for the definitions of learning in public policy, plus Freeman (20</w:t>
      </w:r>
      <w:r w:rsidR="00C771B1">
        <w:rPr>
          <w:rFonts w:ascii="Times New Roman" w:hAnsi="Times New Roman" w:cs="Times New Roman"/>
        </w:rPr>
        <w:t>0</w:t>
      </w:r>
      <w:r w:rsidR="00A352A0">
        <w:rPr>
          <w:rFonts w:ascii="Times New Roman" w:hAnsi="Times New Roman" w:cs="Times New Roman"/>
        </w:rPr>
        <w:t>6:</w:t>
      </w:r>
      <w:r w:rsidR="00662019">
        <w:rPr>
          <w:rFonts w:ascii="Times New Roman" w:hAnsi="Times New Roman" w:cs="Times New Roman"/>
        </w:rPr>
        <w:t xml:space="preserve"> </w:t>
      </w:r>
      <w:r w:rsidR="00A352A0">
        <w:rPr>
          <w:rFonts w:ascii="Times New Roman" w:hAnsi="Times New Roman" w:cs="Times New Roman"/>
        </w:rPr>
        <w:t xml:space="preserve">369) on </w:t>
      </w:r>
      <w:r w:rsidR="00662019">
        <w:rPr>
          <w:rFonts w:ascii="Times New Roman" w:hAnsi="Times New Roman" w:cs="Times New Roman"/>
        </w:rPr>
        <w:t>‘</w:t>
      </w:r>
      <w:r w:rsidR="00A352A0">
        <w:rPr>
          <w:rFonts w:ascii="Times New Roman" w:hAnsi="Times New Roman" w:cs="Times New Roman"/>
        </w:rPr>
        <w:t>the essential issues that any account of learning must address</w:t>
      </w:r>
      <w:r w:rsidR="00662019">
        <w:rPr>
          <w:rFonts w:ascii="Times New Roman" w:hAnsi="Times New Roman" w:cs="Times New Roman"/>
        </w:rPr>
        <w:t>’</w:t>
      </w:r>
      <w:r w:rsidR="00A352A0">
        <w:rPr>
          <w:rFonts w:ascii="Times New Roman" w:hAnsi="Times New Roman" w:cs="Times New Roman"/>
        </w:rPr>
        <w:t xml:space="preserve">. </w:t>
      </w:r>
      <w:r w:rsidR="004F3B04">
        <w:rPr>
          <w:rFonts w:ascii="Times New Roman" w:hAnsi="Times New Roman" w:cs="Times New Roman"/>
        </w:rPr>
        <w:t>But</w:t>
      </w:r>
      <w:r w:rsidR="00492CB4">
        <w:rPr>
          <w:rFonts w:ascii="Times New Roman" w:hAnsi="Times New Roman" w:cs="Times New Roman"/>
        </w:rPr>
        <w:t>,</w:t>
      </w:r>
      <w:r w:rsidR="004F3B04">
        <w:rPr>
          <w:rFonts w:ascii="Times New Roman" w:hAnsi="Times New Roman" w:cs="Times New Roman"/>
        </w:rPr>
        <w:t xml:space="preserve"> let us mention two important points.</w:t>
      </w:r>
    </w:p>
    <w:p w14:paraId="6B0F70B7" w14:textId="7D325DF5" w:rsidR="00FA67AD" w:rsidRDefault="0086494E" w:rsidP="00FA67AD">
      <w:pPr>
        <w:spacing w:after="160" w:line="360" w:lineRule="auto"/>
        <w:jc w:val="both"/>
        <w:rPr>
          <w:rFonts w:ascii="Times New Roman" w:hAnsi="Times New Roman" w:cs="Times New Roman"/>
        </w:rPr>
      </w:pPr>
      <w:r>
        <w:rPr>
          <w:rFonts w:ascii="Times New Roman" w:hAnsi="Times New Roman" w:cs="Times New Roman"/>
        </w:rPr>
        <w:lastRenderedPageBreak/>
        <w:t>So</w:t>
      </w:r>
      <w:r w:rsidR="00A352A0">
        <w:rPr>
          <w:rFonts w:ascii="Times New Roman" w:hAnsi="Times New Roman" w:cs="Times New Roman"/>
        </w:rPr>
        <w:t xml:space="preserve"> far theorists of learning have done a good job in two directions. First, they have classified learning in types –</w:t>
      </w:r>
      <w:r w:rsidR="00D96CC9">
        <w:rPr>
          <w:rFonts w:ascii="Times New Roman" w:hAnsi="Times New Roman" w:cs="Times New Roman"/>
        </w:rPr>
        <w:t xml:space="preserve"> </w:t>
      </w:r>
      <w:r w:rsidR="00A352A0">
        <w:rPr>
          <w:rFonts w:ascii="Times New Roman" w:hAnsi="Times New Roman" w:cs="Times New Roman"/>
        </w:rPr>
        <w:t xml:space="preserve">this adds to the precision of the concepts deployed in empirical research. Second, they have distinguished </w:t>
      </w:r>
      <w:r w:rsidR="0070033B">
        <w:rPr>
          <w:rFonts w:ascii="Times New Roman" w:hAnsi="Times New Roman" w:cs="Times New Roman"/>
        </w:rPr>
        <w:t>‘</w:t>
      </w:r>
      <w:r w:rsidR="00A352A0">
        <w:rPr>
          <w:rFonts w:ascii="Times New Roman" w:hAnsi="Times New Roman" w:cs="Times New Roman"/>
        </w:rPr>
        <w:t>different ways of thinking about learning</w:t>
      </w:r>
      <w:r w:rsidR="0070033B">
        <w:rPr>
          <w:rFonts w:ascii="Times New Roman" w:hAnsi="Times New Roman" w:cs="Times New Roman"/>
        </w:rPr>
        <w:t>’</w:t>
      </w:r>
      <w:r w:rsidR="00A352A0">
        <w:rPr>
          <w:rFonts w:ascii="Times New Roman" w:hAnsi="Times New Roman" w:cs="Times New Roman"/>
        </w:rPr>
        <w:t xml:space="preserve"> (Freeman, 2006:</w:t>
      </w:r>
      <w:r w:rsidR="0070033B">
        <w:rPr>
          <w:rFonts w:ascii="Times New Roman" w:hAnsi="Times New Roman" w:cs="Times New Roman"/>
        </w:rPr>
        <w:t xml:space="preserve"> </w:t>
      </w:r>
      <w:r w:rsidR="00A352A0">
        <w:rPr>
          <w:rFonts w:ascii="Times New Roman" w:hAnsi="Times New Roman" w:cs="Times New Roman"/>
        </w:rPr>
        <w:t>369), often using ontology as dividing line. Thus, we have the organic, mechanistic, positivist ontology of learning versus the interpretivist and social constructivist ontology (Grin and Loeber, 2007). To be aware of a concept and its ontological presuppositions is fundamental. But it is not enough.</w:t>
      </w:r>
      <w:r w:rsidR="001B6894">
        <w:rPr>
          <w:rFonts w:ascii="Times New Roman" w:hAnsi="Times New Roman" w:cs="Times New Roman"/>
        </w:rPr>
        <w:t xml:space="preserve"> To go forward, we</w:t>
      </w:r>
      <w:r w:rsidR="00B40B70">
        <w:rPr>
          <w:rFonts w:ascii="Times New Roman" w:hAnsi="Times New Roman" w:cs="Times New Roman"/>
        </w:rPr>
        <w:t xml:space="preserve"> offer a multi</w:t>
      </w:r>
      <w:r w:rsidR="001B6894" w:rsidRPr="007F5E82">
        <w:rPr>
          <w:rFonts w:ascii="Times New Roman" w:hAnsi="Times New Roman" w:cs="Times New Roman"/>
        </w:rPr>
        <w:t>-dimensional approach to explore the relationships between individual learning, lear</w:t>
      </w:r>
      <w:r w:rsidR="00D46DFB">
        <w:rPr>
          <w:rFonts w:ascii="Times New Roman" w:hAnsi="Times New Roman" w:cs="Times New Roman"/>
        </w:rPr>
        <w:t>ning in groups</w:t>
      </w:r>
      <w:r w:rsidR="001B6894" w:rsidRPr="007F5E82">
        <w:rPr>
          <w:rFonts w:ascii="Times New Roman" w:hAnsi="Times New Roman" w:cs="Times New Roman"/>
        </w:rPr>
        <w:t>, and the macro-dimension. Our contribution is in terms of mapping some (although not all) lively debate</w:t>
      </w:r>
      <w:r w:rsidR="00B40B70">
        <w:rPr>
          <w:rFonts w:ascii="Times New Roman" w:hAnsi="Times New Roman" w:cs="Times New Roman"/>
        </w:rPr>
        <w:t>s in the field on a multi</w:t>
      </w:r>
      <w:r w:rsidR="001B6894" w:rsidRPr="007F5E82">
        <w:rPr>
          <w:rFonts w:ascii="Times New Roman" w:hAnsi="Times New Roman" w:cs="Times New Roman"/>
        </w:rPr>
        <w:t xml:space="preserve">-dimensional space and to explore the logic of causality from micro to macro. To achieve our two aims, we draw on </w:t>
      </w:r>
      <w:r w:rsidR="001B6894" w:rsidRPr="001A078E">
        <w:rPr>
          <w:rFonts w:ascii="Times New Roman" w:hAnsi="Times New Roman" w:cs="Times New Roman"/>
        </w:rPr>
        <w:t xml:space="preserve">Coleman’s </w:t>
      </w:r>
      <w:r w:rsidR="00D96CC9">
        <w:rPr>
          <w:rFonts w:ascii="Times New Roman" w:hAnsi="Times New Roman" w:cs="Times New Roman"/>
        </w:rPr>
        <w:t>‘</w:t>
      </w:r>
      <w:r w:rsidR="001B6894" w:rsidRPr="001A078E">
        <w:rPr>
          <w:rFonts w:ascii="Times New Roman" w:hAnsi="Times New Roman" w:cs="Times New Roman"/>
        </w:rPr>
        <w:t>bath-tub</w:t>
      </w:r>
      <w:r w:rsidR="00D96CC9">
        <w:rPr>
          <w:rFonts w:ascii="Times New Roman" w:hAnsi="Times New Roman" w:cs="Times New Roman"/>
        </w:rPr>
        <w:t>’</w:t>
      </w:r>
      <w:r w:rsidR="00D01B2E" w:rsidRPr="008A0D67">
        <w:rPr>
          <w:rFonts w:ascii="Times New Roman" w:hAnsi="Times New Roman" w:cs="Times New Roman"/>
        </w:rPr>
        <w:t xml:space="preserve"> (1986, 1990)</w:t>
      </w:r>
      <w:r w:rsidR="00115EDC" w:rsidRPr="008A0D67">
        <w:rPr>
          <w:rFonts w:ascii="Times New Roman" w:hAnsi="Times New Roman" w:cs="Times New Roman"/>
        </w:rPr>
        <w:t>.</w:t>
      </w:r>
    </w:p>
    <w:p w14:paraId="2E177A80" w14:textId="3DF5329C" w:rsidR="00A306C8" w:rsidRDefault="00FA67AD" w:rsidP="00FA67AD">
      <w:pPr>
        <w:spacing w:after="160" w:line="360" w:lineRule="auto"/>
        <w:jc w:val="both"/>
        <w:rPr>
          <w:rFonts w:ascii="Times New Roman" w:hAnsi="Times New Roman" w:cs="Times New Roman"/>
        </w:rPr>
      </w:pPr>
      <w:r>
        <w:rPr>
          <w:rFonts w:ascii="Times New Roman" w:hAnsi="Times New Roman" w:cs="Times New Roman"/>
        </w:rPr>
        <w:t>We</w:t>
      </w:r>
      <w:r w:rsidR="00A306C8">
        <w:rPr>
          <w:rFonts w:ascii="Times New Roman" w:hAnsi="Times New Roman" w:cs="Times New Roman"/>
        </w:rPr>
        <w:t xml:space="preserve"> start with an outline of Coleman’s bath-tub model and explication of how the bulk of policy learning research relates to it. Specifically, we show the inadequacy of the classic policy analysis literature that treats learning and policy change as associated at the macro level where the actual processes that underpin the relationship remain obscure. The three sections that follow address each of the main bath-tub components. First, the macro to micro level examines the </w:t>
      </w:r>
      <w:r w:rsidR="00A306C8" w:rsidRPr="00881EEB">
        <w:rPr>
          <w:rFonts w:ascii="Times New Roman" w:hAnsi="Times New Roman"/>
          <w:i/>
        </w:rPr>
        <w:t>micro-foundations</w:t>
      </w:r>
      <w:r w:rsidR="00A306C8">
        <w:rPr>
          <w:rFonts w:ascii="Times New Roman" w:hAnsi="Times New Roman" w:cs="Times New Roman"/>
        </w:rPr>
        <w:t xml:space="preserve"> of human action and policy learning. Drawing on political and behavioural sciences we demonstrate the importance of heuristics, emotions and surprises for policy learning. Next</w:t>
      </w:r>
      <w:r w:rsidR="00EC0FB1">
        <w:rPr>
          <w:rFonts w:ascii="Times New Roman" w:hAnsi="Times New Roman" w:cs="Times New Roman"/>
        </w:rPr>
        <w:t>,</w:t>
      </w:r>
      <w:r w:rsidR="00A306C8">
        <w:rPr>
          <w:rFonts w:ascii="Times New Roman" w:hAnsi="Times New Roman" w:cs="Times New Roman"/>
        </w:rPr>
        <w:t xml:space="preserve"> we move to how individuals relate when in group settings. Studies examining this </w:t>
      </w:r>
      <w:r w:rsidR="00A306C8" w:rsidRPr="00881EEB">
        <w:rPr>
          <w:rFonts w:ascii="Times New Roman" w:hAnsi="Times New Roman"/>
          <w:i/>
        </w:rPr>
        <w:t>micro to micro</w:t>
      </w:r>
      <w:r w:rsidR="00A306C8">
        <w:rPr>
          <w:rFonts w:ascii="Times New Roman" w:hAnsi="Times New Roman" w:cs="Times New Roman"/>
        </w:rPr>
        <w:t xml:space="preserve"> setting uncover the disruptive potential of learning, the importance of </w:t>
      </w:r>
      <w:r w:rsidR="003033C3">
        <w:rPr>
          <w:rFonts w:ascii="Times New Roman" w:hAnsi="Times New Roman" w:cs="Times New Roman"/>
        </w:rPr>
        <w:t xml:space="preserve">individuals </w:t>
      </w:r>
      <w:r w:rsidR="00A306C8">
        <w:rPr>
          <w:rFonts w:ascii="Times New Roman" w:hAnsi="Times New Roman" w:cs="Times New Roman"/>
        </w:rPr>
        <w:t xml:space="preserve">in sense-making and the socialization mechanisms that often determine what lessons are adopted or disregarded. Finally, we move to the analytical region of </w:t>
      </w:r>
      <w:r w:rsidR="00A306C8" w:rsidRPr="00881EEB">
        <w:rPr>
          <w:rFonts w:ascii="Times New Roman" w:hAnsi="Times New Roman"/>
          <w:i/>
        </w:rPr>
        <w:t>aggregation</w:t>
      </w:r>
      <w:r w:rsidR="00A306C8">
        <w:rPr>
          <w:rFonts w:ascii="Times New Roman" w:hAnsi="Times New Roman" w:cs="Times New Roman"/>
        </w:rPr>
        <w:t xml:space="preserve"> – from micro interactions to macro settings. Institutional analyses, studies emphasizing the framing effects of organizations and cultural identity and memories all demonstrate learning at the social level cannot simply be ‘read-off’ </w:t>
      </w:r>
      <w:r w:rsidR="00A306C8" w:rsidRPr="007C04E3">
        <w:rPr>
          <w:rFonts w:ascii="Times New Roman" w:hAnsi="Times New Roman" w:cs="Times New Roman"/>
        </w:rPr>
        <w:t xml:space="preserve">organizations and institutions with their own processes of learning. </w:t>
      </w:r>
      <w:r w:rsidR="00A306C8">
        <w:rPr>
          <w:rFonts w:ascii="Times New Roman" w:hAnsi="Times New Roman" w:cs="Times New Roman"/>
        </w:rPr>
        <w:t xml:space="preserve">With conclude with reflections on the utility of the analysis and the methodological implications </w:t>
      </w:r>
      <w:r w:rsidR="00A306C8" w:rsidRPr="008A0D67">
        <w:rPr>
          <w:rFonts w:ascii="Times New Roman" w:hAnsi="Times New Roman" w:cs="Times New Roman"/>
        </w:rPr>
        <w:t xml:space="preserve">of </w:t>
      </w:r>
      <w:r w:rsidR="00A306C8">
        <w:rPr>
          <w:rFonts w:ascii="Times New Roman" w:hAnsi="Times New Roman" w:cs="Times New Roman"/>
        </w:rPr>
        <w:t xml:space="preserve">the </w:t>
      </w:r>
      <w:r w:rsidR="00A306C8" w:rsidRPr="008A0D67">
        <w:rPr>
          <w:rFonts w:ascii="Times New Roman" w:hAnsi="Times New Roman" w:cs="Times New Roman"/>
        </w:rPr>
        <w:t xml:space="preserve">different </w:t>
      </w:r>
      <w:r w:rsidR="00A306C8">
        <w:rPr>
          <w:rFonts w:ascii="Times New Roman" w:hAnsi="Times New Roman" w:cs="Times New Roman"/>
        </w:rPr>
        <w:t>analytical dimension of the bath-tub.</w:t>
      </w:r>
      <w:r w:rsidR="00FF2E32">
        <w:rPr>
          <w:rFonts w:ascii="Times New Roman" w:hAnsi="Times New Roman" w:cs="Times New Roman"/>
        </w:rPr>
        <w:t xml:space="preserve"> Note that, although we shed light on the different dimensions of the causal relationship, our word budget is such that we cannot explain how learning at one level influences learning at another level – see Witting and Moyson (2015) for this type of analysis.</w:t>
      </w:r>
    </w:p>
    <w:p w14:paraId="02698F9C" w14:textId="274E381A" w:rsidR="00A306C8" w:rsidRDefault="00A306C8" w:rsidP="00B74A78">
      <w:pPr>
        <w:spacing w:after="160" w:line="360" w:lineRule="auto"/>
        <w:jc w:val="both"/>
        <w:rPr>
          <w:rFonts w:ascii="Times New Roman" w:hAnsi="Times New Roman" w:cs="Times New Roman"/>
        </w:rPr>
      </w:pPr>
      <w:r>
        <w:rPr>
          <w:rFonts w:ascii="Times New Roman" w:hAnsi="Times New Roman" w:cs="Times New Roman"/>
        </w:rPr>
        <w:t>Be</w:t>
      </w:r>
      <w:r w:rsidR="00FF2E32">
        <w:rPr>
          <w:rFonts w:ascii="Times New Roman" w:hAnsi="Times New Roman" w:cs="Times New Roman"/>
        </w:rPr>
        <w:t>fore we start, let us answer an important</w:t>
      </w:r>
      <w:r>
        <w:rPr>
          <w:rFonts w:ascii="Times New Roman" w:hAnsi="Times New Roman" w:cs="Times New Roman"/>
        </w:rPr>
        <w:t xml:space="preserve"> question</w:t>
      </w:r>
      <w:r w:rsidR="0074788E">
        <w:rPr>
          <w:rFonts w:ascii="Times New Roman" w:hAnsi="Times New Roman" w:cs="Times New Roman"/>
        </w:rPr>
        <w:t xml:space="preserve"> raised by a reviewer of this article</w:t>
      </w:r>
      <w:r>
        <w:rPr>
          <w:rFonts w:ascii="Times New Roman" w:hAnsi="Times New Roman" w:cs="Times New Roman"/>
        </w:rPr>
        <w:t xml:space="preserve">: what is ontologically implied by the bath-tub? Are </w:t>
      </w:r>
      <w:r w:rsidR="00CA63E0">
        <w:rPr>
          <w:rFonts w:ascii="Times New Roman" w:hAnsi="Times New Roman" w:cs="Times New Roman"/>
        </w:rPr>
        <w:t>you, our reader, buying into something when you see</w:t>
      </w:r>
      <w:r>
        <w:rPr>
          <w:rFonts w:ascii="Times New Roman" w:hAnsi="Times New Roman" w:cs="Times New Roman"/>
        </w:rPr>
        <w:t xml:space="preserve"> the literature </w:t>
      </w:r>
      <w:r w:rsidR="00CA63E0">
        <w:rPr>
          <w:rFonts w:ascii="Times New Roman" w:hAnsi="Times New Roman" w:cs="Times New Roman"/>
        </w:rPr>
        <w:t xml:space="preserve">mapped </w:t>
      </w:r>
      <w:r>
        <w:rPr>
          <w:rFonts w:ascii="Times New Roman" w:hAnsi="Times New Roman" w:cs="Times New Roman"/>
        </w:rPr>
        <w:t>on</w:t>
      </w:r>
      <w:r w:rsidR="00CA63E0">
        <w:rPr>
          <w:rFonts w:ascii="Times New Roman" w:hAnsi="Times New Roman" w:cs="Times New Roman"/>
        </w:rPr>
        <w:t>to</w:t>
      </w:r>
      <w:r>
        <w:rPr>
          <w:rFonts w:ascii="Times New Roman" w:hAnsi="Times New Roman" w:cs="Times New Roman"/>
        </w:rPr>
        <w:t xml:space="preserve"> this analytical device, which is not without its critics? </w:t>
      </w:r>
      <w:r w:rsidR="00CA63E0">
        <w:rPr>
          <w:rFonts w:ascii="Times New Roman" w:hAnsi="Times New Roman" w:cs="Times New Roman"/>
        </w:rPr>
        <w:t xml:space="preserve">To </w:t>
      </w:r>
      <w:r w:rsidR="00CA63E0">
        <w:rPr>
          <w:rFonts w:ascii="Times New Roman" w:hAnsi="Times New Roman" w:cs="Times New Roman"/>
        </w:rPr>
        <w:lastRenderedPageBreak/>
        <w:t>paraphrase social constructivist language</w:t>
      </w:r>
      <w:r w:rsidR="004738A7">
        <w:rPr>
          <w:rFonts w:ascii="Times New Roman" w:hAnsi="Times New Roman" w:cs="Times New Roman"/>
        </w:rPr>
        <w:t xml:space="preserve">, we </w:t>
      </w:r>
      <w:r w:rsidR="00CA63E0">
        <w:rPr>
          <w:rFonts w:ascii="Times New Roman" w:hAnsi="Times New Roman" w:cs="Times New Roman"/>
        </w:rPr>
        <w:t>argue</w:t>
      </w:r>
      <w:r>
        <w:rPr>
          <w:rFonts w:ascii="Times New Roman" w:hAnsi="Times New Roman" w:cs="Times New Roman"/>
        </w:rPr>
        <w:t xml:space="preserve"> that the bath-tub is what a given group of social scientists</w:t>
      </w:r>
      <w:r w:rsidR="004738A7">
        <w:rPr>
          <w:rFonts w:ascii="Times New Roman" w:hAnsi="Times New Roman" w:cs="Times New Roman"/>
        </w:rPr>
        <w:t xml:space="preserve"> makes of it. For some, this is the archetypical positivist template for explanation informed by Humean causality. It excludes holistic approaches that deny value to micro-foundations, and pins down the scientific enterprise to one particular type of causality</w:t>
      </w:r>
      <w:r w:rsidR="00CA63E0">
        <w:rPr>
          <w:rFonts w:ascii="Times New Roman" w:hAnsi="Times New Roman" w:cs="Times New Roman"/>
        </w:rPr>
        <w:t xml:space="preserve"> and one approach to evidence</w:t>
      </w:r>
      <w:r w:rsidR="004738A7">
        <w:rPr>
          <w:rFonts w:ascii="Times New Roman" w:hAnsi="Times New Roman" w:cs="Times New Roman"/>
        </w:rPr>
        <w:t xml:space="preserve">. Thus – one could carry on – to embrace the bath-tub is to chain policy learning to the Procrustean bed of positivism. </w:t>
      </w:r>
    </w:p>
    <w:p w14:paraId="3A19DB49" w14:textId="02970EA2" w:rsidR="00D46DFB" w:rsidRDefault="00CA63E0" w:rsidP="00B74A78">
      <w:pPr>
        <w:spacing w:after="160" w:line="360" w:lineRule="auto"/>
        <w:jc w:val="both"/>
        <w:rPr>
          <w:rFonts w:ascii="Times New Roman" w:hAnsi="Times New Roman" w:cs="Times New Roman"/>
        </w:rPr>
      </w:pPr>
      <w:r>
        <w:rPr>
          <w:rFonts w:ascii="Times New Roman" w:hAnsi="Times New Roman" w:cs="Times New Roman"/>
        </w:rPr>
        <w:t>Yet for us, in this project</w:t>
      </w:r>
      <w:r w:rsidR="00A306C8">
        <w:rPr>
          <w:rFonts w:ascii="Times New Roman" w:hAnsi="Times New Roman" w:cs="Times New Roman"/>
        </w:rPr>
        <w:t xml:space="preserve"> at least, the bath-tub is something else: it is a valuable heuristic to map the field. </w:t>
      </w:r>
      <w:r w:rsidR="004738A7">
        <w:rPr>
          <w:rFonts w:ascii="Times New Roman" w:hAnsi="Times New Roman" w:cs="Times New Roman"/>
        </w:rPr>
        <w:t>Our aim in thi</w:t>
      </w:r>
      <w:r w:rsidR="0074788E">
        <w:rPr>
          <w:rFonts w:ascii="Times New Roman" w:hAnsi="Times New Roman" w:cs="Times New Roman"/>
        </w:rPr>
        <w:t>s article</w:t>
      </w:r>
      <w:r w:rsidR="004738A7">
        <w:rPr>
          <w:rFonts w:ascii="Times New Roman" w:hAnsi="Times New Roman" w:cs="Times New Roman"/>
        </w:rPr>
        <w:t xml:space="preserve">, </w:t>
      </w:r>
      <w:r w:rsidR="00A306C8">
        <w:rPr>
          <w:rFonts w:ascii="Times New Roman" w:hAnsi="Times New Roman" w:cs="Times New Roman"/>
        </w:rPr>
        <w:t>in fact, is not to address the ontological concerns and the</w:t>
      </w:r>
      <w:r w:rsidR="004738A7">
        <w:rPr>
          <w:rFonts w:ascii="Times New Roman" w:hAnsi="Times New Roman" w:cs="Times New Roman"/>
        </w:rPr>
        <w:t xml:space="preserve"> debate</w:t>
      </w:r>
      <w:r w:rsidR="00A306C8">
        <w:rPr>
          <w:rFonts w:ascii="Times New Roman" w:hAnsi="Times New Roman" w:cs="Times New Roman"/>
        </w:rPr>
        <w:t xml:space="preserve"> on the positivist, interpretivist, and social constructivist ontologies of policy learning (for this, see Grin and Loeber, 2007)</w:t>
      </w:r>
      <w:r w:rsidR="004738A7">
        <w:rPr>
          <w:rFonts w:ascii="Times New Roman" w:hAnsi="Times New Roman" w:cs="Times New Roman"/>
        </w:rPr>
        <w:t>. For us the bath-tub is a way to show how the liter</w:t>
      </w:r>
      <w:r w:rsidR="00FF2E32">
        <w:rPr>
          <w:rFonts w:ascii="Times New Roman" w:hAnsi="Times New Roman" w:cs="Times New Roman"/>
        </w:rPr>
        <w:t>ature</w:t>
      </w:r>
      <w:r w:rsidR="00B40B70">
        <w:rPr>
          <w:rFonts w:ascii="Times New Roman" w:hAnsi="Times New Roman" w:cs="Times New Roman"/>
        </w:rPr>
        <w:t xml:space="preserve"> populates the</w:t>
      </w:r>
      <w:r w:rsidR="004738A7">
        <w:rPr>
          <w:rFonts w:ascii="Times New Roman" w:hAnsi="Times New Roman" w:cs="Times New Roman"/>
        </w:rPr>
        <w:t xml:space="preserve"> dimensions of analysis: the model of the</w:t>
      </w:r>
      <w:r w:rsidR="00D46DFB">
        <w:rPr>
          <w:rFonts w:ascii="Times New Roman" w:hAnsi="Times New Roman" w:cs="Times New Roman"/>
        </w:rPr>
        <w:t xml:space="preserve"> individual, the </w:t>
      </w:r>
      <w:r w:rsidR="004738A7">
        <w:rPr>
          <w:rFonts w:ascii="Times New Roman" w:hAnsi="Times New Roman" w:cs="Times New Roman"/>
        </w:rPr>
        <w:t>group dimension, and the relationship between learning in one organization or sector</w:t>
      </w:r>
      <w:r w:rsidR="00EF7BC7">
        <w:rPr>
          <w:rFonts w:ascii="Times New Roman" w:hAnsi="Times New Roman" w:cs="Times New Roman"/>
        </w:rPr>
        <w:t>,</w:t>
      </w:r>
      <w:r w:rsidR="004738A7">
        <w:rPr>
          <w:rFonts w:ascii="Times New Roman" w:hAnsi="Times New Roman" w:cs="Times New Roman"/>
        </w:rPr>
        <w:t xml:space="preserve"> and</w:t>
      </w:r>
      <w:r w:rsidR="00EF7BC7">
        <w:rPr>
          <w:rFonts w:ascii="Times New Roman" w:hAnsi="Times New Roman" w:cs="Times New Roman"/>
        </w:rPr>
        <w:t xml:space="preserve"> finally the</w:t>
      </w:r>
      <w:r w:rsidR="00B40B70">
        <w:rPr>
          <w:rFonts w:ascii="Times New Roman" w:hAnsi="Times New Roman" w:cs="Times New Roman"/>
        </w:rPr>
        <w:t xml:space="preserve"> macro outcomes. This is a multi</w:t>
      </w:r>
      <w:r w:rsidR="004738A7">
        <w:rPr>
          <w:rFonts w:ascii="Times New Roman" w:hAnsi="Times New Roman" w:cs="Times New Roman"/>
        </w:rPr>
        <w:t>-dimensional way that is familiar to several theories of the policy process – indeed, in policy analysis it is common to refer to the micro, the meso and the macro level</w:t>
      </w:r>
      <w:r w:rsidR="00D46DFB">
        <w:rPr>
          <w:rFonts w:ascii="Times New Roman" w:hAnsi="Times New Roman" w:cs="Times New Roman"/>
        </w:rPr>
        <w:t xml:space="preserve"> (where ‘meso’ means sectors or policy sub-systems rather than groups).</w:t>
      </w:r>
    </w:p>
    <w:p w14:paraId="66232AC3" w14:textId="14302CC4" w:rsidR="004738A7" w:rsidRDefault="004738A7" w:rsidP="00B74A78">
      <w:pPr>
        <w:spacing w:after="160" w:line="360" w:lineRule="auto"/>
        <w:jc w:val="both"/>
        <w:rPr>
          <w:rFonts w:ascii="Times New Roman" w:hAnsi="Times New Roman" w:cs="Times New Roman"/>
        </w:rPr>
      </w:pPr>
      <w:r>
        <w:rPr>
          <w:rFonts w:ascii="Times New Roman" w:hAnsi="Times New Roman" w:cs="Times New Roman"/>
        </w:rPr>
        <w:t>No doubt most of the authors we show on one dimension of the bath-tub would be surprised to see their work on the same conceptual map as the work of others, who start from different ontological assumptions and cover another dimension of the bath-tub.</w:t>
      </w:r>
      <w:r w:rsidR="003F7339">
        <w:rPr>
          <w:rFonts w:ascii="Times New Roman" w:hAnsi="Times New Roman" w:cs="Times New Roman"/>
        </w:rPr>
        <w:t xml:space="preserve"> But this is exactly our point: the bath-tub allows us to map the field and show where studies informed by a certain ontology or assumptions or presuppositions fall</w:t>
      </w:r>
      <w:r w:rsidR="00EF7BC7">
        <w:rPr>
          <w:rFonts w:ascii="Times New Roman" w:hAnsi="Times New Roman" w:cs="Times New Roman"/>
        </w:rPr>
        <w:t xml:space="preserve"> in the analytical space</w:t>
      </w:r>
      <w:r w:rsidR="003F7339">
        <w:rPr>
          <w:rFonts w:ascii="Times New Roman" w:hAnsi="Times New Roman" w:cs="Times New Roman"/>
        </w:rPr>
        <w:t xml:space="preserve">. </w:t>
      </w:r>
      <w:r w:rsidR="00A306C8">
        <w:rPr>
          <w:rFonts w:ascii="Times New Roman" w:hAnsi="Times New Roman" w:cs="Times New Roman"/>
        </w:rPr>
        <w:t xml:space="preserve">The advantage of using a </w:t>
      </w:r>
      <w:r w:rsidR="00B40B70">
        <w:rPr>
          <w:rFonts w:ascii="Times New Roman" w:hAnsi="Times New Roman" w:cs="Times New Roman"/>
        </w:rPr>
        <w:t>multi</w:t>
      </w:r>
      <w:r w:rsidR="001A078E">
        <w:rPr>
          <w:rFonts w:ascii="Times New Roman" w:hAnsi="Times New Roman" w:cs="Times New Roman"/>
        </w:rPr>
        <w:t>-dimensional map is to go</w:t>
      </w:r>
      <w:r w:rsidR="00A306C8">
        <w:rPr>
          <w:rFonts w:ascii="Times New Roman" w:hAnsi="Times New Roman" w:cs="Times New Roman"/>
        </w:rPr>
        <w:t xml:space="preserve"> beyond the dichotomy of positivist ontology versus social constructivist ontology. It shows the field in its entirety rather than breaking it down into those who stay on one side of the ontological debate and those who endorse other ways of k</w:t>
      </w:r>
      <w:r w:rsidR="00EF7BC7">
        <w:rPr>
          <w:rFonts w:ascii="Times New Roman" w:hAnsi="Times New Roman" w:cs="Times New Roman"/>
        </w:rPr>
        <w:t>nowing (for these wider discussions about ways of constructing knowledge</w:t>
      </w:r>
      <w:r w:rsidR="00A306C8">
        <w:rPr>
          <w:rFonts w:ascii="Times New Roman" w:hAnsi="Times New Roman" w:cs="Times New Roman"/>
        </w:rPr>
        <w:t xml:space="preserve"> the reader can turn to Moses and Knutsen 2012)</w:t>
      </w:r>
    </w:p>
    <w:p w14:paraId="784B07B9" w14:textId="77777777" w:rsidR="00F204A6" w:rsidRPr="008A0D67" w:rsidRDefault="00F204A6" w:rsidP="00955744">
      <w:pPr>
        <w:spacing w:line="360" w:lineRule="auto"/>
        <w:jc w:val="both"/>
        <w:rPr>
          <w:rFonts w:ascii="Times New Roman" w:hAnsi="Times New Roman" w:cs="Times New Roman"/>
        </w:rPr>
      </w:pPr>
    </w:p>
    <w:p w14:paraId="2852013A" w14:textId="5DEF1918" w:rsidR="00D01B2E" w:rsidRPr="008A0D67" w:rsidRDefault="001010F1" w:rsidP="004C356D">
      <w:pPr>
        <w:pStyle w:val="ListParagraph"/>
        <w:numPr>
          <w:ilvl w:val="0"/>
          <w:numId w:val="11"/>
        </w:numPr>
        <w:spacing w:line="360" w:lineRule="auto"/>
        <w:jc w:val="both"/>
        <w:rPr>
          <w:rFonts w:ascii="Times New Roman" w:hAnsi="Times New Roman" w:cs="Times New Roman"/>
          <w:b/>
        </w:rPr>
      </w:pPr>
      <w:r w:rsidRPr="008A0D67">
        <w:rPr>
          <w:rFonts w:ascii="Times New Roman" w:hAnsi="Times New Roman" w:cs="Times New Roman"/>
          <w:b/>
        </w:rPr>
        <w:t xml:space="preserve">Why </w:t>
      </w:r>
      <w:r w:rsidR="002416E7" w:rsidRPr="008A0D67">
        <w:rPr>
          <w:rFonts w:ascii="Times New Roman" w:hAnsi="Times New Roman" w:cs="Times New Roman"/>
          <w:b/>
        </w:rPr>
        <w:t>Dip a Toe</w:t>
      </w:r>
      <w:r w:rsidRPr="008A0D67">
        <w:rPr>
          <w:rFonts w:ascii="Times New Roman" w:hAnsi="Times New Roman" w:cs="Times New Roman"/>
          <w:b/>
        </w:rPr>
        <w:t xml:space="preserve"> in Coleman’s Bath-tub?</w:t>
      </w:r>
    </w:p>
    <w:p w14:paraId="06A5BAFF" w14:textId="1E666DA2" w:rsidR="00EF7BC7" w:rsidRDefault="004C0020" w:rsidP="003B1097">
      <w:pPr>
        <w:spacing w:after="160" w:line="360" w:lineRule="auto"/>
        <w:jc w:val="both"/>
        <w:rPr>
          <w:rFonts w:ascii="Times New Roman" w:hAnsi="Times New Roman" w:cs="Times New Roman"/>
        </w:rPr>
      </w:pPr>
      <w:r w:rsidRPr="008A0D67">
        <w:rPr>
          <w:rFonts w:ascii="Times New Roman" w:hAnsi="Times New Roman" w:cs="Times New Roman"/>
        </w:rPr>
        <w:t>At its most general, policy learning is treated as the updating of beliefs based on experience, interaction</w:t>
      </w:r>
      <w:r w:rsidR="00A75E29" w:rsidRPr="008A0D67">
        <w:rPr>
          <w:rFonts w:ascii="Times New Roman" w:hAnsi="Times New Roman" w:cs="Times New Roman"/>
        </w:rPr>
        <w:t>s</w:t>
      </w:r>
      <w:r w:rsidRPr="008A0D67">
        <w:rPr>
          <w:rFonts w:ascii="Times New Roman" w:hAnsi="Times New Roman" w:cs="Times New Roman"/>
        </w:rPr>
        <w:t>, analysis or rules.</w:t>
      </w:r>
      <w:r w:rsidR="005B0C64">
        <w:rPr>
          <w:rFonts w:ascii="Times New Roman" w:hAnsi="Times New Roman" w:cs="Times New Roman"/>
        </w:rPr>
        <w:t xml:space="preserve"> Dunlop and R</w:t>
      </w:r>
      <w:r w:rsidR="007B5D1E">
        <w:rPr>
          <w:rFonts w:ascii="Times New Roman" w:hAnsi="Times New Roman" w:cs="Times New Roman"/>
        </w:rPr>
        <w:t>adaelli (2013) rehearse the main definitional features of learning: individual-organizational-social; intended, organic and un-intended; hard and soft; single, double-loop, and complex; transformative of identities and preferences or mor</w:t>
      </w:r>
      <w:r w:rsidR="00EC0FB1">
        <w:rPr>
          <w:rFonts w:ascii="Times New Roman" w:hAnsi="Times New Roman" w:cs="Times New Roman"/>
        </w:rPr>
        <w:t xml:space="preserve">e strategic and opportunistic. </w:t>
      </w:r>
      <w:r w:rsidR="00EF7BC7">
        <w:rPr>
          <w:rFonts w:ascii="Times New Roman" w:hAnsi="Times New Roman" w:cs="Times New Roman"/>
        </w:rPr>
        <w:t xml:space="preserve">In terms of concept formation, learning can occur in five </w:t>
      </w:r>
      <w:r w:rsidR="00EF7BC7">
        <w:rPr>
          <w:rFonts w:ascii="Times New Roman" w:hAnsi="Times New Roman" w:cs="Times New Roman"/>
        </w:rPr>
        <w:lastRenderedPageBreak/>
        <w:t>processes: improving policy to achieve governmental goal</w:t>
      </w:r>
      <w:r w:rsidR="00EE5E5F">
        <w:rPr>
          <w:rFonts w:ascii="Times New Roman" w:hAnsi="Times New Roman" w:cs="Times New Roman"/>
        </w:rPr>
        <w:t>, society-wide processes of enduring ideational adaptation to exogenous circumstances and sense-making, evidence accumulation and analytical sophistication inside public organizations, changes of core and secondary beliefs within networks or advocacy coalitions, and finally processes in which governments use knowledge about the policies of other governments to re-design or innovate policy (Bennett and Howlett, 1992).</w:t>
      </w:r>
    </w:p>
    <w:p w14:paraId="11BC6F58" w14:textId="1D2D2051" w:rsidR="00D01B2E" w:rsidRPr="008A0D67" w:rsidRDefault="004C0020" w:rsidP="003B1097">
      <w:pPr>
        <w:spacing w:after="160" w:line="360" w:lineRule="auto"/>
        <w:jc w:val="both"/>
        <w:rPr>
          <w:rFonts w:ascii="Times New Roman" w:hAnsi="Times New Roman" w:cs="Times New Roman"/>
        </w:rPr>
      </w:pPr>
      <w:r w:rsidRPr="008A0D67">
        <w:rPr>
          <w:rFonts w:ascii="Times New Roman" w:hAnsi="Times New Roman" w:cs="Times New Roman"/>
        </w:rPr>
        <w:t xml:space="preserve">The actual learning process however is often left undefined with authors preferring to focus on the outputs of learning – the ‘lessons’ that are drawn about policy instruments or their frames – and outcomes – changes in these. </w:t>
      </w:r>
      <w:r w:rsidR="00F3295F">
        <w:rPr>
          <w:rFonts w:ascii="Times New Roman" w:hAnsi="Times New Roman" w:cs="Times New Roman"/>
        </w:rPr>
        <w:t xml:space="preserve">Bennett and Howlett (1992) indeed concentrate on organizational change, program change and paradigm shift. </w:t>
      </w:r>
      <w:r w:rsidRPr="008A0D67">
        <w:rPr>
          <w:rFonts w:ascii="Times New Roman" w:hAnsi="Times New Roman" w:cs="Times New Roman"/>
        </w:rPr>
        <w:t>Neglect of the learning processes means that we rarely deal with analytical issue</w:t>
      </w:r>
      <w:r w:rsidR="001769CE" w:rsidRPr="008A0D67">
        <w:rPr>
          <w:rFonts w:ascii="Times New Roman" w:hAnsi="Times New Roman" w:cs="Times New Roman"/>
        </w:rPr>
        <w:t>s</w:t>
      </w:r>
      <w:r w:rsidRPr="008A0D67">
        <w:rPr>
          <w:rFonts w:ascii="Times New Roman" w:hAnsi="Times New Roman" w:cs="Times New Roman"/>
        </w:rPr>
        <w:t xml:space="preserve"> about how different levels of the social environment contribute to belief change in policy. </w:t>
      </w:r>
      <w:r w:rsidR="001769CE" w:rsidRPr="008A0D67">
        <w:rPr>
          <w:rFonts w:ascii="Times New Roman" w:hAnsi="Times New Roman" w:cs="Times New Roman"/>
        </w:rPr>
        <w:t>We address this challenge using a well-known way of exploring causal logic in the social sciences and then link it to learning studies.</w:t>
      </w:r>
    </w:p>
    <w:p w14:paraId="64FEB501" w14:textId="0F245121" w:rsidR="00AC5BF2" w:rsidRDefault="001769CE" w:rsidP="00C7103C">
      <w:pPr>
        <w:spacing w:line="360" w:lineRule="auto"/>
        <w:jc w:val="both"/>
        <w:rPr>
          <w:rFonts w:ascii="Times New Roman" w:hAnsi="Times New Roman" w:cs="Times New Roman"/>
        </w:rPr>
      </w:pPr>
      <w:r w:rsidRPr="008A0D67">
        <w:rPr>
          <w:rFonts w:ascii="Times New Roman" w:hAnsi="Times New Roman" w:cs="Times New Roman"/>
        </w:rPr>
        <w:t>Coleman’s bath-tub (sometimes known as ‘boat’) models the processes that link relationships between social causes and outcomes as three elements (figure 1)</w:t>
      </w:r>
      <w:r w:rsidR="00C7103C" w:rsidRPr="008A0D67">
        <w:rPr>
          <w:rFonts w:ascii="Times New Roman" w:hAnsi="Times New Roman" w:cs="Times New Roman"/>
        </w:rPr>
        <w:t xml:space="preserve">. </w:t>
      </w:r>
      <w:r w:rsidR="003B1097" w:rsidRPr="008A0D67">
        <w:rPr>
          <w:rFonts w:ascii="Times New Roman" w:hAnsi="Times New Roman" w:cs="Times New Roman"/>
        </w:rPr>
        <w:t xml:space="preserve">There are various interpretations of </w:t>
      </w:r>
      <w:r w:rsidR="00C7103C" w:rsidRPr="008A0D67">
        <w:rPr>
          <w:rFonts w:ascii="Times New Roman" w:hAnsi="Times New Roman" w:cs="Times New Roman"/>
        </w:rPr>
        <w:t>this model and</w:t>
      </w:r>
      <w:r w:rsidR="003B1097" w:rsidRPr="008A0D67">
        <w:rPr>
          <w:rFonts w:ascii="Times New Roman" w:hAnsi="Times New Roman" w:cs="Times New Roman"/>
        </w:rPr>
        <w:t xml:space="preserve"> </w:t>
      </w:r>
      <w:r w:rsidR="00C7103C" w:rsidRPr="008A0D67">
        <w:rPr>
          <w:rFonts w:ascii="Times New Roman" w:hAnsi="Times New Roman" w:cs="Times New Roman"/>
        </w:rPr>
        <w:t>we ought to stick to a simple one. For us</w:t>
      </w:r>
      <w:r w:rsidR="00C60FD1" w:rsidRPr="008A0D67">
        <w:rPr>
          <w:rFonts w:ascii="Times New Roman" w:hAnsi="Times New Roman" w:cs="Times New Roman"/>
        </w:rPr>
        <w:t>, macro-to-micro</w:t>
      </w:r>
      <w:r w:rsidR="007E2730" w:rsidRPr="008A0D67">
        <w:rPr>
          <w:rFonts w:ascii="Times New Roman" w:hAnsi="Times New Roman" w:cs="Times New Roman"/>
        </w:rPr>
        <w:t xml:space="preserve"> </w:t>
      </w:r>
      <w:r w:rsidR="00C7103C" w:rsidRPr="008A0D67">
        <w:rPr>
          <w:rFonts w:ascii="Times New Roman" w:hAnsi="Times New Roman" w:cs="Times New Roman"/>
        </w:rPr>
        <w:t>concerns the micro-foundations of action. Micro-to-micro is the arrow that refers to how individual</w:t>
      </w:r>
      <w:r w:rsidR="007E2730" w:rsidRPr="008A0D67">
        <w:rPr>
          <w:rFonts w:ascii="Times New Roman" w:hAnsi="Times New Roman" w:cs="Times New Roman"/>
        </w:rPr>
        <w:t>s</w:t>
      </w:r>
      <w:r w:rsidR="00C7103C" w:rsidRPr="008A0D67">
        <w:rPr>
          <w:rFonts w:ascii="Times New Roman" w:hAnsi="Times New Roman" w:cs="Times New Roman"/>
        </w:rPr>
        <w:t xml:space="preserve"> behave </w:t>
      </w:r>
      <w:r w:rsidR="00633C54" w:rsidRPr="008A0D67">
        <w:rPr>
          <w:rFonts w:ascii="Times New Roman" w:hAnsi="Times New Roman" w:cs="Times New Roman"/>
        </w:rPr>
        <w:t>when they interact in</w:t>
      </w:r>
      <w:r w:rsidR="00C7103C" w:rsidRPr="008A0D67">
        <w:rPr>
          <w:rFonts w:ascii="Times New Roman" w:hAnsi="Times New Roman" w:cs="Times New Roman"/>
        </w:rPr>
        <w:t xml:space="preserve"> groups</w:t>
      </w:r>
      <w:r w:rsidR="00AC5BF2">
        <w:rPr>
          <w:rFonts w:ascii="Times New Roman" w:hAnsi="Times New Roman" w:cs="Times New Roman"/>
        </w:rPr>
        <w:t>, for example a group of professionals in an organization</w:t>
      </w:r>
      <w:r w:rsidR="00C7103C" w:rsidRPr="008A0D67">
        <w:rPr>
          <w:rFonts w:ascii="Times New Roman" w:hAnsi="Times New Roman" w:cs="Times New Roman"/>
        </w:rPr>
        <w:t xml:space="preserve">. Finally, micro-to-macro is the analytical region of aggregation. </w:t>
      </w:r>
      <w:r w:rsidR="00AC5BF2">
        <w:rPr>
          <w:rFonts w:ascii="Times New Roman" w:hAnsi="Times New Roman" w:cs="Times New Roman"/>
        </w:rPr>
        <w:t>This is somewhat in line with the notion that theories of the policy process consider individual, meso and macro features of the policy process.</w:t>
      </w:r>
    </w:p>
    <w:p w14:paraId="44EB3A31" w14:textId="77777777" w:rsidR="00AC5BF2" w:rsidRDefault="00AC5BF2" w:rsidP="00C7103C">
      <w:pPr>
        <w:spacing w:line="360" w:lineRule="auto"/>
        <w:jc w:val="both"/>
        <w:rPr>
          <w:rFonts w:ascii="Times New Roman" w:hAnsi="Times New Roman" w:cs="Times New Roman"/>
        </w:rPr>
      </w:pPr>
    </w:p>
    <w:p w14:paraId="354AD792" w14:textId="735EC06C" w:rsidR="00C7103C" w:rsidRDefault="00C7103C" w:rsidP="00C7103C">
      <w:pPr>
        <w:spacing w:line="360" w:lineRule="auto"/>
        <w:jc w:val="both"/>
        <w:rPr>
          <w:rFonts w:ascii="Times New Roman" w:hAnsi="Times New Roman" w:cs="Times New Roman"/>
        </w:rPr>
      </w:pPr>
      <w:r w:rsidRPr="008A0D67">
        <w:rPr>
          <w:rFonts w:ascii="Times New Roman" w:hAnsi="Times New Roman" w:cs="Times New Roman"/>
        </w:rPr>
        <w:t>As we said, this is simple</w:t>
      </w:r>
      <w:r w:rsidR="00AC5BF2">
        <w:rPr>
          <w:rFonts w:ascii="Times New Roman" w:hAnsi="Times New Roman" w:cs="Times New Roman"/>
        </w:rPr>
        <w:t xml:space="preserve"> and our aim is to map different studies, not to sell an ontological take on policy learning</w:t>
      </w:r>
      <w:r w:rsidRPr="008A0D67">
        <w:rPr>
          <w:rFonts w:ascii="Times New Roman" w:hAnsi="Times New Roman" w:cs="Times New Roman"/>
        </w:rPr>
        <w:t>. There are more sophisti</w:t>
      </w:r>
      <w:r w:rsidR="00B60C94">
        <w:rPr>
          <w:rFonts w:ascii="Times New Roman" w:hAnsi="Times New Roman" w:cs="Times New Roman"/>
        </w:rPr>
        <w:t>cated ways to approach the bath-</w:t>
      </w:r>
      <w:r w:rsidRPr="008A0D67">
        <w:rPr>
          <w:rFonts w:ascii="Times New Roman" w:hAnsi="Times New Roman" w:cs="Times New Roman"/>
        </w:rPr>
        <w:t>tub (see Mills, Bunt and Bruijn, 2006</w:t>
      </w:r>
      <w:r w:rsidR="001B388E">
        <w:rPr>
          <w:rFonts w:ascii="Times New Roman" w:hAnsi="Times New Roman" w:cs="Times New Roman"/>
        </w:rPr>
        <w:t>; see also Elster’s discussion, 1989</w:t>
      </w:r>
      <w:r w:rsidRPr="008A0D67">
        <w:rPr>
          <w:rFonts w:ascii="Times New Roman" w:hAnsi="Times New Roman" w:cs="Times New Roman"/>
        </w:rPr>
        <w:t>). But</w:t>
      </w:r>
      <w:r w:rsidR="00001AD7" w:rsidRPr="008A0D67">
        <w:rPr>
          <w:rFonts w:ascii="Times New Roman" w:hAnsi="Times New Roman" w:cs="Times New Roman"/>
        </w:rPr>
        <w:t>,</w:t>
      </w:r>
      <w:r w:rsidRPr="008A0D67">
        <w:rPr>
          <w:rFonts w:ascii="Times New Roman" w:hAnsi="Times New Roman" w:cs="Times New Roman"/>
        </w:rPr>
        <w:t xml:space="preserve"> this simple approach allows us to lay out some important arguments</w:t>
      </w:r>
      <w:r w:rsidR="00B74A78" w:rsidRPr="008A0D67">
        <w:rPr>
          <w:rFonts w:ascii="Times New Roman" w:hAnsi="Times New Roman" w:cs="Times New Roman"/>
        </w:rPr>
        <w:t xml:space="preserve"> supporting the claim that learning causes change</w:t>
      </w:r>
      <w:r w:rsidRPr="008A0D67">
        <w:rPr>
          <w:rFonts w:ascii="Times New Roman" w:hAnsi="Times New Roman" w:cs="Times New Roman"/>
        </w:rPr>
        <w:t xml:space="preserve">. </w:t>
      </w:r>
    </w:p>
    <w:p w14:paraId="44D710AA" w14:textId="60336B4E" w:rsidR="00ED2573" w:rsidRDefault="00ED2573">
      <w:pPr>
        <w:rPr>
          <w:rFonts w:ascii="Times New Roman" w:hAnsi="Times New Roman" w:cs="Times New Roman"/>
        </w:rPr>
      </w:pPr>
      <w:r>
        <w:rPr>
          <w:rFonts w:ascii="Times New Roman" w:hAnsi="Times New Roman" w:cs="Times New Roman"/>
        </w:rPr>
        <w:br w:type="page"/>
      </w:r>
    </w:p>
    <w:p w14:paraId="2FA88799" w14:textId="77777777" w:rsidR="003E77D2" w:rsidRDefault="003E77D2" w:rsidP="00C7103C">
      <w:pPr>
        <w:spacing w:line="360" w:lineRule="auto"/>
        <w:jc w:val="both"/>
        <w:rPr>
          <w:rFonts w:ascii="Times New Roman" w:hAnsi="Times New Roman" w:cs="Times New Roman"/>
        </w:rPr>
      </w:pPr>
    </w:p>
    <w:p w14:paraId="09A72540" w14:textId="77777777" w:rsidR="003E77D2" w:rsidRPr="008A0D67" w:rsidRDefault="003E77D2" w:rsidP="00C7103C">
      <w:pPr>
        <w:spacing w:line="360" w:lineRule="auto"/>
        <w:jc w:val="both"/>
        <w:rPr>
          <w:rFonts w:ascii="Times New Roman" w:hAnsi="Times New Roman" w:cs="Times New Roman"/>
        </w:rPr>
      </w:pPr>
    </w:p>
    <w:p w14:paraId="3FE5F87B" w14:textId="77777777" w:rsidR="007844A6" w:rsidRPr="008A0D67" w:rsidRDefault="007844A6" w:rsidP="00C7103C">
      <w:pPr>
        <w:spacing w:line="360" w:lineRule="auto"/>
        <w:jc w:val="both"/>
        <w:rPr>
          <w:rFonts w:ascii="Times New Roman" w:hAnsi="Times New Roman" w:cs="Times New Roman"/>
        </w:rPr>
      </w:pPr>
    </w:p>
    <w:p w14:paraId="133CBE94" w14:textId="1B263164" w:rsidR="00C7103C" w:rsidRPr="008A0D67" w:rsidRDefault="0054050B" w:rsidP="007844A6">
      <w:pPr>
        <w:spacing w:after="160" w:line="360" w:lineRule="auto"/>
        <w:jc w:val="center"/>
        <w:rPr>
          <w:rFonts w:ascii="Times New Roman" w:hAnsi="Times New Roman" w:cs="Times New Roman"/>
          <w:b/>
        </w:rPr>
      </w:pPr>
      <w:r w:rsidRPr="008A0D67">
        <w:rPr>
          <w:rFonts w:ascii="Times New Roman" w:hAnsi="Times New Roman" w:cs="Times New Roman"/>
          <w:noProof/>
          <w:lang w:val="en-GB" w:eastAsia="en-GB"/>
        </w:rPr>
        <mc:AlternateContent>
          <mc:Choice Requires="wps">
            <w:drawing>
              <wp:anchor distT="0" distB="0" distL="114300" distR="114300" simplePos="0" relativeHeight="251667456" behindDoc="0" locked="0" layoutInCell="1" allowOverlap="1" wp14:anchorId="235D9266" wp14:editId="00B29BD9">
                <wp:simplePos x="0" y="0"/>
                <wp:positionH relativeFrom="column">
                  <wp:posOffset>676275</wp:posOffset>
                </wp:positionH>
                <wp:positionV relativeFrom="paragraph">
                  <wp:posOffset>323596</wp:posOffset>
                </wp:positionV>
                <wp:extent cx="4029075" cy="0"/>
                <wp:effectExtent l="0" t="76200" r="28575" b="152400"/>
                <wp:wrapNone/>
                <wp:docPr id="7" name="Straight Arrow Connector 7"/>
                <wp:cNvGraphicFramePr/>
                <a:graphic xmlns:a="http://schemas.openxmlformats.org/drawingml/2006/main">
                  <a:graphicData uri="http://schemas.microsoft.com/office/word/2010/wordprocessingShape">
                    <wps:wsp>
                      <wps:cNvCnPr/>
                      <wps:spPr>
                        <a:xfrm>
                          <a:off x="0" y="0"/>
                          <a:ext cx="4029075" cy="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62AB96D" id="_x0000_t32" coordsize="21600,21600" o:spt="32" o:oned="t" path="m,l21600,21600e" filled="f">
                <v:path arrowok="t" fillok="f" o:connecttype="none"/>
                <o:lock v:ext="edit" shapetype="t"/>
              </v:shapetype>
              <v:shape id="Straight Arrow Connector 7" o:spid="_x0000_s1026" type="#_x0000_t32" style="position:absolute;margin-left:53.25pt;margin-top:25.5pt;width:3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" strokecolor="#4f81bd [3204]" strokeweight="2pt">
                <v:stroke dashstyle="3 1" endarrow="open"/>
                <v:shadow on="t" color="black" opacity="24903f" origin=",.5" offset="0,.55556mm"/>
              </v:shape>
            </w:pict>
          </mc:Fallback>
        </mc:AlternateContent>
      </w:r>
      <w:r w:rsidR="007844A6" w:rsidRPr="008A0D67">
        <w:rPr>
          <w:rFonts w:ascii="Times New Roman" w:hAnsi="Times New Roman" w:cs="Times New Roman"/>
          <w:b/>
        </w:rPr>
        <w:t>Figure 1: Adaptation of Coleman’s ‘Bath-tub’</w:t>
      </w:r>
      <w:r w:rsidR="009C6013" w:rsidRPr="008A0D67">
        <w:rPr>
          <w:rFonts w:ascii="Times New Roman" w:hAnsi="Times New Roman" w:cs="Times New Roman"/>
          <w:b/>
        </w:rPr>
        <w:t xml:space="preserve"> (1986)</w:t>
      </w:r>
    </w:p>
    <w:p w14:paraId="0029B233" w14:textId="1DF64F80" w:rsidR="007844A6" w:rsidRPr="008A0D67" w:rsidRDefault="009C6013" w:rsidP="007844A6">
      <w:pPr>
        <w:spacing w:after="160" w:line="360" w:lineRule="auto"/>
        <w:jc w:val="center"/>
        <w:rPr>
          <w:rFonts w:ascii="Times New Roman" w:hAnsi="Times New Roman" w:cs="Times New Roman"/>
        </w:rPr>
      </w:pPr>
      <w:r w:rsidRPr="008A0D67">
        <w:rPr>
          <w:rFonts w:ascii="Times New Roman" w:hAnsi="Times New Roman" w:cs="Times New Roman"/>
          <w:b/>
          <w:noProof/>
          <w:lang w:val="en-GB" w:eastAsia="en-GB"/>
        </w:rPr>
        <mc:AlternateContent>
          <mc:Choice Requires="wps">
            <w:drawing>
              <wp:anchor distT="0" distB="0" distL="114300" distR="114300" simplePos="0" relativeHeight="251669504" behindDoc="0" locked="0" layoutInCell="1" allowOverlap="1" wp14:anchorId="4E58819F" wp14:editId="1D257D5E">
                <wp:simplePos x="0" y="0"/>
                <wp:positionH relativeFrom="column">
                  <wp:posOffset>2011121</wp:posOffset>
                </wp:positionH>
                <wp:positionV relativeFrom="paragraph">
                  <wp:posOffset>3937</wp:posOffset>
                </wp:positionV>
                <wp:extent cx="1192377" cy="627380"/>
                <wp:effectExtent l="0" t="0" r="8255" b="1270"/>
                <wp:wrapNone/>
                <wp:docPr id="8" name="Text Box 8"/>
                <wp:cNvGraphicFramePr/>
                <a:graphic xmlns:a="http://schemas.openxmlformats.org/drawingml/2006/main">
                  <a:graphicData uri="http://schemas.microsoft.com/office/word/2010/wordprocessingShape">
                    <wps:wsp>
                      <wps:cNvSpPr txBox="1"/>
                      <wps:spPr>
                        <a:xfrm>
                          <a:off x="0" y="0"/>
                          <a:ext cx="1192377" cy="627380"/>
                        </a:xfrm>
                        <a:prstGeom prst="rect">
                          <a:avLst/>
                        </a:prstGeom>
                        <a:solidFill>
                          <a:sysClr val="window" lastClr="FFFFFF"/>
                        </a:solidFill>
                        <a:ln w="6350">
                          <a:noFill/>
                        </a:ln>
                        <a:effectLst/>
                      </wps:spPr>
                      <wps:txbx>
                        <w:txbxContent>
                          <w:p w14:paraId="5A2D1C82" w14:textId="2B520C1A"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acro-macro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8819F" id="_x0000_t202" coordsize="21600,21600" o:spt="202" path="m,l,21600r21600,l21600,xe">
                <v:stroke joinstyle="miter"/>
                <v:path gradientshapeok="t" o:connecttype="rect"/>
              </v:shapetype>
              <v:shape id="Text Box 8" o:spid="_x0000_s1026" type="#_x0000_t202" style="position:absolute;left:0;text-align:left;margin-left:158.35pt;margin-top:.3pt;width:93.9pt;height: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" fillcolor="window" stroked="f" strokeweight=".5pt">
                <v:textbox>
                  <w:txbxContent>
                    <w:p w14:paraId="5A2D1C82" w14:textId="2B520C1A"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acro-macro</w:t>
                      </w:r>
                    </w:p>
                  </w:txbxContent>
                </v:textbox>
              </v:shape>
            </w:pict>
          </mc:Fallback>
        </mc:AlternateContent>
      </w:r>
      <w:r w:rsidR="007844A6" w:rsidRPr="008A0D67">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763E9C44" wp14:editId="2A6203C6">
                <wp:simplePos x="0" y="0"/>
                <wp:positionH relativeFrom="column">
                  <wp:posOffset>3968496</wp:posOffset>
                </wp:positionH>
                <wp:positionV relativeFrom="paragraph">
                  <wp:posOffset>39751</wp:posOffset>
                </wp:positionV>
                <wp:extent cx="1225296" cy="1767840"/>
                <wp:effectExtent l="57150" t="38100" r="51435" b="80010"/>
                <wp:wrapNone/>
                <wp:docPr id="3" name="Straight Arrow Connector 3"/>
                <wp:cNvGraphicFramePr/>
                <a:graphic xmlns:a="http://schemas.openxmlformats.org/drawingml/2006/main">
                  <a:graphicData uri="http://schemas.microsoft.com/office/word/2010/wordprocessingShape">
                    <wps:wsp>
                      <wps:cNvCnPr/>
                      <wps:spPr>
                        <a:xfrm flipV="1">
                          <a:off x="0" y="0"/>
                          <a:ext cx="1225296" cy="17678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060557" id="Straight Arrow Connector 3" o:spid="_x0000_s1026" type="#_x0000_t32" style="position:absolute;margin-left:312.5pt;margin-top:3.15pt;width:96.5pt;height:139.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" strokecolor="#4f81bd [3204]" strokeweight="2pt">
                <v:stroke endarrow="open"/>
                <v:shadow on="t" color="black" opacity="24903f" origin=",.5" offset="0,.55556mm"/>
              </v:shape>
            </w:pict>
          </mc:Fallback>
        </mc:AlternateContent>
      </w:r>
      <w:r w:rsidR="007844A6" w:rsidRPr="008A0D67">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82C27F3" wp14:editId="3080EB9A">
                <wp:simplePos x="0" y="0"/>
                <wp:positionH relativeFrom="column">
                  <wp:posOffset>256032</wp:posOffset>
                </wp:positionH>
                <wp:positionV relativeFrom="paragraph">
                  <wp:posOffset>39751</wp:posOffset>
                </wp:positionV>
                <wp:extent cx="1207008" cy="1798320"/>
                <wp:effectExtent l="57150" t="19050" r="69850" b="87630"/>
                <wp:wrapNone/>
                <wp:docPr id="1" name="Straight Arrow Connector 1"/>
                <wp:cNvGraphicFramePr/>
                <a:graphic xmlns:a="http://schemas.openxmlformats.org/drawingml/2006/main">
                  <a:graphicData uri="http://schemas.microsoft.com/office/word/2010/wordprocessingShape">
                    <wps:wsp>
                      <wps:cNvCnPr/>
                      <wps:spPr>
                        <a:xfrm>
                          <a:off x="0" y="0"/>
                          <a:ext cx="1207008" cy="17983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C352CA" id="Straight Arrow Connector 1" o:spid="_x0000_s1026" type="#_x0000_t32" style="position:absolute;margin-left:20.15pt;margin-top:3.15pt;width:95.05pt;height:14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" strokecolor="#4f81bd [3204]" strokeweight="2pt">
                <v:stroke endarrow="open"/>
                <v:shadow on="t" color="black" opacity="24903f" origin=",.5" offset="0,.55556mm"/>
              </v:shape>
            </w:pict>
          </mc:Fallback>
        </mc:AlternateContent>
      </w:r>
    </w:p>
    <w:p w14:paraId="2AA83491" w14:textId="01AA2353" w:rsidR="007844A6" w:rsidRPr="008A0D67" w:rsidRDefault="007844A6" w:rsidP="007844A6">
      <w:pPr>
        <w:spacing w:after="160" w:line="360" w:lineRule="auto"/>
        <w:jc w:val="center"/>
        <w:rPr>
          <w:rFonts w:ascii="Times New Roman" w:hAnsi="Times New Roman" w:cs="Times New Roman"/>
        </w:rPr>
      </w:pPr>
      <w:r w:rsidRPr="008A0D67">
        <w:rPr>
          <w:rFonts w:ascii="Times New Roman" w:hAnsi="Times New Roman" w:cs="Times New Roman"/>
          <w:b/>
          <w:noProof/>
          <w:lang w:val="en-GB" w:eastAsia="en-GB"/>
        </w:rPr>
        <mc:AlternateContent>
          <mc:Choice Requires="wps">
            <w:drawing>
              <wp:anchor distT="0" distB="0" distL="114300" distR="114300" simplePos="0" relativeHeight="251666432" behindDoc="0" locked="0" layoutInCell="1" allowOverlap="1" wp14:anchorId="119AF933" wp14:editId="0441B677">
                <wp:simplePos x="0" y="0"/>
                <wp:positionH relativeFrom="column">
                  <wp:posOffset>4857293</wp:posOffset>
                </wp:positionH>
                <wp:positionV relativeFrom="paragraph">
                  <wp:posOffset>259944</wp:posOffset>
                </wp:positionV>
                <wp:extent cx="1236269" cy="9144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236269" cy="914400"/>
                        </a:xfrm>
                        <a:prstGeom prst="rect">
                          <a:avLst/>
                        </a:prstGeom>
                        <a:solidFill>
                          <a:sysClr val="window" lastClr="FFFFFF"/>
                        </a:solidFill>
                        <a:ln w="6350">
                          <a:noFill/>
                        </a:ln>
                        <a:effectLst/>
                      </wps:spPr>
                      <wps:txbx>
                        <w:txbxContent>
                          <w:p w14:paraId="6A196D0D" w14:textId="74A3CA26"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icro-macro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F933" id="Text Box 6" o:spid="_x0000_s1027" type="#_x0000_t202" style="position:absolute;left:0;text-align:left;margin-left:382.45pt;margin-top:20.45pt;width:97.3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" fillcolor="window" stroked="f" strokeweight=".5pt">
                <v:textbox>
                  <w:txbxContent>
                    <w:p w14:paraId="6A196D0D" w14:textId="74A3CA26"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icro-macro</w:t>
                      </w:r>
                    </w:p>
                  </w:txbxContent>
                </v:textbox>
              </v:shape>
            </w:pict>
          </mc:Fallback>
        </mc:AlternateContent>
      </w:r>
      <w:r w:rsidRPr="008A0D67">
        <w:rPr>
          <w:rFonts w:ascii="Times New Roman" w:hAnsi="Times New Roman" w:cs="Times New Roman"/>
          <w:b/>
          <w:noProof/>
          <w:lang w:val="en-GB" w:eastAsia="en-GB"/>
        </w:rPr>
        <mc:AlternateContent>
          <mc:Choice Requires="wps">
            <w:drawing>
              <wp:anchor distT="0" distB="0" distL="114300" distR="114300" simplePos="0" relativeHeight="251662336" behindDoc="0" locked="0" layoutInCell="1" allowOverlap="1" wp14:anchorId="2D24C4D4" wp14:editId="202BE553">
                <wp:simplePos x="0" y="0"/>
                <wp:positionH relativeFrom="column">
                  <wp:posOffset>-426212</wp:posOffset>
                </wp:positionH>
                <wp:positionV relativeFrom="paragraph">
                  <wp:posOffset>264160</wp:posOffset>
                </wp:positionV>
                <wp:extent cx="1048512" cy="6278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048512" cy="627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8BC7F" w14:textId="7B85D982" w:rsidR="009A3F15" w:rsidRPr="00AC620E" w:rsidRDefault="005C1DD6" w:rsidP="00D21435">
                            <w:pPr>
                              <w:ind w:left="360"/>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acro-micro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C4D4" id="Text Box 4" o:spid="_x0000_s1028" type="#_x0000_t202" style="position:absolute;left:0;text-align:left;margin-left:-33.55pt;margin-top:20.8pt;width:82.5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" fillcolor="white [3201]" stroked="f" strokeweight=".5pt">
                <v:textbox>
                  <w:txbxContent>
                    <w:p w14:paraId="3E08BC7F" w14:textId="7B85D982" w:rsidR="009A3F15" w:rsidRPr="00AC620E" w:rsidRDefault="005C1DD6" w:rsidP="00D21435">
                      <w:pPr>
                        <w:ind w:left="360"/>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acro-micro</w:t>
                      </w:r>
                    </w:p>
                  </w:txbxContent>
                </v:textbox>
              </v:shape>
            </w:pict>
          </mc:Fallback>
        </mc:AlternateContent>
      </w:r>
    </w:p>
    <w:p w14:paraId="11F57A3E" w14:textId="1767BC29" w:rsidR="007844A6" w:rsidRPr="008A0D67" w:rsidRDefault="007844A6" w:rsidP="007844A6">
      <w:pPr>
        <w:spacing w:after="160" w:line="360" w:lineRule="auto"/>
        <w:jc w:val="center"/>
        <w:rPr>
          <w:rFonts w:ascii="Times New Roman" w:hAnsi="Times New Roman" w:cs="Times New Roman"/>
        </w:rPr>
      </w:pPr>
    </w:p>
    <w:p w14:paraId="15E549EE" w14:textId="58936C8E" w:rsidR="003B1097" w:rsidRPr="008A0D67" w:rsidRDefault="003B1097" w:rsidP="007844A6">
      <w:pPr>
        <w:spacing w:line="360" w:lineRule="auto"/>
        <w:jc w:val="center"/>
        <w:rPr>
          <w:rFonts w:ascii="Times New Roman" w:hAnsi="Times New Roman" w:cs="Times New Roman"/>
        </w:rPr>
      </w:pPr>
    </w:p>
    <w:p w14:paraId="1851DE98" w14:textId="4CD00778" w:rsidR="003B1097" w:rsidRPr="008A0D67" w:rsidRDefault="003B1097" w:rsidP="007844A6">
      <w:pPr>
        <w:spacing w:line="360" w:lineRule="auto"/>
        <w:jc w:val="center"/>
        <w:rPr>
          <w:rFonts w:ascii="Times New Roman" w:hAnsi="Times New Roman" w:cs="Times New Roman"/>
        </w:rPr>
      </w:pPr>
    </w:p>
    <w:p w14:paraId="55EA20F2" w14:textId="5FF3EC10" w:rsidR="00A50710" w:rsidRPr="008A0D67" w:rsidRDefault="007844A6" w:rsidP="00955744">
      <w:pPr>
        <w:jc w:val="both"/>
        <w:rPr>
          <w:rFonts w:ascii="Times New Roman" w:hAnsi="Times New Roman" w:cs="Times New Roman"/>
        </w:rPr>
      </w:pPr>
      <w:r w:rsidRPr="008A0D67">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2BB4041F" wp14:editId="2B499AFD">
                <wp:simplePos x="0" y="0"/>
                <wp:positionH relativeFrom="column">
                  <wp:posOffset>1537736</wp:posOffset>
                </wp:positionH>
                <wp:positionV relativeFrom="paragraph">
                  <wp:posOffset>166671</wp:posOffset>
                </wp:positionV>
                <wp:extent cx="2389632" cy="0"/>
                <wp:effectExtent l="0" t="76200" r="29845" b="152400"/>
                <wp:wrapNone/>
                <wp:docPr id="2" name="Straight Arrow Connector 2"/>
                <wp:cNvGraphicFramePr/>
                <a:graphic xmlns:a="http://schemas.openxmlformats.org/drawingml/2006/main">
                  <a:graphicData uri="http://schemas.microsoft.com/office/word/2010/wordprocessingShape">
                    <wps:wsp>
                      <wps:cNvCnPr/>
                      <wps:spPr>
                        <a:xfrm>
                          <a:off x="0" y="0"/>
                          <a:ext cx="238963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8764429" id="Straight Arrow Connector 2" o:spid="_x0000_s1026" type="#_x0000_t32" style="position:absolute;margin-left:121.1pt;margin-top:13.1pt;width:188.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" strokecolor="#4f81bd [3204]" strokeweight="2pt">
                <v:stroke endarrow="open"/>
                <v:shadow on="t" color="black" opacity="24903f" origin=",.5" offset="0,.55556mm"/>
              </v:shape>
            </w:pict>
          </mc:Fallback>
        </mc:AlternateContent>
      </w:r>
    </w:p>
    <w:p w14:paraId="432F3215" w14:textId="63BB69A6" w:rsidR="00C7103C" w:rsidRPr="008A0D67" w:rsidRDefault="007844A6" w:rsidP="00955744">
      <w:pPr>
        <w:jc w:val="both"/>
        <w:rPr>
          <w:rFonts w:ascii="Times New Roman" w:hAnsi="Times New Roman" w:cs="Times New Roman"/>
        </w:rPr>
      </w:pPr>
      <w:r w:rsidRPr="008A0D67">
        <w:rPr>
          <w:rFonts w:ascii="Times New Roman" w:hAnsi="Times New Roman" w:cs="Times New Roman"/>
          <w:b/>
          <w:noProof/>
          <w:lang w:val="en-GB" w:eastAsia="en-GB"/>
        </w:rPr>
        <mc:AlternateContent>
          <mc:Choice Requires="wps">
            <w:drawing>
              <wp:anchor distT="0" distB="0" distL="114300" distR="114300" simplePos="0" relativeHeight="251664384" behindDoc="0" locked="0" layoutInCell="1" allowOverlap="1" wp14:anchorId="2C1B2BD1" wp14:editId="58BF81F2">
                <wp:simplePos x="0" y="0"/>
                <wp:positionH relativeFrom="column">
                  <wp:posOffset>1814170</wp:posOffset>
                </wp:positionH>
                <wp:positionV relativeFrom="paragraph">
                  <wp:posOffset>80823</wp:posOffset>
                </wp:positionV>
                <wp:extent cx="1440612" cy="512064"/>
                <wp:effectExtent l="0" t="0" r="7620" b="2540"/>
                <wp:wrapNone/>
                <wp:docPr id="5" name="Text Box 5"/>
                <wp:cNvGraphicFramePr/>
                <a:graphic xmlns:a="http://schemas.openxmlformats.org/drawingml/2006/main">
                  <a:graphicData uri="http://schemas.microsoft.com/office/word/2010/wordprocessingShape">
                    <wps:wsp>
                      <wps:cNvSpPr txBox="1"/>
                      <wps:spPr>
                        <a:xfrm>
                          <a:off x="0" y="0"/>
                          <a:ext cx="1440612" cy="512064"/>
                        </a:xfrm>
                        <a:prstGeom prst="rect">
                          <a:avLst/>
                        </a:prstGeom>
                        <a:solidFill>
                          <a:sysClr val="window" lastClr="FFFFFF"/>
                        </a:solidFill>
                        <a:ln w="6350">
                          <a:noFill/>
                        </a:ln>
                        <a:effectLst/>
                      </wps:spPr>
                      <wps:txbx>
                        <w:txbxContent>
                          <w:p w14:paraId="1501253D" w14:textId="7CB79ADC"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icro-micro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2BD1" id="Text Box 5" o:spid="_x0000_s1029" type="#_x0000_t202" style="position:absolute;left:0;text-align:left;margin-left:142.85pt;margin-top:6.35pt;width:113.4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" fillcolor="window" stroked="f" strokeweight=".5pt">
                <v:textbox>
                  <w:txbxContent>
                    <w:p w14:paraId="1501253D" w14:textId="7CB79ADC" w:rsidR="009A3F15" w:rsidRPr="00AC620E" w:rsidRDefault="005C1DD6" w:rsidP="00D21435">
                      <w:pPr>
                        <w:pStyle w:val="ListParagraph"/>
                        <w:rPr>
                          <w:rFonts w:ascii="Times New Roman" w:hAnsi="Times New Roman" w:cs="Times New Roman"/>
                          <w:b/>
                        </w:rPr>
                      </w:pPr>
                      <w:r w:rsidRPr="00AC620E">
                        <w:rPr>
                          <w:rFonts w:ascii="Times New Roman" w:hAnsi="Times New Roman" w:cs="Times New Roman"/>
                          <w:b/>
                        </w:rPr>
                        <w:t>m</w:t>
                      </w:r>
                      <w:r w:rsidR="009A3F15" w:rsidRPr="00AC620E">
                        <w:rPr>
                          <w:rFonts w:ascii="Times New Roman" w:hAnsi="Times New Roman" w:cs="Times New Roman"/>
                          <w:b/>
                        </w:rPr>
                        <w:t>icro-micro</w:t>
                      </w:r>
                    </w:p>
                  </w:txbxContent>
                </v:textbox>
              </v:shape>
            </w:pict>
          </mc:Fallback>
        </mc:AlternateContent>
      </w:r>
    </w:p>
    <w:p w14:paraId="04A12666" w14:textId="77777777" w:rsidR="00C7103C" w:rsidRPr="008A0D67" w:rsidRDefault="00C7103C" w:rsidP="00955744">
      <w:pPr>
        <w:jc w:val="both"/>
        <w:rPr>
          <w:rFonts w:ascii="Times New Roman" w:hAnsi="Times New Roman" w:cs="Times New Roman"/>
        </w:rPr>
      </w:pPr>
    </w:p>
    <w:p w14:paraId="71545EB5" w14:textId="77777777" w:rsidR="007844A6" w:rsidRDefault="007844A6" w:rsidP="00955744">
      <w:pPr>
        <w:jc w:val="both"/>
        <w:rPr>
          <w:rFonts w:ascii="Times New Roman" w:hAnsi="Times New Roman" w:cs="Times New Roman"/>
        </w:rPr>
      </w:pPr>
    </w:p>
    <w:p w14:paraId="746783C8" w14:textId="77777777" w:rsidR="003E398C" w:rsidRPr="008A0D67" w:rsidRDefault="003E398C" w:rsidP="00955744">
      <w:pPr>
        <w:jc w:val="both"/>
        <w:rPr>
          <w:rFonts w:ascii="Times New Roman" w:hAnsi="Times New Roman" w:cs="Times New Roman"/>
        </w:rPr>
      </w:pPr>
    </w:p>
    <w:p w14:paraId="69116938" w14:textId="584A7954" w:rsidR="00A939E3" w:rsidRDefault="00866459" w:rsidP="00CF0183">
      <w:pPr>
        <w:spacing w:after="160" w:line="360" w:lineRule="auto"/>
        <w:jc w:val="both"/>
        <w:rPr>
          <w:rFonts w:ascii="Times New Roman" w:hAnsi="Times New Roman" w:cs="Times New Roman"/>
        </w:rPr>
      </w:pPr>
      <w:r w:rsidRPr="008A0D67">
        <w:rPr>
          <w:rFonts w:ascii="Times New Roman" w:hAnsi="Times New Roman" w:cs="Times New Roman"/>
        </w:rPr>
        <w:t>How can w</w:t>
      </w:r>
      <w:r w:rsidR="00BB1D66">
        <w:rPr>
          <w:rFonts w:ascii="Times New Roman" w:hAnsi="Times New Roman" w:cs="Times New Roman"/>
        </w:rPr>
        <w:t>e apply the bath-tub to the causality of learning and change</w:t>
      </w:r>
      <w:r w:rsidRPr="008A0D67">
        <w:rPr>
          <w:rFonts w:ascii="Times New Roman" w:hAnsi="Times New Roman" w:cs="Times New Roman"/>
        </w:rPr>
        <w:t>?</w:t>
      </w:r>
      <w:r w:rsidR="00141E16" w:rsidRPr="008A0D67">
        <w:rPr>
          <w:rFonts w:ascii="Times New Roman" w:hAnsi="Times New Roman" w:cs="Times New Roman"/>
        </w:rPr>
        <w:t xml:space="preserve"> Obviously not all learning explanations </w:t>
      </w:r>
      <w:r w:rsidR="00CD79E2" w:rsidRPr="008A0D67">
        <w:rPr>
          <w:rFonts w:ascii="Times New Roman" w:hAnsi="Times New Roman" w:cs="Times New Roman"/>
        </w:rPr>
        <w:t>will</w:t>
      </w:r>
      <w:r w:rsidR="00141E16" w:rsidRPr="008A0D67">
        <w:rPr>
          <w:rFonts w:ascii="Times New Roman" w:hAnsi="Times New Roman" w:cs="Times New Roman"/>
        </w:rPr>
        <w:t xml:space="preserve"> be Coleman-compatible</w:t>
      </w:r>
      <w:r w:rsidR="00B74A78" w:rsidRPr="008A0D67">
        <w:rPr>
          <w:rFonts w:ascii="Times New Roman" w:hAnsi="Times New Roman" w:cs="Times New Roman"/>
        </w:rPr>
        <w:t>. Some</w:t>
      </w:r>
      <w:r w:rsidR="00BB1D66">
        <w:rPr>
          <w:rFonts w:ascii="Times New Roman" w:hAnsi="Times New Roman" w:cs="Times New Roman"/>
        </w:rPr>
        <w:t xml:space="preserve"> (like exclusively holistic explanations)</w:t>
      </w:r>
      <w:r w:rsidR="00B74A78" w:rsidRPr="008A0D67">
        <w:rPr>
          <w:rFonts w:ascii="Times New Roman" w:hAnsi="Times New Roman" w:cs="Times New Roman"/>
        </w:rPr>
        <w:t xml:space="preserve"> do not fit with the bath-</w:t>
      </w:r>
      <w:r w:rsidR="00141E16" w:rsidRPr="008A0D67">
        <w:rPr>
          <w:rFonts w:ascii="Times New Roman" w:hAnsi="Times New Roman" w:cs="Times New Roman"/>
        </w:rPr>
        <w:t>tub</w:t>
      </w:r>
      <w:r w:rsidR="00BB1D66">
        <w:rPr>
          <w:rFonts w:ascii="Times New Roman" w:hAnsi="Times New Roman" w:cs="Times New Roman"/>
        </w:rPr>
        <w:t>, or require additional</w:t>
      </w:r>
      <w:r w:rsidR="00141E16" w:rsidRPr="008A0D67">
        <w:rPr>
          <w:rFonts w:ascii="Times New Roman" w:hAnsi="Times New Roman" w:cs="Times New Roman"/>
        </w:rPr>
        <w:t xml:space="preserve"> analytical frameworks</w:t>
      </w:r>
      <w:r w:rsidR="00B11ECE" w:rsidRPr="008A0D67">
        <w:rPr>
          <w:rFonts w:ascii="Times New Roman" w:hAnsi="Times New Roman" w:cs="Times New Roman"/>
        </w:rPr>
        <w:t xml:space="preserve">. </w:t>
      </w:r>
      <w:r w:rsidR="00B74A78" w:rsidRPr="008A0D67">
        <w:rPr>
          <w:rFonts w:ascii="Times New Roman" w:hAnsi="Times New Roman" w:cs="Times New Roman"/>
        </w:rPr>
        <w:t xml:space="preserve">Like all models, </w:t>
      </w:r>
      <w:r w:rsidR="00141E16" w:rsidRPr="008A0D67">
        <w:rPr>
          <w:rFonts w:ascii="Times New Roman" w:hAnsi="Times New Roman" w:cs="Times New Roman"/>
        </w:rPr>
        <w:t>Coleman</w:t>
      </w:r>
      <w:r w:rsidR="00B74A78" w:rsidRPr="008A0D67">
        <w:rPr>
          <w:rFonts w:ascii="Times New Roman" w:hAnsi="Times New Roman" w:cs="Times New Roman"/>
        </w:rPr>
        <w:t>’s set of causal relationships</w:t>
      </w:r>
      <w:r w:rsidR="00A939E3">
        <w:rPr>
          <w:rFonts w:ascii="Times New Roman" w:hAnsi="Times New Roman" w:cs="Times New Roman"/>
        </w:rPr>
        <w:t xml:space="preserve"> may be accommodating a specific study only on one dimension (say, the macro dimension) even if the author of that study would emphatically deny value to micro-foundational analysis. It is the group of studies that we place onto the map that shows how the three set of relationships define learning, not the individual study.</w:t>
      </w:r>
    </w:p>
    <w:p w14:paraId="11D4ABDA" w14:textId="03A82581" w:rsidR="00BB1D66" w:rsidRDefault="00A939E3" w:rsidP="00A939E3">
      <w:pPr>
        <w:spacing w:after="160" w:line="360" w:lineRule="auto"/>
        <w:jc w:val="both"/>
        <w:rPr>
          <w:rFonts w:ascii="Times New Roman" w:hAnsi="Times New Roman" w:cs="Times New Roman"/>
        </w:rPr>
      </w:pPr>
      <w:r>
        <w:rPr>
          <w:rFonts w:ascii="Times New Roman" w:hAnsi="Times New Roman" w:cs="Times New Roman"/>
        </w:rPr>
        <w:t xml:space="preserve">Indeed, although this is not a review of the literature, it seems that the most famous studies of policy learning are </w:t>
      </w:r>
      <w:r w:rsidR="00F204A6" w:rsidRPr="008A0D67">
        <w:rPr>
          <w:rFonts w:ascii="Times New Roman" w:hAnsi="Times New Roman" w:cs="Times New Roman"/>
        </w:rPr>
        <w:t>empirically and theoretically engage</w:t>
      </w:r>
      <w:r w:rsidR="00EC6D82" w:rsidRPr="008A0D67">
        <w:rPr>
          <w:rFonts w:ascii="Times New Roman" w:hAnsi="Times New Roman" w:cs="Times New Roman"/>
        </w:rPr>
        <w:t>d with macro-macro explanations</w:t>
      </w:r>
      <w:r w:rsidR="00F204A6" w:rsidRPr="008A0D67">
        <w:rPr>
          <w:rFonts w:ascii="Times New Roman" w:hAnsi="Times New Roman" w:cs="Times New Roman"/>
        </w:rPr>
        <w:t>. To illustrate, in Heclo’</w:t>
      </w:r>
      <w:r w:rsidR="004E0432" w:rsidRPr="008A0D67">
        <w:rPr>
          <w:rFonts w:ascii="Times New Roman" w:hAnsi="Times New Roman" w:cs="Times New Roman"/>
        </w:rPr>
        <w:t>s classic</w:t>
      </w:r>
      <w:r w:rsidR="00F918EE" w:rsidRPr="008A0D67">
        <w:rPr>
          <w:rFonts w:ascii="Times New Roman" w:hAnsi="Times New Roman" w:cs="Times New Roman"/>
        </w:rPr>
        <w:t xml:space="preserve"> study of</w:t>
      </w:r>
      <w:r w:rsidR="00F204A6" w:rsidRPr="008A0D67">
        <w:rPr>
          <w:rFonts w:ascii="Times New Roman" w:hAnsi="Times New Roman" w:cs="Times New Roman"/>
        </w:rPr>
        <w:t xml:space="preserve"> social policy change in Britain and Sweden the </w:t>
      </w:r>
      <w:r w:rsidR="00F918EE" w:rsidRPr="008A0D67">
        <w:rPr>
          <w:rFonts w:ascii="Times New Roman" w:hAnsi="Times New Roman" w:cs="Times New Roman"/>
        </w:rPr>
        <w:t>re</w:t>
      </w:r>
      <w:r w:rsidR="00046399" w:rsidRPr="008A0D67">
        <w:rPr>
          <w:rFonts w:ascii="Times New Roman" w:hAnsi="Times New Roman" w:cs="Times New Roman"/>
        </w:rPr>
        <w:t>lationships about</w:t>
      </w:r>
      <w:r w:rsidR="00F204A6" w:rsidRPr="008A0D67">
        <w:rPr>
          <w:rFonts w:ascii="Times New Roman" w:hAnsi="Times New Roman" w:cs="Times New Roman"/>
        </w:rPr>
        <w:t xml:space="preserve"> learning and policy change </w:t>
      </w:r>
      <w:r w:rsidR="00046399" w:rsidRPr="008A0D67">
        <w:rPr>
          <w:rFonts w:ascii="Times New Roman" w:hAnsi="Times New Roman" w:cs="Times New Roman"/>
        </w:rPr>
        <w:t xml:space="preserve">are </w:t>
      </w:r>
      <w:r w:rsidR="00F204A6" w:rsidRPr="008A0D67">
        <w:rPr>
          <w:rFonts w:ascii="Times New Roman" w:hAnsi="Times New Roman" w:cs="Times New Roman"/>
        </w:rPr>
        <w:t xml:space="preserve">at the level of government-led policies (Heclo, 1974). </w:t>
      </w:r>
      <w:r w:rsidR="00BB1D66">
        <w:rPr>
          <w:rFonts w:ascii="Times New Roman" w:hAnsi="Times New Roman" w:cs="Times New Roman"/>
        </w:rPr>
        <w:t>H</w:t>
      </w:r>
      <w:r w:rsidR="004E0432" w:rsidRPr="008A0D67">
        <w:rPr>
          <w:rFonts w:ascii="Times New Roman" w:hAnsi="Times New Roman" w:cs="Times New Roman"/>
        </w:rPr>
        <w:t>is study tracks down the dynamics of unemployment insurance and old-age pensions over the long-term. Having described input</w:t>
      </w:r>
      <w:r w:rsidR="00364A48" w:rsidRPr="008A0D67">
        <w:rPr>
          <w:rFonts w:ascii="Times New Roman" w:hAnsi="Times New Roman" w:cs="Times New Roman"/>
        </w:rPr>
        <w:t>s</w:t>
      </w:r>
      <w:r w:rsidR="004E0432" w:rsidRPr="008A0D67">
        <w:rPr>
          <w:rFonts w:ascii="Times New Roman" w:hAnsi="Times New Roman" w:cs="Times New Roman"/>
        </w:rPr>
        <w:t>, processing of policy issues, output</w:t>
      </w:r>
      <w:r w:rsidR="00364A48" w:rsidRPr="008A0D67">
        <w:rPr>
          <w:rFonts w:ascii="Times New Roman" w:hAnsi="Times New Roman" w:cs="Times New Roman"/>
        </w:rPr>
        <w:t>s</w:t>
      </w:r>
      <w:r w:rsidR="004E0432" w:rsidRPr="008A0D67">
        <w:rPr>
          <w:rFonts w:ascii="Times New Roman" w:hAnsi="Times New Roman" w:cs="Times New Roman"/>
        </w:rPr>
        <w:t xml:space="preserve"> and feedback, Heclo famously concludes that the changes in social policy are part of a process of collective social learning that transcends power relations. These claims</w:t>
      </w:r>
      <w:r w:rsidR="000D301C" w:rsidRPr="008A0D67">
        <w:rPr>
          <w:rFonts w:ascii="Times New Roman" w:hAnsi="Times New Roman" w:cs="Times New Roman"/>
        </w:rPr>
        <w:t xml:space="preserve"> </w:t>
      </w:r>
      <w:r w:rsidR="00F015AA" w:rsidRPr="008A0D67">
        <w:rPr>
          <w:rFonts w:ascii="Times New Roman" w:hAnsi="Times New Roman" w:cs="Times New Roman"/>
        </w:rPr>
        <w:t>point toward</w:t>
      </w:r>
      <w:r w:rsidR="004E0432" w:rsidRPr="008A0D67">
        <w:rPr>
          <w:rFonts w:ascii="Times New Roman" w:hAnsi="Times New Roman" w:cs="Times New Roman"/>
        </w:rPr>
        <w:t xml:space="preserve"> macro-macro relations: </w:t>
      </w:r>
      <w:r w:rsidR="00BB1D66">
        <w:rPr>
          <w:rFonts w:ascii="Times New Roman" w:hAnsi="Times New Roman" w:cs="Times New Roman"/>
        </w:rPr>
        <w:t xml:space="preserve">variations of </w:t>
      </w:r>
      <w:r w:rsidR="004E0432" w:rsidRPr="008A0D67">
        <w:rPr>
          <w:rFonts w:ascii="Times New Roman" w:hAnsi="Times New Roman" w:cs="Times New Roman"/>
        </w:rPr>
        <w:t xml:space="preserve">learning in the two countries ‘causes’ </w:t>
      </w:r>
      <w:r w:rsidR="00BB1D66">
        <w:rPr>
          <w:rFonts w:ascii="Times New Roman" w:hAnsi="Times New Roman" w:cs="Times New Roman"/>
        </w:rPr>
        <w:t xml:space="preserve">variation in </w:t>
      </w:r>
      <w:r w:rsidR="00A53381">
        <w:rPr>
          <w:rFonts w:ascii="Times New Roman" w:hAnsi="Times New Roman" w:cs="Times New Roman"/>
        </w:rPr>
        <w:t>policy outcomes.</w:t>
      </w:r>
    </w:p>
    <w:p w14:paraId="3200E8FF" w14:textId="0CD11F52" w:rsidR="007D6927" w:rsidRPr="008A0D67" w:rsidRDefault="004E0432" w:rsidP="00BB1D66">
      <w:pPr>
        <w:spacing w:after="160" w:line="360" w:lineRule="auto"/>
        <w:jc w:val="both"/>
        <w:rPr>
          <w:rFonts w:ascii="Times New Roman" w:hAnsi="Times New Roman" w:cs="Times New Roman"/>
        </w:rPr>
      </w:pPr>
      <w:r w:rsidRPr="008A0D67">
        <w:rPr>
          <w:rFonts w:ascii="Times New Roman" w:hAnsi="Times New Roman" w:cs="Times New Roman"/>
        </w:rPr>
        <w:t xml:space="preserve">Yet, </w:t>
      </w:r>
      <w:r w:rsidRPr="008A0D67">
        <w:rPr>
          <w:rFonts w:ascii="Times New Roman" w:hAnsi="Times New Roman" w:cs="Times New Roman"/>
          <w:i/>
        </w:rPr>
        <w:t>Modern Social Policy in Britain and Sweden</w:t>
      </w:r>
      <w:r w:rsidRPr="008A0D67">
        <w:rPr>
          <w:rFonts w:ascii="Times New Roman" w:hAnsi="Times New Roman" w:cs="Times New Roman"/>
        </w:rPr>
        <w:t xml:space="preserve"> hints to the deeper causal</w:t>
      </w:r>
      <w:r w:rsidR="00046399" w:rsidRPr="008A0D67">
        <w:rPr>
          <w:rFonts w:ascii="Times New Roman" w:hAnsi="Times New Roman" w:cs="Times New Roman"/>
        </w:rPr>
        <w:t xml:space="preserve"> structure of learning</w:t>
      </w:r>
      <w:r w:rsidRPr="008A0D67">
        <w:rPr>
          <w:rFonts w:ascii="Times New Roman" w:hAnsi="Times New Roman" w:cs="Times New Roman"/>
        </w:rPr>
        <w:t xml:space="preserve">. </w:t>
      </w:r>
      <w:r w:rsidR="002573A2" w:rsidRPr="008A0D67">
        <w:rPr>
          <w:rFonts w:ascii="Times New Roman" w:hAnsi="Times New Roman" w:cs="Times New Roman"/>
        </w:rPr>
        <w:t xml:space="preserve">For Heclo, social learning is not something we observe only at the level of society. </w:t>
      </w:r>
      <w:r w:rsidR="002573A2" w:rsidRPr="008A0D67">
        <w:rPr>
          <w:rFonts w:ascii="Times New Roman" w:hAnsi="Times New Roman" w:cs="Times New Roman"/>
        </w:rPr>
        <w:lastRenderedPageBreak/>
        <w:t xml:space="preserve">Quite the contrary, learning is </w:t>
      </w:r>
      <w:r w:rsidR="000D301C" w:rsidRPr="008A0D67">
        <w:rPr>
          <w:rFonts w:ascii="Times New Roman" w:hAnsi="Times New Roman" w:cs="Times New Roman"/>
        </w:rPr>
        <w:t>generated only by individuals ‘</w:t>
      </w:r>
      <w:r w:rsidR="002573A2" w:rsidRPr="008A0D67">
        <w:rPr>
          <w:rFonts w:ascii="Times New Roman" w:hAnsi="Times New Roman" w:cs="Times New Roman"/>
        </w:rPr>
        <w:t>alone and in interaction these individuals acquire and produce changed patte</w:t>
      </w:r>
      <w:r w:rsidR="00CD3ECD" w:rsidRPr="008A0D67">
        <w:rPr>
          <w:rFonts w:ascii="Times New Roman" w:hAnsi="Times New Roman" w:cs="Times New Roman"/>
        </w:rPr>
        <w:t>rns of collective action’</w:t>
      </w:r>
      <w:r w:rsidR="002573A2" w:rsidRPr="008A0D67">
        <w:rPr>
          <w:rFonts w:ascii="Times New Roman" w:hAnsi="Times New Roman" w:cs="Times New Roman"/>
        </w:rPr>
        <w:t xml:space="preserve"> (Heclo, 1974:</w:t>
      </w:r>
      <w:r w:rsidR="001B69CF">
        <w:rPr>
          <w:rFonts w:ascii="Times New Roman" w:hAnsi="Times New Roman" w:cs="Times New Roman"/>
        </w:rPr>
        <w:t xml:space="preserve"> 306</w:t>
      </w:r>
      <w:r w:rsidR="002573A2" w:rsidRPr="008A0D67">
        <w:rPr>
          <w:rFonts w:ascii="Times New Roman" w:hAnsi="Times New Roman" w:cs="Times New Roman"/>
        </w:rPr>
        <w:t>). Thus, social learning has its own micro-foundation</w:t>
      </w:r>
      <w:r w:rsidR="00AC17BB" w:rsidRPr="008A0D67">
        <w:rPr>
          <w:rFonts w:ascii="Times New Roman" w:hAnsi="Times New Roman" w:cs="Times New Roman"/>
        </w:rPr>
        <w:t>s</w:t>
      </w:r>
      <w:r w:rsidR="002573A2" w:rsidRPr="008A0D67">
        <w:rPr>
          <w:rFonts w:ascii="Times New Roman" w:hAnsi="Times New Roman" w:cs="Times New Roman"/>
        </w:rPr>
        <w:t xml:space="preserve"> (from macro to micro) and micro-micro properties (interaction among individuals). Heclo describes learning as involving both individual cognition and the characteristics of the social environment in which the indivi</w:t>
      </w:r>
      <w:r w:rsidR="003B15CE" w:rsidRPr="008A0D67">
        <w:rPr>
          <w:rFonts w:ascii="Times New Roman" w:hAnsi="Times New Roman" w:cs="Times New Roman"/>
        </w:rPr>
        <w:t xml:space="preserve">dual operates. He </w:t>
      </w:r>
      <w:r w:rsidR="00DC40EA">
        <w:rPr>
          <w:rFonts w:ascii="Times New Roman" w:hAnsi="Times New Roman" w:cs="Times New Roman"/>
        </w:rPr>
        <w:t xml:space="preserve">approaches </w:t>
      </w:r>
      <w:r w:rsidR="008E59EA" w:rsidRPr="008A0D67">
        <w:rPr>
          <w:rFonts w:ascii="Times New Roman" w:hAnsi="Times New Roman" w:cs="Times New Roman"/>
        </w:rPr>
        <w:t>l</w:t>
      </w:r>
      <w:r w:rsidR="002573A2" w:rsidRPr="008A0D67">
        <w:rPr>
          <w:rFonts w:ascii="Times New Roman" w:hAnsi="Times New Roman" w:cs="Times New Roman"/>
        </w:rPr>
        <w:t>earning metaphoric</w:t>
      </w:r>
      <w:r w:rsidR="003B15CE" w:rsidRPr="008A0D67">
        <w:rPr>
          <w:rFonts w:ascii="Times New Roman" w:hAnsi="Times New Roman" w:cs="Times New Roman"/>
        </w:rPr>
        <w:t>ally:</w:t>
      </w:r>
      <w:r w:rsidR="002573A2" w:rsidRPr="008A0D67">
        <w:rPr>
          <w:rFonts w:ascii="Times New Roman" w:hAnsi="Times New Roman" w:cs="Times New Roman"/>
        </w:rPr>
        <w:t xml:space="preserve"> a maze in which the walls are re-patterned all the time; where individuals are bound in groups acting together; where the group disagrees on how to get out of the maze and more fundamentally on whether getting out is the best solution to the problem; and finally where there are many groups, not just one, inside the maze, and each group keeps getting in each other’s way (Heclo, 1974: 308). This is not to say that learning is random. Instead, learning is shaped by i</w:t>
      </w:r>
      <w:r w:rsidR="008E59EA" w:rsidRPr="008A0D67">
        <w:rPr>
          <w:rFonts w:ascii="Times New Roman" w:hAnsi="Times New Roman" w:cs="Times New Roman"/>
        </w:rPr>
        <w:t>ndividuals, organizations, the ‘</w:t>
      </w:r>
      <w:r w:rsidR="00FF382B" w:rsidRPr="008A0D67">
        <w:rPr>
          <w:rFonts w:ascii="Times New Roman" w:hAnsi="Times New Roman" w:cs="Times New Roman"/>
        </w:rPr>
        <w:t>cobweb</w:t>
      </w:r>
      <w:r w:rsidR="008E59EA" w:rsidRPr="008A0D67">
        <w:rPr>
          <w:rFonts w:ascii="Times New Roman" w:hAnsi="Times New Roman" w:cs="Times New Roman"/>
        </w:rPr>
        <w:t xml:space="preserve"> of interaction’</w:t>
      </w:r>
      <w:r w:rsidR="002573A2" w:rsidRPr="008A0D67">
        <w:rPr>
          <w:rFonts w:ascii="Times New Roman" w:hAnsi="Times New Roman" w:cs="Times New Roman"/>
        </w:rPr>
        <w:t xml:space="preserve"> (Heclo, 1974: 307) and the feedback effe</w:t>
      </w:r>
      <w:r w:rsidR="000961A1">
        <w:rPr>
          <w:rFonts w:ascii="Times New Roman" w:hAnsi="Times New Roman" w:cs="Times New Roman"/>
        </w:rPr>
        <w:t>cts of previous policy choices.</w:t>
      </w:r>
    </w:p>
    <w:p w14:paraId="039B0D95" w14:textId="1E957F7F" w:rsidR="00FF382B" w:rsidRPr="008A0D67" w:rsidRDefault="00FF382B" w:rsidP="007D6927">
      <w:pPr>
        <w:spacing w:after="160" w:line="360" w:lineRule="auto"/>
        <w:jc w:val="both"/>
        <w:rPr>
          <w:rFonts w:ascii="Times New Roman" w:hAnsi="Times New Roman" w:cs="Times New Roman"/>
        </w:rPr>
      </w:pPr>
      <w:r w:rsidRPr="008A0D67">
        <w:rPr>
          <w:rFonts w:ascii="Times New Roman" w:hAnsi="Times New Roman" w:cs="Times New Roman"/>
        </w:rPr>
        <w:t xml:space="preserve">We can go further in portraying mechanisms of learning by </w:t>
      </w:r>
      <w:r w:rsidR="003C017B" w:rsidRPr="008A0D67">
        <w:rPr>
          <w:rFonts w:ascii="Times New Roman" w:hAnsi="Times New Roman" w:cs="Times New Roman"/>
        </w:rPr>
        <w:t>turning to</w:t>
      </w:r>
      <w:r w:rsidRPr="008A0D67">
        <w:rPr>
          <w:rFonts w:ascii="Times New Roman" w:hAnsi="Times New Roman" w:cs="Times New Roman"/>
        </w:rPr>
        <w:t xml:space="preserve"> another classic author, Karl Deutsch</w:t>
      </w:r>
      <w:r w:rsidR="003C017B" w:rsidRPr="008A0D67">
        <w:rPr>
          <w:rFonts w:ascii="Times New Roman" w:hAnsi="Times New Roman" w:cs="Times New Roman"/>
        </w:rPr>
        <w:t xml:space="preserve"> (1966)</w:t>
      </w:r>
      <w:r w:rsidRPr="008A0D67">
        <w:rPr>
          <w:rFonts w:ascii="Times New Roman" w:hAnsi="Times New Roman" w:cs="Times New Roman"/>
        </w:rPr>
        <w:t xml:space="preserve">. For Deutsch, feedback goes well beyond the </w:t>
      </w:r>
      <w:r w:rsidRPr="008A0D67">
        <w:rPr>
          <w:rFonts w:ascii="Times New Roman" w:hAnsi="Times New Roman" w:cs="Times New Roman"/>
          <w:bCs/>
        </w:rPr>
        <w:t xml:space="preserve">capacity to respond to the environment and re-create equilibrium. Learning capacity is generative of </w:t>
      </w:r>
      <w:r w:rsidR="00DC40EA">
        <w:rPr>
          <w:rFonts w:ascii="Times New Roman" w:hAnsi="Times New Roman" w:cs="Times New Roman"/>
          <w:bCs/>
        </w:rPr>
        <w:t>change. L</w:t>
      </w:r>
      <w:r w:rsidR="0095519C" w:rsidRPr="008A0D67">
        <w:rPr>
          <w:rFonts w:ascii="Times New Roman" w:hAnsi="Times New Roman" w:cs="Times New Roman"/>
          <w:bCs/>
        </w:rPr>
        <w:t>earning</w:t>
      </w:r>
      <w:r w:rsidRPr="008A0D67">
        <w:rPr>
          <w:rFonts w:ascii="Times New Roman" w:hAnsi="Times New Roman" w:cs="Times New Roman"/>
          <w:bCs/>
        </w:rPr>
        <w:t xml:space="preserve"> </w:t>
      </w:r>
      <w:r w:rsidR="00DC40EA">
        <w:rPr>
          <w:rFonts w:ascii="Times New Roman" w:hAnsi="Times New Roman" w:cs="Times New Roman"/>
          <w:bCs/>
        </w:rPr>
        <w:t xml:space="preserve">is </w:t>
      </w:r>
      <w:r w:rsidRPr="008A0D67">
        <w:rPr>
          <w:rFonts w:ascii="Times New Roman" w:hAnsi="Times New Roman" w:cs="Times New Roman"/>
          <w:bCs/>
        </w:rPr>
        <w:t>observed in actions that are produced in response to information. But</w:t>
      </w:r>
      <w:r w:rsidR="0095519C" w:rsidRPr="008A0D67">
        <w:rPr>
          <w:rFonts w:ascii="Times New Roman" w:hAnsi="Times New Roman" w:cs="Times New Roman"/>
          <w:bCs/>
        </w:rPr>
        <w:t>, the information input ‘</w:t>
      </w:r>
      <w:r w:rsidRPr="008A0D67">
        <w:rPr>
          <w:rFonts w:ascii="Times New Roman" w:hAnsi="Times New Roman" w:cs="Times New Roman"/>
          <w:bCs/>
        </w:rPr>
        <w:t>includes the results of its own action in the new information by which it m</w:t>
      </w:r>
      <w:r w:rsidR="0095519C" w:rsidRPr="008A0D67">
        <w:rPr>
          <w:rFonts w:ascii="Times New Roman" w:hAnsi="Times New Roman" w:cs="Times New Roman"/>
          <w:bCs/>
        </w:rPr>
        <w:t>odifies its subsequent behavior’</w:t>
      </w:r>
      <w:r w:rsidRPr="008A0D67">
        <w:rPr>
          <w:rFonts w:ascii="Times New Roman" w:hAnsi="Times New Roman" w:cs="Times New Roman"/>
          <w:bCs/>
        </w:rPr>
        <w:t xml:space="preserve"> (Deutsch 1966: 88). Learning capacity is m</w:t>
      </w:r>
      <w:r w:rsidR="00D35DDC" w:rsidRPr="008A0D67">
        <w:rPr>
          <w:rFonts w:ascii="Times New Roman" w:hAnsi="Times New Roman" w:cs="Times New Roman"/>
          <w:bCs/>
        </w:rPr>
        <w:t>ore advanced than the classic (‘mechanistic’</w:t>
      </w:r>
      <w:r w:rsidRPr="008A0D67">
        <w:rPr>
          <w:rFonts w:ascii="Times New Roman" w:hAnsi="Times New Roman" w:cs="Times New Roman"/>
          <w:bCs/>
        </w:rPr>
        <w:t xml:space="preserve"> for Deutsch 1966: 185) concept of equilibrium. In fact, a learning system is in principle equipped to pursue changing goals. Feedback in a learning system is a relationship between micro and macro – turning to Coleman’s category. But</w:t>
      </w:r>
      <w:r w:rsidR="001D764A" w:rsidRPr="008A0D67">
        <w:rPr>
          <w:rFonts w:ascii="Times New Roman" w:hAnsi="Times New Roman" w:cs="Times New Roman"/>
          <w:bCs/>
        </w:rPr>
        <w:t>,</w:t>
      </w:r>
      <w:r w:rsidRPr="008A0D67">
        <w:rPr>
          <w:rFonts w:ascii="Times New Roman" w:hAnsi="Times New Roman" w:cs="Times New Roman"/>
          <w:bCs/>
        </w:rPr>
        <w:t xml:space="preserve"> the macro context is constantly re</w:t>
      </w:r>
      <w:r w:rsidR="009B324D" w:rsidRPr="008A0D67">
        <w:rPr>
          <w:rFonts w:ascii="Times New Roman" w:hAnsi="Times New Roman" w:cs="Times New Roman"/>
          <w:bCs/>
        </w:rPr>
        <w:t>-</w:t>
      </w:r>
      <w:r w:rsidRPr="008A0D67">
        <w:rPr>
          <w:rFonts w:ascii="Times New Roman" w:hAnsi="Times New Roman" w:cs="Times New Roman"/>
          <w:bCs/>
        </w:rPr>
        <w:t xml:space="preserve">patterned, like the </w:t>
      </w:r>
      <w:r w:rsidR="009B324D" w:rsidRPr="008A0D67">
        <w:rPr>
          <w:rFonts w:ascii="Times New Roman" w:hAnsi="Times New Roman" w:cs="Times New Roman"/>
          <w:bCs/>
        </w:rPr>
        <w:t xml:space="preserve">walls in Heclo’s </w:t>
      </w:r>
      <w:r w:rsidRPr="008A0D67">
        <w:rPr>
          <w:rFonts w:ascii="Times New Roman" w:hAnsi="Times New Roman" w:cs="Times New Roman"/>
          <w:bCs/>
        </w:rPr>
        <w:t>maze. Indeed, for Deutsch</w:t>
      </w:r>
      <w:r w:rsidR="001D764A" w:rsidRPr="008A0D67">
        <w:rPr>
          <w:rFonts w:ascii="Times New Roman" w:hAnsi="Times New Roman" w:cs="Times New Roman"/>
          <w:bCs/>
        </w:rPr>
        <w:t>,</w:t>
      </w:r>
      <w:r w:rsidRPr="008A0D67">
        <w:rPr>
          <w:rFonts w:ascii="Times New Roman" w:hAnsi="Times New Roman" w:cs="Times New Roman"/>
          <w:bCs/>
        </w:rPr>
        <w:t xml:space="preserve"> feedback in a learning system generates a trajectory like the one of a zigzagging rabbit. The rabbit d</w:t>
      </w:r>
      <w:r w:rsidR="00ED6DF3" w:rsidRPr="008A0D67">
        <w:rPr>
          <w:rFonts w:ascii="Times New Roman" w:hAnsi="Times New Roman" w:cs="Times New Roman"/>
          <w:bCs/>
        </w:rPr>
        <w:t>oes not search for a</w:t>
      </w:r>
      <w:r w:rsidR="009B324D" w:rsidRPr="008A0D67">
        <w:rPr>
          <w:rFonts w:ascii="Times New Roman" w:hAnsi="Times New Roman" w:cs="Times New Roman"/>
          <w:bCs/>
        </w:rPr>
        <w:t xml:space="preserve"> homeostatic path</w:t>
      </w:r>
      <w:r w:rsidR="00A56DB7">
        <w:rPr>
          <w:rFonts w:ascii="Times New Roman" w:hAnsi="Times New Roman" w:cs="Times New Roman"/>
          <w:bCs/>
        </w:rPr>
        <w:t>, trying to get</w:t>
      </w:r>
      <w:r w:rsidR="009B324D" w:rsidRPr="008A0D67">
        <w:rPr>
          <w:rFonts w:ascii="Times New Roman" w:hAnsi="Times New Roman" w:cs="Times New Roman"/>
          <w:bCs/>
        </w:rPr>
        <w:t xml:space="preserve"> back to</w:t>
      </w:r>
      <w:r w:rsidR="00A56DB7">
        <w:rPr>
          <w:rFonts w:ascii="Times New Roman" w:hAnsi="Times New Roman" w:cs="Times New Roman"/>
          <w:bCs/>
        </w:rPr>
        <w:t xml:space="preserve"> the old equilibrium. Instead the rabbit</w:t>
      </w:r>
      <w:r w:rsidRPr="008A0D67">
        <w:rPr>
          <w:rFonts w:ascii="Times New Roman" w:hAnsi="Times New Roman" w:cs="Times New Roman"/>
          <w:bCs/>
        </w:rPr>
        <w:t xml:space="preserve"> re-calculates the optimal trajectory in a cybernetic ‘maze’ and</w:t>
      </w:r>
      <w:r w:rsidR="00ED6DF3" w:rsidRPr="008A0D67">
        <w:rPr>
          <w:rFonts w:ascii="Times New Roman" w:hAnsi="Times New Roman" w:cs="Times New Roman"/>
          <w:bCs/>
        </w:rPr>
        <w:t>,</w:t>
      </w:r>
      <w:r w:rsidRPr="008A0D67">
        <w:rPr>
          <w:rFonts w:ascii="Times New Roman" w:hAnsi="Times New Roman" w:cs="Times New Roman"/>
          <w:bCs/>
        </w:rPr>
        <w:t xml:space="preserve"> because of this</w:t>
      </w:r>
      <w:r w:rsidR="00ED6DF3" w:rsidRPr="008A0D67">
        <w:rPr>
          <w:rFonts w:ascii="Times New Roman" w:hAnsi="Times New Roman" w:cs="Times New Roman"/>
          <w:bCs/>
        </w:rPr>
        <w:t>,</w:t>
      </w:r>
      <w:r w:rsidRPr="008A0D67">
        <w:rPr>
          <w:rFonts w:ascii="Times New Roman" w:hAnsi="Times New Roman" w:cs="Times New Roman"/>
          <w:bCs/>
        </w:rPr>
        <w:t xml:space="preserve"> is capable of creative, unexpected changes. </w:t>
      </w:r>
    </w:p>
    <w:p w14:paraId="47C10B65" w14:textId="10BDD626" w:rsidR="004E0432" w:rsidRPr="008A0D67" w:rsidRDefault="007D6927" w:rsidP="00D222E8">
      <w:pPr>
        <w:spacing w:after="160" w:line="360" w:lineRule="auto"/>
        <w:jc w:val="both"/>
        <w:rPr>
          <w:rFonts w:ascii="Times New Roman" w:hAnsi="Times New Roman" w:cs="Times New Roman"/>
        </w:rPr>
      </w:pPr>
      <w:r w:rsidRPr="008A0D67">
        <w:rPr>
          <w:rFonts w:ascii="Times New Roman" w:hAnsi="Times New Roman" w:cs="Times New Roman"/>
        </w:rPr>
        <w:t>Thus, the components of the bath-tub we are trying to develop existed already in these classic studies: micro-f</w:t>
      </w:r>
      <w:r w:rsidR="009B324D" w:rsidRPr="008A0D67">
        <w:rPr>
          <w:rFonts w:ascii="Times New Roman" w:hAnsi="Times New Roman" w:cs="Times New Roman"/>
        </w:rPr>
        <w:t>oundations, the group or network dimension</w:t>
      </w:r>
      <w:r w:rsidRPr="008A0D67">
        <w:rPr>
          <w:rFonts w:ascii="Times New Roman" w:hAnsi="Times New Roman" w:cs="Times New Roman"/>
        </w:rPr>
        <w:t xml:space="preserve">, and the complex interaction between cognition and the characteristics of the situation and the environment. But who learns, exactly, in public policy? </w:t>
      </w:r>
      <w:r w:rsidR="002573A2" w:rsidRPr="008A0D67">
        <w:rPr>
          <w:rFonts w:ascii="Times New Roman" w:hAnsi="Times New Roman" w:cs="Times New Roman"/>
        </w:rPr>
        <w:t xml:space="preserve">The </w:t>
      </w:r>
      <w:r w:rsidRPr="008A0D67">
        <w:rPr>
          <w:rFonts w:ascii="Times New Roman" w:hAnsi="Times New Roman" w:cs="Times New Roman"/>
        </w:rPr>
        <w:t xml:space="preserve">agents of </w:t>
      </w:r>
      <w:r w:rsidR="009B324D" w:rsidRPr="008A0D67">
        <w:rPr>
          <w:rFonts w:ascii="Times New Roman" w:hAnsi="Times New Roman" w:cs="Times New Roman"/>
        </w:rPr>
        <w:t xml:space="preserve">social </w:t>
      </w:r>
      <w:r w:rsidRPr="008A0D67">
        <w:rPr>
          <w:rFonts w:ascii="Times New Roman" w:hAnsi="Times New Roman" w:cs="Times New Roman"/>
        </w:rPr>
        <w:t>learning</w:t>
      </w:r>
      <w:r w:rsidR="009B324D" w:rsidRPr="008A0D67">
        <w:rPr>
          <w:rFonts w:ascii="Times New Roman" w:hAnsi="Times New Roman" w:cs="Times New Roman"/>
        </w:rPr>
        <w:t xml:space="preserve"> in</w:t>
      </w:r>
      <w:r w:rsidRPr="008A0D67">
        <w:rPr>
          <w:rFonts w:ascii="Times New Roman" w:hAnsi="Times New Roman" w:cs="Times New Roman"/>
        </w:rPr>
        <w:t xml:space="preserve"> Heclo</w:t>
      </w:r>
      <w:r w:rsidR="002573A2" w:rsidRPr="008A0D67">
        <w:rPr>
          <w:rFonts w:ascii="Times New Roman" w:hAnsi="Times New Roman" w:cs="Times New Roman"/>
        </w:rPr>
        <w:t xml:space="preserve"> are eminently</w:t>
      </w:r>
      <w:r w:rsidR="003703DB">
        <w:rPr>
          <w:rFonts w:ascii="Times New Roman" w:hAnsi="Times New Roman" w:cs="Times New Roman"/>
        </w:rPr>
        <w:t xml:space="preserve"> individuals belonging</w:t>
      </w:r>
      <w:r w:rsidR="002573A2" w:rsidRPr="008A0D67">
        <w:rPr>
          <w:rFonts w:ascii="Times New Roman" w:hAnsi="Times New Roman" w:cs="Times New Roman"/>
        </w:rPr>
        <w:t xml:space="preserve"> the administrative and ministerial elites,</w:t>
      </w:r>
      <w:r w:rsidR="003703DB">
        <w:rPr>
          <w:rFonts w:ascii="Times New Roman" w:hAnsi="Times New Roman" w:cs="Times New Roman"/>
        </w:rPr>
        <w:t xml:space="preserve"> hence our micro-foundations should model the incentives and motivation of the bureaucrat. But</w:t>
      </w:r>
      <w:r w:rsidR="001A0EC4">
        <w:rPr>
          <w:rFonts w:ascii="Times New Roman" w:hAnsi="Times New Roman" w:cs="Times New Roman"/>
        </w:rPr>
        <w:t>,</w:t>
      </w:r>
      <w:r w:rsidR="003703DB">
        <w:rPr>
          <w:rFonts w:ascii="Times New Roman" w:hAnsi="Times New Roman" w:cs="Times New Roman"/>
        </w:rPr>
        <w:t xml:space="preserve"> l</w:t>
      </w:r>
      <w:r w:rsidR="002573A2" w:rsidRPr="008A0D67">
        <w:rPr>
          <w:rFonts w:ascii="Times New Roman" w:hAnsi="Times New Roman" w:cs="Times New Roman"/>
        </w:rPr>
        <w:t xml:space="preserve">ater in the history of comparative public policy, the notion of ‘social learning’ became to cover wider categories of policy choices that </w:t>
      </w:r>
      <w:r w:rsidR="002573A2" w:rsidRPr="008A0D67">
        <w:rPr>
          <w:rFonts w:ascii="Times New Roman" w:hAnsi="Times New Roman" w:cs="Times New Roman"/>
        </w:rPr>
        <w:lastRenderedPageBreak/>
        <w:t>affect society in a broader sense. This is Peter Hall’s</w:t>
      </w:r>
      <w:r w:rsidR="008D19E5" w:rsidRPr="008A0D67">
        <w:rPr>
          <w:rFonts w:ascii="Times New Roman" w:hAnsi="Times New Roman" w:cs="Times New Roman"/>
        </w:rPr>
        <w:t xml:space="preserve"> (1993)</w:t>
      </w:r>
      <w:r w:rsidR="002573A2" w:rsidRPr="008A0D67">
        <w:rPr>
          <w:rFonts w:ascii="Times New Roman" w:hAnsi="Times New Roman" w:cs="Times New Roman"/>
        </w:rPr>
        <w:t xml:space="preserve"> </w:t>
      </w:r>
      <w:r w:rsidR="00FF382B" w:rsidRPr="008A0D67">
        <w:rPr>
          <w:rFonts w:ascii="Times New Roman" w:hAnsi="Times New Roman" w:cs="Times New Roman"/>
        </w:rPr>
        <w:t xml:space="preserve">paradigmatic or third-order change, a change that is socially embedded </w:t>
      </w:r>
      <w:r w:rsidR="009B324D" w:rsidRPr="008A0D67">
        <w:rPr>
          <w:rFonts w:ascii="Times New Roman" w:hAnsi="Times New Roman" w:cs="Times New Roman"/>
        </w:rPr>
        <w:t>– then</w:t>
      </w:r>
      <w:r w:rsidR="003703DB">
        <w:rPr>
          <w:rFonts w:ascii="Times New Roman" w:hAnsi="Times New Roman" w:cs="Times New Roman"/>
        </w:rPr>
        <w:t>,</w:t>
      </w:r>
      <w:r w:rsidR="009B324D" w:rsidRPr="008A0D67">
        <w:rPr>
          <w:rFonts w:ascii="Times New Roman" w:hAnsi="Times New Roman" w:cs="Times New Roman"/>
        </w:rPr>
        <w:t xml:space="preserve"> it goes </w:t>
      </w:r>
      <w:r w:rsidR="00FF382B" w:rsidRPr="008A0D67">
        <w:rPr>
          <w:rFonts w:ascii="Times New Roman" w:hAnsi="Times New Roman" w:cs="Times New Roman"/>
        </w:rPr>
        <w:t>beyond bureaucratic elites. Learning is collective sense-making, when a society at a certain moment in history converges through discursive practices towards a new understanding of what ‘good policy’ is.</w:t>
      </w:r>
      <w:r w:rsidRPr="008A0D67">
        <w:rPr>
          <w:rFonts w:ascii="Times New Roman" w:hAnsi="Times New Roman" w:cs="Times New Roman"/>
        </w:rPr>
        <w:t xml:space="preserve"> This is yet another way of considering the micro-macro relationship – capturing the dynamics of public discourse and the ‘social’ </w:t>
      </w:r>
      <w:r w:rsidR="00C1522F" w:rsidRPr="008A0D67">
        <w:rPr>
          <w:rFonts w:ascii="Times New Roman" w:hAnsi="Times New Roman" w:cs="Times New Roman"/>
        </w:rPr>
        <w:t>widely</w:t>
      </w:r>
      <w:r w:rsidRPr="008A0D67">
        <w:rPr>
          <w:rFonts w:ascii="Times New Roman" w:hAnsi="Times New Roman" w:cs="Times New Roman"/>
        </w:rPr>
        <w:t xml:space="preserve"> defined.</w:t>
      </w:r>
      <w:r w:rsidR="003703DB">
        <w:rPr>
          <w:rFonts w:ascii="Times New Roman" w:hAnsi="Times New Roman" w:cs="Times New Roman"/>
        </w:rPr>
        <w:t xml:space="preserve"> In this sense, micro-foundations direct us towards the citizen and how public discourse emerges in the interaction b</w:t>
      </w:r>
      <w:r w:rsidR="00620207">
        <w:rPr>
          <w:rFonts w:ascii="Times New Roman" w:hAnsi="Times New Roman" w:cs="Times New Roman"/>
        </w:rPr>
        <w:t>etween elites and individuals.</w:t>
      </w:r>
    </w:p>
    <w:p w14:paraId="31583062" w14:textId="5D65E838" w:rsidR="00C411F9" w:rsidRPr="008A0D67" w:rsidRDefault="003703DB" w:rsidP="007F16BD">
      <w:pPr>
        <w:spacing w:after="160" w:line="360" w:lineRule="auto"/>
        <w:jc w:val="both"/>
        <w:rPr>
          <w:rFonts w:ascii="Times New Roman" w:hAnsi="Times New Roman" w:cs="Times New Roman"/>
        </w:rPr>
      </w:pPr>
      <w:r>
        <w:rPr>
          <w:rFonts w:ascii="Times New Roman" w:hAnsi="Times New Roman" w:cs="Times New Roman"/>
        </w:rPr>
        <w:t>We can then</w:t>
      </w:r>
      <w:r w:rsidR="00C411F9" w:rsidRPr="008A0D67">
        <w:rPr>
          <w:rFonts w:ascii="Times New Roman" w:hAnsi="Times New Roman" w:cs="Times New Roman"/>
        </w:rPr>
        <w:t xml:space="preserve"> proceed and examine the components of the bath-tub systematically, drawing on the literature that appeared since the days of Deutsch and Heclo. </w:t>
      </w:r>
      <w:r w:rsidR="007F16BD">
        <w:rPr>
          <w:rFonts w:ascii="Times New Roman" w:hAnsi="Times New Roman" w:cs="Times New Roman"/>
        </w:rPr>
        <w:t>When necessary, we move from policy learning to</w:t>
      </w:r>
      <w:r w:rsidR="001675E7">
        <w:rPr>
          <w:rFonts w:ascii="Times New Roman" w:hAnsi="Times New Roman" w:cs="Times New Roman"/>
        </w:rPr>
        <w:t xml:space="preserve"> wider political and </w:t>
      </w:r>
      <w:r w:rsidR="00AF47A8">
        <w:rPr>
          <w:rFonts w:ascii="Times New Roman" w:hAnsi="Times New Roman" w:cs="Times New Roman"/>
        </w:rPr>
        <w:t>behavioral</w:t>
      </w:r>
      <w:r>
        <w:rPr>
          <w:rFonts w:ascii="Times New Roman" w:hAnsi="Times New Roman" w:cs="Times New Roman"/>
        </w:rPr>
        <w:t xml:space="preserve"> sciences</w:t>
      </w:r>
      <w:r w:rsidR="007F16BD">
        <w:rPr>
          <w:rFonts w:ascii="Times New Roman" w:hAnsi="Times New Roman" w:cs="Times New Roman"/>
        </w:rPr>
        <w:t>, thus contributing to filling the gaps in the literature on learning.</w:t>
      </w:r>
    </w:p>
    <w:p w14:paraId="474B4CA2" w14:textId="77777777" w:rsidR="003E3B3A" w:rsidRPr="008A0D67" w:rsidRDefault="003E3B3A" w:rsidP="003E3B3A">
      <w:pPr>
        <w:spacing w:after="160" w:line="360" w:lineRule="auto"/>
        <w:jc w:val="both"/>
        <w:rPr>
          <w:rFonts w:ascii="Times New Roman" w:hAnsi="Times New Roman" w:cs="Times New Roman"/>
        </w:rPr>
      </w:pPr>
    </w:p>
    <w:p w14:paraId="2189E515" w14:textId="70644C02" w:rsidR="003E3B3A" w:rsidRPr="008A0D67" w:rsidRDefault="001A126C" w:rsidP="004C356D">
      <w:pPr>
        <w:pStyle w:val="ListParagraph"/>
        <w:numPr>
          <w:ilvl w:val="0"/>
          <w:numId w:val="11"/>
        </w:numPr>
        <w:spacing w:after="160" w:line="360" w:lineRule="auto"/>
        <w:jc w:val="both"/>
        <w:rPr>
          <w:rFonts w:ascii="Times New Roman" w:hAnsi="Times New Roman" w:cs="Times New Roman"/>
          <w:b/>
        </w:rPr>
      </w:pPr>
      <w:r w:rsidRPr="008A0D67">
        <w:rPr>
          <w:rFonts w:ascii="Times New Roman" w:hAnsi="Times New Roman" w:cs="Times New Roman"/>
          <w:b/>
        </w:rPr>
        <w:t>Establishing the Micro-F</w:t>
      </w:r>
      <w:r w:rsidR="00E075EE" w:rsidRPr="008A0D67">
        <w:rPr>
          <w:rFonts w:ascii="Times New Roman" w:hAnsi="Times New Roman" w:cs="Times New Roman"/>
          <w:b/>
        </w:rPr>
        <w:t xml:space="preserve">oundations: </w:t>
      </w:r>
      <w:r w:rsidR="00297AD9" w:rsidRPr="008A0D67">
        <w:rPr>
          <w:rFonts w:ascii="Times New Roman" w:hAnsi="Times New Roman" w:cs="Times New Roman"/>
          <w:b/>
        </w:rPr>
        <w:t>From Macro to Micro</w:t>
      </w:r>
    </w:p>
    <w:p w14:paraId="7C830715" w14:textId="46799E82" w:rsidR="005B34FA" w:rsidRPr="008A0D67" w:rsidRDefault="00F31FCD" w:rsidP="005B34FA">
      <w:pPr>
        <w:spacing w:after="160" w:line="360" w:lineRule="auto"/>
        <w:jc w:val="both"/>
        <w:rPr>
          <w:rFonts w:ascii="Times New Roman" w:hAnsi="Times New Roman" w:cs="Times New Roman"/>
        </w:rPr>
      </w:pPr>
      <w:r w:rsidRPr="008A0D67">
        <w:rPr>
          <w:rFonts w:ascii="Times New Roman" w:hAnsi="Times New Roman" w:cs="Times New Roman"/>
        </w:rPr>
        <w:t xml:space="preserve">Micro-foundations concern </w:t>
      </w:r>
      <w:r w:rsidR="00201DA5" w:rsidRPr="008A0D67">
        <w:rPr>
          <w:rFonts w:ascii="Times New Roman" w:hAnsi="Times New Roman" w:cs="Times New Roman"/>
        </w:rPr>
        <w:t xml:space="preserve">explanations of </w:t>
      </w:r>
      <w:r w:rsidRPr="008A0D67">
        <w:rPr>
          <w:rFonts w:ascii="Times New Roman" w:hAnsi="Times New Roman" w:cs="Times New Roman"/>
        </w:rPr>
        <w:t xml:space="preserve">individual </w:t>
      </w:r>
      <w:r w:rsidR="001D41CA" w:rsidRPr="008A0D67">
        <w:rPr>
          <w:rFonts w:ascii="Times New Roman" w:hAnsi="Times New Roman" w:cs="Times New Roman"/>
        </w:rPr>
        <w:t>behavior</w:t>
      </w:r>
      <w:r w:rsidR="00201DA5" w:rsidRPr="008A0D67">
        <w:rPr>
          <w:rFonts w:ascii="Times New Roman" w:hAnsi="Times New Roman" w:cs="Times New Roman"/>
        </w:rPr>
        <w:t xml:space="preserve"> that provide</w:t>
      </w:r>
      <w:r w:rsidRPr="008A0D67">
        <w:rPr>
          <w:rFonts w:ascii="Times New Roman" w:hAnsi="Times New Roman" w:cs="Times New Roman"/>
        </w:rPr>
        <w:t xml:space="preserve"> the rationale for what we observe at the macro level. </w:t>
      </w:r>
      <w:r w:rsidR="00BA71CA" w:rsidRPr="008A0D67">
        <w:rPr>
          <w:rFonts w:ascii="Times New Roman" w:hAnsi="Times New Roman" w:cs="Times New Roman"/>
        </w:rPr>
        <w:t xml:space="preserve">This brings us into the world of cognition. </w:t>
      </w:r>
      <w:r w:rsidR="005B34FA" w:rsidRPr="008A0D67">
        <w:rPr>
          <w:rFonts w:ascii="Times New Roman" w:hAnsi="Times New Roman" w:cs="Times New Roman"/>
        </w:rPr>
        <w:t>The</w:t>
      </w:r>
      <w:r w:rsidR="00597A14" w:rsidRPr="008A0D67">
        <w:rPr>
          <w:rFonts w:ascii="Times New Roman" w:hAnsi="Times New Roman" w:cs="Times New Roman"/>
        </w:rPr>
        <w:t xml:space="preserve"> tradition of so-called rational policy analysis (Carley, 1980)</w:t>
      </w:r>
      <w:r w:rsidR="005B34FA" w:rsidRPr="008A0D67">
        <w:rPr>
          <w:rFonts w:ascii="Times New Roman" w:hAnsi="Times New Roman" w:cs="Times New Roman"/>
        </w:rPr>
        <w:t xml:space="preserve"> and, with much less normative emphasis on the ‘rational’ side of things, Bayesian </w:t>
      </w:r>
      <w:r w:rsidR="007F16BD">
        <w:rPr>
          <w:rFonts w:ascii="Times New Roman" w:hAnsi="Times New Roman" w:cs="Times New Roman"/>
        </w:rPr>
        <w:t>decision theory</w:t>
      </w:r>
      <w:r w:rsidR="005B34FA" w:rsidRPr="008A0D67">
        <w:rPr>
          <w:rFonts w:ascii="Times New Roman" w:hAnsi="Times New Roman" w:cs="Times New Roman"/>
        </w:rPr>
        <w:t xml:space="preserve"> </w:t>
      </w:r>
      <w:r w:rsidR="009B324D" w:rsidRPr="008A0D67">
        <w:rPr>
          <w:rFonts w:ascii="Times New Roman" w:hAnsi="Times New Roman" w:cs="Times New Roman"/>
        </w:rPr>
        <w:t>provide</w:t>
      </w:r>
      <w:r w:rsidR="005B34FA" w:rsidRPr="008A0D67">
        <w:rPr>
          <w:rFonts w:ascii="Times New Roman" w:hAnsi="Times New Roman" w:cs="Times New Roman"/>
        </w:rPr>
        <w:t xml:space="preserve"> a simple way of thinking about the micro foundations. In a nutshell, (instrumental) learning is about using evidence to adjust</w:t>
      </w:r>
      <w:r w:rsidR="00AE1B73">
        <w:rPr>
          <w:rFonts w:ascii="Times New Roman" w:hAnsi="Times New Roman" w:cs="Times New Roman"/>
        </w:rPr>
        <w:t xml:space="preserve"> (coherently)</w:t>
      </w:r>
      <w:r w:rsidR="005B34FA" w:rsidRPr="008A0D67">
        <w:rPr>
          <w:rFonts w:ascii="Times New Roman" w:hAnsi="Times New Roman" w:cs="Times New Roman"/>
        </w:rPr>
        <w:t xml:space="preserve"> our priors to reality and behave consequently. Cognition is about reasoning on evidence. In turn, evidence come</w:t>
      </w:r>
      <w:r w:rsidR="007F16BD">
        <w:rPr>
          <w:rFonts w:ascii="Times New Roman" w:hAnsi="Times New Roman" w:cs="Times New Roman"/>
        </w:rPr>
        <w:t>s</w:t>
      </w:r>
      <w:r w:rsidR="005B34FA" w:rsidRPr="008A0D67">
        <w:rPr>
          <w:rFonts w:ascii="Times New Roman" w:hAnsi="Times New Roman" w:cs="Times New Roman"/>
        </w:rPr>
        <w:t xml:space="preserve"> from what we see or from the interaction we take part in – opening the door to the micro-micro analysis. </w:t>
      </w:r>
    </w:p>
    <w:p w14:paraId="095DD077" w14:textId="42C2A87C" w:rsidR="00423AB7" w:rsidRPr="008A0D67" w:rsidRDefault="005B34FA" w:rsidP="005B34FA">
      <w:pPr>
        <w:spacing w:after="160" w:line="360" w:lineRule="auto"/>
        <w:jc w:val="both"/>
        <w:rPr>
          <w:rFonts w:ascii="Times New Roman" w:hAnsi="Times New Roman" w:cs="Times New Roman"/>
        </w:rPr>
      </w:pPr>
      <w:r w:rsidRPr="008A0D67">
        <w:rPr>
          <w:rFonts w:ascii="Times New Roman" w:hAnsi="Times New Roman" w:cs="Times New Roman"/>
        </w:rPr>
        <w:t>There</w:t>
      </w:r>
      <w:r w:rsidR="003B7CCF" w:rsidRPr="008A0D67">
        <w:rPr>
          <w:rFonts w:ascii="Times New Roman" w:hAnsi="Times New Roman" w:cs="Times New Roman"/>
        </w:rPr>
        <w:t xml:space="preserve"> are two ways to build on this. One is to c</w:t>
      </w:r>
      <w:r w:rsidR="009B324D" w:rsidRPr="008A0D67">
        <w:rPr>
          <w:rFonts w:ascii="Times New Roman" w:hAnsi="Times New Roman" w:cs="Times New Roman"/>
        </w:rPr>
        <w:t xml:space="preserve">onsider </w:t>
      </w:r>
      <w:r w:rsidR="00AF47A8">
        <w:rPr>
          <w:rFonts w:ascii="Times New Roman" w:hAnsi="Times New Roman" w:cs="Times New Roman"/>
        </w:rPr>
        <w:t xml:space="preserve">this </w:t>
      </w:r>
      <w:r w:rsidR="009B324D" w:rsidRPr="008A0D67">
        <w:rPr>
          <w:rFonts w:ascii="Times New Roman" w:hAnsi="Times New Roman" w:cs="Times New Roman"/>
        </w:rPr>
        <w:t>Bayesian</w:t>
      </w:r>
      <w:r w:rsidR="003B7CCF" w:rsidRPr="008A0D67">
        <w:rPr>
          <w:rFonts w:ascii="Times New Roman" w:hAnsi="Times New Roman" w:cs="Times New Roman"/>
        </w:rPr>
        <w:t xml:space="preserve"> reason</w:t>
      </w:r>
      <w:r w:rsidR="009B324D" w:rsidRPr="008A0D67">
        <w:rPr>
          <w:rFonts w:ascii="Times New Roman" w:hAnsi="Times New Roman" w:cs="Times New Roman"/>
        </w:rPr>
        <w:t>ing our</w:t>
      </w:r>
      <w:r w:rsidR="003B7CCF" w:rsidRPr="008A0D67">
        <w:rPr>
          <w:rFonts w:ascii="Times New Roman" w:hAnsi="Times New Roman" w:cs="Times New Roman"/>
        </w:rPr>
        <w:t xml:space="preserve"> baseline and see what happens in the real world. Another is to look at this reasoning property of learning with a skeptical eye</w:t>
      </w:r>
      <w:r w:rsidR="009B324D" w:rsidRPr="008A0D67">
        <w:rPr>
          <w:rFonts w:ascii="Times New Roman" w:hAnsi="Times New Roman" w:cs="Times New Roman"/>
        </w:rPr>
        <w:t xml:space="preserve"> and challenge the very claim that learning is about reasoning</w:t>
      </w:r>
      <w:r w:rsidR="003B7CCF" w:rsidRPr="008A0D67">
        <w:rPr>
          <w:rFonts w:ascii="Times New Roman" w:hAnsi="Times New Roman" w:cs="Times New Roman"/>
        </w:rPr>
        <w:t xml:space="preserve">. </w:t>
      </w:r>
      <w:r w:rsidR="00ED2573">
        <w:rPr>
          <w:rFonts w:ascii="Times New Roman" w:hAnsi="Times New Roman" w:cs="Times New Roman"/>
        </w:rPr>
        <w:t xml:space="preserve">Here we can follow Flyvberg’s (2001) lead and take a wider Aristotlean view of knowledge – learning can be underpinned by epistemic updates, but it is also informed by matters of practical techne and value-driven phronesis. </w:t>
      </w:r>
      <w:r w:rsidR="003B7CCF" w:rsidRPr="008A0D67">
        <w:rPr>
          <w:rFonts w:ascii="Times New Roman" w:hAnsi="Times New Roman" w:cs="Times New Roman"/>
        </w:rPr>
        <w:t>Starting with ‘what happens in the real world’</w:t>
      </w:r>
      <w:r w:rsidR="009B324D" w:rsidRPr="008A0D67">
        <w:rPr>
          <w:rFonts w:ascii="Times New Roman" w:hAnsi="Times New Roman" w:cs="Times New Roman"/>
        </w:rPr>
        <w:t xml:space="preserve"> and deviations from the Bayesian </w:t>
      </w:r>
      <w:r w:rsidR="00AF47A8">
        <w:rPr>
          <w:rFonts w:ascii="Times New Roman" w:hAnsi="Times New Roman" w:cs="Times New Roman"/>
        </w:rPr>
        <w:t xml:space="preserve">cognitive </w:t>
      </w:r>
      <w:r w:rsidR="009B324D" w:rsidRPr="008A0D67">
        <w:rPr>
          <w:rFonts w:ascii="Times New Roman" w:hAnsi="Times New Roman" w:cs="Times New Roman"/>
        </w:rPr>
        <w:t>baseline</w:t>
      </w:r>
      <w:r w:rsidR="003B7CCF" w:rsidRPr="008A0D67">
        <w:rPr>
          <w:rFonts w:ascii="Times New Roman" w:hAnsi="Times New Roman" w:cs="Times New Roman"/>
        </w:rPr>
        <w:t xml:space="preserve">, the most robust evidence for micro-foundations comes from experimental political science and experimental psychology. Emotions, impulse, affect </w:t>
      </w:r>
      <w:r w:rsidR="00AF47A8">
        <w:rPr>
          <w:rFonts w:ascii="Times New Roman" w:hAnsi="Times New Roman" w:cs="Times New Roman"/>
        </w:rPr>
        <w:t xml:space="preserve">sometimes </w:t>
      </w:r>
      <w:r w:rsidR="003B7CCF" w:rsidRPr="008A0D67">
        <w:rPr>
          <w:rFonts w:ascii="Times New Roman" w:hAnsi="Times New Roman" w:cs="Times New Roman"/>
        </w:rPr>
        <w:t>do not allow our brain to work slowly and follow reason. The mind follows heuristics instead (Kahneman,</w:t>
      </w:r>
      <w:r w:rsidR="000128BA" w:rsidRPr="008A0D67">
        <w:rPr>
          <w:rFonts w:ascii="Times New Roman" w:hAnsi="Times New Roman" w:cs="Times New Roman"/>
        </w:rPr>
        <w:t xml:space="preserve"> 2011</w:t>
      </w:r>
      <w:r w:rsidR="007F6CA1" w:rsidRPr="008A0D67">
        <w:rPr>
          <w:rFonts w:ascii="Times New Roman" w:hAnsi="Times New Roman" w:cs="Times New Roman"/>
        </w:rPr>
        <w:t>).</w:t>
      </w:r>
    </w:p>
    <w:p w14:paraId="09F85528" w14:textId="174D6557" w:rsidR="001E3CAD" w:rsidRPr="008A0D67" w:rsidRDefault="00513CD1" w:rsidP="005B34FA">
      <w:pPr>
        <w:spacing w:after="160" w:line="360" w:lineRule="auto"/>
        <w:jc w:val="both"/>
        <w:rPr>
          <w:rFonts w:ascii="Times New Roman" w:hAnsi="Times New Roman" w:cs="Times New Roman"/>
        </w:rPr>
      </w:pPr>
      <w:r w:rsidRPr="008A0D67">
        <w:rPr>
          <w:rFonts w:ascii="Times New Roman" w:hAnsi="Times New Roman" w:cs="Times New Roman"/>
        </w:rPr>
        <w:lastRenderedPageBreak/>
        <w:t xml:space="preserve">In policy analysis, </w:t>
      </w:r>
      <w:r w:rsidR="006F36B5" w:rsidRPr="008A0D67">
        <w:rPr>
          <w:rFonts w:ascii="Times New Roman" w:hAnsi="Times New Roman" w:cs="Times New Roman"/>
        </w:rPr>
        <w:t xml:space="preserve">Simon (1955) and </w:t>
      </w:r>
      <w:r w:rsidRPr="008A0D67">
        <w:rPr>
          <w:rFonts w:ascii="Times New Roman" w:hAnsi="Times New Roman" w:cs="Times New Roman"/>
        </w:rPr>
        <w:t xml:space="preserve">Lindblom (1959) set the early agenda on cognition, demonstrating that rational, deductive approaches clash with insurmountable computational limits. </w:t>
      </w:r>
      <w:r w:rsidR="009F24F2" w:rsidRPr="008A0D67">
        <w:rPr>
          <w:rFonts w:ascii="Times New Roman" w:hAnsi="Times New Roman" w:cs="Times New Roman"/>
        </w:rPr>
        <w:t>This story of bounded rationality is</w:t>
      </w:r>
      <w:r w:rsidRPr="008A0D67">
        <w:rPr>
          <w:rFonts w:ascii="Times New Roman" w:hAnsi="Times New Roman" w:cs="Times New Roman"/>
        </w:rPr>
        <w:t xml:space="preserve"> even more </w:t>
      </w:r>
      <w:r w:rsidR="007F16BD">
        <w:rPr>
          <w:rFonts w:ascii="Times New Roman" w:hAnsi="Times New Roman" w:cs="Times New Roman"/>
        </w:rPr>
        <w:t xml:space="preserve">progressive </w:t>
      </w:r>
      <w:r w:rsidRPr="008A0D67">
        <w:rPr>
          <w:rFonts w:ascii="Times New Roman" w:hAnsi="Times New Roman" w:cs="Times New Roman"/>
        </w:rPr>
        <w:t>today, when the problem is not lack of information, but its colossal size and availability.</w:t>
      </w:r>
      <w:r w:rsidR="00E76B6F" w:rsidRPr="008A0D67">
        <w:rPr>
          <w:rFonts w:ascii="Times New Roman" w:hAnsi="Times New Roman" w:cs="Times New Roman"/>
        </w:rPr>
        <w:t xml:space="preserve"> </w:t>
      </w:r>
      <w:r w:rsidR="003B7CCF" w:rsidRPr="008A0D67">
        <w:rPr>
          <w:rFonts w:ascii="Times New Roman" w:hAnsi="Times New Roman" w:cs="Times New Roman"/>
        </w:rPr>
        <w:t xml:space="preserve">In policy theory, </w:t>
      </w:r>
      <w:r w:rsidR="00E76B6F" w:rsidRPr="008A0D67">
        <w:rPr>
          <w:rFonts w:ascii="Times New Roman" w:hAnsi="Times New Roman" w:cs="Times New Roman"/>
        </w:rPr>
        <w:t>these</w:t>
      </w:r>
      <w:r w:rsidR="003B7CCF" w:rsidRPr="008A0D67">
        <w:rPr>
          <w:rFonts w:ascii="Times New Roman" w:hAnsi="Times New Roman" w:cs="Times New Roman"/>
        </w:rPr>
        <w:t xml:space="preserve"> argument</w:t>
      </w:r>
      <w:r w:rsidR="006E05DF" w:rsidRPr="008A0D67">
        <w:rPr>
          <w:rFonts w:ascii="Times New Roman" w:hAnsi="Times New Roman" w:cs="Times New Roman"/>
        </w:rPr>
        <w:t>s</w:t>
      </w:r>
      <w:r w:rsidR="003B7CCF" w:rsidRPr="008A0D67">
        <w:rPr>
          <w:rFonts w:ascii="Times New Roman" w:hAnsi="Times New Roman" w:cs="Times New Roman"/>
        </w:rPr>
        <w:t xml:space="preserve"> </w:t>
      </w:r>
      <w:r w:rsidR="00253C97" w:rsidRPr="008A0D67">
        <w:rPr>
          <w:rFonts w:ascii="Times New Roman" w:hAnsi="Times New Roman" w:cs="Times New Roman"/>
        </w:rPr>
        <w:t>concerning heuristics have</w:t>
      </w:r>
      <w:r w:rsidR="003B7CCF" w:rsidRPr="008A0D67">
        <w:rPr>
          <w:rFonts w:ascii="Times New Roman" w:hAnsi="Times New Roman" w:cs="Times New Roman"/>
        </w:rPr>
        <w:t xml:space="preserve"> been chiefly developed by Schneider and Ingram </w:t>
      </w:r>
      <w:r w:rsidR="007F6CA1" w:rsidRPr="008A0D67">
        <w:rPr>
          <w:rFonts w:ascii="Times New Roman" w:hAnsi="Times New Roman" w:cs="Times New Roman"/>
        </w:rPr>
        <w:t xml:space="preserve">in </w:t>
      </w:r>
      <w:r w:rsidR="00911BB0">
        <w:rPr>
          <w:rFonts w:ascii="Times New Roman" w:hAnsi="Times New Roman" w:cs="Times New Roman"/>
        </w:rPr>
        <w:t>the later 1980s</w:t>
      </w:r>
      <w:r w:rsidR="003B7CCF" w:rsidRPr="008A0D67">
        <w:rPr>
          <w:rFonts w:ascii="Times New Roman" w:hAnsi="Times New Roman" w:cs="Times New Roman"/>
        </w:rPr>
        <w:t xml:space="preserve">. </w:t>
      </w:r>
      <w:r w:rsidR="00423AB7" w:rsidRPr="008A0D67">
        <w:rPr>
          <w:rFonts w:ascii="Times New Roman" w:hAnsi="Times New Roman" w:cs="Times New Roman"/>
        </w:rPr>
        <w:t>They observe</w:t>
      </w:r>
      <w:r w:rsidRPr="008A0D67">
        <w:rPr>
          <w:rFonts w:ascii="Times New Roman" w:hAnsi="Times New Roman" w:cs="Times New Roman"/>
        </w:rPr>
        <w:t xml:space="preserve"> that the ‘</w:t>
      </w:r>
      <w:r w:rsidR="003B7CCF" w:rsidRPr="008A0D67">
        <w:rPr>
          <w:rFonts w:ascii="Times New Roman" w:hAnsi="Times New Roman" w:cs="Times New Roman"/>
        </w:rPr>
        <w:t>proc</w:t>
      </w:r>
      <w:r w:rsidRPr="008A0D67">
        <w:rPr>
          <w:rFonts w:ascii="Times New Roman" w:hAnsi="Times New Roman" w:cs="Times New Roman"/>
        </w:rPr>
        <w:t>ess of formulating policy ideas’ and ‘</w:t>
      </w:r>
      <w:r w:rsidR="003B7CCF" w:rsidRPr="008A0D67">
        <w:rPr>
          <w:rFonts w:ascii="Times New Roman" w:hAnsi="Times New Roman" w:cs="Times New Roman"/>
        </w:rPr>
        <w:t>the logic through which policy in</w:t>
      </w:r>
      <w:r w:rsidRPr="008A0D67">
        <w:rPr>
          <w:rFonts w:ascii="Times New Roman" w:hAnsi="Times New Roman" w:cs="Times New Roman"/>
        </w:rPr>
        <w:t>tends to achieve its objectives’</w:t>
      </w:r>
      <w:r w:rsidR="003B7CCF" w:rsidRPr="008A0D67">
        <w:rPr>
          <w:rFonts w:ascii="Times New Roman" w:hAnsi="Times New Roman" w:cs="Times New Roman"/>
        </w:rPr>
        <w:t xml:space="preserve"> </w:t>
      </w:r>
      <w:r w:rsidRPr="008A0D67">
        <w:rPr>
          <w:rFonts w:ascii="Times New Roman" w:hAnsi="Times New Roman" w:cs="Times New Roman"/>
        </w:rPr>
        <w:t>ofte</w:t>
      </w:r>
      <w:r w:rsidR="00DC2FB7" w:rsidRPr="008A0D67">
        <w:rPr>
          <w:rFonts w:ascii="Times New Roman" w:hAnsi="Times New Roman" w:cs="Times New Roman"/>
        </w:rPr>
        <w:t>n follow heuristics (Schneider and Ingram, 1988:</w:t>
      </w:r>
      <w:r w:rsidR="00200FB9">
        <w:rPr>
          <w:rFonts w:ascii="Times New Roman" w:hAnsi="Times New Roman" w:cs="Times New Roman"/>
        </w:rPr>
        <w:t xml:space="preserve"> </w:t>
      </w:r>
      <w:r w:rsidR="00DC2FB7" w:rsidRPr="008A0D67">
        <w:rPr>
          <w:rFonts w:ascii="Times New Roman" w:hAnsi="Times New Roman" w:cs="Times New Roman"/>
        </w:rPr>
        <w:t>61).</w:t>
      </w:r>
    </w:p>
    <w:p w14:paraId="2BBD283A" w14:textId="0F3578A6" w:rsidR="001E3CAD" w:rsidRPr="008A0D67" w:rsidRDefault="007F16BD" w:rsidP="005B34FA">
      <w:pPr>
        <w:spacing w:after="160" w:line="360" w:lineRule="auto"/>
        <w:jc w:val="both"/>
        <w:rPr>
          <w:rFonts w:ascii="Times New Roman" w:hAnsi="Times New Roman" w:cs="Times New Roman"/>
        </w:rPr>
      </w:pPr>
      <w:r>
        <w:rPr>
          <w:rFonts w:ascii="Times New Roman" w:hAnsi="Times New Roman" w:cs="Times New Roman"/>
        </w:rPr>
        <w:t>Consequently,</w:t>
      </w:r>
      <w:r w:rsidR="003B7CCF" w:rsidRPr="008A0D67">
        <w:rPr>
          <w:rFonts w:ascii="Times New Roman" w:hAnsi="Times New Roman" w:cs="Times New Roman"/>
        </w:rPr>
        <w:t xml:space="preserve"> our learning process of drawing inferences from evid</w:t>
      </w:r>
      <w:r w:rsidR="001E3CAD" w:rsidRPr="008A0D67">
        <w:rPr>
          <w:rFonts w:ascii="Times New Roman" w:hAnsi="Times New Roman" w:cs="Times New Roman"/>
        </w:rPr>
        <w:t xml:space="preserve">ence cannot be systematic. </w:t>
      </w:r>
      <w:r w:rsidR="00DA108E" w:rsidRPr="008A0D67">
        <w:rPr>
          <w:rFonts w:ascii="Times New Roman" w:hAnsi="Times New Roman" w:cs="Times New Roman"/>
        </w:rPr>
        <w:t>At best, th</w:t>
      </w:r>
      <w:r w:rsidR="001E3CAD" w:rsidRPr="008A0D67">
        <w:rPr>
          <w:rFonts w:ascii="Times New Roman" w:hAnsi="Times New Roman" w:cs="Times New Roman"/>
        </w:rPr>
        <w:t>ey are</w:t>
      </w:r>
      <w:r w:rsidR="003B7CCF" w:rsidRPr="008A0D67">
        <w:rPr>
          <w:rFonts w:ascii="Times New Roman" w:hAnsi="Times New Roman" w:cs="Times New Roman"/>
        </w:rPr>
        <w:t xml:space="preserve"> boundedly rational. But beyond that, experiments show that individuals learn following </w:t>
      </w:r>
      <w:r w:rsidR="001E3CAD" w:rsidRPr="008A0D67">
        <w:rPr>
          <w:rFonts w:ascii="Times New Roman" w:hAnsi="Times New Roman" w:cs="Times New Roman"/>
        </w:rPr>
        <w:t>decision heuristics when engaging</w:t>
      </w:r>
      <w:r w:rsidR="003B7CCF" w:rsidRPr="008A0D67">
        <w:rPr>
          <w:rFonts w:ascii="Times New Roman" w:hAnsi="Times New Roman" w:cs="Times New Roman"/>
        </w:rPr>
        <w:t xml:space="preserve"> in problem-solving and design processes. Among these heuristics, the most important for policy learning micro-foundations are availability, simulation, </w:t>
      </w:r>
      <w:r w:rsidR="008B1529" w:rsidRPr="008A0D67">
        <w:rPr>
          <w:rFonts w:ascii="Times New Roman" w:hAnsi="Times New Roman" w:cs="Times New Roman"/>
        </w:rPr>
        <w:t xml:space="preserve">and </w:t>
      </w:r>
      <w:r w:rsidR="003B7CCF" w:rsidRPr="008A0D67">
        <w:rPr>
          <w:rFonts w:ascii="Times New Roman" w:hAnsi="Times New Roman" w:cs="Times New Roman"/>
        </w:rPr>
        <w:t>anchoring</w:t>
      </w:r>
      <w:r w:rsidR="008B1529" w:rsidRPr="008A0D67">
        <w:rPr>
          <w:rFonts w:ascii="Times New Roman" w:hAnsi="Times New Roman" w:cs="Times New Roman"/>
        </w:rPr>
        <w:t>. In consequence, the learning process is pun</w:t>
      </w:r>
      <w:r w:rsidR="001E3CAD" w:rsidRPr="008A0D67">
        <w:rPr>
          <w:rFonts w:ascii="Times New Roman" w:hAnsi="Times New Roman" w:cs="Times New Roman"/>
        </w:rPr>
        <w:t>ctuated by heuristics that take</w:t>
      </w:r>
      <w:r w:rsidR="008B1529" w:rsidRPr="008A0D67">
        <w:rPr>
          <w:rFonts w:ascii="Times New Roman" w:hAnsi="Times New Roman" w:cs="Times New Roman"/>
        </w:rPr>
        <w:t xml:space="preserve"> us</w:t>
      </w:r>
      <w:r w:rsidR="00551096" w:rsidRPr="008A0D67">
        <w:rPr>
          <w:rFonts w:ascii="Times New Roman" w:hAnsi="Times New Roman" w:cs="Times New Roman"/>
        </w:rPr>
        <w:t xml:space="preserve"> in the world of biases. It is ‘</w:t>
      </w:r>
      <w:r w:rsidR="008B1529" w:rsidRPr="008A0D67">
        <w:rPr>
          <w:rFonts w:ascii="Times New Roman" w:hAnsi="Times New Roman" w:cs="Times New Roman"/>
        </w:rPr>
        <w:t>reasoning by analogy, search through possible examples relying on decision heuristics, or indiscriminately copying policy based on prevailing fashion or li</w:t>
      </w:r>
      <w:r w:rsidR="00551096" w:rsidRPr="008A0D67">
        <w:rPr>
          <w:rFonts w:ascii="Times New Roman" w:hAnsi="Times New Roman" w:cs="Times New Roman"/>
        </w:rPr>
        <w:t>mited knowledge and experiences’</w:t>
      </w:r>
      <w:r w:rsidR="008B1529" w:rsidRPr="008A0D67">
        <w:rPr>
          <w:rFonts w:ascii="Times New Roman" w:hAnsi="Times New Roman" w:cs="Times New Roman"/>
        </w:rPr>
        <w:t xml:space="preserve"> (Schneider and Ingram, 1988:</w:t>
      </w:r>
      <w:r w:rsidR="00200FB9">
        <w:rPr>
          <w:rFonts w:ascii="Times New Roman" w:hAnsi="Times New Roman" w:cs="Times New Roman"/>
        </w:rPr>
        <w:t xml:space="preserve"> </w:t>
      </w:r>
      <w:r w:rsidR="008B1529" w:rsidRPr="008A0D67">
        <w:rPr>
          <w:rFonts w:ascii="Times New Roman" w:hAnsi="Times New Roman" w:cs="Times New Roman"/>
        </w:rPr>
        <w:t>78).</w:t>
      </w:r>
      <w:r w:rsidR="00697FE7" w:rsidRPr="008A0D67">
        <w:rPr>
          <w:rFonts w:ascii="Times New Roman" w:hAnsi="Times New Roman" w:cs="Times New Roman"/>
        </w:rPr>
        <w:t xml:space="preserve"> Learning often is a matter of ‘pinching ideas’ quickly, rather than reflecting on the best available evidence in slow mod</w:t>
      </w:r>
      <w:r w:rsidR="00FF4EC4" w:rsidRPr="008A0D67">
        <w:rPr>
          <w:rFonts w:ascii="Times New Roman" w:hAnsi="Times New Roman" w:cs="Times New Roman"/>
        </w:rPr>
        <w:t>e.</w:t>
      </w:r>
    </w:p>
    <w:p w14:paraId="61D280C3" w14:textId="39E95BE9" w:rsidR="006E05DF" w:rsidRPr="008A0D67" w:rsidRDefault="00697FE7" w:rsidP="005B34FA">
      <w:pPr>
        <w:spacing w:after="160" w:line="360" w:lineRule="auto"/>
        <w:jc w:val="both"/>
        <w:rPr>
          <w:rFonts w:ascii="Times New Roman" w:hAnsi="Times New Roman" w:cs="Times New Roman"/>
        </w:rPr>
      </w:pPr>
      <w:r w:rsidRPr="008A0D67">
        <w:rPr>
          <w:rFonts w:ascii="Times New Roman" w:hAnsi="Times New Roman" w:cs="Times New Roman"/>
        </w:rPr>
        <w:t xml:space="preserve">An important implication is that not all learning is beneficial to policy. These micro-foundational biases explain how learning </w:t>
      </w:r>
      <w:r w:rsidR="006E05DF" w:rsidRPr="008A0D67">
        <w:rPr>
          <w:rFonts w:ascii="Times New Roman" w:hAnsi="Times New Roman" w:cs="Times New Roman"/>
        </w:rPr>
        <w:t>via heuristics causes</w:t>
      </w:r>
      <w:r w:rsidRPr="008A0D67">
        <w:rPr>
          <w:rFonts w:ascii="Times New Roman" w:hAnsi="Times New Roman" w:cs="Times New Roman"/>
        </w:rPr>
        <w:t xml:space="preserve"> policy change, but this change may become a policy fiasco. </w:t>
      </w:r>
      <w:r w:rsidR="006E05DF" w:rsidRPr="008A0D67">
        <w:rPr>
          <w:rFonts w:ascii="Times New Roman" w:hAnsi="Times New Roman" w:cs="Times New Roman"/>
        </w:rPr>
        <w:t>The government and the regulators in general can react to this state of play by using nudging techniques to rectify the effects of heuristics (Alemanno and Sibony, 2015</w:t>
      </w:r>
      <w:r w:rsidR="00042612">
        <w:rPr>
          <w:rFonts w:ascii="Times New Roman" w:hAnsi="Times New Roman" w:cs="Times New Roman"/>
        </w:rPr>
        <w:t xml:space="preserve">; </w:t>
      </w:r>
      <w:r w:rsidR="00042612" w:rsidRPr="008A0D67">
        <w:rPr>
          <w:rFonts w:ascii="Times New Roman" w:hAnsi="Times New Roman" w:cs="Times New Roman"/>
        </w:rPr>
        <w:t>Thaler and Sunstein, 2008</w:t>
      </w:r>
      <w:r w:rsidR="00D53E33">
        <w:rPr>
          <w:rFonts w:ascii="Times New Roman" w:hAnsi="Times New Roman" w:cs="Times New Roman"/>
        </w:rPr>
        <w:t xml:space="preserve">), although it is </w:t>
      </w:r>
      <w:r w:rsidR="006E05DF" w:rsidRPr="008A0D67">
        <w:rPr>
          <w:rFonts w:ascii="Times New Roman" w:hAnsi="Times New Roman" w:cs="Times New Roman"/>
        </w:rPr>
        <w:t>rare to see regulators that control for their own biases at the stage of poli</w:t>
      </w:r>
      <w:r w:rsidR="002F1698">
        <w:rPr>
          <w:rFonts w:ascii="Times New Roman" w:hAnsi="Times New Roman" w:cs="Times New Roman"/>
        </w:rPr>
        <w:t>cy design</w:t>
      </w:r>
      <w:r w:rsidR="006E05DF" w:rsidRPr="008A0D67">
        <w:rPr>
          <w:rFonts w:ascii="Times New Roman" w:hAnsi="Times New Roman" w:cs="Times New Roman"/>
        </w:rPr>
        <w:t>.</w:t>
      </w:r>
    </w:p>
    <w:p w14:paraId="69EE306D" w14:textId="45669F56" w:rsidR="00C21AB9" w:rsidRPr="008A0D67" w:rsidRDefault="00423AB7" w:rsidP="00FC1A89">
      <w:pPr>
        <w:spacing w:after="160" w:line="360" w:lineRule="auto"/>
        <w:jc w:val="both"/>
        <w:rPr>
          <w:rFonts w:ascii="Times New Roman" w:hAnsi="Times New Roman" w:cs="Times New Roman"/>
        </w:rPr>
      </w:pPr>
      <w:r w:rsidRPr="008A0D67">
        <w:rPr>
          <w:rFonts w:ascii="Times New Roman" w:hAnsi="Times New Roman" w:cs="Times New Roman"/>
        </w:rPr>
        <w:t xml:space="preserve">As mentioned, there is another way to build on the results of experiments. This alternative path rejects the normative implications of the language of bias and heuristics. How? </w:t>
      </w:r>
      <w:r w:rsidR="00C21AB9" w:rsidRPr="008A0D67">
        <w:rPr>
          <w:rFonts w:ascii="Times New Roman" w:hAnsi="Times New Roman" w:cs="Times New Roman"/>
        </w:rPr>
        <w:t>By challenging the notion that learning is only reasoning on the basis of experience. From cognition we move into emotions – and some emotions are no longer seen as hindrances to learn</w:t>
      </w:r>
      <w:r w:rsidR="00355608" w:rsidRPr="008A0D67">
        <w:rPr>
          <w:rFonts w:ascii="Times New Roman" w:hAnsi="Times New Roman" w:cs="Times New Roman"/>
        </w:rPr>
        <w:t>ing, or, like Darwin</w:t>
      </w:r>
      <w:r w:rsidR="0039077A" w:rsidRPr="008A0D67">
        <w:rPr>
          <w:rFonts w:ascii="Times New Roman" w:hAnsi="Times New Roman" w:cs="Times New Roman"/>
        </w:rPr>
        <w:t xml:space="preserve"> (1872)</w:t>
      </w:r>
      <w:r w:rsidR="00355608" w:rsidRPr="008A0D67">
        <w:rPr>
          <w:rFonts w:ascii="Times New Roman" w:hAnsi="Times New Roman" w:cs="Times New Roman"/>
        </w:rPr>
        <w:t xml:space="preserve"> said, left</w:t>
      </w:r>
      <w:r w:rsidR="00C21AB9" w:rsidRPr="008A0D67">
        <w:rPr>
          <w:rFonts w:ascii="Times New Roman" w:hAnsi="Times New Roman" w:cs="Times New Roman"/>
        </w:rPr>
        <w:t>over</w:t>
      </w:r>
      <w:r w:rsidR="00355608" w:rsidRPr="008A0D67">
        <w:rPr>
          <w:rFonts w:ascii="Times New Roman" w:hAnsi="Times New Roman" w:cs="Times New Roman"/>
        </w:rPr>
        <w:t>s from the process of evolution.</w:t>
      </w:r>
    </w:p>
    <w:p w14:paraId="600ACD6E" w14:textId="4877CD30" w:rsidR="00FC1A89" w:rsidRPr="008A0D67" w:rsidRDefault="00C21AB9" w:rsidP="00FC1A89">
      <w:pPr>
        <w:spacing w:after="160" w:line="360" w:lineRule="auto"/>
        <w:jc w:val="both"/>
        <w:rPr>
          <w:rFonts w:ascii="Times New Roman" w:hAnsi="Times New Roman" w:cs="Times New Roman"/>
        </w:rPr>
      </w:pPr>
      <w:r w:rsidRPr="008A0D67">
        <w:rPr>
          <w:rFonts w:ascii="Times New Roman" w:hAnsi="Times New Roman" w:cs="Times New Roman"/>
        </w:rPr>
        <w:t>One can argue then that</w:t>
      </w:r>
      <w:r w:rsidR="00423AB7" w:rsidRPr="008A0D67">
        <w:rPr>
          <w:rFonts w:ascii="Times New Roman" w:hAnsi="Times New Roman" w:cs="Times New Roman"/>
        </w:rPr>
        <w:t xml:space="preserve"> emotions are not necessarily this bad, fast ‘beast’ that destroys the logic of ‘good’ inferential learning. We know </w:t>
      </w:r>
      <w:r w:rsidR="0051079F" w:rsidRPr="008A0D67">
        <w:rPr>
          <w:rFonts w:ascii="Times New Roman" w:hAnsi="Times New Roman" w:cs="Times New Roman"/>
        </w:rPr>
        <w:t xml:space="preserve">that affect and anxiety </w:t>
      </w:r>
      <w:r w:rsidR="00423AB7" w:rsidRPr="008A0D67">
        <w:rPr>
          <w:rFonts w:ascii="Times New Roman" w:hAnsi="Times New Roman" w:cs="Times New Roman"/>
        </w:rPr>
        <w:t>are not necessarily antithetic to the diligent search for evidence and information. They can also</w:t>
      </w:r>
      <w:r w:rsidR="00312F4C" w:rsidRPr="008A0D67">
        <w:rPr>
          <w:rFonts w:ascii="Times New Roman" w:hAnsi="Times New Roman" w:cs="Times New Roman"/>
        </w:rPr>
        <w:t xml:space="preserve"> </w:t>
      </w:r>
      <w:r w:rsidR="0051079F" w:rsidRPr="008A0D67">
        <w:rPr>
          <w:rFonts w:ascii="Times New Roman" w:hAnsi="Times New Roman" w:cs="Times New Roman"/>
        </w:rPr>
        <w:t>facilitate informati</w:t>
      </w:r>
      <w:r w:rsidR="00F2117A" w:rsidRPr="008A0D67">
        <w:rPr>
          <w:rFonts w:ascii="Times New Roman" w:hAnsi="Times New Roman" w:cs="Times New Roman"/>
        </w:rPr>
        <w:t>on search (Redlawsk, Civettini and Emmerson</w:t>
      </w:r>
      <w:r w:rsidR="0051079F" w:rsidRPr="008A0D67">
        <w:rPr>
          <w:rFonts w:ascii="Times New Roman" w:hAnsi="Times New Roman" w:cs="Times New Roman"/>
        </w:rPr>
        <w:t xml:space="preserve">, </w:t>
      </w:r>
      <w:r w:rsidR="001215F0" w:rsidRPr="008A0D67">
        <w:rPr>
          <w:rFonts w:ascii="Times New Roman" w:hAnsi="Times New Roman" w:cs="Times New Roman"/>
        </w:rPr>
        <w:t>2010</w:t>
      </w:r>
      <w:r w:rsidR="001D1E60" w:rsidRPr="008A0D67">
        <w:rPr>
          <w:rFonts w:ascii="Times New Roman" w:hAnsi="Times New Roman" w:cs="Times New Roman"/>
        </w:rPr>
        <w:t xml:space="preserve">). In cognitive psychology, </w:t>
      </w:r>
      <w:r w:rsidR="00712C44" w:rsidRPr="008A0D67">
        <w:rPr>
          <w:rFonts w:ascii="Times New Roman" w:hAnsi="Times New Roman" w:cs="Times New Roman"/>
        </w:rPr>
        <w:t xml:space="preserve">the </w:t>
      </w:r>
      <w:r w:rsidR="00712C44" w:rsidRPr="008A0D67">
        <w:rPr>
          <w:rFonts w:ascii="Times New Roman" w:hAnsi="Times New Roman" w:cs="Times New Roman"/>
        </w:rPr>
        <w:lastRenderedPageBreak/>
        <w:t>function of emotions is centered around information we need when we act on hunches rather than full understanding (as sh</w:t>
      </w:r>
      <w:r w:rsidR="0082343E" w:rsidRPr="008A0D67">
        <w:rPr>
          <w:rFonts w:ascii="Times New Roman" w:hAnsi="Times New Roman" w:cs="Times New Roman"/>
        </w:rPr>
        <w:t>own by the experiment carried out by</w:t>
      </w:r>
      <w:r w:rsidR="00712C44" w:rsidRPr="008A0D67">
        <w:rPr>
          <w:rFonts w:ascii="Times New Roman" w:hAnsi="Times New Roman" w:cs="Times New Roman"/>
        </w:rPr>
        <w:t xml:space="preserve"> Damasio (1996). Al</w:t>
      </w:r>
      <w:r w:rsidR="005B2B19" w:rsidRPr="008A0D67">
        <w:rPr>
          <w:rFonts w:ascii="Times New Roman" w:hAnsi="Times New Roman" w:cs="Times New Roman"/>
        </w:rPr>
        <w:t>so</w:t>
      </w:r>
      <w:r w:rsidR="00712C44" w:rsidRPr="008A0D67">
        <w:rPr>
          <w:rFonts w:ascii="Times New Roman" w:hAnsi="Times New Roman" w:cs="Times New Roman"/>
        </w:rPr>
        <w:t xml:space="preserve"> within cognitive psychology, there is a body of experiments showing that emotions mobilize </w:t>
      </w:r>
      <w:r w:rsidR="00B2583C" w:rsidRPr="008A0D67">
        <w:rPr>
          <w:rFonts w:ascii="Times New Roman" w:hAnsi="Times New Roman" w:cs="Times New Roman"/>
        </w:rPr>
        <w:t>psychological resources (se</w:t>
      </w:r>
      <w:r w:rsidR="00A33A44" w:rsidRPr="008A0D67">
        <w:rPr>
          <w:rFonts w:ascii="Times New Roman" w:hAnsi="Times New Roman" w:cs="Times New Roman"/>
        </w:rPr>
        <w:t>e Yiend,</w:t>
      </w:r>
      <w:r w:rsidR="00B2583C" w:rsidRPr="008A0D67">
        <w:rPr>
          <w:rFonts w:ascii="Times New Roman" w:hAnsi="Times New Roman" w:cs="Times New Roman"/>
        </w:rPr>
        <w:t xml:space="preserve"> Mackintosh</w:t>
      </w:r>
      <w:r w:rsidR="00A33A44" w:rsidRPr="008A0D67">
        <w:rPr>
          <w:rFonts w:ascii="Times New Roman" w:hAnsi="Times New Roman" w:cs="Times New Roman"/>
        </w:rPr>
        <w:t xml:space="preserve"> and Matthews</w:t>
      </w:r>
      <w:r w:rsidR="00B2583C" w:rsidRPr="008A0D67">
        <w:rPr>
          <w:rFonts w:ascii="Times New Roman" w:hAnsi="Times New Roman" w:cs="Times New Roman"/>
        </w:rPr>
        <w:t>, 2005: 478 on arousal, anxiety and performance</w:t>
      </w:r>
      <w:r w:rsidR="00712C44" w:rsidRPr="008A0D67">
        <w:rPr>
          <w:rFonts w:ascii="Times New Roman" w:hAnsi="Times New Roman" w:cs="Times New Roman"/>
        </w:rPr>
        <w:t xml:space="preserve">) and </w:t>
      </w:r>
      <w:r w:rsidR="00BF26B3" w:rsidRPr="008A0D67">
        <w:rPr>
          <w:rFonts w:ascii="Times New Roman" w:hAnsi="Times New Roman" w:cs="Times New Roman"/>
        </w:rPr>
        <w:t xml:space="preserve">impact on </w:t>
      </w:r>
      <w:r w:rsidR="00712C44" w:rsidRPr="008A0D67">
        <w:rPr>
          <w:rFonts w:ascii="Times New Roman" w:hAnsi="Times New Roman" w:cs="Times New Roman"/>
        </w:rPr>
        <w:t>cognitive processes such as semantic inte</w:t>
      </w:r>
      <w:r w:rsidR="003E7BBE" w:rsidRPr="008A0D67">
        <w:rPr>
          <w:rFonts w:ascii="Times New Roman" w:hAnsi="Times New Roman" w:cs="Times New Roman"/>
        </w:rPr>
        <w:t>rpretation and attention (Yiend, Mackintosh and Matthews</w:t>
      </w:r>
      <w:r w:rsidR="00712C44" w:rsidRPr="008A0D67">
        <w:rPr>
          <w:rFonts w:ascii="Times New Roman" w:hAnsi="Times New Roman" w:cs="Times New Roman"/>
        </w:rPr>
        <w:t>, 2005). To illustrate,</w:t>
      </w:r>
      <w:r w:rsidR="0051079F" w:rsidRPr="008A0D67">
        <w:rPr>
          <w:rFonts w:ascii="Times New Roman" w:hAnsi="Times New Roman" w:cs="Times New Roman"/>
        </w:rPr>
        <w:t xml:space="preserve"> emotions</w:t>
      </w:r>
      <w:r w:rsidR="00297AD9" w:rsidRPr="008A0D67">
        <w:rPr>
          <w:rFonts w:ascii="Times New Roman" w:hAnsi="Times New Roman" w:cs="Times New Roman"/>
        </w:rPr>
        <w:t xml:space="preserve"> often</w:t>
      </w:r>
      <w:r w:rsidR="00312F4C" w:rsidRPr="008A0D67">
        <w:rPr>
          <w:rFonts w:ascii="Times New Roman" w:hAnsi="Times New Roman" w:cs="Times New Roman"/>
        </w:rPr>
        <w:t xml:space="preserve"> motivate us to go deeper in our analysis of the situation</w:t>
      </w:r>
      <w:r w:rsidR="00712C44" w:rsidRPr="008A0D67">
        <w:rPr>
          <w:rFonts w:ascii="Times New Roman" w:hAnsi="Times New Roman" w:cs="Times New Roman"/>
        </w:rPr>
        <w:t xml:space="preserve"> or to pay more attention to certain features of the situation depending on our trait emotion</w:t>
      </w:r>
      <w:r w:rsidR="00997A9D" w:rsidRPr="008A0D67">
        <w:rPr>
          <w:rFonts w:ascii="Times New Roman" w:hAnsi="Times New Roman" w:cs="Times New Roman"/>
        </w:rPr>
        <w:t>. Generally we</w:t>
      </w:r>
      <w:r w:rsidR="0051079F" w:rsidRPr="008A0D67">
        <w:rPr>
          <w:rFonts w:ascii="Times New Roman" w:hAnsi="Times New Roman" w:cs="Times New Roman"/>
        </w:rPr>
        <w:t xml:space="preserve"> do not look for information in the world out there</w:t>
      </w:r>
      <w:r w:rsidR="00AF47A8">
        <w:rPr>
          <w:rFonts w:ascii="Times New Roman" w:hAnsi="Times New Roman" w:cs="Times New Roman"/>
        </w:rPr>
        <w:t>,</w:t>
      </w:r>
      <w:r w:rsidR="0051079F" w:rsidRPr="008A0D67">
        <w:rPr>
          <w:rFonts w:ascii="Times New Roman" w:hAnsi="Times New Roman" w:cs="Times New Roman"/>
        </w:rPr>
        <w:t xml:space="preserve"> unl</w:t>
      </w:r>
      <w:r w:rsidR="00997A9D" w:rsidRPr="008A0D67">
        <w:rPr>
          <w:rFonts w:ascii="Times New Roman" w:hAnsi="Times New Roman" w:cs="Times New Roman"/>
        </w:rPr>
        <w:t>ess we</w:t>
      </w:r>
      <w:r w:rsidR="0051079F" w:rsidRPr="008A0D67">
        <w:rPr>
          <w:rFonts w:ascii="Times New Roman" w:hAnsi="Times New Roman" w:cs="Times New Roman"/>
        </w:rPr>
        <w:t xml:space="preserve"> have a personal motivation to do so.</w:t>
      </w:r>
    </w:p>
    <w:p w14:paraId="13FA40D0" w14:textId="14601C98" w:rsidR="00A46C5D" w:rsidRPr="008A0D67" w:rsidRDefault="00312F4C" w:rsidP="00FC1A89">
      <w:pPr>
        <w:spacing w:after="160" w:line="360" w:lineRule="auto"/>
        <w:jc w:val="both"/>
        <w:rPr>
          <w:rFonts w:ascii="Times New Roman" w:hAnsi="Times New Roman" w:cs="Times New Roman"/>
        </w:rPr>
      </w:pPr>
      <w:r w:rsidRPr="008A0D67">
        <w:rPr>
          <w:rFonts w:ascii="Times New Roman" w:hAnsi="Times New Roman" w:cs="Times New Roman"/>
        </w:rPr>
        <w:t xml:space="preserve">Further, </w:t>
      </w:r>
      <w:r w:rsidR="0051079F" w:rsidRPr="008A0D67">
        <w:rPr>
          <w:rFonts w:ascii="Times New Roman" w:hAnsi="Times New Roman" w:cs="Times New Roman"/>
        </w:rPr>
        <w:t>at least</w:t>
      </w:r>
      <w:r w:rsidRPr="008A0D67">
        <w:rPr>
          <w:rFonts w:ascii="Times New Roman" w:hAnsi="Times New Roman" w:cs="Times New Roman"/>
        </w:rPr>
        <w:t xml:space="preserve"> empirically</w:t>
      </w:r>
      <w:r w:rsidR="0051079F" w:rsidRPr="008A0D67">
        <w:rPr>
          <w:rFonts w:ascii="Times New Roman" w:hAnsi="Times New Roman" w:cs="Times New Roman"/>
        </w:rPr>
        <w:t xml:space="preserve">, political </w:t>
      </w:r>
      <w:r w:rsidRPr="008A0D67">
        <w:rPr>
          <w:rFonts w:ascii="Times New Roman" w:hAnsi="Times New Roman" w:cs="Times New Roman"/>
        </w:rPr>
        <w:t>judgments</w:t>
      </w:r>
      <w:r w:rsidR="0051079F" w:rsidRPr="008A0D67">
        <w:rPr>
          <w:rFonts w:ascii="Times New Roman" w:hAnsi="Times New Roman" w:cs="Times New Roman"/>
        </w:rPr>
        <w:t xml:space="preserve"> ‘biased’ by emotions and heuristics do not differ much from the rational, cool, informed political </w:t>
      </w:r>
      <w:r w:rsidR="00B2583C" w:rsidRPr="008A0D67">
        <w:rPr>
          <w:rFonts w:ascii="Times New Roman" w:hAnsi="Times New Roman" w:cs="Times New Roman"/>
        </w:rPr>
        <w:t>judgment</w:t>
      </w:r>
      <w:r w:rsidR="0051079F" w:rsidRPr="008A0D67">
        <w:rPr>
          <w:rFonts w:ascii="Times New Roman" w:hAnsi="Times New Roman" w:cs="Times New Roman"/>
        </w:rPr>
        <w:t>, as shown by studies of the inform</w:t>
      </w:r>
      <w:r w:rsidR="007343C4" w:rsidRPr="008A0D67">
        <w:rPr>
          <w:rFonts w:ascii="Times New Roman" w:hAnsi="Times New Roman" w:cs="Times New Roman"/>
        </w:rPr>
        <w:t>ed and un</w:t>
      </w:r>
      <w:r w:rsidR="00994767" w:rsidRPr="008A0D67">
        <w:rPr>
          <w:rFonts w:ascii="Times New Roman" w:hAnsi="Times New Roman" w:cs="Times New Roman"/>
        </w:rPr>
        <w:t xml:space="preserve">informed voter (Lodge, Steenbergen and Brau, </w:t>
      </w:r>
      <w:r w:rsidR="0051079F" w:rsidRPr="008A0D67">
        <w:rPr>
          <w:rFonts w:ascii="Times New Roman" w:hAnsi="Times New Roman" w:cs="Times New Roman"/>
        </w:rPr>
        <w:t>1995).</w:t>
      </w:r>
      <w:r w:rsidRPr="008A0D67">
        <w:rPr>
          <w:rFonts w:ascii="Times New Roman" w:hAnsi="Times New Roman" w:cs="Times New Roman"/>
        </w:rPr>
        <w:t xml:space="preserve"> And again:</w:t>
      </w:r>
      <w:r w:rsidR="00416D6E" w:rsidRPr="008A0D67">
        <w:rPr>
          <w:rFonts w:ascii="Times New Roman" w:hAnsi="Times New Roman" w:cs="Times New Roman"/>
        </w:rPr>
        <w:t xml:space="preserve"> psychology and cognitive sciences argue that the level of emotions operates within any type of cognitive process. Emotions and cognition are not </w:t>
      </w:r>
      <w:r w:rsidR="00297AD9" w:rsidRPr="008A0D67">
        <w:rPr>
          <w:rFonts w:ascii="Times New Roman" w:hAnsi="Times New Roman" w:cs="Times New Roman"/>
        </w:rPr>
        <w:t>each other’s opposite. Rather,</w:t>
      </w:r>
      <w:r w:rsidR="00416D6E" w:rsidRPr="008A0D67">
        <w:rPr>
          <w:rFonts w:ascii="Times New Roman" w:hAnsi="Times New Roman" w:cs="Times New Roman"/>
        </w:rPr>
        <w:t xml:space="preserve"> they are two </w:t>
      </w:r>
      <w:r w:rsidR="00B11C82" w:rsidRPr="008A0D67">
        <w:rPr>
          <w:rFonts w:ascii="Times New Roman" w:hAnsi="Times New Roman" w:cs="Times New Roman"/>
        </w:rPr>
        <w:t xml:space="preserve">complementary processes: </w:t>
      </w:r>
      <w:r w:rsidR="00D35AAC" w:rsidRPr="008A0D67">
        <w:rPr>
          <w:rFonts w:ascii="Times New Roman" w:hAnsi="Times New Roman" w:cs="Times New Roman"/>
        </w:rPr>
        <w:t xml:space="preserve">LeDoux </w:t>
      </w:r>
      <w:r w:rsidR="00732187" w:rsidRPr="008A0D67">
        <w:rPr>
          <w:rFonts w:ascii="Times New Roman" w:hAnsi="Times New Roman" w:cs="Times New Roman"/>
        </w:rPr>
        <w:t>(</w:t>
      </w:r>
      <w:r w:rsidR="00D35AAC" w:rsidRPr="008A0D67">
        <w:rPr>
          <w:rFonts w:ascii="Times New Roman" w:hAnsi="Times New Roman" w:cs="Times New Roman"/>
        </w:rPr>
        <w:t>1989</w:t>
      </w:r>
      <w:r w:rsidR="00732187" w:rsidRPr="008A0D67">
        <w:rPr>
          <w:rFonts w:ascii="Times New Roman" w:hAnsi="Times New Roman" w:cs="Times New Roman"/>
        </w:rPr>
        <w:t>)</w:t>
      </w:r>
      <w:r w:rsidR="00D35AAC" w:rsidRPr="008A0D67">
        <w:rPr>
          <w:rFonts w:ascii="Times New Roman" w:hAnsi="Times New Roman" w:cs="Times New Roman"/>
        </w:rPr>
        <w:t xml:space="preserve"> reports on cognitive-emotional interactions in the brain</w:t>
      </w:r>
      <w:r w:rsidR="000E48AF" w:rsidRPr="008A0D67">
        <w:rPr>
          <w:rFonts w:ascii="Times New Roman" w:hAnsi="Times New Roman" w:cs="Times New Roman"/>
        </w:rPr>
        <w:t>. C</w:t>
      </w:r>
      <w:r w:rsidR="00B11C82" w:rsidRPr="008A0D67">
        <w:rPr>
          <w:rFonts w:ascii="Times New Roman" w:hAnsi="Times New Roman" w:cs="Times New Roman"/>
        </w:rPr>
        <w:t>ognitive appraisals help us to distinguish an emotion from another acc</w:t>
      </w:r>
      <w:r w:rsidR="001D084E" w:rsidRPr="008A0D67">
        <w:rPr>
          <w:rFonts w:ascii="Times New Roman" w:hAnsi="Times New Roman" w:cs="Times New Roman"/>
        </w:rPr>
        <w:t>ording to Schachter and Singer (</w:t>
      </w:r>
      <w:r w:rsidR="00B11C82" w:rsidRPr="008A0D67">
        <w:rPr>
          <w:rFonts w:ascii="Times New Roman" w:hAnsi="Times New Roman" w:cs="Times New Roman"/>
        </w:rPr>
        <w:t>1962</w:t>
      </w:r>
      <w:r w:rsidR="001D084E" w:rsidRPr="008A0D67">
        <w:rPr>
          <w:rFonts w:ascii="Times New Roman" w:hAnsi="Times New Roman" w:cs="Times New Roman"/>
        </w:rPr>
        <w:t>)</w:t>
      </w:r>
      <w:r w:rsidR="00B11C82" w:rsidRPr="008A0D67">
        <w:rPr>
          <w:rFonts w:ascii="Times New Roman" w:hAnsi="Times New Roman" w:cs="Times New Roman"/>
        </w:rPr>
        <w:t>.</w:t>
      </w:r>
      <w:r w:rsidR="00FC1A89" w:rsidRPr="008A0D67">
        <w:rPr>
          <w:rFonts w:ascii="Times New Roman" w:hAnsi="Times New Roman" w:cs="Times New Roman"/>
        </w:rPr>
        <w:t xml:space="preserve"> C</w:t>
      </w:r>
      <w:r w:rsidR="0074790F" w:rsidRPr="008A0D67">
        <w:rPr>
          <w:rFonts w:ascii="Times New Roman" w:hAnsi="Times New Roman" w:cs="Times New Roman"/>
        </w:rPr>
        <w:t>ognition</w:t>
      </w:r>
      <w:r w:rsidR="00FC1A89" w:rsidRPr="008A0D67">
        <w:rPr>
          <w:rFonts w:ascii="Times New Roman" w:hAnsi="Times New Roman" w:cs="Times New Roman"/>
        </w:rPr>
        <w:t xml:space="preserve"> can then influence</w:t>
      </w:r>
      <w:r w:rsidR="0074790F" w:rsidRPr="008A0D67">
        <w:rPr>
          <w:rFonts w:ascii="Times New Roman" w:hAnsi="Times New Roman" w:cs="Times New Roman"/>
        </w:rPr>
        <w:t xml:space="preserve"> emotion. </w:t>
      </w:r>
      <w:r w:rsidR="00416D6E" w:rsidRPr="008A0D67">
        <w:rPr>
          <w:rFonts w:ascii="Times New Roman" w:hAnsi="Times New Roman" w:cs="Times New Roman"/>
        </w:rPr>
        <w:t>If emotion</w:t>
      </w:r>
      <w:r w:rsidR="00297AD9" w:rsidRPr="008A0D67">
        <w:rPr>
          <w:rFonts w:ascii="Times New Roman" w:hAnsi="Times New Roman" w:cs="Times New Roman"/>
        </w:rPr>
        <w:t>s</w:t>
      </w:r>
      <w:r w:rsidR="00416D6E" w:rsidRPr="008A0D67">
        <w:rPr>
          <w:rFonts w:ascii="Times New Roman" w:hAnsi="Times New Roman" w:cs="Times New Roman"/>
        </w:rPr>
        <w:t xml:space="preserve"> </w:t>
      </w:r>
      <w:r w:rsidR="00297AD9" w:rsidRPr="008A0D67">
        <w:rPr>
          <w:rFonts w:ascii="Times New Roman" w:hAnsi="Times New Roman" w:cs="Times New Roman"/>
        </w:rPr>
        <w:t>are</w:t>
      </w:r>
      <w:r w:rsidR="00416D6E" w:rsidRPr="008A0D67">
        <w:rPr>
          <w:rFonts w:ascii="Times New Roman" w:hAnsi="Times New Roman" w:cs="Times New Roman"/>
        </w:rPr>
        <w:t xml:space="preserve"> inherently adaptive </w:t>
      </w:r>
      <w:r w:rsidR="00297AD9" w:rsidRPr="008A0D67">
        <w:rPr>
          <w:rFonts w:ascii="Times New Roman" w:hAnsi="Times New Roman" w:cs="Times New Roman"/>
        </w:rPr>
        <w:t xml:space="preserve">and depend </w:t>
      </w:r>
      <w:r w:rsidR="00416D6E" w:rsidRPr="008A0D67">
        <w:rPr>
          <w:rFonts w:ascii="Times New Roman" w:hAnsi="Times New Roman" w:cs="Times New Roman"/>
        </w:rPr>
        <w:t xml:space="preserve">on cognitive performance (Izard, 2009), </w:t>
      </w:r>
      <w:r w:rsidR="00297AD9" w:rsidRPr="008A0D67">
        <w:rPr>
          <w:rFonts w:ascii="Times New Roman" w:hAnsi="Times New Roman" w:cs="Times New Roman"/>
        </w:rPr>
        <w:t xml:space="preserve">they </w:t>
      </w:r>
      <w:r w:rsidR="00416D6E" w:rsidRPr="008A0D67">
        <w:rPr>
          <w:rFonts w:ascii="Times New Roman" w:hAnsi="Times New Roman" w:cs="Times New Roman"/>
        </w:rPr>
        <w:t xml:space="preserve">can facilitate </w:t>
      </w:r>
      <w:r w:rsidR="00297AD9" w:rsidRPr="008A0D67">
        <w:rPr>
          <w:rFonts w:ascii="Times New Roman" w:hAnsi="Times New Roman" w:cs="Times New Roman"/>
        </w:rPr>
        <w:t xml:space="preserve">rather than hinder </w:t>
      </w:r>
      <w:r w:rsidR="00416D6E" w:rsidRPr="008A0D67">
        <w:rPr>
          <w:rFonts w:ascii="Times New Roman" w:hAnsi="Times New Roman" w:cs="Times New Roman"/>
        </w:rPr>
        <w:t>performance a</w:t>
      </w:r>
      <w:r w:rsidR="00297AD9" w:rsidRPr="008A0D67">
        <w:rPr>
          <w:rFonts w:ascii="Times New Roman" w:hAnsi="Times New Roman" w:cs="Times New Roman"/>
        </w:rPr>
        <w:t>nd learning.</w:t>
      </w:r>
    </w:p>
    <w:p w14:paraId="7B756748" w14:textId="691A2BA3" w:rsidR="006C10E3" w:rsidRPr="008A0D67" w:rsidRDefault="00312F4C" w:rsidP="00297AD9">
      <w:pPr>
        <w:spacing w:after="160" w:line="360" w:lineRule="auto"/>
        <w:jc w:val="both"/>
        <w:rPr>
          <w:rFonts w:ascii="Times New Roman" w:hAnsi="Times New Roman" w:cs="Times New Roman"/>
        </w:rPr>
      </w:pPr>
      <w:r w:rsidRPr="008A0D67">
        <w:rPr>
          <w:rFonts w:ascii="Times New Roman" w:hAnsi="Times New Roman" w:cs="Times New Roman"/>
        </w:rPr>
        <w:t xml:space="preserve">For us, the most compelling argument </w:t>
      </w:r>
      <w:r w:rsidR="002D346D" w:rsidRPr="008A0D67">
        <w:rPr>
          <w:rFonts w:ascii="Times New Roman" w:hAnsi="Times New Roman" w:cs="Times New Roman"/>
        </w:rPr>
        <w:t xml:space="preserve">against </w:t>
      </w:r>
      <w:r w:rsidRPr="008A0D67">
        <w:rPr>
          <w:rFonts w:ascii="Times New Roman" w:hAnsi="Times New Roman" w:cs="Times New Roman"/>
        </w:rPr>
        <w:t>inferential learning (</w:t>
      </w:r>
      <w:r w:rsidR="003165ED" w:rsidRPr="008A0D67">
        <w:rPr>
          <w:rFonts w:ascii="Times New Roman" w:hAnsi="Times New Roman" w:cs="Times New Roman"/>
        </w:rPr>
        <w:t xml:space="preserve">defined </w:t>
      </w:r>
      <w:r w:rsidRPr="008A0D67">
        <w:rPr>
          <w:rFonts w:ascii="Times New Roman" w:hAnsi="Times New Roman" w:cs="Times New Roman"/>
        </w:rPr>
        <w:t xml:space="preserve">here as reasoning about </w:t>
      </w:r>
      <w:r w:rsidR="00AE1B73">
        <w:rPr>
          <w:rFonts w:ascii="Times New Roman" w:hAnsi="Times New Roman" w:cs="Times New Roman"/>
        </w:rPr>
        <w:t>evidence and re-adjusting priors with coherence</w:t>
      </w:r>
      <w:r w:rsidRPr="008A0D67">
        <w:rPr>
          <w:rFonts w:ascii="Times New Roman" w:hAnsi="Times New Roman" w:cs="Times New Roman"/>
        </w:rPr>
        <w:t>) comes from a set of experiments that report that cognition can be fast-paced, linked to quick associations between cues and responses – or, in public policy language, between the stimulus coming from the environment and the behavioral response of the individual. Thes</w:t>
      </w:r>
      <w:r w:rsidR="004A1358" w:rsidRPr="008A0D67">
        <w:rPr>
          <w:rFonts w:ascii="Times New Roman" w:hAnsi="Times New Roman" w:cs="Times New Roman"/>
        </w:rPr>
        <w:t>e models of contingent learning</w:t>
      </w:r>
      <w:r w:rsidRPr="008A0D67">
        <w:rPr>
          <w:rFonts w:ascii="Times New Roman" w:hAnsi="Times New Roman" w:cs="Times New Roman"/>
        </w:rPr>
        <w:t xml:space="preserve"> are quite radical in their implications</w:t>
      </w:r>
      <w:r w:rsidR="00BA6AFF">
        <w:rPr>
          <w:rFonts w:ascii="Times New Roman" w:hAnsi="Times New Roman" w:cs="Times New Roman"/>
        </w:rPr>
        <w:t xml:space="preserve"> (Kamkhaji and Radaelli, 2016</w:t>
      </w:r>
      <w:r w:rsidR="004A1358" w:rsidRPr="008A0D67">
        <w:rPr>
          <w:rFonts w:ascii="Times New Roman" w:hAnsi="Times New Roman" w:cs="Times New Roman"/>
        </w:rPr>
        <w:t xml:space="preserve"> for a review</w:t>
      </w:r>
      <w:r w:rsidR="00AE1B73">
        <w:rPr>
          <w:rFonts w:ascii="Times New Roman" w:hAnsi="Times New Roman" w:cs="Times New Roman"/>
        </w:rPr>
        <w:t xml:space="preserve"> and application to the EU</w:t>
      </w:r>
      <w:r w:rsidR="004A1358" w:rsidRPr="008A0D67">
        <w:rPr>
          <w:rFonts w:ascii="Times New Roman" w:hAnsi="Times New Roman" w:cs="Times New Roman"/>
        </w:rPr>
        <w:t>)</w:t>
      </w:r>
      <w:r w:rsidRPr="008A0D67">
        <w:rPr>
          <w:rFonts w:ascii="Times New Roman" w:hAnsi="Times New Roman" w:cs="Times New Roman"/>
        </w:rPr>
        <w:t xml:space="preserve">. They show </w:t>
      </w:r>
      <w:r w:rsidR="0056697A" w:rsidRPr="008A0D67">
        <w:rPr>
          <w:rFonts w:ascii="Times New Roman" w:hAnsi="Times New Roman" w:cs="Times New Roman"/>
        </w:rPr>
        <w:t>that often</w:t>
      </w:r>
      <w:r w:rsidRPr="008A0D67">
        <w:rPr>
          <w:rFonts w:ascii="Times New Roman" w:hAnsi="Times New Roman" w:cs="Times New Roman"/>
        </w:rPr>
        <w:t xml:space="preserve"> it is not learning that produces change. </w:t>
      </w:r>
      <w:r w:rsidR="00A358F5" w:rsidRPr="008A0D67">
        <w:rPr>
          <w:rFonts w:ascii="Times New Roman" w:hAnsi="Times New Roman" w:cs="Times New Roman"/>
        </w:rPr>
        <w:t>Rather, it is</w:t>
      </w:r>
      <w:r w:rsidRPr="008A0D67">
        <w:rPr>
          <w:rFonts w:ascii="Times New Roman" w:hAnsi="Times New Roman" w:cs="Times New Roman"/>
        </w:rPr>
        <w:t xml:space="preserve"> change that creates contingent fast responses via cue-outcomes associations. Surprise trumps experience. Priors do not change under conditions of fast, extreme surprise. But the individual forced to choose quickly still sees that by choosing an action instead of another brings a better result. There is no time to reflect on ‘what have I done’. There is </w:t>
      </w:r>
      <w:r w:rsidR="00F8409F" w:rsidRPr="008A0D67">
        <w:rPr>
          <w:rFonts w:ascii="Times New Roman" w:hAnsi="Times New Roman" w:cs="Times New Roman"/>
        </w:rPr>
        <w:t xml:space="preserve">only </w:t>
      </w:r>
      <w:r w:rsidRPr="008A0D67">
        <w:rPr>
          <w:rFonts w:ascii="Times New Roman" w:hAnsi="Times New Roman" w:cs="Times New Roman"/>
        </w:rPr>
        <w:t>time to use the fast experience of doing something in response to a cue</w:t>
      </w:r>
      <w:r w:rsidR="00F8409F" w:rsidRPr="008A0D67">
        <w:rPr>
          <w:rFonts w:ascii="Times New Roman" w:hAnsi="Times New Roman" w:cs="Times New Roman"/>
        </w:rPr>
        <w:t>; this becomes the only</w:t>
      </w:r>
      <w:r w:rsidRPr="008A0D67">
        <w:rPr>
          <w:rFonts w:ascii="Times New Roman" w:hAnsi="Times New Roman" w:cs="Times New Roman"/>
        </w:rPr>
        <w:t xml:space="preserve"> probe. And</w:t>
      </w:r>
      <w:r w:rsidR="00F8409F" w:rsidRPr="008A0D67">
        <w:rPr>
          <w:rFonts w:ascii="Times New Roman" w:hAnsi="Times New Roman" w:cs="Times New Roman"/>
        </w:rPr>
        <w:t xml:space="preserve"> the subject carries</w:t>
      </w:r>
      <w:r w:rsidRPr="008A0D67">
        <w:rPr>
          <w:rFonts w:ascii="Times New Roman" w:hAnsi="Times New Roman" w:cs="Times New Roman"/>
        </w:rPr>
        <w:t xml:space="preserve"> on with the next fast probing mechanism. It is only in a second moment that these fast-pac</w:t>
      </w:r>
      <w:r w:rsidR="006649C0" w:rsidRPr="008A0D67">
        <w:rPr>
          <w:rFonts w:ascii="Times New Roman" w:hAnsi="Times New Roman" w:cs="Times New Roman"/>
        </w:rPr>
        <w:t>ed associative mechanisms (i.e.</w:t>
      </w:r>
      <w:r w:rsidRPr="008A0D67">
        <w:rPr>
          <w:rFonts w:ascii="Times New Roman" w:hAnsi="Times New Roman" w:cs="Times New Roman"/>
        </w:rPr>
        <w:t xml:space="preserve"> associating a stimulus</w:t>
      </w:r>
      <w:r w:rsidR="0020321D">
        <w:rPr>
          <w:rFonts w:ascii="Times New Roman" w:hAnsi="Times New Roman" w:cs="Times New Roman"/>
        </w:rPr>
        <w:t xml:space="preserve"> with a ‘correct’ response) bed-</w:t>
      </w:r>
      <w:r w:rsidRPr="008A0D67">
        <w:rPr>
          <w:rFonts w:ascii="Times New Roman" w:hAnsi="Times New Roman" w:cs="Times New Roman"/>
        </w:rPr>
        <w:t xml:space="preserve">in and provide some </w:t>
      </w:r>
      <w:r w:rsidRPr="008A0D67">
        <w:rPr>
          <w:rFonts w:ascii="Times New Roman" w:hAnsi="Times New Roman" w:cs="Times New Roman"/>
        </w:rPr>
        <w:lastRenderedPageBreak/>
        <w:t xml:space="preserve">feedback. This feedback </w:t>
      </w:r>
      <w:r w:rsidR="00756A0B" w:rsidRPr="008A0D67">
        <w:rPr>
          <w:rFonts w:ascii="Times New Roman" w:hAnsi="Times New Roman" w:cs="Times New Roman"/>
        </w:rPr>
        <w:t xml:space="preserve">in turn anchors cognition. And at this point the individual is in a position to draw inferences and learn via reason. We have come full </w:t>
      </w:r>
      <w:r w:rsidR="001A5ED4" w:rsidRPr="008A0D67">
        <w:rPr>
          <w:rFonts w:ascii="Times New Roman" w:hAnsi="Times New Roman" w:cs="Times New Roman"/>
        </w:rPr>
        <w:t>circle: change causes contingent associations at the individual level, then feedback lays down the pre-conditions for learning. This</w:t>
      </w:r>
      <w:r w:rsidR="00F8409F" w:rsidRPr="008A0D67">
        <w:rPr>
          <w:rFonts w:ascii="Times New Roman" w:hAnsi="Times New Roman" w:cs="Times New Roman"/>
        </w:rPr>
        <w:t xml:space="preserve"> does not happen every time of course</w:t>
      </w:r>
      <w:r w:rsidR="008D12D0">
        <w:rPr>
          <w:rFonts w:ascii="Times New Roman" w:hAnsi="Times New Roman" w:cs="Times New Roman"/>
        </w:rPr>
        <w:t xml:space="preserve"> and, thinking back to the seminal work of Argyris and Schön, when this learning is triggered it has a variety of depths (see Argyris and Schön, 1974 on single- and double-loop learning at the individual level)</w:t>
      </w:r>
      <w:r w:rsidR="00F8409F" w:rsidRPr="008A0D67">
        <w:rPr>
          <w:rFonts w:ascii="Times New Roman" w:hAnsi="Times New Roman" w:cs="Times New Roman"/>
        </w:rPr>
        <w:t>. It</w:t>
      </w:r>
      <w:r w:rsidR="001A5ED4" w:rsidRPr="008A0D67">
        <w:rPr>
          <w:rFonts w:ascii="Times New Roman" w:hAnsi="Times New Roman" w:cs="Times New Roman"/>
        </w:rPr>
        <w:t xml:space="preserve"> is more likely to occur under conditions of crisis, emergency, ‘do-something-or-die’ situations of accidental heroes</w:t>
      </w:r>
      <w:r w:rsidR="00AE1B73">
        <w:rPr>
          <w:rFonts w:ascii="Times New Roman" w:hAnsi="Times New Roman" w:cs="Times New Roman"/>
        </w:rPr>
        <w:t xml:space="preserve"> of policy change</w:t>
      </w:r>
      <w:r w:rsidR="001A5ED4" w:rsidRPr="008A0D67">
        <w:rPr>
          <w:rFonts w:ascii="Times New Roman" w:hAnsi="Times New Roman" w:cs="Times New Roman"/>
        </w:rPr>
        <w:t xml:space="preserve"> that only later understand what they have done. We have therefore scope conditions</w:t>
      </w:r>
      <w:r w:rsidR="006C10E3" w:rsidRPr="008A0D67">
        <w:rPr>
          <w:rFonts w:ascii="Times New Roman" w:hAnsi="Times New Roman" w:cs="Times New Roman"/>
        </w:rPr>
        <w:t>, especially surprise and extreme crisis conditions,</w:t>
      </w:r>
      <w:r w:rsidR="001A5ED4" w:rsidRPr="008A0D67">
        <w:rPr>
          <w:rFonts w:ascii="Times New Roman" w:hAnsi="Times New Roman" w:cs="Times New Roman"/>
        </w:rPr>
        <w:t xml:space="preserve"> for this micro</w:t>
      </w:r>
      <w:r w:rsidR="003B4FF1" w:rsidRPr="008A0D67">
        <w:rPr>
          <w:rFonts w:ascii="Times New Roman" w:hAnsi="Times New Roman" w:cs="Times New Roman"/>
        </w:rPr>
        <w:t>-foundation of contingency.</w:t>
      </w:r>
    </w:p>
    <w:p w14:paraId="75576F9F" w14:textId="45F5F7BE" w:rsidR="00312F4C" w:rsidRPr="008A0D67" w:rsidRDefault="001A5ED4" w:rsidP="00297AD9">
      <w:pPr>
        <w:spacing w:after="160" w:line="360" w:lineRule="auto"/>
        <w:jc w:val="both"/>
        <w:rPr>
          <w:rFonts w:ascii="Times New Roman" w:hAnsi="Times New Roman" w:cs="Times New Roman"/>
        </w:rPr>
      </w:pPr>
      <w:r w:rsidRPr="008A0D67">
        <w:rPr>
          <w:rFonts w:ascii="Times New Roman" w:hAnsi="Times New Roman" w:cs="Times New Roman"/>
        </w:rPr>
        <w:t>In conclusion, our journey into micro-foundations reveals that individual learning processes are conditional</w:t>
      </w:r>
      <w:r w:rsidR="00A52906" w:rsidRPr="008A0D67">
        <w:rPr>
          <w:rFonts w:ascii="Times New Roman" w:hAnsi="Times New Roman" w:cs="Times New Roman"/>
        </w:rPr>
        <w:t xml:space="preserve"> on heuristics; that </w:t>
      </w:r>
      <w:r w:rsidRPr="008A0D67">
        <w:rPr>
          <w:rFonts w:ascii="Times New Roman" w:hAnsi="Times New Roman" w:cs="Times New Roman"/>
        </w:rPr>
        <w:t>emotions are not necessarily distortions and actually may trigger more information search; and that under conditions of extreme surprise learning can follow change, instead of being its cause.</w:t>
      </w:r>
    </w:p>
    <w:p w14:paraId="53921E07" w14:textId="77777777" w:rsidR="00A46C5D" w:rsidRPr="008A0D67" w:rsidRDefault="00A46C5D" w:rsidP="00D611CC">
      <w:pPr>
        <w:spacing w:after="160" w:line="360" w:lineRule="auto"/>
        <w:jc w:val="both"/>
        <w:rPr>
          <w:rFonts w:ascii="Times New Roman" w:hAnsi="Times New Roman" w:cs="Times New Roman"/>
        </w:rPr>
      </w:pPr>
    </w:p>
    <w:p w14:paraId="029516E0" w14:textId="3DE5D51C" w:rsidR="00A46C5D" w:rsidRPr="008A0D67" w:rsidRDefault="00297AD9" w:rsidP="004C356D">
      <w:pPr>
        <w:pStyle w:val="ListParagraph"/>
        <w:numPr>
          <w:ilvl w:val="0"/>
          <w:numId w:val="11"/>
        </w:numPr>
        <w:spacing w:after="160" w:line="360" w:lineRule="auto"/>
        <w:jc w:val="both"/>
        <w:rPr>
          <w:rFonts w:ascii="Times New Roman" w:hAnsi="Times New Roman" w:cs="Times New Roman"/>
          <w:b/>
        </w:rPr>
      </w:pPr>
      <w:r w:rsidRPr="008A0D67">
        <w:rPr>
          <w:rFonts w:ascii="Times New Roman" w:hAnsi="Times New Roman" w:cs="Times New Roman"/>
          <w:b/>
        </w:rPr>
        <w:t>Micro to Micro Transitions</w:t>
      </w:r>
    </w:p>
    <w:p w14:paraId="50F456E0" w14:textId="28BE8DCF" w:rsidR="007F0D87" w:rsidRPr="008A0D67" w:rsidRDefault="002B5C30" w:rsidP="00472EF8">
      <w:pPr>
        <w:spacing w:after="160" w:line="360" w:lineRule="auto"/>
        <w:jc w:val="both"/>
        <w:rPr>
          <w:rFonts w:ascii="Times New Roman" w:hAnsi="Times New Roman" w:cs="Times New Roman"/>
        </w:rPr>
      </w:pPr>
      <w:r w:rsidRPr="008A0D67">
        <w:rPr>
          <w:rFonts w:ascii="Times New Roman" w:hAnsi="Times New Roman" w:cs="Times New Roman"/>
        </w:rPr>
        <w:t>Micro-micro relations concern learning mechanisms affecting individual A and individual B</w:t>
      </w:r>
      <w:r w:rsidR="00545EFF" w:rsidRPr="008A0D67">
        <w:rPr>
          <w:rFonts w:ascii="Times New Roman" w:hAnsi="Times New Roman" w:cs="Times New Roman"/>
        </w:rPr>
        <w:t>,</w:t>
      </w:r>
      <w:r w:rsidRPr="008A0D67">
        <w:rPr>
          <w:rFonts w:ascii="Times New Roman" w:hAnsi="Times New Roman" w:cs="Times New Roman"/>
        </w:rPr>
        <w:t xml:space="preserve"> and relations between individuals and groups</w:t>
      </w:r>
      <w:r w:rsidR="00A1277A" w:rsidRPr="008A0D67">
        <w:rPr>
          <w:rFonts w:ascii="Times New Roman" w:hAnsi="Times New Roman" w:cs="Times New Roman"/>
        </w:rPr>
        <w:t xml:space="preserve"> or social networks</w:t>
      </w:r>
      <w:r w:rsidRPr="008A0D67">
        <w:rPr>
          <w:rFonts w:ascii="Times New Roman" w:hAnsi="Times New Roman" w:cs="Times New Roman"/>
        </w:rPr>
        <w:t>. There is</w:t>
      </w:r>
      <w:r w:rsidR="004839D2" w:rsidRPr="008A0D67">
        <w:rPr>
          <w:rFonts w:ascii="Times New Roman" w:hAnsi="Times New Roman" w:cs="Times New Roman"/>
        </w:rPr>
        <w:t xml:space="preserve"> a colossal literature on both</w:t>
      </w:r>
      <w:r w:rsidR="008B12E5" w:rsidRPr="008A0D67">
        <w:rPr>
          <w:rFonts w:ascii="Times New Roman" w:hAnsi="Times New Roman" w:cs="Times New Roman"/>
        </w:rPr>
        <w:t>, and as we have seen the problem of explaining these relationships within a causal theory of learning was already present in Heclo’s insights on networked groups, within and across countries (Heclo, 1974:</w:t>
      </w:r>
      <w:r w:rsidR="00753BA7">
        <w:rPr>
          <w:rFonts w:ascii="Times New Roman" w:hAnsi="Times New Roman" w:cs="Times New Roman"/>
        </w:rPr>
        <w:t xml:space="preserve"> </w:t>
      </w:r>
      <w:r w:rsidR="008B12E5" w:rsidRPr="008A0D67">
        <w:rPr>
          <w:rFonts w:ascii="Times New Roman" w:hAnsi="Times New Roman" w:cs="Times New Roman"/>
        </w:rPr>
        <w:t xml:space="preserve">310-11). </w:t>
      </w:r>
      <w:r w:rsidR="004725DE" w:rsidRPr="008A0D67">
        <w:rPr>
          <w:rFonts w:ascii="Times New Roman" w:hAnsi="Times New Roman" w:cs="Times New Roman"/>
        </w:rPr>
        <w:t>Indeed,</w:t>
      </w:r>
      <w:r w:rsidR="008B12E5" w:rsidRPr="008A0D67">
        <w:rPr>
          <w:rFonts w:ascii="Times New Roman" w:hAnsi="Times New Roman" w:cs="Times New Roman"/>
        </w:rPr>
        <w:t xml:space="preserve"> a year before Heclo published his study, Donald Schön (1973) talked about government as a learning system. This notion of government as learning system is suitable to explore the micro-micro relations because it points towards the evolution of policy ideas with</w:t>
      </w:r>
      <w:r w:rsidR="00EF49EB" w:rsidRPr="008A0D67">
        <w:rPr>
          <w:rFonts w:ascii="Times New Roman" w:hAnsi="Times New Roman" w:cs="Times New Roman"/>
        </w:rPr>
        <w:t>in networks of decision-makers.</w:t>
      </w:r>
    </w:p>
    <w:p w14:paraId="7E33F825" w14:textId="20F82FF0" w:rsidR="008B12E5" w:rsidRPr="008A0D67" w:rsidRDefault="008B12E5" w:rsidP="00472EF8">
      <w:pPr>
        <w:spacing w:after="160" w:line="360" w:lineRule="auto"/>
        <w:jc w:val="both"/>
        <w:rPr>
          <w:rFonts w:ascii="Times New Roman" w:hAnsi="Times New Roman" w:cs="Times New Roman"/>
        </w:rPr>
      </w:pPr>
      <w:r w:rsidRPr="008A0D67">
        <w:rPr>
          <w:rFonts w:ascii="Times New Roman" w:hAnsi="Times New Roman" w:cs="Times New Roman"/>
        </w:rPr>
        <w:t>Ideas can come from advocacy groups</w:t>
      </w:r>
      <w:r w:rsidR="00842FC9" w:rsidRPr="008A0D67">
        <w:rPr>
          <w:rFonts w:ascii="Times New Roman" w:hAnsi="Times New Roman" w:cs="Times New Roman"/>
        </w:rPr>
        <w:t xml:space="preserve"> or metaphors</w:t>
      </w:r>
      <w:r w:rsidRPr="008A0D67">
        <w:rPr>
          <w:rFonts w:ascii="Times New Roman" w:hAnsi="Times New Roman" w:cs="Times New Roman"/>
        </w:rPr>
        <w:t xml:space="preserve"> – </w:t>
      </w:r>
      <w:r w:rsidR="0083678B" w:rsidRPr="008A0D67">
        <w:rPr>
          <w:rFonts w:ascii="Times New Roman" w:hAnsi="Times New Roman" w:cs="Times New Roman"/>
        </w:rPr>
        <w:t xml:space="preserve">for example, </w:t>
      </w:r>
      <w:r w:rsidRPr="008A0D67">
        <w:rPr>
          <w:rFonts w:ascii="Times New Roman" w:hAnsi="Times New Roman" w:cs="Times New Roman"/>
        </w:rPr>
        <w:t xml:space="preserve">recently </w:t>
      </w:r>
      <w:r w:rsidR="00195EF3" w:rsidRPr="008A0D67">
        <w:rPr>
          <w:rFonts w:ascii="Times New Roman" w:hAnsi="Times New Roman" w:cs="Times New Roman"/>
        </w:rPr>
        <w:t xml:space="preserve">political </w:t>
      </w:r>
      <w:r w:rsidRPr="008A0D67">
        <w:rPr>
          <w:rFonts w:ascii="Times New Roman" w:hAnsi="Times New Roman" w:cs="Times New Roman"/>
        </w:rPr>
        <w:t xml:space="preserve">ethnographers have documented that a particular chart can show up meeting after meeting in Whitehall, and turn into the </w:t>
      </w:r>
      <w:r w:rsidR="00F23D0D">
        <w:rPr>
          <w:rFonts w:ascii="Times New Roman" w:hAnsi="Times New Roman" w:cs="Times New Roman"/>
        </w:rPr>
        <w:t xml:space="preserve">winning </w:t>
      </w:r>
      <w:r w:rsidRPr="008A0D67">
        <w:rPr>
          <w:rFonts w:ascii="Times New Roman" w:hAnsi="Times New Roman" w:cs="Times New Roman"/>
        </w:rPr>
        <w:t xml:space="preserve">argument for a policy choice (Stevens, 2011). Ideas </w:t>
      </w:r>
      <w:r w:rsidR="00881AF7" w:rsidRPr="008A0D67">
        <w:rPr>
          <w:rFonts w:ascii="Times New Roman" w:hAnsi="Times New Roman" w:cs="Times New Roman"/>
        </w:rPr>
        <w:t>however</w:t>
      </w:r>
      <w:r w:rsidR="00C221C7" w:rsidRPr="008A0D67">
        <w:rPr>
          <w:rFonts w:ascii="Times New Roman" w:hAnsi="Times New Roman" w:cs="Times New Roman"/>
        </w:rPr>
        <w:t xml:space="preserve"> </w:t>
      </w:r>
      <w:r w:rsidRPr="008A0D67">
        <w:rPr>
          <w:rFonts w:ascii="Times New Roman" w:hAnsi="Times New Roman" w:cs="Times New Roman"/>
        </w:rPr>
        <w:t xml:space="preserve">do not </w:t>
      </w:r>
      <w:r w:rsidR="00195EF3" w:rsidRPr="008A0D67">
        <w:rPr>
          <w:rFonts w:ascii="Times New Roman" w:hAnsi="Times New Roman" w:cs="Times New Roman"/>
        </w:rPr>
        <w:t>necessarily move from the center</w:t>
      </w:r>
      <w:r w:rsidRPr="008A0D67">
        <w:rPr>
          <w:rFonts w:ascii="Times New Roman" w:hAnsi="Times New Roman" w:cs="Times New Roman"/>
        </w:rPr>
        <w:t xml:space="preserve"> of the system to the periphery. Schön argues that innovation can already exist somewhere in the system, in many sources. Diffusion among groups is the process of bringing an idea from point A in the system to the center and to other points in the sy</w:t>
      </w:r>
      <w:r w:rsidR="00763E23" w:rsidRPr="008A0D67">
        <w:rPr>
          <w:rFonts w:ascii="Times New Roman" w:hAnsi="Times New Roman" w:cs="Times New Roman"/>
        </w:rPr>
        <w:t>stem</w:t>
      </w:r>
      <w:r w:rsidR="00947EF9" w:rsidRPr="008A0D67">
        <w:rPr>
          <w:rFonts w:ascii="Times New Roman" w:hAnsi="Times New Roman" w:cs="Times New Roman"/>
        </w:rPr>
        <w:t xml:space="preserve">. </w:t>
      </w:r>
      <w:r w:rsidR="00763E23" w:rsidRPr="008A0D67">
        <w:rPr>
          <w:rFonts w:ascii="Times New Roman" w:hAnsi="Times New Roman" w:cs="Times New Roman"/>
        </w:rPr>
        <w:t>This is obviously a lens that takes us to reject the notion of the stable state (Schön, 1973)</w:t>
      </w:r>
      <w:r w:rsidR="00947EF9" w:rsidRPr="008A0D67">
        <w:rPr>
          <w:rFonts w:ascii="Times New Roman" w:hAnsi="Times New Roman" w:cs="Times New Roman"/>
        </w:rPr>
        <w:t xml:space="preserve"> and treat learning as underpinned by disruptive forces (Sabel, 200</w:t>
      </w:r>
      <w:r w:rsidR="008E215E" w:rsidRPr="008A0D67">
        <w:rPr>
          <w:rFonts w:ascii="Times New Roman" w:hAnsi="Times New Roman" w:cs="Times New Roman"/>
        </w:rPr>
        <w:t>5</w:t>
      </w:r>
      <w:r w:rsidR="00947EF9" w:rsidRPr="008A0D67">
        <w:rPr>
          <w:rFonts w:ascii="Times New Roman" w:hAnsi="Times New Roman" w:cs="Times New Roman"/>
        </w:rPr>
        <w:t>)</w:t>
      </w:r>
      <w:r w:rsidR="00763E23" w:rsidRPr="008A0D67">
        <w:rPr>
          <w:rFonts w:ascii="Times New Roman" w:hAnsi="Times New Roman" w:cs="Times New Roman"/>
        </w:rPr>
        <w:t xml:space="preserve">. </w:t>
      </w:r>
      <w:r w:rsidR="00B2583C" w:rsidRPr="008A0D67">
        <w:rPr>
          <w:rFonts w:ascii="Times New Roman" w:hAnsi="Times New Roman" w:cs="Times New Roman"/>
        </w:rPr>
        <w:t xml:space="preserve">In </w:t>
      </w:r>
      <w:r w:rsidR="00B2583C" w:rsidRPr="008A0D67">
        <w:rPr>
          <w:rFonts w:ascii="Times New Roman" w:hAnsi="Times New Roman" w:cs="Times New Roman"/>
        </w:rPr>
        <w:lastRenderedPageBreak/>
        <w:t>theoretical approaches to the policy process, John Kingdon</w:t>
      </w:r>
      <w:r w:rsidR="00CB59D0" w:rsidRPr="008A0D67">
        <w:rPr>
          <w:rFonts w:ascii="Times New Roman" w:hAnsi="Times New Roman" w:cs="Times New Roman"/>
        </w:rPr>
        <w:t xml:space="preserve"> (1984)</w:t>
      </w:r>
      <w:r w:rsidR="00B2583C" w:rsidRPr="008A0D67">
        <w:rPr>
          <w:rFonts w:ascii="Times New Roman" w:hAnsi="Times New Roman" w:cs="Times New Roman"/>
        </w:rPr>
        <w:t xml:space="preserve"> is the author that has theorized about the complex process of selection of policy ideas, pointing to a list of variables that mediate their acceptance or reject in policy communities.</w:t>
      </w:r>
    </w:p>
    <w:p w14:paraId="2B821807" w14:textId="1AAA0AF3" w:rsidR="00195EF3" w:rsidRPr="008A0D67" w:rsidRDefault="00763E23" w:rsidP="00472EF8">
      <w:pPr>
        <w:spacing w:after="160" w:line="360" w:lineRule="auto"/>
        <w:jc w:val="both"/>
        <w:rPr>
          <w:rFonts w:ascii="Times New Roman" w:hAnsi="Times New Roman" w:cs="Times New Roman"/>
        </w:rPr>
      </w:pPr>
      <w:r w:rsidRPr="008A0D67">
        <w:rPr>
          <w:rFonts w:ascii="Times New Roman" w:hAnsi="Times New Roman" w:cs="Times New Roman"/>
        </w:rPr>
        <w:t xml:space="preserve">If we do not live under </w:t>
      </w:r>
      <w:r w:rsidR="00D05B8C" w:rsidRPr="008A0D67">
        <w:rPr>
          <w:rFonts w:ascii="Times New Roman" w:hAnsi="Times New Roman" w:cs="Times New Roman"/>
        </w:rPr>
        <w:t>the condition</w:t>
      </w:r>
      <w:r w:rsidR="00242258">
        <w:rPr>
          <w:rFonts w:ascii="Times New Roman" w:hAnsi="Times New Roman" w:cs="Times New Roman"/>
        </w:rPr>
        <w:t>s</w:t>
      </w:r>
      <w:r w:rsidRPr="008A0D67">
        <w:rPr>
          <w:rFonts w:ascii="Times New Roman" w:hAnsi="Times New Roman" w:cs="Times New Roman"/>
        </w:rPr>
        <w:t xml:space="preserve"> of</w:t>
      </w:r>
      <w:r w:rsidR="00242258">
        <w:rPr>
          <w:rFonts w:ascii="Times New Roman" w:hAnsi="Times New Roman" w:cs="Times New Roman"/>
        </w:rPr>
        <w:t xml:space="preserve"> the </w:t>
      </w:r>
      <w:r w:rsidRPr="008A0D67">
        <w:rPr>
          <w:rFonts w:ascii="Times New Roman" w:hAnsi="Times New Roman" w:cs="Times New Roman"/>
        </w:rPr>
        <w:t>‘stable state’, then the question arises how do policy makers get to know what they know, and act in consequence? Sense-making is a process of assembli</w:t>
      </w:r>
      <w:r w:rsidR="005F0273" w:rsidRPr="008A0D67">
        <w:rPr>
          <w:rFonts w:ascii="Times New Roman" w:hAnsi="Times New Roman" w:cs="Times New Roman"/>
        </w:rPr>
        <w:t>ng partial elements of a puzzle</w:t>
      </w:r>
      <w:r w:rsidRPr="008A0D67">
        <w:rPr>
          <w:rFonts w:ascii="Times New Roman" w:hAnsi="Times New Roman" w:cs="Times New Roman"/>
        </w:rPr>
        <w:t xml:space="preserve"> and using networks to generate a set of shared or at least not contested meanings</w:t>
      </w:r>
      <w:r w:rsidR="00944E88">
        <w:rPr>
          <w:rFonts w:ascii="Times New Roman" w:hAnsi="Times New Roman" w:cs="Times New Roman"/>
        </w:rPr>
        <w:t xml:space="preserve"> (</w:t>
      </w:r>
      <w:r w:rsidR="0098169D" w:rsidRPr="008A0D67">
        <w:rPr>
          <w:rFonts w:ascii="Times New Roman" w:hAnsi="Times New Roman" w:cs="Times New Roman"/>
        </w:rPr>
        <w:t>Weick,</w:t>
      </w:r>
      <w:r w:rsidR="00BA26FD" w:rsidRPr="008A0D67">
        <w:rPr>
          <w:rFonts w:ascii="Times New Roman" w:hAnsi="Times New Roman" w:cs="Times New Roman"/>
        </w:rPr>
        <w:t xml:space="preserve"> 1995)</w:t>
      </w:r>
      <w:r w:rsidRPr="008A0D67">
        <w:rPr>
          <w:rFonts w:ascii="Times New Roman" w:hAnsi="Times New Roman" w:cs="Times New Roman"/>
        </w:rPr>
        <w:t xml:space="preserve">. For Freeman (2007) this micro-micro relationship is </w:t>
      </w:r>
      <w:r w:rsidRPr="008A0D67">
        <w:rPr>
          <w:rFonts w:ascii="Times New Roman" w:hAnsi="Times New Roman" w:cs="Times New Roman"/>
          <w:i/>
        </w:rPr>
        <w:t>epistemological</w:t>
      </w:r>
      <w:r w:rsidRPr="008A0D67">
        <w:rPr>
          <w:rFonts w:ascii="Times New Roman" w:hAnsi="Times New Roman" w:cs="Times New Roman"/>
        </w:rPr>
        <w:t xml:space="preserve"> because it prod</w:t>
      </w:r>
      <w:r w:rsidR="00A07D25" w:rsidRPr="008A0D67">
        <w:rPr>
          <w:rFonts w:ascii="Times New Roman" w:hAnsi="Times New Roman" w:cs="Times New Roman"/>
        </w:rPr>
        <w:t>uces sense-making; but it i</w:t>
      </w:r>
      <w:r w:rsidR="00195EF3" w:rsidRPr="008A0D67">
        <w:rPr>
          <w:rFonts w:ascii="Times New Roman" w:hAnsi="Times New Roman" w:cs="Times New Roman"/>
        </w:rPr>
        <w:t>s also</w:t>
      </w:r>
      <w:r w:rsidRPr="008A0D67">
        <w:rPr>
          <w:rFonts w:ascii="Times New Roman" w:hAnsi="Times New Roman" w:cs="Times New Roman"/>
        </w:rPr>
        <w:t xml:space="preserve"> </w:t>
      </w:r>
      <w:r w:rsidRPr="008A0D67">
        <w:rPr>
          <w:rFonts w:ascii="Times New Roman" w:hAnsi="Times New Roman" w:cs="Times New Roman"/>
          <w:i/>
        </w:rPr>
        <w:t>bricolage</w:t>
      </w:r>
      <w:r w:rsidR="00FE5DEA" w:rsidRPr="008A0D67">
        <w:rPr>
          <w:rFonts w:ascii="Times New Roman" w:hAnsi="Times New Roman" w:cs="Times New Roman"/>
        </w:rPr>
        <w:t xml:space="preserve"> because ‘</w:t>
      </w:r>
      <w:r w:rsidRPr="008A0D67">
        <w:rPr>
          <w:rFonts w:ascii="Times New Roman" w:hAnsi="Times New Roman" w:cs="Times New Roman"/>
        </w:rPr>
        <w:t xml:space="preserve">piecing together is an extraordinarily subtle and complex task. It does not resemble the scientific task of appraising evidence and drawing lessons directly </w:t>
      </w:r>
      <w:r w:rsidR="005F0273" w:rsidRPr="008A0D67">
        <w:rPr>
          <w:rFonts w:ascii="Times New Roman" w:hAnsi="Times New Roman" w:cs="Times New Roman"/>
        </w:rPr>
        <w:t xml:space="preserve">from what works best. Instead, </w:t>
      </w:r>
      <w:r w:rsidRPr="008A0D67">
        <w:rPr>
          <w:rFonts w:ascii="Times New Roman" w:hAnsi="Times New Roman" w:cs="Times New Roman"/>
        </w:rPr>
        <w:t xml:space="preserve">the </w:t>
      </w:r>
      <w:r w:rsidRPr="008A0D67">
        <w:rPr>
          <w:rFonts w:ascii="Times New Roman" w:hAnsi="Times New Roman" w:cs="Times New Roman"/>
          <w:i/>
        </w:rPr>
        <w:t>bricoleur</w:t>
      </w:r>
      <w:r w:rsidRPr="008A0D67">
        <w:rPr>
          <w:rFonts w:ascii="Times New Roman" w:hAnsi="Times New Roman" w:cs="Times New Roman"/>
        </w:rPr>
        <w:t xml:space="preserve"> in contrast to the scientist or engineer, acquires and assembles tools and materials as he or she goes, keeping th</w:t>
      </w:r>
      <w:r w:rsidR="00A07D25" w:rsidRPr="008A0D67">
        <w:rPr>
          <w:rFonts w:ascii="Times New Roman" w:hAnsi="Times New Roman" w:cs="Times New Roman"/>
        </w:rPr>
        <w:t>em until they might be used …</w:t>
      </w:r>
      <w:r w:rsidRPr="008A0D67">
        <w:rPr>
          <w:rFonts w:ascii="Times New Roman" w:hAnsi="Times New Roman" w:cs="Times New Roman"/>
        </w:rPr>
        <w:t xml:space="preserve"> </w:t>
      </w:r>
      <w:r w:rsidR="00753BA7">
        <w:rPr>
          <w:rFonts w:ascii="Times New Roman" w:hAnsi="Times New Roman" w:cs="Times New Roman"/>
        </w:rPr>
        <w:t>[</w:t>
      </w:r>
      <w:r w:rsidRPr="008A0D67">
        <w:rPr>
          <w:rFonts w:ascii="Times New Roman" w:hAnsi="Times New Roman" w:cs="Times New Roman"/>
        </w:rPr>
        <w:t>N</w:t>
      </w:r>
      <w:r w:rsidR="00753BA7">
        <w:rPr>
          <w:rFonts w:ascii="Times New Roman" w:hAnsi="Times New Roman" w:cs="Times New Roman"/>
        </w:rPr>
        <w:t>]</w:t>
      </w:r>
      <w:r w:rsidRPr="008A0D67">
        <w:rPr>
          <w:rFonts w:ascii="Times New Roman" w:hAnsi="Times New Roman" w:cs="Times New Roman"/>
        </w:rPr>
        <w:t xml:space="preserve">ot only are tools selected according to the </w:t>
      </w:r>
      <w:r w:rsidRPr="008A0D67">
        <w:rPr>
          <w:rFonts w:ascii="Times New Roman" w:hAnsi="Times New Roman" w:cs="Times New Roman"/>
          <w:i/>
        </w:rPr>
        <w:t>bricoleur</w:t>
      </w:r>
      <w:r w:rsidRPr="008A0D67">
        <w:rPr>
          <w:rFonts w:ascii="Times New Roman" w:hAnsi="Times New Roman" w:cs="Times New Roman"/>
        </w:rPr>
        <w:t xml:space="preserve">’s purpose, but that purpose itself is </w:t>
      </w:r>
      <w:r w:rsidR="00B2583C" w:rsidRPr="008A0D67">
        <w:rPr>
          <w:rFonts w:ascii="Times New Roman" w:hAnsi="Times New Roman" w:cs="Times New Roman"/>
        </w:rPr>
        <w:t>shaped</w:t>
      </w:r>
      <w:r w:rsidRPr="008A0D67">
        <w:rPr>
          <w:rFonts w:ascii="Times New Roman" w:hAnsi="Times New Roman" w:cs="Times New Roman"/>
        </w:rPr>
        <w:t xml:space="preserve"> in part by t</w:t>
      </w:r>
      <w:r w:rsidR="00921512" w:rsidRPr="008A0D67">
        <w:rPr>
          <w:rFonts w:ascii="Times New Roman" w:hAnsi="Times New Roman" w:cs="Times New Roman"/>
        </w:rPr>
        <w:t>he tools and material available’</w:t>
      </w:r>
      <w:r w:rsidRPr="008A0D67">
        <w:rPr>
          <w:rFonts w:ascii="Times New Roman" w:hAnsi="Times New Roman" w:cs="Times New Roman"/>
        </w:rPr>
        <w:t xml:space="preserve"> (Freeman, 2007:</w:t>
      </w:r>
      <w:r w:rsidR="007C3138">
        <w:rPr>
          <w:rFonts w:ascii="Times New Roman" w:hAnsi="Times New Roman" w:cs="Times New Roman"/>
        </w:rPr>
        <w:t xml:space="preserve"> </w:t>
      </w:r>
      <w:r w:rsidRPr="008A0D67">
        <w:rPr>
          <w:rFonts w:ascii="Times New Roman" w:hAnsi="Times New Roman" w:cs="Times New Roman"/>
        </w:rPr>
        <w:t>486).</w:t>
      </w:r>
      <w:r w:rsidR="003033C3">
        <w:rPr>
          <w:rFonts w:ascii="Times New Roman" w:hAnsi="Times New Roman" w:cs="Times New Roman"/>
        </w:rPr>
        <w:t xml:space="preserve"> These observations on the bricoleur lead to the categories of special individuals identified by the literature – something we can only acknowledge here, but has been extensively discussed in studies of policy entrepreneurship and norms entrepreneurs (</w:t>
      </w:r>
      <w:r w:rsidR="00077D67">
        <w:rPr>
          <w:rFonts w:ascii="Times New Roman" w:hAnsi="Times New Roman" w:cs="Times New Roman"/>
        </w:rPr>
        <w:t xml:space="preserve">for an extensive review of entrepreneurs see Cohen, 2016 and on the bricoleur see </w:t>
      </w:r>
      <w:r w:rsidR="00C93BB5">
        <w:rPr>
          <w:rFonts w:ascii="Times New Roman" w:hAnsi="Times New Roman" w:cs="Times New Roman"/>
        </w:rPr>
        <w:t>Deruelle, 2016</w:t>
      </w:r>
      <w:r w:rsidR="003033C3">
        <w:rPr>
          <w:rFonts w:ascii="Times New Roman" w:hAnsi="Times New Roman" w:cs="Times New Roman"/>
        </w:rPr>
        <w:t>).</w:t>
      </w:r>
    </w:p>
    <w:p w14:paraId="336C8008" w14:textId="1948DA10" w:rsidR="00763E23" w:rsidRPr="008A0D67" w:rsidRDefault="001E563C" w:rsidP="00472EF8">
      <w:pPr>
        <w:spacing w:after="160" w:line="360" w:lineRule="auto"/>
        <w:jc w:val="both"/>
        <w:rPr>
          <w:rFonts w:ascii="Times New Roman" w:hAnsi="Times New Roman" w:cs="Times New Roman"/>
        </w:rPr>
      </w:pPr>
      <w:r w:rsidRPr="008A0D67">
        <w:rPr>
          <w:rFonts w:ascii="Times New Roman" w:hAnsi="Times New Roman" w:cs="Times New Roman"/>
        </w:rPr>
        <w:t>Thinking about causality and what comes first in this set of relations, in another contribution Freeman</w:t>
      </w:r>
      <w:r w:rsidR="00DB2B57" w:rsidRPr="008A0D67">
        <w:rPr>
          <w:rFonts w:ascii="Times New Roman" w:hAnsi="Times New Roman" w:cs="Times New Roman"/>
        </w:rPr>
        <w:t xml:space="preserve"> observes that ‘</w:t>
      </w:r>
      <w:r w:rsidRPr="008A0D67">
        <w:rPr>
          <w:rFonts w:ascii="Times New Roman" w:hAnsi="Times New Roman" w:cs="Times New Roman"/>
        </w:rPr>
        <w:t>learning is the output of a series of communications, not its input; in this sense it is gen</w:t>
      </w:r>
      <w:r w:rsidR="00DB2B57" w:rsidRPr="008A0D67">
        <w:rPr>
          <w:rFonts w:ascii="Times New Roman" w:hAnsi="Times New Roman" w:cs="Times New Roman"/>
        </w:rPr>
        <w:t>erated rather than disseminated’</w:t>
      </w:r>
      <w:r w:rsidRPr="008A0D67">
        <w:rPr>
          <w:rFonts w:ascii="Times New Roman" w:hAnsi="Times New Roman" w:cs="Times New Roman"/>
        </w:rPr>
        <w:t xml:space="preserve"> (Freeman, 2006: 379). Learning in public policy, for example in processes of policy diffusion involving networked a</w:t>
      </w:r>
      <w:r w:rsidR="007F7370" w:rsidRPr="008A0D67">
        <w:rPr>
          <w:rFonts w:ascii="Times New Roman" w:hAnsi="Times New Roman" w:cs="Times New Roman"/>
        </w:rPr>
        <w:t>ctors across countries, ‘</w:t>
      </w:r>
      <w:r w:rsidRPr="008A0D67">
        <w:rPr>
          <w:rFonts w:ascii="Times New Roman" w:hAnsi="Times New Roman" w:cs="Times New Roman"/>
        </w:rPr>
        <w:t>is i</w:t>
      </w:r>
      <w:r w:rsidR="007F7370" w:rsidRPr="008A0D67">
        <w:rPr>
          <w:rFonts w:ascii="Times New Roman" w:hAnsi="Times New Roman" w:cs="Times New Roman"/>
        </w:rPr>
        <w:t>nterpreted as much as explained’</w:t>
      </w:r>
      <w:r w:rsidRPr="008A0D67">
        <w:rPr>
          <w:rFonts w:ascii="Times New Roman" w:hAnsi="Times New Roman" w:cs="Times New Roman"/>
        </w:rPr>
        <w:t xml:space="preserve"> (Freeman, 2006:</w:t>
      </w:r>
      <w:r w:rsidR="007C3138">
        <w:rPr>
          <w:rFonts w:ascii="Times New Roman" w:hAnsi="Times New Roman" w:cs="Times New Roman"/>
        </w:rPr>
        <w:t xml:space="preserve"> </w:t>
      </w:r>
      <w:r w:rsidRPr="008A0D67">
        <w:rPr>
          <w:rFonts w:ascii="Times New Roman" w:hAnsi="Times New Roman" w:cs="Times New Roman"/>
        </w:rPr>
        <w:t>380) and therefore the key question is about the point of acceptance where within a group there is a realization of what is know</w:t>
      </w:r>
      <w:r w:rsidR="00BB3563" w:rsidRPr="008A0D67">
        <w:rPr>
          <w:rFonts w:ascii="Times New Roman" w:hAnsi="Times New Roman" w:cs="Times New Roman"/>
        </w:rPr>
        <w:t>n</w:t>
      </w:r>
      <w:r w:rsidRPr="008A0D67">
        <w:rPr>
          <w:rFonts w:ascii="Times New Roman" w:hAnsi="Times New Roman" w:cs="Times New Roman"/>
        </w:rPr>
        <w:t xml:space="preserve"> and why it matters for policy choice. Further, if there is a threshold or a point within a community of practice in a field of public policy</w:t>
      </w:r>
      <w:r w:rsidR="00863A0C" w:rsidRPr="008A0D67">
        <w:rPr>
          <w:rFonts w:ascii="Times New Roman" w:hAnsi="Times New Roman" w:cs="Times New Roman"/>
        </w:rPr>
        <w:t xml:space="preserve"> (</w:t>
      </w:r>
      <w:r w:rsidR="00A40974" w:rsidRPr="008A0D67">
        <w:rPr>
          <w:rFonts w:ascii="Times New Roman" w:hAnsi="Times New Roman" w:cs="Times New Roman"/>
        </w:rPr>
        <w:t xml:space="preserve">Lave and </w:t>
      </w:r>
      <w:r w:rsidR="00863A0C" w:rsidRPr="008A0D67">
        <w:rPr>
          <w:rFonts w:ascii="Times New Roman" w:hAnsi="Times New Roman" w:cs="Times New Roman"/>
        </w:rPr>
        <w:t xml:space="preserve">Wenger, </w:t>
      </w:r>
      <w:r w:rsidR="00A40974" w:rsidRPr="008A0D67">
        <w:rPr>
          <w:rFonts w:ascii="Times New Roman" w:hAnsi="Times New Roman" w:cs="Times New Roman"/>
        </w:rPr>
        <w:t>1991)</w:t>
      </w:r>
      <w:r w:rsidRPr="008A0D67">
        <w:rPr>
          <w:rFonts w:ascii="Times New Roman" w:hAnsi="Times New Roman" w:cs="Times New Roman"/>
        </w:rPr>
        <w:t>, this is not necessary the same point for society at large – recall what we said about</w:t>
      </w:r>
      <w:r w:rsidR="004A2F09">
        <w:rPr>
          <w:rFonts w:ascii="Times New Roman" w:hAnsi="Times New Roman" w:cs="Times New Roman"/>
        </w:rPr>
        <w:t xml:space="preserve"> Peter Hall and</w:t>
      </w:r>
      <w:r w:rsidRPr="008A0D67">
        <w:rPr>
          <w:rFonts w:ascii="Times New Roman" w:hAnsi="Times New Roman" w:cs="Times New Roman"/>
        </w:rPr>
        <w:t xml:space="preserve"> the social dimension of learning. Framing effects and their implications for </w:t>
      </w:r>
      <w:r w:rsidR="004B0735" w:rsidRPr="008A0D67">
        <w:rPr>
          <w:rFonts w:ascii="Times New Roman" w:hAnsi="Times New Roman" w:cs="Times New Roman"/>
        </w:rPr>
        <w:t xml:space="preserve">citizen competence, </w:t>
      </w:r>
      <w:r w:rsidRPr="008A0D67">
        <w:rPr>
          <w:rFonts w:ascii="Times New Roman" w:hAnsi="Times New Roman" w:cs="Times New Roman"/>
        </w:rPr>
        <w:t>and ultimately social learning</w:t>
      </w:r>
      <w:r w:rsidR="004B0735" w:rsidRPr="008A0D67">
        <w:rPr>
          <w:rFonts w:ascii="Times New Roman" w:hAnsi="Times New Roman" w:cs="Times New Roman"/>
        </w:rPr>
        <w:t xml:space="preserve"> broadly conceived,</w:t>
      </w:r>
      <w:r w:rsidRPr="008A0D67">
        <w:rPr>
          <w:rFonts w:ascii="Times New Roman" w:hAnsi="Times New Roman" w:cs="Times New Roman"/>
        </w:rPr>
        <w:t xml:space="preserve"> are the territory of behavioral</w:t>
      </w:r>
      <w:r w:rsidR="000B1E4F" w:rsidRPr="008A0D67">
        <w:rPr>
          <w:rFonts w:ascii="Times New Roman" w:hAnsi="Times New Roman" w:cs="Times New Roman"/>
        </w:rPr>
        <w:t xml:space="preserve"> decision theory, mobilization of bias across groups and target populations (</w:t>
      </w:r>
      <w:r w:rsidR="005057E2" w:rsidRPr="008A0D67">
        <w:rPr>
          <w:rFonts w:ascii="Times New Roman" w:hAnsi="Times New Roman" w:cs="Times New Roman"/>
        </w:rPr>
        <w:t>Schneider</w:t>
      </w:r>
      <w:r w:rsidR="00716BA7" w:rsidRPr="008A0D67">
        <w:rPr>
          <w:rFonts w:ascii="Times New Roman" w:hAnsi="Times New Roman" w:cs="Times New Roman"/>
        </w:rPr>
        <w:t xml:space="preserve"> and </w:t>
      </w:r>
      <w:r w:rsidR="00964B8D" w:rsidRPr="008A0D67">
        <w:rPr>
          <w:rFonts w:ascii="Times New Roman" w:hAnsi="Times New Roman" w:cs="Times New Roman"/>
        </w:rPr>
        <w:t>Ingram</w:t>
      </w:r>
      <w:r w:rsidR="005057E2" w:rsidRPr="008A0D67">
        <w:rPr>
          <w:rFonts w:ascii="Times New Roman" w:hAnsi="Times New Roman" w:cs="Times New Roman"/>
        </w:rPr>
        <w:t>, 1993</w:t>
      </w:r>
      <w:r w:rsidR="00BB3563" w:rsidRPr="008A0D67">
        <w:rPr>
          <w:rFonts w:ascii="Times New Roman" w:hAnsi="Times New Roman" w:cs="Times New Roman"/>
        </w:rPr>
        <w:t>), and herest</w:t>
      </w:r>
      <w:r w:rsidR="005057E2" w:rsidRPr="008A0D67">
        <w:rPr>
          <w:rFonts w:ascii="Times New Roman" w:hAnsi="Times New Roman" w:cs="Times New Roman"/>
        </w:rPr>
        <w:t>h</w:t>
      </w:r>
      <w:r w:rsidR="000B1E4F" w:rsidRPr="008A0D67">
        <w:rPr>
          <w:rFonts w:ascii="Times New Roman" w:hAnsi="Times New Roman" w:cs="Times New Roman"/>
        </w:rPr>
        <w:t>etics</w:t>
      </w:r>
      <w:r w:rsidR="004B0735" w:rsidRPr="008A0D67">
        <w:rPr>
          <w:rFonts w:ascii="Times New Roman" w:hAnsi="Times New Roman" w:cs="Times New Roman"/>
        </w:rPr>
        <w:t>.</w:t>
      </w:r>
    </w:p>
    <w:p w14:paraId="5171F8B4" w14:textId="3CA0C4E4" w:rsidR="000B1E4F" w:rsidRPr="008A0D67" w:rsidRDefault="001E563C" w:rsidP="00472EF8">
      <w:pPr>
        <w:spacing w:after="160" w:line="360" w:lineRule="auto"/>
        <w:jc w:val="both"/>
        <w:rPr>
          <w:rFonts w:ascii="Times New Roman" w:hAnsi="Times New Roman" w:cs="Times New Roman"/>
        </w:rPr>
      </w:pPr>
      <w:r w:rsidRPr="008A0D67">
        <w:rPr>
          <w:rFonts w:ascii="Times New Roman" w:hAnsi="Times New Roman" w:cs="Times New Roman"/>
        </w:rPr>
        <w:lastRenderedPageBreak/>
        <w:t xml:space="preserve">Methodologically, </w:t>
      </w:r>
      <w:r w:rsidR="00B2583C" w:rsidRPr="008A0D67">
        <w:rPr>
          <w:rFonts w:ascii="Times New Roman" w:hAnsi="Times New Roman" w:cs="Times New Roman"/>
        </w:rPr>
        <w:t xml:space="preserve">social </w:t>
      </w:r>
      <w:r w:rsidR="007C3138">
        <w:rPr>
          <w:rFonts w:ascii="Times New Roman" w:hAnsi="Times New Roman" w:cs="Times New Roman"/>
        </w:rPr>
        <w:t>network analysis (Scott, 2000</w:t>
      </w:r>
      <w:r w:rsidR="009F35A9" w:rsidRPr="008A0D67">
        <w:rPr>
          <w:rFonts w:ascii="Times New Roman" w:hAnsi="Times New Roman" w:cs="Times New Roman"/>
        </w:rPr>
        <w:t>)</w:t>
      </w:r>
      <w:r w:rsidR="00B2583C" w:rsidRPr="008A0D67">
        <w:rPr>
          <w:rFonts w:ascii="Times New Roman" w:hAnsi="Times New Roman" w:cs="Times New Roman"/>
        </w:rPr>
        <w:t xml:space="preserve"> </w:t>
      </w:r>
      <w:r w:rsidR="004C4212" w:rsidRPr="008A0D67">
        <w:rPr>
          <w:rFonts w:ascii="Times New Roman" w:hAnsi="Times New Roman" w:cs="Times New Roman"/>
        </w:rPr>
        <w:t>including relational approaches (McClurg and Young, 2011</w:t>
      </w:r>
      <w:r w:rsidR="00343987" w:rsidRPr="008A0D67">
        <w:rPr>
          <w:rFonts w:ascii="Times New Roman" w:hAnsi="Times New Roman" w:cs="Times New Roman"/>
        </w:rPr>
        <w:t>; Selg, 2016</w:t>
      </w:r>
      <w:r w:rsidR="009F35A9" w:rsidRPr="008A0D67">
        <w:rPr>
          <w:rFonts w:ascii="Times New Roman" w:hAnsi="Times New Roman" w:cs="Times New Roman"/>
        </w:rPr>
        <w:t>);</w:t>
      </w:r>
      <w:r w:rsidR="004C4212" w:rsidRPr="008A0D67">
        <w:rPr>
          <w:rFonts w:ascii="Times New Roman" w:hAnsi="Times New Roman" w:cs="Times New Roman"/>
        </w:rPr>
        <w:t xml:space="preserve"> </w:t>
      </w:r>
      <w:r w:rsidR="009F35A9" w:rsidRPr="008A0D67">
        <w:rPr>
          <w:rFonts w:ascii="Times New Roman" w:hAnsi="Times New Roman" w:cs="Times New Roman"/>
        </w:rPr>
        <w:t>diffusion (Gilardi, 2010);</w:t>
      </w:r>
      <w:r w:rsidR="00E319D8" w:rsidRPr="008A0D67">
        <w:rPr>
          <w:rFonts w:ascii="Times New Roman" w:hAnsi="Times New Roman" w:cs="Times New Roman"/>
        </w:rPr>
        <w:t xml:space="preserve"> interpretive policy analysis (Freeman, 2007)</w:t>
      </w:r>
      <w:r w:rsidR="009F35A9" w:rsidRPr="008A0D67">
        <w:rPr>
          <w:rFonts w:ascii="Times New Roman" w:hAnsi="Times New Roman" w:cs="Times New Roman"/>
        </w:rPr>
        <w:t>;</w:t>
      </w:r>
      <w:r w:rsidR="00195EF3" w:rsidRPr="008A0D67">
        <w:rPr>
          <w:rFonts w:ascii="Times New Roman" w:hAnsi="Times New Roman" w:cs="Times New Roman"/>
        </w:rPr>
        <w:t xml:space="preserve"> </w:t>
      </w:r>
      <w:r w:rsidR="00E319D8" w:rsidRPr="008A0D67">
        <w:rPr>
          <w:rFonts w:ascii="Times New Roman" w:hAnsi="Times New Roman" w:cs="Times New Roman"/>
        </w:rPr>
        <w:t xml:space="preserve">and </w:t>
      </w:r>
      <w:r w:rsidR="00195EF3" w:rsidRPr="008A0D67">
        <w:rPr>
          <w:rFonts w:ascii="Times New Roman" w:hAnsi="Times New Roman" w:cs="Times New Roman"/>
        </w:rPr>
        <w:t>ethnography</w:t>
      </w:r>
      <w:r w:rsidR="009F35A9" w:rsidRPr="008A0D67">
        <w:rPr>
          <w:rFonts w:ascii="Times New Roman" w:hAnsi="Times New Roman" w:cs="Times New Roman"/>
        </w:rPr>
        <w:t>,</w:t>
      </w:r>
      <w:r w:rsidR="00E319D8" w:rsidRPr="008A0D67">
        <w:rPr>
          <w:rFonts w:ascii="Times New Roman" w:hAnsi="Times New Roman" w:cs="Times New Roman"/>
        </w:rPr>
        <w:t xml:space="preserve"> (Stevens, 2011)</w:t>
      </w:r>
      <w:r w:rsidR="00195EF3" w:rsidRPr="008A0D67">
        <w:rPr>
          <w:rFonts w:ascii="Times New Roman" w:hAnsi="Times New Roman" w:cs="Times New Roman"/>
        </w:rPr>
        <w:t xml:space="preserve"> have delivered interesting </w:t>
      </w:r>
      <w:r w:rsidR="00195EF3" w:rsidRPr="00852EA6">
        <w:rPr>
          <w:rFonts w:ascii="Times New Roman" w:hAnsi="Times New Roman" w:cs="Times New Roman"/>
        </w:rPr>
        <w:t>findings</w:t>
      </w:r>
      <w:r w:rsidRPr="00852EA6">
        <w:rPr>
          <w:rFonts w:ascii="Times New Roman" w:hAnsi="Times New Roman" w:cs="Times New Roman"/>
        </w:rPr>
        <w:t xml:space="preserve">. </w:t>
      </w:r>
      <w:r w:rsidR="00E319D8" w:rsidRPr="00852EA6">
        <w:rPr>
          <w:rFonts w:ascii="Times New Roman" w:hAnsi="Times New Roman" w:cs="Times New Roman"/>
        </w:rPr>
        <w:t>Experiments</w:t>
      </w:r>
      <w:r w:rsidR="00ED6904" w:rsidRPr="00852EA6">
        <w:rPr>
          <w:rFonts w:ascii="Times New Roman" w:hAnsi="Times New Roman" w:cs="Times New Roman"/>
        </w:rPr>
        <w:t xml:space="preserve"> also</w:t>
      </w:r>
      <w:r w:rsidR="00C22E0D" w:rsidRPr="00852EA6">
        <w:rPr>
          <w:rFonts w:ascii="Times New Roman" w:hAnsi="Times New Roman" w:cs="Times New Roman"/>
        </w:rPr>
        <w:t xml:space="preserve"> </w:t>
      </w:r>
      <w:r w:rsidR="00E319D8" w:rsidRPr="00852EA6">
        <w:rPr>
          <w:rFonts w:ascii="Times New Roman" w:hAnsi="Times New Roman" w:cs="Times New Roman"/>
        </w:rPr>
        <w:t>feature prominently in this field.</w:t>
      </w:r>
      <w:r w:rsidR="00C22E0D" w:rsidRPr="00852EA6">
        <w:rPr>
          <w:rFonts w:ascii="Times New Roman" w:hAnsi="Times New Roman" w:cs="Times New Roman"/>
        </w:rPr>
        <w:t xml:space="preserve"> </w:t>
      </w:r>
      <w:r w:rsidR="009B41A2">
        <w:rPr>
          <w:rFonts w:ascii="Times New Roman" w:hAnsi="Times New Roman" w:cs="Times New Roman"/>
        </w:rPr>
        <w:t>This blaze was trailed in the post war years by Leon Festinger (1957) in his seminal work on cognitive dissonance. Inspired by this,</w:t>
      </w:r>
      <w:r w:rsidR="00852EA6" w:rsidRPr="00852EA6">
        <w:rPr>
          <w:rFonts w:ascii="Times New Roman" w:hAnsi="Times New Roman" w:cs="Times New Roman"/>
        </w:rPr>
        <w:t xml:space="preserve"> </w:t>
      </w:r>
      <w:r w:rsidR="009B41A2">
        <w:rPr>
          <w:rFonts w:ascii="Times New Roman" w:hAnsi="Times New Roman" w:cs="Times New Roman"/>
        </w:rPr>
        <w:t>in the late</w:t>
      </w:r>
      <w:r w:rsidR="00852EA6" w:rsidRPr="00852EA6">
        <w:rPr>
          <w:rFonts w:ascii="Times New Roman" w:hAnsi="Times New Roman" w:cs="Times New Roman"/>
        </w:rPr>
        <w:t xml:space="preserve"> 1960s</w:t>
      </w:r>
      <w:r w:rsidR="009B41A2">
        <w:rPr>
          <w:rFonts w:ascii="Times New Roman" w:hAnsi="Times New Roman" w:cs="Times New Roman"/>
        </w:rPr>
        <w:t>,</w:t>
      </w:r>
      <w:r w:rsidR="00C22E0D" w:rsidRPr="00852EA6">
        <w:rPr>
          <w:rFonts w:ascii="Times New Roman" w:hAnsi="Times New Roman" w:cs="Times New Roman"/>
        </w:rPr>
        <w:t xml:space="preserve"> </w:t>
      </w:r>
      <w:r w:rsidR="004A2F09">
        <w:rPr>
          <w:rFonts w:ascii="Times New Roman" w:hAnsi="Times New Roman" w:cs="Times New Roman"/>
        </w:rPr>
        <w:t xml:space="preserve">Serge </w:t>
      </w:r>
      <w:r w:rsidR="000B1E4F" w:rsidRPr="00881EEB">
        <w:rPr>
          <w:rFonts w:ascii="Times New Roman" w:hAnsi="Times New Roman"/>
        </w:rPr>
        <w:t>Moscovici</w:t>
      </w:r>
      <w:r w:rsidR="00852EA6" w:rsidRPr="00881EEB">
        <w:rPr>
          <w:rFonts w:ascii="Times New Roman" w:hAnsi="Times New Roman"/>
        </w:rPr>
        <w:t xml:space="preserve"> </w:t>
      </w:r>
      <w:r w:rsidR="00852EA6" w:rsidRPr="00852EA6">
        <w:rPr>
          <w:rFonts w:ascii="Times New Roman" w:hAnsi="Times New Roman" w:cs="Times New Roman"/>
        </w:rPr>
        <w:t>and colleagues</w:t>
      </w:r>
      <w:r w:rsidR="00AF37C4" w:rsidRPr="008A0D67">
        <w:rPr>
          <w:rFonts w:ascii="Times New Roman" w:hAnsi="Times New Roman" w:cs="Times New Roman"/>
        </w:rPr>
        <w:t xml:space="preserve"> </w:t>
      </w:r>
      <w:r w:rsidR="00852EA6">
        <w:rPr>
          <w:rFonts w:ascii="Times New Roman" w:hAnsi="Times New Roman" w:cs="Times New Roman"/>
        </w:rPr>
        <w:t>reported the results of a color perception task</w:t>
      </w:r>
      <w:r w:rsidR="000B1E4F" w:rsidRPr="008A0D67">
        <w:rPr>
          <w:rFonts w:ascii="Times New Roman" w:hAnsi="Times New Roman" w:cs="Times New Roman"/>
        </w:rPr>
        <w:t xml:space="preserve"> </w:t>
      </w:r>
      <w:r w:rsidR="00852EA6">
        <w:rPr>
          <w:rFonts w:ascii="Times New Roman" w:hAnsi="Times New Roman" w:cs="Times New Roman"/>
        </w:rPr>
        <w:t xml:space="preserve">where </w:t>
      </w:r>
      <w:r w:rsidR="000B1E4F" w:rsidRPr="008A0D67">
        <w:rPr>
          <w:rFonts w:ascii="Times New Roman" w:hAnsi="Times New Roman" w:cs="Times New Roman"/>
        </w:rPr>
        <w:t xml:space="preserve">minorities and majorities interact in groups, producing convergence. Here the most interesting difference is between </w:t>
      </w:r>
      <w:r w:rsidR="00DB3395" w:rsidRPr="008A0D67">
        <w:rPr>
          <w:rFonts w:ascii="Times New Roman" w:hAnsi="Times New Roman" w:cs="Times New Roman"/>
        </w:rPr>
        <w:t>conversion and compliance:</w:t>
      </w:r>
      <w:r w:rsidR="00852EA6">
        <w:rPr>
          <w:rFonts w:ascii="Times New Roman" w:hAnsi="Times New Roman" w:cs="Times New Roman"/>
        </w:rPr>
        <w:t xml:space="preserve"> a consistent minority can have influence to the same degree as a consistent majority. But since the former will have to work against the tide of numbers (which are of course in favor of the majority)</w:t>
      </w:r>
      <w:r w:rsidR="000A606A">
        <w:rPr>
          <w:rFonts w:ascii="Times New Roman" w:hAnsi="Times New Roman" w:cs="Times New Roman"/>
        </w:rPr>
        <w:t>, its influence will have a greater effect, on a deeper level. Following Moscovici et al (1969) and Moscovici (1980)</w:t>
      </w:r>
      <w:r w:rsidR="003A703D" w:rsidRPr="008A0D67">
        <w:rPr>
          <w:rFonts w:ascii="Times New Roman" w:hAnsi="Times New Roman" w:cs="Times New Roman"/>
        </w:rPr>
        <w:t xml:space="preserve"> the minority c</w:t>
      </w:r>
      <w:r w:rsidR="000A606A">
        <w:rPr>
          <w:rFonts w:ascii="Times New Roman" w:hAnsi="Times New Roman" w:cs="Times New Roman"/>
        </w:rPr>
        <w:t xml:space="preserve">reates a conversion behavior </w:t>
      </w:r>
      <w:r w:rsidR="003A703D" w:rsidRPr="008A0D67">
        <w:rPr>
          <w:rFonts w:ascii="Times New Roman" w:hAnsi="Times New Roman" w:cs="Times New Roman"/>
        </w:rPr>
        <w:t>and the majori</w:t>
      </w:r>
      <w:r w:rsidR="00DB3395" w:rsidRPr="008A0D67">
        <w:rPr>
          <w:rFonts w:ascii="Times New Roman" w:hAnsi="Times New Roman" w:cs="Times New Roman"/>
        </w:rPr>
        <w:t>ty</w:t>
      </w:r>
      <w:r w:rsidR="000A606A">
        <w:rPr>
          <w:rFonts w:ascii="Times New Roman" w:hAnsi="Times New Roman" w:cs="Times New Roman"/>
        </w:rPr>
        <w:t xml:space="preserve"> creates a compliant behavior</w:t>
      </w:r>
      <w:r w:rsidR="003A703D" w:rsidRPr="008A0D67">
        <w:rPr>
          <w:rFonts w:ascii="Times New Roman" w:hAnsi="Times New Roman" w:cs="Times New Roman"/>
        </w:rPr>
        <w:t>. We can reason</w:t>
      </w:r>
      <w:r w:rsidR="00E0735A" w:rsidRPr="008A0D67">
        <w:rPr>
          <w:rFonts w:ascii="Times New Roman" w:hAnsi="Times New Roman" w:cs="Times New Roman"/>
        </w:rPr>
        <w:t xml:space="preserve"> that conversion is a </w:t>
      </w:r>
      <w:r w:rsidR="003A703D" w:rsidRPr="008A0D67">
        <w:rPr>
          <w:rFonts w:ascii="Times New Roman" w:hAnsi="Times New Roman" w:cs="Times New Roman"/>
        </w:rPr>
        <w:t>thicker form of learning because it im</w:t>
      </w:r>
      <w:r w:rsidR="00DA7633" w:rsidRPr="008A0D67">
        <w:rPr>
          <w:rFonts w:ascii="Times New Roman" w:hAnsi="Times New Roman" w:cs="Times New Roman"/>
        </w:rPr>
        <w:t>plies a real change of beliefs.</w:t>
      </w:r>
      <w:r w:rsidR="000A606A">
        <w:rPr>
          <w:rFonts w:ascii="Times New Roman" w:hAnsi="Times New Roman" w:cs="Times New Roman"/>
        </w:rPr>
        <w:t xml:space="preserve"> However, it </w:t>
      </w:r>
      <w:r w:rsidR="001154B8">
        <w:rPr>
          <w:rFonts w:ascii="Times New Roman" w:hAnsi="Times New Roman" w:cs="Times New Roman"/>
        </w:rPr>
        <w:t>is typically not displayed in public. Thus, conversion is learning</w:t>
      </w:r>
      <w:r w:rsidR="000A606A">
        <w:rPr>
          <w:rFonts w:ascii="Times New Roman" w:hAnsi="Times New Roman" w:cs="Times New Roman"/>
        </w:rPr>
        <w:t xml:space="preserve"> at the individual level that does not necessarily lead to policy change. A minority is invariably the carrier of a somewhat deviant judgment. The members of the group may be converted in private. However they will be reluctant to express public acceptance of what they have learned from the minority to avoid the risk of losing face of acting in a sort of deviant faction in the presence of other individuals (Moscovici, 1980:</w:t>
      </w:r>
      <w:r w:rsidR="00DD18EA">
        <w:rPr>
          <w:rFonts w:ascii="Times New Roman" w:hAnsi="Times New Roman" w:cs="Times New Roman"/>
        </w:rPr>
        <w:t xml:space="preserve"> </w:t>
      </w:r>
      <w:r w:rsidR="000A606A">
        <w:rPr>
          <w:rFonts w:ascii="Times New Roman" w:hAnsi="Times New Roman" w:cs="Times New Roman"/>
        </w:rPr>
        <w:t>211).</w:t>
      </w:r>
      <w:r w:rsidR="001154B8">
        <w:rPr>
          <w:rFonts w:ascii="Times New Roman" w:hAnsi="Times New Roman" w:cs="Times New Roman"/>
        </w:rPr>
        <w:t xml:space="preserve"> This theory of conversion is re-defined by convergent-divergent theory (see the review in Martin et al., 2008), by arguing that minority influence stimulates a greater consideration of alternatives that was contained in the minority’s or</w:t>
      </w:r>
      <w:r w:rsidR="00C15A09">
        <w:rPr>
          <w:rFonts w:ascii="Times New Roman" w:hAnsi="Times New Roman" w:cs="Times New Roman"/>
        </w:rPr>
        <w:t xml:space="preserve">iginal argument. This shows how influence is not dictated by sheer numbers or prevailing norms (otherwise the majority will always win) and that minorities often spread the seeds of change by convincing and persuading. Additionally, greater message processing (that is, reflecting on the content of the message and greater thought elaboration) occurs when the situation is un-expected. When the expectations about the messages supported by majority or the minorities are violated, individuals are surprised and this encourages an in-depth examination of the message in order to reduce inconsistency. This factors adds to the contingency of learning processes described above. </w:t>
      </w:r>
      <w:r w:rsidR="0083128A" w:rsidRPr="008A0D67">
        <w:rPr>
          <w:rFonts w:ascii="Times New Roman" w:hAnsi="Times New Roman" w:cs="Times New Roman"/>
        </w:rPr>
        <w:t>Others have studied</w:t>
      </w:r>
      <w:r w:rsidR="00DB1944" w:rsidRPr="008A0D67">
        <w:rPr>
          <w:rFonts w:ascii="Times New Roman" w:hAnsi="Times New Roman" w:cs="Times New Roman"/>
        </w:rPr>
        <w:t xml:space="preserve"> cognitive disso</w:t>
      </w:r>
      <w:r w:rsidR="009D76E5" w:rsidRPr="008A0D67">
        <w:rPr>
          <w:rFonts w:ascii="Times New Roman" w:hAnsi="Times New Roman" w:cs="Times New Roman"/>
        </w:rPr>
        <w:t>nance (Stone and Fernandez, 2008</w:t>
      </w:r>
      <w:r w:rsidR="00DB1944" w:rsidRPr="008A0D67">
        <w:rPr>
          <w:rFonts w:ascii="Times New Roman" w:hAnsi="Times New Roman" w:cs="Times New Roman"/>
        </w:rPr>
        <w:t>)</w:t>
      </w:r>
      <w:r w:rsidR="009D76E5" w:rsidRPr="008A0D67">
        <w:rPr>
          <w:rFonts w:ascii="Times New Roman" w:hAnsi="Times New Roman" w:cs="Times New Roman"/>
        </w:rPr>
        <w:t xml:space="preserve">, looking at its motivation engine. </w:t>
      </w:r>
      <w:r w:rsidR="00C93649" w:rsidRPr="008A0D67">
        <w:rPr>
          <w:rFonts w:ascii="Times New Roman" w:hAnsi="Times New Roman" w:cs="Times New Roman"/>
        </w:rPr>
        <w:t>Again</w:t>
      </w:r>
      <w:r w:rsidR="009D76E5" w:rsidRPr="008A0D67">
        <w:rPr>
          <w:rFonts w:ascii="Times New Roman" w:hAnsi="Times New Roman" w:cs="Times New Roman"/>
        </w:rPr>
        <w:t xml:space="preserve"> we find that emotions may not hinder learning. For example, in experiments dissonance arousal motivates more action to restore consistency (see findings in Stone and Fernand</w:t>
      </w:r>
      <w:r w:rsidR="002C2F1F" w:rsidRPr="008A0D67">
        <w:rPr>
          <w:rFonts w:ascii="Times New Roman" w:hAnsi="Times New Roman" w:cs="Times New Roman"/>
        </w:rPr>
        <w:t xml:space="preserve">ez, 2008). </w:t>
      </w:r>
      <w:r w:rsidR="00EA6FF2">
        <w:rPr>
          <w:rFonts w:ascii="Times New Roman" w:hAnsi="Times New Roman" w:cs="Times New Roman"/>
        </w:rPr>
        <w:t>On methods: beyond the lab, field-experiments are unlikely to be used due to ethical reasons (Martin et al., 2008:</w:t>
      </w:r>
      <w:r w:rsidR="00DD18EA">
        <w:rPr>
          <w:rFonts w:ascii="Times New Roman" w:hAnsi="Times New Roman" w:cs="Times New Roman"/>
        </w:rPr>
        <w:t xml:space="preserve"> </w:t>
      </w:r>
      <w:r w:rsidR="00EA6FF2">
        <w:rPr>
          <w:rFonts w:ascii="Times New Roman" w:hAnsi="Times New Roman" w:cs="Times New Roman"/>
        </w:rPr>
        <w:lastRenderedPageBreak/>
        <w:t>376). However, minority and majority influence can be studied in real-life politics, organizations and minority movements (Martin et al 2008</w:t>
      </w:r>
      <w:r w:rsidR="00B93E6F">
        <w:rPr>
          <w:rFonts w:ascii="Times New Roman" w:hAnsi="Times New Roman" w:cs="Times New Roman"/>
        </w:rPr>
        <w:t xml:space="preserve">: </w:t>
      </w:r>
      <w:r w:rsidR="00BB5550">
        <w:rPr>
          <w:rFonts w:ascii="Times New Roman" w:hAnsi="Times New Roman" w:cs="Times New Roman"/>
        </w:rPr>
        <w:t>376</w:t>
      </w:r>
      <w:r w:rsidR="00EA6FF2">
        <w:rPr>
          <w:rFonts w:ascii="Times New Roman" w:hAnsi="Times New Roman" w:cs="Times New Roman"/>
        </w:rPr>
        <w:t xml:space="preserve"> ci</w:t>
      </w:r>
      <w:r w:rsidR="00B93E6F">
        <w:rPr>
          <w:rFonts w:ascii="Times New Roman" w:hAnsi="Times New Roman" w:cs="Times New Roman"/>
        </w:rPr>
        <w:t>ting</w:t>
      </w:r>
      <w:r w:rsidR="00EA6FF2">
        <w:rPr>
          <w:rFonts w:ascii="Times New Roman" w:hAnsi="Times New Roman" w:cs="Times New Roman"/>
        </w:rPr>
        <w:t xml:space="preserve"> Smith and Diven, 2002).</w:t>
      </w:r>
    </w:p>
    <w:p w14:paraId="6F5783AC" w14:textId="3D82378F" w:rsidR="002E7EBE" w:rsidRPr="008A0D67" w:rsidRDefault="00B2583C" w:rsidP="00472EF8">
      <w:pPr>
        <w:spacing w:after="160" w:line="360" w:lineRule="auto"/>
        <w:jc w:val="both"/>
        <w:rPr>
          <w:rFonts w:ascii="Times New Roman" w:hAnsi="Times New Roman" w:cs="Times New Roman"/>
        </w:rPr>
      </w:pPr>
      <w:r w:rsidRPr="008A0D67">
        <w:rPr>
          <w:rFonts w:ascii="Times New Roman" w:hAnsi="Times New Roman" w:cs="Times New Roman"/>
        </w:rPr>
        <w:t>The debate on minority and majority effects remind us of how some individuals (policy brokers and policy entrepreneurs</w:t>
      </w:r>
      <w:r w:rsidR="00C15A09">
        <w:rPr>
          <w:rFonts w:ascii="Times New Roman" w:hAnsi="Times New Roman" w:cs="Times New Roman"/>
        </w:rPr>
        <w:t xml:space="preserve"> in public policy, or figures like Aung San Suu Kyi in politics</w:t>
      </w:r>
      <w:r w:rsidRPr="008A0D67">
        <w:rPr>
          <w:rFonts w:ascii="Times New Roman" w:hAnsi="Times New Roman" w:cs="Times New Roman"/>
        </w:rPr>
        <w:t>) with particular characteristics are key to learning in communities of decision-makers and more generally communities of practice (Brown and D</w:t>
      </w:r>
      <w:r w:rsidR="00BB5550">
        <w:rPr>
          <w:rFonts w:ascii="Times New Roman" w:hAnsi="Times New Roman" w:cs="Times New Roman"/>
        </w:rPr>
        <w:t>u</w:t>
      </w:r>
      <w:r w:rsidRPr="008A0D67">
        <w:rPr>
          <w:rFonts w:ascii="Times New Roman" w:hAnsi="Times New Roman" w:cs="Times New Roman"/>
        </w:rPr>
        <w:t>guid, 2000</w:t>
      </w:r>
      <w:r w:rsidR="00DE24F6" w:rsidRPr="008A0D67">
        <w:rPr>
          <w:rFonts w:ascii="Times New Roman" w:hAnsi="Times New Roman" w:cs="Times New Roman"/>
        </w:rPr>
        <w:t xml:space="preserve">; </w:t>
      </w:r>
      <w:r w:rsidR="00766A41" w:rsidRPr="008A0D67">
        <w:rPr>
          <w:rFonts w:ascii="Times New Roman" w:hAnsi="Times New Roman" w:cs="Times New Roman"/>
        </w:rPr>
        <w:t xml:space="preserve">Lave and </w:t>
      </w:r>
      <w:r w:rsidR="00DE24F6" w:rsidRPr="008A0D67">
        <w:rPr>
          <w:rFonts w:ascii="Times New Roman" w:hAnsi="Times New Roman" w:cs="Times New Roman"/>
        </w:rPr>
        <w:t xml:space="preserve">Wenger, </w:t>
      </w:r>
      <w:r w:rsidR="00766A41" w:rsidRPr="008A0D67">
        <w:rPr>
          <w:rFonts w:ascii="Times New Roman" w:hAnsi="Times New Roman" w:cs="Times New Roman"/>
        </w:rPr>
        <w:t>1995</w:t>
      </w:r>
      <w:r w:rsidRPr="008A0D67">
        <w:rPr>
          <w:rFonts w:ascii="Times New Roman" w:hAnsi="Times New Roman" w:cs="Times New Roman"/>
        </w:rPr>
        <w:t xml:space="preserve">). We already observed that often there is resistance to new ideas simply because they are uncommon, not because they are poor. By the same token, the policy broker is described </w:t>
      </w:r>
      <w:r w:rsidR="002B6AF7" w:rsidRPr="008A0D67">
        <w:rPr>
          <w:rFonts w:ascii="Times New Roman" w:hAnsi="Times New Roman" w:cs="Times New Roman"/>
        </w:rPr>
        <w:t>(by Freeman [</w:t>
      </w:r>
      <w:r w:rsidR="005644C7" w:rsidRPr="008A0D67">
        <w:rPr>
          <w:rFonts w:ascii="Times New Roman" w:hAnsi="Times New Roman" w:cs="Times New Roman"/>
        </w:rPr>
        <w:t>2006</w:t>
      </w:r>
      <w:r w:rsidR="002B6AF7" w:rsidRPr="008A0D67">
        <w:rPr>
          <w:rFonts w:ascii="Times New Roman" w:hAnsi="Times New Roman" w:cs="Times New Roman"/>
        </w:rPr>
        <w:t>]</w:t>
      </w:r>
      <w:r w:rsidR="005644C7" w:rsidRPr="008A0D67">
        <w:rPr>
          <w:rFonts w:ascii="Times New Roman" w:hAnsi="Times New Roman" w:cs="Times New Roman"/>
        </w:rPr>
        <w:t xml:space="preserve">) </w:t>
      </w:r>
      <w:r w:rsidRPr="008A0D67">
        <w:rPr>
          <w:rFonts w:ascii="Times New Roman" w:hAnsi="Times New Roman" w:cs="Times New Roman"/>
        </w:rPr>
        <w:t>as a stranger because she calls into question taken-for-granted assumptions</w:t>
      </w:r>
      <w:r w:rsidR="00472189" w:rsidRPr="008A0D67">
        <w:rPr>
          <w:rFonts w:ascii="Times New Roman" w:hAnsi="Times New Roman" w:cs="Times New Roman"/>
        </w:rPr>
        <w:t xml:space="preserve"> of policy</w:t>
      </w:r>
      <w:r w:rsidRPr="008A0D67">
        <w:rPr>
          <w:rFonts w:ascii="Times New Roman" w:hAnsi="Times New Roman" w:cs="Times New Roman"/>
        </w:rPr>
        <w:t xml:space="preserve"> (Schütz, 1964). </w:t>
      </w:r>
      <w:r w:rsidR="00453748" w:rsidRPr="008A0D67">
        <w:rPr>
          <w:rFonts w:ascii="Times New Roman" w:hAnsi="Times New Roman" w:cs="Times New Roman"/>
        </w:rPr>
        <w:t>Policy entrepreneurs may be pivotal in groups and tilt the minority-majority reactions towards an idea whose time has come (Riet</w:t>
      </w:r>
      <w:r w:rsidR="00C2100F" w:rsidRPr="008A0D67">
        <w:rPr>
          <w:rFonts w:ascii="Times New Roman" w:hAnsi="Times New Roman" w:cs="Times New Roman"/>
        </w:rPr>
        <w:t>ig, 2014 on EU climate policy).</w:t>
      </w:r>
      <w:r w:rsidR="00EA6FF2">
        <w:rPr>
          <w:rFonts w:ascii="Times New Roman" w:hAnsi="Times New Roman" w:cs="Times New Roman"/>
        </w:rPr>
        <w:t xml:space="preserve"> </w:t>
      </w:r>
      <w:r w:rsidR="00304825" w:rsidRPr="008A0D67">
        <w:rPr>
          <w:rFonts w:ascii="Times New Roman" w:hAnsi="Times New Roman" w:cs="Times New Roman"/>
        </w:rPr>
        <w:t xml:space="preserve">Social network analysis documents interaction and reveals the position of pivotal actors in the network or between networks, but can also be used with ideas as unit of analysis. In this shape, it tracks down how ideas co-occur in different policy documents and speeches, gain currency over time and eventually </w:t>
      </w:r>
      <w:r w:rsidR="00FF3F6D" w:rsidRPr="008A0D67">
        <w:rPr>
          <w:rFonts w:ascii="Times New Roman" w:hAnsi="Times New Roman" w:cs="Times New Roman"/>
        </w:rPr>
        <w:t xml:space="preserve">obtain </w:t>
      </w:r>
      <w:r w:rsidR="00304825" w:rsidRPr="008A0D67">
        <w:rPr>
          <w:rFonts w:ascii="Times New Roman" w:hAnsi="Times New Roman" w:cs="Times New Roman"/>
        </w:rPr>
        <w:t>agenda-setting status</w:t>
      </w:r>
      <w:r w:rsidR="00CF2BC2" w:rsidRPr="008A0D67">
        <w:rPr>
          <w:rFonts w:ascii="Times New Roman" w:hAnsi="Times New Roman" w:cs="Times New Roman"/>
        </w:rPr>
        <w:t xml:space="preserve"> (Leifeld and Haunss, 2012).</w:t>
      </w:r>
    </w:p>
    <w:p w14:paraId="32FB1C4C" w14:textId="22AE6185" w:rsidR="00147A57" w:rsidRPr="008A0D67" w:rsidRDefault="00FF3F6D" w:rsidP="00472EF8">
      <w:pPr>
        <w:spacing w:after="160" w:line="360" w:lineRule="auto"/>
        <w:jc w:val="both"/>
        <w:rPr>
          <w:rFonts w:ascii="Times New Roman" w:hAnsi="Times New Roman" w:cs="Times New Roman"/>
        </w:rPr>
      </w:pPr>
      <w:r w:rsidRPr="008A0D67">
        <w:rPr>
          <w:rFonts w:ascii="Times New Roman" w:hAnsi="Times New Roman" w:cs="Times New Roman"/>
        </w:rPr>
        <w:t>The fact that ideas and beliefs are diffused within and among groups in various patterns, such as emulation, herding, epistemic authority, persua</w:t>
      </w:r>
      <w:r w:rsidR="00EA6FF2">
        <w:rPr>
          <w:rFonts w:ascii="Times New Roman" w:hAnsi="Times New Roman" w:cs="Times New Roman"/>
        </w:rPr>
        <w:t xml:space="preserve">sion, brings us to </w:t>
      </w:r>
      <w:r w:rsidRPr="008A0D67">
        <w:rPr>
          <w:rFonts w:ascii="Times New Roman" w:hAnsi="Times New Roman" w:cs="Times New Roman"/>
        </w:rPr>
        <w:t>socialization.</w:t>
      </w:r>
      <w:r w:rsidR="00F809E5" w:rsidRPr="008A0D67">
        <w:rPr>
          <w:rFonts w:ascii="Times New Roman" w:hAnsi="Times New Roman" w:cs="Times New Roman"/>
        </w:rPr>
        <w:t xml:space="preserve"> </w:t>
      </w:r>
      <w:r w:rsidR="00147A57" w:rsidRPr="008A0D67">
        <w:rPr>
          <w:rFonts w:ascii="Times New Roman" w:hAnsi="Times New Roman" w:cs="Times New Roman"/>
        </w:rPr>
        <w:t>Public management literature provides examples of policymakers’ practice being influenced by ‘experiential learning’ (Kolb, 1974) on the job and more formal means such as continuing professional development courses. But, in terms of policy learning theories, the most important dimension added by the micro-to-micro arrow is learning via social interaction.</w:t>
      </w:r>
    </w:p>
    <w:p w14:paraId="3269DB44" w14:textId="16DFE11E" w:rsidR="00FF3F6D" w:rsidRPr="008A0D67" w:rsidRDefault="00F809E5" w:rsidP="00472EF8">
      <w:pPr>
        <w:spacing w:after="160" w:line="360" w:lineRule="auto"/>
        <w:jc w:val="both"/>
        <w:rPr>
          <w:rFonts w:ascii="Times New Roman" w:hAnsi="Times New Roman" w:cs="Times New Roman"/>
        </w:rPr>
      </w:pPr>
      <w:r w:rsidRPr="008A0D67">
        <w:rPr>
          <w:rFonts w:ascii="Times New Roman" w:hAnsi="Times New Roman" w:cs="Times New Roman"/>
        </w:rPr>
        <w:t xml:space="preserve">For policy learning theorists, socialization is not limited to small groups. Indeed, socialization has often been studied with reference to learning mechanisms in international organizations (Checkel, 2005). Socialization is a driver of learning because it can change </w:t>
      </w:r>
      <w:r w:rsidR="00A76B6D" w:rsidRPr="008A0D67">
        <w:rPr>
          <w:rFonts w:ascii="Times New Roman" w:hAnsi="Times New Roman" w:cs="Times New Roman"/>
        </w:rPr>
        <w:t xml:space="preserve">norms and </w:t>
      </w:r>
      <w:r w:rsidRPr="008A0D67">
        <w:rPr>
          <w:rFonts w:ascii="Times New Roman" w:hAnsi="Times New Roman" w:cs="Times New Roman"/>
        </w:rPr>
        <w:t>attitudes and anchor new ones (s</w:t>
      </w:r>
      <w:r w:rsidR="00A76B6D" w:rsidRPr="008A0D67">
        <w:rPr>
          <w:rFonts w:ascii="Times New Roman" w:hAnsi="Times New Roman" w:cs="Times New Roman"/>
        </w:rPr>
        <w:t>ee however Hooghe, 2005 on the limitations of this mechanism i</w:t>
      </w:r>
      <w:r w:rsidR="00EA6FF2">
        <w:rPr>
          <w:rFonts w:ascii="Times New Roman" w:hAnsi="Times New Roman" w:cs="Times New Roman"/>
        </w:rPr>
        <w:t>n the case of the European Commission’s officials</w:t>
      </w:r>
      <w:r w:rsidR="00A76B6D" w:rsidRPr="008A0D67">
        <w:rPr>
          <w:rFonts w:ascii="Times New Roman" w:hAnsi="Times New Roman" w:cs="Times New Roman"/>
        </w:rPr>
        <w:t xml:space="preserve">). Checkel talks about type I and type II socialization among public officers </w:t>
      </w:r>
      <w:r w:rsidR="00916A03" w:rsidRPr="008A0D67">
        <w:rPr>
          <w:rFonts w:ascii="Times New Roman" w:hAnsi="Times New Roman" w:cs="Times New Roman"/>
        </w:rPr>
        <w:t>–</w:t>
      </w:r>
      <w:r w:rsidR="00A76B6D" w:rsidRPr="008A0D67">
        <w:rPr>
          <w:rFonts w:ascii="Times New Roman" w:hAnsi="Times New Roman" w:cs="Times New Roman"/>
        </w:rPr>
        <w:t xml:space="preserve"> the former referring to individuals learning the norms of behavior associated with a given situation and the latter to the rightness of a norm associated with a certain role. Type II includes an emotional attachment to the job and is defined as ‘internalization’ (Checkel, 2005). This distinction is similar to the one found in social psychology between the cognitive and affective dimension of attitudes. Daily work and experience of routines facilitate the d</w:t>
      </w:r>
      <w:r w:rsidR="00A273FB" w:rsidRPr="008A0D67">
        <w:rPr>
          <w:rFonts w:ascii="Times New Roman" w:hAnsi="Times New Roman" w:cs="Times New Roman"/>
        </w:rPr>
        <w:t>evelopment of new attitudes.</w:t>
      </w:r>
      <w:r w:rsidR="00E90D2E" w:rsidRPr="008A0D67">
        <w:rPr>
          <w:rFonts w:ascii="Times New Roman" w:hAnsi="Times New Roman" w:cs="Times New Roman"/>
        </w:rPr>
        <w:t xml:space="preserve"> Meyer-Sahling, Lowe and </w:t>
      </w:r>
      <w:r w:rsidR="00A76B6D" w:rsidRPr="008A0D67">
        <w:rPr>
          <w:rFonts w:ascii="Times New Roman" w:hAnsi="Times New Roman" w:cs="Times New Roman"/>
        </w:rPr>
        <w:lastRenderedPageBreak/>
        <w:t xml:space="preserve">Stolk </w:t>
      </w:r>
      <w:r w:rsidR="00A273FB" w:rsidRPr="008A0D67">
        <w:rPr>
          <w:rFonts w:ascii="Times New Roman" w:hAnsi="Times New Roman" w:cs="Times New Roman"/>
        </w:rPr>
        <w:t>(</w:t>
      </w:r>
      <w:r w:rsidR="00A76B6D" w:rsidRPr="008A0D67">
        <w:rPr>
          <w:rFonts w:ascii="Times New Roman" w:hAnsi="Times New Roman" w:cs="Times New Roman"/>
        </w:rPr>
        <w:t>2016</w:t>
      </w:r>
      <w:r w:rsidR="00A273FB" w:rsidRPr="008A0D67">
        <w:rPr>
          <w:rFonts w:ascii="Times New Roman" w:hAnsi="Times New Roman" w:cs="Times New Roman"/>
        </w:rPr>
        <w:t>) illustrate these points in their study of</w:t>
      </w:r>
      <w:r w:rsidR="00A76B6D" w:rsidRPr="008A0D67">
        <w:rPr>
          <w:rFonts w:ascii="Times New Roman" w:hAnsi="Times New Roman" w:cs="Times New Roman"/>
        </w:rPr>
        <w:t xml:space="preserve"> on how Easter</w:t>
      </w:r>
      <w:r w:rsidR="00DD18EA">
        <w:rPr>
          <w:rFonts w:ascii="Times New Roman" w:hAnsi="Times New Roman" w:cs="Times New Roman"/>
        </w:rPr>
        <w:t>n</w:t>
      </w:r>
      <w:r w:rsidR="00A76B6D" w:rsidRPr="008A0D67">
        <w:rPr>
          <w:rFonts w:ascii="Times New Roman" w:hAnsi="Times New Roman" w:cs="Times New Roman"/>
        </w:rPr>
        <w:t xml:space="preserve"> European officers learn</w:t>
      </w:r>
      <w:r w:rsidR="00147A57" w:rsidRPr="008A0D67">
        <w:rPr>
          <w:rFonts w:ascii="Times New Roman" w:hAnsi="Times New Roman" w:cs="Times New Roman"/>
        </w:rPr>
        <w:t xml:space="preserve"> ‘silently’,</w:t>
      </w:r>
      <w:r w:rsidR="00A76B6D" w:rsidRPr="008A0D67">
        <w:rPr>
          <w:rFonts w:ascii="Times New Roman" w:hAnsi="Times New Roman" w:cs="Times New Roman"/>
        </w:rPr>
        <w:t xml:space="preserve"> in type I mode</w:t>
      </w:r>
      <w:r w:rsidR="00147A57" w:rsidRPr="008A0D67">
        <w:rPr>
          <w:rFonts w:ascii="Times New Roman" w:hAnsi="Times New Roman" w:cs="Times New Roman"/>
        </w:rPr>
        <w:t>,</w:t>
      </w:r>
      <w:r w:rsidR="00A76B6D" w:rsidRPr="008A0D67">
        <w:rPr>
          <w:rFonts w:ascii="Times New Roman" w:hAnsi="Times New Roman" w:cs="Times New Roman"/>
        </w:rPr>
        <w:t xml:space="preserve"> via interaction with formal rules and the pr</w:t>
      </w:r>
      <w:r w:rsidR="001566EE" w:rsidRPr="008A0D67">
        <w:rPr>
          <w:rFonts w:ascii="Times New Roman" w:hAnsi="Times New Roman" w:cs="Times New Roman"/>
        </w:rPr>
        <w:t>ocedures of the European Union.</w:t>
      </w:r>
    </w:p>
    <w:p w14:paraId="77413E65" w14:textId="1E122BE0" w:rsidR="001E563C" w:rsidRPr="008A0D67" w:rsidRDefault="00DE24F6" w:rsidP="00472EF8">
      <w:pPr>
        <w:spacing w:after="160" w:line="360" w:lineRule="auto"/>
        <w:jc w:val="both"/>
        <w:rPr>
          <w:rFonts w:ascii="Times New Roman" w:hAnsi="Times New Roman" w:cs="Times New Roman"/>
        </w:rPr>
      </w:pPr>
      <w:r w:rsidRPr="00DD18EA">
        <w:rPr>
          <w:rFonts w:ascii="Times New Roman" w:hAnsi="Times New Roman"/>
        </w:rPr>
        <w:t>The findings</w:t>
      </w:r>
      <w:r w:rsidR="00147A57" w:rsidRPr="00DD18EA">
        <w:rPr>
          <w:rFonts w:ascii="Times New Roman" w:hAnsi="Times New Roman"/>
        </w:rPr>
        <w:t xml:space="preserve"> on how public managers acquire competence and form new attitudes is mirrored by the debate on competence among the electorate. Here the mechanisms are different. An important mechanism is framing. </w:t>
      </w:r>
      <w:r w:rsidR="00304825" w:rsidRPr="00881EEB">
        <w:rPr>
          <w:rFonts w:ascii="Times New Roman" w:hAnsi="Times New Roman"/>
        </w:rPr>
        <w:t xml:space="preserve">The literature on framing effects draws on experiments in different forms, from changing questions in a survey to the classic experiment in the lab. </w:t>
      </w:r>
      <w:r w:rsidR="001E563C" w:rsidRPr="00881EEB">
        <w:rPr>
          <w:rFonts w:ascii="Times New Roman" w:hAnsi="Times New Roman"/>
        </w:rPr>
        <w:t>Interestingly,</w:t>
      </w:r>
      <w:r w:rsidR="00304825" w:rsidRPr="00881EEB">
        <w:rPr>
          <w:rFonts w:ascii="Times New Roman" w:hAnsi="Times New Roman"/>
        </w:rPr>
        <w:t xml:space="preserve"> in his review of framing</w:t>
      </w:r>
      <w:r w:rsidR="00FF3F6D" w:rsidRPr="00881EEB">
        <w:rPr>
          <w:rFonts w:ascii="Times New Roman" w:hAnsi="Times New Roman"/>
        </w:rPr>
        <w:t xml:space="preserve"> effects</w:t>
      </w:r>
      <w:r w:rsidR="00304825" w:rsidRPr="00881EEB">
        <w:rPr>
          <w:rFonts w:ascii="Times New Roman" w:hAnsi="Times New Roman"/>
        </w:rPr>
        <w:t>,</w:t>
      </w:r>
      <w:r w:rsidR="001E563C" w:rsidRPr="00881EEB">
        <w:rPr>
          <w:rFonts w:ascii="Times New Roman" w:hAnsi="Times New Roman"/>
        </w:rPr>
        <w:t xml:space="preserve"> Druckman</w:t>
      </w:r>
      <w:r w:rsidR="006913EC" w:rsidRPr="00881EEB">
        <w:rPr>
          <w:rFonts w:ascii="Times New Roman" w:hAnsi="Times New Roman"/>
        </w:rPr>
        <w:t xml:space="preserve"> (2001) </w:t>
      </w:r>
      <w:r w:rsidR="001E563C" w:rsidRPr="00881EEB">
        <w:rPr>
          <w:rFonts w:ascii="Times New Roman" w:hAnsi="Times New Roman"/>
        </w:rPr>
        <w:t xml:space="preserve">raises the question of the political conditions under which a framing effect causes competence or incompetence, bringing us to how the macro </w:t>
      </w:r>
      <w:r w:rsidR="00EA6FF2" w:rsidRPr="00DD18EA">
        <w:rPr>
          <w:rFonts w:ascii="Times New Roman" w:hAnsi="Times New Roman" w:cs="Times New Roman"/>
        </w:rPr>
        <w:t>shapes</w:t>
      </w:r>
      <w:r w:rsidR="00EA6FF2" w:rsidRPr="00DD18EA">
        <w:rPr>
          <w:rFonts w:ascii="Times New Roman" w:hAnsi="Times New Roman"/>
        </w:rPr>
        <w:t xml:space="preserve"> </w:t>
      </w:r>
      <w:r w:rsidR="00A74A81" w:rsidRPr="00DD18EA">
        <w:rPr>
          <w:rFonts w:ascii="Times New Roman" w:hAnsi="Times New Roman"/>
        </w:rPr>
        <w:t>the micro-micro relations.</w:t>
      </w:r>
    </w:p>
    <w:p w14:paraId="3AB423C1" w14:textId="77777777" w:rsidR="00E075EE" w:rsidRPr="008A0D67" w:rsidRDefault="00E075EE" w:rsidP="00E075EE">
      <w:pPr>
        <w:spacing w:after="160" w:line="360" w:lineRule="auto"/>
        <w:jc w:val="both"/>
        <w:rPr>
          <w:rFonts w:ascii="Times New Roman" w:hAnsi="Times New Roman" w:cs="Times New Roman"/>
        </w:rPr>
      </w:pPr>
    </w:p>
    <w:p w14:paraId="693B6A2F" w14:textId="1BDAA907" w:rsidR="00E075EE" w:rsidRPr="008A0D67" w:rsidRDefault="00E075EE" w:rsidP="001A38F4">
      <w:pPr>
        <w:pStyle w:val="ListParagraph"/>
        <w:numPr>
          <w:ilvl w:val="0"/>
          <w:numId w:val="11"/>
        </w:numPr>
        <w:spacing w:after="160" w:line="360" w:lineRule="auto"/>
        <w:jc w:val="both"/>
        <w:rPr>
          <w:rFonts w:ascii="Times New Roman" w:hAnsi="Times New Roman" w:cs="Times New Roman"/>
          <w:b/>
        </w:rPr>
      </w:pPr>
      <w:r w:rsidRPr="008A0D67">
        <w:rPr>
          <w:rFonts w:ascii="Times New Roman" w:hAnsi="Times New Roman" w:cs="Times New Roman"/>
          <w:b/>
        </w:rPr>
        <w:t>Learning Aggregation from Micro to Macro</w:t>
      </w:r>
    </w:p>
    <w:p w14:paraId="0DBB7CD4" w14:textId="5C3C05E0" w:rsidR="00E9353B" w:rsidRPr="008A0D67" w:rsidRDefault="00BD28D5" w:rsidP="001A38F4">
      <w:pPr>
        <w:spacing w:after="160" w:line="360" w:lineRule="auto"/>
        <w:jc w:val="both"/>
        <w:rPr>
          <w:rFonts w:ascii="Times New Roman" w:hAnsi="Times New Roman" w:cs="Times New Roman"/>
        </w:rPr>
      </w:pPr>
      <w:r w:rsidRPr="008A0D67">
        <w:rPr>
          <w:rFonts w:ascii="Times New Roman" w:hAnsi="Times New Roman" w:cs="Times New Roman"/>
        </w:rPr>
        <w:t>This final transition ‘</w:t>
      </w:r>
      <w:r w:rsidR="00E9353B" w:rsidRPr="008A0D67">
        <w:rPr>
          <w:rFonts w:ascii="Times New Roman" w:hAnsi="Times New Roman" w:cs="Times New Roman"/>
        </w:rPr>
        <w:t xml:space="preserve">moves back up from the individual </w:t>
      </w:r>
      <w:r w:rsidRPr="008A0D67">
        <w:rPr>
          <w:rFonts w:ascii="Times New Roman" w:hAnsi="Times New Roman" w:cs="Times New Roman"/>
        </w:rPr>
        <w:t xml:space="preserve">level to the </w:t>
      </w:r>
      <w:r w:rsidR="00AA4E31" w:rsidRPr="008A0D67">
        <w:rPr>
          <w:rFonts w:ascii="Times New Roman" w:hAnsi="Times New Roman" w:cs="Times New Roman"/>
        </w:rPr>
        <w:t>societal level’ (Coleman, 1990:</w:t>
      </w:r>
      <w:r w:rsidRPr="008A0D67">
        <w:rPr>
          <w:rFonts w:ascii="Times New Roman" w:hAnsi="Times New Roman" w:cs="Times New Roman"/>
        </w:rPr>
        <w:t>8)</w:t>
      </w:r>
      <w:r w:rsidR="00E9353B" w:rsidRPr="008A0D67">
        <w:rPr>
          <w:rFonts w:ascii="Times New Roman" w:hAnsi="Times New Roman" w:cs="Times New Roman"/>
        </w:rPr>
        <w:t>.</w:t>
      </w:r>
      <w:r w:rsidR="007853F0" w:rsidRPr="008A0D67">
        <w:rPr>
          <w:rFonts w:ascii="Times New Roman" w:hAnsi="Times New Roman" w:cs="Times New Roman"/>
        </w:rPr>
        <w:t xml:space="preserve"> Whatever the processes of cognition, emotions, attitude change and ultimately learning may be within the individual and the group, </w:t>
      </w:r>
      <w:r w:rsidR="000C63AA" w:rsidRPr="008A0D67">
        <w:rPr>
          <w:rFonts w:ascii="Times New Roman" w:hAnsi="Times New Roman" w:cs="Times New Roman"/>
        </w:rPr>
        <w:t>we need to scale up to the level of an organization (to demonstrate organizational learning), the meso-level (to prove instrumental learning in a given policy, for example) or the level of society (to make the argument for a change in policy paradigms</w:t>
      </w:r>
      <w:r w:rsidR="00CB548F" w:rsidRPr="008A0D67">
        <w:rPr>
          <w:rFonts w:ascii="Times New Roman" w:hAnsi="Times New Roman" w:cs="Times New Roman"/>
        </w:rPr>
        <w:t xml:space="preserve"> and Hall’s type III learning).</w:t>
      </w:r>
    </w:p>
    <w:p w14:paraId="3FCB9762" w14:textId="3A29E3DA" w:rsidR="006E7121" w:rsidRPr="008A0D67" w:rsidRDefault="004D5034" w:rsidP="00D114E4">
      <w:pPr>
        <w:spacing w:after="160" w:line="360" w:lineRule="auto"/>
        <w:jc w:val="both"/>
        <w:rPr>
          <w:rFonts w:ascii="Times New Roman" w:hAnsi="Times New Roman" w:cs="Times New Roman"/>
        </w:rPr>
      </w:pPr>
      <w:r w:rsidRPr="008A0D67">
        <w:rPr>
          <w:rFonts w:ascii="Times New Roman" w:hAnsi="Times New Roman" w:cs="Times New Roman"/>
        </w:rPr>
        <w:t>Obviously, this aggregation problem – from micro to macro – is not solved by simply assembling groups, organizations and institutions</w:t>
      </w:r>
      <w:r w:rsidR="005A6775" w:rsidRPr="008A0D67">
        <w:rPr>
          <w:rFonts w:ascii="Times New Roman" w:hAnsi="Times New Roman" w:cs="Times New Roman"/>
        </w:rPr>
        <w:t xml:space="preserve"> with their own processes of learning</w:t>
      </w:r>
      <w:r w:rsidRPr="008A0D67">
        <w:rPr>
          <w:rFonts w:ascii="Times New Roman" w:hAnsi="Times New Roman" w:cs="Times New Roman"/>
        </w:rPr>
        <w:t xml:space="preserve">. </w:t>
      </w:r>
      <w:r w:rsidR="000C63AA" w:rsidRPr="008A0D67">
        <w:rPr>
          <w:rFonts w:ascii="Times New Roman" w:hAnsi="Times New Roman" w:cs="Times New Roman"/>
        </w:rPr>
        <w:t xml:space="preserve">There is a vast body of </w:t>
      </w:r>
      <w:r w:rsidR="00EA6FF2">
        <w:rPr>
          <w:rFonts w:ascii="Times New Roman" w:hAnsi="Times New Roman" w:cs="Times New Roman"/>
        </w:rPr>
        <w:t>work</w:t>
      </w:r>
      <w:r w:rsidR="000C63AA" w:rsidRPr="008A0D67">
        <w:rPr>
          <w:rFonts w:ascii="Times New Roman" w:hAnsi="Times New Roman" w:cs="Times New Roman"/>
        </w:rPr>
        <w:t xml:space="preserve"> on how organizations, institutions and culture filter, mediate and shape processes of learning in this final transition. Organizational and institutional theorists have </w:t>
      </w:r>
      <w:r w:rsidRPr="008A0D67">
        <w:rPr>
          <w:rFonts w:ascii="Times New Roman" w:hAnsi="Times New Roman" w:cs="Times New Roman"/>
        </w:rPr>
        <w:t>demonstrated</w:t>
      </w:r>
      <w:r w:rsidR="000C63AA" w:rsidRPr="008A0D67">
        <w:rPr>
          <w:rFonts w:ascii="Times New Roman" w:hAnsi="Times New Roman" w:cs="Times New Roman"/>
        </w:rPr>
        <w:t xml:space="preserve"> that institutions not only shape learning. They can also enable or constrain, the core argument being that institutions lock-in</w:t>
      </w:r>
      <w:r w:rsidR="002A4FE5" w:rsidRPr="008A0D67">
        <w:rPr>
          <w:rFonts w:ascii="Times New Roman" w:hAnsi="Times New Roman" w:cs="Times New Roman"/>
        </w:rPr>
        <w:t xml:space="preserve"> certain forms of bias (Immergut, 1998</w:t>
      </w:r>
      <w:r w:rsidR="000C63AA" w:rsidRPr="008A0D67">
        <w:rPr>
          <w:rFonts w:ascii="Times New Roman" w:hAnsi="Times New Roman" w:cs="Times New Roman"/>
        </w:rPr>
        <w:t>). In turn, the institutional production of bias creates structural power for some agents or groups, and disempower</w:t>
      </w:r>
      <w:r w:rsidRPr="008A0D67">
        <w:rPr>
          <w:rFonts w:ascii="Times New Roman" w:hAnsi="Times New Roman" w:cs="Times New Roman"/>
        </w:rPr>
        <w:t>s</w:t>
      </w:r>
      <w:r w:rsidR="000C63AA" w:rsidRPr="008A0D67">
        <w:rPr>
          <w:rFonts w:ascii="Times New Roman" w:hAnsi="Times New Roman" w:cs="Times New Roman"/>
        </w:rPr>
        <w:t xml:space="preserve"> others. Organizations can also refuse to put some issues on the agenda, hindering processes of learning via non-decisions. </w:t>
      </w:r>
      <w:r w:rsidR="00865F37" w:rsidRPr="008A0D67">
        <w:rPr>
          <w:rFonts w:ascii="Times New Roman" w:hAnsi="Times New Roman" w:cs="Times New Roman"/>
        </w:rPr>
        <w:t>With their rules on advisory committees and the role of science in decision-making processes, organizations like independent regulatory agencies confer or withdraw epistemic authority to certain types of evidence, thus influencing who learns what and from what type of science or evidence</w:t>
      </w:r>
      <w:r w:rsidR="004601B5" w:rsidRPr="008A0D67">
        <w:rPr>
          <w:rFonts w:ascii="Times New Roman" w:hAnsi="Times New Roman" w:cs="Times New Roman"/>
        </w:rPr>
        <w:t xml:space="preserve"> </w:t>
      </w:r>
      <w:r w:rsidR="00B51A78" w:rsidRPr="008A0D67">
        <w:rPr>
          <w:rFonts w:ascii="Times New Roman" w:hAnsi="Times New Roman" w:cs="Times New Roman"/>
        </w:rPr>
        <w:t>(James and Dunlop, 2007)</w:t>
      </w:r>
      <w:r w:rsidR="002163F9" w:rsidRPr="008A0D67">
        <w:rPr>
          <w:rFonts w:ascii="Times New Roman" w:hAnsi="Times New Roman" w:cs="Times New Roman"/>
        </w:rPr>
        <w:t>.</w:t>
      </w:r>
    </w:p>
    <w:p w14:paraId="517A157E" w14:textId="2E248F38" w:rsidR="000C63AA" w:rsidRPr="008A0D67" w:rsidRDefault="000C63AA" w:rsidP="00D114E4">
      <w:pPr>
        <w:spacing w:after="160" w:line="360" w:lineRule="auto"/>
        <w:jc w:val="both"/>
        <w:rPr>
          <w:rFonts w:ascii="Times New Roman" w:hAnsi="Times New Roman" w:cs="Times New Roman"/>
        </w:rPr>
      </w:pPr>
      <w:r w:rsidRPr="008A0D67">
        <w:rPr>
          <w:rFonts w:ascii="Times New Roman" w:hAnsi="Times New Roman" w:cs="Times New Roman"/>
        </w:rPr>
        <w:lastRenderedPageBreak/>
        <w:t xml:space="preserve">The organization is also the main location where individuals and groups experience the external environment. An interesting finding is that </w:t>
      </w:r>
      <w:r w:rsidR="00141543" w:rsidRPr="008A0D67">
        <w:rPr>
          <w:rFonts w:ascii="Times New Roman" w:hAnsi="Times New Roman" w:cs="Times New Roman"/>
        </w:rPr>
        <w:t>the organization and external environment boundary is fluid and constantly ‘enacted’ by organizations which</w:t>
      </w:r>
      <w:r w:rsidRPr="008A0D67">
        <w:rPr>
          <w:rFonts w:ascii="Times New Roman" w:hAnsi="Times New Roman" w:cs="Times New Roman"/>
        </w:rPr>
        <w:t xml:space="preserve"> frame </w:t>
      </w:r>
      <w:r w:rsidR="00141543" w:rsidRPr="008A0D67">
        <w:rPr>
          <w:rFonts w:ascii="Times New Roman" w:hAnsi="Times New Roman" w:cs="Times New Roman"/>
        </w:rPr>
        <w:t>and</w:t>
      </w:r>
      <w:r w:rsidRPr="008A0D67">
        <w:rPr>
          <w:rFonts w:ascii="Times New Roman" w:hAnsi="Times New Roman" w:cs="Times New Roman"/>
        </w:rPr>
        <w:t xml:space="preserve"> invent the external environment</w:t>
      </w:r>
      <w:r w:rsidR="00141543" w:rsidRPr="008A0D67">
        <w:rPr>
          <w:rFonts w:ascii="Times New Roman" w:hAnsi="Times New Roman" w:cs="Times New Roman"/>
        </w:rPr>
        <w:t xml:space="preserve"> (Weick, 1979). </w:t>
      </w:r>
      <w:r w:rsidR="004D5034" w:rsidRPr="008A0D67">
        <w:rPr>
          <w:rFonts w:ascii="Times New Roman" w:hAnsi="Times New Roman" w:cs="Times New Roman"/>
        </w:rPr>
        <w:t xml:space="preserve">Incidentally, the same can be said </w:t>
      </w:r>
      <w:r w:rsidR="00F90539" w:rsidRPr="008A0D67">
        <w:rPr>
          <w:rFonts w:ascii="Times New Roman" w:hAnsi="Times New Roman" w:cs="Times New Roman"/>
        </w:rPr>
        <w:t>of</w:t>
      </w:r>
      <w:r w:rsidR="004D5034" w:rsidRPr="008A0D67">
        <w:rPr>
          <w:rFonts w:ascii="Times New Roman" w:hAnsi="Times New Roman" w:cs="Times New Roman"/>
        </w:rPr>
        <w:t xml:space="preserve"> the media: they provide the surrogate environment to people who are not there on the scene to observe the ‘macro’ reality</w:t>
      </w:r>
      <w:r w:rsidR="0089440C" w:rsidRPr="008A0D67">
        <w:rPr>
          <w:rFonts w:ascii="Times New Roman" w:hAnsi="Times New Roman" w:cs="Times New Roman"/>
        </w:rPr>
        <w:t xml:space="preserve"> </w:t>
      </w:r>
      <w:r w:rsidR="001F361C" w:rsidRPr="008A0D67">
        <w:rPr>
          <w:rFonts w:ascii="Times New Roman" w:hAnsi="Times New Roman" w:cs="Times New Roman"/>
        </w:rPr>
        <w:t>(Lip</w:t>
      </w:r>
      <w:r w:rsidR="002868DB" w:rsidRPr="008A0D67">
        <w:rPr>
          <w:rFonts w:ascii="Times New Roman" w:hAnsi="Times New Roman" w:cs="Times New Roman"/>
        </w:rPr>
        <w:t>p</w:t>
      </w:r>
      <w:r w:rsidR="00F610EA" w:rsidRPr="008A0D67">
        <w:rPr>
          <w:rFonts w:ascii="Times New Roman" w:hAnsi="Times New Roman" w:cs="Times New Roman"/>
        </w:rPr>
        <w:t>mann, 1922</w:t>
      </w:r>
      <w:r w:rsidR="001F361C" w:rsidRPr="008A0D67">
        <w:rPr>
          <w:rFonts w:ascii="Times New Roman" w:hAnsi="Times New Roman" w:cs="Times New Roman"/>
        </w:rPr>
        <w:t>).</w:t>
      </w:r>
      <w:r w:rsidR="004D5034" w:rsidRPr="008A0D67">
        <w:rPr>
          <w:rFonts w:ascii="Times New Roman" w:hAnsi="Times New Roman" w:cs="Times New Roman"/>
        </w:rPr>
        <w:t xml:space="preserve"> </w:t>
      </w:r>
      <w:r w:rsidRPr="008A0D67">
        <w:rPr>
          <w:rFonts w:ascii="Times New Roman" w:hAnsi="Times New Roman" w:cs="Times New Roman"/>
        </w:rPr>
        <w:t xml:space="preserve">Thus, the environment acts on learning processes not just because it is something ‘out there’ but also in the </w:t>
      </w:r>
      <w:r w:rsidR="00215919" w:rsidRPr="008A0D67">
        <w:rPr>
          <w:rFonts w:ascii="Times New Roman" w:hAnsi="Times New Roman" w:cs="Times New Roman"/>
        </w:rPr>
        <w:t>particular</w:t>
      </w:r>
      <w:r w:rsidRPr="008A0D67">
        <w:rPr>
          <w:rFonts w:ascii="Times New Roman" w:hAnsi="Times New Roman" w:cs="Times New Roman"/>
        </w:rPr>
        <w:t xml:space="preserve"> ways in which it is framed or socially const</w:t>
      </w:r>
      <w:r w:rsidR="004A1534" w:rsidRPr="008A0D67">
        <w:rPr>
          <w:rFonts w:ascii="Times New Roman" w:hAnsi="Times New Roman" w:cs="Times New Roman"/>
        </w:rPr>
        <w:t>ructed within the organization.</w:t>
      </w:r>
    </w:p>
    <w:p w14:paraId="5A00C559" w14:textId="300BCF59" w:rsidR="000C63AA" w:rsidRPr="008A0D67" w:rsidRDefault="001D606B" w:rsidP="00E07A1F">
      <w:pPr>
        <w:spacing w:after="160" w:line="360" w:lineRule="auto"/>
        <w:jc w:val="both"/>
        <w:rPr>
          <w:rFonts w:ascii="Times New Roman" w:hAnsi="Times New Roman" w:cs="Times New Roman"/>
        </w:rPr>
      </w:pPr>
      <w:r w:rsidRPr="008A0D67">
        <w:rPr>
          <w:rFonts w:ascii="Times New Roman" w:hAnsi="Times New Roman" w:cs="Times New Roman"/>
        </w:rPr>
        <w:t>At the wider level of society</w:t>
      </w:r>
      <w:r w:rsidR="000C63AA" w:rsidRPr="008A0D67">
        <w:rPr>
          <w:rFonts w:ascii="Times New Roman" w:hAnsi="Times New Roman" w:cs="Times New Roman"/>
        </w:rPr>
        <w:t>,</w:t>
      </w:r>
      <w:r w:rsidR="00E07A1F">
        <w:rPr>
          <w:rFonts w:ascii="Times New Roman" w:hAnsi="Times New Roman" w:cs="Times New Roman"/>
        </w:rPr>
        <w:t xml:space="preserve"> learning is a dependent variable that generates long-term effects, and in this way become independent variable, thus contributing to the historical, iterative evolution of institutions and political systems. To illustrate: learning is a dependent variable shaped by</w:t>
      </w:r>
      <w:r w:rsidR="000C63AA" w:rsidRPr="008A0D67">
        <w:rPr>
          <w:rFonts w:ascii="Times New Roman" w:hAnsi="Times New Roman" w:cs="Times New Roman"/>
        </w:rPr>
        <w:t xml:space="preserve"> culture, memories, the social construction of nations and identities</w:t>
      </w:r>
      <w:r w:rsidR="00E07A1F">
        <w:rPr>
          <w:rFonts w:ascii="Times New Roman" w:hAnsi="Times New Roman" w:cs="Times New Roman"/>
        </w:rPr>
        <w:t>. Some features of this learning occur every day, gradually but steadily, like in Billig’s banal nationalism (1995). But then become sticky and hard to reverse, thus shaping attitudes in the long-term. Putnam (1993) argues the repeated interaction in given historical settings teach lessons that are remembered for centuries, as shown by his analysis of social capital in Italy</w:t>
      </w:r>
      <w:r w:rsidR="00865F37" w:rsidRPr="008A0D67">
        <w:rPr>
          <w:rFonts w:ascii="Times New Roman" w:hAnsi="Times New Roman" w:cs="Times New Roman"/>
        </w:rPr>
        <w:t xml:space="preserve">. Rothstein (2000) raises the question of how societies learn how to move to inefficient equilibrium of low social capital and distrust in institutions to an efficient one, avoiding the ‘tragedy of the commons’. He adds to Putnam’s and others game-theoretical explanation the variable of collective memories. These collective memories are not simply </w:t>
      </w:r>
      <w:r w:rsidR="001F5FC5" w:rsidRPr="008A0D67">
        <w:rPr>
          <w:rFonts w:ascii="Times New Roman" w:hAnsi="Times New Roman" w:cs="Times New Roman"/>
        </w:rPr>
        <w:t>‘</w:t>
      </w:r>
      <w:r w:rsidR="00865F37" w:rsidRPr="008A0D67">
        <w:rPr>
          <w:rFonts w:ascii="Times New Roman" w:hAnsi="Times New Roman" w:cs="Times New Roman"/>
        </w:rPr>
        <w:t>given</w:t>
      </w:r>
      <w:r w:rsidR="001F5FC5" w:rsidRPr="008A0D67">
        <w:rPr>
          <w:rFonts w:ascii="Times New Roman" w:hAnsi="Times New Roman" w:cs="Times New Roman"/>
        </w:rPr>
        <w:t>’</w:t>
      </w:r>
      <w:r w:rsidR="00865F37" w:rsidRPr="008A0D67">
        <w:rPr>
          <w:rFonts w:ascii="Times New Roman" w:hAnsi="Times New Roman" w:cs="Times New Roman"/>
        </w:rPr>
        <w:t xml:space="preserve"> by history but can be strategically created by political entrepreneurs and political leaders</w:t>
      </w:r>
      <w:r w:rsidR="001F5FC5" w:rsidRPr="008A0D67">
        <w:rPr>
          <w:rFonts w:ascii="Times New Roman" w:hAnsi="Times New Roman" w:cs="Times New Roman"/>
        </w:rPr>
        <w:t>: a case of power meeting learning.</w:t>
      </w:r>
    </w:p>
    <w:p w14:paraId="53B2C3B9" w14:textId="6598B463" w:rsidR="00D67AD0" w:rsidRPr="008A0D67" w:rsidRDefault="00E16FCA" w:rsidP="006F1B99">
      <w:pPr>
        <w:spacing w:after="160" w:line="360" w:lineRule="auto"/>
        <w:jc w:val="both"/>
        <w:rPr>
          <w:rFonts w:ascii="Times New Roman" w:hAnsi="Times New Roman" w:cs="Times New Roman"/>
        </w:rPr>
      </w:pPr>
      <w:r w:rsidRPr="008A0D67">
        <w:rPr>
          <w:rFonts w:ascii="Times New Roman" w:hAnsi="Times New Roman" w:cs="Times New Roman"/>
        </w:rPr>
        <w:t>Given the asymmetries of power built in and constantly re-produced by institutions, the puzzle is whether it is possible to learn how to overcome social dilemmas and still establish cooperation</w:t>
      </w:r>
      <w:r w:rsidR="00612AB3" w:rsidRPr="008A0D67">
        <w:rPr>
          <w:rFonts w:ascii="Times New Roman" w:hAnsi="Times New Roman" w:cs="Times New Roman"/>
        </w:rPr>
        <w:t xml:space="preserve"> (Ostrom, 1990)</w:t>
      </w:r>
      <w:r w:rsidRPr="008A0D67">
        <w:rPr>
          <w:rFonts w:ascii="Times New Roman" w:hAnsi="Times New Roman" w:cs="Times New Roman"/>
        </w:rPr>
        <w:t xml:space="preserve">. Sometimes individuals and groups abstain from exploiting the free-ride option within an institution, or, at the opposite, accept an unfair outcome in a given arena. The explanation for that is arguably that society is made up of multiple interlinked </w:t>
      </w:r>
      <w:r w:rsidR="00EB7E1A" w:rsidRPr="008A0D67">
        <w:rPr>
          <w:rFonts w:ascii="Times New Roman" w:hAnsi="Times New Roman" w:cs="Times New Roman"/>
        </w:rPr>
        <w:t>institutional arenas (Kashwan, 2016). Institutions and nested games can reshuffle winners and losers across arenas, thus allowing groups to learn cooperation and solve collective action problems like the control of corruption and c</w:t>
      </w:r>
      <w:r w:rsidR="004A0CB6" w:rsidRPr="008A0D67">
        <w:rPr>
          <w:rFonts w:ascii="Times New Roman" w:hAnsi="Times New Roman" w:cs="Times New Roman"/>
        </w:rPr>
        <w:t>ommon-pool resource management.</w:t>
      </w:r>
    </w:p>
    <w:p w14:paraId="1427AADB" w14:textId="77777777" w:rsidR="00D114E4" w:rsidRPr="008A0D67" w:rsidRDefault="00D114E4" w:rsidP="00D114E4">
      <w:pPr>
        <w:spacing w:after="160" w:line="360" w:lineRule="auto"/>
        <w:jc w:val="both"/>
        <w:rPr>
          <w:rFonts w:ascii="Times New Roman" w:hAnsi="Times New Roman" w:cs="Times New Roman"/>
        </w:rPr>
      </w:pPr>
    </w:p>
    <w:p w14:paraId="50D254D2" w14:textId="7A1F33E2" w:rsidR="00D114E4" w:rsidRPr="008A0D67" w:rsidRDefault="00D114E4" w:rsidP="0001515E">
      <w:pPr>
        <w:pStyle w:val="ListParagraph"/>
        <w:numPr>
          <w:ilvl w:val="0"/>
          <w:numId w:val="11"/>
        </w:numPr>
        <w:spacing w:after="160" w:line="360" w:lineRule="auto"/>
        <w:jc w:val="both"/>
        <w:rPr>
          <w:rFonts w:ascii="Times New Roman" w:hAnsi="Times New Roman" w:cs="Times New Roman"/>
          <w:b/>
        </w:rPr>
      </w:pPr>
      <w:r w:rsidRPr="008A0D67">
        <w:rPr>
          <w:rFonts w:ascii="Times New Roman" w:hAnsi="Times New Roman" w:cs="Times New Roman"/>
          <w:b/>
        </w:rPr>
        <w:t>So What? Discussion and Conclusions</w:t>
      </w:r>
    </w:p>
    <w:p w14:paraId="0E4D77A3" w14:textId="44AAF73B" w:rsidR="006F1B99" w:rsidRPr="008A0D67" w:rsidRDefault="003340D2" w:rsidP="009362B6">
      <w:pPr>
        <w:spacing w:after="160" w:line="360" w:lineRule="auto"/>
        <w:jc w:val="both"/>
        <w:rPr>
          <w:rFonts w:ascii="Times New Roman" w:hAnsi="Times New Roman" w:cs="Times New Roman"/>
        </w:rPr>
      </w:pPr>
      <w:r w:rsidRPr="008A0D67">
        <w:rPr>
          <w:rFonts w:ascii="Times New Roman" w:hAnsi="Times New Roman" w:cs="Times New Roman"/>
        </w:rPr>
        <w:lastRenderedPageBreak/>
        <w:t>We</w:t>
      </w:r>
      <w:r w:rsidR="00EB7E1A" w:rsidRPr="008A0D67">
        <w:rPr>
          <w:rFonts w:ascii="Times New Roman" w:hAnsi="Times New Roman" w:cs="Times New Roman"/>
        </w:rPr>
        <w:t xml:space="preserve"> have explored the claim that learning generates change in public policy by considering different levels of analysis. To generate an orderly discussion, we have separated the macro and the individual level. Following Coleman, we have investigated the transition from macro to micro first; then the relationships at the micro-micro level; and the final transition from micro to the macro organizational, institutional or society-wide level. By doing this, we have been able to focus on the mechanisms that operate at each level, and to situate a variety of claims about policy learning at the </w:t>
      </w:r>
      <w:r w:rsidRPr="008A0D67">
        <w:rPr>
          <w:rFonts w:ascii="Times New Roman" w:hAnsi="Times New Roman" w:cs="Times New Roman"/>
        </w:rPr>
        <w:t>a</w:t>
      </w:r>
      <w:r w:rsidR="00453F48" w:rsidRPr="008A0D67">
        <w:rPr>
          <w:rFonts w:ascii="Times New Roman" w:hAnsi="Times New Roman" w:cs="Times New Roman"/>
        </w:rPr>
        <w:t>p</w:t>
      </w:r>
      <w:r w:rsidRPr="008A0D67">
        <w:rPr>
          <w:rFonts w:ascii="Times New Roman" w:hAnsi="Times New Roman" w:cs="Times New Roman"/>
        </w:rPr>
        <w:t>propriate</w:t>
      </w:r>
      <w:r w:rsidR="00EB7E1A" w:rsidRPr="008A0D67">
        <w:rPr>
          <w:rFonts w:ascii="Times New Roman" w:hAnsi="Times New Roman" w:cs="Times New Roman"/>
        </w:rPr>
        <w:t xml:space="preserve"> level. </w:t>
      </w:r>
      <w:r w:rsidR="009362B6">
        <w:rPr>
          <w:rFonts w:ascii="Times New Roman" w:hAnsi="Times New Roman" w:cs="Times New Roman"/>
        </w:rPr>
        <w:t>Our contribution is, therefore, an original way to explore the causal architecture of learning</w:t>
      </w:r>
      <w:r w:rsidR="00870EB6">
        <w:rPr>
          <w:rFonts w:ascii="Times New Roman" w:hAnsi="Times New Roman" w:cs="Times New Roman"/>
        </w:rPr>
        <w:t>, to map the field in multi-dimensional fashion</w:t>
      </w:r>
      <w:r w:rsidR="009362B6">
        <w:rPr>
          <w:rFonts w:ascii="Times New Roman" w:hAnsi="Times New Roman" w:cs="Times New Roman"/>
        </w:rPr>
        <w:t xml:space="preserve"> and to gain explanatory leverage from findings that have been originated outside the literature on policy learning. We argue that the main advantage of using Coleman is to go beyond classifications on the basis of learning types and differentiations of the field in terms of ontological presuppositions. Instead, our approach offers a way to organize the literature. The caveat</w:t>
      </w:r>
      <w:r w:rsidR="00870EB6">
        <w:rPr>
          <w:rFonts w:ascii="Times New Roman" w:hAnsi="Times New Roman" w:cs="Times New Roman"/>
        </w:rPr>
        <w:t xml:space="preserve"> is</w:t>
      </w:r>
      <w:r w:rsidR="009362B6">
        <w:rPr>
          <w:rFonts w:ascii="Times New Roman" w:hAnsi="Times New Roman" w:cs="Times New Roman"/>
        </w:rPr>
        <w:t xml:space="preserve"> that we have not presented a literature review; rather we have populated Coleman’s dimensions with illustrative and exemplary studies, trying to</w:t>
      </w:r>
      <w:r w:rsidR="00884692">
        <w:rPr>
          <w:rFonts w:ascii="Times New Roman" w:hAnsi="Times New Roman" w:cs="Times New Roman"/>
        </w:rPr>
        <w:t xml:space="preserve"> bring into relief the causal architecture that lies within the literature and</w:t>
      </w:r>
      <w:r w:rsidR="009362B6">
        <w:rPr>
          <w:rFonts w:ascii="Times New Roman" w:hAnsi="Times New Roman" w:cs="Times New Roman"/>
        </w:rPr>
        <w:t xml:space="preserve"> distill the lessons for the research agenda on learning in public policy.</w:t>
      </w:r>
    </w:p>
    <w:p w14:paraId="1B8F9A51" w14:textId="6700EFA3" w:rsidR="00F115BB" w:rsidRPr="008A0D67" w:rsidRDefault="00EB7E1A" w:rsidP="006F1B99">
      <w:pPr>
        <w:spacing w:after="160" w:line="360" w:lineRule="auto"/>
        <w:jc w:val="both"/>
        <w:rPr>
          <w:rFonts w:ascii="Times New Roman" w:hAnsi="Times New Roman" w:cs="Times New Roman"/>
        </w:rPr>
      </w:pPr>
      <w:r w:rsidRPr="008A0D67">
        <w:rPr>
          <w:rFonts w:ascii="Times New Roman" w:hAnsi="Times New Roman" w:cs="Times New Roman"/>
        </w:rPr>
        <w:t>Another result of our analysis is the illustration of different modes of an</w:t>
      </w:r>
      <w:r w:rsidR="0061031F" w:rsidRPr="008A0D67">
        <w:rPr>
          <w:rFonts w:ascii="Times New Roman" w:hAnsi="Times New Roman" w:cs="Times New Roman"/>
        </w:rPr>
        <w:t>alysis and methods that are</w:t>
      </w:r>
      <w:r w:rsidRPr="008A0D67">
        <w:rPr>
          <w:rFonts w:ascii="Times New Roman" w:hAnsi="Times New Roman" w:cs="Times New Roman"/>
        </w:rPr>
        <w:t xml:space="preserve"> appropriate depending on the dimension of the bath-tub we consider. To systematically explore micro-foundations, we need concept formation (what i</w:t>
      </w:r>
      <w:r w:rsidR="00DB114F" w:rsidRPr="008A0D67">
        <w:rPr>
          <w:rFonts w:ascii="Times New Roman" w:hAnsi="Times New Roman" w:cs="Times New Roman"/>
        </w:rPr>
        <w:t>s learning, what is cognition? w</w:t>
      </w:r>
      <w:r w:rsidRPr="008A0D67">
        <w:rPr>
          <w:rFonts w:ascii="Times New Roman" w:hAnsi="Times New Roman" w:cs="Times New Roman"/>
        </w:rPr>
        <w:t>hat is an emotion</w:t>
      </w:r>
      <w:r w:rsidR="00DB114F" w:rsidRPr="008A0D67">
        <w:rPr>
          <w:rFonts w:ascii="Times New Roman" w:hAnsi="Times New Roman" w:cs="Times New Roman"/>
        </w:rPr>
        <w:t>?</w:t>
      </w:r>
      <w:r w:rsidRPr="008A0D67">
        <w:rPr>
          <w:rFonts w:ascii="Times New Roman" w:hAnsi="Times New Roman" w:cs="Times New Roman"/>
        </w:rPr>
        <w:t>) and, t</w:t>
      </w:r>
      <w:r w:rsidR="00F115BB" w:rsidRPr="008A0D67">
        <w:rPr>
          <w:rFonts w:ascii="Times New Roman" w:hAnsi="Times New Roman" w:cs="Times New Roman"/>
        </w:rPr>
        <w:t>urning to methods, experi</w:t>
      </w:r>
      <w:r w:rsidR="001E3358" w:rsidRPr="008A0D67">
        <w:rPr>
          <w:rFonts w:ascii="Times New Roman" w:hAnsi="Times New Roman" w:cs="Times New Roman"/>
        </w:rPr>
        <w:t>ments. In political psychology and neuro-economics</w:t>
      </w:r>
      <w:r w:rsidR="00E319D8" w:rsidRPr="008A0D67">
        <w:rPr>
          <w:rFonts w:ascii="Times New Roman" w:hAnsi="Times New Roman" w:cs="Times New Roman"/>
        </w:rPr>
        <w:t xml:space="preserve"> </w:t>
      </w:r>
      <w:r w:rsidR="001E3358" w:rsidRPr="008A0D67">
        <w:rPr>
          <w:rFonts w:ascii="Times New Roman" w:hAnsi="Times New Roman" w:cs="Times New Roman"/>
        </w:rPr>
        <w:t>there is an increasing use of brain imaging techniques</w:t>
      </w:r>
      <w:r w:rsidR="00EA65F1" w:rsidRPr="008A0D67">
        <w:rPr>
          <w:rFonts w:ascii="Times New Roman" w:hAnsi="Times New Roman" w:cs="Times New Roman"/>
        </w:rPr>
        <w:t xml:space="preserve"> </w:t>
      </w:r>
      <w:r w:rsidR="003E3472">
        <w:rPr>
          <w:rFonts w:ascii="Times New Roman" w:hAnsi="Times New Roman" w:cs="Times New Roman"/>
        </w:rPr>
        <w:t>(Camere, Lowewenstein and</w:t>
      </w:r>
      <w:r w:rsidR="00EA65F1" w:rsidRPr="008A0D67">
        <w:rPr>
          <w:rFonts w:ascii="Times New Roman" w:hAnsi="Times New Roman" w:cs="Times New Roman"/>
        </w:rPr>
        <w:t xml:space="preserve"> Prelec, 2005)</w:t>
      </w:r>
      <w:r w:rsidR="001E3358" w:rsidRPr="008A0D67">
        <w:rPr>
          <w:rFonts w:ascii="Times New Roman" w:hAnsi="Times New Roman" w:cs="Times New Roman"/>
        </w:rPr>
        <w:t xml:space="preserve">. In economics, ‘introspection’ </w:t>
      </w:r>
      <w:r w:rsidR="009A3F15">
        <w:rPr>
          <w:rFonts w:ascii="Times New Roman" w:hAnsi="Times New Roman" w:cs="Times New Roman"/>
        </w:rPr>
        <w:t xml:space="preserve">is a method </w:t>
      </w:r>
      <w:r w:rsidR="001E3358" w:rsidRPr="008A0D67">
        <w:rPr>
          <w:rFonts w:ascii="Times New Roman" w:hAnsi="Times New Roman" w:cs="Times New Roman"/>
        </w:rPr>
        <w:t xml:space="preserve">to find out more about learning </w:t>
      </w:r>
      <w:r w:rsidR="009A3F15">
        <w:rPr>
          <w:rFonts w:ascii="Times New Roman" w:hAnsi="Times New Roman" w:cs="Times New Roman"/>
        </w:rPr>
        <w:t>within</w:t>
      </w:r>
      <w:r w:rsidR="001E3358" w:rsidRPr="008A0D67">
        <w:rPr>
          <w:rFonts w:ascii="Times New Roman" w:hAnsi="Times New Roman" w:cs="Times New Roman"/>
        </w:rPr>
        <w:t xml:space="preserve"> decision-making processes </w:t>
      </w:r>
      <w:r w:rsidR="00E319D8" w:rsidRPr="008A0D67">
        <w:rPr>
          <w:rFonts w:ascii="Times New Roman" w:hAnsi="Times New Roman" w:cs="Times New Roman"/>
        </w:rPr>
        <w:t xml:space="preserve">(Earl </w:t>
      </w:r>
      <w:r w:rsidR="004807BE">
        <w:rPr>
          <w:rFonts w:ascii="Times New Roman" w:hAnsi="Times New Roman" w:cs="Times New Roman"/>
        </w:rPr>
        <w:t>[</w:t>
      </w:r>
      <w:r w:rsidR="00E319D8" w:rsidRPr="008A0D67">
        <w:rPr>
          <w:rFonts w:ascii="Times New Roman" w:hAnsi="Times New Roman" w:cs="Times New Roman"/>
        </w:rPr>
        <w:t>2001</w:t>
      </w:r>
      <w:r w:rsidR="004807BE">
        <w:rPr>
          <w:rFonts w:ascii="Times New Roman" w:hAnsi="Times New Roman" w:cs="Times New Roman"/>
        </w:rPr>
        <w:t>]</w:t>
      </w:r>
      <w:r w:rsidR="00E319D8" w:rsidRPr="008A0D67">
        <w:rPr>
          <w:rFonts w:ascii="Times New Roman" w:hAnsi="Times New Roman" w:cs="Times New Roman"/>
        </w:rPr>
        <w:t xml:space="preserve"> on subjective personal introspection).</w:t>
      </w:r>
    </w:p>
    <w:p w14:paraId="384A722B" w14:textId="29F638A0" w:rsidR="00D77DC5" w:rsidRPr="008A0D67" w:rsidRDefault="00EB7E1A" w:rsidP="00D77DC5">
      <w:pPr>
        <w:spacing w:after="160" w:line="360" w:lineRule="auto"/>
        <w:jc w:val="both"/>
        <w:rPr>
          <w:rFonts w:ascii="Times New Roman" w:hAnsi="Times New Roman" w:cs="Times New Roman"/>
        </w:rPr>
      </w:pPr>
      <w:r w:rsidRPr="008A0D67">
        <w:rPr>
          <w:rFonts w:ascii="Times New Roman" w:hAnsi="Times New Roman" w:cs="Times New Roman"/>
        </w:rPr>
        <w:t>On the micro-micro leve</w:t>
      </w:r>
      <w:r w:rsidR="001E3358" w:rsidRPr="008A0D67">
        <w:rPr>
          <w:rFonts w:ascii="Times New Roman" w:hAnsi="Times New Roman" w:cs="Times New Roman"/>
        </w:rPr>
        <w:t>l</w:t>
      </w:r>
      <w:r w:rsidRPr="008A0D67">
        <w:rPr>
          <w:rFonts w:ascii="Times New Roman" w:hAnsi="Times New Roman" w:cs="Times New Roman"/>
        </w:rPr>
        <w:t xml:space="preserve">, we have reported on the findings produced by experiments, but </w:t>
      </w:r>
      <w:r w:rsidR="009A3F15">
        <w:rPr>
          <w:rFonts w:ascii="Times New Roman" w:hAnsi="Times New Roman" w:cs="Times New Roman"/>
        </w:rPr>
        <w:t>other suitable methods are</w:t>
      </w:r>
      <w:r w:rsidRPr="008A0D67">
        <w:rPr>
          <w:rFonts w:ascii="Times New Roman" w:hAnsi="Times New Roman" w:cs="Times New Roman"/>
        </w:rPr>
        <w:t xml:space="preserve"> political ethnography, </w:t>
      </w:r>
      <w:r w:rsidR="001E3358" w:rsidRPr="008A0D67">
        <w:rPr>
          <w:rFonts w:ascii="Times New Roman" w:hAnsi="Times New Roman" w:cs="Times New Roman"/>
        </w:rPr>
        <w:t xml:space="preserve">interpretive policy analysis, </w:t>
      </w:r>
      <w:r w:rsidRPr="008A0D67">
        <w:rPr>
          <w:rFonts w:ascii="Times New Roman" w:hAnsi="Times New Roman" w:cs="Times New Roman"/>
        </w:rPr>
        <w:t xml:space="preserve">public opinion analysis, and methods suitable for the analysis of diffusion. </w:t>
      </w:r>
      <w:r w:rsidR="00F115BB" w:rsidRPr="008A0D67">
        <w:rPr>
          <w:rFonts w:ascii="Times New Roman" w:hAnsi="Times New Roman" w:cs="Times New Roman"/>
        </w:rPr>
        <w:t>The micro to macro transition seems amenable to organizational analysis (including the empirical studies of sense-making in organizatio</w:t>
      </w:r>
      <w:r w:rsidR="00F06804" w:rsidRPr="008A0D67">
        <w:rPr>
          <w:rFonts w:ascii="Times New Roman" w:hAnsi="Times New Roman" w:cs="Times New Roman"/>
        </w:rPr>
        <w:t xml:space="preserve">ns, see for example Brunsson’s </w:t>
      </w:r>
      <w:r w:rsidR="00F06804" w:rsidRPr="008A0D67">
        <w:rPr>
          <w:rFonts w:ascii="Times New Roman" w:hAnsi="Times New Roman" w:cs="Times New Roman"/>
          <w:i/>
        </w:rPr>
        <w:t>M</w:t>
      </w:r>
      <w:r w:rsidR="00F115BB" w:rsidRPr="008A0D67">
        <w:rPr>
          <w:rFonts w:ascii="Times New Roman" w:hAnsi="Times New Roman" w:cs="Times New Roman"/>
          <w:i/>
        </w:rPr>
        <w:t xml:space="preserve">echanisms of </w:t>
      </w:r>
      <w:r w:rsidR="00F06804" w:rsidRPr="008A0D67">
        <w:rPr>
          <w:rFonts w:ascii="Times New Roman" w:hAnsi="Times New Roman" w:cs="Times New Roman"/>
          <w:i/>
        </w:rPr>
        <w:t>Hope</w:t>
      </w:r>
      <w:r w:rsidR="00F06804" w:rsidRPr="008A0D67">
        <w:rPr>
          <w:rFonts w:ascii="Times New Roman" w:hAnsi="Times New Roman" w:cs="Times New Roman"/>
        </w:rPr>
        <w:t xml:space="preserve">, 2006). </w:t>
      </w:r>
      <w:r w:rsidR="00F115BB" w:rsidRPr="008A0D67">
        <w:rPr>
          <w:rFonts w:ascii="Times New Roman" w:hAnsi="Times New Roman" w:cs="Times New Roman"/>
        </w:rPr>
        <w:t>Historical institutionalism</w:t>
      </w:r>
      <w:r w:rsidR="00030989" w:rsidRPr="008A0D67">
        <w:rPr>
          <w:rFonts w:ascii="Times New Roman" w:hAnsi="Times New Roman" w:cs="Times New Roman"/>
        </w:rPr>
        <w:t xml:space="preserve"> process-tracing</w:t>
      </w:r>
      <w:r w:rsidR="00F115BB" w:rsidRPr="008A0D67">
        <w:rPr>
          <w:rFonts w:ascii="Times New Roman" w:hAnsi="Times New Roman" w:cs="Times New Roman"/>
        </w:rPr>
        <w:t xml:space="preserve"> and</w:t>
      </w:r>
      <w:r w:rsidR="00030989" w:rsidRPr="008A0D67">
        <w:rPr>
          <w:rFonts w:ascii="Times New Roman" w:hAnsi="Times New Roman" w:cs="Times New Roman"/>
        </w:rPr>
        <w:t xml:space="preserve"> methods of</w:t>
      </w:r>
      <w:r w:rsidR="00F115BB" w:rsidRPr="008A0D67">
        <w:rPr>
          <w:rFonts w:ascii="Times New Roman" w:hAnsi="Times New Roman" w:cs="Times New Roman"/>
        </w:rPr>
        <w:t xml:space="preserve"> institutional analysis and development have already demonstrated their potential for the empirical analysis of collective memories and how groups and societies learn the so</w:t>
      </w:r>
      <w:r w:rsidR="00D77DC5" w:rsidRPr="008A0D67">
        <w:rPr>
          <w:rFonts w:ascii="Times New Roman" w:hAnsi="Times New Roman" w:cs="Times New Roman"/>
        </w:rPr>
        <w:t>lution to collective dilemmas.</w:t>
      </w:r>
    </w:p>
    <w:p w14:paraId="350F4075" w14:textId="1B0ABC95" w:rsidR="00EB7E1A" w:rsidRPr="008A0D67" w:rsidRDefault="00F115BB" w:rsidP="00D77DC5">
      <w:pPr>
        <w:spacing w:after="160" w:line="360" w:lineRule="auto"/>
        <w:jc w:val="both"/>
        <w:rPr>
          <w:rFonts w:ascii="Times New Roman" w:hAnsi="Times New Roman" w:cs="Times New Roman"/>
        </w:rPr>
      </w:pPr>
      <w:r w:rsidRPr="008A0D67">
        <w:rPr>
          <w:rFonts w:ascii="Times New Roman" w:hAnsi="Times New Roman" w:cs="Times New Roman"/>
        </w:rPr>
        <w:lastRenderedPageBreak/>
        <w:t xml:space="preserve">Finally, a precise understanding of the levels of learning and the transitions we have discussed can inform the design of learning architectures. Governments and international organizations invest considerable resources in the design of architectures for policy convergence, fights against corruption and poverty, and administrative capacity. These architectures will not work unless they respect the basic logic of learning we </w:t>
      </w:r>
      <w:r w:rsidR="00D1258D" w:rsidRPr="008A0D67">
        <w:rPr>
          <w:rFonts w:ascii="Times New Roman" w:hAnsi="Times New Roman" w:cs="Times New Roman"/>
        </w:rPr>
        <w:t>seek to</w:t>
      </w:r>
      <w:r w:rsidRPr="008A0D67">
        <w:rPr>
          <w:rFonts w:ascii="Times New Roman" w:hAnsi="Times New Roman" w:cs="Times New Roman"/>
        </w:rPr>
        <w:t xml:space="preserve"> illustrate in this article.</w:t>
      </w:r>
    </w:p>
    <w:p w14:paraId="17D5B6D7" w14:textId="77777777" w:rsidR="000B338B" w:rsidRPr="000B338B" w:rsidRDefault="000B338B" w:rsidP="005E66FA">
      <w:pPr>
        <w:spacing w:line="360" w:lineRule="auto"/>
        <w:jc w:val="both"/>
        <w:rPr>
          <w:rFonts w:ascii="Times New Roman" w:hAnsi="Times New Roman" w:cs="Times New Roman"/>
        </w:rPr>
      </w:pPr>
    </w:p>
    <w:p w14:paraId="1D9E613A" w14:textId="77777777" w:rsidR="005E66FA" w:rsidRPr="008A0D67" w:rsidRDefault="005E66FA" w:rsidP="005E66FA">
      <w:pPr>
        <w:spacing w:line="360" w:lineRule="auto"/>
        <w:jc w:val="both"/>
        <w:rPr>
          <w:rFonts w:ascii="Times New Roman" w:hAnsi="Times New Roman" w:cs="Times New Roman"/>
          <w:b/>
        </w:rPr>
      </w:pPr>
      <w:r w:rsidRPr="008A0D67">
        <w:rPr>
          <w:rFonts w:ascii="Times New Roman" w:hAnsi="Times New Roman" w:cs="Times New Roman"/>
          <w:b/>
        </w:rPr>
        <w:t>Acknowledgements</w:t>
      </w:r>
    </w:p>
    <w:p w14:paraId="2D8E9FA4" w14:textId="4CE137CD" w:rsidR="000B338B" w:rsidRDefault="00CA00CF" w:rsidP="000B338B">
      <w:pPr>
        <w:spacing w:line="360" w:lineRule="auto"/>
        <w:jc w:val="both"/>
        <w:rPr>
          <w:rFonts w:ascii="Times New Roman" w:hAnsi="Times New Roman" w:cs="Times New Roman"/>
        </w:rPr>
      </w:pPr>
      <w:r w:rsidRPr="00721E8C">
        <w:rPr>
          <w:rFonts w:ascii="Times New Roman" w:hAnsi="Times New Roman" w:cs="Times New Roman"/>
        </w:rPr>
        <w:t xml:space="preserve">Previous versions of this </w:t>
      </w:r>
      <w:r>
        <w:rPr>
          <w:rFonts w:ascii="Times New Roman" w:hAnsi="Times New Roman" w:cs="Times New Roman"/>
        </w:rPr>
        <w:t>article</w:t>
      </w:r>
      <w:r w:rsidRPr="00721E8C">
        <w:rPr>
          <w:rFonts w:ascii="Times New Roman" w:hAnsi="Times New Roman" w:cs="Times New Roman"/>
        </w:rPr>
        <w:t xml:space="preserve"> were presented at the International Conference on Public Policy (ICPP), Milan, 1-4 July 2015 and UK Political Studies Association (PSA) conference, Brighton, 21-23 March 2016. The authors thank colleagues who offered constructive criticisms and in particular, Allan McConnell,</w:t>
      </w:r>
      <w:r>
        <w:rPr>
          <w:rFonts w:ascii="Times New Roman" w:hAnsi="Times New Roman" w:cs="Times New Roman"/>
        </w:rPr>
        <w:t xml:space="preserve"> Dan Greenwood,</w:t>
      </w:r>
      <w:r w:rsidRPr="00721E8C">
        <w:rPr>
          <w:rFonts w:ascii="Times New Roman" w:hAnsi="Times New Roman" w:cs="Times New Roman"/>
        </w:rPr>
        <w:t xml:space="preserve"> </w:t>
      </w:r>
      <w:r>
        <w:rPr>
          <w:rFonts w:ascii="Times New Roman" w:hAnsi="Times New Roman" w:cs="Times New Roman"/>
        </w:rPr>
        <w:t>Rod Rhodes and</w:t>
      </w:r>
      <w:r w:rsidRPr="00721E8C">
        <w:rPr>
          <w:rFonts w:ascii="Times New Roman" w:hAnsi="Times New Roman" w:cs="Times New Roman"/>
        </w:rPr>
        <w:t xml:space="preserve"> Hendrik Wagenaa</w:t>
      </w:r>
      <w:r>
        <w:rPr>
          <w:rFonts w:ascii="Times New Roman" w:hAnsi="Times New Roman" w:cs="Times New Roman"/>
        </w:rPr>
        <w:t>r</w:t>
      </w:r>
      <w:r w:rsidRPr="00721E8C">
        <w:rPr>
          <w:rFonts w:ascii="Times New Roman" w:hAnsi="Times New Roman" w:cs="Times New Roman"/>
        </w:rPr>
        <w:t xml:space="preserve">. </w:t>
      </w:r>
      <w:r>
        <w:rPr>
          <w:rFonts w:ascii="Times New Roman" w:hAnsi="Times New Roman" w:cs="Times New Roman"/>
        </w:rPr>
        <w:t xml:space="preserve">We also thank the editors of this special issue – </w:t>
      </w:r>
      <w:r w:rsidRPr="00721E8C">
        <w:rPr>
          <w:rFonts w:ascii="Times New Roman" w:hAnsi="Times New Roman" w:cs="Times New Roman"/>
        </w:rPr>
        <w:t>Stéphane Moyson</w:t>
      </w:r>
      <w:r>
        <w:rPr>
          <w:rFonts w:ascii="Times New Roman" w:hAnsi="Times New Roman" w:cs="Times New Roman"/>
        </w:rPr>
        <w:t>,</w:t>
      </w:r>
      <w:r w:rsidRPr="000A6407">
        <w:rPr>
          <w:rFonts w:ascii="Times New Roman" w:hAnsi="Times New Roman" w:cs="Times New Roman"/>
        </w:rPr>
        <w:t xml:space="preserve"> </w:t>
      </w:r>
      <w:r w:rsidRPr="00721E8C">
        <w:rPr>
          <w:rFonts w:ascii="Times New Roman" w:hAnsi="Times New Roman" w:cs="Times New Roman"/>
        </w:rPr>
        <w:t>Peter Scholten</w:t>
      </w:r>
      <w:r>
        <w:rPr>
          <w:rFonts w:ascii="Times New Roman" w:hAnsi="Times New Roman" w:cs="Times New Roman"/>
        </w:rPr>
        <w:t xml:space="preserve"> and </w:t>
      </w:r>
      <w:r w:rsidRPr="00721E8C">
        <w:rPr>
          <w:rFonts w:ascii="Times New Roman" w:hAnsi="Times New Roman" w:cs="Times New Roman"/>
        </w:rPr>
        <w:t>Chris Weible</w:t>
      </w:r>
      <w:r>
        <w:rPr>
          <w:rFonts w:ascii="Times New Roman" w:hAnsi="Times New Roman" w:cs="Times New Roman"/>
        </w:rPr>
        <w:t xml:space="preserve"> – and two anonymous referees.</w:t>
      </w:r>
      <w:r w:rsidRPr="00721E8C">
        <w:rPr>
          <w:rFonts w:ascii="Times New Roman" w:hAnsi="Times New Roman" w:cs="Times New Roman"/>
        </w:rPr>
        <w:t xml:space="preserve"> Much of the conceptual work on policy learning was informed by the European Research Council project on </w:t>
      </w:r>
      <w:hyperlink r:id="rId8" w:history="1">
        <w:r w:rsidRPr="00721E8C">
          <w:rPr>
            <w:rStyle w:val="Hyperlink"/>
            <w:rFonts w:ascii="Times New Roman" w:hAnsi="Times New Roman" w:cs="Times New Roman"/>
          </w:rPr>
          <w:t>Analysis of Learning in Regulatory Governance (ALREG)</w:t>
        </w:r>
      </w:hyperlink>
      <w:r w:rsidRPr="00721E8C">
        <w:rPr>
          <w:rFonts w:ascii="Times New Roman" w:hAnsi="Times New Roman" w:cs="Times New Roman"/>
        </w:rPr>
        <w:t xml:space="preserve"> (ERC 230267). The usual disclaimer applies.</w:t>
      </w:r>
    </w:p>
    <w:p w14:paraId="44E873A0" w14:textId="77777777" w:rsidR="00826A8F" w:rsidRPr="000B338B" w:rsidRDefault="00826A8F" w:rsidP="000B338B">
      <w:pPr>
        <w:spacing w:line="360" w:lineRule="auto"/>
        <w:jc w:val="both"/>
        <w:rPr>
          <w:rFonts w:ascii="Times New Roman" w:hAnsi="Times New Roman" w:cs="Times New Roman"/>
        </w:rPr>
      </w:pPr>
    </w:p>
    <w:p w14:paraId="5AA8E72D" w14:textId="1CB983F0" w:rsidR="00BA4A99" w:rsidRPr="008A0D67" w:rsidRDefault="00BA4A99" w:rsidP="00BA4A99">
      <w:pPr>
        <w:pStyle w:val="Bibliography1"/>
        <w:spacing w:line="240" w:lineRule="auto"/>
        <w:ind w:left="0" w:firstLine="0"/>
        <w:rPr>
          <w:rFonts w:eastAsiaTheme="minorEastAsia"/>
          <w:b/>
          <w:szCs w:val="24"/>
        </w:rPr>
      </w:pPr>
      <w:r w:rsidRPr="008A0D67">
        <w:rPr>
          <w:rFonts w:eastAsiaTheme="minorEastAsia"/>
          <w:b/>
          <w:szCs w:val="24"/>
        </w:rPr>
        <w:t>References</w:t>
      </w:r>
    </w:p>
    <w:p w14:paraId="02AF007D" w14:textId="77777777" w:rsidR="00E1604D" w:rsidRDefault="00C36039" w:rsidP="00D86553">
      <w:pPr>
        <w:pStyle w:val="Bibliography1"/>
        <w:spacing w:line="240" w:lineRule="auto"/>
        <w:rPr>
          <w:shd w:val="clear" w:color="auto" w:fill="FFFFFF"/>
        </w:rPr>
      </w:pPr>
      <w:r w:rsidRPr="008A0D67">
        <w:rPr>
          <w:szCs w:val="24"/>
          <w:shd w:val="clear" w:color="auto" w:fill="FFFFFF"/>
        </w:rPr>
        <w:t>Alemanno A. and Sibony A-L. (Eds) (2015).</w:t>
      </w:r>
      <w:r w:rsidRPr="008A0D67">
        <w:rPr>
          <w:rStyle w:val="apple-converted-space"/>
          <w:szCs w:val="24"/>
          <w:shd w:val="clear" w:color="auto" w:fill="FFFFFF"/>
        </w:rPr>
        <w:t xml:space="preserve"> </w:t>
      </w:r>
      <w:r w:rsidRPr="008A0D67">
        <w:rPr>
          <w:rStyle w:val="Emphasis"/>
          <w:rFonts w:eastAsiaTheme="majorEastAsia"/>
          <w:szCs w:val="24"/>
          <w:shd w:val="clear" w:color="auto" w:fill="FFFFFF"/>
        </w:rPr>
        <w:t>Nudge and the Law: A European Perspective</w:t>
      </w:r>
      <w:r w:rsidRPr="008A0D67">
        <w:rPr>
          <w:szCs w:val="24"/>
          <w:shd w:val="clear" w:color="auto" w:fill="FFFFFF"/>
        </w:rPr>
        <w:t>, Hart.</w:t>
      </w:r>
    </w:p>
    <w:p w14:paraId="557BABFE" w14:textId="30FE4431" w:rsidR="00E1604D" w:rsidRPr="00D86553" w:rsidRDefault="00E1604D">
      <w:pPr>
        <w:pStyle w:val="Bibliography1"/>
        <w:spacing w:line="240" w:lineRule="auto"/>
        <w:rPr>
          <w:szCs w:val="24"/>
          <w:shd w:val="clear" w:color="auto" w:fill="FFFFFF"/>
        </w:rPr>
      </w:pPr>
      <w:r w:rsidRPr="0087287C">
        <w:rPr>
          <w:color w:val="000000"/>
          <w:szCs w:val="24"/>
          <w:shd w:val="clear" w:color="auto" w:fill="FFFFFF"/>
        </w:rPr>
        <w:t>Argyris, C. and Schön, D.</w:t>
      </w:r>
      <w:r>
        <w:rPr>
          <w:color w:val="000000"/>
          <w:szCs w:val="24"/>
          <w:shd w:val="clear" w:color="auto" w:fill="FFFFFF"/>
        </w:rPr>
        <w:t>A.</w:t>
      </w:r>
      <w:r w:rsidRPr="0087287C">
        <w:rPr>
          <w:color w:val="000000"/>
          <w:szCs w:val="24"/>
          <w:shd w:val="clear" w:color="auto" w:fill="FFFFFF"/>
        </w:rPr>
        <w:t xml:space="preserve"> (1974)</w:t>
      </w:r>
      <w:r w:rsidRPr="0087287C">
        <w:rPr>
          <w:rStyle w:val="apple-converted-space"/>
          <w:color w:val="000000"/>
          <w:szCs w:val="24"/>
          <w:shd w:val="clear" w:color="auto" w:fill="FFFFFF"/>
        </w:rPr>
        <w:t xml:space="preserve">. </w:t>
      </w:r>
      <w:r>
        <w:rPr>
          <w:i/>
          <w:iCs/>
          <w:color w:val="000000"/>
          <w:szCs w:val="24"/>
          <w:bdr w:val="none" w:sz="0" w:space="0" w:color="auto" w:frame="1"/>
          <w:shd w:val="clear" w:color="auto" w:fill="FFFFFF"/>
        </w:rPr>
        <w:t>Theory in Practice: Increasing Professional E</w:t>
      </w:r>
      <w:r w:rsidRPr="0087287C">
        <w:rPr>
          <w:i/>
          <w:iCs/>
          <w:color w:val="000000"/>
          <w:szCs w:val="24"/>
          <w:bdr w:val="none" w:sz="0" w:space="0" w:color="auto" w:frame="1"/>
          <w:shd w:val="clear" w:color="auto" w:fill="FFFFFF"/>
        </w:rPr>
        <w:t>ffectiveness</w:t>
      </w:r>
      <w:r w:rsidRPr="0087287C">
        <w:rPr>
          <w:color w:val="000000"/>
          <w:szCs w:val="24"/>
          <w:shd w:val="clear" w:color="auto" w:fill="FFFFFF"/>
        </w:rPr>
        <w:t>. San Francisco, CA: Jossey-Bass.</w:t>
      </w:r>
    </w:p>
    <w:p w14:paraId="1D1D6B51" w14:textId="77777777" w:rsidR="00C36039" w:rsidRPr="008A0D67" w:rsidRDefault="00C36039" w:rsidP="00C36039">
      <w:pPr>
        <w:pStyle w:val="Bibliography1"/>
        <w:spacing w:line="240" w:lineRule="auto"/>
        <w:rPr>
          <w:szCs w:val="24"/>
          <w:lang w:val="en-GB"/>
        </w:rPr>
      </w:pPr>
      <w:r w:rsidRPr="008A0D67">
        <w:rPr>
          <w:szCs w:val="24"/>
          <w:lang w:val="en-GB"/>
        </w:rPr>
        <w:t xml:space="preserve">Bennett, C.J. and Howlett, M. (1992). The Lessons of Learning: Reconciling Theories of Policy Learning and Policy Change. </w:t>
      </w:r>
      <w:r w:rsidRPr="008A0D67">
        <w:rPr>
          <w:i/>
          <w:szCs w:val="24"/>
          <w:lang w:val="en-GB"/>
        </w:rPr>
        <w:t xml:space="preserve">Policy Sciences, </w:t>
      </w:r>
      <w:r w:rsidRPr="008A0D67">
        <w:rPr>
          <w:szCs w:val="24"/>
          <w:lang w:val="en-GB"/>
        </w:rPr>
        <w:t>25(3), 275-294.</w:t>
      </w:r>
    </w:p>
    <w:p w14:paraId="0CAACC4F" w14:textId="77777777" w:rsidR="00C36039" w:rsidRPr="008A0D67" w:rsidRDefault="00C36039" w:rsidP="00C36039">
      <w:pPr>
        <w:pStyle w:val="Bibliography1"/>
        <w:spacing w:line="240" w:lineRule="auto"/>
        <w:rPr>
          <w:szCs w:val="24"/>
          <w:lang w:val="en-GB"/>
        </w:rPr>
      </w:pPr>
      <w:r w:rsidRPr="008A0D67">
        <w:rPr>
          <w:szCs w:val="24"/>
          <w:lang w:val="en-GB"/>
        </w:rPr>
        <w:t xml:space="preserve">Billig, M. (1995). </w:t>
      </w:r>
      <w:r w:rsidRPr="008A0D67">
        <w:rPr>
          <w:i/>
          <w:szCs w:val="24"/>
          <w:lang w:val="en-GB"/>
        </w:rPr>
        <w:t>Banal Nationalism,</w:t>
      </w:r>
      <w:r w:rsidRPr="008A0D67">
        <w:rPr>
          <w:szCs w:val="24"/>
          <w:lang w:val="en-GB"/>
        </w:rPr>
        <w:t xml:space="preserve"> London: Sage.</w:t>
      </w:r>
    </w:p>
    <w:p w14:paraId="0F6CA9ED" w14:textId="77777777" w:rsidR="00C36039" w:rsidRPr="008A0D67" w:rsidRDefault="00C36039" w:rsidP="00C36039">
      <w:pPr>
        <w:pStyle w:val="Bibliography1"/>
        <w:spacing w:line="240" w:lineRule="auto"/>
        <w:rPr>
          <w:szCs w:val="24"/>
          <w:lang w:val="en-GB"/>
        </w:rPr>
      </w:pPr>
      <w:r w:rsidRPr="008A0D67">
        <w:rPr>
          <w:szCs w:val="24"/>
          <w:lang w:val="en-GB"/>
        </w:rPr>
        <w:t xml:space="preserve">Brown, J.S. and Duguid, P. (2000). </w:t>
      </w:r>
      <w:r w:rsidRPr="008A0D67">
        <w:rPr>
          <w:i/>
          <w:szCs w:val="24"/>
          <w:lang w:val="en-GB"/>
        </w:rPr>
        <w:t>The Social Life of Information</w:t>
      </w:r>
      <w:r w:rsidRPr="008A0D67">
        <w:rPr>
          <w:szCs w:val="24"/>
          <w:lang w:val="en-GB"/>
        </w:rPr>
        <w:t>. Boston, MA: Harvard Business School Press.</w:t>
      </w:r>
    </w:p>
    <w:p w14:paraId="56BF978D" w14:textId="77777777" w:rsidR="00C36039" w:rsidRPr="008A0D67" w:rsidRDefault="00C36039" w:rsidP="00C36039">
      <w:pPr>
        <w:pStyle w:val="Bibliography1"/>
        <w:spacing w:line="240" w:lineRule="auto"/>
        <w:rPr>
          <w:szCs w:val="24"/>
        </w:rPr>
      </w:pPr>
      <w:r w:rsidRPr="008A0D67">
        <w:rPr>
          <w:szCs w:val="24"/>
        </w:rPr>
        <w:t xml:space="preserve">Brunsson, N. (2006). </w:t>
      </w:r>
      <w:r w:rsidRPr="008A0D67">
        <w:rPr>
          <w:i/>
          <w:szCs w:val="24"/>
        </w:rPr>
        <w:t>Mechanisms of Hope.</w:t>
      </w:r>
      <w:r w:rsidRPr="008A0D67">
        <w:rPr>
          <w:szCs w:val="24"/>
        </w:rPr>
        <w:t xml:space="preserve"> Copenhagen Business School Press.</w:t>
      </w:r>
    </w:p>
    <w:p w14:paraId="0F25EDBE" w14:textId="77777777" w:rsidR="00C36039" w:rsidRPr="008A0D67" w:rsidRDefault="00C36039" w:rsidP="00C36039">
      <w:pPr>
        <w:pStyle w:val="Bibliography1"/>
        <w:spacing w:line="240" w:lineRule="auto"/>
        <w:rPr>
          <w:szCs w:val="24"/>
          <w:lang w:val="en-GB"/>
        </w:rPr>
      </w:pPr>
      <w:r w:rsidRPr="008A0D67">
        <w:rPr>
          <w:szCs w:val="24"/>
        </w:rPr>
        <w:t xml:space="preserve">Camere, C., Lowewenstein, G. and Prelec, D. (2005). Neuroeconomics: How Neuroscience Can Inform Economics. </w:t>
      </w:r>
      <w:r w:rsidRPr="008A0D67">
        <w:rPr>
          <w:i/>
          <w:szCs w:val="24"/>
        </w:rPr>
        <w:t>Journal of Economic Literature</w:t>
      </w:r>
      <w:r w:rsidRPr="008A0D67">
        <w:rPr>
          <w:szCs w:val="24"/>
        </w:rPr>
        <w:t xml:space="preserve"> 43, 9-64.</w:t>
      </w:r>
    </w:p>
    <w:p w14:paraId="3D1E4C9E" w14:textId="77777777" w:rsidR="00C36039" w:rsidRPr="008A0D67" w:rsidRDefault="00C36039" w:rsidP="00C36039">
      <w:pPr>
        <w:pStyle w:val="Bibliography1"/>
        <w:spacing w:line="240" w:lineRule="auto"/>
        <w:rPr>
          <w:szCs w:val="24"/>
        </w:rPr>
      </w:pPr>
      <w:r w:rsidRPr="008A0D67">
        <w:rPr>
          <w:szCs w:val="24"/>
          <w:lang w:val="en-GB"/>
        </w:rPr>
        <w:t xml:space="preserve">Carley, M. (1980) </w:t>
      </w:r>
      <w:r w:rsidRPr="008A0D67">
        <w:rPr>
          <w:i/>
          <w:szCs w:val="24"/>
          <w:lang w:val="en-GB"/>
        </w:rPr>
        <w:t>Rational Techniques in Policy Analysis</w:t>
      </w:r>
      <w:r w:rsidRPr="008A0D67">
        <w:rPr>
          <w:szCs w:val="24"/>
          <w:lang w:val="en-GB"/>
        </w:rPr>
        <w:t xml:space="preserve"> Heinemann.</w:t>
      </w:r>
    </w:p>
    <w:p w14:paraId="4E6E24E3" w14:textId="31D671C9" w:rsidR="00C36039" w:rsidRDefault="00C36039" w:rsidP="00C36039">
      <w:pPr>
        <w:pStyle w:val="Bibliography1"/>
        <w:spacing w:line="240" w:lineRule="auto"/>
        <w:rPr>
          <w:szCs w:val="24"/>
          <w:lang w:val="en-GB"/>
        </w:rPr>
      </w:pPr>
      <w:r w:rsidRPr="008A0D67">
        <w:rPr>
          <w:szCs w:val="24"/>
          <w:lang w:val="en-GB"/>
        </w:rPr>
        <w:t xml:space="preserve">Checkel, J.T. (2005). International Institutions and Socialization in Europe: Introduction and Framework. </w:t>
      </w:r>
      <w:r w:rsidRPr="008A0D67">
        <w:rPr>
          <w:i/>
          <w:szCs w:val="24"/>
          <w:lang w:val="en-GB"/>
        </w:rPr>
        <w:t>International Organ</w:t>
      </w:r>
      <w:r w:rsidR="00881EEB">
        <w:rPr>
          <w:i/>
          <w:szCs w:val="24"/>
          <w:lang w:val="en-GB"/>
        </w:rPr>
        <w:t>iz</w:t>
      </w:r>
      <w:r w:rsidRPr="008A0D67">
        <w:rPr>
          <w:i/>
          <w:szCs w:val="24"/>
          <w:lang w:val="en-GB"/>
        </w:rPr>
        <w:t>ation</w:t>
      </w:r>
      <w:r w:rsidRPr="008A0D67">
        <w:rPr>
          <w:szCs w:val="24"/>
          <w:lang w:val="en-GB"/>
        </w:rPr>
        <w:t xml:space="preserve"> 59(4), 801-826.</w:t>
      </w:r>
    </w:p>
    <w:p w14:paraId="7550803C" w14:textId="56D34D29" w:rsidR="00486E02" w:rsidRPr="008A0D67" w:rsidRDefault="00486E02" w:rsidP="00C36039">
      <w:pPr>
        <w:pStyle w:val="Bibliography1"/>
        <w:spacing w:line="240" w:lineRule="auto"/>
        <w:rPr>
          <w:szCs w:val="24"/>
          <w:lang w:val="en-GB"/>
        </w:rPr>
      </w:pPr>
      <w:r>
        <w:rPr>
          <w:szCs w:val="24"/>
          <w:lang w:val="en-GB"/>
        </w:rPr>
        <w:lastRenderedPageBreak/>
        <w:t xml:space="preserve">Cohen, N. (2016). Policy Entrepreneurs and Agenda-Setting. </w:t>
      </w:r>
      <w:r>
        <w:rPr>
          <w:szCs w:val="24"/>
        </w:rPr>
        <w:t xml:space="preserve">In: Zahariadis, N (Ed.) </w:t>
      </w:r>
      <w:r>
        <w:rPr>
          <w:i/>
          <w:szCs w:val="24"/>
        </w:rPr>
        <w:t>Handbook of Public Policy Agenda-Setting</w:t>
      </w:r>
      <w:r>
        <w:t xml:space="preserve"> </w:t>
      </w:r>
      <w:r>
        <w:rPr>
          <w:szCs w:val="24"/>
        </w:rPr>
        <w:t>Cheltenham: Edward Elgar, pp. 180-199.</w:t>
      </w:r>
    </w:p>
    <w:p w14:paraId="7289E9FC" w14:textId="77777777" w:rsidR="00C36039" w:rsidRPr="008A0D67" w:rsidRDefault="00C36039" w:rsidP="00C36039">
      <w:pPr>
        <w:pStyle w:val="Bibliography1"/>
        <w:spacing w:line="240" w:lineRule="auto"/>
        <w:rPr>
          <w:szCs w:val="24"/>
        </w:rPr>
      </w:pPr>
      <w:r w:rsidRPr="008A0D67">
        <w:rPr>
          <w:szCs w:val="24"/>
        </w:rPr>
        <w:t xml:space="preserve">Coleman, J. S. (1986). Micro Foundations and Macrosocial Theory. In: Lindenberg, S., Coleman, J.S. and Nowak, S. (Eds) </w:t>
      </w:r>
      <w:r w:rsidRPr="008A0D67">
        <w:rPr>
          <w:i/>
          <w:szCs w:val="24"/>
        </w:rPr>
        <w:t>Approaches to Social Theory</w:t>
      </w:r>
      <w:r w:rsidRPr="008A0D67">
        <w:rPr>
          <w:szCs w:val="24"/>
        </w:rPr>
        <w:t>, New York, NY: Russell Sage Foundation, pp. 345–63.</w:t>
      </w:r>
    </w:p>
    <w:p w14:paraId="2FE25A5D" w14:textId="77777777" w:rsidR="00C36039" w:rsidRPr="008A0D67" w:rsidRDefault="00C36039" w:rsidP="00C36039">
      <w:pPr>
        <w:pStyle w:val="Bibliography1"/>
        <w:spacing w:line="240" w:lineRule="auto"/>
        <w:rPr>
          <w:szCs w:val="24"/>
          <w:lang w:val="en-GB"/>
        </w:rPr>
      </w:pPr>
      <w:r w:rsidRPr="008A0D67">
        <w:rPr>
          <w:szCs w:val="24"/>
          <w:lang w:val="en-GB"/>
        </w:rPr>
        <w:t xml:space="preserve">Coleman, J.S. (1990). </w:t>
      </w:r>
      <w:r w:rsidRPr="008A0D67">
        <w:rPr>
          <w:i/>
          <w:iCs/>
          <w:szCs w:val="24"/>
          <w:lang w:val="en-GB"/>
        </w:rPr>
        <w:t>Foundations of Social Theory</w:t>
      </w:r>
      <w:r w:rsidRPr="008A0D67">
        <w:rPr>
          <w:szCs w:val="24"/>
          <w:lang w:val="en-GB"/>
        </w:rPr>
        <w:t>. Cambridge, MA: Belknap Press of Harvard University Press.</w:t>
      </w:r>
    </w:p>
    <w:p w14:paraId="19B17854" w14:textId="6120FDCE" w:rsidR="00C36039" w:rsidRPr="008A0D67" w:rsidRDefault="00C36039" w:rsidP="00C36039">
      <w:pPr>
        <w:pStyle w:val="Bibliography1"/>
        <w:spacing w:line="240" w:lineRule="auto"/>
        <w:rPr>
          <w:szCs w:val="24"/>
          <w:lang w:val="en-GB"/>
        </w:rPr>
      </w:pPr>
      <w:r w:rsidRPr="008A0D67">
        <w:rPr>
          <w:szCs w:val="24"/>
          <w:lang w:val="en-GB"/>
        </w:rPr>
        <w:t xml:space="preserve">Damasio, A.R. (1996). The Somatic Marker Hypothesis and the Possible Functions of the Prefrontal Cortex. </w:t>
      </w:r>
      <w:r w:rsidRPr="008A0D67">
        <w:rPr>
          <w:i/>
          <w:szCs w:val="24"/>
          <w:lang w:val="en-GB"/>
        </w:rPr>
        <w:t>Philosophical Transactions of the Royal Society of London</w:t>
      </w:r>
      <w:r w:rsidRPr="008A0D67">
        <w:rPr>
          <w:szCs w:val="24"/>
          <w:lang w:val="en-GB"/>
        </w:rPr>
        <w:t>, Series B, 351, 1413-1420.</w:t>
      </w:r>
    </w:p>
    <w:p w14:paraId="2AA001FD" w14:textId="77777777" w:rsidR="00385346" w:rsidRDefault="00C36039" w:rsidP="00385346">
      <w:pPr>
        <w:pStyle w:val="Bibliography1"/>
        <w:spacing w:line="240" w:lineRule="auto"/>
        <w:rPr>
          <w:szCs w:val="24"/>
          <w:lang w:val="en-GB"/>
        </w:rPr>
      </w:pPr>
      <w:r w:rsidRPr="008A0D67">
        <w:rPr>
          <w:szCs w:val="24"/>
          <w:lang w:val="en-GB"/>
        </w:rPr>
        <w:t xml:space="preserve">Darwin, C. (1872). </w:t>
      </w:r>
      <w:r w:rsidRPr="008A0D67">
        <w:rPr>
          <w:i/>
          <w:szCs w:val="24"/>
          <w:lang w:val="en-GB"/>
        </w:rPr>
        <w:t>The Expression of the Emotions in Man and Animals</w:t>
      </w:r>
      <w:r w:rsidRPr="008A0D67">
        <w:rPr>
          <w:szCs w:val="24"/>
          <w:lang w:val="en-GB"/>
        </w:rPr>
        <w:t xml:space="preserve"> New York, NY: Filiquarian.</w:t>
      </w:r>
    </w:p>
    <w:p w14:paraId="0343FA83" w14:textId="0FA53D88" w:rsidR="00486E02" w:rsidRPr="00385346" w:rsidRDefault="00486E02" w:rsidP="00385346">
      <w:pPr>
        <w:pStyle w:val="Bibliography1"/>
        <w:spacing w:line="240" w:lineRule="auto"/>
        <w:rPr>
          <w:szCs w:val="24"/>
          <w:lang w:val="en-GB"/>
        </w:rPr>
      </w:pPr>
      <w:r>
        <w:rPr>
          <w:szCs w:val="24"/>
          <w:lang w:val="en-GB"/>
        </w:rPr>
        <w:t>Deruelle, T. (201</w:t>
      </w:r>
      <w:r w:rsidR="008A467F">
        <w:rPr>
          <w:szCs w:val="24"/>
          <w:lang w:val="en-GB"/>
        </w:rPr>
        <w:t>6</w:t>
      </w:r>
      <w:r>
        <w:rPr>
          <w:szCs w:val="24"/>
          <w:lang w:val="en-GB"/>
        </w:rPr>
        <w:t xml:space="preserve">). </w:t>
      </w:r>
      <w:r w:rsidR="00721996">
        <w:rPr>
          <w:color w:val="333333"/>
          <w:szCs w:val="24"/>
          <w:shd w:val="clear" w:color="auto" w:fill="FFFFFF"/>
        </w:rPr>
        <w:t>Bricolage or Entrepreneurship? Lessons from the Creation of the European Centre for Disease Prevention and Control</w:t>
      </w:r>
      <w:r w:rsidR="00385346" w:rsidRPr="00D34702">
        <w:rPr>
          <w:color w:val="333333"/>
          <w:szCs w:val="24"/>
          <w:shd w:val="clear" w:color="auto" w:fill="FFFFFF"/>
        </w:rPr>
        <w:t>.</w:t>
      </w:r>
      <w:r>
        <w:rPr>
          <w:szCs w:val="24"/>
          <w:lang w:val="en-GB"/>
        </w:rPr>
        <w:t xml:space="preserve"> </w:t>
      </w:r>
      <w:r w:rsidRPr="00D86553">
        <w:rPr>
          <w:i/>
          <w:szCs w:val="24"/>
          <w:lang w:val="en-GB"/>
        </w:rPr>
        <w:t>European Policy Analysis</w:t>
      </w:r>
      <w:r w:rsidR="009C170D">
        <w:rPr>
          <w:szCs w:val="24"/>
          <w:lang w:val="en-GB"/>
        </w:rPr>
        <w:t>, 2(2), 43-67</w:t>
      </w:r>
      <w:r w:rsidR="00950987">
        <w:rPr>
          <w:szCs w:val="24"/>
          <w:lang w:val="en-GB"/>
        </w:rPr>
        <w:t>.</w:t>
      </w:r>
    </w:p>
    <w:p w14:paraId="72B98A4F" w14:textId="77777777" w:rsidR="00C36039" w:rsidRPr="008A0D67" w:rsidRDefault="00C36039" w:rsidP="00C36039">
      <w:pPr>
        <w:pStyle w:val="Bibliography1"/>
        <w:spacing w:line="240" w:lineRule="auto"/>
        <w:rPr>
          <w:szCs w:val="24"/>
          <w:lang w:val="en-GB"/>
        </w:rPr>
      </w:pPr>
      <w:r w:rsidRPr="008A0D67">
        <w:rPr>
          <w:szCs w:val="24"/>
        </w:rPr>
        <w:t xml:space="preserve">Deutsch, K.W. (1966). </w:t>
      </w:r>
      <w:r w:rsidRPr="008A0D67">
        <w:rPr>
          <w:i/>
          <w:iCs/>
          <w:szCs w:val="24"/>
        </w:rPr>
        <w:t>The Nerves of Government</w:t>
      </w:r>
      <w:r w:rsidRPr="008A0D67">
        <w:rPr>
          <w:szCs w:val="24"/>
        </w:rPr>
        <w:t>. New York, NY: The Free Press.</w:t>
      </w:r>
    </w:p>
    <w:p w14:paraId="52FBDCCD" w14:textId="77777777" w:rsidR="00C36039" w:rsidRPr="008A0D67" w:rsidRDefault="00C36039" w:rsidP="00C36039">
      <w:pPr>
        <w:pStyle w:val="Bibliography1"/>
        <w:spacing w:line="240" w:lineRule="auto"/>
        <w:rPr>
          <w:szCs w:val="24"/>
          <w:lang w:val="en-GB"/>
        </w:rPr>
      </w:pPr>
      <w:r w:rsidRPr="008A0D67">
        <w:rPr>
          <w:szCs w:val="24"/>
          <w:lang w:val="en-GB"/>
        </w:rPr>
        <w:t xml:space="preserve">Douglas, M. (1986). </w:t>
      </w:r>
      <w:r w:rsidRPr="008A0D67">
        <w:rPr>
          <w:i/>
          <w:szCs w:val="24"/>
          <w:lang w:val="en-GB"/>
        </w:rPr>
        <w:t>How Institutions Think</w:t>
      </w:r>
      <w:r w:rsidRPr="008A0D67">
        <w:rPr>
          <w:szCs w:val="24"/>
          <w:lang w:val="en-GB"/>
        </w:rPr>
        <w:t xml:space="preserve"> Syracuse, NY: Syracuse University Press.</w:t>
      </w:r>
    </w:p>
    <w:p w14:paraId="23529817" w14:textId="77777777" w:rsidR="00C36039" w:rsidRPr="008A0D67" w:rsidRDefault="00C36039" w:rsidP="00C36039">
      <w:pPr>
        <w:pStyle w:val="Bibliography1"/>
        <w:spacing w:line="240" w:lineRule="auto"/>
        <w:rPr>
          <w:szCs w:val="24"/>
          <w:lang w:val="en-GB"/>
        </w:rPr>
      </w:pPr>
      <w:r w:rsidRPr="008A0D67">
        <w:rPr>
          <w:szCs w:val="24"/>
          <w:lang w:val="en-GB"/>
        </w:rPr>
        <w:t xml:space="preserve">Druckman, J.N. (2001). The Implications of Framing Effects for Citizen Competence. </w:t>
      </w:r>
      <w:r w:rsidRPr="008A0D67">
        <w:rPr>
          <w:i/>
          <w:szCs w:val="24"/>
          <w:lang w:val="en-GB"/>
        </w:rPr>
        <w:t>Political Behavior</w:t>
      </w:r>
      <w:r w:rsidRPr="008A0D67">
        <w:rPr>
          <w:szCs w:val="24"/>
          <w:lang w:val="en-GB"/>
        </w:rPr>
        <w:t xml:space="preserve"> 23(3), 225-256.</w:t>
      </w:r>
    </w:p>
    <w:p w14:paraId="43F3F8EA" w14:textId="3FD34382" w:rsidR="00C36039" w:rsidRDefault="00C36039" w:rsidP="00C36039">
      <w:pPr>
        <w:pStyle w:val="Bibliography1"/>
        <w:spacing w:line="240" w:lineRule="auto"/>
        <w:rPr>
          <w:szCs w:val="24"/>
        </w:rPr>
      </w:pPr>
      <w:r w:rsidRPr="008A0D67">
        <w:rPr>
          <w:szCs w:val="24"/>
        </w:rPr>
        <w:t xml:space="preserve">Dunlop, C.A. and Radaelli, C.M. (2013). Systematizing Policy Learning: From Monolith to Dimensions. </w:t>
      </w:r>
      <w:r w:rsidRPr="008A0D67">
        <w:rPr>
          <w:i/>
          <w:iCs/>
          <w:szCs w:val="24"/>
        </w:rPr>
        <w:t>Political Studies</w:t>
      </w:r>
      <w:r w:rsidRPr="00881EEB">
        <w:rPr>
          <w:i/>
        </w:rPr>
        <w:t>,</w:t>
      </w:r>
      <w:r w:rsidRPr="008A0D67">
        <w:rPr>
          <w:iCs/>
          <w:szCs w:val="24"/>
        </w:rPr>
        <w:t xml:space="preserve"> </w:t>
      </w:r>
      <w:r w:rsidRPr="008A0D67">
        <w:rPr>
          <w:szCs w:val="24"/>
        </w:rPr>
        <w:t>31(3), 599-619.</w:t>
      </w:r>
    </w:p>
    <w:p w14:paraId="00AD2B00" w14:textId="1EBE27A4" w:rsidR="00B62893" w:rsidRPr="00BF001C" w:rsidRDefault="00B62893" w:rsidP="00C36039">
      <w:pPr>
        <w:pStyle w:val="Bibliography1"/>
        <w:spacing w:line="240" w:lineRule="auto"/>
        <w:rPr>
          <w:szCs w:val="24"/>
        </w:rPr>
      </w:pPr>
      <w:r w:rsidRPr="008A0D67">
        <w:rPr>
          <w:szCs w:val="24"/>
        </w:rPr>
        <w:t>Dunlop, C.A. and Radaelli, C.M.</w:t>
      </w:r>
      <w:r w:rsidR="00BF001C">
        <w:rPr>
          <w:szCs w:val="24"/>
        </w:rPr>
        <w:t xml:space="preserve"> (2016). Does Policy Learning Meet the Standards of a Theoretical Lens on the Policy Process?</w:t>
      </w:r>
      <w:r w:rsidR="00BF001C">
        <w:rPr>
          <w:i/>
          <w:szCs w:val="24"/>
        </w:rPr>
        <w:t xml:space="preserve"> Paper presented at International Political Science Association (IPSA) </w:t>
      </w:r>
      <w:r w:rsidR="00BF001C">
        <w:rPr>
          <w:szCs w:val="24"/>
        </w:rPr>
        <w:t>24</w:t>
      </w:r>
      <w:r w:rsidR="00BF001C" w:rsidRPr="00BF001C">
        <w:rPr>
          <w:szCs w:val="24"/>
          <w:vertAlign w:val="superscript"/>
        </w:rPr>
        <w:t>th</w:t>
      </w:r>
      <w:r w:rsidR="00BF001C">
        <w:rPr>
          <w:szCs w:val="24"/>
        </w:rPr>
        <w:t xml:space="preserve"> World Congress of Political Science, July 23-28, Poznań, Poland.</w:t>
      </w:r>
    </w:p>
    <w:p w14:paraId="711D06D2" w14:textId="77777777" w:rsidR="00C36039" w:rsidRPr="008A0D67" w:rsidRDefault="00C36039" w:rsidP="00C36039">
      <w:pPr>
        <w:pStyle w:val="Bibliography1"/>
        <w:spacing w:line="240" w:lineRule="auto"/>
        <w:rPr>
          <w:szCs w:val="24"/>
        </w:rPr>
      </w:pPr>
      <w:r w:rsidRPr="008A0D67">
        <w:rPr>
          <w:szCs w:val="24"/>
          <w:lang w:val="en-GB"/>
        </w:rPr>
        <w:t xml:space="preserve">Dunlop, C.A. and James, O. (2007). </w:t>
      </w:r>
      <w:r w:rsidRPr="008A0D67">
        <w:rPr>
          <w:szCs w:val="24"/>
          <w:shd w:val="clear" w:color="auto" w:fill="FFFFFF"/>
        </w:rPr>
        <w:t xml:space="preserve">Principal-Agent Modelling and Learning: The European Commission, Experts and Agricultural Hormone Growth Promoters. </w:t>
      </w:r>
      <w:r w:rsidRPr="008A0D67">
        <w:rPr>
          <w:rStyle w:val="Emphasis"/>
          <w:rFonts w:eastAsiaTheme="majorEastAsia"/>
          <w:szCs w:val="24"/>
          <w:shd w:val="clear" w:color="auto" w:fill="FFFFFF"/>
        </w:rPr>
        <w:t>Public Policy and Administration</w:t>
      </w:r>
      <w:r w:rsidRPr="008A0D67">
        <w:rPr>
          <w:szCs w:val="24"/>
          <w:shd w:val="clear" w:color="auto" w:fill="FFFFFF"/>
        </w:rPr>
        <w:t>, 22(4), 403-422.</w:t>
      </w:r>
    </w:p>
    <w:p w14:paraId="68F49331" w14:textId="65E727FE" w:rsidR="00C36039" w:rsidRPr="008A0D67" w:rsidRDefault="00C36039" w:rsidP="00C36039">
      <w:pPr>
        <w:pStyle w:val="Bibliography1"/>
        <w:spacing w:line="240" w:lineRule="auto"/>
        <w:rPr>
          <w:szCs w:val="24"/>
        </w:rPr>
      </w:pPr>
      <w:r w:rsidRPr="008A0D67">
        <w:rPr>
          <w:szCs w:val="24"/>
        </w:rPr>
        <w:t xml:space="preserve">Earl, P.E. (2001). Simon’s Travel Theorem and the Demand for Live Music. </w:t>
      </w:r>
      <w:r w:rsidR="007565AD">
        <w:rPr>
          <w:i/>
          <w:szCs w:val="24"/>
        </w:rPr>
        <w:t>Journal of</w:t>
      </w:r>
      <w:r w:rsidRPr="008A0D67">
        <w:rPr>
          <w:i/>
          <w:szCs w:val="24"/>
        </w:rPr>
        <w:t xml:space="preserve"> Economic Psychology</w:t>
      </w:r>
      <w:r w:rsidRPr="008A0D67">
        <w:rPr>
          <w:szCs w:val="24"/>
        </w:rPr>
        <w:t xml:space="preserve"> 22, 335-358.</w:t>
      </w:r>
    </w:p>
    <w:p w14:paraId="09BFA305" w14:textId="77777777" w:rsidR="00C36039" w:rsidRDefault="00C36039" w:rsidP="00C36039">
      <w:pPr>
        <w:pStyle w:val="Bibliography1"/>
        <w:spacing w:line="240" w:lineRule="auto"/>
        <w:rPr>
          <w:szCs w:val="24"/>
        </w:rPr>
      </w:pPr>
      <w:r w:rsidRPr="008A0D67">
        <w:rPr>
          <w:szCs w:val="24"/>
          <w:lang w:val="en-GB"/>
        </w:rPr>
        <w:t xml:space="preserve">Elster, J. (1989). </w:t>
      </w:r>
      <w:r w:rsidRPr="008A0D67">
        <w:rPr>
          <w:i/>
          <w:szCs w:val="24"/>
          <w:lang w:val="en-GB"/>
        </w:rPr>
        <w:t>The Cement of Society: A Study of Social Order</w:t>
      </w:r>
      <w:r w:rsidRPr="008A0D67">
        <w:rPr>
          <w:szCs w:val="24"/>
        </w:rPr>
        <w:t xml:space="preserve"> Cambridge, MA: Cambridge University Press.</w:t>
      </w:r>
    </w:p>
    <w:p w14:paraId="0AE6F046" w14:textId="01B47C2A" w:rsidR="00CE323E" w:rsidRPr="00D86553" w:rsidRDefault="00CE323E" w:rsidP="00D86553">
      <w:pPr>
        <w:pStyle w:val="Bibliography1"/>
        <w:spacing w:line="240" w:lineRule="auto"/>
        <w:jc w:val="both"/>
        <w:rPr>
          <w:szCs w:val="24"/>
          <w:lang w:val="en-GB"/>
        </w:rPr>
      </w:pPr>
      <w:r w:rsidRPr="00A61593">
        <w:rPr>
          <w:szCs w:val="24"/>
        </w:rPr>
        <w:t xml:space="preserve">Festinger, L. (1957). </w:t>
      </w:r>
      <w:r w:rsidRPr="00A61593">
        <w:rPr>
          <w:i/>
          <w:szCs w:val="24"/>
        </w:rPr>
        <w:t>Theory of Cognitive Dissonance</w:t>
      </w:r>
      <w:r w:rsidRPr="00A61593">
        <w:rPr>
          <w:szCs w:val="24"/>
        </w:rPr>
        <w:t xml:space="preserve">. </w:t>
      </w:r>
      <w:r w:rsidRPr="00A61593">
        <w:rPr>
          <w:color w:val="252525"/>
          <w:szCs w:val="24"/>
          <w:shd w:val="clear" w:color="auto" w:fill="FFFFFF"/>
        </w:rPr>
        <w:t>California, CA: Stanford University Press</w:t>
      </w:r>
    </w:p>
    <w:p w14:paraId="4EEE4EE8" w14:textId="04596A52" w:rsidR="00486E02" w:rsidRPr="00D86553" w:rsidRDefault="00486E02" w:rsidP="00C36039">
      <w:pPr>
        <w:pStyle w:val="Bibliography1"/>
        <w:spacing w:line="240" w:lineRule="auto"/>
        <w:rPr>
          <w:szCs w:val="24"/>
          <w:u w:val="single"/>
        </w:rPr>
      </w:pPr>
      <w:r>
        <w:rPr>
          <w:szCs w:val="24"/>
        </w:rPr>
        <w:t xml:space="preserve">Flyvberg, B. (2001). </w:t>
      </w:r>
      <w:r>
        <w:rPr>
          <w:i/>
          <w:szCs w:val="24"/>
        </w:rPr>
        <w:t>Making Social Science Matter</w:t>
      </w:r>
      <w:r>
        <w:rPr>
          <w:szCs w:val="24"/>
        </w:rPr>
        <w:t xml:space="preserve"> Cambridge: Cambridge University Press. </w:t>
      </w:r>
    </w:p>
    <w:p w14:paraId="17DDBB4E" w14:textId="77777777" w:rsidR="00C36039" w:rsidRPr="008A0D67" w:rsidRDefault="00C36039" w:rsidP="00C36039">
      <w:pPr>
        <w:pStyle w:val="Bibliography1"/>
        <w:spacing w:line="240" w:lineRule="auto"/>
        <w:rPr>
          <w:szCs w:val="24"/>
          <w:lang w:val="en-GB"/>
        </w:rPr>
      </w:pPr>
      <w:r w:rsidRPr="008A0D67">
        <w:rPr>
          <w:szCs w:val="24"/>
          <w:lang w:val="en-GB"/>
        </w:rPr>
        <w:lastRenderedPageBreak/>
        <w:t xml:space="preserve">Freeman, R. (2006). Learning in Public Policy. In: Moran, M., Rein, M. and Goodin, R.E. (Eds) </w:t>
      </w:r>
      <w:r w:rsidRPr="008A0D67">
        <w:rPr>
          <w:i/>
          <w:iCs/>
          <w:szCs w:val="24"/>
          <w:lang w:val="en-GB"/>
        </w:rPr>
        <w:t>Oxford Handbook of Public Policy</w:t>
      </w:r>
      <w:r w:rsidRPr="008A0D67">
        <w:rPr>
          <w:szCs w:val="24"/>
          <w:lang w:val="en-GB"/>
        </w:rPr>
        <w:t>, Oxford: Oxford University Press.</w:t>
      </w:r>
    </w:p>
    <w:p w14:paraId="30675390" w14:textId="77777777" w:rsidR="00C36039" w:rsidRPr="008A0D67" w:rsidRDefault="00C36039" w:rsidP="00C36039">
      <w:pPr>
        <w:pStyle w:val="Bibliography1"/>
        <w:spacing w:line="240" w:lineRule="auto"/>
        <w:rPr>
          <w:szCs w:val="24"/>
          <w:lang w:val="en-GB"/>
        </w:rPr>
      </w:pPr>
      <w:r w:rsidRPr="008A0D67">
        <w:rPr>
          <w:szCs w:val="24"/>
        </w:rPr>
        <w:t xml:space="preserve">Freeman, R. (2007). Epistemological Bricolage: How Practitioners Make Sense of Learning. </w:t>
      </w:r>
      <w:r w:rsidRPr="008A0D67">
        <w:rPr>
          <w:i/>
          <w:iCs/>
          <w:szCs w:val="24"/>
        </w:rPr>
        <w:t xml:space="preserve">Administration and Society </w:t>
      </w:r>
      <w:r w:rsidRPr="008A0D67">
        <w:rPr>
          <w:szCs w:val="24"/>
        </w:rPr>
        <w:t>39(4), 476-496.</w:t>
      </w:r>
    </w:p>
    <w:p w14:paraId="06FD85F2" w14:textId="77777777" w:rsidR="00C36039" w:rsidRDefault="00C36039" w:rsidP="00C36039">
      <w:pPr>
        <w:pStyle w:val="Bibliography1"/>
        <w:spacing w:line="240" w:lineRule="auto"/>
        <w:rPr>
          <w:szCs w:val="24"/>
          <w:lang w:val="en-GB"/>
        </w:rPr>
      </w:pPr>
      <w:r w:rsidRPr="008A0D67">
        <w:rPr>
          <w:szCs w:val="24"/>
          <w:lang w:val="en-GB"/>
        </w:rPr>
        <w:t xml:space="preserve">Gilardi, F. (2010). Who Learns from What in Policy Diffusion Processes? </w:t>
      </w:r>
      <w:r w:rsidRPr="008A0D67">
        <w:rPr>
          <w:i/>
          <w:szCs w:val="24"/>
          <w:lang w:val="en-GB"/>
        </w:rPr>
        <w:t>American Journal of Political Science</w:t>
      </w:r>
      <w:r w:rsidRPr="008A0D67">
        <w:rPr>
          <w:szCs w:val="24"/>
          <w:lang w:val="en-GB"/>
        </w:rPr>
        <w:t xml:space="preserve"> 54(3), 650-666.</w:t>
      </w:r>
    </w:p>
    <w:p w14:paraId="715584FC" w14:textId="70B0C945" w:rsidR="00CE323E" w:rsidRPr="00D86553" w:rsidRDefault="005910BD" w:rsidP="00D86553">
      <w:pPr>
        <w:pStyle w:val="Bibliography2"/>
        <w:jc w:val="both"/>
        <w:rPr>
          <w:szCs w:val="24"/>
        </w:rPr>
      </w:pPr>
      <w:r>
        <w:rPr>
          <w:rFonts w:ascii="Times New Roman" w:hAnsi="Times New Roman"/>
          <w:szCs w:val="24"/>
        </w:rPr>
        <w:t xml:space="preserve">Grin, J. and </w:t>
      </w:r>
      <w:r w:rsidR="00CE323E" w:rsidRPr="00A61593">
        <w:rPr>
          <w:rFonts w:ascii="Times New Roman" w:hAnsi="Times New Roman"/>
          <w:szCs w:val="24"/>
        </w:rPr>
        <w:t>Loeber</w:t>
      </w:r>
      <w:r>
        <w:rPr>
          <w:rFonts w:ascii="Times New Roman" w:hAnsi="Times New Roman"/>
          <w:szCs w:val="24"/>
        </w:rPr>
        <w:t>, A.</w:t>
      </w:r>
      <w:r w:rsidR="00CE323E" w:rsidRPr="00A61593">
        <w:rPr>
          <w:rFonts w:ascii="Times New Roman" w:hAnsi="Times New Roman"/>
          <w:szCs w:val="24"/>
        </w:rPr>
        <w:t xml:space="preserve"> (2007). Theories of Policy Learning: Agency, Structure and Change. In: Fischer, F., Miller, G.J. and M. S. Sidney (Eds.) </w:t>
      </w:r>
      <w:r w:rsidR="00CE323E" w:rsidRPr="00A61593">
        <w:rPr>
          <w:rFonts w:ascii="Times New Roman" w:hAnsi="Times New Roman"/>
          <w:i/>
          <w:szCs w:val="24"/>
        </w:rPr>
        <w:t>Handbook of Public Policy Analysis</w:t>
      </w:r>
      <w:r w:rsidR="00CE323E">
        <w:rPr>
          <w:rFonts w:ascii="Times New Roman" w:hAnsi="Times New Roman"/>
          <w:i/>
          <w:szCs w:val="24"/>
        </w:rPr>
        <w:t>: Theory, Politics and Methods</w:t>
      </w:r>
      <w:r w:rsidR="00CE323E" w:rsidRPr="00A61593">
        <w:rPr>
          <w:rFonts w:ascii="Times New Roman" w:hAnsi="Times New Roman"/>
          <w:i/>
          <w:szCs w:val="24"/>
        </w:rPr>
        <w:t>.</w:t>
      </w:r>
      <w:r w:rsidR="00CE323E" w:rsidRPr="00A61593">
        <w:rPr>
          <w:rFonts w:ascii="Times New Roman" w:hAnsi="Times New Roman"/>
          <w:szCs w:val="24"/>
        </w:rPr>
        <w:t xml:space="preserve"> Boca Raton, FL: CRC Press, pp. </w:t>
      </w:r>
      <w:r w:rsidR="00CE323E">
        <w:rPr>
          <w:rFonts w:ascii="Times New Roman" w:hAnsi="Times New Roman"/>
          <w:szCs w:val="24"/>
        </w:rPr>
        <w:t>201-222</w:t>
      </w:r>
      <w:r w:rsidR="00CE323E" w:rsidRPr="00A61593">
        <w:rPr>
          <w:rFonts w:ascii="Times New Roman" w:hAnsi="Times New Roman"/>
          <w:szCs w:val="24"/>
        </w:rPr>
        <w:t>.</w:t>
      </w:r>
    </w:p>
    <w:p w14:paraId="47084518" w14:textId="77777777" w:rsidR="00C36039" w:rsidRPr="008A0D67" w:rsidRDefault="00C36039" w:rsidP="00C36039">
      <w:pPr>
        <w:pStyle w:val="Bibliography1"/>
        <w:spacing w:line="240" w:lineRule="auto"/>
        <w:rPr>
          <w:szCs w:val="24"/>
          <w:lang w:val="en-GB"/>
        </w:rPr>
      </w:pPr>
      <w:r w:rsidRPr="008A0D67">
        <w:rPr>
          <w:szCs w:val="24"/>
          <w:lang w:val="en-GB"/>
        </w:rPr>
        <w:t xml:space="preserve">Hall, P.A. (1993). </w:t>
      </w:r>
      <w:r w:rsidRPr="008A0D67">
        <w:rPr>
          <w:szCs w:val="24"/>
          <w:shd w:val="clear" w:color="auto" w:fill="FFFFFF"/>
        </w:rPr>
        <w:t xml:space="preserve">Policy Paradigms, Social Learning and the State: the Case of Economic Policy-Making in Britain. </w:t>
      </w:r>
      <w:r w:rsidRPr="008A0D67">
        <w:rPr>
          <w:i/>
          <w:szCs w:val="24"/>
          <w:shd w:val="clear" w:color="auto" w:fill="FFFFFF"/>
        </w:rPr>
        <w:t>Comparative Politics</w:t>
      </w:r>
      <w:r w:rsidRPr="008A0D67">
        <w:rPr>
          <w:szCs w:val="24"/>
          <w:shd w:val="clear" w:color="auto" w:fill="FFFFFF"/>
        </w:rPr>
        <w:t xml:space="preserve"> 25(3), 275-296.</w:t>
      </w:r>
    </w:p>
    <w:p w14:paraId="234F7BB1" w14:textId="77777777" w:rsidR="00C36039" w:rsidRPr="008A0D67" w:rsidRDefault="00C36039" w:rsidP="00C36039">
      <w:pPr>
        <w:pStyle w:val="Bibliography1"/>
        <w:spacing w:line="240" w:lineRule="auto"/>
        <w:rPr>
          <w:szCs w:val="24"/>
        </w:rPr>
      </w:pPr>
      <w:r w:rsidRPr="008A0D67">
        <w:rPr>
          <w:szCs w:val="24"/>
          <w:lang w:val="en-GB"/>
        </w:rPr>
        <w:t xml:space="preserve">Heclo, H. (1974). </w:t>
      </w:r>
      <w:r w:rsidRPr="008A0D67">
        <w:rPr>
          <w:i/>
          <w:szCs w:val="24"/>
          <w:lang w:val="en-GB"/>
        </w:rPr>
        <w:t>Modern Social Politics in Britain and Sweden</w:t>
      </w:r>
      <w:r w:rsidRPr="008A0D67">
        <w:rPr>
          <w:szCs w:val="24"/>
          <w:lang w:val="en-GB"/>
        </w:rPr>
        <w:t>. New Haven, CT: Yale University Press.</w:t>
      </w:r>
    </w:p>
    <w:p w14:paraId="3B490433" w14:textId="38D572FC" w:rsidR="00C36039" w:rsidRPr="008A0D67" w:rsidRDefault="00ED6E69" w:rsidP="00C36039">
      <w:pPr>
        <w:pStyle w:val="Bibliography1"/>
        <w:spacing w:line="240" w:lineRule="auto"/>
        <w:rPr>
          <w:szCs w:val="24"/>
          <w:lang w:val="en-GB"/>
        </w:rPr>
      </w:pPr>
      <w:r>
        <w:rPr>
          <w:szCs w:val="24"/>
        </w:rPr>
        <w:t>Hedström, P.</w:t>
      </w:r>
      <w:r w:rsidR="00C95C73">
        <w:rPr>
          <w:szCs w:val="24"/>
        </w:rPr>
        <w:t xml:space="preserve"> and Swedberg, R. (E</w:t>
      </w:r>
      <w:r w:rsidR="00C36039" w:rsidRPr="008A0D67">
        <w:rPr>
          <w:szCs w:val="24"/>
        </w:rPr>
        <w:t xml:space="preserve">ds). (1998). </w:t>
      </w:r>
      <w:r w:rsidR="00C36039" w:rsidRPr="008A0D67">
        <w:rPr>
          <w:i/>
          <w:iCs/>
          <w:szCs w:val="24"/>
        </w:rPr>
        <w:t>Social Mechanisms. An Analytical Approach to Social Theory</w:t>
      </w:r>
      <w:r w:rsidR="00C36039" w:rsidRPr="008A0D67">
        <w:rPr>
          <w:szCs w:val="24"/>
        </w:rPr>
        <w:t>. Cambridge, MA: Cambridge University Press.</w:t>
      </w:r>
    </w:p>
    <w:p w14:paraId="7B32FCA1" w14:textId="77777777" w:rsidR="00C36039" w:rsidRPr="008A0D67" w:rsidRDefault="00C36039" w:rsidP="00C36039">
      <w:pPr>
        <w:pStyle w:val="Bibliography1"/>
        <w:spacing w:line="240" w:lineRule="auto"/>
        <w:rPr>
          <w:szCs w:val="24"/>
        </w:rPr>
      </w:pPr>
      <w:r w:rsidRPr="008A0D67">
        <w:rPr>
          <w:szCs w:val="24"/>
        </w:rPr>
        <w:t xml:space="preserve">Heikkila, T. and Gerlak, A.K. (2013). Building a Conceptual Approach to Collective Learning: Lessons for Public Policy Scholars. </w:t>
      </w:r>
      <w:r w:rsidRPr="008A0D67">
        <w:rPr>
          <w:i/>
          <w:szCs w:val="24"/>
        </w:rPr>
        <w:t>Policy Studies Journal</w:t>
      </w:r>
      <w:r w:rsidRPr="008A0D67">
        <w:rPr>
          <w:szCs w:val="24"/>
        </w:rPr>
        <w:t xml:space="preserve"> 41(3), 484-511.</w:t>
      </w:r>
    </w:p>
    <w:p w14:paraId="5B94E9C6" w14:textId="77777777" w:rsidR="00C36039" w:rsidRPr="008A0D67" w:rsidRDefault="00C36039" w:rsidP="00C36039">
      <w:pPr>
        <w:pStyle w:val="Bibliography1"/>
        <w:spacing w:line="240" w:lineRule="auto"/>
        <w:rPr>
          <w:szCs w:val="24"/>
        </w:rPr>
      </w:pPr>
      <w:r w:rsidRPr="008A0D67">
        <w:rPr>
          <w:szCs w:val="24"/>
          <w:lang w:val="en-GB"/>
        </w:rPr>
        <w:t xml:space="preserve">Hooghe, L. (2005). </w:t>
      </w:r>
      <w:r w:rsidRPr="008A0D67">
        <w:rPr>
          <w:rFonts w:eastAsia="Arial Unicode MS"/>
          <w:szCs w:val="24"/>
        </w:rPr>
        <w:t>Several Roads Lead to International Norms, but Few Via International Socialization: A Case Study of the European Commission</w:t>
      </w:r>
      <w:r w:rsidRPr="008A0D67">
        <w:rPr>
          <w:szCs w:val="24"/>
        </w:rPr>
        <w:t xml:space="preserve">. </w:t>
      </w:r>
      <w:r w:rsidRPr="008A0D67">
        <w:rPr>
          <w:i/>
          <w:szCs w:val="24"/>
        </w:rPr>
        <w:t>International Organization</w:t>
      </w:r>
      <w:r w:rsidRPr="008A0D67">
        <w:rPr>
          <w:szCs w:val="24"/>
        </w:rPr>
        <w:t xml:space="preserve"> 59(4), 861-898.</w:t>
      </w:r>
    </w:p>
    <w:p w14:paraId="7AD93328" w14:textId="77777777" w:rsidR="00C36039" w:rsidRPr="008A0D67" w:rsidRDefault="00C36039" w:rsidP="00C36039">
      <w:pPr>
        <w:pStyle w:val="Bibliography1"/>
        <w:spacing w:line="240" w:lineRule="auto"/>
        <w:rPr>
          <w:szCs w:val="24"/>
          <w:lang w:val="en-GB"/>
        </w:rPr>
      </w:pPr>
      <w:r w:rsidRPr="008A0D67">
        <w:rPr>
          <w:szCs w:val="24"/>
          <w:lang w:val="en-GB"/>
        </w:rPr>
        <w:t xml:space="preserve">Howlett, M. (2009). Policy Analytical Capacity and Evidence-Based Policy-Making. </w:t>
      </w:r>
      <w:r w:rsidRPr="008A0D67">
        <w:rPr>
          <w:i/>
          <w:szCs w:val="24"/>
          <w:lang w:val="en-GB"/>
        </w:rPr>
        <w:t>Canadian Public Administration</w:t>
      </w:r>
      <w:r w:rsidRPr="008A0D67">
        <w:rPr>
          <w:szCs w:val="24"/>
          <w:lang w:val="en-GB"/>
        </w:rPr>
        <w:t xml:space="preserve"> 52(2), 153-175.</w:t>
      </w:r>
    </w:p>
    <w:p w14:paraId="798C8AC0" w14:textId="77777777" w:rsidR="00C36039" w:rsidRPr="008A0D67" w:rsidRDefault="00C36039" w:rsidP="00C36039">
      <w:pPr>
        <w:pStyle w:val="Bibliography1"/>
        <w:spacing w:line="240" w:lineRule="auto"/>
        <w:rPr>
          <w:i/>
          <w:szCs w:val="24"/>
          <w:lang w:val="en-GB"/>
        </w:rPr>
      </w:pPr>
      <w:r w:rsidRPr="008A0D67">
        <w:rPr>
          <w:szCs w:val="24"/>
          <w:lang w:val="en-GB"/>
        </w:rPr>
        <w:t xml:space="preserve">Immergut, E.M. (1998). The Theoretical Core of the New Institutionalism. </w:t>
      </w:r>
      <w:r w:rsidRPr="008A0D67">
        <w:rPr>
          <w:i/>
          <w:szCs w:val="24"/>
          <w:lang w:val="en-GB"/>
        </w:rPr>
        <w:t>Politics and Society</w:t>
      </w:r>
      <w:r w:rsidRPr="008A0D67">
        <w:rPr>
          <w:szCs w:val="24"/>
          <w:lang w:val="en-GB"/>
        </w:rPr>
        <w:t xml:space="preserve"> 26(1), 5-34.</w:t>
      </w:r>
    </w:p>
    <w:p w14:paraId="1FB3E675" w14:textId="77777777" w:rsidR="00C36039" w:rsidRPr="008A0D67" w:rsidRDefault="00C36039" w:rsidP="00C36039">
      <w:pPr>
        <w:pStyle w:val="Bibliography1"/>
        <w:spacing w:line="240" w:lineRule="auto"/>
        <w:rPr>
          <w:szCs w:val="24"/>
          <w:lang w:val="en-GB"/>
        </w:rPr>
      </w:pPr>
      <w:r w:rsidRPr="008A0D67">
        <w:rPr>
          <w:szCs w:val="24"/>
          <w:lang w:val="en-GB"/>
        </w:rPr>
        <w:t xml:space="preserve">Izard, C.E. (2009). Emotion Theory and Research. Highlights, Unanswered Questions, and Emerging Issues. </w:t>
      </w:r>
      <w:r w:rsidRPr="008A0D67">
        <w:rPr>
          <w:i/>
          <w:iCs/>
          <w:szCs w:val="24"/>
          <w:lang w:val="en-GB"/>
        </w:rPr>
        <w:t>Annual Review of Psychology</w:t>
      </w:r>
      <w:r w:rsidRPr="008A0D67">
        <w:rPr>
          <w:szCs w:val="24"/>
          <w:lang w:val="en-GB"/>
        </w:rPr>
        <w:t xml:space="preserve"> 60, 1-25.</w:t>
      </w:r>
    </w:p>
    <w:p w14:paraId="539CCFF9" w14:textId="77777777" w:rsidR="00C36039" w:rsidRPr="008A0D67" w:rsidRDefault="00C36039" w:rsidP="00C36039">
      <w:pPr>
        <w:pStyle w:val="Bibliography1"/>
        <w:spacing w:line="240" w:lineRule="auto"/>
        <w:rPr>
          <w:szCs w:val="24"/>
          <w:lang w:val="en-GB"/>
        </w:rPr>
      </w:pPr>
      <w:r w:rsidRPr="008A0D67">
        <w:rPr>
          <w:szCs w:val="24"/>
          <w:lang w:val="en-GB"/>
        </w:rPr>
        <w:t xml:space="preserve">Jones, M., Shanahan, E. and McBeth, M. (2015) </w:t>
      </w:r>
      <w:r w:rsidRPr="00BC3A73">
        <w:rPr>
          <w:i/>
          <w:szCs w:val="24"/>
          <w:lang w:val="en-GB"/>
        </w:rPr>
        <w:t>The Science of Stories</w:t>
      </w:r>
      <w:r w:rsidRPr="008A0D67">
        <w:rPr>
          <w:szCs w:val="24"/>
          <w:lang w:val="en-GB"/>
        </w:rPr>
        <w:t>, Palgrave.</w:t>
      </w:r>
    </w:p>
    <w:p w14:paraId="41E36982" w14:textId="77777777" w:rsidR="00C36039" w:rsidRPr="00BA6AFF" w:rsidRDefault="00C36039" w:rsidP="00C36039">
      <w:pPr>
        <w:pStyle w:val="Bibliography1"/>
        <w:spacing w:line="240" w:lineRule="auto"/>
        <w:rPr>
          <w:szCs w:val="24"/>
          <w:lang w:val="en-GB"/>
        </w:rPr>
      </w:pPr>
      <w:r w:rsidRPr="008A0D67">
        <w:rPr>
          <w:szCs w:val="24"/>
          <w:lang w:val="en-GB"/>
        </w:rPr>
        <w:t xml:space="preserve">Kahneman, D. (2011). </w:t>
      </w:r>
      <w:r w:rsidRPr="008A0D67">
        <w:rPr>
          <w:i/>
          <w:szCs w:val="24"/>
        </w:rPr>
        <w:t>Thinking, Fast and Slow</w:t>
      </w:r>
      <w:r w:rsidRPr="008A0D67">
        <w:rPr>
          <w:szCs w:val="24"/>
        </w:rPr>
        <w:t>. New York, NY: Penguin.</w:t>
      </w:r>
    </w:p>
    <w:p w14:paraId="4C538933" w14:textId="12EFABCB" w:rsidR="00C36039" w:rsidRPr="00BA6AFF" w:rsidRDefault="00C36039" w:rsidP="00C36039">
      <w:pPr>
        <w:pStyle w:val="Bibliography1"/>
        <w:spacing w:line="240" w:lineRule="auto"/>
        <w:rPr>
          <w:szCs w:val="24"/>
          <w:lang w:val="en-GB"/>
        </w:rPr>
      </w:pPr>
      <w:r w:rsidRPr="00881EEB">
        <w:rPr>
          <w:lang w:val="en-GB"/>
        </w:rPr>
        <w:t>Kamkh</w:t>
      </w:r>
      <w:r w:rsidR="000A606A" w:rsidRPr="00881EEB">
        <w:rPr>
          <w:lang w:val="en-GB"/>
        </w:rPr>
        <w:t>aji, J. and Radaelli, C.M. (</w:t>
      </w:r>
      <w:r w:rsidR="000A606A" w:rsidRPr="00BA6AFF">
        <w:rPr>
          <w:szCs w:val="24"/>
          <w:lang w:val="en-GB"/>
        </w:rPr>
        <w:t>2016</w:t>
      </w:r>
      <w:r w:rsidRPr="00BA6AFF">
        <w:rPr>
          <w:szCs w:val="24"/>
          <w:lang w:val="en-GB"/>
        </w:rPr>
        <w:t>).</w:t>
      </w:r>
      <w:r w:rsidR="000A606A" w:rsidRPr="00BA6AFF">
        <w:rPr>
          <w:szCs w:val="24"/>
          <w:lang w:val="en-GB"/>
        </w:rPr>
        <w:t xml:space="preserve"> Crisis, Learning and Policy Change. </w:t>
      </w:r>
      <w:r w:rsidR="000A606A" w:rsidRPr="00BA6AFF">
        <w:rPr>
          <w:i/>
          <w:szCs w:val="24"/>
          <w:lang w:val="en-GB"/>
        </w:rPr>
        <w:t>Journal of European Public Policy</w:t>
      </w:r>
      <w:r w:rsidR="00FC1831">
        <w:rPr>
          <w:szCs w:val="24"/>
          <w:lang w:val="en-GB"/>
        </w:rPr>
        <w:t xml:space="preserve">. </w:t>
      </w:r>
      <w:r w:rsidR="00BA6AFF" w:rsidRPr="00BA6AFF">
        <w:rPr>
          <w:szCs w:val="24"/>
          <w:lang w:val="en-GB"/>
        </w:rPr>
        <w:t xml:space="preserve">DOI </w:t>
      </w:r>
      <w:r w:rsidR="00BA6AFF" w:rsidRPr="00BA6AFF">
        <w:rPr>
          <w:szCs w:val="24"/>
        </w:rPr>
        <w:t>10.1080/13501763.2016.1164744</w:t>
      </w:r>
    </w:p>
    <w:p w14:paraId="3BC355B9" w14:textId="1CD9808C" w:rsidR="00C36039" w:rsidRPr="008A0D67" w:rsidRDefault="00C36039" w:rsidP="00C36039">
      <w:pPr>
        <w:pStyle w:val="Bibliography1"/>
        <w:spacing w:line="240" w:lineRule="auto"/>
      </w:pPr>
      <w:r w:rsidRPr="00BA6AFF">
        <w:rPr>
          <w:szCs w:val="24"/>
          <w:lang w:val="en-GB"/>
        </w:rPr>
        <w:t>Kashwan</w:t>
      </w:r>
      <w:r w:rsidR="00BF3EA4" w:rsidRPr="00BA6AFF">
        <w:rPr>
          <w:szCs w:val="24"/>
          <w:lang w:val="en-GB"/>
        </w:rPr>
        <w:t>, P.</w:t>
      </w:r>
      <w:r w:rsidRPr="00BA6AFF">
        <w:rPr>
          <w:szCs w:val="24"/>
          <w:lang w:val="en-GB"/>
        </w:rPr>
        <w:t xml:space="preserve"> (2016).</w:t>
      </w:r>
      <w:r w:rsidR="00BF3EA4" w:rsidRPr="00BA6AFF">
        <w:rPr>
          <w:szCs w:val="24"/>
          <w:lang w:val="en-GB"/>
        </w:rPr>
        <w:t xml:space="preserve"> Integrating Power in Institutional Analysis: A Micro-Foundatio</w:t>
      </w:r>
      <w:r w:rsidR="00BF3EA4" w:rsidRPr="008A0D67">
        <w:rPr>
          <w:szCs w:val="24"/>
          <w:lang w:val="en-GB"/>
        </w:rPr>
        <w:t xml:space="preserve">n Perspective. </w:t>
      </w:r>
      <w:r w:rsidR="00BF3EA4" w:rsidRPr="008A0D67">
        <w:rPr>
          <w:i/>
          <w:szCs w:val="24"/>
          <w:lang w:val="en-GB"/>
        </w:rPr>
        <w:t>Journal of Theoretical Politics</w:t>
      </w:r>
      <w:r w:rsidR="0039705B">
        <w:rPr>
          <w:i/>
          <w:szCs w:val="24"/>
          <w:lang w:val="en-GB"/>
        </w:rPr>
        <w:t xml:space="preserve"> </w:t>
      </w:r>
      <w:r w:rsidR="00BF3EA4" w:rsidRPr="008A0D67">
        <w:t>28(1), 5-26.</w:t>
      </w:r>
    </w:p>
    <w:p w14:paraId="4FBC7F23" w14:textId="77777777" w:rsidR="00C36039" w:rsidRPr="008A0D67" w:rsidRDefault="00C36039" w:rsidP="00C36039">
      <w:pPr>
        <w:pStyle w:val="Bibliography1"/>
        <w:spacing w:line="240" w:lineRule="auto"/>
        <w:rPr>
          <w:szCs w:val="24"/>
          <w:lang w:val="en-GB"/>
        </w:rPr>
      </w:pPr>
      <w:r w:rsidRPr="008A0D67">
        <w:rPr>
          <w:szCs w:val="24"/>
        </w:rPr>
        <w:t xml:space="preserve">Kingdon, J.W. (1984). </w:t>
      </w:r>
      <w:r w:rsidRPr="008A0D67">
        <w:rPr>
          <w:i/>
          <w:iCs/>
          <w:szCs w:val="24"/>
        </w:rPr>
        <w:t xml:space="preserve">Agendas, Alternatives and Public Policy, </w:t>
      </w:r>
      <w:r w:rsidRPr="008A0D67">
        <w:rPr>
          <w:iCs/>
          <w:szCs w:val="24"/>
        </w:rPr>
        <w:t>Glenview</w:t>
      </w:r>
      <w:r w:rsidRPr="008A0D67">
        <w:rPr>
          <w:szCs w:val="24"/>
        </w:rPr>
        <w:t>, IL: Harper Collins.</w:t>
      </w:r>
    </w:p>
    <w:p w14:paraId="0D662EE5" w14:textId="77777777" w:rsidR="00C36039" w:rsidRPr="008A0D67" w:rsidRDefault="00C36039" w:rsidP="00C36039">
      <w:pPr>
        <w:pStyle w:val="Bibliography1"/>
        <w:spacing w:line="240" w:lineRule="auto"/>
        <w:rPr>
          <w:szCs w:val="24"/>
          <w:lang w:val="en-GB"/>
        </w:rPr>
      </w:pPr>
      <w:r w:rsidRPr="008A0D67">
        <w:rPr>
          <w:szCs w:val="24"/>
          <w:lang w:val="en-GB"/>
        </w:rPr>
        <w:t xml:space="preserve">Kolb, D.A. (1974). Experiential Learning, </w:t>
      </w:r>
      <w:r w:rsidRPr="008A0D67">
        <w:rPr>
          <w:szCs w:val="24"/>
          <w:shd w:val="clear" w:color="auto" w:fill="FFFFFF"/>
        </w:rPr>
        <w:t>Englewood Cliffs N.J., Prentice Hall.</w:t>
      </w:r>
    </w:p>
    <w:p w14:paraId="2421BE1E" w14:textId="77777777" w:rsidR="00C36039" w:rsidRPr="008A0D67" w:rsidRDefault="00C36039" w:rsidP="00C36039">
      <w:pPr>
        <w:pStyle w:val="Bibliography1"/>
        <w:spacing w:line="240" w:lineRule="auto"/>
        <w:rPr>
          <w:szCs w:val="24"/>
          <w:lang w:val="en-GB"/>
        </w:rPr>
      </w:pPr>
      <w:r w:rsidRPr="008A0D67">
        <w:rPr>
          <w:szCs w:val="24"/>
          <w:lang w:val="en-GB"/>
        </w:rPr>
        <w:lastRenderedPageBreak/>
        <w:t xml:space="preserve">Lave, J. and Wenger, E. (1991) </w:t>
      </w:r>
      <w:r w:rsidRPr="008A0D67">
        <w:rPr>
          <w:rStyle w:val="Emphasis"/>
          <w:szCs w:val="24"/>
          <w:bdr w:val="none" w:sz="0" w:space="0" w:color="auto" w:frame="1"/>
          <w:shd w:val="clear" w:color="auto" w:fill="FFFFFF"/>
        </w:rPr>
        <w:t>Situated Learning: Legitimate Peripheral Participation</w:t>
      </w:r>
      <w:r w:rsidRPr="008A0D67">
        <w:rPr>
          <w:szCs w:val="24"/>
          <w:shd w:val="clear" w:color="auto" w:fill="FFFFFF"/>
        </w:rPr>
        <w:t>, Cambridge, MA: University of Cambridge Press.</w:t>
      </w:r>
    </w:p>
    <w:p w14:paraId="3D873DD8" w14:textId="77777777" w:rsidR="00C36039" w:rsidRPr="008A0D67" w:rsidRDefault="00C36039" w:rsidP="00C36039">
      <w:pPr>
        <w:pStyle w:val="Bibliography1"/>
        <w:spacing w:line="240" w:lineRule="auto"/>
        <w:rPr>
          <w:szCs w:val="24"/>
          <w:lang w:val="en-GB"/>
        </w:rPr>
      </w:pPr>
      <w:r w:rsidRPr="008A0D67">
        <w:rPr>
          <w:szCs w:val="24"/>
          <w:lang w:val="en-GB"/>
        </w:rPr>
        <w:t xml:space="preserve">LeDoux, J.E. (1989). Cognitive-Emotional Interactions in the Brain. </w:t>
      </w:r>
      <w:r w:rsidRPr="008A0D67">
        <w:rPr>
          <w:i/>
          <w:szCs w:val="24"/>
          <w:lang w:val="en-GB"/>
        </w:rPr>
        <w:t>Cognition and Emotion</w:t>
      </w:r>
      <w:r w:rsidRPr="008A0D67">
        <w:rPr>
          <w:szCs w:val="24"/>
          <w:lang w:val="en-GB"/>
        </w:rPr>
        <w:t xml:space="preserve"> 3,267-289.</w:t>
      </w:r>
    </w:p>
    <w:p w14:paraId="085C631C" w14:textId="77777777" w:rsidR="00C36039" w:rsidRPr="008A0D67" w:rsidRDefault="00C36039" w:rsidP="00C36039">
      <w:pPr>
        <w:pStyle w:val="Bibliography1"/>
        <w:spacing w:line="240" w:lineRule="auto"/>
        <w:rPr>
          <w:szCs w:val="24"/>
          <w:lang w:val="en-GB"/>
        </w:rPr>
      </w:pPr>
      <w:r w:rsidRPr="008A0D67">
        <w:rPr>
          <w:szCs w:val="24"/>
          <w:lang w:val="en-GB"/>
        </w:rPr>
        <w:t>Leifeld, P. and Haunss, S. (2012).</w:t>
      </w:r>
      <w:r w:rsidRPr="008A0D67">
        <w:rPr>
          <w:szCs w:val="24"/>
          <w:shd w:val="clear" w:color="auto" w:fill="FFFFFF"/>
        </w:rPr>
        <w:t xml:space="preserve"> Political discourse networks and the conflict over software patents in Europe. </w:t>
      </w:r>
      <w:r w:rsidRPr="008A0D67">
        <w:rPr>
          <w:i/>
          <w:szCs w:val="24"/>
          <w:shd w:val="clear" w:color="auto" w:fill="FFFFFF"/>
        </w:rPr>
        <w:t>European Journal of Political Research</w:t>
      </w:r>
      <w:r w:rsidRPr="008A0D67">
        <w:rPr>
          <w:szCs w:val="24"/>
          <w:shd w:val="clear" w:color="auto" w:fill="FFFFFF"/>
        </w:rPr>
        <w:t>, 51(3), 382–409.</w:t>
      </w:r>
    </w:p>
    <w:p w14:paraId="5B52E244" w14:textId="77777777" w:rsidR="00C36039" w:rsidRPr="008A0D67" w:rsidRDefault="00C36039" w:rsidP="00C36039">
      <w:pPr>
        <w:pStyle w:val="Bibliography1"/>
        <w:spacing w:line="240" w:lineRule="auto"/>
        <w:rPr>
          <w:szCs w:val="24"/>
          <w:lang w:val="en-GB"/>
        </w:rPr>
      </w:pPr>
      <w:r w:rsidRPr="008A0D67">
        <w:rPr>
          <w:szCs w:val="24"/>
          <w:lang w:val="en-GB"/>
        </w:rPr>
        <w:t xml:space="preserve">Lindblom, C. E. (1980). </w:t>
      </w:r>
      <w:r w:rsidRPr="008A0D67">
        <w:rPr>
          <w:i/>
          <w:iCs/>
          <w:szCs w:val="24"/>
          <w:lang w:val="en-GB"/>
        </w:rPr>
        <w:t>The Policy-Making Process</w:t>
      </w:r>
      <w:r w:rsidRPr="008A0D67">
        <w:rPr>
          <w:szCs w:val="24"/>
          <w:lang w:val="en-GB"/>
        </w:rPr>
        <w:t>. Englewood Cliffs, NJ: Prentice-Hall.</w:t>
      </w:r>
    </w:p>
    <w:p w14:paraId="15BF3448" w14:textId="77777777" w:rsidR="00C36039" w:rsidRPr="008A0D67" w:rsidRDefault="00C36039" w:rsidP="00C36039">
      <w:pPr>
        <w:pStyle w:val="Bibliography1"/>
        <w:spacing w:line="240" w:lineRule="auto"/>
        <w:rPr>
          <w:szCs w:val="24"/>
          <w:lang w:val="en-GB"/>
        </w:rPr>
      </w:pPr>
      <w:r w:rsidRPr="008A0D67">
        <w:rPr>
          <w:szCs w:val="24"/>
          <w:lang w:val="en-GB"/>
        </w:rPr>
        <w:t xml:space="preserve">Lindblom, C.E. (1959). </w:t>
      </w:r>
      <w:r w:rsidRPr="008A0D67">
        <w:rPr>
          <w:szCs w:val="24"/>
          <w:shd w:val="clear" w:color="auto" w:fill="FFFFFF"/>
        </w:rPr>
        <w:t>The Science of ‘Muddling Through’.</w:t>
      </w:r>
      <w:r w:rsidRPr="008A0D67">
        <w:rPr>
          <w:rStyle w:val="apple-converted-space"/>
          <w:szCs w:val="24"/>
          <w:shd w:val="clear" w:color="auto" w:fill="FFFFFF"/>
        </w:rPr>
        <w:t xml:space="preserve"> </w:t>
      </w:r>
      <w:r w:rsidRPr="008A0D67">
        <w:rPr>
          <w:i/>
          <w:iCs/>
          <w:szCs w:val="24"/>
          <w:shd w:val="clear" w:color="auto" w:fill="FFFFFF"/>
        </w:rPr>
        <w:t>Public Administration Review</w:t>
      </w:r>
      <w:r w:rsidRPr="008A0D67">
        <w:rPr>
          <w:szCs w:val="24"/>
          <w:shd w:val="clear" w:color="auto" w:fill="FFFFFF"/>
        </w:rPr>
        <w:t>,</w:t>
      </w:r>
      <w:r w:rsidRPr="008A0D67">
        <w:rPr>
          <w:rStyle w:val="apple-converted-space"/>
          <w:szCs w:val="24"/>
          <w:shd w:val="clear" w:color="auto" w:fill="FFFFFF"/>
        </w:rPr>
        <w:t xml:space="preserve"> </w:t>
      </w:r>
      <w:r w:rsidRPr="008A0D67">
        <w:rPr>
          <w:bCs/>
          <w:szCs w:val="24"/>
          <w:shd w:val="clear" w:color="auto" w:fill="FFFFFF"/>
        </w:rPr>
        <w:t>19</w:t>
      </w:r>
      <w:r w:rsidRPr="008A0D67">
        <w:rPr>
          <w:szCs w:val="24"/>
          <w:shd w:val="clear" w:color="auto" w:fill="FFFFFF"/>
        </w:rPr>
        <w:t>, 79-88.</w:t>
      </w:r>
    </w:p>
    <w:p w14:paraId="63455F02" w14:textId="77777777" w:rsidR="00C36039" w:rsidRPr="008A0D67" w:rsidRDefault="00C36039" w:rsidP="00C36039">
      <w:pPr>
        <w:pStyle w:val="Bibliography1"/>
        <w:spacing w:line="240" w:lineRule="auto"/>
        <w:rPr>
          <w:szCs w:val="24"/>
          <w:lang w:val="en-GB"/>
        </w:rPr>
      </w:pPr>
      <w:r w:rsidRPr="008A0D67">
        <w:rPr>
          <w:szCs w:val="24"/>
          <w:lang w:val="en-GB"/>
        </w:rPr>
        <w:t xml:space="preserve">Lippmann, W. (1922). </w:t>
      </w:r>
      <w:r w:rsidRPr="008A0D67">
        <w:rPr>
          <w:i/>
          <w:szCs w:val="24"/>
          <w:lang w:val="en-GB"/>
        </w:rPr>
        <w:t>Public Opinion</w:t>
      </w:r>
      <w:r w:rsidRPr="008A0D67">
        <w:rPr>
          <w:szCs w:val="24"/>
          <w:lang w:val="en-GB"/>
        </w:rPr>
        <w:t xml:space="preserve">, </w:t>
      </w:r>
      <w:r w:rsidRPr="008A0D67">
        <w:rPr>
          <w:rFonts w:eastAsia="Arial Unicode MS"/>
          <w:szCs w:val="24"/>
          <w:shd w:val="clear" w:color="auto" w:fill="FFFFFF"/>
        </w:rPr>
        <w:t>New York, NY: Harcourt, Brace and Co.</w:t>
      </w:r>
    </w:p>
    <w:p w14:paraId="775ABA0C" w14:textId="77777777" w:rsidR="00C36039" w:rsidRPr="008A0D67" w:rsidRDefault="00C36039" w:rsidP="00C36039">
      <w:pPr>
        <w:pStyle w:val="Bibliography1"/>
        <w:spacing w:line="240" w:lineRule="auto"/>
        <w:rPr>
          <w:szCs w:val="24"/>
          <w:lang w:val="en-GB"/>
        </w:rPr>
      </w:pPr>
      <w:r w:rsidRPr="008A0D67">
        <w:rPr>
          <w:szCs w:val="24"/>
          <w:lang w:val="en-GB"/>
        </w:rPr>
        <w:t xml:space="preserve">Lodge, M., Steenbergen, M.R. and Brau, S. (1995). The Responsive Voter: Campaign Information and the Dynamics of Candidate Evaluation. </w:t>
      </w:r>
      <w:r w:rsidRPr="008A0D67">
        <w:rPr>
          <w:i/>
          <w:iCs/>
          <w:szCs w:val="24"/>
          <w:lang w:val="en-GB"/>
        </w:rPr>
        <w:t>American Political Science Review</w:t>
      </w:r>
      <w:r w:rsidRPr="008A0D67">
        <w:rPr>
          <w:szCs w:val="24"/>
          <w:lang w:val="en-GB"/>
        </w:rPr>
        <w:t xml:space="preserve"> 89(2), 309-26.</w:t>
      </w:r>
    </w:p>
    <w:p w14:paraId="6EA054E5" w14:textId="77777777" w:rsidR="00C36039" w:rsidRPr="008A0D67" w:rsidRDefault="00C36039" w:rsidP="00C36039">
      <w:pPr>
        <w:pStyle w:val="Bibliography1"/>
        <w:spacing w:line="240" w:lineRule="auto"/>
        <w:rPr>
          <w:szCs w:val="24"/>
          <w:lang w:val="en-GB"/>
        </w:rPr>
      </w:pPr>
      <w:r w:rsidRPr="008A0D67">
        <w:rPr>
          <w:szCs w:val="24"/>
        </w:rPr>
        <w:t xml:space="preserve">Martin, R., Hewstone, M., Martin, P.Y. and Gardikiotis, A. (2008). Persuasion from Majority and Minority Groups. In: Crano, W.D. and Prislin, R. (Eds) </w:t>
      </w:r>
      <w:r w:rsidRPr="008A0D67">
        <w:rPr>
          <w:i/>
          <w:iCs/>
          <w:szCs w:val="24"/>
        </w:rPr>
        <w:t>Attitudes and Attitude Change</w:t>
      </w:r>
      <w:r w:rsidRPr="008A0D67">
        <w:rPr>
          <w:szCs w:val="24"/>
        </w:rPr>
        <w:t>, London: Psychology Press, pp. 361-384.</w:t>
      </w:r>
    </w:p>
    <w:p w14:paraId="17E5BCD2" w14:textId="77777777" w:rsidR="00C36039" w:rsidRPr="008A0D67" w:rsidRDefault="00C36039" w:rsidP="00C36039">
      <w:pPr>
        <w:pStyle w:val="Bibliography1"/>
        <w:spacing w:line="240" w:lineRule="auto"/>
        <w:rPr>
          <w:szCs w:val="24"/>
        </w:rPr>
      </w:pPr>
      <w:r w:rsidRPr="008A0D67">
        <w:rPr>
          <w:szCs w:val="24"/>
        </w:rPr>
        <w:t xml:space="preserve">May, P.J. (1992). Policy Learning and Failure. </w:t>
      </w:r>
      <w:r w:rsidRPr="008A0D67">
        <w:rPr>
          <w:i/>
          <w:szCs w:val="24"/>
        </w:rPr>
        <w:t>Journal of Public Policy</w:t>
      </w:r>
      <w:r w:rsidRPr="008A0D67">
        <w:rPr>
          <w:szCs w:val="24"/>
        </w:rPr>
        <w:t xml:space="preserve"> 12(4), 331-54.</w:t>
      </w:r>
    </w:p>
    <w:p w14:paraId="63897FDB" w14:textId="77777777" w:rsidR="00C36039" w:rsidRPr="008A0D67" w:rsidRDefault="00C36039" w:rsidP="00C36039">
      <w:pPr>
        <w:pStyle w:val="Bibliography1"/>
        <w:spacing w:line="240" w:lineRule="auto"/>
        <w:rPr>
          <w:szCs w:val="24"/>
        </w:rPr>
      </w:pPr>
      <w:r w:rsidRPr="008A0D67">
        <w:rPr>
          <w:szCs w:val="24"/>
        </w:rPr>
        <w:t xml:space="preserve">McClurg, S. and Young, J. (2011). Editors Introduction: Relational Political Science. </w:t>
      </w:r>
      <w:r w:rsidRPr="008A0D67">
        <w:rPr>
          <w:i/>
          <w:szCs w:val="24"/>
        </w:rPr>
        <w:t>PS Political Science and Politics</w:t>
      </w:r>
      <w:r w:rsidRPr="008A0D67">
        <w:rPr>
          <w:szCs w:val="24"/>
        </w:rPr>
        <w:t xml:space="preserve"> 44(1), 39-43.</w:t>
      </w:r>
    </w:p>
    <w:p w14:paraId="2CFADDE9" w14:textId="77777777" w:rsidR="00C36039" w:rsidRPr="008A0D67" w:rsidRDefault="00C36039" w:rsidP="00C36039">
      <w:pPr>
        <w:pStyle w:val="Bibliography1"/>
        <w:spacing w:line="240" w:lineRule="auto"/>
        <w:rPr>
          <w:szCs w:val="24"/>
        </w:rPr>
      </w:pPr>
      <w:r w:rsidRPr="008A0D67">
        <w:rPr>
          <w:szCs w:val="24"/>
        </w:rPr>
        <w:t xml:space="preserve">Meyer-Sahling, J.H., Lowe, W. and van Stolk, C. (2016). Silent Professionalization: EU Integration and the Professional Socialization of Public Officials in Central and Eastern Europe. </w:t>
      </w:r>
      <w:r w:rsidRPr="008A0D67">
        <w:rPr>
          <w:i/>
          <w:szCs w:val="24"/>
        </w:rPr>
        <w:t xml:space="preserve">European Union Politics, </w:t>
      </w:r>
      <w:r w:rsidRPr="008A0D67">
        <w:rPr>
          <w:szCs w:val="24"/>
        </w:rPr>
        <w:t>17(1), 162-183.</w:t>
      </w:r>
    </w:p>
    <w:p w14:paraId="2F1FF5F5" w14:textId="05EE2410" w:rsidR="00C36039" w:rsidRPr="008A0D67" w:rsidRDefault="00C36039" w:rsidP="00C36039">
      <w:pPr>
        <w:pStyle w:val="Bibliography1"/>
        <w:spacing w:line="240" w:lineRule="auto"/>
        <w:rPr>
          <w:szCs w:val="24"/>
        </w:rPr>
      </w:pPr>
      <w:r w:rsidRPr="008A0D67">
        <w:rPr>
          <w:szCs w:val="24"/>
        </w:rPr>
        <w:t xml:space="preserve">Mills, M., Bunt, G.G. van de and Bruijn, J. de (2006). Comparative Research: Persistent Problems and Promising Solutions. </w:t>
      </w:r>
      <w:r w:rsidRPr="008A0D67">
        <w:rPr>
          <w:i/>
          <w:szCs w:val="24"/>
        </w:rPr>
        <w:t xml:space="preserve">International Sociology </w:t>
      </w:r>
      <w:r w:rsidRPr="008A0D67">
        <w:rPr>
          <w:szCs w:val="24"/>
        </w:rPr>
        <w:t>21(5), 619-631.</w:t>
      </w:r>
    </w:p>
    <w:p w14:paraId="782B8853" w14:textId="5539F609" w:rsidR="00C36039" w:rsidRPr="00881EEB" w:rsidRDefault="00311235" w:rsidP="00C36039">
      <w:pPr>
        <w:pStyle w:val="Bibliography1"/>
        <w:spacing w:line="240" w:lineRule="auto"/>
        <w:rPr>
          <w:lang w:val="en-GB"/>
        </w:rPr>
      </w:pPr>
      <w:r w:rsidRPr="00881EEB">
        <w:rPr>
          <w:lang w:val="en-GB"/>
        </w:rPr>
        <w:t>Moscovici</w:t>
      </w:r>
      <w:r>
        <w:rPr>
          <w:szCs w:val="24"/>
          <w:lang w:val="en-GB"/>
        </w:rPr>
        <w:t>, S., Lage, E. and Naffrechoux</w:t>
      </w:r>
      <w:r w:rsidR="00522CD6">
        <w:rPr>
          <w:szCs w:val="24"/>
          <w:lang w:val="en-GB"/>
        </w:rPr>
        <w:t xml:space="preserve">, M. </w:t>
      </w:r>
      <w:r>
        <w:rPr>
          <w:szCs w:val="24"/>
          <w:lang w:val="en-GB"/>
        </w:rPr>
        <w:t xml:space="preserve">(1969). Influence of a </w:t>
      </w:r>
      <w:r w:rsidR="00DD18EA">
        <w:rPr>
          <w:szCs w:val="24"/>
          <w:lang w:val="en-GB"/>
        </w:rPr>
        <w:t>C</w:t>
      </w:r>
      <w:r>
        <w:rPr>
          <w:szCs w:val="24"/>
          <w:lang w:val="en-GB"/>
        </w:rPr>
        <w:t xml:space="preserve">onsistent </w:t>
      </w:r>
      <w:r w:rsidR="00DD18EA">
        <w:rPr>
          <w:szCs w:val="24"/>
          <w:lang w:val="en-GB"/>
        </w:rPr>
        <w:t>M</w:t>
      </w:r>
      <w:r>
        <w:rPr>
          <w:szCs w:val="24"/>
          <w:lang w:val="en-GB"/>
        </w:rPr>
        <w:t xml:space="preserve">inority on the </w:t>
      </w:r>
      <w:r w:rsidR="00DD18EA">
        <w:rPr>
          <w:szCs w:val="24"/>
          <w:lang w:val="en-GB"/>
        </w:rPr>
        <w:t>R</w:t>
      </w:r>
      <w:r>
        <w:rPr>
          <w:szCs w:val="24"/>
          <w:lang w:val="en-GB"/>
        </w:rPr>
        <w:t xml:space="preserve">esponses of a </w:t>
      </w:r>
      <w:r w:rsidR="00DD18EA">
        <w:rPr>
          <w:szCs w:val="24"/>
          <w:lang w:val="en-GB"/>
        </w:rPr>
        <w:t>M</w:t>
      </w:r>
      <w:r>
        <w:rPr>
          <w:szCs w:val="24"/>
          <w:lang w:val="en-GB"/>
        </w:rPr>
        <w:t xml:space="preserve">ajority in a </w:t>
      </w:r>
      <w:r w:rsidR="00DD18EA">
        <w:rPr>
          <w:szCs w:val="24"/>
          <w:lang w:val="en-GB"/>
        </w:rPr>
        <w:t>C</w:t>
      </w:r>
      <w:r>
        <w:rPr>
          <w:szCs w:val="24"/>
          <w:lang w:val="en-GB"/>
        </w:rPr>
        <w:t xml:space="preserve">olor </w:t>
      </w:r>
      <w:r w:rsidR="00DD18EA">
        <w:rPr>
          <w:szCs w:val="24"/>
          <w:lang w:val="en-GB"/>
        </w:rPr>
        <w:t>P</w:t>
      </w:r>
      <w:r>
        <w:rPr>
          <w:szCs w:val="24"/>
          <w:lang w:val="en-GB"/>
        </w:rPr>
        <w:t xml:space="preserve">erception </w:t>
      </w:r>
      <w:r w:rsidR="00DD18EA">
        <w:rPr>
          <w:szCs w:val="24"/>
          <w:lang w:val="en-GB"/>
        </w:rPr>
        <w:t>T</w:t>
      </w:r>
      <w:r>
        <w:rPr>
          <w:szCs w:val="24"/>
          <w:lang w:val="en-GB"/>
        </w:rPr>
        <w:t xml:space="preserve">ask. </w:t>
      </w:r>
      <w:r w:rsidRPr="00311235">
        <w:rPr>
          <w:i/>
          <w:szCs w:val="24"/>
          <w:lang w:val="en-GB"/>
        </w:rPr>
        <w:t>Sociometry</w:t>
      </w:r>
      <w:r>
        <w:rPr>
          <w:szCs w:val="24"/>
          <w:lang w:val="en-GB"/>
        </w:rPr>
        <w:t xml:space="preserve"> 32(4)</w:t>
      </w:r>
      <w:r w:rsidR="00DD18EA">
        <w:rPr>
          <w:szCs w:val="24"/>
          <w:lang w:val="en-GB"/>
        </w:rPr>
        <w:t>,</w:t>
      </w:r>
      <w:r>
        <w:rPr>
          <w:szCs w:val="24"/>
          <w:lang w:val="en-GB"/>
        </w:rPr>
        <w:t xml:space="preserve"> 365-380.</w:t>
      </w:r>
    </w:p>
    <w:p w14:paraId="0D334CC4" w14:textId="7E7B38CE" w:rsidR="00A179C9" w:rsidRDefault="00A179C9" w:rsidP="00C36039">
      <w:pPr>
        <w:pStyle w:val="Bibliography1"/>
        <w:spacing w:line="240" w:lineRule="auto"/>
        <w:rPr>
          <w:szCs w:val="24"/>
          <w:lang w:val="en-GB"/>
        </w:rPr>
      </w:pPr>
      <w:r>
        <w:rPr>
          <w:szCs w:val="24"/>
          <w:lang w:val="en-GB"/>
        </w:rPr>
        <w:t>Moscovici, S. (1980). Towards a Theory of Conversion Behavior. In</w:t>
      </w:r>
      <w:r w:rsidR="00DD18EA">
        <w:rPr>
          <w:szCs w:val="24"/>
          <w:lang w:val="en-GB"/>
        </w:rPr>
        <w:t>:</w:t>
      </w:r>
      <w:r>
        <w:rPr>
          <w:szCs w:val="24"/>
          <w:lang w:val="en-GB"/>
        </w:rPr>
        <w:t xml:space="preserve"> L. Berkowitz (ed.) </w:t>
      </w:r>
      <w:r w:rsidRPr="00A179C9">
        <w:rPr>
          <w:i/>
          <w:szCs w:val="24"/>
          <w:lang w:val="en-GB"/>
        </w:rPr>
        <w:t>Advances in Experimental Social Psychology</w:t>
      </w:r>
      <w:r>
        <w:rPr>
          <w:szCs w:val="24"/>
          <w:lang w:val="en-GB"/>
        </w:rPr>
        <w:t xml:space="preserve">, New York, Academic Press, </w:t>
      </w:r>
      <w:r w:rsidR="00DD18EA">
        <w:rPr>
          <w:szCs w:val="24"/>
          <w:lang w:val="en-GB"/>
        </w:rPr>
        <w:t xml:space="preserve">pp. </w:t>
      </w:r>
      <w:r>
        <w:rPr>
          <w:szCs w:val="24"/>
          <w:lang w:val="en-GB"/>
        </w:rPr>
        <w:t>209-239.</w:t>
      </w:r>
    </w:p>
    <w:p w14:paraId="43682C55" w14:textId="3D2A6187" w:rsidR="00CE323E" w:rsidRPr="00AC6DCC" w:rsidRDefault="00100693" w:rsidP="00D86553">
      <w:pPr>
        <w:pStyle w:val="Bibliography1"/>
        <w:spacing w:line="240" w:lineRule="auto"/>
        <w:jc w:val="both"/>
        <w:rPr>
          <w:szCs w:val="24"/>
          <w:lang w:val="en-GB"/>
        </w:rPr>
      </w:pPr>
      <w:r>
        <w:rPr>
          <w:szCs w:val="24"/>
          <w:lang w:val="en-GB"/>
        </w:rPr>
        <w:t>Moses, J.W. and</w:t>
      </w:r>
      <w:r w:rsidR="00CE323E" w:rsidRPr="00A61593">
        <w:rPr>
          <w:szCs w:val="24"/>
          <w:lang w:val="en-GB"/>
        </w:rPr>
        <w:t xml:space="preserve"> Knutsen</w:t>
      </w:r>
      <w:r>
        <w:rPr>
          <w:szCs w:val="24"/>
          <w:lang w:val="en-GB"/>
        </w:rPr>
        <w:t>, T.L.</w:t>
      </w:r>
      <w:r w:rsidR="00CE323E" w:rsidRPr="00A61593">
        <w:rPr>
          <w:szCs w:val="24"/>
          <w:lang w:val="en-GB"/>
        </w:rPr>
        <w:t xml:space="preserve"> (2012). </w:t>
      </w:r>
      <w:r w:rsidR="00CE323E" w:rsidRPr="00A61593">
        <w:rPr>
          <w:i/>
          <w:szCs w:val="24"/>
          <w:lang w:val="en-GB"/>
        </w:rPr>
        <w:t xml:space="preserve">Ways of Knowing </w:t>
      </w:r>
      <w:r w:rsidR="00CE323E" w:rsidRPr="00A61593">
        <w:rPr>
          <w:szCs w:val="24"/>
          <w:lang w:val="en-GB"/>
        </w:rPr>
        <w:t>New York, NY: Palgrave Macmillan.</w:t>
      </w:r>
    </w:p>
    <w:p w14:paraId="3919CD91" w14:textId="77777777" w:rsidR="00C36039" w:rsidRPr="008A0D67" w:rsidRDefault="00C36039" w:rsidP="00C36039">
      <w:pPr>
        <w:pStyle w:val="Bibliography1"/>
        <w:spacing w:line="240" w:lineRule="auto"/>
        <w:rPr>
          <w:szCs w:val="24"/>
          <w:lang w:val="en-GB"/>
        </w:rPr>
      </w:pPr>
      <w:r w:rsidRPr="008A0D67">
        <w:rPr>
          <w:szCs w:val="24"/>
          <w:lang w:val="en-GB"/>
        </w:rPr>
        <w:t xml:space="preserve">Ostrom, E. (1990). </w:t>
      </w:r>
      <w:r w:rsidRPr="008A0D67">
        <w:rPr>
          <w:i/>
          <w:szCs w:val="24"/>
          <w:lang w:val="en-GB"/>
        </w:rPr>
        <w:t>Governing the Commons,</w:t>
      </w:r>
      <w:r w:rsidRPr="008A0D67">
        <w:rPr>
          <w:szCs w:val="24"/>
          <w:lang w:val="en-GB"/>
        </w:rPr>
        <w:t xml:space="preserve"> Cambridge, MA: Cambridge University Press.</w:t>
      </w:r>
    </w:p>
    <w:p w14:paraId="2DEFFF6E" w14:textId="77777777" w:rsidR="00C36039" w:rsidRPr="008A0D67" w:rsidRDefault="00C36039" w:rsidP="00C36039">
      <w:pPr>
        <w:pStyle w:val="Bibliography1"/>
        <w:spacing w:line="240" w:lineRule="auto"/>
        <w:rPr>
          <w:szCs w:val="24"/>
          <w:lang w:val="en-GB"/>
        </w:rPr>
      </w:pPr>
      <w:r w:rsidRPr="008A0D67">
        <w:rPr>
          <w:szCs w:val="24"/>
          <w:lang w:val="en-GB"/>
        </w:rPr>
        <w:t xml:space="preserve">Putnam, R. (1993). </w:t>
      </w:r>
      <w:r w:rsidRPr="008A0D67">
        <w:rPr>
          <w:i/>
          <w:szCs w:val="24"/>
          <w:lang w:val="en-GB"/>
        </w:rPr>
        <w:t xml:space="preserve">Making Democracy Work, </w:t>
      </w:r>
      <w:r w:rsidRPr="008A0D67">
        <w:rPr>
          <w:szCs w:val="24"/>
          <w:lang w:val="en-GB"/>
        </w:rPr>
        <w:t>Princeton University Press.</w:t>
      </w:r>
    </w:p>
    <w:p w14:paraId="6B26EAF0" w14:textId="77777777" w:rsidR="00C36039" w:rsidRPr="008A0D67" w:rsidRDefault="00C36039" w:rsidP="00C36039">
      <w:pPr>
        <w:pStyle w:val="Bibliography1"/>
        <w:spacing w:line="240" w:lineRule="auto"/>
        <w:rPr>
          <w:szCs w:val="24"/>
          <w:lang w:val="en-GB"/>
        </w:rPr>
      </w:pPr>
      <w:r w:rsidRPr="008A0D67">
        <w:rPr>
          <w:szCs w:val="24"/>
          <w:lang w:val="en-GB"/>
        </w:rPr>
        <w:t xml:space="preserve">Redlawsk, D.P., Civettini, A.J.W. and Emmerson, K.M. (2010). The Affective Tipping Point: Do Motivated Reasoners Ever ‘Get It’? </w:t>
      </w:r>
      <w:r w:rsidRPr="008A0D67">
        <w:rPr>
          <w:i/>
          <w:szCs w:val="24"/>
          <w:lang w:val="en-GB"/>
        </w:rPr>
        <w:t>Political Psychology</w:t>
      </w:r>
      <w:r w:rsidRPr="008A0D67">
        <w:rPr>
          <w:szCs w:val="24"/>
          <w:lang w:val="en-GB"/>
        </w:rPr>
        <w:t xml:space="preserve"> 31(4), 563-593.</w:t>
      </w:r>
    </w:p>
    <w:p w14:paraId="4F0FDA12" w14:textId="77777777" w:rsidR="00C36039" w:rsidRPr="008A0D67" w:rsidRDefault="00C36039" w:rsidP="00C36039">
      <w:pPr>
        <w:pStyle w:val="Bibliography1"/>
        <w:spacing w:line="240" w:lineRule="auto"/>
        <w:rPr>
          <w:szCs w:val="24"/>
          <w:lang w:val="en-GB"/>
        </w:rPr>
      </w:pPr>
      <w:r w:rsidRPr="008A0D67">
        <w:rPr>
          <w:szCs w:val="24"/>
          <w:lang w:val="en-GB"/>
        </w:rPr>
        <w:lastRenderedPageBreak/>
        <w:t xml:space="preserve">Rietig, K. (2014). </w:t>
      </w:r>
      <w:r w:rsidRPr="008A0D67">
        <w:rPr>
          <w:i/>
          <w:szCs w:val="24"/>
          <w:lang w:val="en-GB"/>
        </w:rPr>
        <w:t>Learning in Governance: The Role of Policy Entrepreneurs in European Climate Policy Integration</w:t>
      </w:r>
      <w:r w:rsidRPr="008A0D67">
        <w:rPr>
          <w:szCs w:val="24"/>
          <w:lang w:val="en-GB"/>
        </w:rPr>
        <w:t>. Department of Geography and Environment, LSE, London, PhD dissertation.</w:t>
      </w:r>
    </w:p>
    <w:p w14:paraId="2E2DB922" w14:textId="77777777" w:rsidR="00C36039" w:rsidRPr="008A0D67" w:rsidRDefault="00C36039" w:rsidP="00C36039">
      <w:pPr>
        <w:pStyle w:val="Bibliography1"/>
        <w:spacing w:line="240" w:lineRule="auto"/>
        <w:rPr>
          <w:szCs w:val="24"/>
          <w:lang w:val="en-GB"/>
        </w:rPr>
      </w:pPr>
      <w:r w:rsidRPr="008A0D67">
        <w:rPr>
          <w:szCs w:val="24"/>
          <w:lang w:val="en-GB"/>
        </w:rPr>
        <w:t xml:space="preserve">Rothstein, B. (2000). Trust, Social Dilemmas and Collective Memories. </w:t>
      </w:r>
      <w:r w:rsidRPr="008A0D67">
        <w:rPr>
          <w:i/>
          <w:szCs w:val="24"/>
          <w:lang w:val="en-GB"/>
        </w:rPr>
        <w:t>Journal of Theoretical Politics</w:t>
      </w:r>
      <w:r w:rsidRPr="008A0D67">
        <w:rPr>
          <w:szCs w:val="24"/>
          <w:lang w:val="en-GB"/>
        </w:rPr>
        <w:t xml:space="preserve"> 12(4), 477-501.</w:t>
      </w:r>
    </w:p>
    <w:p w14:paraId="2B2429F7" w14:textId="77777777" w:rsidR="00C36039" w:rsidRPr="008A0D67" w:rsidRDefault="00C36039" w:rsidP="00C36039">
      <w:pPr>
        <w:pStyle w:val="Bibliography1"/>
        <w:spacing w:line="240" w:lineRule="auto"/>
        <w:rPr>
          <w:szCs w:val="24"/>
          <w:lang w:val="en-GB"/>
        </w:rPr>
      </w:pPr>
      <w:r w:rsidRPr="008A0D67">
        <w:rPr>
          <w:szCs w:val="24"/>
          <w:lang w:val="en-GB"/>
        </w:rPr>
        <w:t xml:space="preserve">Sabatier, P.A. and Weible, C.M. (2014). </w:t>
      </w:r>
      <w:r w:rsidRPr="008A0D67">
        <w:rPr>
          <w:i/>
          <w:szCs w:val="24"/>
          <w:lang w:val="en-GB"/>
        </w:rPr>
        <w:t xml:space="preserve">Theories of the Policy Process. </w:t>
      </w:r>
      <w:r w:rsidRPr="008A0D67">
        <w:rPr>
          <w:szCs w:val="24"/>
          <w:lang w:val="en-GB"/>
        </w:rPr>
        <w:t>Boulder, CO: Westview Press.</w:t>
      </w:r>
    </w:p>
    <w:p w14:paraId="256AAFB1" w14:textId="77777777" w:rsidR="00C36039" w:rsidRPr="008A0D67" w:rsidRDefault="00C36039" w:rsidP="00C36039">
      <w:pPr>
        <w:pStyle w:val="Bibliography1"/>
        <w:spacing w:line="240" w:lineRule="auto"/>
        <w:rPr>
          <w:szCs w:val="24"/>
        </w:rPr>
      </w:pPr>
      <w:r w:rsidRPr="008A0D67">
        <w:rPr>
          <w:szCs w:val="24"/>
        </w:rPr>
        <w:t xml:space="preserve">Sabel, C.F. (2005). A Real Time Revolution in Routines. In: C. Hecksher and Adler, P.S. (Eds.) </w:t>
      </w:r>
      <w:r w:rsidRPr="008A0D67">
        <w:rPr>
          <w:i/>
          <w:szCs w:val="24"/>
        </w:rPr>
        <w:t>The Firm as a Collaborative Community: Reconstructing Trust in the Knowledge Econom</w:t>
      </w:r>
      <w:r w:rsidRPr="008A0D67">
        <w:rPr>
          <w:szCs w:val="24"/>
        </w:rPr>
        <w:t>y, Oxford: Oxford University Press, pp. 106-156.</w:t>
      </w:r>
    </w:p>
    <w:p w14:paraId="08E2CD4E" w14:textId="77777777" w:rsidR="00C36039" w:rsidRPr="008A0D67" w:rsidRDefault="00C36039" w:rsidP="00C36039">
      <w:pPr>
        <w:pStyle w:val="Bibliography1"/>
        <w:spacing w:line="240" w:lineRule="auto"/>
        <w:rPr>
          <w:szCs w:val="24"/>
          <w:lang w:val="en-GB"/>
        </w:rPr>
      </w:pPr>
      <w:r w:rsidRPr="008A0D67">
        <w:rPr>
          <w:szCs w:val="24"/>
        </w:rPr>
        <w:t xml:space="preserve">Schachter, S. and Singer, J. (1962). Cognitive, Social and Physiological Determinants of Emotional State. </w:t>
      </w:r>
      <w:r w:rsidRPr="008A0D67">
        <w:rPr>
          <w:i/>
          <w:szCs w:val="24"/>
        </w:rPr>
        <w:t>Psychological Review</w:t>
      </w:r>
      <w:r w:rsidRPr="008A0D67">
        <w:rPr>
          <w:szCs w:val="24"/>
        </w:rPr>
        <w:t>, 69, 379-399.</w:t>
      </w:r>
    </w:p>
    <w:p w14:paraId="7FEADF0E" w14:textId="77777777" w:rsidR="00C36039" w:rsidRPr="008A0D67" w:rsidRDefault="00C36039" w:rsidP="00C36039">
      <w:pPr>
        <w:pStyle w:val="Bibliography1"/>
        <w:spacing w:line="240" w:lineRule="auto"/>
        <w:rPr>
          <w:szCs w:val="24"/>
          <w:lang w:val="en-GB"/>
        </w:rPr>
      </w:pPr>
      <w:r w:rsidRPr="008A0D67">
        <w:rPr>
          <w:szCs w:val="24"/>
          <w:lang w:val="en-GB"/>
        </w:rPr>
        <w:t xml:space="preserve">Schneider, A. and Ingram, H. (1988). </w:t>
      </w:r>
      <w:r w:rsidRPr="008A0D67">
        <w:rPr>
          <w:szCs w:val="24"/>
        </w:rPr>
        <w:t xml:space="preserve">Systematically Pinching Ideas: A Comparative Approach to Policy Design. </w:t>
      </w:r>
      <w:r w:rsidRPr="008A0D67">
        <w:rPr>
          <w:i/>
          <w:szCs w:val="24"/>
        </w:rPr>
        <w:t>Journal of Public Policy</w:t>
      </w:r>
      <w:r w:rsidRPr="008A0D67">
        <w:rPr>
          <w:szCs w:val="24"/>
        </w:rPr>
        <w:t>, 8(1), 61-80.</w:t>
      </w:r>
    </w:p>
    <w:p w14:paraId="707C255A" w14:textId="77777777" w:rsidR="00C36039" w:rsidRPr="008A0D67" w:rsidRDefault="00C36039" w:rsidP="00C36039">
      <w:pPr>
        <w:pStyle w:val="Bibliography1"/>
        <w:spacing w:line="240" w:lineRule="auto"/>
        <w:rPr>
          <w:szCs w:val="24"/>
          <w:lang w:val="en-GB"/>
        </w:rPr>
      </w:pPr>
      <w:r w:rsidRPr="008A0D67">
        <w:rPr>
          <w:szCs w:val="24"/>
          <w:lang w:val="en-GB"/>
        </w:rPr>
        <w:t xml:space="preserve">Schneider, A. and Ingram, H. (1993), Social Construction of Target Populations. </w:t>
      </w:r>
      <w:r w:rsidRPr="008A0D67">
        <w:rPr>
          <w:i/>
          <w:szCs w:val="24"/>
          <w:lang w:val="en-GB"/>
        </w:rPr>
        <w:t xml:space="preserve">American Political Science Review, </w:t>
      </w:r>
      <w:r w:rsidRPr="008A0D67">
        <w:rPr>
          <w:szCs w:val="24"/>
          <w:lang w:val="en-GB"/>
        </w:rPr>
        <w:t>87(2), 334-347.</w:t>
      </w:r>
    </w:p>
    <w:p w14:paraId="65B1E4E7" w14:textId="77777777" w:rsidR="00C36039" w:rsidRPr="008A0D67" w:rsidRDefault="00C36039" w:rsidP="00C36039">
      <w:pPr>
        <w:pStyle w:val="Bibliography1"/>
        <w:spacing w:line="240" w:lineRule="auto"/>
        <w:rPr>
          <w:szCs w:val="24"/>
          <w:lang w:val="en-GB"/>
        </w:rPr>
      </w:pPr>
      <w:r w:rsidRPr="008A0D67">
        <w:rPr>
          <w:szCs w:val="24"/>
          <w:lang w:val="en-GB"/>
        </w:rPr>
        <w:t>Schön, D.A. (1973).</w:t>
      </w:r>
      <w:r w:rsidRPr="008A0D67">
        <w:rPr>
          <w:szCs w:val="24"/>
          <w:shd w:val="clear" w:color="auto" w:fill="FFFFFF"/>
        </w:rPr>
        <w:t xml:space="preserve"> </w:t>
      </w:r>
      <w:r w:rsidRPr="008A0D67">
        <w:rPr>
          <w:i/>
          <w:iCs/>
          <w:szCs w:val="24"/>
          <w:bdr w:val="none" w:sz="0" w:space="0" w:color="auto" w:frame="1"/>
          <w:shd w:val="clear" w:color="auto" w:fill="FFFFFF"/>
        </w:rPr>
        <w:t>Beyond the Stable State. Public and Private Learning in a Changing Society</w:t>
      </w:r>
      <w:r w:rsidRPr="008A0D67">
        <w:rPr>
          <w:szCs w:val="24"/>
          <w:shd w:val="clear" w:color="auto" w:fill="FFFFFF"/>
        </w:rPr>
        <w:t>, Harmondsworth: Penguin.</w:t>
      </w:r>
    </w:p>
    <w:p w14:paraId="74A771D1" w14:textId="77777777" w:rsidR="00C36039" w:rsidRPr="008A0D67" w:rsidRDefault="00C36039" w:rsidP="00C36039">
      <w:pPr>
        <w:pStyle w:val="Bibliography1"/>
        <w:spacing w:line="240" w:lineRule="auto"/>
        <w:rPr>
          <w:szCs w:val="24"/>
          <w:lang w:val="en-GB"/>
        </w:rPr>
      </w:pPr>
      <w:r w:rsidRPr="008A0D67">
        <w:rPr>
          <w:szCs w:val="24"/>
        </w:rPr>
        <w:t xml:space="preserve">Schütz, A. (1964). The Stranger: An Essay in Social Psychology. </w:t>
      </w:r>
      <w:r w:rsidRPr="008A0D67">
        <w:rPr>
          <w:i/>
          <w:iCs/>
          <w:szCs w:val="24"/>
        </w:rPr>
        <w:t xml:space="preserve">American Journal of Sociology </w:t>
      </w:r>
      <w:r w:rsidRPr="008A0D67">
        <w:rPr>
          <w:szCs w:val="24"/>
        </w:rPr>
        <w:t>49(6), 499-507.</w:t>
      </w:r>
    </w:p>
    <w:p w14:paraId="56C66173" w14:textId="0CBE6828" w:rsidR="00C36039" w:rsidRPr="008A0D67" w:rsidRDefault="00C36039" w:rsidP="00C36039">
      <w:pPr>
        <w:pStyle w:val="Bibliography1"/>
        <w:spacing w:line="240" w:lineRule="auto"/>
        <w:rPr>
          <w:szCs w:val="24"/>
          <w:lang w:val="en-GB"/>
        </w:rPr>
      </w:pPr>
      <w:r w:rsidRPr="008A0D67">
        <w:rPr>
          <w:szCs w:val="24"/>
          <w:lang w:val="en-GB"/>
        </w:rPr>
        <w:t xml:space="preserve">Scott, J. (2000). </w:t>
      </w:r>
      <w:r w:rsidRPr="008A0D67">
        <w:rPr>
          <w:i/>
          <w:szCs w:val="24"/>
          <w:lang w:val="en-GB"/>
        </w:rPr>
        <w:t>Social Network Analysis.</w:t>
      </w:r>
      <w:r w:rsidR="00BE2973">
        <w:t>2</w:t>
      </w:r>
      <w:r w:rsidR="00BE2973" w:rsidRPr="00BE2973">
        <w:rPr>
          <w:vertAlign w:val="superscript"/>
        </w:rPr>
        <w:t>nd</w:t>
      </w:r>
      <w:r w:rsidR="00BE2973">
        <w:t xml:space="preserve"> edn.</w:t>
      </w:r>
      <w:r w:rsidRPr="008A0D67">
        <w:rPr>
          <w:i/>
          <w:szCs w:val="24"/>
          <w:lang w:val="en-GB"/>
        </w:rPr>
        <w:t xml:space="preserve"> </w:t>
      </w:r>
      <w:r w:rsidRPr="008A0D67">
        <w:rPr>
          <w:szCs w:val="24"/>
          <w:lang w:val="en-GB"/>
        </w:rPr>
        <w:t>London: Sage.</w:t>
      </w:r>
    </w:p>
    <w:p w14:paraId="139562CE" w14:textId="77777777" w:rsidR="00C36039" w:rsidRPr="008A0D67" w:rsidRDefault="00C36039" w:rsidP="00C36039">
      <w:pPr>
        <w:pStyle w:val="Bibliography1"/>
        <w:spacing w:line="240" w:lineRule="auto"/>
        <w:rPr>
          <w:szCs w:val="24"/>
          <w:lang w:val="en-GB"/>
        </w:rPr>
      </w:pPr>
      <w:r w:rsidRPr="008A0D67">
        <w:rPr>
          <w:szCs w:val="24"/>
        </w:rPr>
        <w:t xml:space="preserve">Selg, </w:t>
      </w:r>
      <w:r w:rsidRPr="00100693">
        <w:rPr>
          <w:szCs w:val="24"/>
        </w:rPr>
        <w:t>P.</w:t>
      </w:r>
      <w:r w:rsidRPr="008A0D67">
        <w:rPr>
          <w:szCs w:val="24"/>
        </w:rPr>
        <w:t xml:space="preserve"> (2016). Two Faces of the Relational Turn. </w:t>
      </w:r>
      <w:r w:rsidRPr="008A0D67">
        <w:rPr>
          <w:i/>
          <w:szCs w:val="24"/>
        </w:rPr>
        <w:t>PS Political Science and Politics</w:t>
      </w:r>
      <w:r w:rsidRPr="008A0D67">
        <w:rPr>
          <w:szCs w:val="24"/>
        </w:rPr>
        <w:t>. 49(1), 27-31.</w:t>
      </w:r>
    </w:p>
    <w:p w14:paraId="64FC2D22" w14:textId="77777777" w:rsidR="00C36039" w:rsidRPr="00881EEB" w:rsidRDefault="00C36039" w:rsidP="00C36039">
      <w:pPr>
        <w:pStyle w:val="Bibliography1"/>
        <w:spacing w:line="240" w:lineRule="auto"/>
      </w:pPr>
      <w:r w:rsidRPr="008A0D67">
        <w:rPr>
          <w:szCs w:val="24"/>
          <w:lang w:val="en-GB"/>
        </w:rPr>
        <w:t xml:space="preserve">Simon, (1955). </w:t>
      </w:r>
      <w:r w:rsidRPr="008A0D67">
        <w:rPr>
          <w:szCs w:val="24"/>
        </w:rPr>
        <w:t xml:space="preserve">A Behavioral Model of Rational Choice. </w:t>
      </w:r>
      <w:r w:rsidRPr="008A0D67">
        <w:rPr>
          <w:i/>
          <w:szCs w:val="24"/>
        </w:rPr>
        <w:t>Quarterly Journal of Economics</w:t>
      </w:r>
      <w:r w:rsidRPr="008A0D67">
        <w:rPr>
          <w:szCs w:val="24"/>
        </w:rPr>
        <w:t>, 69, 99–118.</w:t>
      </w:r>
    </w:p>
    <w:p w14:paraId="38232A0A" w14:textId="7002B06C" w:rsidR="00EA6FF2" w:rsidRPr="008A0D67" w:rsidRDefault="00EA6FF2" w:rsidP="00C36039">
      <w:pPr>
        <w:pStyle w:val="Bibliography1"/>
        <w:spacing w:line="240" w:lineRule="auto"/>
        <w:rPr>
          <w:szCs w:val="24"/>
          <w:lang w:val="en-GB"/>
        </w:rPr>
      </w:pPr>
      <w:r>
        <w:rPr>
          <w:szCs w:val="24"/>
        </w:rPr>
        <w:t>Smith, C.M. and Diven</w:t>
      </w:r>
      <w:r w:rsidR="00DD18EA">
        <w:rPr>
          <w:szCs w:val="24"/>
        </w:rPr>
        <w:t>, P.J.</w:t>
      </w:r>
      <w:r>
        <w:rPr>
          <w:szCs w:val="24"/>
        </w:rPr>
        <w:t xml:space="preserve"> (2002). Minority Influence and Political Interest Groups. In</w:t>
      </w:r>
      <w:r w:rsidR="00DD18EA">
        <w:rPr>
          <w:szCs w:val="24"/>
        </w:rPr>
        <w:t>:</w:t>
      </w:r>
      <w:r>
        <w:rPr>
          <w:szCs w:val="24"/>
        </w:rPr>
        <w:t xml:space="preserve"> Ottati</w:t>
      </w:r>
      <w:r w:rsidR="00DD18EA">
        <w:rPr>
          <w:szCs w:val="24"/>
        </w:rPr>
        <w:t xml:space="preserve">, V.C. </w:t>
      </w:r>
      <w:r>
        <w:rPr>
          <w:szCs w:val="24"/>
        </w:rPr>
        <w:t>and Tindale</w:t>
      </w:r>
      <w:r w:rsidR="00DD18EA">
        <w:rPr>
          <w:szCs w:val="24"/>
        </w:rPr>
        <w:t>, R.S.</w:t>
      </w:r>
      <w:r>
        <w:rPr>
          <w:szCs w:val="24"/>
        </w:rPr>
        <w:t xml:space="preserve"> (Eds.) </w:t>
      </w:r>
      <w:r w:rsidRPr="00EA6FF2">
        <w:rPr>
          <w:i/>
          <w:szCs w:val="24"/>
        </w:rPr>
        <w:t>The Social Psychology of Politics: Social Psychological Applications to Social Issues</w:t>
      </w:r>
      <w:r>
        <w:rPr>
          <w:szCs w:val="24"/>
        </w:rPr>
        <w:t>, New York</w:t>
      </w:r>
      <w:r w:rsidR="00DD18EA">
        <w:rPr>
          <w:szCs w:val="24"/>
        </w:rPr>
        <w:t>, NY</w:t>
      </w:r>
      <w:r>
        <w:rPr>
          <w:szCs w:val="24"/>
        </w:rPr>
        <w:t>: Kluwer</w:t>
      </w:r>
      <w:r w:rsidR="00DD18EA">
        <w:rPr>
          <w:szCs w:val="24"/>
        </w:rPr>
        <w:t xml:space="preserve">, pp. </w:t>
      </w:r>
      <w:r>
        <w:rPr>
          <w:szCs w:val="24"/>
        </w:rPr>
        <w:t>175-192.</w:t>
      </w:r>
    </w:p>
    <w:p w14:paraId="395C6950" w14:textId="77777777" w:rsidR="00C36039" w:rsidRPr="008A0D67" w:rsidRDefault="00C36039" w:rsidP="00C36039">
      <w:pPr>
        <w:pStyle w:val="Bibliography1"/>
        <w:spacing w:line="240" w:lineRule="auto"/>
        <w:rPr>
          <w:szCs w:val="24"/>
          <w:lang w:val="en-GB"/>
        </w:rPr>
      </w:pPr>
      <w:r w:rsidRPr="008A0D67">
        <w:rPr>
          <w:szCs w:val="24"/>
          <w:lang w:val="en-GB"/>
        </w:rPr>
        <w:t xml:space="preserve">Stevens, A. (2011). Telling Policy Stories: An Ethnographic Study of the Use of Evidence in Policy-Making in the UK. </w:t>
      </w:r>
      <w:r w:rsidRPr="008A0D67">
        <w:rPr>
          <w:i/>
          <w:szCs w:val="24"/>
          <w:lang w:val="en-GB"/>
        </w:rPr>
        <w:t>Journal of Social Policy</w:t>
      </w:r>
      <w:r w:rsidRPr="008A0D67">
        <w:rPr>
          <w:szCs w:val="24"/>
          <w:lang w:val="en-GB"/>
        </w:rPr>
        <w:t xml:space="preserve"> 40(2), 237-255.</w:t>
      </w:r>
    </w:p>
    <w:p w14:paraId="2940F47C" w14:textId="77777777" w:rsidR="00C36039" w:rsidRPr="008A0D67" w:rsidRDefault="00C36039" w:rsidP="00C36039">
      <w:pPr>
        <w:pStyle w:val="Bibliography1"/>
        <w:spacing w:line="240" w:lineRule="auto"/>
        <w:rPr>
          <w:szCs w:val="24"/>
        </w:rPr>
      </w:pPr>
      <w:r w:rsidRPr="008A0D67">
        <w:rPr>
          <w:szCs w:val="24"/>
        </w:rPr>
        <w:t xml:space="preserve">Stone, J, and Fernandez, N.C. (2008). How Behavior Shapes Attitudes. Cognitive Dissonance Processes. In: Crano, W.D. and Prislin, R. (Eds) </w:t>
      </w:r>
      <w:r w:rsidRPr="008A0D67">
        <w:rPr>
          <w:i/>
          <w:iCs/>
          <w:szCs w:val="24"/>
        </w:rPr>
        <w:t>Attitudes and Attitudes Change</w:t>
      </w:r>
      <w:r w:rsidRPr="008A0D67">
        <w:rPr>
          <w:szCs w:val="24"/>
        </w:rPr>
        <w:t>, Psychology Press: London, pp. 313-334.</w:t>
      </w:r>
    </w:p>
    <w:p w14:paraId="3BF00B65" w14:textId="77777777" w:rsidR="00C36039" w:rsidRPr="008A0D67" w:rsidRDefault="00C36039" w:rsidP="00C36039">
      <w:pPr>
        <w:pStyle w:val="Bibliography1"/>
        <w:spacing w:line="240" w:lineRule="auto"/>
        <w:rPr>
          <w:szCs w:val="24"/>
          <w:shd w:val="clear" w:color="auto" w:fill="FFFFFF"/>
        </w:rPr>
      </w:pPr>
      <w:r w:rsidRPr="008A0D67">
        <w:rPr>
          <w:szCs w:val="24"/>
          <w:shd w:val="clear" w:color="auto" w:fill="FFFFFF"/>
        </w:rPr>
        <w:t xml:space="preserve">Thaler, R.H. and Sunstein, C.R. (2008) </w:t>
      </w:r>
      <w:r w:rsidRPr="008A0D67">
        <w:rPr>
          <w:i/>
          <w:szCs w:val="24"/>
          <w:shd w:val="clear" w:color="auto" w:fill="FFFFFF"/>
        </w:rPr>
        <w:t>Nudge: Improving Decisions about Health, Wealth and Happiness</w:t>
      </w:r>
      <w:r w:rsidRPr="008A0D67">
        <w:rPr>
          <w:szCs w:val="24"/>
          <w:shd w:val="clear" w:color="auto" w:fill="FFFFFF"/>
        </w:rPr>
        <w:t xml:space="preserve"> New Haven, CT: Yale University Press.</w:t>
      </w:r>
    </w:p>
    <w:p w14:paraId="02F1ED13" w14:textId="446965AF" w:rsidR="00C36039" w:rsidRPr="008A0D67" w:rsidRDefault="00C36039" w:rsidP="00C36039">
      <w:pPr>
        <w:pStyle w:val="Bibliography1"/>
        <w:spacing w:line="240" w:lineRule="auto"/>
        <w:rPr>
          <w:szCs w:val="24"/>
          <w:lang w:val="en-GB"/>
        </w:rPr>
      </w:pPr>
      <w:r w:rsidRPr="008A0D67">
        <w:rPr>
          <w:szCs w:val="24"/>
        </w:rPr>
        <w:t>Weick, K. E. (</w:t>
      </w:r>
      <w:r w:rsidRPr="008A0D67">
        <w:rPr>
          <w:szCs w:val="24"/>
          <w:lang w:val="en-GB"/>
        </w:rPr>
        <w:t xml:space="preserve">1979). </w:t>
      </w:r>
      <w:r w:rsidRPr="008A0D67">
        <w:rPr>
          <w:bCs/>
          <w:i/>
          <w:szCs w:val="24"/>
        </w:rPr>
        <w:t xml:space="preserve">The </w:t>
      </w:r>
      <w:r w:rsidR="009E16F4">
        <w:rPr>
          <w:bCs/>
          <w:i/>
          <w:szCs w:val="24"/>
        </w:rPr>
        <w:t>Social Psychology of Organizing.</w:t>
      </w:r>
      <w:r w:rsidRPr="008A0D67">
        <w:rPr>
          <w:bCs/>
          <w:szCs w:val="24"/>
        </w:rPr>
        <w:t xml:space="preserve"> </w:t>
      </w:r>
      <w:r w:rsidRPr="008A0D67">
        <w:rPr>
          <w:iCs/>
          <w:szCs w:val="24"/>
        </w:rPr>
        <w:t>McGraw-Hill.</w:t>
      </w:r>
    </w:p>
    <w:p w14:paraId="16209B0A" w14:textId="77777777" w:rsidR="00C36039" w:rsidRPr="008A0D67" w:rsidRDefault="00C36039" w:rsidP="00C36039">
      <w:pPr>
        <w:pStyle w:val="Bibliography1"/>
        <w:spacing w:line="240" w:lineRule="auto"/>
        <w:rPr>
          <w:szCs w:val="24"/>
          <w:lang w:val="en-GB"/>
        </w:rPr>
      </w:pPr>
      <w:r w:rsidRPr="008A0D67">
        <w:rPr>
          <w:szCs w:val="24"/>
        </w:rPr>
        <w:lastRenderedPageBreak/>
        <w:t xml:space="preserve">Weick, K. E. (1995). </w:t>
      </w:r>
      <w:r w:rsidRPr="008A0D67">
        <w:rPr>
          <w:i/>
          <w:szCs w:val="24"/>
        </w:rPr>
        <w:t>Sensemaking in Organizations</w:t>
      </w:r>
      <w:r w:rsidRPr="008A0D67">
        <w:rPr>
          <w:szCs w:val="24"/>
        </w:rPr>
        <w:t>. Thousand Oaks, CA: Sage.</w:t>
      </w:r>
    </w:p>
    <w:p w14:paraId="7BE89DC2" w14:textId="77777777" w:rsidR="00C36039" w:rsidRDefault="00C36039" w:rsidP="00C36039">
      <w:pPr>
        <w:pStyle w:val="Bibliography1"/>
        <w:spacing w:line="240" w:lineRule="auto"/>
        <w:rPr>
          <w:szCs w:val="24"/>
          <w:lang w:val="en-GB"/>
        </w:rPr>
      </w:pPr>
      <w:r w:rsidRPr="008A0D67">
        <w:rPr>
          <w:szCs w:val="24"/>
          <w:lang w:val="en-GB"/>
        </w:rPr>
        <w:t xml:space="preserve">Wenger, E. (1998). </w:t>
      </w:r>
      <w:r w:rsidRPr="008A0D67">
        <w:rPr>
          <w:i/>
          <w:szCs w:val="24"/>
          <w:lang w:val="en-GB"/>
        </w:rPr>
        <w:t>Communities of Practice: Learning, Meaning and Identity</w:t>
      </w:r>
      <w:r w:rsidRPr="008A0D67">
        <w:rPr>
          <w:szCs w:val="24"/>
          <w:lang w:val="en-GB"/>
        </w:rPr>
        <w:t xml:space="preserve"> Cambridge, MA: Cambridge University Press.</w:t>
      </w:r>
    </w:p>
    <w:p w14:paraId="39166774" w14:textId="6FF61B41" w:rsidR="00017945" w:rsidRPr="008A0D67" w:rsidRDefault="00017945" w:rsidP="00C36039">
      <w:pPr>
        <w:pStyle w:val="Bibliography1"/>
        <w:spacing w:line="240" w:lineRule="auto"/>
        <w:rPr>
          <w:szCs w:val="24"/>
          <w:lang w:val="en-GB"/>
        </w:rPr>
      </w:pPr>
      <w:r>
        <w:rPr>
          <w:szCs w:val="24"/>
          <w:lang w:val="en-GB"/>
        </w:rPr>
        <w:t>Witting, A. and Moyson</w:t>
      </w:r>
      <w:r w:rsidR="00100693">
        <w:rPr>
          <w:szCs w:val="24"/>
          <w:lang w:val="en-GB"/>
        </w:rPr>
        <w:t>, S.</w:t>
      </w:r>
      <w:r>
        <w:rPr>
          <w:szCs w:val="24"/>
          <w:lang w:val="en-GB"/>
        </w:rPr>
        <w:t xml:space="preserve"> (2015). Learning in Post-Recession Framing Contexts. Framing UK Road Policy. In: Schiffino, N., Taskin, L, Donis, C. and J. Raone (Eds.)</w:t>
      </w:r>
      <w:r w:rsidR="00DD18EA">
        <w:rPr>
          <w:szCs w:val="24"/>
          <w:lang w:val="en-GB"/>
        </w:rPr>
        <w:t xml:space="preserve"> </w:t>
      </w:r>
      <w:r w:rsidRPr="00017945">
        <w:rPr>
          <w:i/>
          <w:szCs w:val="24"/>
          <w:lang w:val="en-GB"/>
        </w:rPr>
        <w:t>Organizing After Crisis: The Challenge of Learning</w:t>
      </w:r>
      <w:r>
        <w:rPr>
          <w:szCs w:val="24"/>
          <w:lang w:val="en-GB"/>
        </w:rPr>
        <w:t>, Brussels: Peter Lang, pp.</w:t>
      </w:r>
      <w:r w:rsidR="00DD18EA">
        <w:rPr>
          <w:szCs w:val="24"/>
          <w:lang w:val="en-GB"/>
        </w:rPr>
        <w:t xml:space="preserve"> 107-130.</w:t>
      </w:r>
    </w:p>
    <w:p w14:paraId="25F90521" w14:textId="77777777" w:rsidR="00C36039" w:rsidRPr="008A0D67" w:rsidRDefault="00C36039" w:rsidP="00C36039">
      <w:pPr>
        <w:pStyle w:val="Bibliography1"/>
        <w:spacing w:line="240" w:lineRule="auto"/>
        <w:rPr>
          <w:szCs w:val="24"/>
          <w:lang w:val="en-GB"/>
        </w:rPr>
      </w:pPr>
      <w:r w:rsidRPr="008A0D67">
        <w:rPr>
          <w:szCs w:val="24"/>
        </w:rPr>
        <w:t xml:space="preserve">Yiend, J., Mackintosh, B. and Mathews, A. (2005). Enduring Consequences of Experimentally Induced Biases in Interpretation. </w:t>
      </w:r>
      <w:r w:rsidRPr="008A0D67">
        <w:rPr>
          <w:i/>
          <w:szCs w:val="24"/>
        </w:rPr>
        <w:t>Behaviour Research and Therapy</w:t>
      </w:r>
      <w:r w:rsidRPr="008A0D67">
        <w:rPr>
          <w:szCs w:val="24"/>
        </w:rPr>
        <w:t>, 43, 779–797.</w:t>
      </w:r>
    </w:p>
    <w:sectPr w:rsidR="00C36039" w:rsidRPr="008A0D67" w:rsidSect="0095574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CC07F" w14:textId="77777777" w:rsidR="00C11F91" w:rsidRDefault="00C11F91" w:rsidP="00F85E35">
      <w:r>
        <w:separator/>
      </w:r>
    </w:p>
  </w:endnote>
  <w:endnote w:type="continuationSeparator" w:id="0">
    <w:p w14:paraId="789A24F5" w14:textId="77777777" w:rsidR="00C11F91" w:rsidRDefault="00C11F91" w:rsidP="00F85E35">
      <w:r>
        <w:continuationSeparator/>
      </w:r>
    </w:p>
  </w:endnote>
  <w:endnote w:type="continuationNotice" w:id="1">
    <w:p w14:paraId="335F0AAA" w14:textId="77777777" w:rsidR="00C11F91" w:rsidRDefault="00C1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D701" w14:textId="77777777" w:rsidR="007431E0" w:rsidRDefault="00743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5537981"/>
      <w:docPartObj>
        <w:docPartGallery w:val="Page Numbers (Bottom of Page)"/>
        <w:docPartUnique/>
      </w:docPartObj>
    </w:sdtPr>
    <w:sdtEndPr>
      <w:rPr>
        <w:noProof/>
      </w:rPr>
    </w:sdtEndPr>
    <w:sdtContent>
      <w:p w14:paraId="3FD7C655" w14:textId="65988C4D" w:rsidR="00D044FD" w:rsidRPr="0017129A" w:rsidRDefault="00D044FD">
        <w:pPr>
          <w:pStyle w:val="Footer"/>
          <w:jc w:val="center"/>
          <w:rPr>
            <w:rFonts w:ascii="Times New Roman" w:hAnsi="Times New Roman" w:cs="Times New Roman"/>
          </w:rPr>
        </w:pPr>
        <w:r w:rsidRPr="0017129A">
          <w:rPr>
            <w:rFonts w:ascii="Times New Roman" w:hAnsi="Times New Roman" w:cs="Times New Roman"/>
          </w:rPr>
          <w:fldChar w:fldCharType="begin"/>
        </w:r>
        <w:r w:rsidRPr="0017129A">
          <w:rPr>
            <w:rFonts w:ascii="Times New Roman" w:hAnsi="Times New Roman" w:cs="Times New Roman"/>
          </w:rPr>
          <w:instrText xml:space="preserve"> PAGE   \* MERGEFORMAT </w:instrText>
        </w:r>
        <w:r w:rsidRPr="0017129A">
          <w:rPr>
            <w:rFonts w:ascii="Times New Roman" w:hAnsi="Times New Roman" w:cs="Times New Roman"/>
          </w:rPr>
          <w:fldChar w:fldCharType="separate"/>
        </w:r>
        <w:r w:rsidR="00E64DB8">
          <w:rPr>
            <w:rFonts w:ascii="Times New Roman" w:hAnsi="Times New Roman" w:cs="Times New Roman"/>
            <w:noProof/>
          </w:rPr>
          <w:t>21</w:t>
        </w:r>
        <w:r w:rsidRPr="0017129A">
          <w:rPr>
            <w:rFonts w:ascii="Times New Roman" w:hAnsi="Times New Roman" w:cs="Times New Roman"/>
            <w:noProof/>
          </w:rPr>
          <w:fldChar w:fldCharType="end"/>
        </w:r>
      </w:p>
    </w:sdtContent>
  </w:sdt>
  <w:p w14:paraId="2CB5D737" w14:textId="77777777" w:rsidR="009A3F15" w:rsidRDefault="009A3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222F4" w14:textId="77777777" w:rsidR="007431E0" w:rsidRDefault="0074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724A" w14:textId="77777777" w:rsidR="00C11F91" w:rsidRDefault="00C11F91" w:rsidP="00F85E35">
      <w:r>
        <w:separator/>
      </w:r>
    </w:p>
  </w:footnote>
  <w:footnote w:type="continuationSeparator" w:id="0">
    <w:p w14:paraId="379DC283" w14:textId="77777777" w:rsidR="00C11F91" w:rsidRDefault="00C11F91" w:rsidP="00F85E35">
      <w:r>
        <w:continuationSeparator/>
      </w:r>
    </w:p>
  </w:footnote>
  <w:footnote w:type="continuationNotice" w:id="1">
    <w:p w14:paraId="2AB05E36" w14:textId="77777777" w:rsidR="00C11F91" w:rsidRDefault="00C11F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7D3E" w14:textId="77777777" w:rsidR="007431E0" w:rsidRDefault="00743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844A" w14:textId="77777777" w:rsidR="007431E0" w:rsidRDefault="00743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4336" w14:textId="77777777" w:rsidR="007431E0" w:rsidRDefault="00743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971"/>
    <w:multiLevelType w:val="hybridMultilevel"/>
    <w:tmpl w:val="98E4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84F3A"/>
    <w:multiLevelType w:val="hybridMultilevel"/>
    <w:tmpl w:val="7C949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60B6"/>
    <w:multiLevelType w:val="hybridMultilevel"/>
    <w:tmpl w:val="54D8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F669F"/>
    <w:multiLevelType w:val="hybridMultilevel"/>
    <w:tmpl w:val="DF12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4415"/>
    <w:multiLevelType w:val="hybridMultilevel"/>
    <w:tmpl w:val="C0E23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204FC"/>
    <w:multiLevelType w:val="multilevel"/>
    <w:tmpl w:val="C632E2B0"/>
    <w:lvl w:ilvl="0">
      <w:start w:val="1"/>
      <w:numFmt w:val="bullet"/>
      <w:lvlText w:val=""/>
      <w:lvlJc w:val="left"/>
      <w:pPr>
        <w:ind w:left="720" w:hanging="360"/>
      </w:pPr>
      <w:rPr>
        <w:rFonts w:ascii="Symbol" w:hAnsi="Symbol"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A05A49"/>
    <w:multiLevelType w:val="hybridMultilevel"/>
    <w:tmpl w:val="902A23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A7434"/>
    <w:multiLevelType w:val="multilevel"/>
    <w:tmpl w:val="C632E2B0"/>
    <w:lvl w:ilvl="0">
      <w:start w:val="1"/>
      <w:numFmt w:val="bullet"/>
      <w:lvlText w:val=""/>
      <w:lvlJc w:val="left"/>
      <w:pPr>
        <w:ind w:left="720" w:hanging="360"/>
      </w:pPr>
      <w:rPr>
        <w:rFonts w:ascii="Symbol" w:hAnsi="Symbol"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F60419"/>
    <w:multiLevelType w:val="multilevel"/>
    <w:tmpl w:val="3822EC6C"/>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EF2006"/>
    <w:multiLevelType w:val="hybridMultilevel"/>
    <w:tmpl w:val="5E9840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E1D5B"/>
    <w:multiLevelType w:val="multilevel"/>
    <w:tmpl w:val="C632E2B0"/>
    <w:lvl w:ilvl="0">
      <w:start w:val="1"/>
      <w:numFmt w:val="bullet"/>
      <w:lvlText w:val=""/>
      <w:lvlJc w:val="left"/>
      <w:pPr>
        <w:ind w:left="720" w:hanging="360"/>
      </w:pPr>
      <w:rPr>
        <w:rFonts w:ascii="Symbol" w:hAnsi="Symbol"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0"/>
  </w:num>
  <w:num w:numId="5">
    <w:abstractNumId w:val="10"/>
  </w:num>
  <w:num w:numId="6">
    <w:abstractNumId w:val="2"/>
  </w:num>
  <w:num w:numId="7">
    <w:abstractNumId w:val="5"/>
  </w:num>
  <w:num w:numId="8">
    <w:abstractNumId w:val="7"/>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54"/>
    <w:rsid w:val="000018A0"/>
    <w:rsid w:val="00001AD7"/>
    <w:rsid w:val="000128BA"/>
    <w:rsid w:val="0001515E"/>
    <w:rsid w:val="00017945"/>
    <w:rsid w:val="00020F8C"/>
    <w:rsid w:val="00022A0A"/>
    <w:rsid w:val="00030989"/>
    <w:rsid w:val="0003296B"/>
    <w:rsid w:val="00032BF3"/>
    <w:rsid w:val="000365FD"/>
    <w:rsid w:val="00042612"/>
    <w:rsid w:val="000435DE"/>
    <w:rsid w:val="00046399"/>
    <w:rsid w:val="0005496F"/>
    <w:rsid w:val="00060D2F"/>
    <w:rsid w:val="00066627"/>
    <w:rsid w:val="00071B75"/>
    <w:rsid w:val="0007394D"/>
    <w:rsid w:val="00075468"/>
    <w:rsid w:val="00077D67"/>
    <w:rsid w:val="0008105F"/>
    <w:rsid w:val="000918A1"/>
    <w:rsid w:val="00093DAD"/>
    <w:rsid w:val="000961A1"/>
    <w:rsid w:val="000967C9"/>
    <w:rsid w:val="000A606A"/>
    <w:rsid w:val="000A6407"/>
    <w:rsid w:val="000A786D"/>
    <w:rsid w:val="000B1E4F"/>
    <w:rsid w:val="000B338B"/>
    <w:rsid w:val="000B523E"/>
    <w:rsid w:val="000C63AA"/>
    <w:rsid w:val="000D301C"/>
    <w:rsid w:val="000D5842"/>
    <w:rsid w:val="000D6D1A"/>
    <w:rsid w:val="000E48AF"/>
    <w:rsid w:val="000E60D4"/>
    <w:rsid w:val="000F1BA6"/>
    <w:rsid w:val="000F7358"/>
    <w:rsid w:val="00100693"/>
    <w:rsid w:val="001010F1"/>
    <w:rsid w:val="00113987"/>
    <w:rsid w:val="001140D5"/>
    <w:rsid w:val="001154B8"/>
    <w:rsid w:val="00115E5E"/>
    <w:rsid w:val="00115EDC"/>
    <w:rsid w:val="0011654B"/>
    <w:rsid w:val="001207AC"/>
    <w:rsid w:val="00121495"/>
    <w:rsid w:val="001215F0"/>
    <w:rsid w:val="00123B9C"/>
    <w:rsid w:val="001258E4"/>
    <w:rsid w:val="00134DD2"/>
    <w:rsid w:val="00135293"/>
    <w:rsid w:val="00137644"/>
    <w:rsid w:val="001377D7"/>
    <w:rsid w:val="00137FEA"/>
    <w:rsid w:val="00140F4D"/>
    <w:rsid w:val="00141543"/>
    <w:rsid w:val="00141E16"/>
    <w:rsid w:val="00147A57"/>
    <w:rsid w:val="00154725"/>
    <w:rsid w:val="001566EE"/>
    <w:rsid w:val="00160BB3"/>
    <w:rsid w:val="00164B8F"/>
    <w:rsid w:val="001675E7"/>
    <w:rsid w:val="0017129A"/>
    <w:rsid w:val="0017343C"/>
    <w:rsid w:val="001769CE"/>
    <w:rsid w:val="00183ECC"/>
    <w:rsid w:val="00184425"/>
    <w:rsid w:val="001934CF"/>
    <w:rsid w:val="00193909"/>
    <w:rsid w:val="00195EF3"/>
    <w:rsid w:val="001A078E"/>
    <w:rsid w:val="001A0EC4"/>
    <w:rsid w:val="001A126C"/>
    <w:rsid w:val="001A38F4"/>
    <w:rsid w:val="001A4B5F"/>
    <w:rsid w:val="001A5ED4"/>
    <w:rsid w:val="001A65D5"/>
    <w:rsid w:val="001A729A"/>
    <w:rsid w:val="001B0ECF"/>
    <w:rsid w:val="001B312B"/>
    <w:rsid w:val="001B388E"/>
    <w:rsid w:val="001B6894"/>
    <w:rsid w:val="001B69B0"/>
    <w:rsid w:val="001B69CF"/>
    <w:rsid w:val="001B72E8"/>
    <w:rsid w:val="001C5D32"/>
    <w:rsid w:val="001D084E"/>
    <w:rsid w:val="001D1E60"/>
    <w:rsid w:val="001D41CA"/>
    <w:rsid w:val="001D479E"/>
    <w:rsid w:val="001D606B"/>
    <w:rsid w:val="001D764A"/>
    <w:rsid w:val="001E2D27"/>
    <w:rsid w:val="001E3358"/>
    <w:rsid w:val="001E3CAD"/>
    <w:rsid w:val="001E563C"/>
    <w:rsid w:val="001E5C00"/>
    <w:rsid w:val="001F105F"/>
    <w:rsid w:val="001F11E7"/>
    <w:rsid w:val="001F361C"/>
    <w:rsid w:val="001F53EC"/>
    <w:rsid w:val="001F5A66"/>
    <w:rsid w:val="001F5FC5"/>
    <w:rsid w:val="00200961"/>
    <w:rsid w:val="00200FB9"/>
    <w:rsid w:val="00201DA5"/>
    <w:rsid w:val="0020321D"/>
    <w:rsid w:val="002122BE"/>
    <w:rsid w:val="00215919"/>
    <w:rsid w:val="002163F9"/>
    <w:rsid w:val="00233274"/>
    <w:rsid w:val="002416E7"/>
    <w:rsid w:val="00241B8B"/>
    <w:rsid w:val="00242258"/>
    <w:rsid w:val="00243A6E"/>
    <w:rsid w:val="00251061"/>
    <w:rsid w:val="002529D1"/>
    <w:rsid w:val="00253C97"/>
    <w:rsid w:val="0025640A"/>
    <w:rsid w:val="002573A2"/>
    <w:rsid w:val="002614DC"/>
    <w:rsid w:val="00261EE4"/>
    <w:rsid w:val="0026390B"/>
    <w:rsid w:val="00266B85"/>
    <w:rsid w:val="002703AF"/>
    <w:rsid w:val="00271801"/>
    <w:rsid w:val="002742F8"/>
    <w:rsid w:val="00275055"/>
    <w:rsid w:val="00275BB8"/>
    <w:rsid w:val="0028603C"/>
    <w:rsid w:val="002868DB"/>
    <w:rsid w:val="00291201"/>
    <w:rsid w:val="002923D0"/>
    <w:rsid w:val="00295129"/>
    <w:rsid w:val="00297AD9"/>
    <w:rsid w:val="002A37C8"/>
    <w:rsid w:val="002A4FE5"/>
    <w:rsid w:val="002B0C1E"/>
    <w:rsid w:val="002B4432"/>
    <w:rsid w:val="002B5C30"/>
    <w:rsid w:val="002B6AF7"/>
    <w:rsid w:val="002C2F1F"/>
    <w:rsid w:val="002C661E"/>
    <w:rsid w:val="002D346D"/>
    <w:rsid w:val="002D4D6C"/>
    <w:rsid w:val="002D5858"/>
    <w:rsid w:val="002E1D30"/>
    <w:rsid w:val="002E3F3B"/>
    <w:rsid w:val="002E7EBE"/>
    <w:rsid w:val="002F1698"/>
    <w:rsid w:val="002F38D3"/>
    <w:rsid w:val="003033C3"/>
    <w:rsid w:val="00303654"/>
    <w:rsid w:val="003039B4"/>
    <w:rsid w:val="00304825"/>
    <w:rsid w:val="00307D2E"/>
    <w:rsid w:val="00311235"/>
    <w:rsid w:val="00312F4C"/>
    <w:rsid w:val="0031386C"/>
    <w:rsid w:val="003165ED"/>
    <w:rsid w:val="00324BFA"/>
    <w:rsid w:val="003271B9"/>
    <w:rsid w:val="003313C0"/>
    <w:rsid w:val="00332768"/>
    <w:rsid w:val="003340D2"/>
    <w:rsid w:val="003363DD"/>
    <w:rsid w:val="00337BA4"/>
    <w:rsid w:val="00343987"/>
    <w:rsid w:val="00343FCF"/>
    <w:rsid w:val="003519D8"/>
    <w:rsid w:val="00355608"/>
    <w:rsid w:val="00360F5B"/>
    <w:rsid w:val="00364073"/>
    <w:rsid w:val="0036491A"/>
    <w:rsid w:val="00364A48"/>
    <w:rsid w:val="00364BD8"/>
    <w:rsid w:val="00366821"/>
    <w:rsid w:val="003668B5"/>
    <w:rsid w:val="003703DB"/>
    <w:rsid w:val="00373CB2"/>
    <w:rsid w:val="00385346"/>
    <w:rsid w:val="0039077A"/>
    <w:rsid w:val="003932E9"/>
    <w:rsid w:val="0039705B"/>
    <w:rsid w:val="003A13C8"/>
    <w:rsid w:val="003A1551"/>
    <w:rsid w:val="003A703D"/>
    <w:rsid w:val="003B1097"/>
    <w:rsid w:val="003B15CE"/>
    <w:rsid w:val="003B4F4E"/>
    <w:rsid w:val="003B4FF1"/>
    <w:rsid w:val="003B5DC4"/>
    <w:rsid w:val="003B7CCF"/>
    <w:rsid w:val="003C017B"/>
    <w:rsid w:val="003D01C9"/>
    <w:rsid w:val="003D4914"/>
    <w:rsid w:val="003D6F79"/>
    <w:rsid w:val="003E1BA2"/>
    <w:rsid w:val="003E213B"/>
    <w:rsid w:val="003E3472"/>
    <w:rsid w:val="003E398C"/>
    <w:rsid w:val="003E3B3A"/>
    <w:rsid w:val="003E77D2"/>
    <w:rsid w:val="003E7BBE"/>
    <w:rsid w:val="003F2A8B"/>
    <w:rsid w:val="003F2F2C"/>
    <w:rsid w:val="003F6113"/>
    <w:rsid w:val="003F6409"/>
    <w:rsid w:val="003F7339"/>
    <w:rsid w:val="0040024E"/>
    <w:rsid w:val="00410007"/>
    <w:rsid w:val="00416D6E"/>
    <w:rsid w:val="004175DF"/>
    <w:rsid w:val="004177B2"/>
    <w:rsid w:val="00422396"/>
    <w:rsid w:val="00422924"/>
    <w:rsid w:val="00422D14"/>
    <w:rsid w:val="00423308"/>
    <w:rsid w:val="00423AB7"/>
    <w:rsid w:val="004248DF"/>
    <w:rsid w:val="00453748"/>
    <w:rsid w:val="00453F48"/>
    <w:rsid w:val="004601B5"/>
    <w:rsid w:val="00464937"/>
    <w:rsid w:val="00472189"/>
    <w:rsid w:val="004725DE"/>
    <w:rsid w:val="00472EF8"/>
    <w:rsid w:val="004738A7"/>
    <w:rsid w:val="004779DB"/>
    <w:rsid w:val="0048062B"/>
    <w:rsid w:val="004807BE"/>
    <w:rsid w:val="004810BA"/>
    <w:rsid w:val="004839D2"/>
    <w:rsid w:val="004845C9"/>
    <w:rsid w:val="00486E02"/>
    <w:rsid w:val="004907D4"/>
    <w:rsid w:val="00492CB4"/>
    <w:rsid w:val="00493BBF"/>
    <w:rsid w:val="00494E04"/>
    <w:rsid w:val="00496C33"/>
    <w:rsid w:val="00496F7A"/>
    <w:rsid w:val="004974BE"/>
    <w:rsid w:val="004A0CB6"/>
    <w:rsid w:val="004A0E49"/>
    <w:rsid w:val="004A1358"/>
    <w:rsid w:val="004A1534"/>
    <w:rsid w:val="004A2F09"/>
    <w:rsid w:val="004A3AA9"/>
    <w:rsid w:val="004A67CA"/>
    <w:rsid w:val="004B0735"/>
    <w:rsid w:val="004B70D9"/>
    <w:rsid w:val="004C0020"/>
    <w:rsid w:val="004C29EE"/>
    <w:rsid w:val="004C356D"/>
    <w:rsid w:val="004C4212"/>
    <w:rsid w:val="004C5399"/>
    <w:rsid w:val="004C615D"/>
    <w:rsid w:val="004D0BE9"/>
    <w:rsid w:val="004D5034"/>
    <w:rsid w:val="004D6953"/>
    <w:rsid w:val="004D7351"/>
    <w:rsid w:val="004E0432"/>
    <w:rsid w:val="004E08D1"/>
    <w:rsid w:val="004E40B2"/>
    <w:rsid w:val="004E4C3B"/>
    <w:rsid w:val="004F2403"/>
    <w:rsid w:val="004F3B04"/>
    <w:rsid w:val="0050085D"/>
    <w:rsid w:val="0050134F"/>
    <w:rsid w:val="005057E2"/>
    <w:rsid w:val="00506861"/>
    <w:rsid w:val="0051079F"/>
    <w:rsid w:val="00513CD1"/>
    <w:rsid w:val="00522CD6"/>
    <w:rsid w:val="00530B2E"/>
    <w:rsid w:val="0054050B"/>
    <w:rsid w:val="0054406A"/>
    <w:rsid w:val="00545EFF"/>
    <w:rsid w:val="005478E2"/>
    <w:rsid w:val="00550AC3"/>
    <w:rsid w:val="00551096"/>
    <w:rsid w:val="00554B72"/>
    <w:rsid w:val="005644C7"/>
    <w:rsid w:val="0056697A"/>
    <w:rsid w:val="005677DC"/>
    <w:rsid w:val="005679CD"/>
    <w:rsid w:val="005807C7"/>
    <w:rsid w:val="00582469"/>
    <w:rsid w:val="005910BD"/>
    <w:rsid w:val="0059176A"/>
    <w:rsid w:val="0059228B"/>
    <w:rsid w:val="005943B1"/>
    <w:rsid w:val="00597A14"/>
    <w:rsid w:val="005A0821"/>
    <w:rsid w:val="005A2E8C"/>
    <w:rsid w:val="005A6775"/>
    <w:rsid w:val="005B0C64"/>
    <w:rsid w:val="005B2B19"/>
    <w:rsid w:val="005B34FA"/>
    <w:rsid w:val="005C1DD6"/>
    <w:rsid w:val="005C6237"/>
    <w:rsid w:val="005D10EE"/>
    <w:rsid w:val="005D27BE"/>
    <w:rsid w:val="005D58C2"/>
    <w:rsid w:val="005D69CB"/>
    <w:rsid w:val="005E66FA"/>
    <w:rsid w:val="005F0273"/>
    <w:rsid w:val="005F6A95"/>
    <w:rsid w:val="005F78CB"/>
    <w:rsid w:val="0061031F"/>
    <w:rsid w:val="00612AB3"/>
    <w:rsid w:val="00620207"/>
    <w:rsid w:val="00624512"/>
    <w:rsid w:val="00624A77"/>
    <w:rsid w:val="00633C54"/>
    <w:rsid w:val="00646A3A"/>
    <w:rsid w:val="00656513"/>
    <w:rsid w:val="00662019"/>
    <w:rsid w:val="006649C0"/>
    <w:rsid w:val="00665211"/>
    <w:rsid w:val="0067318A"/>
    <w:rsid w:val="00673823"/>
    <w:rsid w:val="00674FBD"/>
    <w:rsid w:val="00682563"/>
    <w:rsid w:val="006847FF"/>
    <w:rsid w:val="0069049F"/>
    <w:rsid w:val="00691154"/>
    <w:rsid w:val="006913EC"/>
    <w:rsid w:val="00695157"/>
    <w:rsid w:val="00697FE7"/>
    <w:rsid w:val="006A5D21"/>
    <w:rsid w:val="006A5E47"/>
    <w:rsid w:val="006B35FE"/>
    <w:rsid w:val="006B6968"/>
    <w:rsid w:val="006C0F4A"/>
    <w:rsid w:val="006C10E3"/>
    <w:rsid w:val="006C3A78"/>
    <w:rsid w:val="006D03F2"/>
    <w:rsid w:val="006D266C"/>
    <w:rsid w:val="006D74AC"/>
    <w:rsid w:val="006E05DF"/>
    <w:rsid w:val="006E30C7"/>
    <w:rsid w:val="006E5108"/>
    <w:rsid w:val="006E5A82"/>
    <w:rsid w:val="006E686F"/>
    <w:rsid w:val="006E6E4C"/>
    <w:rsid w:val="006E7121"/>
    <w:rsid w:val="006F1B99"/>
    <w:rsid w:val="006F36B5"/>
    <w:rsid w:val="0070033B"/>
    <w:rsid w:val="00705E5F"/>
    <w:rsid w:val="00712C44"/>
    <w:rsid w:val="0071319D"/>
    <w:rsid w:val="007143A1"/>
    <w:rsid w:val="007157F8"/>
    <w:rsid w:val="007167E1"/>
    <w:rsid w:val="00716BA5"/>
    <w:rsid w:val="00716BA7"/>
    <w:rsid w:val="00721996"/>
    <w:rsid w:val="0072323F"/>
    <w:rsid w:val="00723347"/>
    <w:rsid w:val="00732187"/>
    <w:rsid w:val="00732EAC"/>
    <w:rsid w:val="0073358E"/>
    <w:rsid w:val="007343C4"/>
    <w:rsid w:val="00742822"/>
    <w:rsid w:val="007431E0"/>
    <w:rsid w:val="007445E6"/>
    <w:rsid w:val="0074788E"/>
    <w:rsid w:val="0074790F"/>
    <w:rsid w:val="00747D52"/>
    <w:rsid w:val="00753BA7"/>
    <w:rsid w:val="00754C50"/>
    <w:rsid w:val="00756370"/>
    <w:rsid w:val="007565AD"/>
    <w:rsid w:val="00756A0B"/>
    <w:rsid w:val="00756CE6"/>
    <w:rsid w:val="00761F01"/>
    <w:rsid w:val="00761F52"/>
    <w:rsid w:val="00763E23"/>
    <w:rsid w:val="00764383"/>
    <w:rsid w:val="00766A41"/>
    <w:rsid w:val="00770203"/>
    <w:rsid w:val="00774DC9"/>
    <w:rsid w:val="00782779"/>
    <w:rsid w:val="007844A6"/>
    <w:rsid w:val="007853F0"/>
    <w:rsid w:val="00790B91"/>
    <w:rsid w:val="007925B6"/>
    <w:rsid w:val="00792875"/>
    <w:rsid w:val="007A0E28"/>
    <w:rsid w:val="007A2EBE"/>
    <w:rsid w:val="007A542B"/>
    <w:rsid w:val="007B352C"/>
    <w:rsid w:val="007B5213"/>
    <w:rsid w:val="007B5D1E"/>
    <w:rsid w:val="007C04E3"/>
    <w:rsid w:val="007C05E4"/>
    <w:rsid w:val="007C1103"/>
    <w:rsid w:val="007C3138"/>
    <w:rsid w:val="007C566A"/>
    <w:rsid w:val="007D4B26"/>
    <w:rsid w:val="007D6927"/>
    <w:rsid w:val="007E0A16"/>
    <w:rsid w:val="007E0ACC"/>
    <w:rsid w:val="007E2730"/>
    <w:rsid w:val="007E40E0"/>
    <w:rsid w:val="007E6C71"/>
    <w:rsid w:val="007F0D87"/>
    <w:rsid w:val="007F16BD"/>
    <w:rsid w:val="007F5E82"/>
    <w:rsid w:val="007F6CA1"/>
    <w:rsid w:val="007F7370"/>
    <w:rsid w:val="00804C89"/>
    <w:rsid w:val="008112B1"/>
    <w:rsid w:val="008217E4"/>
    <w:rsid w:val="0082343E"/>
    <w:rsid w:val="00824C5B"/>
    <w:rsid w:val="00826A8F"/>
    <w:rsid w:val="00827185"/>
    <w:rsid w:val="0083128A"/>
    <w:rsid w:val="00834201"/>
    <w:rsid w:val="00834DF7"/>
    <w:rsid w:val="00835194"/>
    <w:rsid w:val="00835BEA"/>
    <w:rsid w:val="0083678B"/>
    <w:rsid w:val="00837152"/>
    <w:rsid w:val="00840F42"/>
    <w:rsid w:val="008419B0"/>
    <w:rsid w:val="00842FC9"/>
    <w:rsid w:val="00844B0F"/>
    <w:rsid w:val="00844FF5"/>
    <w:rsid w:val="00845688"/>
    <w:rsid w:val="00847DA1"/>
    <w:rsid w:val="00851DF0"/>
    <w:rsid w:val="00852EA6"/>
    <w:rsid w:val="008537B5"/>
    <w:rsid w:val="00862901"/>
    <w:rsid w:val="0086338F"/>
    <w:rsid w:val="00863A0C"/>
    <w:rsid w:val="00864031"/>
    <w:rsid w:val="0086494E"/>
    <w:rsid w:val="00865020"/>
    <w:rsid w:val="00865E70"/>
    <w:rsid w:val="00865F37"/>
    <w:rsid w:val="00866459"/>
    <w:rsid w:val="00870EB6"/>
    <w:rsid w:val="008726EB"/>
    <w:rsid w:val="00876E0E"/>
    <w:rsid w:val="008809A3"/>
    <w:rsid w:val="00881AF7"/>
    <w:rsid w:val="00881EEB"/>
    <w:rsid w:val="00884692"/>
    <w:rsid w:val="00884C59"/>
    <w:rsid w:val="00887E7C"/>
    <w:rsid w:val="008914C8"/>
    <w:rsid w:val="0089440C"/>
    <w:rsid w:val="008A0D67"/>
    <w:rsid w:val="008A467F"/>
    <w:rsid w:val="008A64A3"/>
    <w:rsid w:val="008B0F7C"/>
    <w:rsid w:val="008B12E5"/>
    <w:rsid w:val="008B1529"/>
    <w:rsid w:val="008D0B89"/>
    <w:rsid w:val="008D12D0"/>
    <w:rsid w:val="008D19E5"/>
    <w:rsid w:val="008D2D2D"/>
    <w:rsid w:val="008D5A0B"/>
    <w:rsid w:val="008D655B"/>
    <w:rsid w:val="008D670F"/>
    <w:rsid w:val="008E215E"/>
    <w:rsid w:val="008E3500"/>
    <w:rsid w:val="008E4963"/>
    <w:rsid w:val="008E59EA"/>
    <w:rsid w:val="00904651"/>
    <w:rsid w:val="0090767C"/>
    <w:rsid w:val="0091009F"/>
    <w:rsid w:val="00911BB0"/>
    <w:rsid w:val="00916A03"/>
    <w:rsid w:val="0091792D"/>
    <w:rsid w:val="00921512"/>
    <w:rsid w:val="00922F97"/>
    <w:rsid w:val="00934FA3"/>
    <w:rsid w:val="009362B6"/>
    <w:rsid w:val="009375A5"/>
    <w:rsid w:val="00944541"/>
    <w:rsid w:val="00944E0F"/>
    <w:rsid w:val="00944E88"/>
    <w:rsid w:val="00945DA5"/>
    <w:rsid w:val="00947EF9"/>
    <w:rsid w:val="00950987"/>
    <w:rsid w:val="00954680"/>
    <w:rsid w:val="0095519C"/>
    <w:rsid w:val="00955744"/>
    <w:rsid w:val="00964B8D"/>
    <w:rsid w:val="00973D0A"/>
    <w:rsid w:val="0098169D"/>
    <w:rsid w:val="009832B8"/>
    <w:rsid w:val="00983FDA"/>
    <w:rsid w:val="00986396"/>
    <w:rsid w:val="00990722"/>
    <w:rsid w:val="00994767"/>
    <w:rsid w:val="00997A9D"/>
    <w:rsid w:val="009A140E"/>
    <w:rsid w:val="009A317C"/>
    <w:rsid w:val="009A3769"/>
    <w:rsid w:val="009A3F15"/>
    <w:rsid w:val="009A4901"/>
    <w:rsid w:val="009B324D"/>
    <w:rsid w:val="009B41A2"/>
    <w:rsid w:val="009C170D"/>
    <w:rsid w:val="009C2144"/>
    <w:rsid w:val="009C21AD"/>
    <w:rsid w:val="009C3C1B"/>
    <w:rsid w:val="009C6013"/>
    <w:rsid w:val="009D0487"/>
    <w:rsid w:val="009D3E77"/>
    <w:rsid w:val="009D4F96"/>
    <w:rsid w:val="009D76E5"/>
    <w:rsid w:val="009E16F4"/>
    <w:rsid w:val="009E31D1"/>
    <w:rsid w:val="009E7D7E"/>
    <w:rsid w:val="009F24F2"/>
    <w:rsid w:val="009F35A9"/>
    <w:rsid w:val="00A01507"/>
    <w:rsid w:val="00A07CA5"/>
    <w:rsid w:val="00A07D25"/>
    <w:rsid w:val="00A1277A"/>
    <w:rsid w:val="00A176DF"/>
    <w:rsid w:val="00A179C9"/>
    <w:rsid w:val="00A2556B"/>
    <w:rsid w:val="00A273FB"/>
    <w:rsid w:val="00A306C8"/>
    <w:rsid w:val="00A31C35"/>
    <w:rsid w:val="00A33A44"/>
    <w:rsid w:val="00A352A0"/>
    <w:rsid w:val="00A358F5"/>
    <w:rsid w:val="00A376EB"/>
    <w:rsid w:val="00A40974"/>
    <w:rsid w:val="00A43FCC"/>
    <w:rsid w:val="00A46C5D"/>
    <w:rsid w:val="00A50710"/>
    <w:rsid w:val="00A52906"/>
    <w:rsid w:val="00A53381"/>
    <w:rsid w:val="00A56DB7"/>
    <w:rsid w:val="00A57373"/>
    <w:rsid w:val="00A57705"/>
    <w:rsid w:val="00A60547"/>
    <w:rsid w:val="00A635B3"/>
    <w:rsid w:val="00A6393C"/>
    <w:rsid w:val="00A640DA"/>
    <w:rsid w:val="00A728B8"/>
    <w:rsid w:val="00A74A81"/>
    <w:rsid w:val="00A75E29"/>
    <w:rsid w:val="00A76A68"/>
    <w:rsid w:val="00A76B6D"/>
    <w:rsid w:val="00A825B1"/>
    <w:rsid w:val="00A85B89"/>
    <w:rsid w:val="00A872CB"/>
    <w:rsid w:val="00A939E3"/>
    <w:rsid w:val="00A953B3"/>
    <w:rsid w:val="00AA35EB"/>
    <w:rsid w:val="00AA4E31"/>
    <w:rsid w:val="00AB009E"/>
    <w:rsid w:val="00AB4BA6"/>
    <w:rsid w:val="00AB7003"/>
    <w:rsid w:val="00AC17BB"/>
    <w:rsid w:val="00AC33CD"/>
    <w:rsid w:val="00AC52B4"/>
    <w:rsid w:val="00AC5BF2"/>
    <w:rsid w:val="00AC5D1B"/>
    <w:rsid w:val="00AC620E"/>
    <w:rsid w:val="00AC6D48"/>
    <w:rsid w:val="00AC6DCC"/>
    <w:rsid w:val="00AD0CCD"/>
    <w:rsid w:val="00AD330D"/>
    <w:rsid w:val="00AE1B73"/>
    <w:rsid w:val="00AE1DEE"/>
    <w:rsid w:val="00AE350F"/>
    <w:rsid w:val="00AE7FF9"/>
    <w:rsid w:val="00AF37C4"/>
    <w:rsid w:val="00AF47A8"/>
    <w:rsid w:val="00AF51FB"/>
    <w:rsid w:val="00AF78AB"/>
    <w:rsid w:val="00AF7934"/>
    <w:rsid w:val="00B11811"/>
    <w:rsid w:val="00B11C82"/>
    <w:rsid w:val="00B11ECE"/>
    <w:rsid w:val="00B12A16"/>
    <w:rsid w:val="00B2185A"/>
    <w:rsid w:val="00B25328"/>
    <w:rsid w:val="00B2583C"/>
    <w:rsid w:val="00B32B3B"/>
    <w:rsid w:val="00B33138"/>
    <w:rsid w:val="00B33FE2"/>
    <w:rsid w:val="00B34BAD"/>
    <w:rsid w:val="00B36250"/>
    <w:rsid w:val="00B40B70"/>
    <w:rsid w:val="00B508C3"/>
    <w:rsid w:val="00B50A29"/>
    <w:rsid w:val="00B51A78"/>
    <w:rsid w:val="00B60C94"/>
    <w:rsid w:val="00B61BD3"/>
    <w:rsid w:val="00B61F48"/>
    <w:rsid w:val="00B62893"/>
    <w:rsid w:val="00B71994"/>
    <w:rsid w:val="00B729AF"/>
    <w:rsid w:val="00B74A78"/>
    <w:rsid w:val="00B90352"/>
    <w:rsid w:val="00B93E6F"/>
    <w:rsid w:val="00B946AD"/>
    <w:rsid w:val="00BA26FD"/>
    <w:rsid w:val="00BA4A99"/>
    <w:rsid w:val="00BA6AFF"/>
    <w:rsid w:val="00BA7139"/>
    <w:rsid w:val="00BA71CA"/>
    <w:rsid w:val="00BB1D66"/>
    <w:rsid w:val="00BB2C92"/>
    <w:rsid w:val="00BB3563"/>
    <w:rsid w:val="00BB408C"/>
    <w:rsid w:val="00BB5550"/>
    <w:rsid w:val="00BC3A73"/>
    <w:rsid w:val="00BD1142"/>
    <w:rsid w:val="00BD28D5"/>
    <w:rsid w:val="00BD6316"/>
    <w:rsid w:val="00BD6E4D"/>
    <w:rsid w:val="00BE2973"/>
    <w:rsid w:val="00BE3BD4"/>
    <w:rsid w:val="00BE485E"/>
    <w:rsid w:val="00BE60A1"/>
    <w:rsid w:val="00BF001C"/>
    <w:rsid w:val="00BF1AA9"/>
    <w:rsid w:val="00BF26B3"/>
    <w:rsid w:val="00BF3EA4"/>
    <w:rsid w:val="00BF492D"/>
    <w:rsid w:val="00BF6E1D"/>
    <w:rsid w:val="00C0641B"/>
    <w:rsid w:val="00C11F91"/>
    <w:rsid w:val="00C1514E"/>
    <w:rsid w:val="00C1522F"/>
    <w:rsid w:val="00C15A09"/>
    <w:rsid w:val="00C15C9B"/>
    <w:rsid w:val="00C15F58"/>
    <w:rsid w:val="00C2100F"/>
    <w:rsid w:val="00C21AB9"/>
    <w:rsid w:val="00C221C7"/>
    <w:rsid w:val="00C22E0D"/>
    <w:rsid w:val="00C30953"/>
    <w:rsid w:val="00C31E6D"/>
    <w:rsid w:val="00C32063"/>
    <w:rsid w:val="00C34854"/>
    <w:rsid w:val="00C36039"/>
    <w:rsid w:val="00C3720B"/>
    <w:rsid w:val="00C411F9"/>
    <w:rsid w:val="00C45824"/>
    <w:rsid w:val="00C51CFB"/>
    <w:rsid w:val="00C53757"/>
    <w:rsid w:val="00C54E4E"/>
    <w:rsid w:val="00C561E6"/>
    <w:rsid w:val="00C579C4"/>
    <w:rsid w:val="00C60FD1"/>
    <w:rsid w:val="00C70DA5"/>
    <w:rsid w:val="00C7103C"/>
    <w:rsid w:val="00C73C9B"/>
    <w:rsid w:val="00C74DBF"/>
    <w:rsid w:val="00C74F76"/>
    <w:rsid w:val="00C771B1"/>
    <w:rsid w:val="00C77AAB"/>
    <w:rsid w:val="00C86E57"/>
    <w:rsid w:val="00C93649"/>
    <w:rsid w:val="00C93BB5"/>
    <w:rsid w:val="00C93E74"/>
    <w:rsid w:val="00C95C73"/>
    <w:rsid w:val="00CA00CF"/>
    <w:rsid w:val="00CA162B"/>
    <w:rsid w:val="00CA2CE1"/>
    <w:rsid w:val="00CA59D2"/>
    <w:rsid w:val="00CA63E0"/>
    <w:rsid w:val="00CA6CF3"/>
    <w:rsid w:val="00CB0881"/>
    <w:rsid w:val="00CB23A6"/>
    <w:rsid w:val="00CB548F"/>
    <w:rsid w:val="00CB56E2"/>
    <w:rsid w:val="00CB59D0"/>
    <w:rsid w:val="00CB6B2F"/>
    <w:rsid w:val="00CB7FC7"/>
    <w:rsid w:val="00CC0734"/>
    <w:rsid w:val="00CD2F7F"/>
    <w:rsid w:val="00CD3ECD"/>
    <w:rsid w:val="00CD79E2"/>
    <w:rsid w:val="00CE0BCD"/>
    <w:rsid w:val="00CE323E"/>
    <w:rsid w:val="00CE5DDB"/>
    <w:rsid w:val="00CF0183"/>
    <w:rsid w:val="00CF2BC2"/>
    <w:rsid w:val="00CF355C"/>
    <w:rsid w:val="00CF7390"/>
    <w:rsid w:val="00D01B2E"/>
    <w:rsid w:val="00D02098"/>
    <w:rsid w:val="00D044FD"/>
    <w:rsid w:val="00D05B8C"/>
    <w:rsid w:val="00D05E38"/>
    <w:rsid w:val="00D114E4"/>
    <w:rsid w:val="00D1258D"/>
    <w:rsid w:val="00D21435"/>
    <w:rsid w:val="00D222E8"/>
    <w:rsid w:val="00D30736"/>
    <w:rsid w:val="00D35AAC"/>
    <w:rsid w:val="00D35DDC"/>
    <w:rsid w:val="00D41621"/>
    <w:rsid w:val="00D46DFB"/>
    <w:rsid w:val="00D53E33"/>
    <w:rsid w:val="00D560EA"/>
    <w:rsid w:val="00D60636"/>
    <w:rsid w:val="00D611CC"/>
    <w:rsid w:val="00D67AD0"/>
    <w:rsid w:val="00D71C24"/>
    <w:rsid w:val="00D77DC5"/>
    <w:rsid w:val="00D86553"/>
    <w:rsid w:val="00D90F97"/>
    <w:rsid w:val="00D93C30"/>
    <w:rsid w:val="00D9406C"/>
    <w:rsid w:val="00D944F4"/>
    <w:rsid w:val="00D96CC9"/>
    <w:rsid w:val="00D973A5"/>
    <w:rsid w:val="00D97631"/>
    <w:rsid w:val="00DA108E"/>
    <w:rsid w:val="00DA60C5"/>
    <w:rsid w:val="00DA7633"/>
    <w:rsid w:val="00DB114F"/>
    <w:rsid w:val="00DB1944"/>
    <w:rsid w:val="00DB2B57"/>
    <w:rsid w:val="00DB3395"/>
    <w:rsid w:val="00DB6BB7"/>
    <w:rsid w:val="00DC2CF8"/>
    <w:rsid w:val="00DC2FB7"/>
    <w:rsid w:val="00DC40EA"/>
    <w:rsid w:val="00DC6786"/>
    <w:rsid w:val="00DD13BD"/>
    <w:rsid w:val="00DD18EA"/>
    <w:rsid w:val="00DD40E8"/>
    <w:rsid w:val="00DE24F6"/>
    <w:rsid w:val="00E04511"/>
    <w:rsid w:val="00E0735A"/>
    <w:rsid w:val="00E075CF"/>
    <w:rsid w:val="00E075EE"/>
    <w:rsid w:val="00E07A1F"/>
    <w:rsid w:val="00E13E50"/>
    <w:rsid w:val="00E13F9B"/>
    <w:rsid w:val="00E1604D"/>
    <w:rsid w:val="00E16FCA"/>
    <w:rsid w:val="00E23305"/>
    <w:rsid w:val="00E319D8"/>
    <w:rsid w:val="00E33208"/>
    <w:rsid w:val="00E42263"/>
    <w:rsid w:val="00E42E31"/>
    <w:rsid w:val="00E51372"/>
    <w:rsid w:val="00E620E5"/>
    <w:rsid w:val="00E622E9"/>
    <w:rsid w:val="00E64DB8"/>
    <w:rsid w:val="00E65382"/>
    <w:rsid w:val="00E70B0E"/>
    <w:rsid w:val="00E76B6F"/>
    <w:rsid w:val="00E81AF8"/>
    <w:rsid w:val="00E835C9"/>
    <w:rsid w:val="00E8741F"/>
    <w:rsid w:val="00E8774B"/>
    <w:rsid w:val="00E90D2E"/>
    <w:rsid w:val="00E91A0E"/>
    <w:rsid w:val="00E92DFA"/>
    <w:rsid w:val="00E9353B"/>
    <w:rsid w:val="00EA1DF4"/>
    <w:rsid w:val="00EA2197"/>
    <w:rsid w:val="00EA65F1"/>
    <w:rsid w:val="00EA68BB"/>
    <w:rsid w:val="00EA6FF2"/>
    <w:rsid w:val="00EB7E1A"/>
    <w:rsid w:val="00EC0FB1"/>
    <w:rsid w:val="00EC6D82"/>
    <w:rsid w:val="00ED2423"/>
    <w:rsid w:val="00ED2573"/>
    <w:rsid w:val="00ED6904"/>
    <w:rsid w:val="00ED6DF3"/>
    <w:rsid w:val="00ED6E69"/>
    <w:rsid w:val="00EE3F3E"/>
    <w:rsid w:val="00EE5E5F"/>
    <w:rsid w:val="00EE7F43"/>
    <w:rsid w:val="00EF49EB"/>
    <w:rsid w:val="00EF7BC7"/>
    <w:rsid w:val="00F015AA"/>
    <w:rsid w:val="00F04ED3"/>
    <w:rsid w:val="00F06804"/>
    <w:rsid w:val="00F06C57"/>
    <w:rsid w:val="00F115BB"/>
    <w:rsid w:val="00F120D6"/>
    <w:rsid w:val="00F16196"/>
    <w:rsid w:val="00F204A6"/>
    <w:rsid w:val="00F2117A"/>
    <w:rsid w:val="00F21AB7"/>
    <w:rsid w:val="00F23D0D"/>
    <w:rsid w:val="00F31FCD"/>
    <w:rsid w:val="00F3295F"/>
    <w:rsid w:val="00F40AFB"/>
    <w:rsid w:val="00F42A5A"/>
    <w:rsid w:val="00F516F1"/>
    <w:rsid w:val="00F51C45"/>
    <w:rsid w:val="00F56059"/>
    <w:rsid w:val="00F610EA"/>
    <w:rsid w:val="00F75A6E"/>
    <w:rsid w:val="00F809E5"/>
    <w:rsid w:val="00F839C6"/>
    <w:rsid w:val="00F8409F"/>
    <w:rsid w:val="00F85E35"/>
    <w:rsid w:val="00F90539"/>
    <w:rsid w:val="00F918EE"/>
    <w:rsid w:val="00F95BBD"/>
    <w:rsid w:val="00FA67AD"/>
    <w:rsid w:val="00FA79CE"/>
    <w:rsid w:val="00FB5BF2"/>
    <w:rsid w:val="00FC11D6"/>
    <w:rsid w:val="00FC1831"/>
    <w:rsid w:val="00FC1A89"/>
    <w:rsid w:val="00FC5231"/>
    <w:rsid w:val="00FC75A4"/>
    <w:rsid w:val="00FD249E"/>
    <w:rsid w:val="00FD2BF6"/>
    <w:rsid w:val="00FD620D"/>
    <w:rsid w:val="00FD759D"/>
    <w:rsid w:val="00FE32DF"/>
    <w:rsid w:val="00FE49AD"/>
    <w:rsid w:val="00FE5DEA"/>
    <w:rsid w:val="00FE7B42"/>
    <w:rsid w:val="00FF076A"/>
    <w:rsid w:val="00FF0CF0"/>
    <w:rsid w:val="00FF2E32"/>
    <w:rsid w:val="00FF382B"/>
    <w:rsid w:val="00FF3E60"/>
    <w:rsid w:val="00FF3F6D"/>
    <w:rsid w:val="00FF4EC4"/>
    <w:rsid w:val="00FF61C0"/>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9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57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1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15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20D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20D6"/>
    <w:pPr>
      <w:ind w:left="720"/>
      <w:contextualSpacing/>
    </w:pPr>
  </w:style>
  <w:style w:type="paragraph" w:styleId="Header">
    <w:name w:val="header"/>
    <w:basedOn w:val="Normal"/>
    <w:link w:val="HeaderChar"/>
    <w:uiPriority w:val="99"/>
    <w:unhideWhenUsed/>
    <w:rsid w:val="00F85E35"/>
    <w:pPr>
      <w:tabs>
        <w:tab w:val="center" w:pos="4513"/>
        <w:tab w:val="right" w:pos="9026"/>
      </w:tabs>
    </w:pPr>
  </w:style>
  <w:style w:type="character" w:customStyle="1" w:styleId="HeaderChar">
    <w:name w:val="Header Char"/>
    <w:basedOn w:val="DefaultParagraphFont"/>
    <w:link w:val="Header"/>
    <w:uiPriority w:val="99"/>
    <w:rsid w:val="00F85E35"/>
  </w:style>
  <w:style w:type="paragraph" w:styleId="Footer">
    <w:name w:val="footer"/>
    <w:basedOn w:val="Normal"/>
    <w:link w:val="FooterChar"/>
    <w:uiPriority w:val="99"/>
    <w:unhideWhenUsed/>
    <w:rsid w:val="00F85E35"/>
    <w:pPr>
      <w:tabs>
        <w:tab w:val="center" w:pos="4513"/>
        <w:tab w:val="right" w:pos="9026"/>
      </w:tabs>
    </w:pPr>
  </w:style>
  <w:style w:type="character" w:customStyle="1" w:styleId="FooterChar">
    <w:name w:val="Footer Char"/>
    <w:basedOn w:val="DefaultParagraphFont"/>
    <w:link w:val="Footer"/>
    <w:uiPriority w:val="99"/>
    <w:rsid w:val="00F85E35"/>
  </w:style>
  <w:style w:type="table" w:styleId="TableGrid">
    <w:name w:val="Table Grid"/>
    <w:basedOn w:val="TableNormal"/>
    <w:uiPriority w:val="59"/>
    <w:rsid w:val="009C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C21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06C57"/>
    <w:rPr>
      <w:rFonts w:ascii="Tahoma" w:hAnsi="Tahoma" w:cs="Tahoma"/>
      <w:sz w:val="16"/>
      <w:szCs w:val="16"/>
    </w:rPr>
  </w:style>
  <w:style w:type="character" w:customStyle="1" w:styleId="BalloonTextChar">
    <w:name w:val="Balloon Text Char"/>
    <w:basedOn w:val="DefaultParagraphFont"/>
    <w:link w:val="BalloonText"/>
    <w:uiPriority w:val="99"/>
    <w:semiHidden/>
    <w:rsid w:val="00F06C57"/>
    <w:rPr>
      <w:rFonts w:ascii="Tahoma" w:hAnsi="Tahoma" w:cs="Tahoma"/>
      <w:sz w:val="16"/>
      <w:szCs w:val="16"/>
    </w:rPr>
  </w:style>
  <w:style w:type="paragraph" w:styleId="NoSpacing">
    <w:name w:val="No Spacing"/>
    <w:uiPriority w:val="1"/>
    <w:qFormat/>
    <w:rsid w:val="00955744"/>
  </w:style>
  <w:style w:type="character" w:customStyle="1" w:styleId="Heading2Char">
    <w:name w:val="Heading 2 Char"/>
    <w:basedOn w:val="DefaultParagraphFont"/>
    <w:link w:val="Heading2"/>
    <w:uiPriority w:val="9"/>
    <w:rsid w:val="00955744"/>
    <w:rPr>
      <w:rFonts w:asciiTheme="majorHAnsi" w:eastAsiaTheme="majorEastAsia" w:hAnsiTheme="majorHAnsi" w:cstheme="majorBidi"/>
      <w:b/>
      <w:bCs/>
      <w:color w:val="4F81BD" w:themeColor="accent1"/>
      <w:sz w:val="26"/>
      <w:szCs w:val="26"/>
    </w:rPr>
  </w:style>
  <w:style w:type="paragraph" w:customStyle="1" w:styleId="Bibliography1">
    <w:name w:val="Bibliography1"/>
    <w:basedOn w:val="Normal"/>
    <w:rsid w:val="00FF61C0"/>
    <w:pPr>
      <w:keepLines/>
      <w:spacing w:after="240" w:line="480" w:lineRule="auto"/>
      <w:ind w:left="709" w:hanging="709"/>
    </w:pPr>
    <w:rPr>
      <w:rFonts w:ascii="Times New Roman" w:eastAsia="Times New Roman" w:hAnsi="Times New Roman" w:cs="Times New Roman"/>
      <w:szCs w:val="20"/>
    </w:rPr>
  </w:style>
  <w:style w:type="paragraph" w:styleId="Subtitle">
    <w:name w:val="Subtitle"/>
    <w:basedOn w:val="Normal"/>
    <w:next w:val="Normal"/>
    <w:link w:val="SubtitleChar"/>
    <w:uiPriority w:val="11"/>
    <w:qFormat/>
    <w:rsid w:val="00FC1A8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1A89"/>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453748"/>
    <w:rPr>
      <w:color w:val="0000FF" w:themeColor="hyperlink"/>
      <w:u w:val="single"/>
    </w:rPr>
  </w:style>
  <w:style w:type="paragraph" w:styleId="FootnoteText">
    <w:name w:val="footnote text"/>
    <w:basedOn w:val="Normal"/>
    <w:link w:val="FootnoteTextChar"/>
    <w:uiPriority w:val="99"/>
    <w:semiHidden/>
    <w:unhideWhenUsed/>
    <w:rsid w:val="0025640A"/>
    <w:rPr>
      <w:sz w:val="20"/>
      <w:szCs w:val="20"/>
    </w:rPr>
  </w:style>
  <w:style w:type="character" w:customStyle="1" w:styleId="FootnoteTextChar">
    <w:name w:val="Footnote Text Char"/>
    <w:basedOn w:val="DefaultParagraphFont"/>
    <w:link w:val="FootnoteText"/>
    <w:uiPriority w:val="99"/>
    <w:semiHidden/>
    <w:rsid w:val="0025640A"/>
    <w:rPr>
      <w:sz w:val="20"/>
      <w:szCs w:val="20"/>
    </w:rPr>
  </w:style>
  <w:style w:type="character" w:styleId="FootnoteReference">
    <w:name w:val="footnote reference"/>
    <w:basedOn w:val="DefaultParagraphFont"/>
    <w:uiPriority w:val="99"/>
    <w:semiHidden/>
    <w:unhideWhenUsed/>
    <w:rsid w:val="0025640A"/>
    <w:rPr>
      <w:vertAlign w:val="superscript"/>
    </w:rPr>
  </w:style>
  <w:style w:type="character" w:styleId="CommentReference">
    <w:name w:val="annotation reference"/>
    <w:basedOn w:val="DefaultParagraphFont"/>
    <w:uiPriority w:val="99"/>
    <w:semiHidden/>
    <w:unhideWhenUsed/>
    <w:rsid w:val="00F06804"/>
    <w:rPr>
      <w:sz w:val="16"/>
      <w:szCs w:val="16"/>
    </w:rPr>
  </w:style>
  <w:style w:type="paragraph" w:styleId="CommentText">
    <w:name w:val="annotation text"/>
    <w:basedOn w:val="Normal"/>
    <w:link w:val="CommentTextChar"/>
    <w:uiPriority w:val="99"/>
    <w:semiHidden/>
    <w:unhideWhenUsed/>
    <w:rsid w:val="00F06804"/>
    <w:rPr>
      <w:sz w:val="20"/>
      <w:szCs w:val="20"/>
    </w:rPr>
  </w:style>
  <w:style w:type="character" w:customStyle="1" w:styleId="CommentTextChar">
    <w:name w:val="Comment Text Char"/>
    <w:basedOn w:val="DefaultParagraphFont"/>
    <w:link w:val="CommentText"/>
    <w:uiPriority w:val="99"/>
    <w:semiHidden/>
    <w:rsid w:val="00F06804"/>
    <w:rPr>
      <w:sz w:val="20"/>
      <w:szCs w:val="20"/>
    </w:rPr>
  </w:style>
  <w:style w:type="paragraph" w:styleId="CommentSubject">
    <w:name w:val="annotation subject"/>
    <w:basedOn w:val="CommentText"/>
    <w:next w:val="CommentText"/>
    <w:link w:val="CommentSubjectChar"/>
    <w:uiPriority w:val="99"/>
    <w:semiHidden/>
    <w:unhideWhenUsed/>
    <w:rsid w:val="00F06804"/>
    <w:rPr>
      <w:b/>
      <w:bCs/>
    </w:rPr>
  </w:style>
  <w:style w:type="character" w:customStyle="1" w:styleId="CommentSubjectChar">
    <w:name w:val="Comment Subject Char"/>
    <w:basedOn w:val="CommentTextChar"/>
    <w:link w:val="CommentSubject"/>
    <w:uiPriority w:val="99"/>
    <w:semiHidden/>
    <w:rsid w:val="00F06804"/>
    <w:rPr>
      <w:b/>
      <w:bCs/>
      <w:sz w:val="20"/>
      <w:szCs w:val="20"/>
    </w:rPr>
  </w:style>
  <w:style w:type="character" w:customStyle="1" w:styleId="apple-converted-space">
    <w:name w:val="apple-converted-space"/>
    <w:basedOn w:val="DefaultParagraphFont"/>
    <w:rsid w:val="00646A3A"/>
  </w:style>
  <w:style w:type="character" w:styleId="Emphasis">
    <w:name w:val="Emphasis"/>
    <w:basedOn w:val="DefaultParagraphFont"/>
    <w:uiPriority w:val="20"/>
    <w:qFormat/>
    <w:rsid w:val="00AB7003"/>
    <w:rPr>
      <w:i/>
      <w:iCs/>
    </w:rPr>
  </w:style>
  <w:style w:type="paragraph" w:customStyle="1" w:styleId="Bibliography2">
    <w:name w:val="Bibliography2"/>
    <w:basedOn w:val="Normal"/>
    <w:rsid w:val="00CE323E"/>
    <w:pPr>
      <w:keepLines/>
      <w:spacing w:after="240"/>
      <w:ind w:left="709" w:hanging="709"/>
    </w:pPr>
    <w:rPr>
      <w:rFonts w:ascii="Times" w:eastAsia="Batang"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73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es.exeter.ac.uk/ceg/research/ALREG/index.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19D5-8020-4752-86F8-19D965BF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8478</Words>
  <Characters>48328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2017-03-29T12:58:00Z</dcterms:created>
  <dcterms:modified xsi:type="dcterms:W3CDTF">2017-03-29T12:59:00Z</dcterms:modified>
</cp:coreProperties>
</file>