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1E2982" w14:textId="77777777" w:rsidR="00671272" w:rsidRPr="00950C16" w:rsidRDefault="00671272">
      <w:pPr>
        <w:rPr>
          <w:b/>
        </w:rPr>
      </w:pPr>
      <w:bookmarkStart w:id="0" w:name="_GoBack"/>
      <w:bookmarkEnd w:id="0"/>
    </w:p>
    <w:p w14:paraId="0E3507B0" w14:textId="5C12FB58" w:rsidR="00843D30" w:rsidRDefault="00843D30" w:rsidP="00671272">
      <w:pPr>
        <w:jc w:val="center"/>
        <w:rPr>
          <w:b/>
        </w:rPr>
      </w:pPr>
    </w:p>
    <w:p w14:paraId="4C2B30A0" w14:textId="0F36CA3F" w:rsidR="00671272" w:rsidRPr="00950C16" w:rsidRDefault="00353AA2" w:rsidP="00671272">
      <w:pPr>
        <w:jc w:val="center"/>
        <w:rPr>
          <w:b/>
        </w:rPr>
      </w:pPr>
      <w:r>
        <w:rPr>
          <w:b/>
        </w:rPr>
        <w:t>The current</w:t>
      </w:r>
      <w:r w:rsidR="005A410F">
        <w:rPr>
          <w:b/>
        </w:rPr>
        <w:t xml:space="preserve"> b</w:t>
      </w:r>
      <w:r w:rsidR="00C92BF1">
        <w:rPr>
          <w:b/>
        </w:rPr>
        <w:t>arriers to corpor</w:t>
      </w:r>
      <w:r w:rsidR="00384D76">
        <w:rPr>
          <w:b/>
        </w:rPr>
        <w:t xml:space="preserve">ate takeovers in Japan: </w:t>
      </w:r>
      <w:r w:rsidR="005A410F">
        <w:rPr>
          <w:b/>
        </w:rPr>
        <w:t>D</w:t>
      </w:r>
      <w:r w:rsidR="00B1312F">
        <w:rPr>
          <w:b/>
        </w:rPr>
        <w:t xml:space="preserve">o </w:t>
      </w:r>
      <w:r w:rsidR="00014EB5">
        <w:rPr>
          <w:b/>
        </w:rPr>
        <w:t xml:space="preserve">the </w:t>
      </w:r>
      <w:r w:rsidR="00B1312F">
        <w:rPr>
          <w:b/>
        </w:rPr>
        <w:t xml:space="preserve">UK Takeover Code and </w:t>
      </w:r>
      <w:r w:rsidR="00014EB5">
        <w:rPr>
          <w:b/>
        </w:rPr>
        <w:t xml:space="preserve">the </w:t>
      </w:r>
      <w:r w:rsidR="00B1312F">
        <w:rPr>
          <w:b/>
        </w:rPr>
        <w:t xml:space="preserve">EU Takeover </w:t>
      </w:r>
      <w:r w:rsidR="00FE0890">
        <w:rPr>
          <w:b/>
        </w:rPr>
        <w:t>Directive offer a</w:t>
      </w:r>
      <w:r w:rsidR="00407942">
        <w:rPr>
          <w:b/>
        </w:rPr>
        <w:t xml:space="preserve"> </w:t>
      </w:r>
      <w:r w:rsidR="005A410F">
        <w:rPr>
          <w:b/>
        </w:rPr>
        <w:t>solution?</w:t>
      </w:r>
      <w:r w:rsidR="00140416" w:rsidRPr="00BA2072">
        <w:footnoteReference w:customMarkFollows="1" w:id="1"/>
        <w:sym w:font="Symbol" w:char="F02A"/>
      </w:r>
      <w:r w:rsidR="00140416">
        <w:t xml:space="preserve"> </w:t>
      </w:r>
      <w:r w:rsidR="00383AFE">
        <w:rPr>
          <w:b/>
        </w:rPr>
        <w:t xml:space="preserve"> </w:t>
      </w:r>
    </w:p>
    <w:p w14:paraId="2FF54025" w14:textId="77777777" w:rsidR="00671272" w:rsidRDefault="00671272">
      <w:pPr>
        <w:rPr>
          <w:b/>
        </w:rPr>
      </w:pPr>
    </w:p>
    <w:p w14:paraId="7ABDF0D6" w14:textId="77777777" w:rsidR="00AE59B8" w:rsidRDefault="00AE59B8">
      <w:pPr>
        <w:rPr>
          <w:b/>
        </w:rPr>
      </w:pPr>
    </w:p>
    <w:p w14:paraId="63CD4158" w14:textId="3AED5A8D" w:rsidR="00AE59B8" w:rsidRDefault="00AE59B8" w:rsidP="00AE59B8">
      <w:pPr>
        <w:jc w:val="center"/>
        <w:rPr>
          <w:b/>
        </w:rPr>
      </w:pPr>
      <w:r>
        <w:rPr>
          <w:b/>
        </w:rPr>
        <w:t>Abstract</w:t>
      </w:r>
    </w:p>
    <w:p w14:paraId="573D60F9" w14:textId="77777777" w:rsidR="00AE59B8" w:rsidRDefault="00AE59B8" w:rsidP="00AE59B8">
      <w:pPr>
        <w:jc w:val="center"/>
        <w:rPr>
          <w:b/>
        </w:rPr>
      </w:pPr>
    </w:p>
    <w:p w14:paraId="3EB79D07" w14:textId="77777777" w:rsidR="00AE59B8" w:rsidRDefault="00AE59B8" w:rsidP="007E63B5">
      <w:pPr>
        <w:jc w:val="both"/>
        <w:rPr>
          <w:b/>
        </w:rPr>
      </w:pPr>
    </w:p>
    <w:p w14:paraId="5450B3B2" w14:textId="3A6A81CD" w:rsidR="00AE59B8" w:rsidRPr="00DA7A7D" w:rsidRDefault="00A9529E" w:rsidP="007E63B5">
      <w:pPr>
        <w:jc w:val="both"/>
      </w:pPr>
      <w:r>
        <w:t xml:space="preserve">There is a common perception that </w:t>
      </w:r>
      <w:r w:rsidR="007E63B5">
        <w:t>the</w:t>
      </w:r>
      <w:r w:rsidR="00AE59B8">
        <w:t xml:space="preserve"> Japanese takeover market </w:t>
      </w:r>
      <w:r>
        <w:t xml:space="preserve">excludes </w:t>
      </w:r>
      <w:r w:rsidR="00AE59B8">
        <w:t>foreign companies</w:t>
      </w:r>
      <w:r w:rsidR="006C3C57">
        <w:t>. However,</w:t>
      </w:r>
      <w:r w:rsidR="00A34344">
        <w:t xml:space="preserve"> </w:t>
      </w:r>
      <w:r>
        <w:t>this</w:t>
      </w:r>
      <w:r w:rsidR="00AE59B8">
        <w:t xml:space="preserve"> is not because </w:t>
      </w:r>
      <w:r>
        <w:t>Japanese</w:t>
      </w:r>
      <w:r w:rsidR="00AE59B8">
        <w:t xml:space="preserve"> takeover law </w:t>
      </w:r>
      <w:r w:rsidR="008F74E2">
        <w:t>has been</w:t>
      </w:r>
      <w:r>
        <w:t xml:space="preserve"> designed to protect</w:t>
      </w:r>
      <w:r w:rsidR="00AE59B8">
        <w:t xml:space="preserve"> target companies. Comparing Japanese takeover law with the UK Takeover Code and the European Takeover Directive</w:t>
      </w:r>
      <w:r w:rsidR="007E63B5">
        <w:t>,</w:t>
      </w:r>
      <w:r w:rsidR="00EF5D69">
        <w:t xml:space="preserve"> considered as competitive models,</w:t>
      </w:r>
      <w:r w:rsidR="007E63B5">
        <w:t xml:space="preserve"> th</w:t>
      </w:r>
      <w:r w:rsidR="00C66ACE">
        <w:t>is</w:t>
      </w:r>
      <w:r w:rsidR="00AE59B8">
        <w:t xml:space="preserve"> thematic </w:t>
      </w:r>
      <w:r w:rsidR="007E63B5">
        <w:t xml:space="preserve">and content-based investigation </w:t>
      </w:r>
      <w:r w:rsidR="00AE59B8">
        <w:t>reveals that Japan does not have</w:t>
      </w:r>
      <w:r w:rsidR="007E63B5">
        <w:t xml:space="preserve"> </w:t>
      </w:r>
      <w:r w:rsidR="00C66ACE">
        <w:t>overt</w:t>
      </w:r>
      <w:r w:rsidR="00AE59B8">
        <w:t xml:space="preserve"> anti-takeover legislation</w:t>
      </w:r>
      <w:r w:rsidR="007E63B5">
        <w:t xml:space="preserve">. </w:t>
      </w:r>
      <w:r w:rsidR="00AE59B8">
        <w:t xml:space="preserve">There is no stake-building control </w:t>
      </w:r>
      <w:r w:rsidR="00DA7A7D">
        <w:t>t</w:t>
      </w:r>
      <w:r w:rsidR="006D3D6A">
        <w:t>o</w:t>
      </w:r>
      <w:r w:rsidR="00DA7A7D">
        <w:t xml:space="preserve"> alert </w:t>
      </w:r>
      <w:r w:rsidR="00C66ACE">
        <w:t>a</w:t>
      </w:r>
      <w:r w:rsidR="00DA7A7D">
        <w:t xml:space="preserve"> target </w:t>
      </w:r>
      <w:r w:rsidR="00C66ACE">
        <w:t>company; t</w:t>
      </w:r>
      <w:r w:rsidR="00DA7A7D">
        <w:t>here is no provision against virtual bid</w:t>
      </w:r>
      <w:r w:rsidR="00C66ACE">
        <w:t>s; p</w:t>
      </w:r>
      <w:r w:rsidR="00DA7A7D">
        <w:t>ost-bid undertaking is not legally binding on the bidder</w:t>
      </w:r>
      <w:r w:rsidR="00C66ACE">
        <w:t>; t</w:t>
      </w:r>
      <w:r w:rsidR="00AE59B8">
        <w:t xml:space="preserve">he equivalent of the mandatory bid under </w:t>
      </w:r>
      <w:r w:rsidR="00C66ACE">
        <w:t xml:space="preserve">the </w:t>
      </w:r>
      <w:r w:rsidR="00AE59B8">
        <w:t xml:space="preserve">UK Takeover Code and </w:t>
      </w:r>
      <w:r w:rsidR="00C66ACE">
        <w:t xml:space="preserve">the </w:t>
      </w:r>
      <w:r w:rsidR="00AE59B8">
        <w:t xml:space="preserve">EU Directive is set </w:t>
      </w:r>
      <w:r w:rsidR="00C66ACE">
        <w:t xml:space="preserve">at </w:t>
      </w:r>
      <w:r w:rsidR="00AE59B8">
        <w:t xml:space="preserve">a much higher level </w:t>
      </w:r>
      <w:r w:rsidR="00C66ACE">
        <w:t xml:space="preserve">so </w:t>
      </w:r>
      <w:r w:rsidR="00AE59B8">
        <w:t>making it less costly for a bidd</w:t>
      </w:r>
      <w:r w:rsidR="00DA7A7D">
        <w:t>er to obtain corporate control</w:t>
      </w:r>
      <w:r w:rsidR="00C66ACE">
        <w:t>; t</w:t>
      </w:r>
      <w:r w:rsidR="007E63B5">
        <w:t xml:space="preserve">here is no price control to protect minority shareholders. </w:t>
      </w:r>
      <w:r w:rsidR="00DA7A7D">
        <w:t xml:space="preserve">Yet the </w:t>
      </w:r>
      <w:r w:rsidR="00C66ACE">
        <w:t xml:space="preserve">traditional </w:t>
      </w:r>
      <w:r w:rsidR="00DA7A7D">
        <w:t>symbiotic relationship between management and shareholders through cross-shareholding</w:t>
      </w:r>
      <w:r w:rsidR="007E63B5">
        <w:t>s</w:t>
      </w:r>
      <w:r w:rsidR="00DA7A7D">
        <w:t xml:space="preserve"> and shareholder perks remains a major obstacle to a successful</w:t>
      </w:r>
      <w:r w:rsidR="00CD4A32">
        <w:t xml:space="preserve"> unsolicited</w:t>
      </w:r>
      <w:r w:rsidR="00DA7A7D">
        <w:t xml:space="preserve"> takeover. </w:t>
      </w:r>
      <w:r w:rsidR="00C66ACE">
        <w:t>M</w:t>
      </w:r>
      <w:r w:rsidR="00DA7A7D">
        <w:t>easures</w:t>
      </w:r>
      <w:r w:rsidR="00485366">
        <w:t xml:space="preserve"> under Abe’s economic</w:t>
      </w:r>
      <w:r w:rsidR="001E3B68">
        <w:t xml:space="preserve"> reform of three arrows</w:t>
      </w:r>
      <w:r w:rsidR="00DA7A7D">
        <w:t xml:space="preserve"> </w:t>
      </w:r>
      <w:r w:rsidR="00C66ACE">
        <w:t xml:space="preserve">have been </w:t>
      </w:r>
      <w:r w:rsidR="00DA7A7D">
        <w:t>introduced to increase</w:t>
      </w:r>
      <w:r w:rsidR="00C66ACE">
        <w:t xml:space="preserve"> the</w:t>
      </w:r>
      <w:r w:rsidR="00DA7A7D">
        <w:t xml:space="preserve"> success</w:t>
      </w:r>
      <w:r w:rsidR="00C66ACE">
        <w:t xml:space="preserve"> of</w:t>
      </w:r>
      <w:r w:rsidR="00DA7A7D">
        <w:t xml:space="preserve"> </w:t>
      </w:r>
      <w:r w:rsidR="00CD4A32">
        <w:t xml:space="preserve">unsolicited </w:t>
      </w:r>
      <w:r w:rsidR="00DA7A7D">
        <w:t>takeover bid</w:t>
      </w:r>
      <w:r w:rsidR="00C66ACE">
        <w:t xml:space="preserve">s </w:t>
      </w:r>
      <w:r w:rsidR="006D3D6A">
        <w:t>by</w:t>
      </w:r>
      <w:r w:rsidR="00C66ACE">
        <w:t xml:space="preserve"> </w:t>
      </w:r>
      <w:r w:rsidR="00DA7A7D">
        <w:t xml:space="preserve">reducing </w:t>
      </w:r>
      <w:r w:rsidR="00CD4A32">
        <w:t xml:space="preserve">cross-shareholdings through tax incentive measures </w:t>
      </w:r>
      <w:r w:rsidR="007E63B5">
        <w:t>and increasing</w:t>
      </w:r>
      <w:r w:rsidR="00DA7A7D">
        <w:t xml:space="preserve"> board independence</w:t>
      </w:r>
      <w:r w:rsidR="00CD4A32">
        <w:t xml:space="preserve"> through a soft-</w:t>
      </w:r>
      <w:r w:rsidR="007E63B5">
        <w:t xml:space="preserve">law </w:t>
      </w:r>
      <w:r w:rsidR="00CD4A32">
        <w:t xml:space="preserve">based </w:t>
      </w:r>
      <w:r w:rsidR="007E63B5">
        <w:t>governance code.</w:t>
      </w:r>
      <w:r w:rsidR="00DA7A7D">
        <w:t xml:space="preserve"> </w:t>
      </w:r>
      <w:r w:rsidR="007E63B5">
        <w:t>The</w:t>
      </w:r>
      <w:r w:rsidR="006D3D6A">
        <w:t>se</w:t>
      </w:r>
      <w:r w:rsidR="007E63B5">
        <w:t xml:space="preserve"> are unlikely to have </w:t>
      </w:r>
      <w:r w:rsidR="00C66ACE">
        <w:t xml:space="preserve">a </w:t>
      </w:r>
      <w:r w:rsidR="007E63B5">
        <w:t xml:space="preserve">major impact on removing the existing obstacles. Adopting the UK Takeover Code or the EU </w:t>
      </w:r>
      <w:r w:rsidR="00CD4A32">
        <w:t xml:space="preserve">Takeover </w:t>
      </w:r>
      <w:r w:rsidR="007E63B5">
        <w:t xml:space="preserve">Directive would </w:t>
      </w:r>
      <w:r w:rsidR="00C66ACE">
        <w:t xml:space="preserve">not cure the problem and </w:t>
      </w:r>
      <w:r w:rsidR="00883D7F">
        <w:t>would</w:t>
      </w:r>
      <w:r w:rsidR="00C66ACE">
        <w:t xml:space="preserve"> more likely entrench the existing situation.</w:t>
      </w:r>
      <w:r w:rsidR="007E63B5">
        <w:t xml:space="preserve"> </w:t>
      </w:r>
    </w:p>
    <w:p w14:paraId="2B0E7D99" w14:textId="77777777" w:rsidR="00AE59B8" w:rsidRDefault="00AE59B8">
      <w:pPr>
        <w:rPr>
          <w:b/>
        </w:rPr>
      </w:pPr>
    </w:p>
    <w:p w14:paraId="6EAA92FF" w14:textId="77777777" w:rsidR="00671272" w:rsidRPr="00950C16" w:rsidRDefault="00671272">
      <w:pPr>
        <w:rPr>
          <w:b/>
        </w:rPr>
      </w:pPr>
    </w:p>
    <w:p w14:paraId="20D62C63" w14:textId="4D419032" w:rsidR="00671272" w:rsidRPr="00950C16" w:rsidRDefault="00F12481">
      <w:pPr>
        <w:rPr>
          <w:b/>
        </w:rPr>
      </w:pPr>
      <w:r w:rsidRPr="00950C16">
        <w:rPr>
          <w:b/>
        </w:rPr>
        <w:t xml:space="preserve">1. </w:t>
      </w:r>
      <w:r w:rsidR="008F3D1C">
        <w:rPr>
          <w:b/>
        </w:rPr>
        <w:t>The aim and t</w:t>
      </w:r>
      <w:r w:rsidRPr="00950C16">
        <w:rPr>
          <w:b/>
        </w:rPr>
        <w:t xml:space="preserve">he methods </w:t>
      </w:r>
      <w:r w:rsidR="0026319D">
        <w:rPr>
          <w:b/>
        </w:rPr>
        <w:t>used to</w:t>
      </w:r>
      <w:r w:rsidRPr="00950C16">
        <w:rPr>
          <w:b/>
        </w:rPr>
        <w:t xml:space="preserve"> </w:t>
      </w:r>
      <w:r w:rsidR="008D063E">
        <w:rPr>
          <w:b/>
        </w:rPr>
        <w:t>set</w:t>
      </w:r>
      <w:r w:rsidRPr="00950C16">
        <w:rPr>
          <w:b/>
        </w:rPr>
        <w:t xml:space="preserve"> Japan’s takeover regime </w:t>
      </w:r>
      <w:r w:rsidR="008D063E">
        <w:rPr>
          <w:b/>
        </w:rPr>
        <w:t>in context</w:t>
      </w:r>
    </w:p>
    <w:p w14:paraId="53718D3B" w14:textId="77777777" w:rsidR="00671272" w:rsidRPr="00950C16" w:rsidRDefault="00671272"/>
    <w:p w14:paraId="3D14E7AD" w14:textId="164CBAA5" w:rsidR="001C44E5" w:rsidRDefault="00F12481" w:rsidP="00671272">
      <w:pPr>
        <w:jc w:val="both"/>
      </w:pPr>
      <w:r w:rsidRPr="00950C16">
        <w:t>Japan, as the third</w:t>
      </w:r>
      <w:r w:rsidR="00193756" w:rsidRPr="00950C16">
        <w:t>-</w:t>
      </w:r>
      <w:r w:rsidRPr="00950C16">
        <w:t>largest economy and second</w:t>
      </w:r>
      <w:r w:rsidR="00193756" w:rsidRPr="00950C16">
        <w:t>-</w:t>
      </w:r>
      <w:r w:rsidRPr="00950C16">
        <w:t>largest capital market in the world</w:t>
      </w:r>
      <w:r w:rsidRPr="00950C16">
        <w:rPr>
          <w:rStyle w:val="FootnoteReference"/>
        </w:rPr>
        <w:footnoteReference w:id="2"/>
      </w:r>
      <w:r w:rsidRPr="00950C16">
        <w:t>, has been regarded as a difficult market</w:t>
      </w:r>
      <w:r w:rsidR="0014190D">
        <w:t xml:space="preserve"> for foreign companies to penetrate compared with other</w:t>
      </w:r>
      <w:r w:rsidRPr="00950C16">
        <w:t xml:space="preserve"> advanced econom</w:t>
      </w:r>
      <w:r w:rsidR="0014190D">
        <w:t>ies</w:t>
      </w:r>
      <w:r w:rsidRPr="00950C16">
        <w:t>.</w:t>
      </w:r>
      <w:r w:rsidR="00546C19">
        <w:rPr>
          <w:rStyle w:val="FootnoteReference"/>
        </w:rPr>
        <w:footnoteReference w:id="3"/>
      </w:r>
      <w:r w:rsidRPr="00950C16">
        <w:t xml:space="preserve"> </w:t>
      </w:r>
      <w:r w:rsidR="00AB3B9B">
        <w:t>This is despite the fact that</w:t>
      </w:r>
      <w:r w:rsidR="000C1B1A">
        <w:t xml:space="preserve"> in 2016</w:t>
      </w:r>
      <w:r w:rsidR="00AB3B9B">
        <w:t xml:space="preserve"> Sharp – a </w:t>
      </w:r>
      <w:r w:rsidR="00F12327">
        <w:t xml:space="preserve">Japanese </w:t>
      </w:r>
      <w:r w:rsidR="00AB3B9B">
        <w:t>ho</w:t>
      </w:r>
      <w:r w:rsidR="00F12327">
        <w:t>usehold-</w:t>
      </w:r>
      <w:r w:rsidR="00AB3B9B">
        <w:t xml:space="preserve">name </w:t>
      </w:r>
      <w:r w:rsidR="00D453B7">
        <w:t>electronic</w:t>
      </w:r>
      <w:r w:rsidR="00AB3B9B">
        <w:t xml:space="preserve"> company- has been </w:t>
      </w:r>
      <w:r w:rsidR="00AB3B9B">
        <w:lastRenderedPageBreak/>
        <w:t>tak</w:t>
      </w:r>
      <w:r w:rsidR="00D453B7">
        <w:t>en over by a Foxconn, a Taiwanese electronic manufacturer.</w:t>
      </w:r>
      <w:r w:rsidR="008B00D7">
        <w:rPr>
          <w:rStyle w:val="FootnoteReference"/>
        </w:rPr>
        <w:footnoteReference w:id="4"/>
      </w:r>
      <w:r w:rsidR="00D453B7">
        <w:t xml:space="preserve"> </w:t>
      </w:r>
      <w:r w:rsidRPr="00950C16">
        <w:t xml:space="preserve">Domestically, the </w:t>
      </w:r>
      <w:r w:rsidR="0014190D">
        <w:t xml:space="preserve">economy’s </w:t>
      </w:r>
      <w:r w:rsidRPr="00950C16">
        <w:t>slow</w:t>
      </w:r>
      <w:r w:rsidR="00882C2E" w:rsidRPr="00950C16">
        <w:t xml:space="preserve"> </w:t>
      </w:r>
      <w:r w:rsidRPr="00950C16">
        <w:t xml:space="preserve">growth has </w:t>
      </w:r>
      <w:r w:rsidR="0014190D">
        <w:t>led to</w:t>
      </w:r>
      <w:r w:rsidRPr="00950C16">
        <w:t xml:space="preserve"> call</w:t>
      </w:r>
      <w:r w:rsidR="0014190D">
        <w:t>s</w:t>
      </w:r>
      <w:r w:rsidRPr="00950C16">
        <w:t xml:space="preserve"> for reform </w:t>
      </w:r>
      <w:r w:rsidR="0014190D">
        <w:t>of</w:t>
      </w:r>
      <w:r w:rsidRPr="00950C16">
        <w:t xml:space="preserve"> its rigid structure</w:t>
      </w:r>
      <w:r w:rsidR="00882C2E" w:rsidRPr="00950C16">
        <w:t>,</w:t>
      </w:r>
      <w:r w:rsidRPr="00950C16">
        <w:t xml:space="preserve"> </w:t>
      </w:r>
      <w:r w:rsidR="00882C2E" w:rsidRPr="00950C16">
        <w:t xml:space="preserve">which </w:t>
      </w:r>
      <w:r w:rsidRPr="00950C16">
        <w:t xml:space="preserve">often </w:t>
      </w:r>
      <w:r w:rsidR="00882C2E" w:rsidRPr="00950C16">
        <w:t xml:space="preserve">inhibits </w:t>
      </w:r>
      <w:r w:rsidR="0014190D">
        <w:t xml:space="preserve">the </w:t>
      </w:r>
      <w:r w:rsidRPr="00950C16">
        <w:t>entrepreneurial spirit.</w:t>
      </w:r>
      <w:r w:rsidR="00EF1F50">
        <w:rPr>
          <w:rStyle w:val="FootnoteReference"/>
        </w:rPr>
        <w:footnoteReference w:id="5"/>
      </w:r>
      <w:r w:rsidRPr="00950C16">
        <w:t xml:space="preserve"> </w:t>
      </w:r>
      <w:r w:rsidR="005A083E">
        <w:t>Poor</w:t>
      </w:r>
      <w:r w:rsidR="00275C56">
        <w:t xml:space="preserve"> corporat</w:t>
      </w:r>
      <w:r w:rsidR="005A083E">
        <w:t>e performance in recent years has also caused a number of corporate failure that required restructuring</w:t>
      </w:r>
      <w:r w:rsidR="00991515">
        <w:t>, such as Japan Airlines,</w:t>
      </w:r>
      <w:r w:rsidR="005B181F">
        <w:rPr>
          <w:rStyle w:val="FootnoteReference"/>
        </w:rPr>
        <w:footnoteReference w:id="6"/>
      </w:r>
      <w:r w:rsidR="00991515">
        <w:t xml:space="preserve"> </w:t>
      </w:r>
      <w:r w:rsidR="005A083E">
        <w:t>as well led to</w:t>
      </w:r>
      <w:r w:rsidR="00275C56">
        <w:t xml:space="preserve"> a number of </w:t>
      </w:r>
      <w:r w:rsidR="005A083E">
        <w:t xml:space="preserve">high profile </w:t>
      </w:r>
      <w:r w:rsidR="00275C56">
        <w:t>corporate scandals</w:t>
      </w:r>
      <w:r w:rsidR="00991515">
        <w:t>, such as Toshiba</w:t>
      </w:r>
      <w:r w:rsidR="00991515" w:rsidRPr="00CC0173">
        <w:t>.</w:t>
      </w:r>
      <w:r w:rsidR="00897FA1" w:rsidRPr="00CC0173">
        <w:rPr>
          <w:rStyle w:val="FootnoteReference"/>
        </w:rPr>
        <w:footnoteReference w:id="7"/>
      </w:r>
      <w:r w:rsidR="00275C56" w:rsidRPr="00CC0173">
        <w:t xml:space="preserve"> </w:t>
      </w:r>
      <w:r w:rsidR="00C50A0E" w:rsidRPr="00CC0173">
        <w:t>Corporate takeover</w:t>
      </w:r>
      <w:r w:rsidR="00EF5D69" w:rsidRPr="00CC0173">
        <w:t>, similar to the claims made for foreign takeovers in the UK</w:t>
      </w:r>
      <w:r w:rsidR="002D77F6" w:rsidRPr="00CC0173">
        <w:t xml:space="preserve"> and </w:t>
      </w:r>
      <w:r w:rsidR="000256FE" w:rsidRPr="00CC0173">
        <w:t>for the EU Takeover Directive</w:t>
      </w:r>
      <w:r w:rsidR="00EF5D69" w:rsidRPr="00CC0173">
        <w:t>,</w:t>
      </w:r>
      <w:r w:rsidR="00EF5D69" w:rsidRPr="00CC0173">
        <w:rPr>
          <w:rStyle w:val="FootnoteReference"/>
        </w:rPr>
        <w:footnoteReference w:id="8"/>
      </w:r>
      <w:r w:rsidR="00C50A0E">
        <w:t xml:space="preserve"> has been regarded as a way</w:t>
      </w:r>
      <w:r w:rsidR="00EF5D69">
        <w:t xml:space="preserve"> to increase the productivity</w:t>
      </w:r>
      <w:r w:rsidR="00C50A0E">
        <w:t xml:space="preserve"> of the Japanese companies</w:t>
      </w:r>
      <w:r w:rsidR="00D91F00">
        <w:t xml:space="preserve"> as it can </w:t>
      </w:r>
      <w:r w:rsidR="00BE3255">
        <w:t>enhance</w:t>
      </w:r>
      <w:r w:rsidR="00D91F00">
        <w:t xml:space="preserve"> corporate openness by increasing foreign acquisition</w:t>
      </w:r>
      <w:r w:rsidR="00BE3255">
        <w:t xml:space="preserve">s of low performing </w:t>
      </w:r>
      <w:r w:rsidR="00D91F00">
        <w:t xml:space="preserve"> companies before they have become ailing subjects for corporate rescue</w:t>
      </w:r>
      <w:r w:rsidR="00BE3255">
        <w:t xml:space="preserve"> funded by the taxpayer</w:t>
      </w:r>
      <w:r w:rsidR="00D91F00">
        <w:t xml:space="preserve">. </w:t>
      </w:r>
      <w:r w:rsidR="00517E0C">
        <w:rPr>
          <w:rStyle w:val="FootnoteReference"/>
        </w:rPr>
        <w:footnoteReference w:id="9"/>
      </w:r>
      <w:r w:rsidR="00C50A0E">
        <w:t xml:space="preserve"> </w:t>
      </w:r>
    </w:p>
    <w:p w14:paraId="74119B93" w14:textId="77777777" w:rsidR="001C44E5" w:rsidRDefault="001C44E5" w:rsidP="00671272">
      <w:pPr>
        <w:jc w:val="both"/>
      </w:pPr>
    </w:p>
    <w:p w14:paraId="46440446" w14:textId="45BBE3FA" w:rsidR="00671272" w:rsidRPr="00950C16" w:rsidRDefault="0013397C" w:rsidP="00671272">
      <w:pPr>
        <w:jc w:val="both"/>
      </w:pPr>
      <w:r>
        <w:t xml:space="preserve">The aim of this paper is to </w:t>
      </w:r>
      <w:r w:rsidR="00DE1632">
        <w:t>see if converging with UK and EU takeover laws would permit more unsolicited takeover bid.</w:t>
      </w:r>
      <w:r w:rsidR="00B40FFB">
        <w:rPr>
          <w:rStyle w:val="FootnoteReference"/>
        </w:rPr>
        <w:footnoteReference w:id="10"/>
      </w:r>
      <w:r w:rsidR="00DE1632">
        <w:t xml:space="preserve"> To this end, t</w:t>
      </w:r>
      <w:r w:rsidR="00F12481" w:rsidRPr="00950C16">
        <w:t xml:space="preserve">his paper </w:t>
      </w:r>
      <w:r w:rsidR="00B0209B">
        <w:t>uses</w:t>
      </w:r>
      <w:r w:rsidR="00F12481" w:rsidRPr="00950C16">
        <w:t xml:space="preserve"> Japan’s primary takeover law, the Financial Instrument and Exchange Law (FIE), as a proxy </w:t>
      </w:r>
      <w:r w:rsidR="00B0209B">
        <w:t>to</w:t>
      </w:r>
      <w:r w:rsidR="00F12481" w:rsidRPr="00950C16">
        <w:t xml:space="preserve"> understand</w:t>
      </w:r>
      <w:r w:rsidR="0023405F" w:rsidRPr="00950C16">
        <w:t xml:space="preserve"> </w:t>
      </w:r>
      <w:r w:rsidR="00F12481" w:rsidRPr="00950C16">
        <w:t>Japan’s perceived protectionist model</w:t>
      </w:r>
      <w:r w:rsidR="00B0209B">
        <w:t xml:space="preserve">, which is designed to </w:t>
      </w:r>
      <w:r w:rsidR="00F12481" w:rsidRPr="00950C16">
        <w:t>protect corporate value, existing shareholders, stakeholders, and community value.</w:t>
      </w:r>
      <w:r w:rsidR="00B83C47">
        <w:rPr>
          <w:rStyle w:val="FootnoteReference"/>
        </w:rPr>
        <w:footnoteReference w:id="11"/>
      </w:r>
      <w:r w:rsidR="00F12481" w:rsidRPr="00950C16">
        <w:t xml:space="preserve"> </w:t>
      </w:r>
      <w:r w:rsidR="00B0209B">
        <w:t>However</w:t>
      </w:r>
      <w:r w:rsidR="00F12481" w:rsidRPr="00950C16">
        <w:t xml:space="preserve">, </w:t>
      </w:r>
      <w:r w:rsidR="003E32D5">
        <w:t>it is evident that</w:t>
      </w:r>
      <w:r w:rsidR="008D063E">
        <w:t xml:space="preserve"> </w:t>
      </w:r>
      <w:r w:rsidR="00F12481" w:rsidRPr="00950C16">
        <w:t xml:space="preserve">the law itself </w:t>
      </w:r>
      <w:r w:rsidR="00B0209B">
        <w:t>does</w:t>
      </w:r>
      <w:r w:rsidR="00F12481" w:rsidRPr="00950C16">
        <w:t xml:space="preserve"> not reveal much about </w:t>
      </w:r>
      <w:r w:rsidR="00AC2C10" w:rsidRPr="00950C16">
        <w:t xml:space="preserve">Japan’s </w:t>
      </w:r>
      <w:r w:rsidR="00F12481" w:rsidRPr="00950C16">
        <w:t>protectionist tendenc</w:t>
      </w:r>
      <w:r w:rsidR="00B0209B">
        <w:t>ies</w:t>
      </w:r>
      <w:r w:rsidR="003E32D5">
        <w:t>; that some</w:t>
      </w:r>
      <w:r w:rsidR="00F12481" w:rsidRPr="00950C16">
        <w:t xml:space="preserve"> </w:t>
      </w:r>
      <w:r w:rsidR="00AC2C10" w:rsidRPr="00950C16">
        <w:t>contextualisation</w:t>
      </w:r>
      <w:r w:rsidR="003E32D5">
        <w:t xml:space="preserve"> is necessary</w:t>
      </w:r>
      <w:r w:rsidR="00F12481" w:rsidRPr="00950C16">
        <w:t>.</w:t>
      </w:r>
      <w:r w:rsidR="00B83C47">
        <w:rPr>
          <w:rStyle w:val="FootnoteReference"/>
        </w:rPr>
        <w:footnoteReference w:id="12"/>
      </w:r>
      <w:r w:rsidR="00F12481" w:rsidRPr="00950C16">
        <w:t xml:space="preserve"> Hence, the article use</w:t>
      </w:r>
      <w:r w:rsidR="00B0209B">
        <w:t>s</w:t>
      </w:r>
      <w:r w:rsidR="00F12481" w:rsidRPr="00950C16">
        <w:t xml:space="preserve"> the following methods to provide </w:t>
      </w:r>
      <w:r w:rsidR="00B0209B">
        <w:t>the appropriate</w:t>
      </w:r>
      <w:r w:rsidR="00F12481" w:rsidRPr="00950C16">
        <w:t xml:space="preserve"> context. </w:t>
      </w:r>
    </w:p>
    <w:p w14:paraId="46C8B3E5" w14:textId="118FAE49" w:rsidR="00671272" w:rsidRPr="00950C16" w:rsidRDefault="00F12481" w:rsidP="00671272">
      <w:pPr>
        <w:jc w:val="both"/>
      </w:pPr>
      <w:r w:rsidRPr="00950C16">
        <w:t xml:space="preserve">First, the </w:t>
      </w:r>
      <w:r w:rsidR="008D063E">
        <w:t xml:space="preserve">paper </w:t>
      </w:r>
      <w:r w:rsidRPr="00950C16">
        <w:t xml:space="preserve">will examine the ownership structure of </w:t>
      </w:r>
      <w:r w:rsidR="00B0209B">
        <w:t xml:space="preserve">the </w:t>
      </w:r>
      <w:r w:rsidRPr="00950C16">
        <w:t xml:space="preserve">companies listed on the Tokyo Stock Exchange (TSE), the </w:t>
      </w:r>
      <w:r w:rsidR="003E32D5">
        <w:t xml:space="preserve">recent </w:t>
      </w:r>
      <w:r w:rsidRPr="00950C16">
        <w:t xml:space="preserve">changes </w:t>
      </w:r>
      <w:r w:rsidR="00B0209B">
        <w:t>to</w:t>
      </w:r>
      <w:r w:rsidRPr="00950C16">
        <w:t xml:space="preserve"> </w:t>
      </w:r>
      <w:r w:rsidR="003E32D5">
        <w:t>the TSE</w:t>
      </w:r>
      <w:r w:rsidR="003E32D5" w:rsidRPr="00950C16">
        <w:t xml:space="preserve"> </w:t>
      </w:r>
      <w:r w:rsidR="00751728" w:rsidRPr="00950C16">
        <w:t xml:space="preserve">and the </w:t>
      </w:r>
      <w:r w:rsidR="008D063E">
        <w:t xml:space="preserve">way </w:t>
      </w:r>
      <w:r w:rsidR="003E32D5">
        <w:t>it</w:t>
      </w:r>
      <w:r w:rsidR="008D063E">
        <w:t xml:space="preserve"> differs from</w:t>
      </w:r>
      <w:r w:rsidRPr="00950C16">
        <w:t xml:space="preserve"> other major markets.</w:t>
      </w:r>
      <w:r w:rsidR="00FD37B8">
        <w:rPr>
          <w:rStyle w:val="FootnoteReference"/>
        </w:rPr>
        <w:footnoteReference w:id="13"/>
      </w:r>
      <w:r w:rsidRPr="00950C16">
        <w:t xml:space="preserve"> Second, the article will investigate Japan’s </w:t>
      </w:r>
      <w:r w:rsidR="001C59D3">
        <w:t>methods</w:t>
      </w:r>
      <w:r w:rsidRPr="00950C16">
        <w:t xml:space="preserve"> for corporate control</w:t>
      </w:r>
      <w:r w:rsidR="00C37986">
        <w:t>,</w:t>
      </w:r>
      <w:r w:rsidR="00B0209B">
        <w:t xml:space="preserve"> as</w:t>
      </w:r>
      <w:r w:rsidRPr="00950C16">
        <w:t xml:space="preserve"> measured by the different </w:t>
      </w:r>
      <w:r w:rsidR="00BA42B2">
        <w:t>methods used to transfer</w:t>
      </w:r>
      <w:r w:rsidRPr="00950C16">
        <w:t xml:space="preserve"> </w:t>
      </w:r>
      <w:r w:rsidR="00C37986">
        <w:t xml:space="preserve">it. </w:t>
      </w:r>
      <w:r w:rsidRPr="00950C16">
        <w:t xml:space="preserve"> Third, a thematic and content</w:t>
      </w:r>
      <w:r w:rsidR="00BA42B2">
        <w:t>-based</w:t>
      </w:r>
      <w:r w:rsidRPr="00950C16">
        <w:t xml:space="preserve"> approach will be used to examine the FIE. The themes examined will include stake-building control, virtual bid control, commitment control, mandatory bid</w:t>
      </w:r>
      <w:r w:rsidR="00DE1FBF">
        <w:t>s</w:t>
      </w:r>
      <w:r w:rsidRPr="00950C16">
        <w:t xml:space="preserve">, and defensive measures control. The purpose of these regulatory aspects will be discussed, </w:t>
      </w:r>
      <w:r w:rsidRPr="00950C16">
        <w:lastRenderedPageBreak/>
        <w:t xml:space="preserve">followed by a discussion </w:t>
      </w:r>
      <w:r w:rsidR="00DE1FBF">
        <w:t>of</w:t>
      </w:r>
      <w:r w:rsidRPr="00950C16">
        <w:t xml:space="preserve"> Japan’s rules and the implications of the</w:t>
      </w:r>
      <w:r w:rsidR="00DE1FBF">
        <w:t>ir</w:t>
      </w:r>
      <w:r w:rsidRPr="00950C16">
        <w:t xml:space="preserve"> implementation. Other jurisdictions, notably the UK and EU, will </w:t>
      </w:r>
      <w:r w:rsidR="006B6F5E" w:rsidRPr="00950C16">
        <w:t xml:space="preserve">also </w:t>
      </w:r>
      <w:r w:rsidRPr="00950C16">
        <w:t xml:space="preserve">be compared. </w:t>
      </w:r>
      <w:r w:rsidR="00DE1FBF">
        <w:t>Fourth</w:t>
      </w:r>
      <w:r w:rsidRPr="00950C16">
        <w:t xml:space="preserve">, an increase </w:t>
      </w:r>
      <w:r w:rsidR="006B6F5E" w:rsidRPr="00950C16">
        <w:t xml:space="preserve">in </w:t>
      </w:r>
      <w:r w:rsidRPr="00950C16">
        <w:t>unsolicited takeover bid</w:t>
      </w:r>
      <w:r w:rsidR="00DE3F67" w:rsidRPr="00950C16">
        <w:t>s</w:t>
      </w:r>
      <w:r w:rsidRPr="00950C16">
        <w:t xml:space="preserve"> </w:t>
      </w:r>
      <w:r w:rsidR="00DE3F67" w:rsidRPr="00950C16">
        <w:t xml:space="preserve">in recent </w:t>
      </w:r>
      <w:r w:rsidRPr="00950C16">
        <w:t xml:space="preserve">years correlates with a decrease </w:t>
      </w:r>
      <w:r w:rsidR="00DE3F67" w:rsidRPr="00950C16">
        <w:t xml:space="preserve">in </w:t>
      </w:r>
      <w:r w:rsidRPr="00950C16">
        <w:t xml:space="preserve">cross-shareholding. </w:t>
      </w:r>
      <w:r w:rsidR="00C37986">
        <w:t xml:space="preserve"> The</w:t>
      </w:r>
      <w:r w:rsidR="00DE1FBF">
        <w:t xml:space="preserve"> </w:t>
      </w:r>
      <w:r w:rsidRPr="00950C16">
        <w:t xml:space="preserve">factors </w:t>
      </w:r>
      <w:r w:rsidR="00DE1FBF">
        <w:t xml:space="preserve">that </w:t>
      </w:r>
      <w:r w:rsidR="00AF4AD7">
        <w:t xml:space="preserve">have </w:t>
      </w:r>
      <w:r w:rsidRPr="00950C16">
        <w:t xml:space="preserve">led to </w:t>
      </w:r>
      <w:r w:rsidR="00DE1FBF">
        <w:t>this</w:t>
      </w:r>
      <w:r w:rsidRPr="00950C16">
        <w:t xml:space="preserve"> change</w:t>
      </w:r>
      <w:r w:rsidR="00C37986">
        <w:t xml:space="preserve"> will be identified</w:t>
      </w:r>
      <w:r w:rsidR="00F42040">
        <w:t>, in particular</w:t>
      </w:r>
      <w:r w:rsidRPr="00950C16">
        <w:t xml:space="preserve"> the growing participation </w:t>
      </w:r>
      <w:r w:rsidR="006B6F5E" w:rsidRPr="00950C16">
        <w:t xml:space="preserve">of </w:t>
      </w:r>
      <w:r w:rsidRPr="00950C16">
        <w:t>hedge funds as third-party facilitator</w:t>
      </w:r>
      <w:r w:rsidR="006B6F5E" w:rsidRPr="00950C16">
        <w:t>s</w:t>
      </w:r>
      <w:r w:rsidRPr="00950C16">
        <w:t xml:space="preserve"> of takeovers of poorly performing firms in corporate Japan.</w:t>
      </w:r>
      <w:r w:rsidRPr="00950C16">
        <w:rPr>
          <w:rStyle w:val="FootnoteReference"/>
        </w:rPr>
        <w:footnoteReference w:id="14"/>
      </w:r>
      <w:r w:rsidRPr="00950C16">
        <w:t xml:space="preserve"> </w:t>
      </w:r>
      <w:r w:rsidR="00DE1FBF">
        <w:t>Fifth</w:t>
      </w:r>
      <w:r w:rsidRPr="00950C16">
        <w:t>, Japan’s corporate governance will be analysed</w:t>
      </w:r>
      <w:r w:rsidR="00F42040">
        <w:t xml:space="preserve"> in order to assess </w:t>
      </w:r>
      <w:r w:rsidR="006B6F5E" w:rsidRPr="00950C16">
        <w:t xml:space="preserve">whether </w:t>
      </w:r>
      <w:r w:rsidR="0026319D">
        <w:t xml:space="preserve">changes to </w:t>
      </w:r>
      <w:r w:rsidRPr="00950C16">
        <w:t>the role of independent director</w:t>
      </w:r>
      <w:r w:rsidR="00DE1FBF">
        <w:t>s</w:t>
      </w:r>
      <w:r w:rsidRPr="00950C16">
        <w:t xml:space="preserve"> and </w:t>
      </w:r>
      <w:r w:rsidR="006B6F5E" w:rsidRPr="00950C16">
        <w:t>the type</w:t>
      </w:r>
      <w:r w:rsidR="0026319D">
        <w:t>s</w:t>
      </w:r>
      <w:r w:rsidR="006B6F5E" w:rsidRPr="00950C16">
        <w:t xml:space="preserve"> </w:t>
      </w:r>
      <w:r w:rsidRPr="00950C16">
        <w:t xml:space="preserve">of shareholder protection </w:t>
      </w:r>
      <w:r w:rsidR="0026319D">
        <w:t>could allow</w:t>
      </w:r>
      <w:r w:rsidRPr="00950C16">
        <w:t xml:space="preserve"> more outside and unsolicited takeovers. </w:t>
      </w:r>
    </w:p>
    <w:p w14:paraId="1CAA3554" w14:textId="77777777" w:rsidR="00671272" w:rsidRPr="00950C16" w:rsidRDefault="00671272"/>
    <w:p w14:paraId="48CCA8E3" w14:textId="77777777" w:rsidR="00671272" w:rsidRPr="00950C16" w:rsidRDefault="00671272"/>
    <w:p w14:paraId="6E77F057" w14:textId="77777777" w:rsidR="00671272" w:rsidRPr="00950C16" w:rsidRDefault="00F12481">
      <w:pPr>
        <w:rPr>
          <w:b/>
        </w:rPr>
      </w:pPr>
      <w:r w:rsidRPr="00950C16">
        <w:rPr>
          <w:b/>
        </w:rPr>
        <w:t>2. Japan’s capital market structure</w:t>
      </w:r>
    </w:p>
    <w:p w14:paraId="0A4C3EAF" w14:textId="77777777" w:rsidR="00671272" w:rsidRPr="00950C16" w:rsidRDefault="00671272"/>
    <w:p w14:paraId="2A0D6377" w14:textId="67DF833E" w:rsidR="00671272" w:rsidRPr="00630192" w:rsidRDefault="008344C4" w:rsidP="00671272">
      <w:pPr>
        <w:jc w:val="both"/>
        <w:rPr>
          <w:i/>
        </w:rPr>
      </w:pPr>
      <w:r w:rsidRPr="00630192">
        <w:rPr>
          <w:i/>
        </w:rPr>
        <w:t xml:space="preserve">2.1 </w:t>
      </w:r>
      <w:r w:rsidR="00F12481" w:rsidRPr="00630192">
        <w:rPr>
          <w:i/>
        </w:rPr>
        <w:t xml:space="preserve">Ownership structure </w:t>
      </w:r>
    </w:p>
    <w:p w14:paraId="5EADA64B" w14:textId="77777777" w:rsidR="00671272" w:rsidRPr="00950C16" w:rsidRDefault="00671272" w:rsidP="00671272">
      <w:pPr>
        <w:jc w:val="both"/>
      </w:pPr>
    </w:p>
    <w:p w14:paraId="46D171D3" w14:textId="421F0BE2" w:rsidR="00671272" w:rsidRPr="00950C16" w:rsidRDefault="00F12481" w:rsidP="00671272">
      <w:pPr>
        <w:jc w:val="both"/>
      </w:pPr>
      <w:r w:rsidRPr="00950C16">
        <w:t xml:space="preserve">Japan </w:t>
      </w:r>
      <w:r w:rsidR="00A25F2F">
        <w:t>has</w:t>
      </w:r>
      <w:r w:rsidRPr="00950C16">
        <w:t xml:space="preserve"> been regarded as a capital market </w:t>
      </w:r>
      <w:r w:rsidR="008636C1">
        <w:t xml:space="preserve">that is foreclosed </w:t>
      </w:r>
      <w:r w:rsidR="00A25F2F">
        <w:t>to foreign capital regarding the ability to gain</w:t>
      </w:r>
      <w:r w:rsidRPr="00950C16">
        <w:t xml:space="preserve"> access </w:t>
      </w:r>
      <w:r w:rsidR="00E348C0" w:rsidRPr="00950C16">
        <w:t>and</w:t>
      </w:r>
      <w:r w:rsidRPr="00950C16">
        <w:t xml:space="preserve"> corporate control </w:t>
      </w:r>
      <w:r w:rsidR="00E348C0" w:rsidRPr="00950C16">
        <w:t xml:space="preserve">of </w:t>
      </w:r>
      <w:r w:rsidRPr="00950C16">
        <w:t xml:space="preserve">Japanese companies. The statistics show that foreign capital owns </w:t>
      </w:r>
      <w:r w:rsidR="00E348C0" w:rsidRPr="00950C16">
        <w:t>approximately</w:t>
      </w:r>
      <w:r w:rsidRPr="00950C16">
        <w:t xml:space="preserve"> 32 per cent of </w:t>
      </w:r>
      <w:r w:rsidR="00A25F2F">
        <w:t xml:space="preserve">the </w:t>
      </w:r>
      <w:r w:rsidRPr="00950C16">
        <w:t xml:space="preserve">shares traded on the Tokyo Stock Exchange (TSE), compared </w:t>
      </w:r>
      <w:r w:rsidR="00A25F2F">
        <w:t>with</w:t>
      </w:r>
      <w:r w:rsidRPr="00950C16">
        <w:t xml:space="preserve"> </w:t>
      </w:r>
      <w:r w:rsidR="00E348C0" w:rsidRPr="00950C16">
        <w:t>approximately</w:t>
      </w:r>
      <w:r w:rsidRPr="00950C16">
        <w:t xml:space="preserve"> 50 per cent on the London Stock Exchange (LSE). </w:t>
      </w:r>
      <w:r w:rsidR="007D5B59">
        <w:t xml:space="preserve">However, the difficulty in gaining access </w:t>
      </w:r>
      <w:r w:rsidR="00DC1B57">
        <w:t>to</w:t>
      </w:r>
      <w:r w:rsidR="007D5B59">
        <w:t xml:space="preserve"> corporate control </w:t>
      </w:r>
      <w:r w:rsidRPr="00950C16">
        <w:t xml:space="preserve">should not suggest a lack of internationalisation </w:t>
      </w:r>
      <w:r w:rsidR="007D5B59">
        <w:t>in</w:t>
      </w:r>
      <w:r w:rsidRPr="00950C16">
        <w:t xml:space="preserve"> </w:t>
      </w:r>
      <w:r w:rsidR="006B2DF2" w:rsidRPr="00950C16">
        <w:t>Japan’s</w:t>
      </w:r>
      <w:r w:rsidR="00F04FD4" w:rsidRPr="00950C16">
        <w:t xml:space="preserve"> </w:t>
      </w:r>
      <w:r w:rsidRPr="00950C16">
        <w:t>capital market.</w:t>
      </w:r>
      <w:r w:rsidR="00E22CE5">
        <w:rPr>
          <w:rStyle w:val="FootnoteReference"/>
        </w:rPr>
        <w:footnoteReference w:id="15"/>
      </w:r>
      <w:r w:rsidRPr="00950C16">
        <w:t xml:space="preserve"> Compared </w:t>
      </w:r>
      <w:r w:rsidR="007D5B59">
        <w:t>with</w:t>
      </w:r>
      <w:r w:rsidRPr="00950C16">
        <w:t xml:space="preserve"> other major European capital markets</w:t>
      </w:r>
      <w:r w:rsidR="006B2DF2" w:rsidRPr="00950C16">
        <w:t>,</w:t>
      </w:r>
      <w:r w:rsidRPr="00950C16">
        <w:t xml:space="preserve"> such as </w:t>
      </w:r>
      <w:r w:rsidR="006B2DF2" w:rsidRPr="00950C16">
        <w:t xml:space="preserve">those of </w:t>
      </w:r>
      <w:r w:rsidRPr="00950C16">
        <w:t>France, Germany and Italy, Japan remains an attractive market for foreign investors. The holding</w:t>
      </w:r>
      <w:r w:rsidR="007D5B59">
        <w:t>s</w:t>
      </w:r>
      <w:r w:rsidRPr="00950C16">
        <w:t xml:space="preserve"> of Japan’s domestic banks in the capital market </w:t>
      </w:r>
      <w:r w:rsidR="007D5B59">
        <w:t>are</w:t>
      </w:r>
      <w:r w:rsidRPr="00950C16">
        <w:t xml:space="preserve"> </w:t>
      </w:r>
      <w:r w:rsidR="00E348C0" w:rsidRPr="00950C16">
        <w:t>approximately</w:t>
      </w:r>
      <w:r w:rsidRPr="00950C16">
        <w:t xml:space="preserve"> 23 per cent of the total market share, </w:t>
      </w:r>
      <w:r w:rsidR="007D5B59">
        <w:t xml:space="preserve">which is </w:t>
      </w:r>
      <w:r w:rsidRPr="00950C16">
        <w:t>not</w:t>
      </w:r>
      <w:r w:rsidR="006B2DF2" w:rsidRPr="00950C16">
        <w:t xml:space="preserve"> significantly</w:t>
      </w:r>
      <w:r w:rsidRPr="00950C16">
        <w:t xml:space="preserve"> </w:t>
      </w:r>
      <w:r w:rsidR="003A31C4">
        <w:t>less</w:t>
      </w:r>
      <w:r w:rsidRPr="00950C16">
        <w:t xml:space="preserve"> than </w:t>
      </w:r>
      <w:r w:rsidR="007D5B59">
        <w:t>the amount held by</w:t>
      </w:r>
      <w:r w:rsidRPr="00950C16">
        <w:t xml:space="preserve"> UK institutional shareholders in the LSE, </w:t>
      </w:r>
      <w:r w:rsidR="006B2DF2" w:rsidRPr="00950C16">
        <w:t xml:space="preserve">which is </w:t>
      </w:r>
      <w:r w:rsidRPr="00950C16">
        <w:t xml:space="preserve">currently </w:t>
      </w:r>
      <w:r w:rsidR="00E348C0" w:rsidRPr="00950C16">
        <w:t>approximately</w:t>
      </w:r>
      <w:r w:rsidRPr="00950C16">
        <w:t xml:space="preserve"> 30 per cent.</w:t>
      </w:r>
      <w:r w:rsidRPr="00950C16">
        <w:rPr>
          <w:rStyle w:val="FootnoteReference"/>
        </w:rPr>
        <w:footnoteReference w:id="16"/>
      </w:r>
      <w:r w:rsidR="006B2DF2" w:rsidRPr="00950C16">
        <w:t>Domestic</w:t>
      </w:r>
      <w:r w:rsidRPr="00950C16">
        <w:t xml:space="preserve"> companies, not including financial institutions, hold </w:t>
      </w:r>
      <w:r w:rsidR="00E348C0" w:rsidRPr="00950C16">
        <w:t>approximately</w:t>
      </w:r>
      <w:r w:rsidRPr="00950C16">
        <w:t xml:space="preserve"> 22 per cent of the total market share</w:t>
      </w:r>
      <w:r w:rsidR="003A31C4">
        <w:t xml:space="preserve"> in the TSE</w:t>
      </w:r>
      <w:r w:rsidRPr="00950C16">
        <w:t xml:space="preserve">. </w:t>
      </w:r>
      <w:r w:rsidR="00D82E83">
        <w:t xml:space="preserve">Cross-held shares, not common in the UK and US, are owned by banks and domestic companies. </w:t>
      </w:r>
      <w:r w:rsidR="006B2DF2" w:rsidRPr="00950C16">
        <w:t xml:space="preserve">As such, a block of </w:t>
      </w:r>
      <w:r w:rsidRPr="00950C16">
        <w:t xml:space="preserve">almost 50 per cent of shares </w:t>
      </w:r>
      <w:r w:rsidR="003A31C4">
        <w:t>in</w:t>
      </w:r>
      <w:r w:rsidRPr="00950C16">
        <w:t xml:space="preserve"> the total market acts as an effective control </w:t>
      </w:r>
      <w:r w:rsidR="003A31C4">
        <w:t>mechanism for</w:t>
      </w:r>
      <w:r w:rsidRPr="00950C16">
        <w:t xml:space="preserve"> corporate Japan.</w:t>
      </w:r>
      <w:r w:rsidR="00117D00">
        <w:rPr>
          <w:rStyle w:val="FootnoteReference"/>
        </w:rPr>
        <w:footnoteReference w:id="17"/>
      </w:r>
      <w:r w:rsidRPr="00950C16">
        <w:t xml:space="preserve"> </w:t>
      </w:r>
      <w:r w:rsidR="003A31C4">
        <w:t>In addition,</w:t>
      </w:r>
      <w:r w:rsidRPr="00950C16">
        <w:t xml:space="preserve"> individual/retail investor ownership has decreased, following the same path as the UK</w:t>
      </w:r>
      <w:r w:rsidR="003A31C4">
        <w:t>,</w:t>
      </w:r>
      <w:r w:rsidRPr="00950C16">
        <w:rPr>
          <w:rStyle w:val="FootnoteReference"/>
        </w:rPr>
        <w:footnoteReference w:id="18"/>
      </w:r>
      <w:r w:rsidRPr="00950C16">
        <w:t xml:space="preserve"> from </w:t>
      </w:r>
      <w:r w:rsidR="006B2DF2" w:rsidRPr="00950C16">
        <w:t xml:space="preserve">approximately </w:t>
      </w:r>
      <w:r w:rsidRPr="00950C16">
        <w:t xml:space="preserve">20 per cent in 1990 to </w:t>
      </w:r>
      <w:r w:rsidR="006B2DF2" w:rsidRPr="00950C16">
        <w:t>approximately</w:t>
      </w:r>
      <w:r w:rsidRPr="00950C16">
        <w:t xml:space="preserve"> 17</w:t>
      </w:r>
      <w:r w:rsidR="006B2DF2" w:rsidRPr="00950C16">
        <w:t xml:space="preserve"> per cent</w:t>
      </w:r>
      <w:r w:rsidRPr="00950C16">
        <w:t xml:space="preserve"> </w:t>
      </w:r>
      <w:r w:rsidRPr="00950C16">
        <w:lastRenderedPageBreak/>
        <w:t xml:space="preserve">in 2013. </w:t>
      </w:r>
      <w:r w:rsidR="006B2DF2" w:rsidRPr="00950C16">
        <w:t xml:space="preserve">The government’s </w:t>
      </w:r>
      <w:r w:rsidRPr="00950C16">
        <w:t xml:space="preserve">holdings have </w:t>
      </w:r>
      <w:r w:rsidR="003A31C4">
        <w:t>remained steady</w:t>
      </w:r>
      <w:r w:rsidRPr="00950C16">
        <w:t xml:space="preserve"> at a marginal rate of 0.2 per cent, compared </w:t>
      </w:r>
      <w:r w:rsidR="00E83986">
        <w:t>with</w:t>
      </w:r>
      <w:r w:rsidRPr="00950C16">
        <w:t xml:space="preserve"> </w:t>
      </w:r>
      <w:r w:rsidR="00041C06">
        <w:t xml:space="preserve">European stock markets’ state ownership of </w:t>
      </w:r>
      <w:r w:rsidR="006B2DF2" w:rsidRPr="00950C16">
        <w:t>approximately</w:t>
      </w:r>
      <w:r w:rsidRPr="00950C16">
        <w:t xml:space="preserve"> 4 per cent.</w:t>
      </w:r>
      <w:r w:rsidRPr="00950C16">
        <w:rPr>
          <w:rStyle w:val="FootnoteReference"/>
        </w:rPr>
        <w:footnoteReference w:id="19"/>
      </w:r>
      <w:r w:rsidRPr="00950C16">
        <w:t xml:space="preserve"> </w:t>
      </w:r>
    </w:p>
    <w:p w14:paraId="6C0878AD" w14:textId="77777777" w:rsidR="00671272" w:rsidRPr="00950C16" w:rsidRDefault="00671272" w:rsidP="00671272">
      <w:pPr>
        <w:jc w:val="both"/>
      </w:pPr>
    </w:p>
    <w:p w14:paraId="1C0A7A90" w14:textId="77777777" w:rsidR="00671272" w:rsidRPr="00950C16" w:rsidRDefault="00F12481" w:rsidP="00671272">
      <w:pPr>
        <w:jc w:val="both"/>
      </w:pPr>
      <w:r w:rsidRPr="00950C16">
        <w:t xml:space="preserve">There has </w:t>
      </w:r>
      <w:r w:rsidR="00E83986">
        <w:t xml:space="preserve">also </w:t>
      </w:r>
      <w:r w:rsidRPr="00950C16">
        <w:t xml:space="preserve">been a significant increase </w:t>
      </w:r>
      <w:r w:rsidR="00E83986">
        <w:t>in</w:t>
      </w:r>
      <w:r w:rsidRPr="00950C16">
        <w:t xml:space="preserve"> foreign ownership </w:t>
      </w:r>
      <w:r w:rsidR="00E83986">
        <w:t>of</w:t>
      </w:r>
      <w:r w:rsidRPr="00950C16">
        <w:t xml:space="preserve"> Nikkei 225 com</w:t>
      </w:r>
      <w:r w:rsidR="004B1A93">
        <w:t>panies. In 1990, foreign shareholders</w:t>
      </w:r>
      <w:r w:rsidRPr="00950C16">
        <w:t xml:space="preserve"> </w:t>
      </w:r>
      <w:r w:rsidR="00577A84" w:rsidRPr="00950C16">
        <w:t xml:space="preserve">owned </w:t>
      </w:r>
      <w:r w:rsidR="00E83986">
        <w:t>approximately</w:t>
      </w:r>
      <w:r w:rsidRPr="00950C16">
        <w:t xml:space="preserve"> 5 per cent</w:t>
      </w:r>
      <w:r w:rsidR="00E83986">
        <w:t xml:space="preserve"> of the Nikkei 225 companies, but</w:t>
      </w:r>
      <w:r w:rsidRPr="00950C16">
        <w:t xml:space="preserve"> </w:t>
      </w:r>
      <w:r w:rsidR="00E83986">
        <w:t>by</w:t>
      </w:r>
      <w:r w:rsidRPr="00950C16">
        <w:t xml:space="preserve"> 2014, </w:t>
      </w:r>
      <w:r w:rsidR="00577A84" w:rsidRPr="00950C16">
        <w:t>foreign</w:t>
      </w:r>
      <w:r w:rsidRPr="00950C16">
        <w:t xml:space="preserve"> ownership </w:t>
      </w:r>
      <w:r w:rsidR="00577A84" w:rsidRPr="00950C16">
        <w:t xml:space="preserve">rose </w:t>
      </w:r>
      <w:r w:rsidRPr="00950C16">
        <w:t xml:space="preserve">to </w:t>
      </w:r>
      <w:r w:rsidR="00F42040">
        <w:t>a</w:t>
      </w:r>
      <w:r w:rsidR="00F42040" w:rsidRPr="00950C16">
        <w:t xml:space="preserve"> </w:t>
      </w:r>
      <w:r w:rsidRPr="00950C16">
        <w:t xml:space="preserve">staggering 32 per cent. This </w:t>
      </w:r>
      <w:r w:rsidR="00E83986">
        <w:t>increase stands</w:t>
      </w:r>
      <w:r w:rsidRPr="00950C16">
        <w:t xml:space="preserve"> in sharp contrast </w:t>
      </w:r>
      <w:r w:rsidR="00577A84" w:rsidRPr="00950C16">
        <w:t xml:space="preserve">to </w:t>
      </w:r>
      <w:r w:rsidRPr="00950C16">
        <w:t xml:space="preserve">the decline </w:t>
      </w:r>
      <w:r w:rsidR="00E83986">
        <w:t>in</w:t>
      </w:r>
      <w:r w:rsidRPr="00950C16">
        <w:t xml:space="preserve"> ownership by city and regional banks</w:t>
      </w:r>
      <w:r w:rsidR="00E83986">
        <w:t>, which</w:t>
      </w:r>
      <w:r w:rsidRPr="00950C16">
        <w:t xml:space="preserve"> coincided with Japan’s reform initiatives</w:t>
      </w:r>
      <w:r w:rsidR="00E83986">
        <w:t>,</w:t>
      </w:r>
      <w:r w:rsidRPr="00950C16">
        <w:t xml:space="preserve"> includ</w:t>
      </w:r>
      <w:r w:rsidR="00E83986">
        <w:t>ing</w:t>
      </w:r>
      <w:r w:rsidRPr="00950C16">
        <w:t xml:space="preserve"> the introduction of </w:t>
      </w:r>
      <w:r w:rsidR="00577A84" w:rsidRPr="00950C16">
        <w:t xml:space="preserve">the </w:t>
      </w:r>
      <w:r w:rsidRPr="00950C16">
        <w:t>Securities and Exchange Law, Japan’s primary takeover legislation</w:t>
      </w:r>
      <w:r w:rsidRPr="00950C16">
        <w:rPr>
          <w:rStyle w:val="FootnoteReference"/>
        </w:rPr>
        <w:footnoteReference w:id="20"/>
      </w:r>
      <w:r w:rsidRPr="00950C16">
        <w:t xml:space="preserve">, and </w:t>
      </w:r>
      <w:r w:rsidR="00577A84" w:rsidRPr="00950C16">
        <w:t xml:space="preserve">efforts by </w:t>
      </w:r>
      <w:r w:rsidRPr="00950C16">
        <w:t xml:space="preserve">the government </w:t>
      </w:r>
      <w:r w:rsidR="00577A84" w:rsidRPr="00950C16">
        <w:t>to buy</w:t>
      </w:r>
      <w:r w:rsidRPr="00950C16">
        <w:t xml:space="preserve"> cross-held shares in a special fund that sold to private </w:t>
      </w:r>
      <w:r w:rsidR="00577A84" w:rsidRPr="00950C16">
        <w:t xml:space="preserve">equity </w:t>
      </w:r>
      <w:r w:rsidRPr="00950C16">
        <w:t>firms. Since then, Japan has experienced a wave of corporate takeovers, including unsolicited hostile takeovers.</w:t>
      </w:r>
      <w:r w:rsidRPr="00950C16">
        <w:rPr>
          <w:rStyle w:val="FootnoteReference"/>
        </w:rPr>
        <w:footnoteReference w:id="21"/>
      </w:r>
      <w:r w:rsidRPr="00950C16">
        <w:t xml:space="preserve"> </w:t>
      </w:r>
    </w:p>
    <w:p w14:paraId="590CA793" w14:textId="77777777" w:rsidR="00671272" w:rsidRPr="00950C16" w:rsidRDefault="00671272" w:rsidP="00671272">
      <w:pPr>
        <w:jc w:val="both"/>
      </w:pPr>
    </w:p>
    <w:p w14:paraId="55859442" w14:textId="04BACC13" w:rsidR="00671272" w:rsidRPr="00630192" w:rsidRDefault="008344C4" w:rsidP="00671272">
      <w:pPr>
        <w:jc w:val="both"/>
        <w:rPr>
          <w:i/>
        </w:rPr>
      </w:pPr>
      <w:r w:rsidRPr="00630192">
        <w:rPr>
          <w:i/>
        </w:rPr>
        <w:t xml:space="preserve">2.2 </w:t>
      </w:r>
      <w:r w:rsidR="00F12481" w:rsidRPr="00630192">
        <w:rPr>
          <w:i/>
        </w:rPr>
        <w:t xml:space="preserve">The market for corporate control </w:t>
      </w:r>
    </w:p>
    <w:p w14:paraId="00958A5D" w14:textId="77777777" w:rsidR="00671272" w:rsidRPr="00950C16" w:rsidRDefault="00671272" w:rsidP="00671272">
      <w:pPr>
        <w:jc w:val="both"/>
      </w:pPr>
    </w:p>
    <w:p w14:paraId="03E9B1DC" w14:textId="748036B1" w:rsidR="00671272" w:rsidRPr="00950C16" w:rsidRDefault="00F12481" w:rsidP="00671272">
      <w:pPr>
        <w:jc w:val="both"/>
      </w:pPr>
      <w:r w:rsidRPr="00950C16">
        <w:t>The current market for corporate control in Japan is one of the most active in advanced economies</w:t>
      </w:r>
      <w:r w:rsidR="00467C35">
        <w:t xml:space="preserve"> as</w:t>
      </w:r>
      <w:r w:rsidRPr="00950C16">
        <w:t xml:space="preserve"> measured by the total number of M&amp;A activities. Before the 2008 financial crisis, there were 2,776 merger and acquisition</w:t>
      </w:r>
      <w:r w:rsidR="002A4214">
        <w:t xml:space="preserve"> deals</w:t>
      </w:r>
      <w:r w:rsidRPr="00950C16">
        <w:t>.</w:t>
      </w:r>
      <w:r w:rsidRPr="00950C16">
        <w:rPr>
          <w:rStyle w:val="FootnoteReference"/>
        </w:rPr>
        <w:footnoteReference w:id="22"/>
      </w:r>
      <w:r w:rsidRPr="00950C16">
        <w:t xml:space="preserve"> In terms of the number of takeover bid</w:t>
      </w:r>
      <w:r w:rsidR="002D4581" w:rsidRPr="00950C16">
        <w:t>s</w:t>
      </w:r>
      <w:r w:rsidRPr="00950C16">
        <w:t xml:space="preserve"> made, there are, on average, 70 cases per year</w:t>
      </w:r>
      <w:r w:rsidRPr="00950C16">
        <w:rPr>
          <w:rStyle w:val="FootnoteReference"/>
        </w:rPr>
        <w:footnoteReference w:id="23"/>
      </w:r>
      <w:r w:rsidRPr="00950C16">
        <w:t xml:space="preserve">, compared </w:t>
      </w:r>
      <w:r w:rsidR="002A4214">
        <w:t>with</w:t>
      </w:r>
      <w:r w:rsidRPr="00950C16">
        <w:t xml:space="preserve"> </w:t>
      </w:r>
      <w:r w:rsidR="002D4581" w:rsidRPr="00950C16">
        <w:t xml:space="preserve">the </w:t>
      </w:r>
      <w:r w:rsidRPr="00950C16">
        <w:t>LSE’s average of 115 cases per year.</w:t>
      </w:r>
      <w:r w:rsidRPr="00950C16">
        <w:rPr>
          <w:rStyle w:val="FootnoteReference"/>
        </w:rPr>
        <w:footnoteReference w:id="24"/>
      </w:r>
      <w:r w:rsidRPr="00950C16">
        <w:t xml:space="preserve"> Japan’s market for corporate control </w:t>
      </w:r>
      <w:r w:rsidR="002A4214">
        <w:t>is characterised by</w:t>
      </w:r>
      <w:r w:rsidRPr="00950C16">
        <w:t xml:space="preserve"> </w:t>
      </w:r>
      <w:r w:rsidR="002D4581" w:rsidRPr="00950C16">
        <w:t xml:space="preserve">more </w:t>
      </w:r>
      <w:r w:rsidRPr="00950C16">
        <w:t>outbound than inbound</w:t>
      </w:r>
      <w:r w:rsidR="002A4214">
        <w:t xml:space="preserve"> activities</w:t>
      </w:r>
      <w:r w:rsidRPr="00950C16">
        <w:t>, few takeovers by foreign investors, and friendly rather than unsolicited</w:t>
      </w:r>
      <w:r w:rsidR="002A4214">
        <w:t>,</w:t>
      </w:r>
      <w:r w:rsidRPr="00950C16">
        <w:t xml:space="preserve"> hostile takeover</w:t>
      </w:r>
      <w:r w:rsidR="002B0A72">
        <w:t xml:space="preserve"> bids</w:t>
      </w:r>
      <w:r w:rsidRPr="00950C16">
        <w:t xml:space="preserve">. One feature of Japan’s market is that there </w:t>
      </w:r>
      <w:r w:rsidR="00F42040">
        <w:t>have been</w:t>
      </w:r>
      <w:r w:rsidRPr="00950C16">
        <w:t xml:space="preserve"> no successful foreign takeover</w:t>
      </w:r>
      <w:r w:rsidR="002A4214">
        <w:t>s</w:t>
      </w:r>
      <w:r w:rsidR="00D27966" w:rsidRPr="00950C16">
        <w:t>—</w:t>
      </w:r>
      <w:r w:rsidRPr="00950C16">
        <w:t xml:space="preserve">friendly </w:t>
      </w:r>
      <w:r w:rsidR="002A4214">
        <w:t>or</w:t>
      </w:r>
      <w:r w:rsidRPr="00950C16">
        <w:t xml:space="preserve"> hostile</w:t>
      </w:r>
      <w:r w:rsidR="00D27966" w:rsidRPr="00950C16">
        <w:t>—</w:t>
      </w:r>
      <w:r w:rsidRPr="00950C16">
        <w:t>of major Japanese companies</w:t>
      </w:r>
      <w:r w:rsidR="00CD7DCB">
        <w:rPr>
          <w:rStyle w:val="FootnoteReference"/>
        </w:rPr>
        <w:footnoteReference w:id="25"/>
      </w:r>
      <w:r w:rsidR="002A4214">
        <w:t>,</w:t>
      </w:r>
      <w:r w:rsidRPr="00950C16">
        <w:t xml:space="preserve"> </w:t>
      </w:r>
      <w:r w:rsidR="002A4214">
        <w:t>w</w:t>
      </w:r>
      <w:r w:rsidRPr="00950C16">
        <w:t xml:space="preserve">hereas the UK, France, and </w:t>
      </w:r>
      <w:r w:rsidR="00E65A26" w:rsidRPr="00950C16">
        <w:t xml:space="preserve">the </w:t>
      </w:r>
      <w:r w:rsidRPr="00950C16">
        <w:t xml:space="preserve">US have </w:t>
      </w:r>
      <w:r w:rsidR="00E65A26" w:rsidRPr="00950C16">
        <w:t xml:space="preserve">all </w:t>
      </w:r>
      <w:r w:rsidRPr="00950C16">
        <w:t xml:space="preserve">experienced foreign takeovers of major companies. </w:t>
      </w:r>
      <w:r w:rsidR="002A4214">
        <w:t>This</w:t>
      </w:r>
      <w:r w:rsidR="00E65A26" w:rsidRPr="00950C16">
        <w:t xml:space="preserve"> </w:t>
      </w:r>
      <w:r w:rsidRPr="00950C16">
        <w:t xml:space="preserve">lack of internationalisation of major Japanese companies via foreign takeovers </w:t>
      </w:r>
      <w:r w:rsidR="002A4214">
        <w:t>can be</w:t>
      </w:r>
      <w:r w:rsidRPr="00950C16">
        <w:t xml:space="preserve"> attributed to many factors</w:t>
      </w:r>
      <w:r w:rsidR="00E65A26" w:rsidRPr="00950C16">
        <w:t>,</w:t>
      </w:r>
      <w:r w:rsidRPr="00950C16">
        <w:t xml:space="preserve"> such as </w:t>
      </w:r>
      <w:r w:rsidR="00E65A26" w:rsidRPr="00950C16">
        <w:t xml:space="preserve">the </w:t>
      </w:r>
      <w:r w:rsidRPr="00950C16">
        <w:t xml:space="preserve">national sentiment of retail investors, the rigid business practice </w:t>
      </w:r>
      <w:r w:rsidR="00627952">
        <w:t>of</w:t>
      </w:r>
      <w:r w:rsidRPr="00950C16">
        <w:t xml:space="preserve"> cross-shareholding, and </w:t>
      </w:r>
      <w:r w:rsidR="00510AEF">
        <w:t>other structural</w:t>
      </w:r>
      <w:r w:rsidR="00E65A26" w:rsidRPr="00950C16">
        <w:t xml:space="preserve"> barriers</w:t>
      </w:r>
      <w:r w:rsidRPr="00950C16">
        <w:t xml:space="preserve">. </w:t>
      </w:r>
    </w:p>
    <w:p w14:paraId="3758EE82" w14:textId="77777777" w:rsidR="00671272" w:rsidRPr="00950C16" w:rsidRDefault="00671272" w:rsidP="00671272">
      <w:pPr>
        <w:jc w:val="both"/>
      </w:pPr>
    </w:p>
    <w:p w14:paraId="69C2CF4B" w14:textId="77777777" w:rsidR="00671272" w:rsidRDefault="00F12481" w:rsidP="00671272">
      <w:pPr>
        <w:jc w:val="both"/>
      </w:pPr>
      <w:r w:rsidRPr="00950C16">
        <w:t xml:space="preserve">Japan has a dispersed ownership structure </w:t>
      </w:r>
      <w:r w:rsidR="00627952">
        <w:t xml:space="preserve">that is </w:t>
      </w:r>
      <w:r w:rsidR="00E65A26" w:rsidRPr="00950C16">
        <w:t xml:space="preserve">similar </w:t>
      </w:r>
      <w:r w:rsidRPr="00950C16">
        <w:t xml:space="preserve">to </w:t>
      </w:r>
      <w:r w:rsidR="00627952">
        <w:t xml:space="preserve">that of </w:t>
      </w:r>
      <w:r w:rsidRPr="00950C16">
        <w:t xml:space="preserve">the UK and other advanced economies </w:t>
      </w:r>
      <w:r w:rsidR="00627952">
        <w:t>among</w:t>
      </w:r>
      <w:r w:rsidRPr="00950C16">
        <w:t xml:space="preserve"> the EU member states. It also has a high level of foreign ownership</w:t>
      </w:r>
      <w:r w:rsidR="00627952">
        <w:t>, which</w:t>
      </w:r>
      <w:r w:rsidRPr="00950C16">
        <w:t xml:space="preserve"> does not </w:t>
      </w:r>
      <w:r w:rsidR="00627952">
        <w:t>accord</w:t>
      </w:r>
      <w:r w:rsidRPr="00950C16">
        <w:t xml:space="preserve"> with the perception of a foreclosed capital market. Japan enjoys a high number of takeover offer announcements filed with regulator</w:t>
      </w:r>
      <w:r w:rsidR="00E65A26" w:rsidRPr="00950C16">
        <w:t>s</w:t>
      </w:r>
      <w:r w:rsidR="00627952">
        <w:t>, which</w:t>
      </w:r>
      <w:r w:rsidRPr="00950C16">
        <w:t xml:space="preserve"> indicates that there is a market for corporate control, although the precise merger and acquisition </w:t>
      </w:r>
      <w:r w:rsidR="00627952">
        <w:t xml:space="preserve">methods </w:t>
      </w:r>
      <w:r w:rsidRPr="00950C16">
        <w:t>need to be surveyed.</w:t>
      </w:r>
    </w:p>
    <w:p w14:paraId="71975792" w14:textId="77777777" w:rsidR="004B1A93" w:rsidRDefault="004B1A93" w:rsidP="00671272">
      <w:pPr>
        <w:jc w:val="both"/>
      </w:pPr>
    </w:p>
    <w:p w14:paraId="56076862" w14:textId="77777777" w:rsidR="004B1A93" w:rsidRPr="00950C16" w:rsidRDefault="004B1A93" w:rsidP="00671272">
      <w:pPr>
        <w:jc w:val="both"/>
      </w:pPr>
    </w:p>
    <w:p w14:paraId="753C6A9D" w14:textId="77777777" w:rsidR="00671272" w:rsidRPr="00950C16" w:rsidRDefault="004B1A93" w:rsidP="00671272">
      <w:pPr>
        <w:jc w:val="both"/>
      </w:pPr>
      <w:r w:rsidRPr="004B1A93">
        <w:rPr>
          <w:noProof/>
          <w:lang w:eastAsia="zh-TW"/>
        </w:rPr>
        <w:drawing>
          <wp:inline distT="0" distB="0" distL="0" distR="0" wp14:anchorId="20B9FC0A" wp14:editId="1A06BD2A">
            <wp:extent cx="5270500" cy="3952875"/>
            <wp:effectExtent l="0" t="0" r="12700" b="9525"/>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0500" cy="3952875"/>
                    </a:xfrm>
                    <a:prstGeom prst="rect">
                      <a:avLst/>
                    </a:prstGeom>
                    <a:noFill/>
                    <a:ln>
                      <a:noFill/>
                    </a:ln>
                  </pic:spPr>
                </pic:pic>
              </a:graphicData>
            </a:graphic>
          </wp:inline>
        </w:drawing>
      </w:r>
    </w:p>
    <w:p w14:paraId="29D30245" w14:textId="77777777" w:rsidR="00671272" w:rsidRPr="00950C16" w:rsidRDefault="004B1A93" w:rsidP="00671272">
      <w:pPr>
        <w:jc w:val="both"/>
      </w:pPr>
      <w:r w:rsidRPr="004B1A93">
        <w:lastRenderedPageBreak/>
        <w:t xml:space="preserve"> </w:t>
      </w:r>
      <w:r w:rsidRPr="004B1A93">
        <w:rPr>
          <w:noProof/>
          <w:lang w:eastAsia="zh-TW"/>
        </w:rPr>
        <w:drawing>
          <wp:inline distT="0" distB="0" distL="0" distR="0" wp14:anchorId="0F93AA36" wp14:editId="2EF584B4">
            <wp:extent cx="5270500" cy="3952875"/>
            <wp:effectExtent l="0" t="0" r="12700" b="952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0500" cy="3952875"/>
                    </a:xfrm>
                    <a:prstGeom prst="rect">
                      <a:avLst/>
                    </a:prstGeom>
                    <a:noFill/>
                    <a:ln>
                      <a:noFill/>
                    </a:ln>
                  </pic:spPr>
                </pic:pic>
              </a:graphicData>
            </a:graphic>
          </wp:inline>
        </w:drawing>
      </w:r>
    </w:p>
    <w:p w14:paraId="1F0AE703" w14:textId="77777777" w:rsidR="00671272" w:rsidRPr="00950C16" w:rsidRDefault="00671272" w:rsidP="00671272">
      <w:pPr>
        <w:jc w:val="both"/>
      </w:pPr>
    </w:p>
    <w:p w14:paraId="004D1EAF" w14:textId="77777777" w:rsidR="00671272" w:rsidRPr="00950C16" w:rsidRDefault="00671272" w:rsidP="00671272">
      <w:pPr>
        <w:jc w:val="both"/>
      </w:pPr>
    </w:p>
    <w:p w14:paraId="299EC2B8" w14:textId="77777777" w:rsidR="00671272" w:rsidRPr="00950C16" w:rsidRDefault="004B1A93" w:rsidP="00671272">
      <w:pPr>
        <w:jc w:val="both"/>
      </w:pPr>
      <w:r w:rsidRPr="004B1A93">
        <w:rPr>
          <w:noProof/>
          <w:lang w:eastAsia="zh-TW"/>
        </w:rPr>
        <w:drawing>
          <wp:inline distT="0" distB="0" distL="0" distR="0" wp14:anchorId="1BF0B1E1" wp14:editId="7BE4B8F6">
            <wp:extent cx="5270500" cy="3952875"/>
            <wp:effectExtent l="0" t="0" r="12700" b="9525"/>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0500" cy="3952875"/>
                    </a:xfrm>
                    <a:prstGeom prst="rect">
                      <a:avLst/>
                    </a:prstGeom>
                    <a:noFill/>
                    <a:ln>
                      <a:noFill/>
                    </a:ln>
                  </pic:spPr>
                </pic:pic>
              </a:graphicData>
            </a:graphic>
          </wp:inline>
        </w:drawing>
      </w:r>
    </w:p>
    <w:p w14:paraId="4AA0C797" w14:textId="77777777" w:rsidR="00671272" w:rsidRPr="00950C16" w:rsidRDefault="00671272" w:rsidP="00671272">
      <w:pPr>
        <w:jc w:val="both"/>
      </w:pPr>
    </w:p>
    <w:p w14:paraId="1515BD4E" w14:textId="77777777" w:rsidR="00671272" w:rsidRPr="00950C16" w:rsidRDefault="00671272" w:rsidP="00671272">
      <w:pPr>
        <w:jc w:val="both"/>
      </w:pPr>
    </w:p>
    <w:p w14:paraId="7E0C1DD1" w14:textId="77777777" w:rsidR="00671272" w:rsidRPr="00950C16" w:rsidRDefault="00671272" w:rsidP="00671272">
      <w:pPr>
        <w:jc w:val="both"/>
      </w:pPr>
    </w:p>
    <w:p w14:paraId="31E0DBE1" w14:textId="77777777" w:rsidR="00671272" w:rsidRPr="00950C16" w:rsidRDefault="00671272" w:rsidP="00671272">
      <w:pPr>
        <w:jc w:val="both"/>
      </w:pPr>
    </w:p>
    <w:p w14:paraId="1A601172" w14:textId="77777777" w:rsidR="00671272" w:rsidRPr="00950C16" w:rsidRDefault="00F12481" w:rsidP="00671272">
      <w:pPr>
        <w:jc w:val="both"/>
        <w:rPr>
          <w:b/>
        </w:rPr>
      </w:pPr>
      <w:r w:rsidRPr="00950C16">
        <w:rPr>
          <w:b/>
        </w:rPr>
        <w:t>3. No apparent anti-takeover regulation</w:t>
      </w:r>
    </w:p>
    <w:p w14:paraId="7289F98F" w14:textId="77777777" w:rsidR="00671272" w:rsidRPr="00950C16" w:rsidRDefault="00671272" w:rsidP="00671272">
      <w:pPr>
        <w:jc w:val="both"/>
      </w:pPr>
    </w:p>
    <w:p w14:paraId="3237D72A" w14:textId="77777777" w:rsidR="00671272" w:rsidRPr="00950C16" w:rsidRDefault="00F12481" w:rsidP="00671272">
      <w:pPr>
        <w:jc w:val="both"/>
      </w:pPr>
      <w:r w:rsidRPr="00950C16">
        <w:t xml:space="preserve">As discussed, the increase </w:t>
      </w:r>
      <w:r w:rsidR="001821AA">
        <w:t>in</w:t>
      </w:r>
      <w:r w:rsidRPr="00950C16">
        <w:t xml:space="preserve"> foreign ownership in </w:t>
      </w:r>
      <w:r w:rsidR="00E05E3B" w:rsidRPr="00950C16">
        <w:t xml:space="preserve">the </w:t>
      </w:r>
      <w:r w:rsidRPr="00950C16">
        <w:t xml:space="preserve">Nikkei 225 coincided with the introduction of the FIE, Japan’s primary takeover legislation. </w:t>
      </w:r>
      <w:r w:rsidR="00F42040">
        <w:t>This paper</w:t>
      </w:r>
      <w:r w:rsidRPr="00950C16">
        <w:t xml:space="preserve"> takes a thematic approach to analyse Japan’s takeover law</w:t>
      </w:r>
      <w:r w:rsidR="00E05E3B" w:rsidRPr="00950C16">
        <w:t>,</w:t>
      </w:r>
      <w:r w:rsidRPr="00950C16">
        <w:t xml:space="preserve"> </w:t>
      </w:r>
      <w:r w:rsidR="00E05E3B" w:rsidRPr="00950C16">
        <w:t xml:space="preserve">which </w:t>
      </w:r>
      <w:r w:rsidRPr="00950C16">
        <w:t>consists of the FIE and court</w:t>
      </w:r>
      <w:r w:rsidR="00E05E3B" w:rsidRPr="00950C16">
        <w:t>-</w:t>
      </w:r>
      <w:r w:rsidRPr="00950C16">
        <w:t xml:space="preserve">developed rules. </w:t>
      </w:r>
      <w:r w:rsidR="001821AA">
        <w:t>A</w:t>
      </w:r>
      <w:r w:rsidRPr="00950C16">
        <w:t xml:space="preserve"> number of regulatory themes can be used to discern </w:t>
      </w:r>
      <w:r w:rsidR="00E05E3B" w:rsidRPr="00950C16">
        <w:t xml:space="preserve">whether </w:t>
      </w:r>
      <w:r w:rsidR="001821AA">
        <w:t>the rules have</w:t>
      </w:r>
      <w:r w:rsidRPr="00950C16">
        <w:t xml:space="preserve"> an anti-takeover effect and</w:t>
      </w:r>
      <w:r w:rsidR="00D82E83">
        <w:t xml:space="preserve"> tendency. These themes are </w:t>
      </w:r>
      <w:r w:rsidRPr="00950C16">
        <w:t>stake-building control, virtual bid control, commitment control, mandatory bid</w:t>
      </w:r>
      <w:r w:rsidR="00707F4C" w:rsidRPr="00950C16">
        <w:t xml:space="preserve"> requirements</w:t>
      </w:r>
      <w:r w:rsidR="00E05E3B" w:rsidRPr="00950C16">
        <w:t>,</w:t>
      </w:r>
      <w:r w:rsidRPr="00950C16">
        <w:t xml:space="preserve"> and finally</w:t>
      </w:r>
      <w:r w:rsidR="005635FA" w:rsidRPr="00950C16">
        <w:t>,</w:t>
      </w:r>
      <w:r w:rsidRPr="00950C16">
        <w:t xml:space="preserve"> </w:t>
      </w:r>
      <w:r w:rsidR="00E05E3B" w:rsidRPr="00950C16">
        <w:t xml:space="preserve">control of </w:t>
      </w:r>
      <w:r w:rsidRPr="00950C16">
        <w:t xml:space="preserve">defensive measures. </w:t>
      </w:r>
    </w:p>
    <w:p w14:paraId="2346359C" w14:textId="77777777" w:rsidR="00671272" w:rsidRPr="00950C16" w:rsidRDefault="00671272" w:rsidP="00671272">
      <w:pPr>
        <w:jc w:val="both"/>
      </w:pPr>
    </w:p>
    <w:p w14:paraId="578362DC" w14:textId="77777777" w:rsidR="00671272" w:rsidRPr="00950C16" w:rsidRDefault="00F12481" w:rsidP="00671272">
      <w:pPr>
        <w:jc w:val="both"/>
        <w:rPr>
          <w:i/>
        </w:rPr>
      </w:pPr>
      <w:r w:rsidRPr="00950C16">
        <w:rPr>
          <w:i/>
        </w:rPr>
        <w:t>3.1 Stake-building control</w:t>
      </w:r>
    </w:p>
    <w:p w14:paraId="66746CCF" w14:textId="77777777" w:rsidR="00671272" w:rsidRPr="00950C16" w:rsidRDefault="00671272" w:rsidP="00671272">
      <w:pPr>
        <w:jc w:val="both"/>
        <w:rPr>
          <w:i/>
        </w:rPr>
      </w:pPr>
    </w:p>
    <w:p w14:paraId="1B7F27B4" w14:textId="77777777" w:rsidR="00671272" w:rsidRPr="00950C16" w:rsidRDefault="00F12481" w:rsidP="00671272">
      <w:pPr>
        <w:jc w:val="both"/>
      </w:pPr>
      <w:r w:rsidRPr="00950C16">
        <w:t xml:space="preserve">Stake-building is a </w:t>
      </w:r>
      <w:r w:rsidR="00F42040">
        <w:t>mechanism for</w:t>
      </w:r>
      <w:r w:rsidRPr="00950C16">
        <w:t xml:space="preserve"> an acquirer to acquire </w:t>
      </w:r>
      <w:r w:rsidR="009F7A62">
        <w:t>control</w:t>
      </w:r>
      <w:r w:rsidRPr="00950C16">
        <w:t xml:space="preserve"> in a company discreetly and without paying a control premium. </w:t>
      </w:r>
      <w:r w:rsidR="00F42040">
        <w:t>At the same time</w:t>
      </w:r>
      <w:r w:rsidR="001821AA">
        <w:t>, t</w:t>
      </w:r>
      <w:r w:rsidRPr="00950C16">
        <w:t xml:space="preserve">he target company </w:t>
      </w:r>
      <w:r w:rsidR="001821AA">
        <w:t>wants</w:t>
      </w:r>
      <w:r w:rsidRPr="00950C16">
        <w:t xml:space="preserve"> to be </w:t>
      </w:r>
      <w:r w:rsidR="00024457" w:rsidRPr="00950C16">
        <w:t xml:space="preserve">aware </w:t>
      </w:r>
      <w:r w:rsidRPr="00950C16">
        <w:t xml:space="preserve">of </w:t>
      </w:r>
      <w:r w:rsidR="001821AA">
        <w:t>a potential</w:t>
      </w:r>
      <w:r w:rsidR="00024457" w:rsidRPr="00950C16">
        <w:t xml:space="preserve"> </w:t>
      </w:r>
      <w:r w:rsidRPr="00950C16">
        <w:t xml:space="preserve">acquirer building a stake in the company </w:t>
      </w:r>
      <w:r w:rsidR="00F42040">
        <w:t>so that it can</w:t>
      </w:r>
      <w:r w:rsidRPr="00950C16">
        <w:t xml:space="preserve"> plan its defence strategies. The</w:t>
      </w:r>
      <w:r w:rsidR="00954619">
        <w:t>se</w:t>
      </w:r>
      <w:r w:rsidRPr="00950C16">
        <w:t xml:space="preserve"> strategies can involve bringing the acquirer to the negotiati</w:t>
      </w:r>
      <w:r w:rsidR="00954619">
        <w:t>ng</w:t>
      </w:r>
      <w:r w:rsidRPr="00950C16">
        <w:t xml:space="preserve"> table or thwart</w:t>
      </w:r>
      <w:r w:rsidR="00024457" w:rsidRPr="00950C16">
        <w:t>ing</w:t>
      </w:r>
      <w:r w:rsidRPr="00950C16">
        <w:t xml:space="preserve"> the acquirer’s plan before a takeover </w:t>
      </w:r>
      <w:r w:rsidR="00024457" w:rsidRPr="00950C16">
        <w:t xml:space="preserve">becomes </w:t>
      </w:r>
      <w:r w:rsidRPr="00950C16">
        <w:t xml:space="preserve">imminent. Requiring an acquirer to disclose </w:t>
      </w:r>
      <w:r w:rsidR="00954619">
        <w:t>its</w:t>
      </w:r>
      <w:r w:rsidRPr="00950C16">
        <w:t xml:space="preserve"> stake in the company makes the acquisition process more transparent and allows the target to identify a potential acquirer and monitor its </w:t>
      </w:r>
      <w:r w:rsidR="00954619">
        <w:t>holdings</w:t>
      </w:r>
      <w:r w:rsidRPr="00950C16">
        <w:t xml:space="preserve">. </w:t>
      </w:r>
      <w:r w:rsidR="00954619">
        <w:t>A</w:t>
      </w:r>
      <w:r w:rsidRPr="00950C16">
        <w:t xml:space="preserve"> ‘creeping control’ provision essentially restricts the time frame within which a person</w:t>
      </w:r>
      <w:r w:rsidR="00954619">
        <w:t xml:space="preserve"> </w:t>
      </w:r>
      <w:r w:rsidRPr="00950C16">
        <w:t>can obtain statutory control of a company. The FIE requires a person who holds more than 5 per cent of the shares issued by a listed company, whether jointly or with other holders, to file a ‘large shareholding report’ (LSR) within 5 business days from the date when the shareholding exceeds this threshold.</w:t>
      </w:r>
      <w:r w:rsidRPr="00950C16">
        <w:rPr>
          <w:rStyle w:val="FootnoteReference"/>
        </w:rPr>
        <w:footnoteReference w:id="26"/>
      </w:r>
      <w:r w:rsidRPr="00950C16">
        <w:t xml:space="preserve"> After such a filing, an increase or decrease by 1 per cent or more require</w:t>
      </w:r>
      <w:r w:rsidR="00954619">
        <w:t>s</w:t>
      </w:r>
      <w:r w:rsidRPr="00950C16">
        <w:t xml:space="preserve"> an amendment </w:t>
      </w:r>
      <w:r w:rsidR="00954619">
        <w:t xml:space="preserve">to be filed </w:t>
      </w:r>
      <w:r w:rsidRPr="00950C16">
        <w:t xml:space="preserve">within 5 business days. </w:t>
      </w:r>
      <w:r w:rsidR="00954619">
        <w:t>These provisions</w:t>
      </w:r>
      <w:r w:rsidRPr="00950C16">
        <w:t xml:space="preserve"> result in a burden on </w:t>
      </w:r>
      <w:r w:rsidR="00954619">
        <w:t>a</w:t>
      </w:r>
      <w:r w:rsidRPr="00950C16">
        <w:t xml:space="preserve"> potential acquirer</w:t>
      </w:r>
      <w:r w:rsidR="00954619">
        <w:t xml:space="preserve"> and represent</w:t>
      </w:r>
      <w:r w:rsidRPr="00950C16">
        <w:t xml:space="preserve"> effective control of capital movement </w:t>
      </w:r>
      <w:r w:rsidR="00954619">
        <w:t>by</w:t>
      </w:r>
      <w:r w:rsidRPr="00950C16">
        <w:t xml:space="preserve"> provid</w:t>
      </w:r>
      <w:r w:rsidR="00954619">
        <w:t>ing</w:t>
      </w:r>
      <w:r w:rsidRPr="00950C16">
        <w:t xml:space="preserve"> information </w:t>
      </w:r>
      <w:r w:rsidR="00954619">
        <w:t xml:space="preserve">that </w:t>
      </w:r>
      <w:r w:rsidRPr="00950C16">
        <w:t>enabl</w:t>
      </w:r>
      <w:r w:rsidR="00954619">
        <w:t>es</w:t>
      </w:r>
      <w:r w:rsidRPr="00950C16">
        <w:t xml:space="preserve"> </w:t>
      </w:r>
      <w:r w:rsidR="00954619">
        <w:t>a</w:t>
      </w:r>
      <w:r w:rsidRPr="00950C16">
        <w:t xml:space="preserve"> target company to monitor the position of any potential acquirer. </w:t>
      </w:r>
      <w:r w:rsidR="000C22F9">
        <w:t>However, t</w:t>
      </w:r>
      <w:r w:rsidRPr="00950C16">
        <w:t xml:space="preserve">here is no significant difference </w:t>
      </w:r>
      <w:r w:rsidR="00024457" w:rsidRPr="00950C16">
        <w:t xml:space="preserve">between </w:t>
      </w:r>
      <w:r w:rsidRPr="00950C16">
        <w:t xml:space="preserve">Japan’s requirement </w:t>
      </w:r>
      <w:r w:rsidR="000C22F9">
        <w:t>for</w:t>
      </w:r>
      <w:r w:rsidRPr="00950C16">
        <w:t xml:space="preserve"> such disclosure </w:t>
      </w:r>
      <w:r w:rsidR="00024457" w:rsidRPr="00950C16">
        <w:t xml:space="preserve">and those of </w:t>
      </w:r>
      <w:r w:rsidRPr="00950C16">
        <w:t xml:space="preserve">the UK and the EU. </w:t>
      </w:r>
      <w:r w:rsidR="000C22F9">
        <w:t>In fact, t</w:t>
      </w:r>
      <w:r w:rsidRPr="00950C16">
        <w:t>he UK’s Disclosure Rules and Transparency Rules (DTRs) require a more stringent threshold of 3 per cent.</w:t>
      </w:r>
      <w:r w:rsidRPr="00950C16">
        <w:rPr>
          <w:rStyle w:val="FootnoteReference"/>
        </w:rPr>
        <w:footnoteReference w:id="27"/>
      </w:r>
      <w:r w:rsidRPr="00950C16">
        <w:t xml:space="preserve"> In addition to </w:t>
      </w:r>
      <w:r w:rsidR="00024457" w:rsidRPr="00950C16">
        <w:t xml:space="preserve">the requirement that </w:t>
      </w:r>
      <w:r w:rsidRPr="00950C16">
        <w:t xml:space="preserve">this disclosure be made to the issuer company, </w:t>
      </w:r>
      <w:r w:rsidR="00024457" w:rsidRPr="00950C16">
        <w:t xml:space="preserve">the </w:t>
      </w:r>
      <w:r w:rsidRPr="00950C16">
        <w:t xml:space="preserve">UK Companies Act 2006 also provides that a company </w:t>
      </w:r>
      <w:r w:rsidR="000C22F9">
        <w:t>can</w:t>
      </w:r>
      <w:r w:rsidRPr="00950C16">
        <w:t xml:space="preserve"> serve notice on any person whom the company knows or has reasonable cause to believe has an interest in the company’s shares or had an interest within the last three years, requiring that person to provide information on the extent of </w:t>
      </w:r>
      <w:r w:rsidR="000C22F9">
        <w:t>his or her</w:t>
      </w:r>
      <w:r w:rsidRPr="00950C16">
        <w:t xml:space="preserve"> interest</w:t>
      </w:r>
      <w:r w:rsidR="00383AFE">
        <w:t>.</w:t>
      </w:r>
      <w:r w:rsidRPr="00950C16">
        <w:rPr>
          <w:rStyle w:val="FootnoteReference"/>
        </w:rPr>
        <w:footnoteReference w:id="28"/>
      </w:r>
      <w:r w:rsidR="00CB4820">
        <w:t xml:space="preserve"> This</w:t>
      </w:r>
      <w:r w:rsidR="000C22F9">
        <w:t xml:space="preserve"> </w:t>
      </w:r>
      <w:r w:rsidRPr="00950C16">
        <w:t>includes indirect or beneficial interests in shares or an agreement regarding the purchase of share</w:t>
      </w:r>
      <w:r w:rsidR="00024457" w:rsidRPr="00950C16">
        <w:t>s</w:t>
      </w:r>
      <w:r w:rsidR="00CB4820">
        <w:t xml:space="preserve"> </w:t>
      </w:r>
      <w:r w:rsidRPr="00950C16">
        <w:t>where parties are acting in concert.</w:t>
      </w:r>
      <w:r w:rsidRPr="00950C16">
        <w:rPr>
          <w:rStyle w:val="FootnoteReference"/>
        </w:rPr>
        <w:footnoteReference w:id="29"/>
      </w:r>
      <w:r w:rsidRPr="00950C16">
        <w:t xml:space="preserve"> Where a person fails to comply with such a notice</w:t>
      </w:r>
      <w:r w:rsidR="00024457" w:rsidRPr="00950C16">
        <w:t>,</w:t>
      </w:r>
      <w:r w:rsidRPr="00950C16">
        <w:t xml:space="preserve"> they commit an offence under the Act.</w:t>
      </w:r>
      <w:r w:rsidRPr="00950C16">
        <w:rPr>
          <w:rStyle w:val="FootnoteReference"/>
        </w:rPr>
        <w:footnoteReference w:id="30"/>
      </w:r>
      <w:r w:rsidRPr="00950C16">
        <w:t xml:space="preserve"> In addition, the company may apply for an order from the Court </w:t>
      </w:r>
      <w:r w:rsidR="00024457" w:rsidRPr="00950C16">
        <w:t xml:space="preserve">restricting </w:t>
      </w:r>
      <w:r w:rsidRPr="00950C16">
        <w:t>the rights attached to the non-</w:t>
      </w:r>
      <w:r w:rsidRPr="00950C16">
        <w:lastRenderedPageBreak/>
        <w:t>complying person’s shares</w:t>
      </w:r>
      <w:r w:rsidR="00C57AEA" w:rsidRPr="00950C16">
        <w:t>,</w:t>
      </w:r>
      <w:r w:rsidRPr="00950C16">
        <w:t xml:space="preserve"> and </w:t>
      </w:r>
      <w:r w:rsidR="000C22F9">
        <w:t>such</w:t>
      </w:r>
      <w:r w:rsidRPr="00950C16">
        <w:t xml:space="preserve"> restrictions may include a restriction on voting rights.</w:t>
      </w:r>
      <w:r w:rsidRPr="00950C16">
        <w:rPr>
          <w:rStyle w:val="FootnoteReference"/>
        </w:rPr>
        <w:footnoteReference w:id="31"/>
      </w:r>
      <w:r w:rsidRPr="00950C16">
        <w:t xml:space="preserve"> In contrast, Japan does not provide such an equivalent power to the target company. The disenfranchisement of non-disclosed shares was specifically ruled out by the Cabinet Office in Japan on a technical ground.</w:t>
      </w:r>
      <w:r w:rsidRPr="00950C16">
        <w:rPr>
          <w:rStyle w:val="FootnoteReference"/>
        </w:rPr>
        <w:footnoteReference w:id="32"/>
      </w:r>
      <w:r w:rsidRPr="00950C16">
        <w:t xml:space="preserve"> </w:t>
      </w:r>
      <w:r w:rsidR="00513A29">
        <w:t>It</w:t>
      </w:r>
      <w:r w:rsidR="00F63049" w:rsidRPr="00950C16">
        <w:t xml:space="preserve"> </w:t>
      </w:r>
      <w:r w:rsidRPr="00950C16">
        <w:t xml:space="preserve">is possible that </w:t>
      </w:r>
      <w:r w:rsidR="00513A29">
        <w:t>a</w:t>
      </w:r>
      <w:r w:rsidRPr="00950C16">
        <w:t xml:space="preserve"> person who plans a stake-building</w:t>
      </w:r>
      <w:r w:rsidR="00F63049" w:rsidRPr="00950C16">
        <w:t xml:space="preserve"> effort</w:t>
      </w:r>
      <w:r w:rsidRPr="00950C16">
        <w:t xml:space="preserve"> may fail to disclose the </w:t>
      </w:r>
      <w:r w:rsidR="00513A29">
        <w:t xml:space="preserve">required </w:t>
      </w:r>
      <w:r w:rsidRPr="00950C16">
        <w:t xml:space="preserve">information, </w:t>
      </w:r>
      <w:r w:rsidR="00F63049" w:rsidRPr="00950C16">
        <w:t xml:space="preserve">either </w:t>
      </w:r>
      <w:r w:rsidRPr="00950C16">
        <w:t xml:space="preserve">intentionally or unintentionally. In this case, the target would have no </w:t>
      </w:r>
      <w:r w:rsidR="00F63049" w:rsidRPr="00950C16">
        <w:t>way of knowing about</w:t>
      </w:r>
      <w:r w:rsidRPr="00950C16">
        <w:t xml:space="preserve"> any on-going stake-building in the company by the bidder alone or acting in concert. In some countries, the central securities depository (CSD) </w:t>
      </w:r>
      <w:r w:rsidR="00513A29">
        <w:t>holds</w:t>
      </w:r>
      <w:r w:rsidRPr="00950C16">
        <w:t xml:space="preserve"> information about the identity of shareholders. The Japan Securities Depository </w:t>
      </w:r>
      <w:proofErr w:type="spellStart"/>
      <w:r w:rsidRPr="00950C16">
        <w:t>Center</w:t>
      </w:r>
      <w:proofErr w:type="spellEnd"/>
      <w:r w:rsidRPr="00950C16">
        <w:t xml:space="preserve"> (JASDEC), Japan’s </w:t>
      </w:r>
      <w:r w:rsidR="00F63049" w:rsidRPr="00950C16">
        <w:t>CSD,</w:t>
      </w:r>
      <w:r w:rsidRPr="00950C16">
        <w:t xml:space="preserve"> only notifies </w:t>
      </w:r>
      <w:r w:rsidR="00513A29">
        <w:t>a</w:t>
      </w:r>
      <w:r w:rsidRPr="00950C16">
        <w:t xml:space="preserve"> company of its register of members on record dates</w:t>
      </w:r>
      <w:r w:rsidR="005E28A3">
        <w:rPr>
          <w:rStyle w:val="FootnoteReference"/>
        </w:rPr>
        <w:footnoteReference w:id="33"/>
      </w:r>
      <w:r w:rsidRPr="00950C16">
        <w:t>. Furthermore, as shares of Japanese issuers are mostly held by custodian banks (trust banks), the names of the custodian banks, rather than the end</w:t>
      </w:r>
      <w:r w:rsidR="00513A29">
        <w:t xml:space="preserve"> </w:t>
      </w:r>
      <w:r w:rsidRPr="00950C16">
        <w:t>investors</w:t>
      </w:r>
      <w:r w:rsidR="005E28A3">
        <w:rPr>
          <w:rStyle w:val="FootnoteReference"/>
        </w:rPr>
        <w:footnoteReference w:id="34"/>
      </w:r>
      <w:r w:rsidRPr="00950C16">
        <w:t xml:space="preserve">, appear on the company’s register of members. </w:t>
      </w:r>
      <w:r w:rsidR="00513A29">
        <w:t>Thus, a</w:t>
      </w:r>
      <w:r w:rsidRPr="00950C16">
        <w:t xml:space="preserve"> target company cannot easily detect and identify stake-building by a potential predator. In terms of the regulatory control on stake-building, Japan provides less information and power to </w:t>
      </w:r>
      <w:r w:rsidR="00513A29">
        <w:t>a</w:t>
      </w:r>
      <w:r w:rsidRPr="00950C16">
        <w:t xml:space="preserve"> target company </w:t>
      </w:r>
      <w:r w:rsidR="00513A29">
        <w:t>to</w:t>
      </w:r>
      <w:r w:rsidRPr="00950C16">
        <w:t xml:space="preserve"> de</w:t>
      </w:r>
      <w:r w:rsidR="00513A29">
        <w:t>t</w:t>
      </w:r>
      <w:r w:rsidRPr="00950C16">
        <w:t xml:space="preserve">ect, monitor, and defend </w:t>
      </w:r>
      <w:r w:rsidR="00513A29">
        <w:t xml:space="preserve">a </w:t>
      </w:r>
      <w:r w:rsidRPr="00950C16">
        <w:t xml:space="preserve">creeping takeover by </w:t>
      </w:r>
      <w:r w:rsidR="00513A29">
        <w:t>an</w:t>
      </w:r>
      <w:r w:rsidRPr="00950C16">
        <w:t xml:space="preserve"> acquirer</w:t>
      </w:r>
      <w:r w:rsidR="00513A29">
        <w:t xml:space="preserve"> than the UK</w:t>
      </w:r>
      <w:r w:rsidRPr="00950C16">
        <w:t>. The EU directive provides no regulation</w:t>
      </w:r>
      <w:r w:rsidR="00513A29">
        <w:t>s</w:t>
      </w:r>
      <w:r w:rsidRPr="00950C16">
        <w:t xml:space="preserve"> on stake-building control. </w:t>
      </w:r>
    </w:p>
    <w:p w14:paraId="7822EA72" w14:textId="77777777" w:rsidR="00671272" w:rsidRPr="00950C16" w:rsidRDefault="00671272" w:rsidP="00671272">
      <w:pPr>
        <w:jc w:val="both"/>
      </w:pPr>
    </w:p>
    <w:p w14:paraId="6E89113F" w14:textId="77777777" w:rsidR="00671272" w:rsidRPr="00950C16" w:rsidRDefault="00671272" w:rsidP="00671272">
      <w:pPr>
        <w:jc w:val="both"/>
      </w:pPr>
    </w:p>
    <w:p w14:paraId="1B678537" w14:textId="77777777" w:rsidR="00671272" w:rsidRPr="00950C16" w:rsidRDefault="00F12481" w:rsidP="00671272">
      <w:pPr>
        <w:jc w:val="both"/>
        <w:rPr>
          <w:i/>
        </w:rPr>
      </w:pPr>
      <w:r w:rsidRPr="00950C16">
        <w:rPr>
          <w:i/>
        </w:rPr>
        <w:t xml:space="preserve">3.2 Virtual bid control </w:t>
      </w:r>
    </w:p>
    <w:p w14:paraId="6D6E5509" w14:textId="77777777" w:rsidR="00671272" w:rsidRPr="00950C16" w:rsidRDefault="00671272" w:rsidP="00671272">
      <w:pPr>
        <w:jc w:val="both"/>
      </w:pPr>
    </w:p>
    <w:p w14:paraId="3CC1341A" w14:textId="000A987A" w:rsidR="00671272" w:rsidRPr="00950C16" w:rsidRDefault="00625CCE" w:rsidP="00671272">
      <w:pPr>
        <w:jc w:val="both"/>
      </w:pPr>
      <w:r>
        <w:t>A v</w:t>
      </w:r>
      <w:r w:rsidR="00F12481" w:rsidRPr="00950C16">
        <w:t xml:space="preserve">irtual bid describes a situation when </w:t>
      </w:r>
      <w:r>
        <w:t>a</w:t>
      </w:r>
      <w:r w:rsidR="00F12481" w:rsidRPr="00950C16">
        <w:t xml:space="preserve"> bidder engages with </w:t>
      </w:r>
      <w:r>
        <w:t>a</w:t>
      </w:r>
      <w:r w:rsidR="00F12481" w:rsidRPr="00950C16">
        <w:t xml:space="preserve"> target company in making an offer to purchase shares in the company. It has the effect of diverting the attention of the target company</w:t>
      </w:r>
      <w:r w:rsidR="00613E42" w:rsidRPr="00950C16">
        <w:t>,</w:t>
      </w:r>
      <w:r w:rsidR="00F12481" w:rsidRPr="00950C16">
        <w:t xml:space="preserve"> and if the period </w:t>
      </w:r>
      <w:r>
        <w:t xml:space="preserve">is </w:t>
      </w:r>
      <w:r w:rsidR="00F12481" w:rsidRPr="00950C16">
        <w:t>prolong</w:t>
      </w:r>
      <w:r>
        <w:t>ed</w:t>
      </w:r>
      <w:r w:rsidR="00F12481" w:rsidRPr="00950C16">
        <w:t xml:space="preserve">, </w:t>
      </w:r>
      <w:r>
        <w:t>the</w:t>
      </w:r>
      <w:r w:rsidR="00F12481" w:rsidRPr="00950C16">
        <w:t xml:space="preserve"> uncertainty </w:t>
      </w:r>
      <w:r>
        <w:t>that</w:t>
      </w:r>
      <w:r w:rsidR="00F12481" w:rsidRPr="00950C16">
        <w:t xml:space="preserve"> result</w:t>
      </w:r>
      <w:r>
        <w:t>s</w:t>
      </w:r>
      <w:r w:rsidR="00F12481" w:rsidRPr="00950C16">
        <w:t xml:space="preserve"> </w:t>
      </w:r>
      <w:r>
        <w:t>can lead to</w:t>
      </w:r>
      <w:r w:rsidR="00F12481" w:rsidRPr="00950C16">
        <w:t xml:space="preserve"> a substantial cost </w:t>
      </w:r>
      <w:r>
        <w:t>for</w:t>
      </w:r>
      <w:r w:rsidR="00F12481" w:rsidRPr="00950C16">
        <w:t xml:space="preserve"> the target company. The UK Takeover Code also protects </w:t>
      </w:r>
      <w:r>
        <w:t>a</w:t>
      </w:r>
      <w:r w:rsidR="00F12481" w:rsidRPr="00950C16">
        <w:t xml:space="preserve"> target company from being hindered in the conduct of its business by </w:t>
      </w:r>
      <w:r>
        <w:t>a</w:t>
      </w:r>
      <w:r w:rsidR="00F12481" w:rsidRPr="00950C16">
        <w:t xml:space="preserve"> bid for </w:t>
      </w:r>
      <w:r>
        <w:t xml:space="preserve">a </w:t>
      </w:r>
      <w:r w:rsidR="00F12481" w:rsidRPr="00950C16">
        <w:t xml:space="preserve">longer </w:t>
      </w:r>
      <w:r>
        <w:t xml:space="preserve">period </w:t>
      </w:r>
      <w:r w:rsidR="00F12481" w:rsidRPr="00950C16">
        <w:t>than is reasonable.</w:t>
      </w:r>
      <w:r w:rsidR="00F12481" w:rsidRPr="00950C16">
        <w:rPr>
          <w:rStyle w:val="FootnoteReference"/>
        </w:rPr>
        <w:footnoteReference w:id="35"/>
      </w:r>
      <w:r w:rsidR="00F12481" w:rsidRPr="00950C16">
        <w:t xml:space="preserve"> In 2010, the UK introduced rules in the Takeover Code to control virtual bid</w:t>
      </w:r>
      <w:r>
        <w:t>s</w:t>
      </w:r>
      <w:r w:rsidR="00F12481" w:rsidRPr="00950C16">
        <w:t>. The control</w:t>
      </w:r>
      <w:r>
        <w:t xml:space="preserve"> mechanism</w:t>
      </w:r>
      <w:r w:rsidR="00F12481" w:rsidRPr="00950C16">
        <w:t xml:space="preserve"> is built on two important pillars</w:t>
      </w:r>
      <w:r>
        <w:t xml:space="preserve"> that work together</w:t>
      </w:r>
      <w:r w:rsidR="00613E42" w:rsidRPr="00950C16">
        <w:t>—</w:t>
      </w:r>
      <w:r w:rsidR="00F12481" w:rsidRPr="00950C16">
        <w:t>the target’s responsibility to make an announcement and the put-up-</w:t>
      </w:r>
      <w:r w:rsidR="008636C1">
        <w:t>or</w:t>
      </w:r>
      <w:r w:rsidR="00F12481" w:rsidRPr="00950C16">
        <w:t>-shut-up rule (‘PUSU’).</w:t>
      </w:r>
      <w:r w:rsidR="00F12481" w:rsidRPr="00950C16">
        <w:rPr>
          <w:rStyle w:val="FootnoteReference"/>
        </w:rPr>
        <w:footnoteReference w:id="36"/>
      </w:r>
      <w:r w:rsidR="00F12481" w:rsidRPr="00950C16">
        <w:t xml:space="preserve"> The designated responsibility </w:t>
      </w:r>
      <w:r w:rsidR="00FC72FE">
        <w:t xml:space="preserve">of the target company </w:t>
      </w:r>
      <w:r w:rsidR="00F12481" w:rsidRPr="00950C16">
        <w:t xml:space="preserve">to make an announcement gives it the power to control the timing of </w:t>
      </w:r>
      <w:r w:rsidR="00FC72FE">
        <w:t>a</w:t>
      </w:r>
      <w:r w:rsidR="00F12481" w:rsidRPr="00950C16">
        <w:t xml:space="preserve"> bid and bring the bidding process to an early end if the bidder </w:t>
      </w:r>
      <w:r w:rsidR="00FC72FE">
        <w:t>is</w:t>
      </w:r>
      <w:r w:rsidR="00F12481" w:rsidRPr="00950C16">
        <w:t xml:space="preserve"> not prepared to make a firm bid. </w:t>
      </w:r>
      <w:r w:rsidR="00FC72FE">
        <w:t>An</w:t>
      </w:r>
      <w:r w:rsidR="00F12481" w:rsidRPr="00950C16">
        <w:t xml:space="preserve"> announcement by the target trigger</w:t>
      </w:r>
      <w:r w:rsidR="00FC72FE">
        <w:t>s</w:t>
      </w:r>
      <w:r w:rsidR="00F12481" w:rsidRPr="00950C16">
        <w:t xml:space="preserve"> a 28</w:t>
      </w:r>
      <w:r w:rsidR="00C57AEA" w:rsidRPr="00950C16">
        <w:t>-</w:t>
      </w:r>
      <w:r w:rsidR="00F12481" w:rsidRPr="00950C16">
        <w:t xml:space="preserve">day period for the bidder to make a firm offer. If the bidder chooses not to make a firm </w:t>
      </w:r>
      <w:r w:rsidR="00613E42" w:rsidRPr="00950C16">
        <w:t>offer</w:t>
      </w:r>
      <w:r w:rsidR="00F12481" w:rsidRPr="00950C16">
        <w:t xml:space="preserve">, it </w:t>
      </w:r>
      <w:r w:rsidR="00FC72FE">
        <w:t>is</w:t>
      </w:r>
      <w:r w:rsidR="00F12481" w:rsidRPr="00950C16">
        <w:t xml:space="preserve"> </w:t>
      </w:r>
      <w:r w:rsidR="00FC72FE">
        <w:t>foreclosed</w:t>
      </w:r>
      <w:r w:rsidR="00F12481" w:rsidRPr="00950C16">
        <w:t xml:space="preserve"> from making </w:t>
      </w:r>
      <w:r w:rsidR="00FC72FE">
        <w:t>another</w:t>
      </w:r>
      <w:r w:rsidR="00F12481" w:rsidRPr="00950C16">
        <w:t xml:space="preserve"> bid </w:t>
      </w:r>
      <w:r w:rsidR="00FC72FE">
        <w:t>for</w:t>
      </w:r>
      <w:r w:rsidR="00F12481" w:rsidRPr="00950C16">
        <w:t xml:space="preserve"> the next 12 months. </w:t>
      </w:r>
      <w:r w:rsidR="00FC72FE">
        <w:t xml:space="preserve">Thus, </w:t>
      </w:r>
      <w:r w:rsidR="00F12481" w:rsidRPr="00950C16">
        <w:t xml:space="preserve">virtual bid </w:t>
      </w:r>
      <w:r w:rsidR="00FC72FE">
        <w:t>control provides</w:t>
      </w:r>
      <w:r w:rsidR="00F12481" w:rsidRPr="00950C16">
        <w:t xml:space="preserve"> considerable power </w:t>
      </w:r>
      <w:r w:rsidR="00FC72FE">
        <w:t xml:space="preserve">to a target company </w:t>
      </w:r>
      <w:r w:rsidR="00F12481" w:rsidRPr="00950C16">
        <w:t xml:space="preserve">by imposing a </w:t>
      </w:r>
      <w:r w:rsidR="00613E42" w:rsidRPr="00950C16">
        <w:t xml:space="preserve">tight </w:t>
      </w:r>
      <w:r w:rsidR="00F12481" w:rsidRPr="00950C16">
        <w:t xml:space="preserve">28-day deadline on </w:t>
      </w:r>
      <w:r w:rsidR="006C2A1E">
        <w:lastRenderedPageBreak/>
        <w:t>the</w:t>
      </w:r>
      <w:r w:rsidR="00F12481" w:rsidRPr="00950C16">
        <w:t xml:space="preserve"> bidder. The effect is that unless </w:t>
      </w:r>
      <w:r w:rsidR="006C2A1E">
        <w:t>the</w:t>
      </w:r>
      <w:r w:rsidR="00F12481" w:rsidRPr="00950C16">
        <w:t xml:space="preserve"> bidder </w:t>
      </w:r>
      <w:r w:rsidR="00FC72FE">
        <w:t>has</w:t>
      </w:r>
      <w:r w:rsidR="00F12481" w:rsidRPr="00950C16">
        <w:t xml:space="preserve"> prepared the</w:t>
      </w:r>
      <w:r w:rsidR="00613E42" w:rsidRPr="00950C16">
        <w:t xml:space="preserve"> necessary</w:t>
      </w:r>
      <w:r w:rsidR="00F12481" w:rsidRPr="00950C16">
        <w:t xml:space="preserve"> resources, the target can use </w:t>
      </w:r>
      <w:r w:rsidR="00FC72FE">
        <w:t>its announcement</w:t>
      </w:r>
      <w:r w:rsidR="00F12481" w:rsidRPr="00950C16">
        <w:t xml:space="preserve"> power to bring a takeover battle to an early end by forcing the bidder </w:t>
      </w:r>
      <w:r w:rsidR="00C57AEA" w:rsidRPr="00950C16">
        <w:t xml:space="preserve">to </w:t>
      </w:r>
      <w:r w:rsidR="00F12481" w:rsidRPr="00950C16">
        <w:t xml:space="preserve">confirm its intention </w:t>
      </w:r>
      <w:r w:rsidR="00FC72FE">
        <w:t>to</w:t>
      </w:r>
      <w:r w:rsidR="00F12481" w:rsidRPr="00950C16">
        <w:t xml:space="preserve"> mak</w:t>
      </w:r>
      <w:r w:rsidR="00FC72FE">
        <w:t>e</w:t>
      </w:r>
      <w:r w:rsidR="00F12481" w:rsidRPr="00950C16">
        <w:t xml:space="preserve"> a bid.</w:t>
      </w:r>
      <w:r w:rsidR="00F12481" w:rsidRPr="00950C16">
        <w:rPr>
          <w:rStyle w:val="FootnoteReference"/>
        </w:rPr>
        <w:footnoteReference w:id="37"/>
      </w:r>
      <w:r w:rsidR="00F12481" w:rsidRPr="00950C16">
        <w:t xml:space="preserve"> This </w:t>
      </w:r>
      <w:r w:rsidR="00166FA5">
        <w:t>mechanism</w:t>
      </w:r>
      <w:r w:rsidR="00F12481" w:rsidRPr="00950C16">
        <w:t xml:space="preserve"> also </w:t>
      </w:r>
      <w:r w:rsidR="00613E42" w:rsidRPr="00950C16">
        <w:t>eliminate</w:t>
      </w:r>
      <w:r w:rsidR="00166FA5">
        <w:t>s</w:t>
      </w:r>
      <w:r w:rsidR="00613E42" w:rsidRPr="00950C16">
        <w:t xml:space="preserve"> the</w:t>
      </w:r>
      <w:r w:rsidR="00F12481" w:rsidRPr="00950C16">
        <w:t xml:space="preserve"> potential threat </w:t>
      </w:r>
      <w:r w:rsidR="00166FA5">
        <w:t>from</w:t>
      </w:r>
      <w:r w:rsidR="00F12481" w:rsidRPr="00950C16">
        <w:t xml:space="preserve"> a bidder </w:t>
      </w:r>
      <w:r w:rsidR="00166FA5">
        <w:t>because</w:t>
      </w:r>
      <w:r w:rsidR="00F12481" w:rsidRPr="00950C16">
        <w:t xml:space="preserve"> the bidder </w:t>
      </w:r>
      <w:r w:rsidR="00166FA5">
        <w:t>can</w:t>
      </w:r>
      <w:r w:rsidR="00F12481" w:rsidRPr="00950C16">
        <w:t>not, alone or acting in concert, make a</w:t>
      </w:r>
      <w:r w:rsidR="00166FA5">
        <w:t>nother</w:t>
      </w:r>
      <w:r w:rsidR="00F12481" w:rsidRPr="00950C16">
        <w:t xml:space="preserve"> </w:t>
      </w:r>
      <w:r w:rsidR="00166FA5">
        <w:t xml:space="preserve">takeover </w:t>
      </w:r>
      <w:r w:rsidR="00F12481" w:rsidRPr="00950C16">
        <w:t xml:space="preserve">bid for 12 months. Hence, </w:t>
      </w:r>
      <w:r w:rsidR="00166FA5">
        <w:t xml:space="preserve">the </w:t>
      </w:r>
      <w:r w:rsidR="00F12481" w:rsidRPr="00950C16">
        <w:t>PUSU</w:t>
      </w:r>
      <w:r w:rsidR="00613E42" w:rsidRPr="00950C16">
        <w:t xml:space="preserve"> rules</w:t>
      </w:r>
      <w:r w:rsidR="00F12481" w:rsidRPr="00950C16">
        <w:t xml:space="preserve"> can act as a control on the movement of capital or a cost to a bidder. Currently, there is no </w:t>
      </w:r>
      <w:r w:rsidR="00166FA5">
        <w:t xml:space="preserve">such </w:t>
      </w:r>
      <w:r w:rsidR="00F12481" w:rsidRPr="00950C16">
        <w:t xml:space="preserve">control </w:t>
      </w:r>
      <w:r w:rsidR="00166FA5">
        <w:t>in</w:t>
      </w:r>
      <w:r w:rsidR="00F12481" w:rsidRPr="00950C16">
        <w:t xml:space="preserve"> the EU takeover </w:t>
      </w:r>
      <w:r w:rsidR="00166FA5">
        <w:t>regime</w:t>
      </w:r>
      <w:r w:rsidR="00F12481" w:rsidRPr="00950C16">
        <w:t xml:space="preserve">. In Japan, the responsibility </w:t>
      </w:r>
      <w:r w:rsidR="00166FA5">
        <w:t>for</w:t>
      </w:r>
      <w:r w:rsidR="00F12481" w:rsidRPr="00950C16">
        <w:t xml:space="preserve"> making an announcement rests with the bidder</w:t>
      </w:r>
      <w:r w:rsidR="00613E42" w:rsidRPr="00950C16">
        <w:t>,</w:t>
      </w:r>
      <w:r w:rsidR="00F12481" w:rsidRPr="00950C16">
        <w:t xml:space="preserve"> and there is no equivalent </w:t>
      </w:r>
      <w:r w:rsidR="00613E42" w:rsidRPr="00950C16">
        <w:t xml:space="preserve">to </w:t>
      </w:r>
      <w:r w:rsidR="00F12481" w:rsidRPr="00950C16">
        <w:t xml:space="preserve">the PUSU regime. The FIE requires </w:t>
      </w:r>
      <w:r w:rsidR="00166FA5">
        <w:t>a</w:t>
      </w:r>
      <w:r w:rsidR="00F12481" w:rsidRPr="00950C16">
        <w:t xml:space="preserve"> bidder to make an announcement by serving a public not</w:t>
      </w:r>
      <w:r w:rsidR="00166FA5">
        <w:t>ice</w:t>
      </w:r>
      <w:r w:rsidR="00F12481" w:rsidRPr="00950C16">
        <w:t xml:space="preserve"> in the Official Gazette or in daily newspapers. On the same day </w:t>
      </w:r>
      <w:r w:rsidR="00613E42" w:rsidRPr="00950C16">
        <w:t xml:space="preserve">as </w:t>
      </w:r>
      <w:r w:rsidR="00F12481" w:rsidRPr="00950C16">
        <w:t xml:space="preserve">the announcement, the bidder must file </w:t>
      </w:r>
      <w:r w:rsidR="00613E42" w:rsidRPr="00950C16">
        <w:t xml:space="preserve">a </w:t>
      </w:r>
      <w:r w:rsidR="00F12481" w:rsidRPr="00950C16">
        <w:t>bidder’s statement with regulator</w:t>
      </w:r>
      <w:r w:rsidR="00613E42" w:rsidRPr="00950C16">
        <w:t>s</w:t>
      </w:r>
      <w:r w:rsidR="00F12481" w:rsidRPr="00950C16">
        <w:t>. Furthermore, it is the bidder</w:t>
      </w:r>
      <w:r w:rsidR="00613E42" w:rsidRPr="00950C16">
        <w:t>’s duty</w:t>
      </w:r>
      <w:r w:rsidR="00F12481" w:rsidRPr="00950C16">
        <w:t xml:space="preserve"> to state the duration of the takeover bid, </w:t>
      </w:r>
      <w:r w:rsidR="00166FA5">
        <w:t xml:space="preserve">which is </w:t>
      </w:r>
      <w:r w:rsidR="00F12481" w:rsidRPr="00950C16">
        <w:t xml:space="preserve">usually between 20 </w:t>
      </w:r>
      <w:r w:rsidR="00166FA5">
        <w:t>and</w:t>
      </w:r>
      <w:r w:rsidR="00F12481" w:rsidRPr="00950C16">
        <w:t xml:space="preserve"> 60 days. The effect is that </w:t>
      </w:r>
      <w:r w:rsidR="00166FA5">
        <w:t>a</w:t>
      </w:r>
      <w:r w:rsidR="00F12481" w:rsidRPr="00950C16">
        <w:t xml:space="preserve"> bidder has more time to engage </w:t>
      </w:r>
      <w:r w:rsidR="00166FA5">
        <w:t xml:space="preserve">in negotiations </w:t>
      </w:r>
      <w:r w:rsidR="00F12481" w:rsidRPr="00950C16">
        <w:t xml:space="preserve">with the target board and has the power to set the time frame. During </w:t>
      </w:r>
      <w:r w:rsidR="00166FA5">
        <w:t>such</w:t>
      </w:r>
      <w:r w:rsidR="00F12481" w:rsidRPr="00950C16">
        <w:t xml:space="preserve"> negotiation</w:t>
      </w:r>
      <w:r w:rsidR="00166FA5">
        <w:t>s</w:t>
      </w:r>
      <w:r w:rsidR="00F12481" w:rsidRPr="00950C16">
        <w:t>, the bidder has time to conduct its due diligence as well as</w:t>
      </w:r>
      <w:r w:rsidR="00613E42" w:rsidRPr="00950C16">
        <w:t xml:space="preserve"> </w:t>
      </w:r>
      <w:r w:rsidR="00166FA5">
        <w:t xml:space="preserve">to </w:t>
      </w:r>
      <w:r w:rsidR="00613E42" w:rsidRPr="00950C16">
        <w:t>make</w:t>
      </w:r>
      <w:r w:rsidR="00F12481" w:rsidRPr="00950C16">
        <w:t xml:space="preserve"> other preparations for the bid, such as stock pricing. The lack of control on </w:t>
      </w:r>
      <w:r w:rsidR="00166FA5">
        <w:t>a</w:t>
      </w:r>
      <w:r w:rsidR="00613E42" w:rsidRPr="00950C16">
        <w:t xml:space="preserve"> </w:t>
      </w:r>
      <w:r w:rsidR="00F12481" w:rsidRPr="00950C16">
        <w:t xml:space="preserve">virtual bid in Japan means that there is less </w:t>
      </w:r>
      <w:r w:rsidR="00C57AEA" w:rsidRPr="00950C16">
        <w:t xml:space="preserve">of a </w:t>
      </w:r>
      <w:r w:rsidR="00F12481" w:rsidRPr="00950C16">
        <w:t>burden on</w:t>
      </w:r>
      <w:r w:rsidR="00CB4820">
        <w:t>,</w:t>
      </w:r>
      <w:r w:rsidR="00F12481" w:rsidRPr="00950C16">
        <w:t xml:space="preserve"> and cost to</w:t>
      </w:r>
      <w:r w:rsidR="00CB4820">
        <w:t>,</w:t>
      </w:r>
      <w:r w:rsidR="00F12481" w:rsidRPr="00950C16">
        <w:t xml:space="preserve"> the bidder</w:t>
      </w:r>
      <w:r w:rsidR="00613E42" w:rsidRPr="00950C16">
        <w:t>;</w:t>
      </w:r>
      <w:r w:rsidR="00F12481" w:rsidRPr="00950C16">
        <w:t xml:space="preserve"> hence</w:t>
      </w:r>
      <w:r w:rsidR="00613E42" w:rsidRPr="00950C16">
        <w:t>,</w:t>
      </w:r>
      <w:r w:rsidR="00F12481" w:rsidRPr="00950C16">
        <w:t xml:space="preserve"> Japan</w:t>
      </w:r>
      <w:r w:rsidR="00613E42" w:rsidRPr="00950C16">
        <w:t>’s framework</w:t>
      </w:r>
      <w:r w:rsidR="00F12481" w:rsidRPr="00950C16">
        <w:t xml:space="preserve"> provides more favourable condition</w:t>
      </w:r>
      <w:r w:rsidR="00613E42" w:rsidRPr="00950C16">
        <w:t>s</w:t>
      </w:r>
      <w:r w:rsidR="00F12481" w:rsidRPr="00950C16">
        <w:t xml:space="preserve"> for a takeover than the UK’s regime. </w:t>
      </w:r>
    </w:p>
    <w:p w14:paraId="5AF8B0C5" w14:textId="77777777" w:rsidR="00671272" w:rsidRPr="00950C16" w:rsidRDefault="00671272" w:rsidP="00671272">
      <w:pPr>
        <w:jc w:val="both"/>
      </w:pPr>
    </w:p>
    <w:p w14:paraId="11A261EA" w14:textId="77777777" w:rsidR="00671272" w:rsidRPr="00950C16" w:rsidRDefault="00F12481" w:rsidP="00671272">
      <w:pPr>
        <w:jc w:val="both"/>
        <w:rPr>
          <w:i/>
        </w:rPr>
      </w:pPr>
      <w:r w:rsidRPr="00950C16">
        <w:rPr>
          <w:i/>
        </w:rPr>
        <w:t xml:space="preserve">3.3 Commitment control </w:t>
      </w:r>
    </w:p>
    <w:p w14:paraId="1D931A83" w14:textId="77777777" w:rsidR="00671272" w:rsidRPr="00950C16" w:rsidRDefault="00671272" w:rsidP="00671272">
      <w:pPr>
        <w:jc w:val="both"/>
      </w:pPr>
    </w:p>
    <w:p w14:paraId="2F6CD886" w14:textId="77777777" w:rsidR="00671272" w:rsidRPr="00950C16" w:rsidRDefault="00F12481" w:rsidP="00671272">
      <w:pPr>
        <w:jc w:val="both"/>
      </w:pPr>
      <w:r w:rsidRPr="00950C16">
        <w:t xml:space="preserve">There is increasing concern about </w:t>
      </w:r>
      <w:r w:rsidR="00AB2559">
        <w:t>a</w:t>
      </w:r>
      <w:r w:rsidRPr="00950C16">
        <w:t xml:space="preserve"> bidder’s treatment</w:t>
      </w:r>
      <w:r w:rsidR="00326E63" w:rsidRPr="00950C16">
        <w:t xml:space="preserve"> of </w:t>
      </w:r>
      <w:r w:rsidR="00AB2559">
        <w:t>a</w:t>
      </w:r>
      <w:r w:rsidR="00326E63" w:rsidRPr="00950C16">
        <w:t xml:space="preserve"> business</w:t>
      </w:r>
      <w:r w:rsidRPr="00950C16">
        <w:t xml:space="preserve"> after taking over. In the UK, </w:t>
      </w:r>
      <w:r w:rsidR="00AB2559">
        <w:t>a</w:t>
      </w:r>
      <w:r w:rsidRPr="00950C16">
        <w:t xml:space="preserve"> bidder must disclose its intended plan for the business</w:t>
      </w:r>
      <w:r w:rsidR="00326E63" w:rsidRPr="00950C16">
        <w:t>,</w:t>
      </w:r>
      <w:r w:rsidRPr="00950C16">
        <w:t xml:space="preserve"> </w:t>
      </w:r>
      <w:r w:rsidR="00326E63" w:rsidRPr="00950C16">
        <w:t xml:space="preserve">which has </w:t>
      </w:r>
      <w:r w:rsidRPr="00950C16">
        <w:t>a binding effect on the company.</w:t>
      </w:r>
      <w:r w:rsidRPr="00950C16">
        <w:rPr>
          <w:rStyle w:val="FootnoteReference"/>
        </w:rPr>
        <w:footnoteReference w:id="38"/>
      </w:r>
      <w:r w:rsidRPr="00950C16">
        <w:t xml:space="preserve"> The plan must include the repercussions on employment, the location of the offeree company’s place of business, </w:t>
      </w:r>
      <w:r w:rsidR="00AB2559">
        <w:t>plans for the</w:t>
      </w:r>
      <w:r w:rsidRPr="00950C16">
        <w:t xml:space="preserve"> redeployment of fixed assets and the maintenance of any existing trading facilities for shares.</w:t>
      </w:r>
      <w:r w:rsidRPr="00950C16">
        <w:rPr>
          <w:rStyle w:val="FootnoteReference"/>
        </w:rPr>
        <w:footnoteReference w:id="39"/>
      </w:r>
    </w:p>
    <w:p w14:paraId="7DBB6AB6" w14:textId="77777777" w:rsidR="00671272" w:rsidRPr="00950C16" w:rsidRDefault="00671272" w:rsidP="00671272">
      <w:pPr>
        <w:jc w:val="both"/>
      </w:pPr>
    </w:p>
    <w:p w14:paraId="19F9C6C0" w14:textId="63D529F9" w:rsidR="00671272" w:rsidRPr="00950C16" w:rsidRDefault="00F12481" w:rsidP="00671272">
      <w:pPr>
        <w:jc w:val="both"/>
      </w:pPr>
      <w:r w:rsidRPr="00950C16">
        <w:t xml:space="preserve">The post-takeover business plan was a new requirement introduced after </w:t>
      </w:r>
      <w:r w:rsidR="00AB2559">
        <w:t xml:space="preserve">the </w:t>
      </w:r>
      <w:r w:rsidRPr="00950C16">
        <w:t>US</w:t>
      </w:r>
      <w:r w:rsidR="00AB2559">
        <w:t xml:space="preserve"> company</w:t>
      </w:r>
      <w:r w:rsidRPr="00950C16">
        <w:t xml:space="preserve"> Kraft’s takeover of </w:t>
      </w:r>
      <w:r w:rsidR="00AB2559">
        <w:t xml:space="preserve">the </w:t>
      </w:r>
      <w:r w:rsidRPr="00950C16">
        <w:t xml:space="preserve">UK </w:t>
      </w:r>
      <w:r w:rsidR="00AB2559">
        <w:t xml:space="preserve">company </w:t>
      </w:r>
      <w:r w:rsidRPr="00950C16">
        <w:t>Cadbury. The Panel issued a post-takeover statement of criticism</w:t>
      </w:r>
      <w:r w:rsidR="00AB2559">
        <w:t xml:space="preserve"> that</w:t>
      </w:r>
      <w:r w:rsidRPr="00950C16">
        <w:t xml:space="preserve"> assert</w:t>
      </w:r>
      <w:r w:rsidR="00AB2559">
        <w:t>ed</w:t>
      </w:r>
      <w:r w:rsidRPr="00950C16">
        <w:t xml:space="preserve"> that statements made by Kraft regarding the relocation of production after the takeover did not meet the standards of the Code.</w:t>
      </w:r>
      <w:r w:rsidRPr="00950C16">
        <w:rPr>
          <w:rStyle w:val="FootnoteReference"/>
        </w:rPr>
        <w:footnoteReference w:id="40"/>
      </w:r>
      <w:r w:rsidRPr="00950C16">
        <w:t xml:space="preserve"> Cadbury was planning to move </w:t>
      </w:r>
      <w:r w:rsidR="00326E63" w:rsidRPr="00950C16">
        <w:t xml:space="preserve">its </w:t>
      </w:r>
      <w:r w:rsidRPr="00950C16">
        <w:t xml:space="preserve">production facilities to Poland, and Kraft stated that it believed that this move would not occur until the latter part of 2010 and claimed that it would continue to operate the existing production facility (Somerdale facility) for products sold in the UK. </w:t>
      </w:r>
      <w:r w:rsidR="00AB2559">
        <w:t>However, t</w:t>
      </w:r>
      <w:r w:rsidRPr="00950C16">
        <w:t xml:space="preserve">he factory facility in Somerdale was in fact transferred to Poland in the middle of 2010. The Executive of the Panel held that Kraft’s statement was not a </w:t>
      </w:r>
      <w:r w:rsidRPr="00950C16">
        <w:lastRenderedPageBreak/>
        <w:t xml:space="preserve">reasonable belief using </w:t>
      </w:r>
      <w:r w:rsidR="00AB2559">
        <w:t>an</w:t>
      </w:r>
      <w:r w:rsidRPr="00950C16">
        <w:t xml:space="preserve"> objective test. </w:t>
      </w:r>
      <w:r w:rsidR="00326E63" w:rsidRPr="00950C16">
        <w:t xml:space="preserve">However, it </w:t>
      </w:r>
      <w:r w:rsidRPr="00950C16">
        <w:t xml:space="preserve">is not clear what sanctions the Panel can impose to enforce </w:t>
      </w:r>
      <w:r w:rsidR="00AB2559">
        <w:t>such a</w:t>
      </w:r>
      <w:r w:rsidRPr="00950C16">
        <w:t xml:space="preserve"> commitment.</w:t>
      </w:r>
      <w:r w:rsidR="00DA5EF9">
        <w:rPr>
          <w:rStyle w:val="FootnoteReference"/>
        </w:rPr>
        <w:footnoteReference w:id="41"/>
      </w:r>
      <w:r w:rsidRPr="00950C16">
        <w:t xml:space="preserve"> </w:t>
      </w:r>
    </w:p>
    <w:p w14:paraId="1E4A6654" w14:textId="77777777" w:rsidR="00671272" w:rsidRPr="00950C16" w:rsidRDefault="00671272" w:rsidP="00671272">
      <w:pPr>
        <w:jc w:val="both"/>
      </w:pPr>
    </w:p>
    <w:p w14:paraId="27446F4C" w14:textId="0BB4F63A" w:rsidR="00671272" w:rsidRPr="00950C16" w:rsidRDefault="00F12481" w:rsidP="00671272">
      <w:pPr>
        <w:jc w:val="both"/>
      </w:pPr>
      <w:r w:rsidRPr="00950C16">
        <w:t xml:space="preserve">In Japan, </w:t>
      </w:r>
      <w:r w:rsidR="00AB2559">
        <w:t>a</w:t>
      </w:r>
      <w:r w:rsidRPr="00950C16">
        <w:t xml:space="preserve"> bidder must, in </w:t>
      </w:r>
      <w:r w:rsidR="00AB2559">
        <w:t>its</w:t>
      </w:r>
      <w:r w:rsidRPr="00950C16">
        <w:t xml:space="preserve"> TOB statement, describe </w:t>
      </w:r>
      <w:r w:rsidR="00AB2559">
        <w:t xml:space="preserve">any </w:t>
      </w:r>
      <w:r w:rsidRPr="00950C16">
        <w:t>plans for corporate reorganisations, material borrowings, changes in member composition, changes in the composition of officers, material changes in the dividend or capital policy, and changes in management polic</w:t>
      </w:r>
      <w:r w:rsidR="00AB2559">
        <w:t>i</w:t>
      </w:r>
      <w:r w:rsidRPr="00950C16">
        <w:t>es.</w:t>
      </w:r>
      <w:r w:rsidRPr="00950C16">
        <w:rPr>
          <w:rStyle w:val="FootnoteReference"/>
        </w:rPr>
        <w:footnoteReference w:id="42"/>
      </w:r>
      <w:r w:rsidRPr="00950C16">
        <w:t xml:space="preserve"> The bidder </w:t>
      </w:r>
      <w:r w:rsidR="00AB2559">
        <w:t>must</w:t>
      </w:r>
      <w:r w:rsidRPr="00950C16">
        <w:t xml:space="preserve"> state </w:t>
      </w:r>
      <w:r w:rsidR="00326E63" w:rsidRPr="00950C16">
        <w:t xml:space="preserve">whether </w:t>
      </w:r>
      <w:r w:rsidRPr="00950C16">
        <w:t xml:space="preserve">the shares are likely to be de-listed after the takeover and, if so, </w:t>
      </w:r>
      <w:r w:rsidR="004E0391">
        <w:t>must</w:t>
      </w:r>
      <w:r w:rsidRPr="00950C16">
        <w:t xml:space="preserve"> provide the reasons </w:t>
      </w:r>
      <w:r w:rsidR="00326E63" w:rsidRPr="00950C16">
        <w:t>for that action</w:t>
      </w:r>
      <w:r w:rsidRPr="00950C16">
        <w:t>. The bidder must not give false statement</w:t>
      </w:r>
      <w:r w:rsidR="00326E63" w:rsidRPr="00950C16">
        <w:t>s</w:t>
      </w:r>
      <w:r w:rsidRPr="00950C16">
        <w:t xml:space="preserve"> with regard to these </w:t>
      </w:r>
      <w:r w:rsidR="00745177">
        <w:t>matters</w:t>
      </w:r>
      <w:r w:rsidRPr="00950C16">
        <w:t xml:space="preserve">. </w:t>
      </w:r>
      <w:r w:rsidR="00326E63" w:rsidRPr="00950C16">
        <w:t xml:space="preserve">A false </w:t>
      </w:r>
      <w:r w:rsidRPr="00950C16">
        <w:t xml:space="preserve">statement </w:t>
      </w:r>
      <w:r w:rsidR="004E0391">
        <w:t>can</w:t>
      </w:r>
      <w:r w:rsidRPr="00950C16">
        <w:t xml:space="preserve"> lead to civil liability for damages, fines and imprisonment. In addition to the details required in the TOB statement, the target board can also request similar information from </w:t>
      </w:r>
      <w:r w:rsidR="004E0391">
        <w:t>a</w:t>
      </w:r>
      <w:r w:rsidRPr="00950C16">
        <w:t xml:space="preserve"> bidder. Under </w:t>
      </w:r>
      <w:r w:rsidR="00326E63" w:rsidRPr="00950C16">
        <w:t xml:space="preserve">the </w:t>
      </w:r>
      <w:r w:rsidRPr="00950C16">
        <w:t>FIE,</w:t>
      </w:r>
      <w:r w:rsidRPr="00950C16">
        <w:rPr>
          <w:rStyle w:val="FootnoteReference"/>
        </w:rPr>
        <w:footnoteReference w:id="43"/>
      </w:r>
      <w:r w:rsidRPr="00950C16">
        <w:t xml:space="preserve"> the target must file an ‘Opinion Report’</w:t>
      </w:r>
      <w:r w:rsidR="00326E63" w:rsidRPr="00950C16">
        <w:t>—</w:t>
      </w:r>
      <w:r w:rsidRPr="00950C16">
        <w:t xml:space="preserve">to reject or accept </w:t>
      </w:r>
      <w:r w:rsidR="004E0391">
        <w:t>a</w:t>
      </w:r>
      <w:r w:rsidRPr="00950C16">
        <w:t xml:space="preserve"> bid</w:t>
      </w:r>
      <w:r w:rsidR="00326E63" w:rsidRPr="00950C16">
        <w:t>—</w:t>
      </w:r>
      <w:r w:rsidRPr="00950C16">
        <w:t xml:space="preserve">within 10 days after the bidder </w:t>
      </w:r>
      <w:r w:rsidR="004E0391">
        <w:t xml:space="preserve">has </w:t>
      </w:r>
      <w:r w:rsidRPr="00950C16">
        <w:t xml:space="preserve">filed </w:t>
      </w:r>
      <w:r w:rsidR="004E0391">
        <w:t>its</w:t>
      </w:r>
      <w:r w:rsidRPr="00950C16">
        <w:t xml:space="preserve"> TOB statement. In the board’s Opinion Report, the board can make more detailed enquiries </w:t>
      </w:r>
      <w:r w:rsidR="00057C61" w:rsidRPr="00950C16">
        <w:t xml:space="preserve">of </w:t>
      </w:r>
      <w:r w:rsidRPr="00950C16">
        <w:t xml:space="preserve">the bidder </w:t>
      </w:r>
      <w:r w:rsidR="00057C61" w:rsidRPr="00950C16">
        <w:t xml:space="preserve">regarding </w:t>
      </w:r>
      <w:r w:rsidRPr="00950C16">
        <w:t>its post-takeover business plan. The bidder must file an ‘Answer Report’ within 5 business days after the target’s filing.</w:t>
      </w:r>
      <w:r w:rsidRPr="00950C16">
        <w:rPr>
          <w:rStyle w:val="FootnoteReference"/>
        </w:rPr>
        <w:footnoteReference w:id="44"/>
      </w:r>
      <w:r w:rsidRPr="00950C16">
        <w:t xml:space="preserve"> However, the bidder does not have an obligation to make a full and detailed disclosure and can intentionally keep </w:t>
      </w:r>
      <w:r w:rsidR="004E0391">
        <w:t>its</w:t>
      </w:r>
      <w:r w:rsidRPr="00950C16">
        <w:t xml:space="preserve"> answers broad and vague. </w:t>
      </w:r>
    </w:p>
    <w:p w14:paraId="076E74BB" w14:textId="77777777" w:rsidR="00671272" w:rsidRPr="00950C16" w:rsidRDefault="00671272" w:rsidP="00671272">
      <w:pPr>
        <w:jc w:val="both"/>
      </w:pPr>
    </w:p>
    <w:p w14:paraId="3380CD4D" w14:textId="77777777" w:rsidR="00671272" w:rsidRPr="00950C16" w:rsidRDefault="00F12481" w:rsidP="00671272">
      <w:pPr>
        <w:jc w:val="both"/>
      </w:pPr>
      <w:r w:rsidRPr="00950C16">
        <w:t>Unlike the UK</w:t>
      </w:r>
      <w:r w:rsidR="004E0391">
        <w:t xml:space="preserve"> regulation’s</w:t>
      </w:r>
      <w:r w:rsidRPr="00950C16">
        <w:t xml:space="preserve"> strict binding effect on the bidder, there is no such legal effect of </w:t>
      </w:r>
      <w:r w:rsidR="00057C61" w:rsidRPr="00950C16">
        <w:t xml:space="preserve">this </w:t>
      </w:r>
      <w:r w:rsidRPr="00950C16">
        <w:t>statement</w:t>
      </w:r>
      <w:r w:rsidR="00057C61" w:rsidRPr="00950C16">
        <w:t xml:space="preserve"> under the FIE</w:t>
      </w:r>
      <w:r w:rsidRPr="00950C16">
        <w:t xml:space="preserve">. The bidder does not need to honour what </w:t>
      </w:r>
      <w:r w:rsidR="00057C61" w:rsidRPr="00950C16">
        <w:t xml:space="preserve">is </w:t>
      </w:r>
      <w:r w:rsidRPr="00950C16">
        <w:t xml:space="preserve">said in the statement if the circumstances require it to change course from </w:t>
      </w:r>
      <w:r w:rsidR="004E0391">
        <w:t>its</w:t>
      </w:r>
      <w:r w:rsidRPr="00950C16">
        <w:t xml:space="preserve"> plans </w:t>
      </w:r>
      <w:r w:rsidR="004E0391">
        <w:t xml:space="preserve">disclosed </w:t>
      </w:r>
      <w:r w:rsidRPr="00950C16">
        <w:t xml:space="preserve">in the statement. Compared </w:t>
      </w:r>
      <w:r w:rsidR="004E0391">
        <w:t>with</w:t>
      </w:r>
      <w:r w:rsidRPr="00950C16">
        <w:t xml:space="preserve"> the UK’s approach, Japan does not impose a legal duty on </w:t>
      </w:r>
      <w:r w:rsidR="004E0391">
        <w:t>a</w:t>
      </w:r>
      <w:r w:rsidRPr="00950C16">
        <w:t xml:space="preserve"> bidder to commit to its plan. </w:t>
      </w:r>
      <w:r w:rsidR="00057C61" w:rsidRPr="00950C16">
        <w:t xml:space="preserve">The </w:t>
      </w:r>
      <w:r w:rsidRPr="00950C16">
        <w:t>UK’s approach,</w:t>
      </w:r>
      <w:r w:rsidR="004E0391">
        <w:t xml:space="preserve"> although it</w:t>
      </w:r>
      <w:r w:rsidRPr="00950C16">
        <w:t xml:space="preserve"> cannot be said to </w:t>
      </w:r>
      <w:r w:rsidR="00057C61" w:rsidRPr="00950C16">
        <w:t xml:space="preserve">have </w:t>
      </w:r>
      <w:r w:rsidRPr="00950C16">
        <w:t>a protectionist tendency,</w:t>
      </w:r>
      <w:r w:rsidR="00057C61" w:rsidRPr="00950C16">
        <w:t xml:space="preserve"> </w:t>
      </w:r>
      <w:r w:rsidRPr="00950C16">
        <w:t>imposes a higher cost on the bidder than what is required in Japan. The EU Directive does not regulate information on post-takeover business plan</w:t>
      </w:r>
      <w:r w:rsidR="00057C61" w:rsidRPr="00950C16">
        <w:t>s</w:t>
      </w:r>
      <w:r w:rsidRPr="00950C16">
        <w:t xml:space="preserve">. </w:t>
      </w:r>
    </w:p>
    <w:p w14:paraId="6F50D29E" w14:textId="77777777" w:rsidR="00671272" w:rsidRPr="00950C16" w:rsidRDefault="00F12481" w:rsidP="00671272">
      <w:pPr>
        <w:tabs>
          <w:tab w:val="left" w:pos="1773"/>
        </w:tabs>
        <w:jc w:val="both"/>
      </w:pPr>
      <w:r w:rsidRPr="00950C16">
        <w:tab/>
      </w:r>
    </w:p>
    <w:p w14:paraId="0AACFAD4" w14:textId="77777777" w:rsidR="00671272" w:rsidRPr="00950C16" w:rsidRDefault="00671272" w:rsidP="00671272">
      <w:pPr>
        <w:jc w:val="both"/>
      </w:pPr>
    </w:p>
    <w:p w14:paraId="291F3B35" w14:textId="77777777" w:rsidR="00671272" w:rsidRPr="00950C16" w:rsidRDefault="00F12481" w:rsidP="00671272">
      <w:pPr>
        <w:jc w:val="both"/>
        <w:rPr>
          <w:i/>
        </w:rPr>
      </w:pPr>
      <w:r w:rsidRPr="00950C16">
        <w:rPr>
          <w:i/>
        </w:rPr>
        <w:t xml:space="preserve">3.4 Mandatory bid </w:t>
      </w:r>
    </w:p>
    <w:p w14:paraId="2E2F2FD4" w14:textId="77777777" w:rsidR="00671272" w:rsidRPr="00950C16" w:rsidRDefault="00671272" w:rsidP="00671272">
      <w:pPr>
        <w:jc w:val="both"/>
        <w:rPr>
          <w:i/>
        </w:rPr>
      </w:pPr>
    </w:p>
    <w:p w14:paraId="634AAE1B" w14:textId="77777777" w:rsidR="00671272" w:rsidRPr="00950C16" w:rsidRDefault="00671272" w:rsidP="00671272">
      <w:pPr>
        <w:jc w:val="both"/>
        <w:rPr>
          <w:i/>
        </w:rPr>
      </w:pPr>
    </w:p>
    <w:p w14:paraId="430636B2" w14:textId="7072167A" w:rsidR="00671272" w:rsidRPr="00950C16" w:rsidRDefault="00F12481" w:rsidP="00FF77D4">
      <w:pPr>
        <w:tabs>
          <w:tab w:val="left" w:pos="6237"/>
        </w:tabs>
        <w:jc w:val="both"/>
      </w:pPr>
      <w:r w:rsidRPr="00950C16">
        <w:t>The purpose of a mandatory bid is multifaceted</w:t>
      </w:r>
      <w:r w:rsidR="004E0391">
        <w:t>,</w:t>
      </w:r>
      <w:r w:rsidRPr="00950C16">
        <w:t xml:space="preserve"> and </w:t>
      </w:r>
      <w:r w:rsidR="004E0391">
        <w:t xml:space="preserve">the context </w:t>
      </w:r>
      <w:r w:rsidRPr="00950C16">
        <w:t xml:space="preserve">must be analysed to discern </w:t>
      </w:r>
      <w:r w:rsidR="004E0391">
        <w:t>the</w:t>
      </w:r>
      <w:r w:rsidRPr="00950C16">
        <w:t xml:space="preserve"> aims</w:t>
      </w:r>
      <w:r w:rsidR="004E0391">
        <w:t xml:space="preserve"> of such a regulation</w:t>
      </w:r>
      <w:r w:rsidRPr="00950C16">
        <w:t xml:space="preserve">. </w:t>
      </w:r>
      <w:r w:rsidR="004E0391">
        <w:t>A m</w:t>
      </w:r>
      <w:r w:rsidRPr="00950C16">
        <w:t xml:space="preserve">andatory bid normally describes an obligation </w:t>
      </w:r>
      <w:r w:rsidR="004E0391">
        <w:t>of</w:t>
      </w:r>
      <w:r w:rsidRPr="00950C16">
        <w:t xml:space="preserve"> the bidder to make an offer to purchase shares in </w:t>
      </w:r>
      <w:r w:rsidR="004E0391">
        <w:t>a</w:t>
      </w:r>
      <w:r w:rsidRPr="00950C16">
        <w:t xml:space="preserve"> target company </w:t>
      </w:r>
      <w:r w:rsidR="00D87508" w:rsidRPr="00950C16">
        <w:t xml:space="preserve">when </w:t>
      </w:r>
      <w:r w:rsidRPr="00950C16">
        <w:t xml:space="preserve">or immediately before the bidder’s holding </w:t>
      </w:r>
      <w:r w:rsidR="00D87508" w:rsidRPr="00950C16">
        <w:t xml:space="preserve">surpasses </w:t>
      </w:r>
      <w:r w:rsidRPr="00950C16">
        <w:t xml:space="preserve">a certain threshold. Broadly speaking, the aim is to ensure equal treatment </w:t>
      </w:r>
      <w:r w:rsidR="007E2E77">
        <w:t>of</w:t>
      </w:r>
      <w:r w:rsidRPr="00950C16">
        <w:t xml:space="preserve"> the shareholders </w:t>
      </w:r>
      <w:r w:rsidR="007E2E77">
        <w:t>of</w:t>
      </w:r>
      <w:r w:rsidRPr="00950C16">
        <w:t xml:space="preserve"> the target company. </w:t>
      </w:r>
      <w:r w:rsidR="007E2E77">
        <w:t>In addition,</w:t>
      </w:r>
      <w:r w:rsidRPr="00950C16">
        <w:t xml:space="preserve"> </w:t>
      </w:r>
      <w:r w:rsidR="007E2E77">
        <w:t>a</w:t>
      </w:r>
      <w:r w:rsidRPr="00950C16">
        <w:t xml:space="preserve"> ‘control premium’ must be paid by the bidder and distributed to the existing shareholders. Without these two conceptual underpinnings of shareholder protection supporting the mandatory bid requirement, a mandatory bid would simply act as an extraordinary burden on and cost to </w:t>
      </w:r>
      <w:r w:rsidR="007E2E77">
        <w:t>a</w:t>
      </w:r>
      <w:r w:rsidRPr="00950C16">
        <w:t xml:space="preserve"> bidder. This very high cost imposed on </w:t>
      </w:r>
      <w:r w:rsidR="007E2E77">
        <w:t>a</w:t>
      </w:r>
      <w:r w:rsidRPr="00950C16">
        <w:t xml:space="preserve"> bidder </w:t>
      </w:r>
      <w:r w:rsidR="007E2E77">
        <w:t>can</w:t>
      </w:r>
      <w:r w:rsidRPr="00950C16">
        <w:t xml:space="preserve"> act as a control on the movement of capital and </w:t>
      </w:r>
      <w:r w:rsidR="00D87508" w:rsidRPr="00950C16">
        <w:t xml:space="preserve">essentially </w:t>
      </w:r>
      <w:r w:rsidR="007E2E77">
        <w:t>serves as</w:t>
      </w:r>
      <w:r w:rsidR="00D87508" w:rsidRPr="00950C16">
        <w:t xml:space="preserve"> </w:t>
      </w:r>
      <w:r w:rsidRPr="00950C16">
        <w:t>a protectionist measure in disguise</w:t>
      </w:r>
      <w:r w:rsidR="00E41A27">
        <w:t>.</w:t>
      </w:r>
      <w:r w:rsidR="00745177">
        <w:t xml:space="preserve"> </w:t>
      </w:r>
      <w:r w:rsidRPr="00950C16">
        <w:t xml:space="preserve">There </w:t>
      </w:r>
      <w:r w:rsidR="004B1A93">
        <w:t xml:space="preserve">has been ongoing debate and extensive </w:t>
      </w:r>
      <w:r w:rsidR="004B1A93">
        <w:lastRenderedPageBreak/>
        <w:t>discussion</w:t>
      </w:r>
      <w:r w:rsidRPr="00950C16">
        <w:t xml:space="preserve"> </w:t>
      </w:r>
      <w:r w:rsidR="007E2E77">
        <w:t>regarding</w:t>
      </w:r>
      <w:r w:rsidRPr="00950C16">
        <w:t xml:space="preserve"> whether the US model of non-mandatory bid</w:t>
      </w:r>
      <w:r w:rsidR="007E2E77">
        <w:t>s</w:t>
      </w:r>
      <w:r w:rsidRPr="00950C16">
        <w:t xml:space="preserve"> or the UK and EU model of mandatory bid</w:t>
      </w:r>
      <w:r w:rsidR="007E2E77">
        <w:t>s</w:t>
      </w:r>
      <w:r w:rsidRPr="00950C16">
        <w:t xml:space="preserve"> increase</w:t>
      </w:r>
      <w:r w:rsidR="007E2E77">
        <w:t>s</w:t>
      </w:r>
      <w:r w:rsidRPr="00950C16">
        <w:t xml:space="preserve"> corporate performance, investor protection, and capital market efficiency. Japan’s mandatory bid </w:t>
      </w:r>
      <w:r w:rsidR="007E2E77">
        <w:t xml:space="preserve">regulation </w:t>
      </w:r>
      <w:r w:rsidRPr="00950C16">
        <w:t>presents a very different story. Japan</w:t>
      </w:r>
      <w:r w:rsidR="007E2E77">
        <w:t xml:space="preserve"> </w:t>
      </w:r>
      <w:r w:rsidRPr="00950C16">
        <w:t xml:space="preserve">requires </w:t>
      </w:r>
      <w:r w:rsidR="007E2E77">
        <w:t>a</w:t>
      </w:r>
      <w:r w:rsidRPr="00950C16">
        <w:t xml:space="preserve"> bidder to make a</w:t>
      </w:r>
      <w:r w:rsidR="007E2E77">
        <w:t>n actual</w:t>
      </w:r>
      <w:r w:rsidRPr="00950C16">
        <w:t xml:space="preserve"> bid before crossing the threshold of</w:t>
      </w:r>
      <w:r w:rsidR="00B21981" w:rsidRPr="00950C16">
        <w:t xml:space="preserve"> </w:t>
      </w:r>
      <w:r w:rsidRPr="00950C16">
        <w:t>30 per cent shareholding</w:t>
      </w:r>
      <w:r w:rsidR="007E2E77">
        <w:t xml:space="preserve"> of the target</w:t>
      </w:r>
      <w:r w:rsidRPr="00950C16">
        <w:t>.</w:t>
      </w:r>
      <w:r w:rsidRPr="00950C16">
        <w:rPr>
          <w:rStyle w:val="FootnoteReference"/>
        </w:rPr>
        <w:footnoteReference w:id="45"/>
      </w:r>
      <w:r w:rsidRPr="00950C16">
        <w:t xml:space="preserve"> This </w:t>
      </w:r>
      <w:r w:rsidRPr="00950C16">
        <w:rPr>
          <w:i/>
        </w:rPr>
        <w:t>ex ante</w:t>
      </w:r>
      <w:r w:rsidRPr="00950C16">
        <w:t xml:space="preserve"> requirement is different from the UK</w:t>
      </w:r>
      <w:r w:rsidR="007E2E77">
        <w:t>’s</w:t>
      </w:r>
      <w:r w:rsidRPr="00950C16">
        <w:t xml:space="preserve"> </w:t>
      </w:r>
      <w:r w:rsidRPr="00950C16">
        <w:rPr>
          <w:i/>
        </w:rPr>
        <w:t>ex post</w:t>
      </w:r>
      <w:r w:rsidRPr="00950C16">
        <w:t xml:space="preserve"> requirement.</w:t>
      </w:r>
      <w:r w:rsidRPr="00950C16">
        <w:rPr>
          <w:rStyle w:val="FootnoteReference"/>
        </w:rPr>
        <w:footnoteReference w:id="46"/>
      </w:r>
      <w:r w:rsidRPr="00950C16">
        <w:t xml:space="preserve"> The aim of Japan</w:t>
      </w:r>
      <w:r w:rsidR="00AE5891" w:rsidRPr="00950C16">
        <w:t>’s</w:t>
      </w:r>
      <w:r w:rsidRPr="00950C16">
        <w:t xml:space="preserve"> mandatory bid</w:t>
      </w:r>
      <w:r w:rsidR="007E2E77">
        <w:t xml:space="preserve"> regulation</w:t>
      </w:r>
      <w:r w:rsidRPr="00950C16">
        <w:t xml:space="preserve"> is to ensure transparency </w:t>
      </w:r>
      <w:r w:rsidR="006D2322" w:rsidRPr="00950C16">
        <w:t xml:space="preserve">in </w:t>
      </w:r>
      <w:r w:rsidRPr="00950C16">
        <w:t xml:space="preserve">the transfer of control </w:t>
      </w:r>
      <w:r w:rsidR="006D2322" w:rsidRPr="00950C16">
        <w:t xml:space="preserve">of </w:t>
      </w:r>
      <w:r w:rsidR="007E2E77">
        <w:t>a</w:t>
      </w:r>
      <w:r w:rsidRPr="00950C16">
        <w:t xml:space="preserve"> company so that the board of the target company, the market, and the regulators </w:t>
      </w:r>
      <w:r w:rsidR="007E2E77">
        <w:t>are</w:t>
      </w:r>
      <w:r w:rsidRPr="00950C16">
        <w:t xml:space="preserve"> notified of such</w:t>
      </w:r>
      <w:r w:rsidR="006D2322" w:rsidRPr="00950C16">
        <w:t xml:space="preserve"> a</w:t>
      </w:r>
      <w:r w:rsidRPr="00950C16">
        <w:t xml:space="preserve"> change </w:t>
      </w:r>
      <w:r w:rsidR="006D2322" w:rsidRPr="00950C16">
        <w:t xml:space="preserve">in </w:t>
      </w:r>
      <w:r w:rsidRPr="00950C16">
        <w:t xml:space="preserve">control. The two conceptual underpinnings of shareholder protection </w:t>
      </w:r>
      <w:r w:rsidR="007E2E77">
        <w:t>regarding</w:t>
      </w:r>
      <w:r w:rsidRPr="00950C16">
        <w:t xml:space="preserve"> mandatory bid</w:t>
      </w:r>
      <w:r w:rsidR="007E2E77">
        <w:t>s</w:t>
      </w:r>
      <w:r w:rsidRPr="00950C16">
        <w:t xml:space="preserve"> in the UK and EU do not form the foundation for Japan’s </w:t>
      </w:r>
      <w:r w:rsidRPr="00950C16">
        <w:rPr>
          <w:i/>
        </w:rPr>
        <w:t>ex ante</w:t>
      </w:r>
      <w:r w:rsidRPr="00950C16">
        <w:t xml:space="preserve"> 30 per cent mandatory bid requirement. The remaining shareholders do not receive </w:t>
      </w:r>
      <w:r w:rsidR="007E2E77">
        <w:t>a</w:t>
      </w:r>
      <w:r w:rsidRPr="00950C16">
        <w:t xml:space="preserve"> control premium paid by the bidder</w:t>
      </w:r>
      <w:r w:rsidR="00C57AEA" w:rsidRPr="00950C16">
        <w:t>,</w:t>
      </w:r>
      <w:r w:rsidRPr="00950C16">
        <w:t xml:space="preserve"> as th</w:t>
      </w:r>
      <w:r w:rsidR="007E2E77">
        <w:t xml:space="preserve">e </w:t>
      </w:r>
      <w:r w:rsidRPr="00950C16">
        <w:t xml:space="preserve">mandatory bid does not require the bidder to make a mandatory purchase of the remaining shares. In fact, a partial bid can be made. Another anomaly is that </w:t>
      </w:r>
      <w:r w:rsidR="00E43CA5">
        <w:t>in Japan, a</w:t>
      </w:r>
      <w:r w:rsidRPr="00950C16">
        <w:t xml:space="preserve"> mandatory bid is only required when </w:t>
      </w:r>
      <w:r w:rsidR="00E43CA5">
        <w:t>the</w:t>
      </w:r>
      <w:r w:rsidRPr="00950C16">
        <w:t xml:space="preserve"> transaction is made off</w:t>
      </w:r>
      <w:r w:rsidR="006D2322" w:rsidRPr="00950C16">
        <w:t xml:space="preserve"> </w:t>
      </w:r>
      <w:r w:rsidRPr="00950C16">
        <w:t>the</w:t>
      </w:r>
      <w:r w:rsidR="006D2322" w:rsidRPr="00950C16">
        <w:t xml:space="preserve"> </w:t>
      </w:r>
      <w:r w:rsidRPr="00950C16">
        <w:t>market. On</w:t>
      </w:r>
      <w:r w:rsidR="006D2322" w:rsidRPr="00950C16">
        <w:t>-</w:t>
      </w:r>
      <w:r w:rsidRPr="00950C16">
        <w:t>market purchase</w:t>
      </w:r>
      <w:r w:rsidR="006D2322" w:rsidRPr="00950C16">
        <w:t>s</w:t>
      </w:r>
      <w:r w:rsidR="00B634D0">
        <w:t xml:space="preserve"> </w:t>
      </w:r>
      <w:r w:rsidR="006D2322" w:rsidRPr="00950C16">
        <w:t xml:space="preserve">are </w:t>
      </w:r>
      <w:r w:rsidRPr="00950C16">
        <w:t xml:space="preserve">exempt from </w:t>
      </w:r>
      <w:r w:rsidR="006D2322" w:rsidRPr="00950C16">
        <w:t>the</w:t>
      </w:r>
      <w:r w:rsidRPr="00950C16">
        <w:t xml:space="preserve"> mandatory bid</w:t>
      </w:r>
      <w:r w:rsidR="006D2322" w:rsidRPr="00950C16">
        <w:t xml:space="preserve"> requirement</w:t>
      </w:r>
      <w:r w:rsidR="00B634D0">
        <w:rPr>
          <w:rStyle w:val="FootnoteReference"/>
        </w:rPr>
        <w:footnoteReference w:id="47"/>
      </w:r>
      <w:r w:rsidR="00E43CA5">
        <w:t>, which</w:t>
      </w:r>
      <w:r w:rsidRPr="00950C16">
        <w:t xml:space="preserve"> </w:t>
      </w:r>
      <w:r w:rsidR="00CB4820">
        <w:t>raises</w:t>
      </w:r>
      <w:r w:rsidR="00CB4820" w:rsidRPr="00950C16">
        <w:t xml:space="preserve"> </w:t>
      </w:r>
      <w:r w:rsidRPr="00950C16">
        <w:t xml:space="preserve">the question of why </w:t>
      </w:r>
      <w:r w:rsidR="00CB4820">
        <w:t>this</w:t>
      </w:r>
      <w:r w:rsidRPr="00950C16">
        <w:t xml:space="preserve"> exemption applies</w:t>
      </w:r>
      <w:r w:rsidR="00CB4820">
        <w:t>.</w:t>
      </w:r>
      <w:r w:rsidRPr="00950C16">
        <w:t xml:space="preserve"> In contrast, the UK and EU mandatory bid requirement</w:t>
      </w:r>
      <w:r w:rsidR="00E43CA5">
        <w:t>s</w:t>
      </w:r>
      <w:r w:rsidRPr="00950C16">
        <w:t xml:space="preserve"> appl</w:t>
      </w:r>
      <w:r w:rsidR="00E43CA5">
        <w:t>y</w:t>
      </w:r>
      <w:r w:rsidRPr="00950C16">
        <w:t xml:space="preserve"> to both on</w:t>
      </w:r>
      <w:r w:rsidR="006D2322" w:rsidRPr="00950C16">
        <w:t>-</w:t>
      </w:r>
      <w:r w:rsidRPr="00950C16">
        <w:t>the</w:t>
      </w:r>
      <w:r w:rsidR="006D2322" w:rsidRPr="00950C16">
        <w:t>-</w:t>
      </w:r>
      <w:r w:rsidRPr="00950C16">
        <w:t>market and off</w:t>
      </w:r>
      <w:r w:rsidR="006D2322" w:rsidRPr="00950C16">
        <w:t>-</w:t>
      </w:r>
      <w:r w:rsidR="00745177" w:rsidRPr="00950C16" w:rsidDel="00745177">
        <w:t xml:space="preserve"> </w:t>
      </w:r>
      <w:r w:rsidRPr="00950C16">
        <w:t>market purchase</w:t>
      </w:r>
      <w:r w:rsidR="006D2322" w:rsidRPr="00950C16">
        <w:t>s</w:t>
      </w:r>
      <w:r w:rsidRPr="00950C16">
        <w:t xml:space="preserve">. An explanation for this exemption is that </w:t>
      </w:r>
      <w:r w:rsidR="006D2322" w:rsidRPr="00950C16">
        <w:t>purchasing</w:t>
      </w:r>
      <w:r w:rsidRPr="00950C16">
        <w:t xml:space="preserve"> </w:t>
      </w:r>
      <w:r w:rsidR="006D2322" w:rsidRPr="00950C16">
        <w:t xml:space="preserve">a </w:t>
      </w:r>
      <w:r w:rsidRPr="00950C16">
        <w:t xml:space="preserve">30 per cent holding on the market </w:t>
      </w:r>
      <w:r w:rsidR="00E43CA5">
        <w:t>is</w:t>
      </w:r>
      <w:r w:rsidRPr="00950C16">
        <w:t xml:space="preserve"> more expensive than </w:t>
      </w:r>
      <w:r w:rsidR="006D2322" w:rsidRPr="00950C16">
        <w:t xml:space="preserve">doing so </w:t>
      </w:r>
      <w:r w:rsidRPr="00950C16">
        <w:t xml:space="preserve">off the market. Furthermore, it is difficult to purchase, unless through stake-building, </w:t>
      </w:r>
      <w:r w:rsidR="006D2322" w:rsidRPr="00950C16">
        <w:t xml:space="preserve">a </w:t>
      </w:r>
      <w:r w:rsidRPr="00950C16">
        <w:t xml:space="preserve">30 per cent </w:t>
      </w:r>
      <w:r w:rsidR="00B21981" w:rsidRPr="00950C16">
        <w:t xml:space="preserve">holding </w:t>
      </w:r>
      <w:r w:rsidRPr="00950C16">
        <w:t xml:space="preserve">on the market. The transfer of such </w:t>
      </w:r>
      <w:r w:rsidR="00E43CA5">
        <w:t xml:space="preserve">a degree of </w:t>
      </w:r>
      <w:r w:rsidRPr="00950C16">
        <w:t xml:space="preserve">control </w:t>
      </w:r>
      <w:r w:rsidR="00E43CA5">
        <w:t>of a</w:t>
      </w:r>
      <w:r w:rsidRPr="00950C16">
        <w:t xml:space="preserve"> company </w:t>
      </w:r>
      <w:r w:rsidR="00E43CA5">
        <w:t>can</w:t>
      </w:r>
      <w:r w:rsidRPr="00950C16">
        <w:t xml:space="preserve"> be more easily </w:t>
      </w:r>
      <w:r w:rsidR="00E43CA5">
        <w:t>performed</w:t>
      </w:r>
      <w:r w:rsidRPr="00950C16">
        <w:t xml:space="preserve"> through</w:t>
      </w:r>
      <w:r w:rsidR="00180717" w:rsidRPr="00950C16">
        <w:t xml:space="preserve"> an</w:t>
      </w:r>
      <w:r w:rsidRPr="00950C16">
        <w:t xml:space="preserve"> off</w:t>
      </w:r>
      <w:r w:rsidR="00180717" w:rsidRPr="00950C16">
        <w:t>-</w:t>
      </w:r>
      <w:r w:rsidRPr="00950C16">
        <w:t>the</w:t>
      </w:r>
      <w:r w:rsidR="00180717" w:rsidRPr="00950C16">
        <w:t>-</w:t>
      </w:r>
      <w:r w:rsidRPr="00950C16">
        <w:t xml:space="preserve">market purchase. </w:t>
      </w:r>
      <w:r w:rsidR="00E43CA5">
        <w:t>However, the</w:t>
      </w:r>
      <w:r w:rsidR="00180717" w:rsidRPr="00950C16">
        <w:t xml:space="preserve"> </w:t>
      </w:r>
      <w:r w:rsidRPr="00950C16">
        <w:t xml:space="preserve">transfer of 30 per cent control does not effectively </w:t>
      </w:r>
      <w:r w:rsidR="00E43CA5">
        <w:t>lead to</w:t>
      </w:r>
      <w:r w:rsidRPr="00950C16">
        <w:t xml:space="preserve"> control </w:t>
      </w:r>
      <w:r w:rsidR="00E43CA5">
        <w:t>of</w:t>
      </w:r>
      <w:r w:rsidRPr="00950C16">
        <w:t xml:space="preserve"> the </w:t>
      </w:r>
      <w:r w:rsidR="00E43CA5">
        <w:t>acquired</w:t>
      </w:r>
      <w:r w:rsidR="00180717" w:rsidRPr="00950C16">
        <w:t xml:space="preserve"> </w:t>
      </w:r>
      <w:r w:rsidRPr="00950C16">
        <w:t xml:space="preserve">company because the appointment </w:t>
      </w:r>
      <w:r w:rsidRPr="004B1A93">
        <w:t>of the board directors still require</w:t>
      </w:r>
      <w:r w:rsidR="00E43CA5" w:rsidRPr="004B1A93">
        <w:t>s</w:t>
      </w:r>
      <w:r w:rsidRPr="004B1A93">
        <w:t xml:space="preserve"> shareholder approval </w:t>
      </w:r>
      <w:r w:rsidR="00E43CA5" w:rsidRPr="004B1A93">
        <w:t>by</w:t>
      </w:r>
      <w:r w:rsidRPr="004B1A93">
        <w:t xml:space="preserve"> more than 50 per</w:t>
      </w:r>
      <w:r w:rsidRPr="00950C16">
        <w:t xml:space="preserve"> cent of the total </w:t>
      </w:r>
      <w:r w:rsidR="00180717" w:rsidRPr="00950C16">
        <w:t>shares</w:t>
      </w:r>
      <w:r w:rsidRPr="00950C16">
        <w:t xml:space="preserve">. At best, </w:t>
      </w:r>
      <w:r w:rsidR="00E43CA5">
        <w:t>a</w:t>
      </w:r>
      <w:r w:rsidRPr="00950C16">
        <w:t xml:space="preserve"> 30 per cent </w:t>
      </w:r>
      <w:r w:rsidR="00180717" w:rsidRPr="00950C16">
        <w:t>hold</w:t>
      </w:r>
      <w:r w:rsidR="00E43CA5">
        <w:t>er</w:t>
      </w:r>
      <w:r w:rsidR="00180717" w:rsidRPr="00950C16">
        <w:t xml:space="preserve"> </w:t>
      </w:r>
      <w:r w:rsidR="00E43CA5">
        <w:t>can</w:t>
      </w:r>
      <w:r w:rsidRPr="00950C16">
        <w:t xml:space="preserve"> appoint some directors to the board.</w:t>
      </w:r>
      <w:r w:rsidR="00E43CA5">
        <w:t xml:space="preserve"> This</w:t>
      </w:r>
      <w:r w:rsidRPr="00950C16">
        <w:t xml:space="preserve"> exemption substantially removes the cost </w:t>
      </w:r>
      <w:r w:rsidR="00E43CA5">
        <w:t xml:space="preserve">to the bidder </w:t>
      </w:r>
      <w:r w:rsidRPr="00950C16">
        <w:t xml:space="preserve">imposed under the UK and EU models when acquiring control </w:t>
      </w:r>
      <w:r w:rsidR="00E43CA5">
        <w:t>of a</w:t>
      </w:r>
      <w:r w:rsidRPr="00950C16">
        <w:t xml:space="preserve"> company through </w:t>
      </w:r>
      <w:r w:rsidR="00180717" w:rsidRPr="00950C16">
        <w:t xml:space="preserve">an </w:t>
      </w:r>
      <w:r w:rsidRPr="00950C16">
        <w:t>on</w:t>
      </w:r>
      <w:r w:rsidR="00180717" w:rsidRPr="00950C16">
        <w:t>-</w:t>
      </w:r>
      <w:r w:rsidR="00745177" w:rsidRPr="00950C16" w:rsidDel="00745177">
        <w:t xml:space="preserve"> </w:t>
      </w:r>
      <w:r w:rsidRPr="00950C16">
        <w:t xml:space="preserve">market purchase. In other </w:t>
      </w:r>
      <w:proofErr w:type="gramStart"/>
      <w:r w:rsidRPr="00950C16">
        <w:t>words</w:t>
      </w:r>
      <w:proofErr w:type="gramEnd"/>
      <w:r w:rsidRPr="00950C16">
        <w:t xml:space="preserve"> and in theory, an acquirer can purchase shares in </w:t>
      </w:r>
      <w:r w:rsidR="00E43CA5">
        <w:t>a</w:t>
      </w:r>
      <w:r w:rsidRPr="00950C16">
        <w:t xml:space="preserve"> target company and acquire control by obtaining more than 50 per cent of the shares on the market without making a mandatory bid. </w:t>
      </w:r>
      <w:r w:rsidR="004E7943">
        <w:t>However, the foregoing</w:t>
      </w:r>
      <w:r w:rsidRPr="00950C16">
        <w:t xml:space="preserve"> does not support the suggestion </w:t>
      </w:r>
      <w:r w:rsidR="00180717" w:rsidRPr="00950C16">
        <w:t>that Japan’s</w:t>
      </w:r>
      <w:r w:rsidRPr="00950C16">
        <w:t xml:space="preserve"> mandatory bid rule </w:t>
      </w:r>
      <w:r w:rsidR="00180717" w:rsidRPr="00950C16">
        <w:t xml:space="preserve">is </w:t>
      </w:r>
      <w:r w:rsidRPr="00950C16">
        <w:t xml:space="preserve">a disguised protectionist measure. Furthermore, Japan adheres to </w:t>
      </w:r>
      <w:r w:rsidR="00D44229" w:rsidRPr="00950C16">
        <w:t xml:space="preserve">the </w:t>
      </w:r>
      <w:r w:rsidRPr="00950C16">
        <w:t>one-share-one-vote principle in which major shareholders can</w:t>
      </w:r>
      <w:r w:rsidR="00927BC7">
        <w:t>not</w:t>
      </w:r>
      <w:r w:rsidRPr="00950C16">
        <w:t xml:space="preserve"> out-vote others by exercising special voting rights</w:t>
      </w:r>
      <w:r w:rsidR="00927BC7">
        <w:t xml:space="preserve">. </w:t>
      </w:r>
      <w:r w:rsidRPr="00950C16">
        <w:t>Therefore, Japan does not need the EU type of breakthrough rule to resolve special voting right</w:t>
      </w:r>
      <w:r w:rsidR="00D44229" w:rsidRPr="00950C16">
        <w:t>s</w:t>
      </w:r>
      <w:r w:rsidRPr="00950C16">
        <w:t xml:space="preserve"> issues that </w:t>
      </w:r>
      <w:r w:rsidR="004E7943">
        <w:t xml:space="preserve">can </w:t>
      </w:r>
      <w:r w:rsidRPr="00950C16">
        <w:t xml:space="preserve">act as an obstacle to </w:t>
      </w:r>
      <w:r w:rsidR="004E7943">
        <w:t xml:space="preserve">a </w:t>
      </w:r>
      <w:r w:rsidRPr="00950C16">
        <w:t xml:space="preserve">takeover. </w:t>
      </w:r>
    </w:p>
    <w:p w14:paraId="606D324A" w14:textId="77777777" w:rsidR="00671272" w:rsidRPr="00950C16" w:rsidRDefault="00671272" w:rsidP="00671272">
      <w:pPr>
        <w:jc w:val="both"/>
      </w:pPr>
    </w:p>
    <w:p w14:paraId="582F22BD" w14:textId="77777777" w:rsidR="00671272" w:rsidRPr="00950C16" w:rsidRDefault="00F12481" w:rsidP="00671272">
      <w:pPr>
        <w:jc w:val="both"/>
      </w:pPr>
      <w:r w:rsidRPr="00950C16">
        <w:t xml:space="preserve">There is another </w:t>
      </w:r>
      <w:r w:rsidR="000A547D" w:rsidRPr="00950C16">
        <w:t xml:space="preserve">mandatory bid </w:t>
      </w:r>
      <w:r w:rsidRPr="00950C16">
        <w:t xml:space="preserve">requirement </w:t>
      </w:r>
      <w:r w:rsidR="00707F4C" w:rsidRPr="00950C16">
        <w:t>under the FIE</w:t>
      </w:r>
      <w:r w:rsidRPr="00950C16">
        <w:t xml:space="preserve">. </w:t>
      </w:r>
      <w:r w:rsidRPr="00ED1AB6">
        <w:t xml:space="preserve">Once a person acquires more than 75 per cent of </w:t>
      </w:r>
      <w:r w:rsidR="004E7943" w:rsidRPr="00ED1AB6">
        <w:t>a target’s outstanding</w:t>
      </w:r>
      <w:r w:rsidRPr="00ED1AB6">
        <w:t xml:space="preserve"> shares, a mandatory bid </w:t>
      </w:r>
      <w:r w:rsidR="004E7943" w:rsidRPr="00ED1AB6">
        <w:t>must</w:t>
      </w:r>
      <w:r w:rsidRPr="00ED1AB6">
        <w:t xml:space="preserve"> be made.</w:t>
      </w:r>
      <w:r w:rsidRPr="00950C16">
        <w:rPr>
          <w:rStyle w:val="FootnoteReference"/>
        </w:rPr>
        <w:footnoteReference w:id="48"/>
      </w:r>
      <w:r w:rsidRPr="00950C16">
        <w:t xml:space="preserve"> This </w:t>
      </w:r>
      <w:r w:rsidR="004E7943">
        <w:t xml:space="preserve">mechanism essentially </w:t>
      </w:r>
      <w:r w:rsidRPr="00950C16">
        <w:t xml:space="preserve">represents </w:t>
      </w:r>
      <w:r w:rsidR="004E7943">
        <w:t>a</w:t>
      </w:r>
      <w:r w:rsidRPr="00950C16">
        <w:t xml:space="preserve"> bidder’s buy</w:t>
      </w:r>
      <w:r w:rsidR="004E7943">
        <w:t>-</w:t>
      </w:r>
      <w:r w:rsidRPr="00950C16">
        <w:t xml:space="preserve">out </w:t>
      </w:r>
      <w:r w:rsidR="000F288D">
        <w:t xml:space="preserve">obligation </w:t>
      </w:r>
      <w:r w:rsidRPr="00950C16">
        <w:t>and the existing shareholders’ sell-out right</w:t>
      </w:r>
      <w:r w:rsidR="004E7943">
        <w:t>s</w:t>
      </w:r>
      <w:r w:rsidRPr="00950C16">
        <w:t xml:space="preserve">. </w:t>
      </w:r>
      <w:r w:rsidR="004E7943">
        <w:t>A p</w:t>
      </w:r>
      <w:r w:rsidRPr="00950C16">
        <w:t xml:space="preserve">artial bid is not </w:t>
      </w:r>
      <w:r w:rsidRPr="00950C16">
        <w:lastRenderedPageBreak/>
        <w:t>allowed</w:t>
      </w:r>
      <w:r w:rsidR="000A547D" w:rsidRPr="00950C16">
        <w:t>;</w:t>
      </w:r>
      <w:r w:rsidRPr="00950C16">
        <w:t xml:space="preserve"> however, there is no </w:t>
      </w:r>
      <w:r w:rsidR="004E7943">
        <w:t>regulation</w:t>
      </w:r>
      <w:r w:rsidRPr="00950C16">
        <w:t xml:space="preserve"> </w:t>
      </w:r>
      <w:r w:rsidR="004E7943">
        <w:t>of</w:t>
      </w:r>
      <w:r w:rsidRPr="00950C16">
        <w:t xml:space="preserve"> the offering price. </w:t>
      </w:r>
      <w:r w:rsidR="004E7943">
        <w:t>Thus, a</w:t>
      </w:r>
      <w:r w:rsidRPr="00950C16">
        <w:t xml:space="preserve"> bidder can make a mandatory bid below the market price. A 75 per cent shareholder </w:t>
      </w:r>
      <w:r w:rsidR="004E7943">
        <w:t>has</w:t>
      </w:r>
      <w:r w:rsidRPr="00950C16">
        <w:t xml:space="preserve"> more than effective control </w:t>
      </w:r>
      <w:r w:rsidR="000A547D" w:rsidRPr="00950C16">
        <w:t xml:space="preserve">of </w:t>
      </w:r>
      <w:r w:rsidR="004E7943">
        <w:t>a</w:t>
      </w:r>
      <w:r w:rsidRPr="00950C16">
        <w:t xml:space="preserve"> company</w:t>
      </w:r>
      <w:r w:rsidR="004E7943">
        <w:t>, and</w:t>
      </w:r>
      <w:r w:rsidRPr="00950C16">
        <w:t xml:space="preserve"> </w:t>
      </w:r>
      <w:r w:rsidR="004E7943">
        <w:t>s</w:t>
      </w:r>
      <w:r w:rsidRPr="00950C16">
        <w:t>uch a mandatory bid does not serve the purpose of offering a control premium to the remaining shareholders</w:t>
      </w:r>
      <w:r w:rsidR="000A547D" w:rsidRPr="00950C16">
        <w:t>,</w:t>
      </w:r>
      <w:r w:rsidRPr="00950C16">
        <w:t xml:space="preserve"> nor </w:t>
      </w:r>
      <w:r w:rsidR="000A547D" w:rsidRPr="00950C16">
        <w:t xml:space="preserve">does it serve </w:t>
      </w:r>
      <w:r w:rsidRPr="00950C16">
        <w:t>as a substantial protection to them. Had there been a price control on the offer</w:t>
      </w:r>
      <w:r w:rsidR="00C57AEA" w:rsidRPr="00950C16">
        <w:t>—</w:t>
      </w:r>
      <w:r w:rsidRPr="00950C16">
        <w:t>such as the highest price at which the bidder has acquired share</w:t>
      </w:r>
      <w:r w:rsidR="004E7943">
        <w:t>s</w:t>
      </w:r>
      <w:r w:rsidRPr="00950C16">
        <w:t xml:space="preserve"> in the past few months</w:t>
      </w:r>
      <w:r w:rsidR="00C57AEA" w:rsidRPr="00950C16">
        <w:t>—</w:t>
      </w:r>
      <w:r w:rsidRPr="00950C16">
        <w:t xml:space="preserve">this mandatory requirement </w:t>
      </w:r>
      <w:r w:rsidR="00C558A9">
        <w:t>could serve as</w:t>
      </w:r>
      <w:r w:rsidRPr="00950C16">
        <w:t xml:space="preserve"> a measure to protect the remaining shareholders. </w:t>
      </w:r>
      <w:r w:rsidR="00CB4820">
        <w:t>In the absence of</w:t>
      </w:r>
      <w:r w:rsidRPr="00950C16">
        <w:t xml:space="preserve"> this price control element, </w:t>
      </w:r>
      <w:r w:rsidR="00C558A9">
        <w:t xml:space="preserve">however, </w:t>
      </w:r>
      <w:r w:rsidRPr="00950C16">
        <w:t xml:space="preserve">this requirement effectively provides a convenient tool </w:t>
      </w:r>
      <w:r w:rsidR="000A547D" w:rsidRPr="00950C16">
        <w:t xml:space="preserve">for </w:t>
      </w:r>
      <w:r w:rsidR="00C558A9">
        <w:t>a</w:t>
      </w:r>
      <w:r w:rsidRPr="00950C16">
        <w:t xml:space="preserve"> bidder to obtain full control without incurring a high cost </w:t>
      </w:r>
      <w:r w:rsidR="00C558A9">
        <w:t>for</w:t>
      </w:r>
      <w:r w:rsidRPr="00950C16">
        <w:t xml:space="preserve"> minority shareholder protection. </w:t>
      </w:r>
    </w:p>
    <w:p w14:paraId="23548F0B" w14:textId="77777777" w:rsidR="00671272" w:rsidRPr="00950C16" w:rsidRDefault="00671272" w:rsidP="00671272">
      <w:pPr>
        <w:jc w:val="both"/>
      </w:pPr>
    </w:p>
    <w:p w14:paraId="7E005F6D" w14:textId="77777777" w:rsidR="00671272" w:rsidRPr="00950C16" w:rsidRDefault="00F12481" w:rsidP="00671272">
      <w:pPr>
        <w:jc w:val="both"/>
      </w:pPr>
      <w:r w:rsidRPr="00950C16">
        <w:t xml:space="preserve">A conclusion </w:t>
      </w:r>
      <w:r w:rsidR="00C558A9">
        <w:t xml:space="preserve">that can be </w:t>
      </w:r>
      <w:r w:rsidRPr="00950C16">
        <w:t xml:space="preserve">drawn </w:t>
      </w:r>
      <w:r w:rsidR="000A547D" w:rsidRPr="00950C16">
        <w:t xml:space="preserve">from </w:t>
      </w:r>
      <w:r w:rsidRPr="00950C16">
        <w:t xml:space="preserve">these findings is that the 30 per cent and 75 per cent mandatory bid requirements do not represent a </w:t>
      </w:r>
      <w:r w:rsidR="00C558A9">
        <w:t xml:space="preserve">more substantial </w:t>
      </w:r>
      <w:r w:rsidRPr="00950C16">
        <w:t xml:space="preserve">cost </w:t>
      </w:r>
      <w:r w:rsidR="00831EE8">
        <w:t xml:space="preserve">to the bidder </w:t>
      </w:r>
      <w:r w:rsidR="00C558A9">
        <w:t>than</w:t>
      </w:r>
      <w:r w:rsidRPr="00950C16">
        <w:t xml:space="preserve"> the mandatory bid requirement</w:t>
      </w:r>
      <w:r w:rsidR="00C558A9">
        <w:t>s</w:t>
      </w:r>
      <w:r w:rsidRPr="00950C16">
        <w:t xml:space="preserve"> under the UK and EU models. </w:t>
      </w:r>
      <w:r w:rsidR="000A547D" w:rsidRPr="00950C16">
        <w:t>Mandatory</w:t>
      </w:r>
      <w:r w:rsidRPr="00950C16">
        <w:t xml:space="preserve"> bids in Japan cannot be used as protectionist measures in disguise against a takeover bid</w:t>
      </w:r>
      <w:r w:rsidR="00C558A9">
        <w:t>;</w:t>
      </w:r>
      <w:r w:rsidRPr="00950C16">
        <w:t xml:space="preserve"> </w:t>
      </w:r>
      <w:r w:rsidR="00C558A9">
        <w:t>they</w:t>
      </w:r>
      <w:r w:rsidRPr="00950C16">
        <w:t xml:space="preserve"> only </w:t>
      </w:r>
      <w:r w:rsidR="00C558A9">
        <w:t>restrict</w:t>
      </w:r>
      <w:r w:rsidRPr="00950C16">
        <w:t xml:space="preserve"> the opportunities of minority shareholders </w:t>
      </w:r>
      <w:r w:rsidR="000A547D" w:rsidRPr="00950C16">
        <w:t xml:space="preserve">to benefit </w:t>
      </w:r>
      <w:r w:rsidRPr="00950C16">
        <w:t xml:space="preserve">from a takeover. </w:t>
      </w:r>
      <w:r w:rsidR="00C558A9">
        <w:t>Because</w:t>
      </w:r>
      <w:r w:rsidRPr="00950C16">
        <w:t xml:space="preserve"> transfer</w:t>
      </w:r>
      <w:r w:rsidR="00C558A9">
        <w:t>s</w:t>
      </w:r>
      <w:r w:rsidRPr="00950C16">
        <w:t xml:space="preserve"> of control often take place within a corporate group of companies, the 30 per cent </w:t>
      </w:r>
      <w:r w:rsidRPr="004B1A93">
        <w:rPr>
          <w:i/>
        </w:rPr>
        <w:t>ex ante</w:t>
      </w:r>
      <w:r w:rsidRPr="00950C16">
        <w:t xml:space="preserve"> rule serves as a transparency measure. When such information is disclosed, an outsider to the group </w:t>
      </w:r>
      <w:r w:rsidR="00C558A9">
        <w:t>can</w:t>
      </w:r>
      <w:r w:rsidRPr="00950C16">
        <w:t xml:space="preserve"> make an unsolicited bid. </w:t>
      </w:r>
    </w:p>
    <w:p w14:paraId="6F59CEE8" w14:textId="77777777" w:rsidR="00671272" w:rsidRPr="00950C16" w:rsidRDefault="00671272" w:rsidP="00671272">
      <w:pPr>
        <w:jc w:val="both"/>
      </w:pPr>
    </w:p>
    <w:p w14:paraId="6363934A" w14:textId="77777777" w:rsidR="00671272" w:rsidRPr="00950C16" w:rsidRDefault="00671272" w:rsidP="00671272">
      <w:pPr>
        <w:jc w:val="both"/>
      </w:pPr>
    </w:p>
    <w:p w14:paraId="7E166535" w14:textId="77777777" w:rsidR="00671272" w:rsidRPr="00950C16" w:rsidRDefault="00F12481" w:rsidP="00671272">
      <w:pPr>
        <w:jc w:val="both"/>
        <w:rPr>
          <w:i/>
        </w:rPr>
      </w:pPr>
      <w:r w:rsidRPr="00950C16">
        <w:rPr>
          <w:i/>
        </w:rPr>
        <w:t xml:space="preserve">3.5 Defensive measures </w:t>
      </w:r>
    </w:p>
    <w:p w14:paraId="3C358E9A" w14:textId="77777777" w:rsidR="00671272" w:rsidRPr="00950C16" w:rsidRDefault="00671272" w:rsidP="00671272">
      <w:pPr>
        <w:jc w:val="both"/>
        <w:rPr>
          <w:i/>
        </w:rPr>
      </w:pPr>
    </w:p>
    <w:p w14:paraId="6DAC7698" w14:textId="6CD7DF84" w:rsidR="00671272" w:rsidRPr="00950C16" w:rsidRDefault="000653D2" w:rsidP="00671272">
      <w:pPr>
        <w:jc w:val="both"/>
      </w:pPr>
      <w:r>
        <w:t>With</w:t>
      </w:r>
      <w:r w:rsidR="00F12481" w:rsidRPr="00950C16">
        <w:t xml:space="preserve"> regard</w:t>
      </w:r>
      <w:r>
        <w:t>s</w:t>
      </w:r>
      <w:r w:rsidR="00F12481" w:rsidRPr="00950C16">
        <w:t xml:space="preserve"> to the most debated area of defensive measures, Japan’s system is </w:t>
      </w:r>
      <w:r w:rsidR="00D27A12" w:rsidRPr="00950C16">
        <w:t>no</w:t>
      </w:r>
      <w:r w:rsidR="00F12481" w:rsidRPr="00950C16">
        <w:t xml:space="preserve"> more</w:t>
      </w:r>
      <w:r w:rsidR="00D27A12" w:rsidRPr="00950C16">
        <w:t xml:space="preserve"> of an</w:t>
      </w:r>
      <w:r w:rsidR="00F12481" w:rsidRPr="00950C16">
        <w:t xml:space="preserve"> innovative legal design than the</w:t>
      </w:r>
      <w:r w:rsidR="00D27A12" w:rsidRPr="00950C16">
        <w:t xml:space="preserve"> frameworks in the</w:t>
      </w:r>
      <w:r w:rsidR="00F12481" w:rsidRPr="00950C16">
        <w:t xml:space="preserve"> UK, </w:t>
      </w:r>
      <w:r w:rsidR="00D27A12" w:rsidRPr="00950C16">
        <w:t xml:space="preserve">the </w:t>
      </w:r>
      <w:r w:rsidR="00F12481" w:rsidRPr="00950C16">
        <w:t xml:space="preserve">EU or the US. The UK’s non-frustration rule </w:t>
      </w:r>
      <w:r w:rsidR="00D27A12" w:rsidRPr="00950C16">
        <w:t xml:space="preserve">vests </w:t>
      </w:r>
      <w:r w:rsidR="00F12481" w:rsidRPr="00950C16">
        <w:t xml:space="preserve">the power to raise defences </w:t>
      </w:r>
      <w:r w:rsidR="00D27A12" w:rsidRPr="00950C16">
        <w:t xml:space="preserve">in </w:t>
      </w:r>
      <w:r w:rsidR="00F12481" w:rsidRPr="00950C16">
        <w:t xml:space="preserve">the shareholders. The power </w:t>
      </w:r>
      <w:r w:rsidR="00D27A12" w:rsidRPr="00950C16">
        <w:t>of</w:t>
      </w:r>
      <w:r w:rsidR="00F12481" w:rsidRPr="00950C16">
        <w:t xml:space="preserve"> management to use defences as a protectionist measure or as a genuine tool to protect shareholders from being coerced to accept an under-valued offer has been greatly diminished by the non-frustration rule. Increasingly, the non-frustration rule benefits short</w:t>
      </w:r>
      <w:r>
        <w:t>-</w:t>
      </w:r>
      <w:r w:rsidR="00F12481" w:rsidRPr="00950C16">
        <w:t>term</w:t>
      </w:r>
      <w:r>
        <w:t>-</w:t>
      </w:r>
      <w:r w:rsidR="00F12481" w:rsidRPr="00950C16">
        <w:t xml:space="preserve">focused investor groups, </w:t>
      </w:r>
      <w:r>
        <w:t>such as</w:t>
      </w:r>
      <w:r w:rsidR="00F12481" w:rsidRPr="00950C16">
        <w:t xml:space="preserve"> hedge funds and private equity firms. The activities of these </w:t>
      </w:r>
      <w:r>
        <w:t>entities</w:t>
      </w:r>
      <w:r w:rsidR="00F12481" w:rsidRPr="00950C16">
        <w:t xml:space="preserve"> are vital to the interest</w:t>
      </w:r>
      <w:r>
        <w:t>s</w:t>
      </w:r>
      <w:r w:rsidR="00F12481" w:rsidRPr="00950C16">
        <w:t xml:space="preserve"> of the City of London as the world financial centre. By contrast, the EU’s opt-out rule continues to allow companies to raise defences. To level the playing field, the reciprocal rule, if opted-in by the member state, can be used by companies to raise defences against a takeover by a company from a country without such a non-frustration rule. Japan </w:t>
      </w:r>
      <w:r>
        <w:t xml:space="preserve">has largely </w:t>
      </w:r>
      <w:r w:rsidR="00F12481" w:rsidRPr="00950C16">
        <w:t>adopt</w:t>
      </w:r>
      <w:r>
        <w:t>ed</w:t>
      </w:r>
      <w:r w:rsidR="00F12481" w:rsidRPr="00950C16">
        <w:t xml:space="preserve"> the Delaware approach based on the </w:t>
      </w:r>
      <w:r w:rsidR="00F12481" w:rsidRPr="00950C16">
        <w:rPr>
          <w:i/>
        </w:rPr>
        <w:t>Unocal</w:t>
      </w:r>
      <w:r w:rsidR="00F12481" w:rsidRPr="00950C16">
        <w:t xml:space="preserve"> case</w:t>
      </w:r>
      <w:r w:rsidR="00F12481" w:rsidRPr="00950C16">
        <w:rPr>
          <w:rStyle w:val="FootnoteReference"/>
        </w:rPr>
        <w:footnoteReference w:id="49"/>
      </w:r>
      <w:r w:rsidR="00F12481" w:rsidRPr="00950C16">
        <w:t>. Under the Japanese approach</w:t>
      </w:r>
      <w:r w:rsidR="007E0565">
        <w:rPr>
          <w:rStyle w:val="FootnoteReference"/>
        </w:rPr>
        <w:footnoteReference w:id="50"/>
      </w:r>
      <w:r w:rsidR="00F12481" w:rsidRPr="00950C16">
        <w:t xml:space="preserve">, the board has the power to raise defences </w:t>
      </w:r>
      <w:r>
        <w:t>to</w:t>
      </w:r>
      <w:r w:rsidR="00F12481" w:rsidRPr="00950C16">
        <w:t xml:space="preserve"> protect corporate value.</w:t>
      </w:r>
      <w:r w:rsidR="00063D20">
        <w:rPr>
          <w:rStyle w:val="FootnoteReference"/>
        </w:rPr>
        <w:footnoteReference w:id="51"/>
      </w:r>
      <w:r w:rsidR="00F12481" w:rsidRPr="00950C16">
        <w:t xml:space="preserve"> The term ‘corporate value’ was subsequently interpreted in a government-commissioned report by a study group as </w:t>
      </w:r>
      <w:r w:rsidR="006E1F89" w:rsidRPr="00950C16">
        <w:t xml:space="preserve">the </w:t>
      </w:r>
      <w:r w:rsidR="00F12481" w:rsidRPr="00950C16">
        <w:t>monetary interest</w:t>
      </w:r>
      <w:r>
        <w:t>s</w:t>
      </w:r>
      <w:r w:rsidR="00F12481" w:rsidRPr="00950C16">
        <w:t xml:space="preserve"> of </w:t>
      </w:r>
      <w:r w:rsidR="00F12481" w:rsidRPr="00950C16">
        <w:lastRenderedPageBreak/>
        <w:t>existing shareholders.</w:t>
      </w:r>
      <w:r w:rsidR="00705CA5">
        <w:rPr>
          <w:rStyle w:val="FootnoteReference"/>
        </w:rPr>
        <w:footnoteReference w:id="52"/>
      </w:r>
      <w:r w:rsidR="00F12481" w:rsidRPr="00950C16">
        <w:t xml:space="preserve"> This ‘business judgement rule’ does not allow the board to use defences to protect a board-favoured takeover deal even in the interest of the company. As in the NBS case</w:t>
      </w:r>
      <w:r w:rsidR="00F12481" w:rsidRPr="00950C16">
        <w:rPr>
          <w:rStyle w:val="FootnoteReference"/>
        </w:rPr>
        <w:footnoteReference w:id="53"/>
      </w:r>
      <w:r w:rsidR="00F12481" w:rsidRPr="00950C16">
        <w:t>, the court ruled against the defence of a shareholder rights plan (</w:t>
      </w:r>
      <w:r>
        <w:t>a</w:t>
      </w:r>
      <w:r w:rsidR="00F12481" w:rsidRPr="00950C16">
        <w:t xml:space="preserve"> ‘poison pill’) </w:t>
      </w:r>
      <w:r w:rsidR="006E1F89" w:rsidRPr="00950C16">
        <w:t xml:space="preserve">that </w:t>
      </w:r>
      <w:r w:rsidR="00F12481" w:rsidRPr="00950C16">
        <w:t>the target</w:t>
      </w:r>
      <w:r w:rsidR="006E1F89" w:rsidRPr="00950C16">
        <w:t xml:space="preserve"> company’s</w:t>
      </w:r>
      <w:r w:rsidR="00F12481" w:rsidRPr="00950C16">
        <w:t xml:space="preserve"> board adopted to protect</w:t>
      </w:r>
      <w:r>
        <w:t xml:space="preserve"> </w:t>
      </w:r>
      <w:r w:rsidR="00F12481" w:rsidRPr="00950C16">
        <w:t xml:space="preserve">a takeover bid made by its own subsidiary. The target board </w:t>
      </w:r>
      <w:r w:rsidR="00BB0522" w:rsidRPr="00950C16">
        <w:t xml:space="preserve">believed </w:t>
      </w:r>
      <w:r w:rsidR="00F12481" w:rsidRPr="00950C16">
        <w:t xml:space="preserve">that such a takeover bid by its own subsidiary would benefit the target company </w:t>
      </w:r>
      <w:r w:rsidR="00BB0522" w:rsidRPr="00950C16">
        <w:t xml:space="preserve">by creating </w:t>
      </w:r>
      <w:r w:rsidR="00F12481" w:rsidRPr="00950C16">
        <w:t xml:space="preserve">more business synergies. This case demonstrates that even in a takeover within a corporate group, the courts </w:t>
      </w:r>
      <w:r w:rsidR="000455D2">
        <w:t>had</w:t>
      </w:r>
      <w:r w:rsidR="00F12481" w:rsidRPr="00950C16">
        <w:t xml:space="preserve"> no problem ruling out any measures that would prevent an outsider from acquiring control </w:t>
      </w:r>
      <w:r w:rsidR="000455D2">
        <w:t>of</w:t>
      </w:r>
      <w:r w:rsidR="00F12481" w:rsidRPr="00950C16">
        <w:t xml:space="preserve"> an entity within that corporate group. Similarly, in the famous Bull-Dog </w:t>
      </w:r>
      <w:r w:rsidR="008F65C1" w:rsidRPr="00950C16">
        <w:t>S</w:t>
      </w:r>
      <w:r w:rsidR="00F12481" w:rsidRPr="00950C16">
        <w:t>auce case</w:t>
      </w:r>
      <w:r w:rsidR="00F12481" w:rsidRPr="00950C16">
        <w:rPr>
          <w:rStyle w:val="FootnoteReference"/>
        </w:rPr>
        <w:footnoteReference w:id="54"/>
      </w:r>
      <w:r w:rsidR="00F12481" w:rsidRPr="00950C16">
        <w:t xml:space="preserve">, the </w:t>
      </w:r>
      <w:r w:rsidR="000455D2">
        <w:t xml:space="preserve">Tokyo </w:t>
      </w:r>
      <w:r w:rsidR="00F12481" w:rsidRPr="00950C16">
        <w:t xml:space="preserve">Supreme Court </w:t>
      </w:r>
      <w:r w:rsidR="00BB0522" w:rsidRPr="00950C16">
        <w:t xml:space="preserve">further </w:t>
      </w:r>
      <w:r w:rsidR="00F12481" w:rsidRPr="00950C16">
        <w:t xml:space="preserve">confirmed the shareholder primacy rule and allowed a defence raised by the target board against an active </w:t>
      </w:r>
      <w:r w:rsidR="000455D2">
        <w:t xml:space="preserve">US </w:t>
      </w:r>
      <w:r w:rsidR="00F12481" w:rsidRPr="00950C16">
        <w:t xml:space="preserve">private equity fund. </w:t>
      </w:r>
      <w:r w:rsidR="00BB0522" w:rsidRPr="00950C16">
        <w:t xml:space="preserve">In allowing the defence, the </w:t>
      </w:r>
      <w:r w:rsidR="00F12481" w:rsidRPr="00950C16">
        <w:t xml:space="preserve">Supreme Court </w:t>
      </w:r>
      <w:r w:rsidR="00BB0522" w:rsidRPr="00950C16">
        <w:t>reasoned</w:t>
      </w:r>
      <w:r w:rsidR="00F12481" w:rsidRPr="00950C16">
        <w:t xml:space="preserve"> that the rights plan was approved by an overwhelming majority of the shareholders at the general meeting. It disagreed with the rulings by the Tokyo District Court and </w:t>
      </w:r>
      <w:r w:rsidR="00BB0522" w:rsidRPr="00950C16">
        <w:t xml:space="preserve">the </w:t>
      </w:r>
      <w:r w:rsidR="00F12481" w:rsidRPr="00950C16">
        <w:t>Tokyo High Court. Both lower courts focus</w:t>
      </w:r>
      <w:r w:rsidR="00BB0522" w:rsidRPr="00950C16">
        <w:t>ed</w:t>
      </w:r>
      <w:r w:rsidR="00F12481" w:rsidRPr="00950C16">
        <w:t xml:space="preserve"> more on the conduct of the bidder</w:t>
      </w:r>
      <w:r w:rsidR="00D27A12" w:rsidRPr="00950C16">
        <w:t>—</w:t>
      </w:r>
      <w:r w:rsidR="00F12481" w:rsidRPr="00950C16">
        <w:t xml:space="preserve">both specifically in this takeover and more generally </w:t>
      </w:r>
      <w:r w:rsidR="00BB0522" w:rsidRPr="00950C16">
        <w:t xml:space="preserve">regarding </w:t>
      </w:r>
      <w:r w:rsidR="00F12481" w:rsidRPr="00950C16">
        <w:t xml:space="preserve">the business model and strategy of Steel Partners. </w:t>
      </w:r>
      <w:r w:rsidR="00BB0522" w:rsidRPr="00950C16">
        <w:t>Specifically</w:t>
      </w:r>
      <w:r w:rsidR="00F12481" w:rsidRPr="00950C16">
        <w:t xml:space="preserve">, Steel Partners </w:t>
      </w:r>
      <w:r w:rsidR="00BB0522" w:rsidRPr="00950C16">
        <w:t xml:space="preserve">had </w:t>
      </w:r>
      <w:r w:rsidR="00F12481" w:rsidRPr="00950C16">
        <w:t xml:space="preserve">refused to disclose its post-takeover business plan as requested by the target board in the target’s ‘Opinion Report’. More generally, Steel Partners </w:t>
      </w:r>
      <w:r w:rsidR="00BB0522" w:rsidRPr="00950C16">
        <w:t xml:space="preserve">had </w:t>
      </w:r>
      <w:r w:rsidR="00F12481" w:rsidRPr="00950C16">
        <w:t xml:space="preserve">acquired an infamous reputation </w:t>
      </w:r>
      <w:r w:rsidR="00BB0522" w:rsidRPr="00950C16">
        <w:t xml:space="preserve">for </w:t>
      </w:r>
      <w:r w:rsidR="00F12481" w:rsidRPr="00950C16">
        <w:t xml:space="preserve">not </w:t>
      </w:r>
      <w:r w:rsidR="00BB0522" w:rsidRPr="00950C16">
        <w:t xml:space="preserve">respecting </w:t>
      </w:r>
      <w:r w:rsidR="00F12481" w:rsidRPr="00950C16">
        <w:t>the Japanese value of corporate community</w:t>
      </w:r>
      <w:r w:rsidR="00D27A12" w:rsidRPr="00950C16">
        <w:t>—</w:t>
      </w:r>
      <w:r w:rsidR="00F12481" w:rsidRPr="00950C16">
        <w:t>that is</w:t>
      </w:r>
      <w:r w:rsidR="00BB0522" w:rsidRPr="00950C16">
        <w:t>,</w:t>
      </w:r>
      <w:r w:rsidR="00F12481" w:rsidRPr="00950C16">
        <w:t xml:space="preserve"> </w:t>
      </w:r>
      <w:r w:rsidR="00BB0522" w:rsidRPr="00950C16">
        <w:t>requiring that</w:t>
      </w:r>
      <w:r w:rsidR="00F12481" w:rsidRPr="00950C16">
        <w:t xml:space="preserve"> management focus on </w:t>
      </w:r>
      <w:r w:rsidR="000455D2">
        <w:t xml:space="preserve">the </w:t>
      </w:r>
      <w:r w:rsidR="00F12481" w:rsidRPr="00950C16">
        <w:t>corporate long-term vision as opposed to short-term gain. Japan</w:t>
      </w:r>
      <w:r w:rsidR="00BB0522" w:rsidRPr="00950C16">
        <w:t>’s</w:t>
      </w:r>
      <w:r w:rsidR="00F12481" w:rsidRPr="00950C16">
        <w:t xml:space="preserve"> system is </w:t>
      </w:r>
      <w:r w:rsidR="00BB0522" w:rsidRPr="00950C16">
        <w:t xml:space="preserve">no </w:t>
      </w:r>
      <w:r w:rsidR="00F12481" w:rsidRPr="00950C16">
        <w:t xml:space="preserve">more legally uncertain than that of Delaware or </w:t>
      </w:r>
      <w:r w:rsidR="00BB0522" w:rsidRPr="00950C16">
        <w:t xml:space="preserve">an </w:t>
      </w:r>
      <w:r w:rsidR="00F12481" w:rsidRPr="00950C16">
        <w:t xml:space="preserve">EU member state opting out </w:t>
      </w:r>
      <w:r w:rsidR="00BB0522" w:rsidRPr="00950C16">
        <w:t xml:space="preserve">of </w:t>
      </w:r>
      <w:r w:rsidR="00F12481" w:rsidRPr="00950C16">
        <w:t xml:space="preserve">the non-frustration rule. The </w:t>
      </w:r>
      <w:r w:rsidR="000455D2">
        <w:t xml:space="preserve">Tokyo </w:t>
      </w:r>
      <w:r w:rsidR="00F12481" w:rsidRPr="00950C16">
        <w:t xml:space="preserve">Supreme Court’s ruling is effectively a non-frustration rule. The question is why shareholders </w:t>
      </w:r>
      <w:r w:rsidR="00BB0522" w:rsidRPr="00950C16">
        <w:t xml:space="preserve">would </w:t>
      </w:r>
      <w:r w:rsidR="00F12481" w:rsidRPr="00950C16">
        <w:t>approve defensive measures both pre-bid and post-bid. The more interesting aspect</w:t>
      </w:r>
      <w:r w:rsidR="00BB0522" w:rsidRPr="00950C16">
        <w:t>, however,</w:t>
      </w:r>
      <w:r w:rsidR="00F12481" w:rsidRPr="00950C16">
        <w:t xml:space="preserve"> is how companies use pre-bid defence</w:t>
      </w:r>
      <w:r w:rsidR="000455D2">
        <w:t>s</w:t>
      </w:r>
      <w:r w:rsidR="00F12481" w:rsidRPr="00950C16">
        <w:t xml:space="preserve"> to monitor </w:t>
      </w:r>
      <w:r w:rsidR="000455D2">
        <w:t>the</w:t>
      </w:r>
      <w:r w:rsidR="00F12481" w:rsidRPr="00950C16">
        <w:t xml:space="preserve"> potential threat of </w:t>
      </w:r>
      <w:r w:rsidR="000455D2">
        <w:t xml:space="preserve">a </w:t>
      </w:r>
      <w:r w:rsidR="00F12481" w:rsidRPr="00950C16">
        <w:t xml:space="preserve">takeover. </w:t>
      </w:r>
    </w:p>
    <w:p w14:paraId="0C4E9E75" w14:textId="77777777" w:rsidR="00671272" w:rsidRPr="00950C16" w:rsidRDefault="00671272" w:rsidP="00671272">
      <w:pPr>
        <w:jc w:val="both"/>
      </w:pPr>
    </w:p>
    <w:p w14:paraId="3F219E15" w14:textId="3AA442B6" w:rsidR="00671272" w:rsidRPr="00950C16" w:rsidRDefault="00F12481" w:rsidP="00671272">
      <w:pPr>
        <w:jc w:val="both"/>
      </w:pPr>
      <w:r w:rsidRPr="00950C16">
        <w:t xml:space="preserve">Japanese companies often adopt a pre-warning type of defence </w:t>
      </w:r>
      <w:r w:rsidR="008E6B6F">
        <w:t>that</w:t>
      </w:r>
      <w:r w:rsidRPr="00950C16">
        <w:t xml:space="preserve"> requires </w:t>
      </w:r>
      <w:r w:rsidR="008E6B6F">
        <w:t>a</w:t>
      </w:r>
      <w:r w:rsidRPr="00950C16">
        <w:t xml:space="preserve"> bidder to comply with the target’s demand</w:t>
      </w:r>
      <w:r w:rsidR="008E6B6F">
        <w:t>s</w:t>
      </w:r>
      <w:r w:rsidRPr="00950C16">
        <w:t>.</w:t>
      </w:r>
      <w:r w:rsidRPr="00950C16">
        <w:rPr>
          <w:rStyle w:val="FootnoteReference"/>
        </w:rPr>
        <w:footnoteReference w:id="55"/>
      </w:r>
      <w:r w:rsidRPr="00950C16">
        <w:t xml:space="preserve"> The target company can issue a notice requesting </w:t>
      </w:r>
      <w:r w:rsidR="0013774F" w:rsidRPr="00950C16">
        <w:t xml:space="preserve">that </w:t>
      </w:r>
      <w:r w:rsidRPr="00950C16">
        <w:t xml:space="preserve">a </w:t>
      </w:r>
      <w:r w:rsidR="0013774F" w:rsidRPr="00950C16">
        <w:t xml:space="preserve">suspected </w:t>
      </w:r>
      <w:r w:rsidRPr="00950C16">
        <w:t xml:space="preserve">bidder observe the procedure designed by the target. Such a notice is </w:t>
      </w:r>
      <w:r w:rsidR="0013774F" w:rsidRPr="00950C16">
        <w:t xml:space="preserve">normally </w:t>
      </w:r>
      <w:r w:rsidRPr="00950C16">
        <w:t>issued even before a bid becomes imminent, for instance</w:t>
      </w:r>
      <w:r w:rsidR="0013774F" w:rsidRPr="00950C16">
        <w:t>,</w:t>
      </w:r>
      <w:r w:rsidRPr="00950C16">
        <w:t xml:space="preserve"> when a person’s shareholding pass</w:t>
      </w:r>
      <w:r w:rsidR="008E6B6F">
        <w:t>es</w:t>
      </w:r>
      <w:r w:rsidRPr="00950C16">
        <w:t xml:space="preserve"> the 15 per cent threshold. The bidder can be required to disclose its acquisition plan and submit information such as </w:t>
      </w:r>
      <w:r w:rsidR="008E6B6F">
        <w:t>a</w:t>
      </w:r>
      <w:r w:rsidRPr="00950C16">
        <w:t xml:space="preserve"> business plan. If the </w:t>
      </w:r>
      <w:r w:rsidR="0013774F" w:rsidRPr="00950C16">
        <w:t xml:space="preserve">suspected </w:t>
      </w:r>
      <w:r w:rsidRPr="00950C16">
        <w:t>bidder fail</w:t>
      </w:r>
      <w:r w:rsidR="008E6B6F">
        <w:t>s</w:t>
      </w:r>
      <w:r w:rsidRPr="00950C16">
        <w:t xml:space="preserve"> to comply with the procedure imposed by the target, </w:t>
      </w:r>
      <w:r w:rsidR="0013774F" w:rsidRPr="00950C16">
        <w:t xml:space="preserve">that </w:t>
      </w:r>
      <w:r w:rsidRPr="00950C16">
        <w:t xml:space="preserve">failure </w:t>
      </w:r>
      <w:r w:rsidR="008E6B6F">
        <w:t>can</w:t>
      </w:r>
      <w:r w:rsidRPr="00950C16">
        <w:t xml:space="preserve"> trigger a rights plan</w:t>
      </w:r>
      <w:r w:rsidR="008E6B6F">
        <w:t xml:space="preserve"> that </w:t>
      </w:r>
      <w:r w:rsidRPr="00950C16">
        <w:t>allow</w:t>
      </w:r>
      <w:r w:rsidR="008E6B6F">
        <w:t>s the</w:t>
      </w:r>
      <w:r w:rsidRPr="00950C16">
        <w:t xml:space="preserve"> compan</w:t>
      </w:r>
      <w:r w:rsidR="008E6B6F">
        <w:t>y</w:t>
      </w:r>
      <w:r w:rsidRPr="00950C16">
        <w:t xml:space="preserve"> to issue shares to its members</w:t>
      </w:r>
      <w:r w:rsidR="008E6B6F">
        <w:t xml:space="preserve"> and</w:t>
      </w:r>
      <w:r w:rsidRPr="00950C16">
        <w:t xml:space="preserve"> exclud</w:t>
      </w:r>
      <w:r w:rsidR="008E6B6F">
        <w:t>e</w:t>
      </w:r>
      <w:r w:rsidRPr="00950C16">
        <w:t xml:space="preserve"> the </w:t>
      </w:r>
      <w:r w:rsidR="0013774F" w:rsidRPr="00950C16">
        <w:t xml:space="preserve">suspected </w:t>
      </w:r>
      <w:r w:rsidRPr="00950C16">
        <w:t xml:space="preserve">bidder. Such a defence gives the target the power to monitor any potential threat and to control a ‘virtual bid’. </w:t>
      </w:r>
      <w:r w:rsidR="008E6B6F">
        <w:t>It</w:t>
      </w:r>
      <w:r w:rsidRPr="00950C16">
        <w:t xml:space="preserve"> is also a power given to the target board to </w:t>
      </w:r>
      <w:r w:rsidR="0013774F" w:rsidRPr="00950C16">
        <w:t xml:space="preserve">repeatedly </w:t>
      </w:r>
      <w:r w:rsidRPr="00950C16">
        <w:t xml:space="preserve">request information </w:t>
      </w:r>
      <w:r w:rsidR="008E6B6F">
        <w:t>from</w:t>
      </w:r>
      <w:r w:rsidRPr="00950C16">
        <w:t xml:space="preserve"> a potential bidder. This pre-warning type of defence involves a rights plan that authorises the board to issue shares</w:t>
      </w:r>
      <w:r w:rsidR="0057699B">
        <w:t xml:space="preserve">, usually in the </w:t>
      </w:r>
      <w:r w:rsidR="0057699B">
        <w:lastRenderedPageBreak/>
        <w:t>form of share options,</w:t>
      </w:r>
      <w:r w:rsidRPr="00950C16">
        <w:t xml:space="preserve"> once certain conditions have been met. Such a defence is not used in the UK and</w:t>
      </w:r>
      <w:r w:rsidR="00B66ECF" w:rsidRPr="00950C16">
        <w:t xml:space="preserve"> </w:t>
      </w:r>
      <w:r w:rsidRPr="00950C16">
        <w:t>EU</w:t>
      </w:r>
      <w:r w:rsidR="00C57AEA" w:rsidRPr="00950C16">
        <w:t>,</w:t>
      </w:r>
      <w:r w:rsidRPr="00950C16">
        <w:t xml:space="preserve"> as the issuance of share capital is more restricted. The UK and</w:t>
      </w:r>
      <w:r w:rsidR="00B66ECF" w:rsidRPr="00950C16">
        <w:t xml:space="preserve"> </w:t>
      </w:r>
      <w:r w:rsidRPr="00950C16">
        <w:t xml:space="preserve">EU require shareholder approval for an allotment of shares. The UK, for instance, requires </w:t>
      </w:r>
      <w:r w:rsidR="0013774F" w:rsidRPr="00950C16">
        <w:t xml:space="preserve">that </w:t>
      </w:r>
      <w:r w:rsidRPr="00950C16">
        <w:t>the board’s authority to allot shares be approved and renewed every five year</w:t>
      </w:r>
      <w:r w:rsidR="0013774F" w:rsidRPr="00950C16">
        <w:t>s</w:t>
      </w:r>
      <w:r w:rsidRPr="00950C16">
        <w:t xml:space="preserve">. </w:t>
      </w:r>
      <w:r w:rsidR="00C541AB">
        <w:t>However, i</w:t>
      </w:r>
      <w:r w:rsidRPr="00950C16">
        <w:t xml:space="preserve">n practice, as recommended by insurance and pension groups, </w:t>
      </w:r>
      <w:r w:rsidR="00C541AB">
        <w:t>this authority</w:t>
      </w:r>
      <w:r w:rsidRPr="00950C16">
        <w:t xml:space="preserve"> is renewed every year. Japan has no law requiring the board to obtain such shareholder approval. However, many companies voluntarily obtain shareholder approval </w:t>
      </w:r>
      <w:r w:rsidR="00C541AB">
        <w:t>of a</w:t>
      </w:r>
      <w:r w:rsidRPr="00950C16">
        <w:t xml:space="preserve"> rights plan for a period of 3 years or</w:t>
      </w:r>
      <w:r w:rsidR="0013774F" w:rsidRPr="00950C16">
        <w:t>,</w:t>
      </w:r>
      <w:r w:rsidRPr="00950C16">
        <w:t xml:space="preserve"> in some cases</w:t>
      </w:r>
      <w:r w:rsidR="0013774F" w:rsidRPr="00950C16">
        <w:t>,</w:t>
      </w:r>
      <w:r w:rsidRPr="00950C16">
        <w:t xml:space="preserve"> 1 year. </w:t>
      </w:r>
      <w:r w:rsidR="0057699B">
        <w:t>In the 2014 amendment to Companies Act, where as a result of new issuance of shares or share options a subscriber is expected to hold a majority of all the issued shares of the company, all the existing shareholders are provided an opportunity to disagree on the new issuance to the subscriber.</w:t>
      </w:r>
      <w:r w:rsidR="0057699B">
        <w:rPr>
          <w:rStyle w:val="FootnoteReference"/>
        </w:rPr>
        <w:footnoteReference w:id="56"/>
      </w:r>
      <w:r w:rsidR="0057699B">
        <w:t xml:space="preserve">  </w:t>
      </w:r>
      <w:r w:rsidR="00B33537">
        <w:t xml:space="preserve">When the percentage of dissenting </w:t>
      </w:r>
      <w:r w:rsidR="00705CA5">
        <w:t>shareholders</w:t>
      </w:r>
      <w:r w:rsidR="00B33537">
        <w:t xml:space="preserve"> reaches 10 per cent, a shareholder meeting must be held in order to obtain shareholders’ approval</w:t>
      </w:r>
      <w:r w:rsidR="00CC1518">
        <w:t>.</w:t>
      </w:r>
      <w:r w:rsidR="00B33537">
        <w:rPr>
          <w:rStyle w:val="FootnoteReference"/>
        </w:rPr>
        <w:footnoteReference w:id="57"/>
      </w:r>
      <w:r w:rsidR="00B33537">
        <w:t xml:space="preserve"> </w:t>
      </w:r>
      <w:r w:rsidRPr="00950C16">
        <w:t>The question is why shareholders approve such defence</w:t>
      </w:r>
      <w:r w:rsidR="00C541AB">
        <w:t>s</w:t>
      </w:r>
      <w:r w:rsidRPr="00950C16">
        <w:t xml:space="preserve">. </w:t>
      </w:r>
      <w:r w:rsidR="00C541AB">
        <w:t>In addition</w:t>
      </w:r>
      <w:r w:rsidRPr="00950C16">
        <w:t>, there is no shareholder pre-emption right in Japan</w:t>
      </w:r>
      <w:r w:rsidRPr="00950C16">
        <w:rPr>
          <w:rStyle w:val="FootnoteReference"/>
        </w:rPr>
        <w:footnoteReference w:id="58"/>
      </w:r>
      <w:r w:rsidRPr="00950C16">
        <w:t xml:space="preserve">. Hence, shareholders do not receive an immediate monetary gain under such a rights plan. There are </w:t>
      </w:r>
      <w:r w:rsidR="00C541AB">
        <w:t>an increasing number of</w:t>
      </w:r>
      <w:r w:rsidRPr="00950C16">
        <w:t xml:space="preserve"> cases </w:t>
      </w:r>
      <w:r w:rsidR="0013774F" w:rsidRPr="00950C16">
        <w:t xml:space="preserve">where </w:t>
      </w:r>
      <w:r w:rsidRPr="00950C16">
        <w:t xml:space="preserve">shareholders </w:t>
      </w:r>
      <w:r w:rsidR="0013774F" w:rsidRPr="00950C16">
        <w:t xml:space="preserve">vote </w:t>
      </w:r>
      <w:r w:rsidRPr="00950C16">
        <w:t>down the board’s proposal to adopt defen</w:t>
      </w:r>
      <w:r w:rsidR="00C541AB">
        <w:t>sive</w:t>
      </w:r>
      <w:r w:rsidRPr="00950C16">
        <w:t xml:space="preserve"> measures. The factors </w:t>
      </w:r>
      <w:r w:rsidR="0013774F" w:rsidRPr="00950C16">
        <w:t xml:space="preserve">influencing </w:t>
      </w:r>
      <w:r w:rsidRPr="00950C16">
        <w:t xml:space="preserve">such changes </w:t>
      </w:r>
      <w:r w:rsidR="0013774F" w:rsidRPr="00950C16">
        <w:t xml:space="preserve">in </w:t>
      </w:r>
      <w:r w:rsidRPr="00950C16">
        <w:t xml:space="preserve">attitude amongst shareholder groups should be further investigated. </w:t>
      </w:r>
    </w:p>
    <w:p w14:paraId="07BA7296" w14:textId="77777777" w:rsidR="00671272" w:rsidRPr="00950C16" w:rsidRDefault="00671272" w:rsidP="00671272">
      <w:pPr>
        <w:jc w:val="both"/>
        <w:rPr>
          <w:i/>
        </w:rPr>
      </w:pPr>
    </w:p>
    <w:p w14:paraId="16CA87A3" w14:textId="77777777" w:rsidR="00671272" w:rsidRPr="00950C16" w:rsidRDefault="00671272" w:rsidP="00671272">
      <w:pPr>
        <w:jc w:val="both"/>
        <w:rPr>
          <w:i/>
        </w:rPr>
      </w:pPr>
    </w:p>
    <w:p w14:paraId="72C232F5" w14:textId="2B389369" w:rsidR="00671272" w:rsidRPr="00950C16" w:rsidRDefault="00F12481" w:rsidP="00671272">
      <w:pPr>
        <w:jc w:val="both"/>
        <w:rPr>
          <w:i/>
        </w:rPr>
      </w:pPr>
      <w:r w:rsidRPr="00950C16">
        <w:t xml:space="preserve">These regulatory aspects align with the regulatory themes </w:t>
      </w:r>
      <w:r w:rsidR="00C541AB">
        <w:t>contained in</w:t>
      </w:r>
      <w:r w:rsidRPr="00950C16">
        <w:t xml:space="preserve"> the EU Takeover Directive and </w:t>
      </w:r>
      <w:r w:rsidR="00235386" w:rsidRPr="00950C16">
        <w:t xml:space="preserve">the </w:t>
      </w:r>
      <w:r w:rsidRPr="00950C16">
        <w:t>UK Takeover Code. The courts have developed rules</w:t>
      </w:r>
      <w:r w:rsidR="00C57AEA" w:rsidRPr="00950C16">
        <w:t>—</w:t>
      </w:r>
      <w:r w:rsidRPr="00950C16">
        <w:t>large</w:t>
      </w:r>
      <w:r w:rsidR="00C541AB">
        <w:t>ly</w:t>
      </w:r>
      <w:r w:rsidRPr="00950C16">
        <w:t xml:space="preserve"> following the Delaware </w:t>
      </w:r>
      <w:r w:rsidR="00C57AEA" w:rsidRPr="00950C16">
        <w:rPr>
          <w:i/>
        </w:rPr>
        <w:t>Revlon</w:t>
      </w:r>
      <w:r w:rsidR="00C57AEA" w:rsidRPr="00950C16">
        <w:t xml:space="preserve"> </w:t>
      </w:r>
      <w:r w:rsidRPr="00950C16">
        <w:t>approach</w:t>
      </w:r>
      <w:r w:rsidR="00C57AEA" w:rsidRPr="00950C16">
        <w:t>—</w:t>
      </w:r>
      <w:r w:rsidRPr="00950C16">
        <w:t>to prevent the board from abusing its power by adopting poison pills when faced with a hostile takeover bid. However, a detail</w:t>
      </w:r>
      <w:r w:rsidR="00C541AB">
        <w:t>ed</w:t>
      </w:r>
      <w:r w:rsidRPr="00950C16">
        <w:t xml:space="preserve"> examination of </w:t>
      </w:r>
      <w:r w:rsidR="00235386" w:rsidRPr="00950C16">
        <w:t xml:space="preserve">the </w:t>
      </w:r>
      <w:r w:rsidRPr="00950C16">
        <w:t>FIE will reveal that some of the rules do have the effect of discouraging unsolicited/hostile takeover bid</w:t>
      </w:r>
      <w:r w:rsidR="0013774F" w:rsidRPr="00950C16">
        <w:t>s</w:t>
      </w:r>
      <w:r w:rsidRPr="00950C16">
        <w:t>. These rules must also be read in conjunction with the symbiotic relationships between board</w:t>
      </w:r>
      <w:r w:rsidR="00C541AB">
        <w:t>s</w:t>
      </w:r>
      <w:r w:rsidRPr="00950C16">
        <w:t xml:space="preserve"> and shareholders. These relationships have been created through cross-shareholding with corporate shareholders and through shareholder perks with retail shareholders.</w:t>
      </w:r>
      <w:r w:rsidR="00FD37B8">
        <w:rPr>
          <w:rStyle w:val="FootnoteReference"/>
        </w:rPr>
        <w:footnoteReference w:id="59"/>
      </w:r>
    </w:p>
    <w:p w14:paraId="1F29CA6E" w14:textId="77777777" w:rsidR="00671272" w:rsidRPr="00950C16" w:rsidRDefault="00671272" w:rsidP="00671272">
      <w:pPr>
        <w:jc w:val="both"/>
        <w:rPr>
          <w:i/>
        </w:rPr>
      </w:pPr>
    </w:p>
    <w:p w14:paraId="2147A751" w14:textId="77777777" w:rsidR="00671272" w:rsidRPr="00950C16" w:rsidRDefault="00671272" w:rsidP="00671272">
      <w:pPr>
        <w:jc w:val="both"/>
        <w:rPr>
          <w:i/>
        </w:rPr>
      </w:pPr>
    </w:p>
    <w:p w14:paraId="54EAA198" w14:textId="77777777" w:rsidR="00671272" w:rsidRPr="00950C16" w:rsidRDefault="00671272" w:rsidP="00671272">
      <w:pPr>
        <w:jc w:val="both"/>
        <w:rPr>
          <w:i/>
        </w:rPr>
      </w:pPr>
    </w:p>
    <w:p w14:paraId="484635E3" w14:textId="77777777" w:rsidR="00671272" w:rsidRPr="00950C16" w:rsidRDefault="00F12481" w:rsidP="00671272">
      <w:pPr>
        <w:jc w:val="both"/>
        <w:rPr>
          <w:b/>
        </w:rPr>
      </w:pPr>
      <w:r w:rsidRPr="00950C16">
        <w:rPr>
          <w:b/>
        </w:rPr>
        <w:t xml:space="preserve">4. Decreasing cross-shareholding as a ‘breakthrough’ </w:t>
      </w:r>
      <w:r w:rsidR="009A7596">
        <w:rPr>
          <w:b/>
        </w:rPr>
        <w:t>for</w:t>
      </w:r>
      <w:r w:rsidRPr="00950C16">
        <w:rPr>
          <w:b/>
        </w:rPr>
        <w:t xml:space="preserve"> takeovers </w:t>
      </w:r>
    </w:p>
    <w:p w14:paraId="488E0DFF" w14:textId="77777777" w:rsidR="00671272" w:rsidRPr="00950C16" w:rsidRDefault="00671272" w:rsidP="00671272">
      <w:pPr>
        <w:jc w:val="both"/>
        <w:rPr>
          <w:b/>
        </w:rPr>
      </w:pPr>
    </w:p>
    <w:p w14:paraId="0CBBC2E3" w14:textId="77777777" w:rsidR="00671272" w:rsidRPr="00950C16" w:rsidRDefault="00671272" w:rsidP="00671272">
      <w:pPr>
        <w:jc w:val="both"/>
        <w:rPr>
          <w:b/>
        </w:rPr>
      </w:pPr>
    </w:p>
    <w:p w14:paraId="1A302A60" w14:textId="77777777" w:rsidR="00671272" w:rsidRPr="00950C16" w:rsidRDefault="00F12481" w:rsidP="00671272">
      <w:pPr>
        <w:jc w:val="both"/>
        <w:rPr>
          <w:i/>
        </w:rPr>
      </w:pPr>
      <w:r w:rsidRPr="00950C16">
        <w:rPr>
          <w:i/>
        </w:rPr>
        <w:t xml:space="preserve">4.1 Decreasing cross-shareholding </w:t>
      </w:r>
    </w:p>
    <w:p w14:paraId="44D66949" w14:textId="77777777" w:rsidR="00671272" w:rsidRPr="00950C16" w:rsidRDefault="00671272" w:rsidP="00671272">
      <w:pPr>
        <w:jc w:val="both"/>
        <w:rPr>
          <w:i/>
        </w:rPr>
      </w:pPr>
    </w:p>
    <w:p w14:paraId="7091E923" w14:textId="29BA41BE" w:rsidR="00671272" w:rsidRPr="00950C16" w:rsidRDefault="00F12481" w:rsidP="00671272">
      <w:pPr>
        <w:jc w:val="both"/>
      </w:pPr>
      <w:r w:rsidRPr="00950C16">
        <w:lastRenderedPageBreak/>
        <w:t>Cross-shareholding refers to two types of symbiotic relationship between investors and management.</w:t>
      </w:r>
      <w:r w:rsidR="000A577D">
        <w:rPr>
          <w:rStyle w:val="FootnoteReference"/>
        </w:rPr>
        <w:footnoteReference w:id="60"/>
      </w:r>
      <w:r w:rsidRPr="00950C16">
        <w:t xml:space="preserve"> The first refers to banks investing in companies in return for obtaining </w:t>
      </w:r>
      <w:r w:rsidR="0013774F" w:rsidRPr="00950C16">
        <w:t xml:space="preserve">business, </w:t>
      </w:r>
      <w:r w:rsidRPr="00950C16">
        <w:t xml:space="preserve">such as selling insurance </w:t>
      </w:r>
      <w:r w:rsidR="00C57AEA" w:rsidRPr="00950C16">
        <w:t>policies</w:t>
      </w:r>
      <w:r w:rsidRPr="00950C16">
        <w:t xml:space="preserve"> or </w:t>
      </w:r>
      <w:r w:rsidR="00072FD2" w:rsidRPr="00950C16">
        <w:t xml:space="preserve">managing </w:t>
      </w:r>
      <w:r w:rsidRPr="00950C16">
        <w:t>pension fund</w:t>
      </w:r>
      <w:r w:rsidR="00072FD2" w:rsidRPr="00950C16">
        <w:t>s</w:t>
      </w:r>
      <w:r w:rsidR="006C1560">
        <w:t>, but</w:t>
      </w:r>
      <w:r w:rsidRPr="00950C16">
        <w:t xml:space="preserve"> does not involve companies holding shares in the banks that </w:t>
      </w:r>
      <w:r w:rsidR="006C1560">
        <w:t xml:space="preserve">also </w:t>
      </w:r>
      <w:r w:rsidRPr="00950C16">
        <w:t xml:space="preserve">hold </w:t>
      </w:r>
      <w:r w:rsidR="00072FD2" w:rsidRPr="00950C16">
        <w:t>their shares</w:t>
      </w:r>
      <w:r w:rsidRPr="00950C16">
        <w:t>.</w:t>
      </w:r>
      <w:r w:rsidR="00726A93">
        <w:rPr>
          <w:rStyle w:val="FootnoteReference"/>
        </w:rPr>
        <w:footnoteReference w:id="61"/>
      </w:r>
      <w:r w:rsidRPr="00950C16">
        <w:t xml:space="preserve"> The second type </w:t>
      </w:r>
      <w:r w:rsidR="006C1560">
        <w:t xml:space="preserve">of relationship </w:t>
      </w:r>
      <w:r w:rsidRPr="00950C16">
        <w:t xml:space="preserve">is </w:t>
      </w:r>
      <w:r w:rsidR="006C1560">
        <w:t>where</w:t>
      </w:r>
      <w:r w:rsidRPr="00950C16">
        <w:t xml:space="preserve"> companies invest in </w:t>
      </w:r>
      <w:r w:rsidR="006C1560">
        <w:t>each</w:t>
      </w:r>
      <w:r w:rsidRPr="00950C16">
        <w:t xml:space="preserve"> another to obtain mutual support. Until recently, cross-shareholding constitute</w:t>
      </w:r>
      <w:r w:rsidR="00072FD2" w:rsidRPr="00950C16">
        <w:t>d</w:t>
      </w:r>
      <w:r w:rsidRPr="00950C16">
        <w:t xml:space="preserve"> 50 per cent of </w:t>
      </w:r>
      <w:r w:rsidR="006C1560">
        <w:t xml:space="preserve">the </w:t>
      </w:r>
      <w:r w:rsidRPr="00950C16">
        <w:t xml:space="preserve">total shareholding of most </w:t>
      </w:r>
      <w:r w:rsidR="006C1560">
        <w:t xml:space="preserve">of the </w:t>
      </w:r>
      <w:r w:rsidRPr="00950C16">
        <w:t xml:space="preserve">listed Japanese companies. Cross-shareholdings </w:t>
      </w:r>
      <w:r w:rsidR="006C1560">
        <w:t>create</w:t>
      </w:r>
      <w:r w:rsidRPr="00950C16">
        <w:t xml:space="preserve"> a soft alliance whereby there is a tacit understanding, as opposed to a formal contract, that votes should be exercised according to the recommendation</w:t>
      </w:r>
      <w:r w:rsidR="006C1560">
        <w:t>s</w:t>
      </w:r>
      <w:r w:rsidRPr="00950C16">
        <w:t xml:space="preserve"> of the board. In a takeover, institutional and corporate shareholders who accept a hostile tender offer or vote against the recommendation of the board suffer reputation</w:t>
      </w:r>
      <w:r w:rsidR="00031144">
        <w:t>al</w:t>
      </w:r>
      <w:r w:rsidRPr="00950C16">
        <w:t xml:space="preserve"> damage</w:t>
      </w:r>
      <w:r w:rsidR="00F95F6C" w:rsidRPr="00950C16">
        <w:t>—</w:t>
      </w:r>
      <w:r w:rsidR="00031144">
        <w:t xml:space="preserve">which is </w:t>
      </w:r>
      <w:r w:rsidRPr="00950C16">
        <w:t>a vital asset for doing business in Japan. An insurance company, as a result of not following the board’s decisions in a takeover, would lose their opportunit</w:t>
      </w:r>
      <w:r w:rsidR="00031144">
        <w:t>y</w:t>
      </w:r>
      <w:r w:rsidRPr="00950C16">
        <w:t xml:space="preserve"> </w:t>
      </w:r>
      <w:r w:rsidR="00031144">
        <w:t>to</w:t>
      </w:r>
      <w:r w:rsidRPr="00950C16">
        <w:t xml:space="preserve"> obtain </w:t>
      </w:r>
      <w:r w:rsidR="00F95F6C" w:rsidRPr="00950C16">
        <w:t xml:space="preserve">business </w:t>
      </w:r>
      <w:r w:rsidRPr="00950C16">
        <w:t xml:space="preserve">from the target company as well as from </w:t>
      </w:r>
      <w:r w:rsidR="00031144">
        <w:t xml:space="preserve">other </w:t>
      </w:r>
      <w:r w:rsidRPr="00950C16">
        <w:t xml:space="preserve">companies </w:t>
      </w:r>
      <w:r w:rsidR="00031144">
        <w:t>that believe</w:t>
      </w:r>
      <w:r w:rsidRPr="00950C16">
        <w:t xml:space="preserve"> </w:t>
      </w:r>
      <w:r w:rsidR="00031144">
        <w:t>in</w:t>
      </w:r>
      <w:r w:rsidRPr="00950C16">
        <w:t xml:space="preserve"> this ‘value’. Cross-shareholding is </w:t>
      </w:r>
      <w:r w:rsidR="00031144">
        <w:t>therefore</w:t>
      </w:r>
      <w:r w:rsidRPr="00950C16">
        <w:t xml:space="preserve"> a non-legal means to control </w:t>
      </w:r>
      <w:r w:rsidR="00F95F6C" w:rsidRPr="00950C16">
        <w:t xml:space="preserve">the </w:t>
      </w:r>
      <w:r w:rsidRPr="00950C16">
        <w:t>movement of capital.</w:t>
      </w:r>
      <w:r w:rsidR="00CA2088">
        <w:rPr>
          <w:rStyle w:val="FootnoteReference"/>
        </w:rPr>
        <w:footnoteReference w:id="62"/>
      </w:r>
      <w:r w:rsidRPr="00950C16">
        <w:t xml:space="preserve"> Through </w:t>
      </w:r>
      <w:r w:rsidR="00031144">
        <w:t>it</w:t>
      </w:r>
      <w:r w:rsidRPr="00950C16">
        <w:t xml:space="preserve">, shareholders can be mobilised to successfully fend off a takeover bid. Therefore, a </w:t>
      </w:r>
      <w:r w:rsidR="00F95F6C" w:rsidRPr="00950C16">
        <w:t>decrease in</w:t>
      </w:r>
      <w:r w:rsidRPr="00950C16">
        <w:t xml:space="preserve"> cross-shareholding in Japan </w:t>
      </w:r>
      <w:r w:rsidR="00031144">
        <w:t>sh</w:t>
      </w:r>
      <w:r w:rsidRPr="00950C16">
        <w:t>ould change the voting pattern of shareholders in general meeting</w:t>
      </w:r>
      <w:r w:rsidR="00031144">
        <w:t>s</w:t>
      </w:r>
      <w:r w:rsidRPr="00950C16">
        <w:t xml:space="preserve">. It can also increase </w:t>
      </w:r>
      <w:r w:rsidR="00031144">
        <w:t xml:space="preserve">the </w:t>
      </w:r>
      <w:r w:rsidRPr="00950C16">
        <w:t>movement of capital</w:t>
      </w:r>
      <w:r w:rsidR="00C57AEA" w:rsidRPr="00950C16">
        <w:t>,</w:t>
      </w:r>
      <w:r w:rsidRPr="00950C16">
        <w:t xml:space="preserve"> which in turn can lead to change</w:t>
      </w:r>
      <w:r w:rsidR="00031144">
        <w:t>s</w:t>
      </w:r>
      <w:r w:rsidRPr="00950C16">
        <w:t xml:space="preserve"> in the composition of shareholders. When such change</w:t>
      </w:r>
      <w:r w:rsidR="00031144">
        <w:t>s</w:t>
      </w:r>
      <w:r w:rsidRPr="00950C16">
        <w:t xml:space="preserve"> in shareholder composition eventually </w:t>
      </w:r>
      <w:r w:rsidR="00031144">
        <w:t>diminish</w:t>
      </w:r>
      <w:r w:rsidRPr="00950C16">
        <w:t xml:space="preserve"> cross-shareholdings, there</w:t>
      </w:r>
      <w:r w:rsidR="00031144">
        <w:t xml:space="preserve"> will</w:t>
      </w:r>
      <w:r w:rsidRPr="00950C16">
        <w:t xml:space="preserve"> be </w:t>
      </w:r>
      <w:r w:rsidR="00031144">
        <w:t>an increased number of</w:t>
      </w:r>
      <w:r w:rsidRPr="00950C16">
        <w:t xml:space="preserve"> successful unsolicited takeovers. Changing Japan’s takeover law to </w:t>
      </w:r>
      <w:r w:rsidR="00F95F6C" w:rsidRPr="00950C16">
        <w:t xml:space="preserve">accord </w:t>
      </w:r>
      <w:r w:rsidRPr="00950C16">
        <w:t xml:space="preserve">with UK or EU norms would not decrease the level of cross-shareholdings in </w:t>
      </w:r>
      <w:r w:rsidR="00031144">
        <w:t>Japanese</w:t>
      </w:r>
      <w:r w:rsidRPr="00950C16">
        <w:t xml:space="preserve"> companies. </w:t>
      </w:r>
    </w:p>
    <w:p w14:paraId="28A9D8D4" w14:textId="77777777" w:rsidR="00671272" w:rsidRPr="00950C16" w:rsidRDefault="00671272" w:rsidP="00671272">
      <w:pPr>
        <w:jc w:val="both"/>
      </w:pPr>
    </w:p>
    <w:p w14:paraId="16F01343" w14:textId="340F7F28" w:rsidR="00671272" w:rsidRPr="00950C16" w:rsidRDefault="00F12481" w:rsidP="00671272">
      <w:pPr>
        <w:jc w:val="both"/>
      </w:pPr>
      <w:r w:rsidRPr="00950C16">
        <w:t>The experience in Japan shows that economic and legal measures can be introduced to reduce cross-shareholdings</w:t>
      </w:r>
      <w:r w:rsidR="00D91886">
        <w:rPr>
          <w:rStyle w:val="FootnoteReference"/>
        </w:rPr>
        <w:footnoteReference w:id="63"/>
      </w:r>
      <w:r w:rsidRPr="00950C16">
        <w:t xml:space="preserve">. </w:t>
      </w:r>
      <w:r w:rsidR="00031144">
        <w:t>A requirement to</w:t>
      </w:r>
      <w:r w:rsidRPr="00950C16">
        <w:t xml:space="preserve"> increase banks’ equity ratio can achieve this end. Enforcing fiduciary </w:t>
      </w:r>
      <w:r w:rsidR="00F95F6C" w:rsidRPr="00950C16">
        <w:t xml:space="preserve">duties </w:t>
      </w:r>
      <w:r w:rsidRPr="00950C16">
        <w:t xml:space="preserve">to prompt the board to dispose of under-valued cross-holdings is another </w:t>
      </w:r>
      <w:r w:rsidR="00031144">
        <w:t>method</w:t>
      </w:r>
      <w:r w:rsidRPr="00950C16">
        <w:t xml:space="preserve">. However, the latter would </w:t>
      </w:r>
      <w:r w:rsidR="00F95F6C" w:rsidRPr="00950C16">
        <w:t xml:space="preserve">require a </w:t>
      </w:r>
      <w:r w:rsidRPr="00950C16">
        <w:t xml:space="preserve">more solid legal argument to counter-balance the business judgement rule that favours the board’s investment discretion. The government </w:t>
      </w:r>
      <w:r w:rsidR="00031144">
        <w:t>could</w:t>
      </w:r>
      <w:r w:rsidRPr="00950C16">
        <w:t xml:space="preserve"> </w:t>
      </w:r>
      <w:r w:rsidR="00031144">
        <w:t xml:space="preserve">also </w:t>
      </w:r>
      <w:r w:rsidRPr="00950C16">
        <w:t>use its tax</w:t>
      </w:r>
      <w:r w:rsidR="00F95F6C" w:rsidRPr="00950C16">
        <w:t>ing</w:t>
      </w:r>
      <w:r w:rsidRPr="00950C16">
        <w:t xml:space="preserve"> power to decrease the level of cross-holdings by cutting </w:t>
      </w:r>
      <w:r w:rsidR="00031144">
        <w:t xml:space="preserve">the </w:t>
      </w:r>
      <w:r w:rsidRPr="00950C16">
        <w:t xml:space="preserve">corporate capital gains tax to incentivise </w:t>
      </w:r>
      <w:r w:rsidR="00031144">
        <w:t xml:space="preserve">the </w:t>
      </w:r>
      <w:r w:rsidRPr="00950C16">
        <w:t xml:space="preserve">disposal of these shares by companies. </w:t>
      </w:r>
      <w:r w:rsidR="00031144">
        <w:t>The c</w:t>
      </w:r>
      <w:r w:rsidRPr="00950C16">
        <w:t xml:space="preserve">ompetition law </w:t>
      </w:r>
      <w:r w:rsidR="00031144">
        <w:t>could</w:t>
      </w:r>
      <w:r w:rsidRPr="00950C16">
        <w:t xml:space="preserve"> also be used to break up these soft alliances. Although reducing the level of corporate cross-shareholdings and breaking up these soft alliances </w:t>
      </w:r>
      <w:r w:rsidR="00031144">
        <w:t>could</w:t>
      </w:r>
      <w:r w:rsidRPr="00950C16">
        <w:t xml:space="preserve"> provide more space for </w:t>
      </w:r>
      <w:r w:rsidR="00F95F6C" w:rsidRPr="00950C16">
        <w:t xml:space="preserve">the </w:t>
      </w:r>
      <w:r w:rsidRPr="00950C16">
        <w:t xml:space="preserve">free movement of capital, </w:t>
      </w:r>
      <w:r w:rsidR="00031144">
        <w:t>the</w:t>
      </w:r>
      <w:r w:rsidRPr="00950C16">
        <w:t xml:space="preserve"> massive sale of these shares would create a high supply of shares without a matching level of demand</w:t>
      </w:r>
      <w:r w:rsidR="00031144">
        <w:t>, which</w:t>
      </w:r>
      <w:r w:rsidRPr="00950C16">
        <w:t xml:space="preserve"> would result in a plunge </w:t>
      </w:r>
      <w:r w:rsidR="00031144">
        <w:t>in</w:t>
      </w:r>
      <w:r w:rsidRPr="00950C16">
        <w:t xml:space="preserve"> share </w:t>
      </w:r>
      <w:r w:rsidRPr="00950C16">
        <w:lastRenderedPageBreak/>
        <w:t>price</w:t>
      </w:r>
      <w:r w:rsidR="00031144">
        <w:t>s</w:t>
      </w:r>
      <w:r w:rsidRPr="00950C16">
        <w:t>. Another way of regulating cross-shareholdings is to require companies to disclose the level of cross-shareholdings in the</w:t>
      </w:r>
      <w:r w:rsidR="000D580D">
        <w:t>ir</w:t>
      </w:r>
      <w:r w:rsidRPr="00950C16">
        <w:t xml:space="preserve"> company. </w:t>
      </w:r>
      <w:r w:rsidRPr="00E738A1">
        <w:t>Some Japanese companies have started making such disclosure</w:t>
      </w:r>
      <w:r w:rsidR="000D580D" w:rsidRPr="00E738A1">
        <w:t>s</w:t>
      </w:r>
      <w:r w:rsidRPr="00E738A1">
        <w:t xml:space="preserve"> in their annual reports.</w:t>
      </w:r>
      <w:r w:rsidRPr="00E738A1">
        <w:rPr>
          <w:rStyle w:val="FootnoteReference"/>
        </w:rPr>
        <w:footnoteReference w:id="64"/>
      </w:r>
      <w:r w:rsidRPr="00E738A1">
        <w:t xml:space="preserve"> Unless there is a benefit </w:t>
      </w:r>
      <w:r w:rsidR="00502516" w:rsidRPr="00E738A1">
        <w:t>in</w:t>
      </w:r>
      <w:r w:rsidRPr="00E738A1">
        <w:t xml:space="preserve"> doing so, </w:t>
      </w:r>
      <w:r w:rsidR="00F95F6C" w:rsidRPr="00E738A1">
        <w:t xml:space="preserve">however, </w:t>
      </w:r>
      <w:r w:rsidRPr="00E738A1">
        <w:t>companies are unlikely to make such a disclosure.</w:t>
      </w:r>
      <w:r w:rsidR="00E738A1" w:rsidRPr="00E738A1">
        <w:rPr>
          <w:rStyle w:val="FootnoteReference"/>
        </w:rPr>
        <w:footnoteReference w:id="65"/>
      </w:r>
      <w:r w:rsidRPr="00950C16">
        <w:t xml:space="preserve"> </w:t>
      </w:r>
    </w:p>
    <w:p w14:paraId="131FA771" w14:textId="77777777" w:rsidR="00671272" w:rsidRPr="00950C16" w:rsidRDefault="00671272" w:rsidP="00671272">
      <w:pPr>
        <w:jc w:val="both"/>
      </w:pPr>
    </w:p>
    <w:p w14:paraId="40675312" w14:textId="2C598FFF" w:rsidR="00671272" w:rsidRPr="00950C16" w:rsidRDefault="00F12481" w:rsidP="00671272">
      <w:pPr>
        <w:jc w:val="both"/>
      </w:pPr>
      <w:r w:rsidRPr="00950C16">
        <w:t>Cross-shareholding raises a number of legal questions about institutional and corporate shareholders’ fiduciary duty to their own respective shareholders.</w:t>
      </w:r>
      <w:r w:rsidRPr="00950C16">
        <w:rPr>
          <w:rStyle w:val="FootnoteReference"/>
        </w:rPr>
        <w:footnoteReference w:id="66"/>
      </w:r>
      <w:r w:rsidRPr="00950C16">
        <w:t xml:space="preserve"> First, by not selling their holdings to the bidder to maximise their monetary returns, boards may be in breach of the fiduciary duty owed to their companies and shareholders. Such a breach is more evident when companies </w:t>
      </w:r>
      <w:r w:rsidR="00F95F6C" w:rsidRPr="00950C16">
        <w:t xml:space="preserve">incur </w:t>
      </w:r>
      <w:r w:rsidRPr="00950C16">
        <w:t>losses or when they need to improve their cash flow. With such a legal duty and the burst</w:t>
      </w:r>
      <w:r w:rsidR="000D580D">
        <w:t>ing</w:t>
      </w:r>
      <w:r w:rsidRPr="00950C16">
        <w:t xml:space="preserve"> of the economic bubble in the mid-1990s, companies have been prompted to sell their cross-holdings</w:t>
      </w:r>
      <w:r w:rsidR="00AD109B" w:rsidRPr="00950C16">
        <w:t>—</w:t>
      </w:r>
      <w:r w:rsidRPr="00950C16">
        <w:t xml:space="preserve">reducing </w:t>
      </w:r>
      <w:r w:rsidR="000D580D">
        <w:t>them</w:t>
      </w:r>
      <w:r w:rsidRPr="00950C16">
        <w:t xml:space="preserve"> to 30 per cent. For banks’ cross-shareholdings, there </w:t>
      </w:r>
      <w:r w:rsidR="00AD109B" w:rsidRPr="00950C16">
        <w:t xml:space="preserve">has </w:t>
      </w:r>
      <w:r w:rsidRPr="00950C16">
        <w:t xml:space="preserve">also </w:t>
      </w:r>
      <w:r w:rsidR="00AD109B" w:rsidRPr="00950C16">
        <w:t xml:space="preserve">been </w:t>
      </w:r>
      <w:r w:rsidRPr="00950C16">
        <w:t>a decline from 30 per cent to 12 per cent since the beginning of the 1990s.</w:t>
      </w:r>
      <w:r w:rsidR="00642081">
        <w:rPr>
          <w:rStyle w:val="FootnoteReference"/>
        </w:rPr>
        <w:footnoteReference w:id="67"/>
      </w:r>
      <w:r w:rsidRPr="00950C16">
        <w:t xml:space="preserve"> This </w:t>
      </w:r>
      <w:r w:rsidR="000D580D">
        <w:t xml:space="preserve">decrease </w:t>
      </w:r>
      <w:r w:rsidRPr="00950C16">
        <w:t xml:space="preserve">has </w:t>
      </w:r>
      <w:r w:rsidR="000D580D">
        <w:t xml:space="preserve">been </w:t>
      </w:r>
      <w:r w:rsidRPr="00950C16">
        <w:t>partly</w:t>
      </w:r>
      <w:r w:rsidR="00AD109B" w:rsidRPr="00950C16">
        <w:t xml:space="preserve"> </w:t>
      </w:r>
      <w:r w:rsidRPr="00950C16">
        <w:t xml:space="preserve">attributed to the requirement </w:t>
      </w:r>
      <w:r w:rsidR="00AD109B" w:rsidRPr="00950C16">
        <w:t xml:space="preserve">that </w:t>
      </w:r>
      <w:r w:rsidRPr="00950C16">
        <w:t>banks increase their capital ratio</w:t>
      </w:r>
      <w:r w:rsidR="000D580D">
        <w:t>, which</w:t>
      </w:r>
      <w:r w:rsidRPr="00950C16">
        <w:t xml:space="preserve"> led banks to dispose of the</w:t>
      </w:r>
      <w:r w:rsidR="000D580D">
        <w:t>ir</w:t>
      </w:r>
      <w:r w:rsidRPr="00950C16">
        <w:t xml:space="preserve"> much-devalued shares held in companies. </w:t>
      </w:r>
    </w:p>
    <w:p w14:paraId="56EABC25" w14:textId="77777777" w:rsidR="00671272" w:rsidRPr="00950C16" w:rsidRDefault="00671272" w:rsidP="00671272">
      <w:pPr>
        <w:jc w:val="both"/>
      </w:pPr>
    </w:p>
    <w:p w14:paraId="0640B2C8" w14:textId="77777777" w:rsidR="00671272" w:rsidRPr="00950C16" w:rsidRDefault="00671272" w:rsidP="00671272">
      <w:pPr>
        <w:jc w:val="both"/>
        <w:rPr>
          <w:i/>
        </w:rPr>
      </w:pPr>
    </w:p>
    <w:p w14:paraId="7B17663D" w14:textId="77777777" w:rsidR="00671272" w:rsidRPr="00950C16" w:rsidRDefault="00F12481" w:rsidP="00671272">
      <w:pPr>
        <w:jc w:val="both"/>
        <w:rPr>
          <w:i/>
        </w:rPr>
      </w:pPr>
      <w:r w:rsidRPr="00950C16">
        <w:rPr>
          <w:i/>
        </w:rPr>
        <w:t xml:space="preserve">4.2 Increasing hedge fund activities </w:t>
      </w:r>
    </w:p>
    <w:p w14:paraId="4BBA2C38" w14:textId="77777777" w:rsidR="00671272" w:rsidRPr="00950C16" w:rsidRDefault="00671272" w:rsidP="00671272">
      <w:pPr>
        <w:jc w:val="both"/>
        <w:rPr>
          <w:i/>
        </w:rPr>
      </w:pPr>
    </w:p>
    <w:p w14:paraId="403F3623" w14:textId="6D7B25F8" w:rsidR="00671272" w:rsidRPr="00950C16" w:rsidRDefault="00F12481" w:rsidP="00671272">
      <w:pPr>
        <w:jc w:val="both"/>
      </w:pPr>
      <w:r w:rsidRPr="00950C16">
        <w:t xml:space="preserve">The increase </w:t>
      </w:r>
      <w:r w:rsidR="000D580D">
        <w:t>in</w:t>
      </w:r>
      <w:r w:rsidRPr="00950C16">
        <w:t xml:space="preserve"> private equity funds in Japan </w:t>
      </w:r>
      <w:r w:rsidR="000D580D">
        <w:t xml:space="preserve">has </w:t>
      </w:r>
      <w:r w:rsidRPr="00950C16">
        <w:t>coincide</w:t>
      </w:r>
      <w:r w:rsidR="000D580D">
        <w:t>d</w:t>
      </w:r>
      <w:r w:rsidRPr="00950C16">
        <w:t xml:space="preserve"> with </w:t>
      </w:r>
      <w:r w:rsidR="000D580D">
        <w:t>a</w:t>
      </w:r>
      <w:r w:rsidRPr="00950C16">
        <w:t xml:space="preserve"> decrease </w:t>
      </w:r>
      <w:r w:rsidR="00AD109B" w:rsidRPr="00950C16">
        <w:t xml:space="preserve">in </w:t>
      </w:r>
      <w:r w:rsidRPr="00950C16">
        <w:t>the level of corporate cross-shareholdings. P</w:t>
      </w:r>
      <w:r w:rsidR="000D580D">
        <w:t>rivate equity</w:t>
      </w:r>
      <w:r w:rsidRPr="00950C16">
        <w:t xml:space="preserve"> funds see Japan as a lucrative market for the undervalued stocks of Japanese companies. A number of shareholder activist strategies have been used to </w:t>
      </w:r>
      <w:r w:rsidR="000D580D">
        <w:t>create</w:t>
      </w:r>
      <w:r w:rsidRPr="00950C16">
        <w:t xml:space="preserve"> returns on investment. </w:t>
      </w:r>
      <w:r w:rsidR="009869A7">
        <w:t>The c</w:t>
      </w:r>
      <w:r w:rsidRPr="00950C16">
        <w:t>ommon investment strategies used include demand</w:t>
      </w:r>
      <w:r w:rsidR="009869A7">
        <w:t>s</w:t>
      </w:r>
      <w:r w:rsidRPr="00950C16">
        <w:t xml:space="preserve"> </w:t>
      </w:r>
      <w:r w:rsidR="00AD109B" w:rsidRPr="00950C16">
        <w:t xml:space="preserve">for </w:t>
      </w:r>
      <w:r w:rsidRPr="00950C16">
        <w:t>boards to increase dividends, request</w:t>
      </w:r>
      <w:r w:rsidR="009869A7">
        <w:t>s</w:t>
      </w:r>
      <w:r w:rsidRPr="00950C16">
        <w:t xml:space="preserve"> to buy back shares, and putting pressure on the board to dispose of under-performing assets. These strategies </w:t>
      </w:r>
      <w:r w:rsidR="009869A7">
        <w:t>may</w:t>
      </w:r>
      <w:r w:rsidRPr="00950C16">
        <w:t xml:space="preserve"> have contributed to </w:t>
      </w:r>
      <w:r w:rsidR="009869A7">
        <w:t>the</w:t>
      </w:r>
      <w:r w:rsidRPr="00950C16">
        <w:t xml:space="preserve"> acceleration </w:t>
      </w:r>
      <w:r w:rsidR="009869A7">
        <w:t>in</w:t>
      </w:r>
      <w:r w:rsidRPr="00950C16">
        <w:t xml:space="preserve"> companies’ disposal of cross-shareholdings as illiquid and non-preforming assets.</w:t>
      </w:r>
      <w:r w:rsidR="00C84BBA">
        <w:rPr>
          <w:rStyle w:val="FootnoteReference"/>
        </w:rPr>
        <w:footnoteReference w:id="68"/>
      </w:r>
      <w:r w:rsidRPr="00950C16">
        <w:t xml:space="preserve"> The realisation of the gains </w:t>
      </w:r>
      <w:r w:rsidR="00AD109B" w:rsidRPr="00950C16">
        <w:t>resulting from</w:t>
      </w:r>
      <w:r w:rsidRPr="00950C16">
        <w:t xml:space="preserve"> the disposal of these assets can be used to fund dividend distribution</w:t>
      </w:r>
      <w:r w:rsidR="009869A7">
        <w:t>s</w:t>
      </w:r>
      <w:r w:rsidRPr="00950C16">
        <w:t xml:space="preserve"> or </w:t>
      </w:r>
      <w:r w:rsidR="009869A7">
        <w:t xml:space="preserve">to </w:t>
      </w:r>
      <w:r w:rsidRPr="00950C16">
        <w:t>finance share buyback programme</w:t>
      </w:r>
      <w:r w:rsidR="009869A7">
        <w:t>s</w:t>
      </w:r>
      <w:r w:rsidRPr="00950C16">
        <w:t xml:space="preserve"> to increase shareholder return</w:t>
      </w:r>
      <w:r w:rsidR="009869A7">
        <w:t>s</w:t>
      </w:r>
      <w:r w:rsidRPr="00950C16">
        <w:t xml:space="preserve">. </w:t>
      </w:r>
      <w:r w:rsidR="009869A7">
        <w:t>These actions</w:t>
      </w:r>
      <w:r w:rsidRPr="00950C16">
        <w:t xml:space="preserve"> also ha</w:t>
      </w:r>
      <w:r w:rsidR="009869A7">
        <w:t>ve</w:t>
      </w:r>
      <w:r w:rsidRPr="00950C16">
        <w:t xml:space="preserve"> the effect of reducing </w:t>
      </w:r>
      <w:r w:rsidR="009869A7">
        <w:t>a</w:t>
      </w:r>
      <w:r w:rsidRPr="00950C16">
        <w:t xml:space="preserve"> company’s cash reserve</w:t>
      </w:r>
      <w:r w:rsidR="009869A7">
        <w:t>s</w:t>
      </w:r>
      <w:r w:rsidR="00AD109B" w:rsidRPr="00950C16">
        <w:t>,</w:t>
      </w:r>
      <w:r w:rsidRPr="00950C16">
        <w:t xml:space="preserve"> </w:t>
      </w:r>
      <w:r w:rsidR="00AD109B" w:rsidRPr="00950C16">
        <w:t xml:space="preserve">which </w:t>
      </w:r>
      <w:r w:rsidRPr="00950C16">
        <w:t xml:space="preserve">has been said to create a disincentive for companies to change </w:t>
      </w:r>
      <w:r w:rsidR="00AD109B" w:rsidRPr="00950C16">
        <w:t xml:space="preserve">their </w:t>
      </w:r>
      <w:r w:rsidRPr="00950C16">
        <w:t xml:space="preserve">governance structure. In the takeover </w:t>
      </w:r>
      <w:r w:rsidRPr="00950C16">
        <w:lastRenderedPageBreak/>
        <w:t xml:space="preserve">context, </w:t>
      </w:r>
      <w:r w:rsidR="009869A7">
        <w:t>a</w:t>
      </w:r>
      <w:r w:rsidRPr="00950C16">
        <w:t xml:space="preserve"> private equity fund can use a takeover bid to obtain benefits from the board</w:t>
      </w:r>
      <w:r w:rsidR="00502516">
        <w:t xml:space="preserve"> as, for example,</w:t>
      </w:r>
      <w:r w:rsidRPr="00950C16">
        <w:t xml:space="preserve"> </w:t>
      </w:r>
      <w:r w:rsidR="009869A7">
        <w:t xml:space="preserve">in </w:t>
      </w:r>
      <w:r w:rsidRPr="00950C16">
        <w:t>the greenmail strategy. In the Bull-</w:t>
      </w:r>
      <w:r w:rsidR="009869A7">
        <w:t>D</w:t>
      </w:r>
      <w:r w:rsidRPr="00950C16">
        <w:t xml:space="preserve">og </w:t>
      </w:r>
      <w:r w:rsidR="009869A7">
        <w:t>S</w:t>
      </w:r>
      <w:r w:rsidRPr="00950C16">
        <w:t xml:space="preserve">auce case, Steel Partners </w:t>
      </w:r>
      <w:r w:rsidR="009869A7">
        <w:t>submitted</w:t>
      </w:r>
      <w:r w:rsidRPr="00950C16">
        <w:t xml:space="preserve"> a takeover bid and then faced the board’s defence of a poison pill. Steel Partners </w:t>
      </w:r>
      <w:r w:rsidR="00AD109B" w:rsidRPr="00950C16">
        <w:t xml:space="preserve">was </w:t>
      </w:r>
      <w:r w:rsidRPr="00950C16">
        <w:t xml:space="preserve">then excluded from the new issuance of shares under the defensive rights plan, but it received a compensatory payment in lieu of the newly issued shares from the company. The payment was upheld by the court </w:t>
      </w:r>
      <w:r w:rsidR="00C57AEA" w:rsidRPr="00950C16">
        <w:t>as</w:t>
      </w:r>
      <w:r w:rsidRPr="00950C16">
        <w:t xml:space="preserve"> legal</w:t>
      </w:r>
      <w:r w:rsidR="00AD109B" w:rsidRPr="00950C16">
        <w:t>,</w:t>
      </w:r>
      <w:r w:rsidRPr="00950C16">
        <w:t xml:space="preserve"> and the payment also </w:t>
      </w:r>
      <w:r w:rsidR="00AD109B" w:rsidRPr="00950C16">
        <w:t xml:space="preserve">justified </w:t>
      </w:r>
      <w:r w:rsidRPr="00950C16">
        <w:t xml:space="preserve">the discriminatory treatment </w:t>
      </w:r>
      <w:r w:rsidR="00AD109B" w:rsidRPr="00950C16">
        <w:t xml:space="preserve">of </w:t>
      </w:r>
      <w:r w:rsidRPr="00950C16">
        <w:t>Steel Partners by the company. The fate of private equit</w:t>
      </w:r>
      <w:r w:rsidR="009869A7">
        <w:t>y funds</w:t>
      </w:r>
      <w:r w:rsidRPr="00950C16">
        <w:t xml:space="preserve"> in Japan </w:t>
      </w:r>
      <w:r w:rsidR="009869A7">
        <w:t>will</w:t>
      </w:r>
      <w:r w:rsidRPr="00950C16">
        <w:t xml:space="preserve"> depend on the</w:t>
      </w:r>
      <w:r w:rsidR="009869A7">
        <w:t>m finding</w:t>
      </w:r>
      <w:r w:rsidRPr="00950C16">
        <w:t xml:space="preserve"> continuing funding sources. Leveraged buyouts (LBO) </w:t>
      </w:r>
      <w:r w:rsidR="009869A7">
        <w:t>will</w:t>
      </w:r>
      <w:r w:rsidRPr="00950C16">
        <w:t xml:space="preserve"> remain low in Japan</w:t>
      </w:r>
      <w:r w:rsidR="00C57AEA" w:rsidRPr="00950C16">
        <w:t>,</w:t>
      </w:r>
      <w:r w:rsidRPr="00950C16">
        <w:t xml:space="preserve"> especially if the buyout</w:t>
      </w:r>
      <w:r w:rsidR="009869A7">
        <w:t>s</w:t>
      </w:r>
      <w:r w:rsidRPr="00950C16">
        <w:t xml:space="preserve"> </w:t>
      </w:r>
      <w:r w:rsidR="009869A7">
        <w:t>are</w:t>
      </w:r>
      <w:r w:rsidRPr="00950C16">
        <w:t xml:space="preserve"> hostile</w:t>
      </w:r>
      <w:r w:rsidR="00502516">
        <w:t>,</w:t>
      </w:r>
      <w:r w:rsidRPr="00950C16">
        <w:t xml:space="preserve"> because banks in Japan</w:t>
      </w:r>
      <w:r w:rsidR="00C57AEA" w:rsidRPr="00950C16">
        <w:t>—</w:t>
      </w:r>
      <w:r w:rsidRPr="00950C16">
        <w:t>both domestic and foreign</w:t>
      </w:r>
      <w:r w:rsidR="00C57AEA" w:rsidRPr="00950C16">
        <w:t>—</w:t>
      </w:r>
      <w:r w:rsidR="009869A7">
        <w:t>will</w:t>
      </w:r>
      <w:r w:rsidRPr="00950C16">
        <w:t xml:space="preserve"> not finance hostile LBOs for fear of reputation</w:t>
      </w:r>
      <w:r w:rsidR="00AD109B" w:rsidRPr="00950C16">
        <w:t>al</w:t>
      </w:r>
      <w:r w:rsidRPr="00950C16">
        <w:t xml:space="preserve"> damage.</w:t>
      </w:r>
      <w:r w:rsidR="000A34AB">
        <w:rPr>
          <w:rStyle w:val="FootnoteReference"/>
        </w:rPr>
        <w:footnoteReference w:id="69"/>
      </w:r>
      <w:r w:rsidRPr="00950C16">
        <w:t xml:space="preserve"> </w:t>
      </w:r>
      <w:r w:rsidR="009869A7">
        <w:t>Because</w:t>
      </w:r>
      <w:r w:rsidRPr="00950C16">
        <w:t xml:space="preserve"> the profit margin</w:t>
      </w:r>
      <w:r w:rsidR="00AD109B" w:rsidRPr="00950C16">
        <w:t>s</w:t>
      </w:r>
      <w:r w:rsidRPr="00950C16">
        <w:t xml:space="preserve"> of banks remain low, the bargaining power rests with the borrower. If a bank provides a bridge loan to finance a hostile LBO, it </w:t>
      </w:r>
      <w:r w:rsidR="009869A7">
        <w:t>will</w:t>
      </w:r>
      <w:r w:rsidRPr="00950C16">
        <w:t xml:space="preserve"> lose other lending business with the target company and its associated companies</w:t>
      </w:r>
      <w:r w:rsidR="00C57AEA" w:rsidRPr="00950C16">
        <w:t>,</w:t>
      </w:r>
      <w:r w:rsidRPr="00950C16">
        <w:t xml:space="preserve"> i</w:t>
      </w:r>
      <w:r w:rsidR="00C57AEA" w:rsidRPr="00950C16">
        <w:t>.</w:t>
      </w:r>
      <w:r w:rsidRPr="00950C16">
        <w:t>e</w:t>
      </w:r>
      <w:r w:rsidR="00C57AEA" w:rsidRPr="00950C16">
        <w:t>.</w:t>
      </w:r>
      <w:r w:rsidRPr="00950C16">
        <w:t xml:space="preserve"> subsidiaries.</w:t>
      </w:r>
      <w:r w:rsidR="000A34AB">
        <w:rPr>
          <w:rStyle w:val="FootnoteReference"/>
        </w:rPr>
        <w:footnoteReference w:id="70"/>
      </w:r>
      <w:r w:rsidRPr="00950C16">
        <w:t xml:space="preserve"> </w:t>
      </w:r>
    </w:p>
    <w:p w14:paraId="540CB5BB" w14:textId="77777777" w:rsidR="00671272" w:rsidRPr="00950C16" w:rsidRDefault="00671272" w:rsidP="00671272">
      <w:pPr>
        <w:jc w:val="both"/>
        <w:rPr>
          <w:b/>
        </w:rPr>
      </w:pPr>
    </w:p>
    <w:p w14:paraId="06A498AF" w14:textId="77777777" w:rsidR="00671272" w:rsidRPr="00950C16" w:rsidRDefault="00671272" w:rsidP="00671272">
      <w:pPr>
        <w:jc w:val="both"/>
        <w:rPr>
          <w:b/>
        </w:rPr>
      </w:pPr>
    </w:p>
    <w:p w14:paraId="73822B91" w14:textId="77777777" w:rsidR="00671272" w:rsidRPr="00950C16" w:rsidRDefault="00F12481" w:rsidP="00671272">
      <w:pPr>
        <w:jc w:val="both"/>
        <w:rPr>
          <w:b/>
        </w:rPr>
      </w:pPr>
      <w:r w:rsidRPr="00950C16">
        <w:rPr>
          <w:b/>
        </w:rPr>
        <w:t xml:space="preserve">5. Increased corporate governance as another possible </w:t>
      </w:r>
      <w:r w:rsidR="009A7596">
        <w:rPr>
          <w:b/>
        </w:rPr>
        <w:t>‘</w:t>
      </w:r>
      <w:r w:rsidRPr="00950C16">
        <w:rPr>
          <w:b/>
        </w:rPr>
        <w:t>breakthrough</w:t>
      </w:r>
      <w:r w:rsidR="009A7596">
        <w:rPr>
          <w:b/>
        </w:rPr>
        <w:t>’</w:t>
      </w:r>
      <w:r w:rsidRPr="00950C16">
        <w:rPr>
          <w:b/>
        </w:rPr>
        <w:t xml:space="preserve"> </w:t>
      </w:r>
      <w:r w:rsidR="009A7596">
        <w:rPr>
          <w:b/>
        </w:rPr>
        <w:t>for</w:t>
      </w:r>
      <w:r w:rsidRPr="00950C16">
        <w:rPr>
          <w:b/>
        </w:rPr>
        <w:t xml:space="preserve"> takeovers </w:t>
      </w:r>
    </w:p>
    <w:p w14:paraId="63CE4A24" w14:textId="77777777" w:rsidR="00671272" w:rsidRPr="00950C16" w:rsidRDefault="00671272" w:rsidP="00671272">
      <w:pPr>
        <w:jc w:val="both"/>
        <w:rPr>
          <w:b/>
        </w:rPr>
      </w:pPr>
    </w:p>
    <w:p w14:paraId="7BFF39A4" w14:textId="77777777" w:rsidR="00671272" w:rsidRPr="00950C16" w:rsidRDefault="00F12481" w:rsidP="00671272">
      <w:pPr>
        <w:jc w:val="both"/>
        <w:rPr>
          <w:i/>
        </w:rPr>
      </w:pPr>
      <w:r w:rsidRPr="00950C16">
        <w:rPr>
          <w:i/>
        </w:rPr>
        <w:t xml:space="preserve">5.1 Independent board </w:t>
      </w:r>
    </w:p>
    <w:p w14:paraId="09533E5E" w14:textId="77777777" w:rsidR="00671272" w:rsidRPr="00950C16" w:rsidRDefault="00671272" w:rsidP="00671272">
      <w:pPr>
        <w:jc w:val="both"/>
      </w:pPr>
    </w:p>
    <w:p w14:paraId="598C644E" w14:textId="778944A6" w:rsidR="00671272" w:rsidRPr="00950C16" w:rsidRDefault="00F12481" w:rsidP="00671272">
      <w:pPr>
        <w:jc w:val="both"/>
      </w:pPr>
      <w:r w:rsidRPr="00950C16">
        <w:t>Independent directors play a role in managing the board’s conflicts of interest</w:t>
      </w:r>
      <w:r w:rsidR="009A7596">
        <w:t xml:space="preserve"> by</w:t>
      </w:r>
      <w:r w:rsidRPr="00950C16">
        <w:t xml:space="preserve"> reduc</w:t>
      </w:r>
      <w:r w:rsidR="009A7596">
        <w:t>ing</w:t>
      </w:r>
      <w:r w:rsidRPr="00950C16">
        <w:t xml:space="preserve"> </w:t>
      </w:r>
      <w:r w:rsidR="009A7596">
        <w:t xml:space="preserve">the </w:t>
      </w:r>
      <w:r w:rsidRPr="00950C16">
        <w:t>transaction cost</w:t>
      </w:r>
      <w:r w:rsidR="009A7596">
        <w:t>s</w:t>
      </w:r>
      <w:r w:rsidRPr="00950C16">
        <w:t xml:space="preserve"> in a takeover.</w:t>
      </w:r>
      <w:r w:rsidR="00726A93">
        <w:rPr>
          <w:rStyle w:val="FootnoteReference"/>
        </w:rPr>
        <w:footnoteReference w:id="71"/>
      </w:r>
      <w:r w:rsidRPr="00950C16">
        <w:t xml:space="preserve"> Such conflicts can arise in </w:t>
      </w:r>
      <w:r w:rsidR="00AD109B" w:rsidRPr="00950C16">
        <w:t>several</w:t>
      </w:r>
      <w:r w:rsidRPr="00950C16">
        <w:t xml:space="preserve"> ways. </w:t>
      </w:r>
      <w:r w:rsidR="009A7596">
        <w:t>For instance, t</w:t>
      </w:r>
      <w:r w:rsidRPr="00950C16">
        <w:t xml:space="preserve">he board of directors may leak information </w:t>
      </w:r>
      <w:r w:rsidR="009A7596">
        <w:t>about</w:t>
      </w:r>
      <w:r w:rsidRPr="00950C16">
        <w:t xml:space="preserve"> an immature takeover negotiation to thwart a potential takeover threat. It can issue </w:t>
      </w:r>
      <w:r w:rsidR="00AD109B" w:rsidRPr="00950C16">
        <w:t xml:space="preserve">a </w:t>
      </w:r>
      <w:r w:rsidRPr="00950C16">
        <w:t xml:space="preserve">negative opinion </w:t>
      </w:r>
      <w:r w:rsidR="009A7596">
        <w:t>about</w:t>
      </w:r>
      <w:r w:rsidRPr="00950C16">
        <w:t xml:space="preserve"> a bid or recommend a bid that </w:t>
      </w:r>
      <w:r w:rsidR="00AD109B" w:rsidRPr="00950C16">
        <w:t xml:space="preserve">would </w:t>
      </w:r>
      <w:r w:rsidRPr="00950C16">
        <w:t xml:space="preserve">mainly benefit certain directors and major shareholders. It can make </w:t>
      </w:r>
      <w:r w:rsidR="00AD109B" w:rsidRPr="00950C16">
        <w:t xml:space="preserve">a </w:t>
      </w:r>
      <w:r w:rsidRPr="00950C16">
        <w:t xml:space="preserve">request about </w:t>
      </w:r>
      <w:r w:rsidR="009A7596">
        <w:t>a</w:t>
      </w:r>
      <w:r w:rsidRPr="00950C16">
        <w:t xml:space="preserve"> bidder’s business plan with the aim </w:t>
      </w:r>
      <w:r w:rsidR="00051657" w:rsidRPr="00950C16">
        <w:t xml:space="preserve">of increasing </w:t>
      </w:r>
      <w:r w:rsidRPr="00950C16">
        <w:t xml:space="preserve">the bidder’s cost. Independent directors can </w:t>
      </w:r>
      <w:r w:rsidR="009A7596">
        <w:t>en</w:t>
      </w:r>
      <w:r w:rsidRPr="00950C16">
        <w:t xml:space="preserve">sure that these measures </w:t>
      </w:r>
      <w:r w:rsidR="009A7596">
        <w:t>are</w:t>
      </w:r>
      <w:r w:rsidRPr="00950C16">
        <w:t xml:space="preserve"> </w:t>
      </w:r>
      <w:r w:rsidR="00051657" w:rsidRPr="00950C16">
        <w:t xml:space="preserve">not </w:t>
      </w:r>
      <w:r w:rsidRPr="00950C16">
        <w:t xml:space="preserve">taken </w:t>
      </w:r>
      <w:r w:rsidR="00051657" w:rsidRPr="00950C16">
        <w:t>as a way for the</w:t>
      </w:r>
      <w:r w:rsidRPr="00950C16">
        <w:t xml:space="preserve"> directors </w:t>
      </w:r>
      <w:r w:rsidR="00051657" w:rsidRPr="00950C16">
        <w:t xml:space="preserve">to entrench </w:t>
      </w:r>
      <w:r w:rsidRPr="00950C16">
        <w:t xml:space="preserve">their position. The process of obtaining competent independent advice to form the board’s opinion about </w:t>
      </w:r>
      <w:r w:rsidR="006862C0">
        <w:t>a</w:t>
      </w:r>
      <w:r w:rsidRPr="00950C16">
        <w:t xml:space="preserve"> bid can be monitored by the independent directors. The UK Corporate Governance Code recommends that independent directors </w:t>
      </w:r>
      <w:r w:rsidR="006862C0">
        <w:t xml:space="preserve">do </w:t>
      </w:r>
      <w:r w:rsidRPr="00950C16">
        <w:t xml:space="preserve">not carry out executive functions </w:t>
      </w:r>
      <w:r w:rsidR="006862C0">
        <w:t>or maintain</w:t>
      </w:r>
      <w:r w:rsidRPr="00950C16">
        <w:t xml:space="preserve"> direct connections with the company, for instance</w:t>
      </w:r>
      <w:r w:rsidR="00051657" w:rsidRPr="00950C16">
        <w:t>,</w:t>
      </w:r>
      <w:r w:rsidRPr="00950C16">
        <w:t xml:space="preserve"> </w:t>
      </w:r>
      <w:r w:rsidR="00051657" w:rsidRPr="00950C16">
        <w:t xml:space="preserve">by </w:t>
      </w:r>
      <w:r w:rsidRPr="00950C16">
        <w:t>being major shareholder</w:t>
      </w:r>
      <w:r w:rsidR="00502516">
        <w:t>s</w:t>
      </w:r>
      <w:r w:rsidRPr="00950C16">
        <w:t xml:space="preserve"> or</w:t>
      </w:r>
      <w:r w:rsidR="006862C0">
        <w:t xml:space="preserve"> </w:t>
      </w:r>
      <w:r w:rsidRPr="00950C16">
        <w:t>shareholder representative</w:t>
      </w:r>
      <w:r w:rsidR="00502516">
        <w:t>s</w:t>
      </w:r>
      <w:r w:rsidRPr="00950C16">
        <w:t xml:space="preserve"> to the com</w:t>
      </w:r>
      <w:r w:rsidR="00CD7DCB">
        <w:t>pany. In Japan, there is a statutory</w:t>
      </w:r>
      <w:r w:rsidRPr="00950C16">
        <w:t xml:space="preserve"> requirement </w:t>
      </w:r>
      <w:r w:rsidR="00C05858">
        <w:t>to have at least one outside</w:t>
      </w:r>
      <w:r w:rsidRPr="00950C16">
        <w:t xml:space="preserve"> director </w:t>
      </w:r>
      <w:r w:rsidR="00051657" w:rsidRPr="00950C16">
        <w:t xml:space="preserve">on </w:t>
      </w:r>
      <w:r w:rsidRPr="00950C16">
        <w:t>the board.</w:t>
      </w:r>
      <w:r w:rsidRPr="00950C16">
        <w:rPr>
          <w:rStyle w:val="FootnoteReference"/>
        </w:rPr>
        <w:footnoteReference w:id="72"/>
      </w:r>
      <w:r w:rsidRPr="00950C16">
        <w:t xml:space="preserve"> </w:t>
      </w:r>
      <w:r w:rsidR="00CD7DCB">
        <w:t xml:space="preserve">This requirement operates on a </w:t>
      </w:r>
      <w:r w:rsidR="00CD7DCB">
        <w:lastRenderedPageBreak/>
        <w:t xml:space="preserve">‘comply or explain’ basis. In June 2015, a new Corporate Governance Code came into force </w:t>
      </w:r>
      <w:r w:rsidR="00502516">
        <w:t>which</w:t>
      </w:r>
      <w:r w:rsidR="00CD7DCB">
        <w:t xml:space="preserve"> requires two independent directors for listed companies</w:t>
      </w:r>
      <w:r w:rsidR="00CD7DCB">
        <w:rPr>
          <w:rStyle w:val="FootnoteReference"/>
        </w:rPr>
        <w:footnoteReference w:id="73"/>
      </w:r>
      <w:r w:rsidR="00CD7DCB">
        <w:t xml:space="preserve">. </w:t>
      </w:r>
      <w:r w:rsidRPr="00950C16">
        <w:t xml:space="preserve">Compared </w:t>
      </w:r>
      <w:r w:rsidR="00F84821">
        <w:t>with the requirements of</w:t>
      </w:r>
      <w:r w:rsidRPr="00950C16">
        <w:t xml:space="preserve"> the UK Corporate Governance Code</w:t>
      </w:r>
      <w:r w:rsidR="00104E13">
        <w:t>, it is questionable whether two</w:t>
      </w:r>
      <w:r w:rsidRPr="00950C16">
        <w:t xml:space="preserve"> independent director</w:t>
      </w:r>
      <w:r w:rsidR="00104E13">
        <w:t>s</w:t>
      </w:r>
      <w:r w:rsidRPr="00950C16">
        <w:t xml:space="preserve"> </w:t>
      </w:r>
      <w:r w:rsidR="00051657" w:rsidRPr="00950C16">
        <w:t xml:space="preserve">on </w:t>
      </w:r>
      <w:r w:rsidRPr="00950C16">
        <w:t xml:space="preserve">the board can effectively control </w:t>
      </w:r>
      <w:r w:rsidR="00051657" w:rsidRPr="00950C16">
        <w:t xml:space="preserve">the </w:t>
      </w:r>
      <w:r w:rsidRPr="00950C16">
        <w:t xml:space="preserve">conflicts of interest of </w:t>
      </w:r>
      <w:r w:rsidR="00F84821">
        <w:t xml:space="preserve">the </w:t>
      </w:r>
      <w:r w:rsidRPr="00950C16">
        <w:t xml:space="preserve">other executives </w:t>
      </w:r>
      <w:r w:rsidR="00F84821">
        <w:t>on</w:t>
      </w:r>
      <w:r w:rsidRPr="00950C16">
        <w:t xml:space="preserve"> the board. In fact, the independent director is an anomaly to the collective culture of </w:t>
      </w:r>
      <w:r w:rsidR="00051657" w:rsidRPr="00950C16">
        <w:t xml:space="preserve">the </w:t>
      </w:r>
      <w:r w:rsidRPr="00950C16">
        <w:t xml:space="preserve">Japanese board. An </w:t>
      </w:r>
      <w:r w:rsidR="00F84821">
        <w:t xml:space="preserve">appointed, independent </w:t>
      </w:r>
      <w:r w:rsidRPr="00950C16">
        <w:t xml:space="preserve">outsider would be required </w:t>
      </w:r>
      <w:r w:rsidR="0009045C">
        <w:t xml:space="preserve">to </w:t>
      </w:r>
      <w:r w:rsidRPr="00950C16">
        <w:t xml:space="preserve">carry out executive functions and perform an ‘advisory’ duty rather than a ‘monitoring’ one. Stemming from the recent 2008 financial crisis, the independent director </w:t>
      </w:r>
      <w:r w:rsidR="00F84821">
        <w:t>in</w:t>
      </w:r>
      <w:r w:rsidRPr="00950C16">
        <w:t xml:space="preserve"> UK</w:t>
      </w:r>
      <w:r w:rsidR="00F84821">
        <w:t>-</w:t>
      </w:r>
      <w:r w:rsidRPr="00950C16">
        <w:t xml:space="preserve">listed companies is expected to be in charge of </w:t>
      </w:r>
      <w:r w:rsidR="00051657" w:rsidRPr="00950C16">
        <w:t xml:space="preserve">the </w:t>
      </w:r>
      <w:r w:rsidRPr="00950C16">
        <w:t>company’s risk management</w:t>
      </w:r>
      <w:r w:rsidR="00F84821">
        <w:t xml:space="preserve"> by </w:t>
      </w:r>
      <w:r w:rsidRPr="00950C16">
        <w:t>holding back the executive directors’ ego</w:t>
      </w:r>
      <w:r w:rsidR="00051657" w:rsidRPr="00950C16">
        <w:t>s,</w:t>
      </w:r>
      <w:r w:rsidRPr="00950C16">
        <w:t xml:space="preserve"> </w:t>
      </w:r>
      <w:r w:rsidR="00051657" w:rsidRPr="00950C16">
        <w:t xml:space="preserve">which </w:t>
      </w:r>
      <w:r w:rsidR="00502516">
        <w:t>can lead</w:t>
      </w:r>
      <w:r w:rsidRPr="00950C16">
        <w:t xml:space="preserve"> to excessive risk taking. Such risk management can also take place in the remuneration committee</w:t>
      </w:r>
      <w:r w:rsidR="00051657" w:rsidRPr="00950C16">
        <w:t>,</w:t>
      </w:r>
      <w:r w:rsidRPr="00950C16">
        <w:t xml:space="preserve"> in which the independent directors design </w:t>
      </w:r>
      <w:r w:rsidR="00F84821">
        <w:t>an</w:t>
      </w:r>
      <w:r w:rsidRPr="00950C16">
        <w:t xml:space="preserve"> appropriate model for executive pay. </w:t>
      </w:r>
    </w:p>
    <w:p w14:paraId="79F0DB1A" w14:textId="77777777" w:rsidR="00671272" w:rsidRPr="00950C16" w:rsidRDefault="00671272" w:rsidP="00671272">
      <w:pPr>
        <w:jc w:val="both"/>
      </w:pPr>
    </w:p>
    <w:p w14:paraId="28125B53" w14:textId="7C02D57D" w:rsidR="00671272" w:rsidRPr="00950C16" w:rsidRDefault="00F12481" w:rsidP="00671272">
      <w:pPr>
        <w:jc w:val="both"/>
      </w:pPr>
      <w:r w:rsidRPr="00950C16">
        <w:t xml:space="preserve">Whether such control </w:t>
      </w:r>
      <w:r w:rsidR="00F84821">
        <w:t>of</w:t>
      </w:r>
      <w:r w:rsidRPr="00950C16">
        <w:t xml:space="preserve"> pay is </w:t>
      </w:r>
      <w:r w:rsidR="0010191D" w:rsidRPr="00950C16">
        <w:t xml:space="preserve">an </w:t>
      </w:r>
      <w:r w:rsidRPr="00950C16">
        <w:t xml:space="preserve">effective </w:t>
      </w:r>
      <w:r w:rsidR="00F84821">
        <w:t>method</w:t>
      </w:r>
      <w:r w:rsidRPr="00950C16">
        <w:t xml:space="preserve"> of risk management</w:t>
      </w:r>
      <w:r w:rsidR="00502516">
        <w:t>,</w:t>
      </w:r>
      <w:r w:rsidRPr="00950C16">
        <w:t xml:space="preserve"> and is </w:t>
      </w:r>
      <w:r w:rsidR="0010191D" w:rsidRPr="00950C16">
        <w:t xml:space="preserve">in </w:t>
      </w:r>
      <w:r w:rsidR="00F84821">
        <w:t xml:space="preserve">a </w:t>
      </w:r>
      <w:r w:rsidRPr="00950C16">
        <w:t>company’s best interest in the long term</w:t>
      </w:r>
      <w:r w:rsidR="00502516">
        <w:t>,</w:t>
      </w:r>
      <w:r w:rsidRPr="00950C16">
        <w:t xml:space="preserve"> is questionable. </w:t>
      </w:r>
      <w:r w:rsidR="0009045C">
        <w:t xml:space="preserve">The UK and the West are at one end and </w:t>
      </w:r>
      <w:r w:rsidRPr="00950C16">
        <w:t xml:space="preserve">Japan is at the </w:t>
      </w:r>
      <w:r w:rsidR="0010191D" w:rsidRPr="00950C16">
        <w:t xml:space="preserve">other </w:t>
      </w:r>
      <w:r w:rsidRPr="00950C16">
        <w:t xml:space="preserve">end of the spectrum. The prolonged deflationary economy in Japan </w:t>
      </w:r>
      <w:r w:rsidR="00F84821">
        <w:t>is</w:t>
      </w:r>
      <w:r w:rsidRPr="00950C16">
        <w:t xml:space="preserve"> a cause of Japan’s risk-averse culture. Not only </w:t>
      </w:r>
      <w:r w:rsidR="00C57AEA" w:rsidRPr="00950C16">
        <w:t>do</w:t>
      </w:r>
      <w:r w:rsidRPr="00950C16">
        <w:t xml:space="preserve"> Japanese boards not take excessive risk</w:t>
      </w:r>
      <w:r w:rsidR="00502516">
        <w:t>s</w:t>
      </w:r>
      <w:r w:rsidRPr="00950C16">
        <w:t>, they do not take what</w:t>
      </w:r>
      <w:r w:rsidR="00C57AEA" w:rsidRPr="00950C16">
        <w:t xml:space="preserve"> may appear</w:t>
      </w:r>
      <w:r w:rsidRPr="00950C16">
        <w:t xml:space="preserve"> to many </w:t>
      </w:r>
      <w:r w:rsidR="00C57AEA" w:rsidRPr="00950C16">
        <w:t>W</w:t>
      </w:r>
      <w:r w:rsidRPr="00950C16">
        <w:t>estern executives to be reasonable risk</w:t>
      </w:r>
      <w:r w:rsidR="00F84821">
        <w:t>s</w:t>
      </w:r>
      <w:r w:rsidRPr="00950C16">
        <w:t xml:space="preserve">. This risk-averse culture </w:t>
      </w:r>
      <w:r w:rsidR="00F84821">
        <w:t>can be</w:t>
      </w:r>
      <w:r w:rsidRPr="00950C16">
        <w:t xml:space="preserve"> attributed to the life-long employment model in Japanese companies. Directors are promoted </w:t>
      </w:r>
      <w:r w:rsidR="0010191D" w:rsidRPr="00950C16">
        <w:t>through the ranks</w:t>
      </w:r>
      <w:r w:rsidRPr="00950C16">
        <w:t xml:space="preserve"> of employees. Chairman </w:t>
      </w:r>
      <w:r w:rsidR="00F84821">
        <w:t xml:space="preserve">of the board </w:t>
      </w:r>
      <w:r w:rsidRPr="00950C16">
        <w:t>is often a post for the company</w:t>
      </w:r>
      <w:r w:rsidR="0010191D" w:rsidRPr="00950C16">
        <w:t>’</w:t>
      </w:r>
      <w:r w:rsidRPr="00950C16">
        <w:t xml:space="preserve">s </w:t>
      </w:r>
      <w:r w:rsidR="0010191D" w:rsidRPr="00950C16">
        <w:t xml:space="preserve">retired </w:t>
      </w:r>
      <w:r w:rsidRPr="00950C16">
        <w:t xml:space="preserve">CEO. The CEO and the directors do not risk changing the corporate roadmap simply </w:t>
      </w:r>
      <w:r w:rsidR="00502516">
        <w:t xml:space="preserve">to </w:t>
      </w:r>
      <w:r w:rsidRPr="00950C16">
        <w:t>driv</w:t>
      </w:r>
      <w:r w:rsidR="00F84821">
        <w:t>e</w:t>
      </w:r>
      <w:r w:rsidRPr="00950C16">
        <w:t xml:space="preserve"> up the share price. </w:t>
      </w:r>
      <w:r w:rsidR="00502516">
        <w:t xml:space="preserve">By contrast, </w:t>
      </w:r>
      <w:r w:rsidR="00855457">
        <w:t>s</w:t>
      </w:r>
      <w:r w:rsidRPr="00950C16">
        <w:t xml:space="preserve">hare price management is an important measure of directors’ success in the UK and the West. UK and Western </w:t>
      </w:r>
      <w:r w:rsidR="00502516">
        <w:t>company directors</w:t>
      </w:r>
      <w:r w:rsidR="00502516" w:rsidRPr="00950C16">
        <w:t xml:space="preserve"> </w:t>
      </w:r>
      <w:r w:rsidR="00855457">
        <w:t>are</w:t>
      </w:r>
      <w:r w:rsidRPr="00950C16">
        <w:t xml:space="preserve"> asked by shareholders to resign for poor performance. Japanese boards do not face the same pressure </w:t>
      </w:r>
      <w:r w:rsidR="00855457">
        <w:t>regarding</w:t>
      </w:r>
      <w:r w:rsidRPr="00950C16">
        <w:t xml:space="preserve"> share performance</w:t>
      </w:r>
      <w:r w:rsidR="0010191D" w:rsidRPr="00950C16">
        <w:t>,</w:t>
      </w:r>
      <w:r w:rsidRPr="00950C16">
        <w:t xml:space="preserve"> and the directors are under no legal and moral obligation to resign. </w:t>
      </w:r>
      <w:r w:rsidR="00502516">
        <w:t>In this way</w:t>
      </w:r>
      <w:r w:rsidRPr="00950C16">
        <w:t xml:space="preserve">, the government </w:t>
      </w:r>
      <w:r w:rsidR="0010191D" w:rsidRPr="00950C16">
        <w:t xml:space="preserve">hopes </w:t>
      </w:r>
      <w:r w:rsidRPr="00950C16">
        <w:t xml:space="preserve">to increase the influence of independent outside directors </w:t>
      </w:r>
      <w:r w:rsidR="0010191D" w:rsidRPr="00950C16">
        <w:t>in acting</w:t>
      </w:r>
      <w:r w:rsidRPr="00950C16">
        <w:t xml:space="preserve"> as catalyst</w:t>
      </w:r>
      <w:r w:rsidR="00502516">
        <w:t>s</w:t>
      </w:r>
      <w:r w:rsidRPr="00950C16">
        <w:t xml:space="preserve"> to encourage more risk</w:t>
      </w:r>
      <w:r w:rsidR="001C43CC">
        <w:t>-</w:t>
      </w:r>
      <w:r w:rsidRPr="00950C16">
        <w:t>taking. Independent directors should not be employee</w:t>
      </w:r>
      <w:r w:rsidR="0010191D" w:rsidRPr="00950C16">
        <w:t>s</w:t>
      </w:r>
      <w:r w:rsidRPr="00950C16">
        <w:t xml:space="preserve"> </w:t>
      </w:r>
      <w:r w:rsidR="00855457">
        <w:t>of</w:t>
      </w:r>
      <w:r w:rsidRPr="00950C16">
        <w:t xml:space="preserve"> subsidiary companies or cross-held companies. They are not </w:t>
      </w:r>
      <w:r w:rsidR="00855457">
        <w:t xml:space="preserve">supposed </w:t>
      </w:r>
      <w:r w:rsidRPr="00950C16">
        <w:t xml:space="preserve">to monitor or supervise the board but </w:t>
      </w:r>
      <w:r w:rsidR="0010191D" w:rsidRPr="00950C16">
        <w:t xml:space="preserve">should </w:t>
      </w:r>
      <w:r w:rsidRPr="00950C16">
        <w:t xml:space="preserve">bring </w:t>
      </w:r>
      <w:r w:rsidR="00855457">
        <w:t xml:space="preserve">their </w:t>
      </w:r>
      <w:r w:rsidRPr="00950C16">
        <w:t xml:space="preserve">particular management skills to increase corporate performance. </w:t>
      </w:r>
      <w:r w:rsidR="00855457">
        <w:t>However</w:t>
      </w:r>
      <w:r w:rsidRPr="00950C16">
        <w:t xml:space="preserve">, Japan </w:t>
      </w:r>
      <w:r w:rsidR="00C57AEA" w:rsidRPr="00950C16">
        <w:t>does</w:t>
      </w:r>
      <w:r w:rsidRPr="00950C16">
        <w:t xml:space="preserve"> not have a large pool of professional executives who </w:t>
      </w:r>
      <w:r w:rsidR="00855457">
        <w:t xml:space="preserve">normally </w:t>
      </w:r>
      <w:r w:rsidRPr="00950C16">
        <w:t xml:space="preserve">move from one company to another </w:t>
      </w:r>
      <w:r w:rsidR="00855457">
        <w:t>for</w:t>
      </w:r>
      <w:r w:rsidRPr="00950C16">
        <w:t xml:space="preserve"> short period</w:t>
      </w:r>
      <w:r w:rsidR="00855457">
        <w:t>s</w:t>
      </w:r>
      <w:r w:rsidRPr="00950C16">
        <w:t>.</w:t>
      </w:r>
      <w:r w:rsidRPr="00950C16">
        <w:rPr>
          <w:rStyle w:val="FootnoteReference"/>
        </w:rPr>
        <w:footnoteReference w:id="74"/>
      </w:r>
      <w:r w:rsidRPr="00950C16">
        <w:t xml:space="preserve"> </w:t>
      </w:r>
      <w:r w:rsidR="00502516">
        <w:t>The likelihood</w:t>
      </w:r>
      <w:r w:rsidRPr="00950C16">
        <w:t xml:space="preserve"> is </w:t>
      </w:r>
      <w:r w:rsidR="00855457">
        <w:t>that</w:t>
      </w:r>
      <w:r w:rsidRPr="00950C16">
        <w:t xml:space="preserve"> more foreign directors </w:t>
      </w:r>
      <w:r w:rsidR="00855457">
        <w:t>will</w:t>
      </w:r>
      <w:r w:rsidRPr="00950C16">
        <w:t xml:space="preserve"> take independent director</w:t>
      </w:r>
      <w:r w:rsidR="00042306" w:rsidRPr="00950C16">
        <w:t xml:space="preserve"> positions</w:t>
      </w:r>
      <w:r w:rsidRPr="00950C16">
        <w:t xml:space="preserve">. </w:t>
      </w:r>
    </w:p>
    <w:p w14:paraId="634641C3" w14:textId="77777777" w:rsidR="00671272" w:rsidRPr="00950C16" w:rsidRDefault="00671272" w:rsidP="00671272">
      <w:pPr>
        <w:jc w:val="both"/>
      </w:pPr>
    </w:p>
    <w:p w14:paraId="1955C20A" w14:textId="73C3BEDF" w:rsidR="00671272" w:rsidRPr="00950C16" w:rsidRDefault="00B12878" w:rsidP="00671272">
      <w:pPr>
        <w:jc w:val="both"/>
      </w:pPr>
      <w:r w:rsidRPr="00ED1AB6">
        <w:t>The appointment of independent directors and their increased number in a company can reduce conflicts of interest stemming from cross-shareholding and rebalance the power given to executive directors that is reinforced by cross-</w:t>
      </w:r>
      <w:r w:rsidRPr="00ED1AB6">
        <w:lastRenderedPageBreak/>
        <w:t>shareholding.</w:t>
      </w:r>
      <w:r w:rsidR="00A40837" w:rsidRPr="00ED1AB6">
        <w:rPr>
          <w:rStyle w:val="FootnoteReference"/>
        </w:rPr>
        <w:footnoteReference w:id="75"/>
      </w:r>
      <w:r w:rsidR="00F12481" w:rsidRPr="00950C16">
        <w:t xml:space="preserve"> In a takeover, the independent directors, </w:t>
      </w:r>
      <w:r w:rsidR="00855457">
        <w:t>who have</w:t>
      </w:r>
      <w:r w:rsidR="00F12481" w:rsidRPr="00950C16">
        <w:t xml:space="preserve"> access to information about the company</w:t>
      </w:r>
      <w:r w:rsidR="00042306" w:rsidRPr="00950C16">
        <w:t>’</w:t>
      </w:r>
      <w:r w:rsidR="00F12481" w:rsidRPr="00950C16">
        <w:t>s cross-shareholding</w:t>
      </w:r>
      <w:r w:rsidR="00855457">
        <w:t>s</w:t>
      </w:r>
      <w:r w:rsidR="00F12481" w:rsidRPr="00950C16">
        <w:t>,</w:t>
      </w:r>
      <w:r w:rsidR="00855457">
        <w:t xml:space="preserve"> are</w:t>
      </w:r>
      <w:r w:rsidR="00F12481" w:rsidRPr="00950C16">
        <w:t xml:space="preserve"> in a better position to identify the interest</w:t>
      </w:r>
      <w:r w:rsidR="00855457">
        <w:t>s</w:t>
      </w:r>
      <w:r w:rsidR="00F12481" w:rsidRPr="00950C16">
        <w:t xml:space="preserve"> of minority shareholders. They may be more objective in assessing the </w:t>
      </w:r>
      <w:r w:rsidR="00E80E40">
        <w:t xml:space="preserve">company’s </w:t>
      </w:r>
      <w:r w:rsidR="00F12481" w:rsidRPr="00950C16">
        <w:t xml:space="preserve">future prospects when their interest does not lie in the hope of being appointed as the next CEO or Chairman of the </w:t>
      </w:r>
      <w:r w:rsidR="00E80E40">
        <w:t>board</w:t>
      </w:r>
      <w:r w:rsidR="00F12481" w:rsidRPr="00950C16">
        <w:t xml:space="preserve">. Not only can </w:t>
      </w:r>
      <w:r w:rsidR="00042306" w:rsidRPr="00950C16">
        <w:t xml:space="preserve">they </w:t>
      </w:r>
      <w:r w:rsidR="00F12481" w:rsidRPr="00950C16">
        <w:t xml:space="preserve">act as a channel between minority shareholders and management, by actively seeking independent external opinions, </w:t>
      </w:r>
      <w:r w:rsidR="004F5964">
        <w:t xml:space="preserve">they will help to create a more balanced and fair </w:t>
      </w:r>
      <w:r w:rsidR="00F12481" w:rsidRPr="00950C16">
        <w:t xml:space="preserve">board. In this way, the board can issue their ‘Opinion Report’ based on a more independent assessment. </w:t>
      </w:r>
    </w:p>
    <w:p w14:paraId="0A01B834" w14:textId="77777777" w:rsidR="00671272" w:rsidRPr="00950C16" w:rsidRDefault="00671272" w:rsidP="00671272">
      <w:pPr>
        <w:jc w:val="both"/>
      </w:pPr>
    </w:p>
    <w:p w14:paraId="628C5BAD" w14:textId="77777777" w:rsidR="00671272" w:rsidRPr="00950C16" w:rsidRDefault="00671272" w:rsidP="00671272">
      <w:pPr>
        <w:jc w:val="both"/>
        <w:rPr>
          <w:i/>
        </w:rPr>
      </w:pPr>
    </w:p>
    <w:p w14:paraId="3DA5DB3B" w14:textId="77777777" w:rsidR="00671272" w:rsidRPr="00950C16" w:rsidRDefault="00F12481" w:rsidP="00671272">
      <w:pPr>
        <w:jc w:val="both"/>
        <w:rPr>
          <w:i/>
        </w:rPr>
      </w:pPr>
      <w:r w:rsidRPr="00950C16">
        <w:rPr>
          <w:i/>
        </w:rPr>
        <w:t xml:space="preserve">5.2 Shareholder protection </w:t>
      </w:r>
    </w:p>
    <w:p w14:paraId="1ED8490B" w14:textId="77777777" w:rsidR="00671272" w:rsidRPr="00950C16" w:rsidRDefault="00671272" w:rsidP="00671272">
      <w:pPr>
        <w:jc w:val="both"/>
        <w:rPr>
          <w:i/>
        </w:rPr>
      </w:pPr>
    </w:p>
    <w:p w14:paraId="6A76DFF8" w14:textId="6D511D17" w:rsidR="00671272" w:rsidRPr="00950C16" w:rsidRDefault="00CB01A6" w:rsidP="00671272">
      <w:pPr>
        <w:jc w:val="both"/>
        <w:rPr>
          <w:i/>
        </w:rPr>
      </w:pPr>
      <w:r>
        <w:rPr>
          <w:i/>
        </w:rPr>
        <w:t xml:space="preserve">5.2.1. </w:t>
      </w:r>
      <w:r w:rsidR="00F12481" w:rsidRPr="00950C16">
        <w:rPr>
          <w:i/>
        </w:rPr>
        <w:t xml:space="preserve">Individual shareholders </w:t>
      </w:r>
    </w:p>
    <w:p w14:paraId="6D7B170A" w14:textId="77777777" w:rsidR="00671272" w:rsidRPr="00950C16" w:rsidRDefault="00671272" w:rsidP="00671272">
      <w:pPr>
        <w:jc w:val="both"/>
        <w:rPr>
          <w:i/>
        </w:rPr>
      </w:pPr>
    </w:p>
    <w:p w14:paraId="262FD4B1" w14:textId="036561DC" w:rsidR="00671272" w:rsidRPr="00950C16" w:rsidRDefault="00F12481" w:rsidP="00671272">
      <w:pPr>
        <w:jc w:val="both"/>
      </w:pPr>
      <w:r w:rsidRPr="00950C16">
        <w:t xml:space="preserve">What is </w:t>
      </w:r>
      <w:r w:rsidR="00E80E40">
        <w:t xml:space="preserve">most </w:t>
      </w:r>
      <w:r w:rsidRPr="00950C16">
        <w:t>lacking in Japanese shareholder protection</w:t>
      </w:r>
      <w:r w:rsidR="00042306" w:rsidRPr="00950C16">
        <w:t xml:space="preserve"> </w:t>
      </w:r>
      <w:r w:rsidR="00E80E40">
        <w:t>mechanisms in</w:t>
      </w:r>
      <w:r w:rsidR="00A96894" w:rsidRPr="00950C16">
        <w:t xml:space="preserve"> </w:t>
      </w:r>
      <w:r w:rsidR="00C54710">
        <w:t>the FIE is the</w:t>
      </w:r>
      <w:r w:rsidR="00E80E40">
        <w:t xml:space="preserve"> </w:t>
      </w:r>
      <w:r w:rsidRPr="00950C16">
        <w:t>equivalent of</w:t>
      </w:r>
      <w:r w:rsidR="00590D45" w:rsidRPr="00950C16">
        <w:t xml:space="preserve"> </w:t>
      </w:r>
      <w:r w:rsidRPr="00950C16">
        <w:t>mandatory bid</w:t>
      </w:r>
      <w:r w:rsidR="00E80E40">
        <w:t>s</w:t>
      </w:r>
      <w:r w:rsidRPr="00950C16">
        <w:t xml:space="preserve"> </w:t>
      </w:r>
      <w:r w:rsidR="00502516">
        <w:t xml:space="preserve">in the UK and EU </w:t>
      </w:r>
      <w:r w:rsidRPr="00950C16">
        <w:t xml:space="preserve">that </w:t>
      </w:r>
      <w:r w:rsidR="00E80E40">
        <w:t>provide</w:t>
      </w:r>
      <w:r w:rsidRPr="00950C16">
        <w:t xml:space="preserve"> shareholders an equal right to share the control premium. The UK mandatory bid </w:t>
      </w:r>
      <w:r w:rsidR="00E80E40">
        <w:t xml:space="preserve">requirement </w:t>
      </w:r>
      <w:r w:rsidRPr="00950C16">
        <w:t>benefits minority shareholders and serves the interest of private equit</w:t>
      </w:r>
      <w:r w:rsidR="00E80E40">
        <w:t>y firms’</w:t>
      </w:r>
      <w:r w:rsidRPr="00950C16">
        <w:t xml:space="preserve"> business models. As </w:t>
      </w:r>
      <w:r w:rsidR="00E80E40">
        <w:t>stated previously</w:t>
      </w:r>
      <w:r w:rsidRPr="00950C16">
        <w:t>, Japanese shareholders tend to support management.</w:t>
      </w:r>
      <w:r w:rsidR="004A10BD">
        <w:rPr>
          <w:rStyle w:val="FootnoteReference"/>
        </w:rPr>
        <w:footnoteReference w:id="76"/>
      </w:r>
      <w:r w:rsidRPr="00950C16">
        <w:t xml:space="preserve"> This symbiotic relation</w:t>
      </w:r>
      <w:r w:rsidR="00E80E40">
        <w:t>ship</w:t>
      </w:r>
      <w:r w:rsidRPr="00950C16">
        <w:t xml:space="preserve"> is partly attributed to corporate cross-shareholdings. Individual shareholders, </w:t>
      </w:r>
      <w:r w:rsidR="00E80E40">
        <w:t xml:space="preserve">who </w:t>
      </w:r>
      <w:r w:rsidRPr="00950C16">
        <w:t>currently own 18 per cent of the total share capital listed on the TSE, are supportive of management. Many of them are former employees and customers of the compan</w:t>
      </w:r>
      <w:r w:rsidR="00E80E40">
        <w:t>ies</w:t>
      </w:r>
      <w:r w:rsidRPr="00950C16">
        <w:t>. They strongly identify with the compan</w:t>
      </w:r>
      <w:r w:rsidR="00E80E40">
        <w:t>ies, and therefore,</w:t>
      </w:r>
      <w:r w:rsidRPr="00950C16">
        <w:t xml:space="preserve"> </w:t>
      </w:r>
      <w:r w:rsidR="00E80E40">
        <w:t>t</w:t>
      </w:r>
      <w:r w:rsidRPr="00950C16">
        <w:t>heir investment</w:t>
      </w:r>
      <w:r w:rsidR="00E80E40">
        <w:t>s</w:t>
      </w:r>
      <w:r w:rsidRPr="00950C16">
        <w:t xml:space="preserve"> </w:t>
      </w:r>
      <w:r w:rsidR="00E80E40">
        <w:t>are</w:t>
      </w:r>
      <w:r w:rsidRPr="00950C16">
        <w:t xml:space="preserve"> not mostly profit-driven but </w:t>
      </w:r>
      <w:r w:rsidR="00E80E40">
        <w:t>are</w:t>
      </w:r>
      <w:r w:rsidR="00C1575D" w:rsidRPr="00950C16">
        <w:t xml:space="preserve"> </w:t>
      </w:r>
      <w:r w:rsidRPr="00950C16">
        <w:t xml:space="preserve">connected to their sentiment of being </w:t>
      </w:r>
      <w:r w:rsidR="00502516">
        <w:t xml:space="preserve">included </w:t>
      </w:r>
      <w:r w:rsidRPr="00950C16">
        <w:t>within the corporate community. Their investment</w:t>
      </w:r>
      <w:r w:rsidR="00E80E40">
        <w:t>s</w:t>
      </w:r>
      <w:r w:rsidRPr="00950C16">
        <w:t xml:space="preserve"> </w:t>
      </w:r>
      <w:r w:rsidR="00E80E40">
        <w:t>are</w:t>
      </w:r>
      <w:r w:rsidRPr="00950C16">
        <w:t xml:space="preserve"> largely relational. </w:t>
      </w:r>
      <w:r w:rsidR="00E80E40">
        <w:t>M</w:t>
      </w:r>
      <w:r w:rsidRPr="00950C16">
        <w:t>anagement also rewards them with a token of thanks through shareholder discount vouchers</w:t>
      </w:r>
      <w:r w:rsidR="00C57AEA" w:rsidRPr="00950C16">
        <w:t>—</w:t>
      </w:r>
      <w:r w:rsidRPr="00950C16">
        <w:t>shareholder perks.</w:t>
      </w:r>
      <w:r w:rsidR="00546C19">
        <w:rPr>
          <w:rStyle w:val="FootnoteReference"/>
        </w:rPr>
        <w:footnoteReference w:id="77"/>
      </w:r>
      <w:r w:rsidRPr="00950C16">
        <w:t xml:space="preserve"> These vouchers can be exchanged at kiosks for cash. In this way, individual shareholders’ sense of community</w:t>
      </w:r>
      <w:r w:rsidR="00C1575D" w:rsidRPr="00950C16">
        <w:t xml:space="preserve"> with</w:t>
      </w:r>
      <w:r w:rsidRPr="00950C16">
        <w:t xml:space="preserve"> and loyalty </w:t>
      </w:r>
      <w:r w:rsidR="00C1575D" w:rsidRPr="00950C16">
        <w:t xml:space="preserve">to </w:t>
      </w:r>
      <w:r w:rsidRPr="00950C16">
        <w:t xml:space="preserve">the company, </w:t>
      </w:r>
      <w:r w:rsidR="00E80E40">
        <w:t xml:space="preserve">thus </w:t>
      </w:r>
      <w:r w:rsidRPr="00950C16">
        <w:t xml:space="preserve">indirectly supporting management, </w:t>
      </w:r>
      <w:r w:rsidR="00E80E40">
        <w:t>are</w:t>
      </w:r>
      <w:r w:rsidR="00C57AEA" w:rsidRPr="00950C16">
        <w:t xml:space="preserve"> </w:t>
      </w:r>
      <w:r w:rsidRPr="00950C16">
        <w:t xml:space="preserve">reinforced </w:t>
      </w:r>
      <w:r w:rsidR="00E80E40">
        <w:t>through</w:t>
      </w:r>
      <w:r w:rsidRPr="00950C16">
        <w:t xml:space="preserve"> these shareholder perks</w:t>
      </w:r>
      <w:r w:rsidR="00502516">
        <w:t>. This</w:t>
      </w:r>
      <w:r w:rsidRPr="00950C16">
        <w:t xml:space="preserve"> explains why Bull-</w:t>
      </w:r>
      <w:r w:rsidR="008F65C1" w:rsidRPr="00950C16">
        <w:t>D</w:t>
      </w:r>
      <w:r w:rsidRPr="00950C16">
        <w:t xml:space="preserve">og </w:t>
      </w:r>
      <w:r w:rsidR="008F65C1" w:rsidRPr="00950C16">
        <w:t>S</w:t>
      </w:r>
      <w:r w:rsidRPr="00950C16">
        <w:t xml:space="preserve">auce, a household name, received overwhelming shareholder support for management’s defence against </w:t>
      </w:r>
      <w:r w:rsidR="00E80E40">
        <w:t>an</w:t>
      </w:r>
      <w:r w:rsidRPr="00950C16">
        <w:t xml:space="preserve"> unsolicited hostile bid </w:t>
      </w:r>
      <w:r w:rsidR="00E80E40">
        <w:t>by</w:t>
      </w:r>
      <w:r w:rsidRPr="00950C16">
        <w:t xml:space="preserve"> US Steel Partners</w:t>
      </w:r>
      <w:r w:rsidR="00C57AEA" w:rsidRPr="00950C16">
        <w:t>,</w:t>
      </w:r>
      <w:r w:rsidRPr="00950C16">
        <w:t xml:space="preserve"> which offered a significant premium </w:t>
      </w:r>
      <w:r w:rsidR="00C1575D" w:rsidRPr="00950C16">
        <w:t xml:space="preserve">on </w:t>
      </w:r>
      <w:r w:rsidRPr="00950C16">
        <w:t>the market price.</w:t>
      </w:r>
    </w:p>
    <w:p w14:paraId="13FF6019" w14:textId="77777777" w:rsidR="00671272" w:rsidRPr="00950C16" w:rsidRDefault="00671272" w:rsidP="00671272">
      <w:pPr>
        <w:jc w:val="both"/>
      </w:pPr>
    </w:p>
    <w:p w14:paraId="471651BC" w14:textId="5BD5F0D6" w:rsidR="00671272" w:rsidRPr="00950C16" w:rsidRDefault="00CB01A6" w:rsidP="00671272">
      <w:pPr>
        <w:jc w:val="both"/>
        <w:rPr>
          <w:i/>
        </w:rPr>
      </w:pPr>
      <w:r>
        <w:rPr>
          <w:i/>
        </w:rPr>
        <w:t xml:space="preserve">5.2.2. </w:t>
      </w:r>
      <w:r w:rsidR="00F12481" w:rsidRPr="00950C16">
        <w:rPr>
          <w:i/>
        </w:rPr>
        <w:t xml:space="preserve">Institutional shareholders </w:t>
      </w:r>
    </w:p>
    <w:p w14:paraId="3E4A6B0B" w14:textId="77777777" w:rsidR="00671272" w:rsidRPr="00950C16" w:rsidRDefault="00671272" w:rsidP="00671272">
      <w:pPr>
        <w:jc w:val="both"/>
      </w:pPr>
    </w:p>
    <w:p w14:paraId="47F9655B" w14:textId="77777777" w:rsidR="00671272" w:rsidRPr="00950C16" w:rsidRDefault="00F12481" w:rsidP="00671272">
      <w:pPr>
        <w:jc w:val="both"/>
      </w:pPr>
      <w:r w:rsidRPr="00950C16">
        <w:t>How do private equit</w:t>
      </w:r>
      <w:r w:rsidR="00E80E40">
        <w:t>y firms</w:t>
      </w:r>
      <w:r w:rsidRPr="00950C16">
        <w:t xml:space="preserve"> and hedge funds </w:t>
      </w:r>
      <w:r w:rsidR="00C57AEA" w:rsidRPr="00950C16">
        <w:t xml:space="preserve">that </w:t>
      </w:r>
      <w:r w:rsidRPr="00950C16">
        <w:t>seek shorter term return</w:t>
      </w:r>
      <w:r w:rsidR="00B15649">
        <w:t>s</w:t>
      </w:r>
      <w:r w:rsidRPr="00950C16">
        <w:t xml:space="preserve"> on their investment</w:t>
      </w:r>
      <w:r w:rsidR="00B15649">
        <w:t>s</w:t>
      </w:r>
      <w:r w:rsidRPr="00950C16">
        <w:t xml:space="preserve"> benefit from shareholder protection</w:t>
      </w:r>
      <w:r w:rsidR="00B15649">
        <w:t>s</w:t>
      </w:r>
      <w:r w:rsidRPr="00950C16">
        <w:t xml:space="preserve">? Their interest would be </w:t>
      </w:r>
      <w:r w:rsidRPr="00950C16">
        <w:lastRenderedPageBreak/>
        <w:t>better served in a takeover if the UK and EU type</w:t>
      </w:r>
      <w:r w:rsidR="00B15649">
        <w:t>s</w:t>
      </w:r>
      <w:r w:rsidRPr="00950C16">
        <w:t xml:space="preserve"> of mandatory bid</w:t>
      </w:r>
      <w:r w:rsidR="00B15649">
        <w:t xml:space="preserve"> requirement</w:t>
      </w:r>
      <w:r w:rsidRPr="00950C16">
        <w:t xml:space="preserve"> </w:t>
      </w:r>
      <w:r w:rsidR="00C57AEA" w:rsidRPr="00950C16">
        <w:t>were</w:t>
      </w:r>
      <w:r w:rsidRPr="00950C16">
        <w:t xml:space="preserve"> imposed at a lower level. </w:t>
      </w:r>
      <w:r w:rsidR="00C1575D" w:rsidRPr="00950C16">
        <w:t>Likewise</w:t>
      </w:r>
      <w:r w:rsidRPr="00950C16">
        <w:t xml:space="preserve">, the Delaware type of shareholder protection </w:t>
      </w:r>
      <w:r w:rsidR="00C1575D" w:rsidRPr="00950C16">
        <w:t xml:space="preserve">could </w:t>
      </w:r>
      <w:r w:rsidRPr="00950C16">
        <w:t xml:space="preserve">also </w:t>
      </w:r>
      <w:r w:rsidR="00B15649">
        <w:t>provide</w:t>
      </w:r>
      <w:r w:rsidRPr="00950C16">
        <w:t xml:space="preserve"> them more opportunities to realise return</w:t>
      </w:r>
      <w:r w:rsidR="00B15649">
        <w:t>s</w:t>
      </w:r>
      <w:r w:rsidRPr="00950C16">
        <w:t xml:space="preserve">. These measures must be supported by stricter control </w:t>
      </w:r>
      <w:r w:rsidR="00B15649">
        <w:t>of</w:t>
      </w:r>
      <w:r w:rsidRPr="00950C16">
        <w:t xml:space="preserve"> the non-frustration rule. </w:t>
      </w:r>
      <w:r w:rsidR="00C1575D" w:rsidRPr="00950C16">
        <w:t>S</w:t>
      </w:r>
      <w:r w:rsidRPr="00950C16">
        <w:t xml:space="preserve">hareholders </w:t>
      </w:r>
      <w:r w:rsidR="00C1575D" w:rsidRPr="00950C16">
        <w:t xml:space="preserve">associated </w:t>
      </w:r>
      <w:r w:rsidRPr="00950C16">
        <w:t xml:space="preserve">through cross-shareholdings that create conflicts of interest with management should </w:t>
      </w:r>
      <w:r w:rsidR="00C1575D" w:rsidRPr="00950C16">
        <w:t xml:space="preserve">also </w:t>
      </w:r>
      <w:r w:rsidRPr="00950C16">
        <w:t xml:space="preserve">be controlled. This </w:t>
      </w:r>
      <w:r w:rsidR="00B15649">
        <w:t xml:space="preserve">scenario is </w:t>
      </w:r>
      <w:r w:rsidRPr="00950C16">
        <w:t>different from the EU’s shareholder agreement</w:t>
      </w:r>
      <w:r w:rsidR="004D34D8">
        <w:t xml:space="preserve"> </w:t>
      </w:r>
      <w:r w:rsidR="00502516">
        <w:t xml:space="preserve">where the </w:t>
      </w:r>
      <w:r w:rsidRPr="00950C16">
        <w:t>breakthrough rule is required to momentarily suspend their agreements in a takeover</w:t>
      </w:r>
      <w:r w:rsidR="00C1575D" w:rsidRPr="00950C16">
        <w:t>—</w:t>
      </w:r>
      <w:r w:rsidR="00B15649">
        <w:t xml:space="preserve">thus </w:t>
      </w:r>
      <w:r w:rsidRPr="00950C16">
        <w:t xml:space="preserve">freeing shareholders from these agreements </w:t>
      </w:r>
      <w:r w:rsidR="00C1575D" w:rsidRPr="00950C16">
        <w:t xml:space="preserve">regarding </w:t>
      </w:r>
      <w:r w:rsidRPr="00950C16">
        <w:t>the exercise of their votes on management’s defence. As mentioned</w:t>
      </w:r>
      <w:r w:rsidR="00B15649">
        <w:t xml:space="preserve"> previously</w:t>
      </w:r>
      <w:r w:rsidRPr="00950C16">
        <w:t xml:space="preserve">, cross-shareholding in Japan does not create a legal relationship that directs shareholders in the exercise </w:t>
      </w:r>
      <w:r w:rsidR="00B15649">
        <w:t xml:space="preserve">of </w:t>
      </w:r>
      <w:r w:rsidRPr="00950C16">
        <w:t xml:space="preserve">their votes. The effect of not exercising their votes </w:t>
      </w:r>
      <w:r w:rsidR="00C1575D" w:rsidRPr="00950C16">
        <w:t>to support</w:t>
      </w:r>
      <w:r w:rsidRPr="00950C16">
        <w:t xml:space="preserve"> management </w:t>
      </w:r>
      <w:r w:rsidR="00C1575D" w:rsidRPr="00950C16">
        <w:t xml:space="preserve">results in </w:t>
      </w:r>
      <w:r w:rsidRPr="00950C16">
        <w:t>reputation</w:t>
      </w:r>
      <w:r w:rsidR="00C1575D" w:rsidRPr="00950C16">
        <w:t>al</w:t>
      </w:r>
      <w:r w:rsidRPr="00950C16">
        <w:t xml:space="preserve"> damage, and retaliation </w:t>
      </w:r>
      <w:r w:rsidR="00B15649">
        <w:t>by</w:t>
      </w:r>
      <w:r w:rsidRPr="00950C16">
        <w:t xml:space="preserve"> management and the network of companies would result in reciprocal withdrawal</w:t>
      </w:r>
      <w:r w:rsidR="00B15649">
        <w:t>s</w:t>
      </w:r>
      <w:r w:rsidRPr="00950C16">
        <w:t xml:space="preserve"> of support. Therefore, one way of protecting minority shareholders could be to require the votes of cross-held shares </w:t>
      </w:r>
      <w:r w:rsidR="00C1575D" w:rsidRPr="00950C16">
        <w:t xml:space="preserve">to </w:t>
      </w:r>
      <w:r w:rsidRPr="00950C16">
        <w:t xml:space="preserve">be </w:t>
      </w:r>
      <w:r w:rsidR="00C1575D" w:rsidRPr="00950C16">
        <w:t xml:space="preserve">disclosed </w:t>
      </w:r>
      <w:r w:rsidRPr="00950C16">
        <w:t xml:space="preserve">and, in extreme cases, discounted. </w:t>
      </w:r>
    </w:p>
    <w:p w14:paraId="45B21E2A" w14:textId="77777777" w:rsidR="00671272" w:rsidRPr="00950C16" w:rsidRDefault="00671272" w:rsidP="00671272">
      <w:pPr>
        <w:jc w:val="both"/>
      </w:pPr>
    </w:p>
    <w:p w14:paraId="5D3BFD62" w14:textId="2ECC24C0" w:rsidR="00671272" w:rsidRPr="00950C16" w:rsidRDefault="00F12481" w:rsidP="00671272">
      <w:pPr>
        <w:jc w:val="both"/>
      </w:pPr>
      <w:r w:rsidRPr="00950C16">
        <w:t xml:space="preserve">With regard to shareholder perks, the amount distributed should be subject to income tax to avoid a disguised distribution of dividends. As dividends by Japanese companies are below the European average, restricting these perks </w:t>
      </w:r>
      <w:r w:rsidR="00B15649">
        <w:t>could</w:t>
      </w:r>
      <w:r w:rsidRPr="00950C16">
        <w:t xml:space="preserve"> increase individual shareholders</w:t>
      </w:r>
      <w:r w:rsidR="00C1575D" w:rsidRPr="00950C16">
        <w:t>’</w:t>
      </w:r>
      <w:r w:rsidRPr="00950C16">
        <w:t xml:space="preserve"> effort</w:t>
      </w:r>
      <w:r w:rsidR="00C1575D" w:rsidRPr="00950C16">
        <w:t>s</w:t>
      </w:r>
      <w:r w:rsidRPr="00950C16">
        <w:t xml:space="preserve"> </w:t>
      </w:r>
      <w:r w:rsidR="00B15649">
        <w:t>to</w:t>
      </w:r>
      <w:r w:rsidRPr="00950C16">
        <w:t xml:space="preserve"> pursu</w:t>
      </w:r>
      <w:r w:rsidR="00B15649">
        <w:t>e</w:t>
      </w:r>
      <w:r w:rsidRPr="00950C16">
        <w:t xml:space="preserve"> </w:t>
      </w:r>
      <w:r w:rsidR="00C1575D" w:rsidRPr="00950C16">
        <w:t xml:space="preserve">a </w:t>
      </w:r>
      <w:r w:rsidRPr="00950C16">
        <w:t xml:space="preserve">return </w:t>
      </w:r>
      <w:r w:rsidR="00B15649">
        <w:t>on</w:t>
      </w:r>
      <w:r w:rsidRPr="00950C16">
        <w:t xml:space="preserve"> their investment.</w:t>
      </w:r>
      <w:r w:rsidR="004A10BD">
        <w:rPr>
          <w:rStyle w:val="FootnoteReference"/>
        </w:rPr>
        <w:footnoteReference w:id="78"/>
      </w:r>
      <w:r w:rsidRPr="00950C16">
        <w:t xml:space="preserve"> </w:t>
      </w:r>
    </w:p>
    <w:p w14:paraId="6174876B" w14:textId="77777777" w:rsidR="00671272" w:rsidRPr="00950C16" w:rsidRDefault="00671272" w:rsidP="00671272">
      <w:pPr>
        <w:jc w:val="both"/>
      </w:pPr>
    </w:p>
    <w:p w14:paraId="4E7C0683" w14:textId="77777777" w:rsidR="00671272" w:rsidRPr="00950C16" w:rsidRDefault="00671272" w:rsidP="00671272">
      <w:pPr>
        <w:jc w:val="both"/>
        <w:rPr>
          <w:b/>
        </w:rPr>
      </w:pPr>
    </w:p>
    <w:p w14:paraId="0712A5FC" w14:textId="77777777" w:rsidR="00671272" w:rsidRPr="00950C16" w:rsidRDefault="00F12481" w:rsidP="00671272">
      <w:pPr>
        <w:jc w:val="both"/>
        <w:rPr>
          <w:b/>
        </w:rPr>
      </w:pPr>
      <w:r w:rsidRPr="00950C16">
        <w:rPr>
          <w:b/>
        </w:rPr>
        <w:t xml:space="preserve">6. Forecasting Japan’s market for corporate control </w:t>
      </w:r>
    </w:p>
    <w:p w14:paraId="71767894" w14:textId="77777777" w:rsidR="00671272" w:rsidRPr="00950C16" w:rsidRDefault="00671272" w:rsidP="00671272">
      <w:pPr>
        <w:jc w:val="both"/>
      </w:pPr>
    </w:p>
    <w:p w14:paraId="68FCC345" w14:textId="77777777" w:rsidR="00671272" w:rsidRPr="00950C16" w:rsidRDefault="00671272" w:rsidP="00671272">
      <w:pPr>
        <w:jc w:val="both"/>
      </w:pPr>
    </w:p>
    <w:p w14:paraId="43DC117F" w14:textId="6431C7C0" w:rsidR="00671272" w:rsidRPr="00950C16" w:rsidRDefault="00F12481" w:rsidP="00671272">
      <w:pPr>
        <w:jc w:val="both"/>
      </w:pPr>
      <w:r w:rsidRPr="00950C16">
        <w:t xml:space="preserve">As </w:t>
      </w:r>
      <w:r w:rsidR="00B15649">
        <w:t>stated above</w:t>
      </w:r>
      <w:r w:rsidRPr="00950C16">
        <w:t>, Japan has an active mark</w:t>
      </w:r>
      <w:r w:rsidR="007E63B5">
        <w:t xml:space="preserve">et for mergers and acquisitions. </w:t>
      </w:r>
      <w:r w:rsidRPr="00950C16">
        <w:t xml:space="preserve">Compared </w:t>
      </w:r>
      <w:r w:rsidR="00B15649">
        <w:t>with</w:t>
      </w:r>
      <w:r w:rsidRPr="00950C16">
        <w:t xml:space="preserve"> other advanced economies, it also has an active market for corporate control </w:t>
      </w:r>
      <w:r w:rsidR="00B15649">
        <w:t xml:space="preserve">as </w:t>
      </w:r>
      <w:r w:rsidRPr="00950C16">
        <w:t>measured by the number of takeover bid</w:t>
      </w:r>
      <w:r w:rsidR="00C1575D" w:rsidRPr="00950C16">
        <w:t>s</w:t>
      </w:r>
      <w:r w:rsidR="007E63B5">
        <w:t xml:space="preserve"> per year- yet</w:t>
      </w:r>
      <w:r w:rsidR="00214DA3">
        <w:t xml:space="preserve"> the number of hostile bids</w:t>
      </w:r>
      <w:r w:rsidR="007E63B5">
        <w:t xml:space="preserve"> </w:t>
      </w:r>
      <w:r w:rsidR="00887FCD">
        <w:t>remains</w:t>
      </w:r>
      <w:r w:rsidR="007E63B5">
        <w:t xml:space="preserve"> very low.</w:t>
      </w:r>
      <w:r w:rsidRPr="00950C16">
        <w:t xml:space="preserve"> </w:t>
      </w:r>
      <w:r w:rsidR="00B15649">
        <w:t>However</w:t>
      </w:r>
      <w:r w:rsidRPr="00950C16">
        <w:t xml:space="preserve">, </w:t>
      </w:r>
      <w:r w:rsidR="00C1575D" w:rsidRPr="00950C16">
        <w:t>bringing</w:t>
      </w:r>
      <w:r w:rsidRPr="00950C16">
        <w:t xml:space="preserve"> Japan to the level of the UK and US markets</w:t>
      </w:r>
      <w:r w:rsidR="00C1575D" w:rsidRPr="00950C16">
        <w:t>,</w:t>
      </w:r>
      <w:r w:rsidRPr="00950C16">
        <w:t xml:space="preserve"> where there are </w:t>
      </w:r>
      <w:r w:rsidR="00B15649">
        <w:t>a greater number of</w:t>
      </w:r>
      <w:r w:rsidRPr="00950C16">
        <w:t xml:space="preserve"> successful unsolicited takeover bid</w:t>
      </w:r>
      <w:r w:rsidR="00C1575D" w:rsidRPr="00950C16">
        <w:t>s</w:t>
      </w:r>
      <w:r w:rsidRPr="00950C16">
        <w:t xml:space="preserve">, will depend not on changes </w:t>
      </w:r>
      <w:r w:rsidR="00B15649">
        <w:t>in</w:t>
      </w:r>
      <w:r w:rsidRPr="00950C16">
        <w:t xml:space="preserve"> its existing FIE to align with UK and EU law</w:t>
      </w:r>
      <w:r w:rsidR="00B15649">
        <w:t>s</w:t>
      </w:r>
      <w:r w:rsidR="00E25847">
        <w:t>,</w:t>
      </w:r>
      <w:r w:rsidRPr="00950C16">
        <w:t xml:space="preserve"> but </w:t>
      </w:r>
      <w:r w:rsidR="00C1575D" w:rsidRPr="00950C16">
        <w:t>on</w:t>
      </w:r>
      <w:r w:rsidRPr="00950C16">
        <w:t xml:space="preserve"> structural change</w:t>
      </w:r>
      <w:r w:rsidR="00B15649">
        <w:t>s</w:t>
      </w:r>
      <w:r w:rsidRPr="00950C16">
        <w:t xml:space="preserve"> </w:t>
      </w:r>
      <w:r w:rsidR="00B15649">
        <w:t>by</w:t>
      </w:r>
      <w:r w:rsidR="001D52F7">
        <w:t xml:space="preserve"> decreasing</w:t>
      </w:r>
      <w:r w:rsidRPr="00950C16">
        <w:t xml:space="preserve"> cross-shareholding.</w:t>
      </w:r>
      <w:r w:rsidR="008733B3">
        <w:rPr>
          <w:rStyle w:val="FootnoteReference"/>
        </w:rPr>
        <w:footnoteReference w:id="79"/>
      </w:r>
      <w:r w:rsidRPr="00950C16">
        <w:t xml:space="preserve"> Independent directors can </w:t>
      </w:r>
      <w:r w:rsidR="001D52F7">
        <w:t xml:space="preserve">also </w:t>
      </w:r>
      <w:r w:rsidRPr="00950C16">
        <w:t xml:space="preserve">bring changes to </w:t>
      </w:r>
      <w:r w:rsidR="001D52F7">
        <w:t>the</w:t>
      </w:r>
      <w:r w:rsidRPr="00950C16">
        <w:t xml:space="preserve"> symbiotic relationship</w:t>
      </w:r>
      <w:r w:rsidR="00C05505" w:rsidRPr="00950C16">
        <w:t>s</w:t>
      </w:r>
      <w:r w:rsidRPr="00950C16">
        <w:t xml:space="preserve"> between management and shareholders. An increase </w:t>
      </w:r>
      <w:r w:rsidR="00C05505" w:rsidRPr="00950C16">
        <w:t xml:space="preserve">in </w:t>
      </w:r>
      <w:r w:rsidR="001D52F7">
        <w:t xml:space="preserve">the </w:t>
      </w:r>
      <w:r w:rsidRPr="00950C16">
        <w:t>number of independent director</w:t>
      </w:r>
      <w:r w:rsidR="00C05505" w:rsidRPr="00950C16">
        <w:t>s</w:t>
      </w:r>
      <w:r w:rsidRPr="00950C16">
        <w:t xml:space="preserve"> and </w:t>
      </w:r>
      <w:r w:rsidR="001D52F7">
        <w:t xml:space="preserve">an </w:t>
      </w:r>
      <w:r w:rsidRPr="00950C16">
        <w:t>increase</w:t>
      </w:r>
      <w:r w:rsidR="001D52F7">
        <w:t xml:space="preserve"> in their</w:t>
      </w:r>
      <w:r w:rsidRPr="00950C16">
        <w:t xml:space="preserve"> supervisory function</w:t>
      </w:r>
      <w:r w:rsidR="00C05505" w:rsidRPr="00950C16">
        <w:t xml:space="preserve"> </w:t>
      </w:r>
      <w:r w:rsidR="001D52F7">
        <w:t>could</w:t>
      </w:r>
      <w:r w:rsidRPr="00950C16">
        <w:t xml:space="preserve"> put more pressure on management to focus on investor return</w:t>
      </w:r>
      <w:r w:rsidR="001D52F7">
        <w:t>s</w:t>
      </w:r>
      <w:r w:rsidRPr="00950C16">
        <w:t xml:space="preserve">. This approach </w:t>
      </w:r>
      <w:r w:rsidR="001D52F7">
        <w:t>could</w:t>
      </w:r>
      <w:r w:rsidRPr="00950C16">
        <w:t xml:space="preserve"> force management to dispose of undervalued and illiquid cross-held stocks. However, the real pressure for change </w:t>
      </w:r>
      <w:r w:rsidR="001D52F7">
        <w:t>will</w:t>
      </w:r>
      <w:r w:rsidRPr="00950C16">
        <w:t xml:space="preserve"> </w:t>
      </w:r>
      <w:r w:rsidR="001D52F7">
        <w:t xml:space="preserve">have to </w:t>
      </w:r>
      <w:r w:rsidRPr="00950C16">
        <w:t xml:space="preserve">come from economic pressure. Economic pressure can lead to more radical structural changes. </w:t>
      </w:r>
      <w:r w:rsidR="001D52F7">
        <w:t>Nevertheless</w:t>
      </w:r>
      <w:r w:rsidRPr="00950C16">
        <w:t xml:space="preserve">, Japanese companies can find ways to continue </w:t>
      </w:r>
      <w:r w:rsidR="00C05505" w:rsidRPr="00950C16">
        <w:t xml:space="preserve">their </w:t>
      </w:r>
      <w:r w:rsidRPr="00950C16">
        <w:lastRenderedPageBreak/>
        <w:t>growth by avoiding structural changes. The Bank of Japan can devalue its currency</w:t>
      </w:r>
      <w:r w:rsidR="001D52F7">
        <w:t xml:space="preserve"> to attempt to create</w:t>
      </w:r>
      <w:r w:rsidRPr="00950C16">
        <w:t xml:space="preserve"> an export-led recovery of Japan’s economy</w:t>
      </w:r>
      <w:r w:rsidR="001D52F7">
        <w:t>, as</w:t>
      </w:r>
      <w:r w:rsidRPr="00950C16">
        <w:t xml:space="preserve"> </w:t>
      </w:r>
      <w:r w:rsidR="00E25847">
        <w:t>recently happened.</w:t>
      </w:r>
      <w:r w:rsidR="00EF1F50">
        <w:rPr>
          <w:rStyle w:val="FootnoteReference"/>
        </w:rPr>
        <w:footnoteReference w:id="80"/>
      </w:r>
      <w:r w:rsidR="00E25847">
        <w:t xml:space="preserve"> </w:t>
      </w:r>
      <w:r w:rsidRPr="00950C16">
        <w:t xml:space="preserve">Japanese companies can also acquire profit-making foreign entities to boost </w:t>
      </w:r>
      <w:r w:rsidR="00C05505" w:rsidRPr="00950C16">
        <w:t xml:space="preserve">their </w:t>
      </w:r>
      <w:r w:rsidRPr="00950C16">
        <w:t>overall growth</w:t>
      </w:r>
      <w:r w:rsidR="001D52F7">
        <w:t>, which</w:t>
      </w:r>
      <w:r w:rsidRPr="00950C16">
        <w:t xml:space="preserve"> explains why there have been more in-out buyouts by Japanese companies. </w:t>
      </w:r>
      <w:r w:rsidR="00800450">
        <w:t>In July 2016, immediate for the UK’s vote on the EU membership, Softbank</w:t>
      </w:r>
      <w:r w:rsidR="00F128AE">
        <w:t xml:space="preserve"> acquired Arm Holdin</w:t>
      </w:r>
      <w:r w:rsidR="00800450">
        <w:t>gs -</w:t>
      </w:r>
      <w:r w:rsidR="00F128AE">
        <w:t xml:space="preserve"> a UK </w:t>
      </w:r>
      <w:r w:rsidR="00AC35FE">
        <w:t>smartphone chip maker</w:t>
      </w:r>
      <w:r w:rsidR="00F128AE">
        <w:t>.</w:t>
      </w:r>
      <w:r w:rsidR="00AC35FE">
        <w:rPr>
          <w:rStyle w:val="FootnoteReference"/>
        </w:rPr>
        <w:footnoteReference w:id="81"/>
      </w:r>
      <w:r w:rsidR="00F128AE">
        <w:t xml:space="preserve"> </w:t>
      </w:r>
      <w:r w:rsidRPr="00950C16">
        <w:t>Many Japanese companies and banks are also financially strong,</w:t>
      </w:r>
      <w:r w:rsidR="002D06B0">
        <w:rPr>
          <w:rStyle w:val="FootnoteReference"/>
        </w:rPr>
        <w:footnoteReference w:id="82"/>
      </w:r>
      <w:r w:rsidRPr="00950C16">
        <w:t xml:space="preserve"> </w:t>
      </w:r>
      <w:r w:rsidR="001D52F7">
        <w:t xml:space="preserve">and </w:t>
      </w:r>
      <w:r w:rsidRPr="00950C16">
        <w:t xml:space="preserve">even if a particular entity within a corporate group is operating at a loss, </w:t>
      </w:r>
      <w:r w:rsidR="001D52F7">
        <w:t>it</w:t>
      </w:r>
      <w:r w:rsidR="00C05505" w:rsidRPr="00950C16">
        <w:t xml:space="preserve"> </w:t>
      </w:r>
      <w:r w:rsidR="001D52F7">
        <w:t>will</w:t>
      </w:r>
      <w:r w:rsidRPr="00950C16">
        <w:t xml:space="preserve"> not trigger an unsolicited hostile takeover. </w:t>
      </w:r>
    </w:p>
    <w:p w14:paraId="6C981066" w14:textId="77777777" w:rsidR="00671272" w:rsidRDefault="00671272" w:rsidP="00671272">
      <w:pPr>
        <w:jc w:val="both"/>
      </w:pPr>
    </w:p>
    <w:p w14:paraId="13AA7AFE" w14:textId="77777777" w:rsidR="00E572D8" w:rsidRDefault="00E572D8" w:rsidP="00671272">
      <w:pPr>
        <w:jc w:val="both"/>
        <w:rPr>
          <w:b/>
        </w:rPr>
      </w:pPr>
    </w:p>
    <w:p w14:paraId="0E3D244A" w14:textId="77777777" w:rsidR="00E572D8" w:rsidRDefault="00E572D8" w:rsidP="00671272">
      <w:pPr>
        <w:jc w:val="both"/>
        <w:rPr>
          <w:b/>
        </w:rPr>
      </w:pPr>
    </w:p>
    <w:p w14:paraId="19350DED" w14:textId="2363FC30" w:rsidR="00DC4329" w:rsidRDefault="00DC4329" w:rsidP="00671272">
      <w:pPr>
        <w:jc w:val="both"/>
        <w:rPr>
          <w:b/>
        </w:rPr>
      </w:pPr>
      <w:r w:rsidRPr="00DC4329">
        <w:rPr>
          <w:b/>
        </w:rPr>
        <w:t>7. Conclusion</w:t>
      </w:r>
    </w:p>
    <w:p w14:paraId="32622398" w14:textId="77777777" w:rsidR="007061F8" w:rsidRDefault="007061F8" w:rsidP="00671272">
      <w:pPr>
        <w:jc w:val="both"/>
        <w:rPr>
          <w:b/>
        </w:rPr>
      </w:pPr>
    </w:p>
    <w:p w14:paraId="5AA5DF55" w14:textId="4A80C576" w:rsidR="00E572D8" w:rsidRDefault="00E572D8" w:rsidP="00671272">
      <w:pPr>
        <w:jc w:val="both"/>
      </w:pPr>
      <w:r>
        <w:t xml:space="preserve">The perceived </w:t>
      </w:r>
      <w:r w:rsidR="003512C0">
        <w:t>low level of activity in the</w:t>
      </w:r>
      <w:r>
        <w:t xml:space="preserve"> Japanese takeover market</w:t>
      </w:r>
      <w:r w:rsidR="00DC7E50">
        <w:t xml:space="preserve"> </w:t>
      </w:r>
      <w:r w:rsidR="003512C0">
        <w:t>cannot be</w:t>
      </w:r>
      <w:r w:rsidR="00DC7E50">
        <w:t xml:space="preserve"> attributed to </w:t>
      </w:r>
      <w:r>
        <w:t xml:space="preserve">its takeover law, the Financial Instrument </w:t>
      </w:r>
      <w:r w:rsidR="00887FCD">
        <w:t>or</w:t>
      </w:r>
      <w:r>
        <w:t xml:space="preserve"> the Exchange </w:t>
      </w:r>
      <w:r w:rsidR="00B92F06">
        <w:t xml:space="preserve">Law. </w:t>
      </w:r>
      <w:r w:rsidR="003512C0">
        <w:t>Indeed, a</w:t>
      </w:r>
      <w:r w:rsidR="00B92F06">
        <w:t xml:space="preserve"> careful examination of the content of the law reveals that this</w:t>
      </w:r>
      <w:r>
        <w:t xml:space="preserve"> legislation operates in the offeror’s favour. In contrast with the UK Takeover Code and the EU Takeover Directive, there is no evidence that Japanese takeover law imposes more burdens on the unsolicited offeror. Yet there are structural defences</w:t>
      </w:r>
      <w:r w:rsidR="00887FCD">
        <w:t xml:space="preserve">, notably cross-shareholdings, </w:t>
      </w:r>
      <w:r>
        <w:t>that ca</w:t>
      </w:r>
      <w:r w:rsidR="00EE3BD3">
        <w:t>n frustrate an unsolicited bid</w:t>
      </w:r>
      <w:r w:rsidR="00887FCD">
        <w:t xml:space="preserve"> and </w:t>
      </w:r>
      <w:r w:rsidR="00EE3BD3">
        <w:t xml:space="preserve">which cannot be </w:t>
      </w:r>
      <w:r w:rsidR="00685C97">
        <w:t>removed by an</w:t>
      </w:r>
      <w:r w:rsidR="00EE3BD3">
        <w:t xml:space="preserve"> EU</w:t>
      </w:r>
      <w:r w:rsidR="00685C97">
        <w:t>-</w:t>
      </w:r>
      <w:r w:rsidR="00EE3BD3">
        <w:t xml:space="preserve">style breakthrough rule. </w:t>
      </w:r>
      <w:r w:rsidR="00685C97">
        <w:t>The relationship of i</w:t>
      </w:r>
      <w:r w:rsidR="00EE3BD3">
        <w:t xml:space="preserve">ndividual shareholders with the management </w:t>
      </w:r>
      <w:r w:rsidR="00685C97">
        <w:t xml:space="preserve">is also influenced by </w:t>
      </w:r>
      <w:r w:rsidR="00EE3BD3">
        <w:t xml:space="preserve">the </w:t>
      </w:r>
      <w:r w:rsidR="00685C97">
        <w:t xml:space="preserve">distribution of </w:t>
      </w:r>
      <w:r w:rsidR="00EE3BD3">
        <w:t xml:space="preserve">un-taxed shareholder perks </w:t>
      </w:r>
      <w:r w:rsidR="00685C97">
        <w:t xml:space="preserve">and this helps to </w:t>
      </w:r>
      <w:r w:rsidR="00B92F06">
        <w:t xml:space="preserve">explain why individual shareholders tend to support the incumbent management. </w:t>
      </w:r>
      <w:r w:rsidR="00EE3BD3">
        <w:t xml:space="preserve">The </w:t>
      </w:r>
      <w:r w:rsidR="00685C97">
        <w:t>conclusion is</w:t>
      </w:r>
      <w:r w:rsidR="00EE3BD3">
        <w:t xml:space="preserve"> that seeking a convergence of Japanese takeover law with th</w:t>
      </w:r>
      <w:r w:rsidR="003512C0">
        <w:t>ose</w:t>
      </w:r>
      <w:r w:rsidR="00EE3BD3">
        <w:t xml:space="preserve"> of the UK and EU would not </w:t>
      </w:r>
      <w:r w:rsidR="00B92F06">
        <w:t>remov</w:t>
      </w:r>
      <w:r w:rsidR="003512C0">
        <w:t>e</w:t>
      </w:r>
      <w:r w:rsidR="00B92F06">
        <w:t xml:space="preserve"> the barriers to</w:t>
      </w:r>
      <w:r w:rsidR="00EE3BD3">
        <w:t xml:space="preserve"> </w:t>
      </w:r>
      <w:r w:rsidR="003512C0">
        <w:t>an increased number of</w:t>
      </w:r>
      <w:r w:rsidR="00B92F06">
        <w:t xml:space="preserve"> </w:t>
      </w:r>
      <w:r w:rsidR="00EE3BD3">
        <w:t xml:space="preserve">successful unsolicited bids in the Japanese takeover market. </w:t>
      </w:r>
      <w:r w:rsidR="001770C0">
        <w:t xml:space="preserve">The general corporate governance norms </w:t>
      </w:r>
      <w:r w:rsidR="00BC1B67">
        <w:t>relating to</w:t>
      </w:r>
      <w:r w:rsidR="001770C0">
        <w:t xml:space="preserve"> independent directors and shareholder protection, if aimed at reducing the conflicts stemming from the cross-shareholdings, can potentially break</w:t>
      </w:r>
      <w:r w:rsidR="00685C97">
        <w:t xml:space="preserve"> </w:t>
      </w:r>
      <w:r w:rsidR="001770C0">
        <w:t>through the Japanese corporate control structure.</w:t>
      </w:r>
      <w:r w:rsidR="00B92F06">
        <w:t xml:space="preserve"> However, t</w:t>
      </w:r>
      <w:r w:rsidR="001770C0">
        <w:t xml:space="preserve">he effectiveness of these norms will depend on </w:t>
      </w:r>
      <w:r w:rsidR="00685C97">
        <w:t xml:space="preserve">whether </w:t>
      </w:r>
      <w:r w:rsidR="001770C0">
        <w:t xml:space="preserve">their </w:t>
      </w:r>
      <w:r w:rsidR="00685C97">
        <w:t xml:space="preserve">intended </w:t>
      </w:r>
      <w:r w:rsidR="001770C0">
        <w:t>purpose</w:t>
      </w:r>
      <w:r w:rsidR="00685C97">
        <w:t xml:space="preserve"> is </w:t>
      </w:r>
      <w:r w:rsidR="003512C0">
        <w:t>properly understood</w:t>
      </w:r>
      <w:r w:rsidR="00B92F06">
        <w:t xml:space="preserve"> and whether shareholders see the benefits of </w:t>
      </w:r>
      <w:r w:rsidR="003512C0">
        <w:t xml:space="preserve">their </w:t>
      </w:r>
      <w:r w:rsidR="001770C0">
        <w:t>enforcement</w:t>
      </w:r>
      <w:r w:rsidR="00B92F06">
        <w:t xml:space="preserve">. </w:t>
      </w:r>
      <w:r w:rsidR="001770C0">
        <w:t xml:space="preserve">While the government may play a role in carrying out reform measures </w:t>
      </w:r>
      <w:r w:rsidR="00685C97">
        <w:t xml:space="preserve">in order </w:t>
      </w:r>
      <w:r w:rsidR="001770C0">
        <w:t xml:space="preserve">to </w:t>
      </w:r>
      <w:r w:rsidR="003512C0">
        <w:t>reduce cross-shareholdings</w:t>
      </w:r>
      <w:r w:rsidR="00685C97">
        <w:t xml:space="preserve">, it is unlikely that government action by itself will be enough to </w:t>
      </w:r>
      <w:r w:rsidR="003512C0">
        <w:t xml:space="preserve">increase competitiveness. </w:t>
      </w:r>
      <w:r w:rsidR="00685C97">
        <w:t>And</w:t>
      </w:r>
      <w:r w:rsidR="001770C0">
        <w:t xml:space="preserve"> </w:t>
      </w:r>
      <w:r w:rsidR="003512C0">
        <w:t>despite recent government action, there is no evidence that</w:t>
      </w:r>
      <w:r w:rsidR="001770C0">
        <w:t xml:space="preserve"> reducing cross-shareholdings</w:t>
      </w:r>
      <w:r w:rsidR="003512C0">
        <w:t xml:space="preserve"> as a barrier to takeovers is </w:t>
      </w:r>
      <w:r w:rsidR="00887FCD">
        <w:t xml:space="preserve">a high priority on the government’s reform agenda. </w:t>
      </w:r>
      <w:r w:rsidR="000256FE">
        <w:t>This may put other countries</w:t>
      </w:r>
      <w:r w:rsidR="0006257B">
        <w:t xml:space="preserve"> such as the UK and other EU member states in a less competitive position</w:t>
      </w:r>
      <w:r w:rsidR="001D0250">
        <w:rPr>
          <w:rStyle w:val="FootnoteReference"/>
        </w:rPr>
        <w:footnoteReference w:id="83"/>
      </w:r>
      <w:r w:rsidR="0006257B">
        <w:t xml:space="preserve"> especially when the reciprocal </w:t>
      </w:r>
      <w:r w:rsidR="0006257B" w:rsidRPr="007B15B9">
        <w:t xml:space="preserve">clause in the EU Takeover Directive does not apply to third countries </w:t>
      </w:r>
      <w:r w:rsidR="0006257B" w:rsidRPr="007B15B9">
        <w:lastRenderedPageBreak/>
        <w:t>such as Japan.</w:t>
      </w:r>
      <w:r w:rsidR="00A707A0" w:rsidRPr="007B15B9">
        <w:rPr>
          <w:rStyle w:val="FootnoteReference"/>
        </w:rPr>
        <w:footnoteReference w:id="84"/>
      </w:r>
      <w:r w:rsidR="00FB273B" w:rsidRPr="007B15B9">
        <w:t xml:space="preserve"> </w:t>
      </w:r>
      <w:r w:rsidR="007B15B9" w:rsidRPr="007B15B9">
        <w:t>S</w:t>
      </w:r>
      <w:r w:rsidR="00FB273B" w:rsidRPr="007B15B9">
        <w:t>ince 2013 the EU has been</w:t>
      </w:r>
      <w:r w:rsidR="00C200C9" w:rsidRPr="007B15B9">
        <w:t xml:space="preserve"> in the process of</w:t>
      </w:r>
      <w:r w:rsidR="0006257B" w:rsidRPr="007B15B9">
        <w:t xml:space="preserve"> </w:t>
      </w:r>
      <w:r w:rsidR="00C200C9" w:rsidRPr="007B15B9">
        <w:t>negotiating</w:t>
      </w:r>
      <w:r w:rsidR="0006257B" w:rsidRPr="007B15B9">
        <w:t xml:space="preserve"> a deal </w:t>
      </w:r>
      <w:r w:rsidR="00C200C9" w:rsidRPr="007B15B9">
        <w:t xml:space="preserve">in the forthcoming EU-Japan Free Trade Agreement </w:t>
      </w:r>
      <w:r w:rsidR="0006257B" w:rsidRPr="007B15B9">
        <w:t>that would have the effect of facilitating more European</w:t>
      </w:r>
      <w:r w:rsidR="008E436C" w:rsidRPr="007B15B9">
        <w:t xml:space="preserve"> buyouts of Japanese companies,</w:t>
      </w:r>
      <w:r w:rsidR="00256474" w:rsidRPr="007B15B9">
        <w:rPr>
          <w:rStyle w:val="FootnoteReference"/>
        </w:rPr>
        <w:footnoteReference w:id="85"/>
      </w:r>
      <w:r w:rsidR="008E436C" w:rsidRPr="007B15B9">
        <w:t xml:space="preserve"> requiring</w:t>
      </w:r>
      <w:r w:rsidR="008E436C">
        <w:t xml:space="preserve"> Japan to adopt </w:t>
      </w:r>
      <w:r w:rsidR="00291D6D">
        <w:t xml:space="preserve">a </w:t>
      </w:r>
      <w:r w:rsidR="008E436C">
        <w:t>similar takeover regulatory framework as the UK Takeover Code or</w:t>
      </w:r>
      <w:r w:rsidR="00D7533D">
        <w:t xml:space="preserve"> the EU Takeover Directive</w:t>
      </w:r>
      <w:r w:rsidR="008E436C">
        <w:t xml:space="preserve"> is unlikely to add any benefit. </w:t>
      </w:r>
      <w:r w:rsidR="00C65D03">
        <w:t xml:space="preserve">The recent introduction of the </w:t>
      </w:r>
      <w:r w:rsidR="00834283">
        <w:t>Japanese Corporate Governance Code with some provisions on independent directors may be a response to the EU</w:t>
      </w:r>
      <w:r w:rsidR="00D0176E">
        <w:t>’s</w:t>
      </w:r>
      <w:r w:rsidR="00834283">
        <w:t xml:space="preserve"> call in the trade negotiation, </w:t>
      </w:r>
      <w:r w:rsidR="00737680">
        <w:t>yet will</w:t>
      </w:r>
      <w:r w:rsidR="00834283">
        <w:t xml:space="preserve"> this British-style of ‘comply or complain’ code </w:t>
      </w:r>
      <w:r w:rsidR="00737680">
        <w:t>allow more foreign participations in corporate Japan as th</w:t>
      </w:r>
      <w:r w:rsidR="00D52158">
        <w:t xml:space="preserve">e situation in the UK? </w:t>
      </w:r>
      <w:r w:rsidR="00737680">
        <w:t xml:space="preserve"> </w:t>
      </w:r>
      <w:r w:rsidR="00D0176E">
        <w:t xml:space="preserve">This development will need to be </w:t>
      </w:r>
      <w:r w:rsidR="00112FAC">
        <w:t>closely followed.</w:t>
      </w:r>
    </w:p>
    <w:p w14:paraId="4969E5CA" w14:textId="77777777" w:rsidR="00EE3BD3" w:rsidRPr="00E572D8" w:rsidRDefault="00EE3BD3" w:rsidP="00671272">
      <w:pPr>
        <w:jc w:val="both"/>
      </w:pPr>
    </w:p>
    <w:p w14:paraId="306C0520" w14:textId="08D44057" w:rsidR="007061F8" w:rsidRPr="007061F8" w:rsidRDefault="00CA5D2A" w:rsidP="00EE3BD3">
      <w:pPr>
        <w:pStyle w:val="ListParagraph"/>
        <w:jc w:val="both"/>
      </w:pPr>
      <w:r>
        <w:t xml:space="preserve"> </w:t>
      </w:r>
    </w:p>
    <w:sectPr w:rsidR="007061F8" w:rsidRPr="007061F8" w:rsidSect="00671272">
      <w:footerReference w:type="even" r:id="rId11"/>
      <w:foot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1E0BC2" w14:textId="77777777" w:rsidR="00E73B78" w:rsidRDefault="00E73B78">
      <w:r>
        <w:separator/>
      </w:r>
    </w:p>
  </w:endnote>
  <w:endnote w:type="continuationSeparator" w:id="0">
    <w:p w14:paraId="7F4CD7D4" w14:textId="77777777" w:rsidR="00E73B78" w:rsidRDefault="00E73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3A387" w14:textId="77777777" w:rsidR="00D3257E" w:rsidRDefault="00D3257E" w:rsidP="006712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A53567" w14:textId="77777777" w:rsidR="00D3257E" w:rsidRDefault="00D3257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CE41F" w14:textId="77777777" w:rsidR="00D3257E" w:rsidRDefault="00D3257E" w:rsidP="006712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E4DD2">
      <w:rPr>
        <w:rStyle w:val="PageNumber"/>
        <w:noProof/>
      </w:rPr>
      <w:t>21</w:t>
    </w:r>
    <w:r>
      <w:rPr>
        <w:rStyle w:val="PageNumber"/>
      </w:rPr>
      <w:fldChar w:fldCharType="end"/>
    </w:r>
  </w:p>
  <w:p w14:paraId="5A884A2F" w14:textId="77777777" w:rsidR="00D3257E" w:rsidRDefault="00D3257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65A69B" w14:textId="77777777" w:rsidR="00E73B78" w:rsidRDefault="00E73B78" w:rsidP="00671272">
      <w:r>
        <w:separator/>
      </w:r>
    </w:p>
  </w:footnote>
  <w:footnote w:type="continuationSeparator" w:id="0">
    <w:p w14:paraId="352778A3" w14:textId="77777777" w:rsidR="00E73B78" w:rsidRDefault="00E73B78" w:rsidP="00671272">
      <w:r>
        <w:continuationSeparator/>
      </w:r>
    </w:p>
  </w:footnote>
  <w:footnote w:id="1">
    <w:p w14:paraId="7FEAAF2A" w14:textId="07E0FF80" w:rsidR="00140416" w:rsidRPr="006677C8" w:rsidRDefault="00140416" w:rsidP="00140416">
      <w:pPr>
        <w:pStyle w:val="FootnoteText"/>
        <w:jc w:val="both"/>
        <w:rPr>
          <w:sz w:val="20"/>
          <w:szCs w:val="20"/>
        </w:rPr>
      </w:pPr>
      <w:r w:rsidRPr="006677C8">
        <w:rPr>
          <w:rStyle w:val="FootnoteReference"/>
          <w:sz w:val="20"/>
          <w:szCs w:val="20"/>
        </w:rPr>
        <w:sym w:font="Symbol" w:char="F02A"/>
      </w:r>
      <w:r w:rsidRPr="006677C8">
        <w:rPr>
          <w:sz w:val="20"/>
          <w:szCs w:val="20"/>
        </w:rPr>
        <w:t xml:space="preserve"> </w:t>
      </w:r>
      <w:r w:rsidR="00F92677">
        <w:rPr>
          <w:sz w:val="20"/>
          <w:szCs w:val="20"/>
        </w:rPr>
        <w:t xml:space="preserve">This article is based on a research project funded by the European Canon Foundation. </w:t>
      </w:r>
      <w:r w:rsidR="00A32E74">
        <w:rPr>
          <w:sz w:val="20"/>
          <w:szCs w:val="20"/>
        </w:rPr>
        <w:t>The author is grateful</w:t>
      </w:r>
      <w:r w:rsidR="008B77A0">
        <w:rPr>
          <w:sz w:val="20"/>
          <w:szCs w:val="20"/>
        </w:rPr>
        <w:t xml:space="preserve"> to</w:t>
      </w:r>
      <w:r w:rsidR="00133BE2">
        <w:rPr>
          <w:sz w:val="20"/>
          <w:szCs w:val="20"/>
        </w:rPr>
        <w:t xml:space="preserve"> Professor </w:t>
      </w:r>
      <w:r w:rsidR="003F4281">
        <w:rPr>
          <w:sz w:val="20"/>
          <w:szCs w:val="20"/>
        </w:rPr>
        <w:t xml:space="preserve">T </w:t>
      </w:r>
      <w:r w:rsidR="00133BE2">
        <w:rPr>
          <w:sz w:val="20"/>
          <w:szCs w:val="20"/>
        </w:rPr>
        <w:t xml:space="preserve">Fujita of University of Tokyo, Professor </w:t>
      </w:r>
      <w:r w:rsidR="003F4281">
        <w:rPr>
          <w:sz w:val="20"/>
          <w:szCs w:val="20"/>
        </w:rPr>
        <w:t xml:space="preserve">J </w:t>
      </w:r>
      <w:r w:rsidR="00133BE2">
        <w:rPr>
          <w:sz w:val="20"/>
          <w:szCs w:val="20"/>
        </w:rPr>
        <w:t xml:space="preserve">Ueda of Kyushu University, Professor </w:t>
      </w:r>
      <w:r w:rsidR="003F4281">
        <w:rPr>
          <w:sz w:val="20"/>
          <w:szCs w:val="20"/>
        </w:rPr>
        <w:t xml:space="preserve">C </w:t>
      </w:r>
      <w:r w:rsidR="00133BE2">
        <w:rPr>
          <w:sz w:val="20"/>
          <w:szCs w:val="20"/>
        </w:rPr>
        <w:t xml:space="preserve">Witting of Queen Mary University of London, </w:t>
      </w:r>
      <w:r w:rsidR="003F4281">
        <w:rPr>
          <w:sz w:val="20"/>
          <w:szCs w:val="20"/>
        </w:rPr>
        <w:t>Mr K Takei</w:t>
      </w:r>
      <w:r w:rsidR="00133BE2">
        <w:rPr>
          <w:sz w:val="20"/>
          <w:szCs w:val="20"/>
        </w:rPr>
        <w:t xml:space="preserve"> of Nishimura &amp; Asahi, and </w:t>
      </w:r>
      <w:r w:rsidR="00B55E04">
        <w:rPr>
          <w:sz w:val="20"/>
          <w:szCs w:val="20"/>
        </w:rPr>
        <w:t xml:space="preserve">Mr K Watanabe of </w:t>
      </w:r>
      <w:r w:rsidR="00133BE2">
        <w:rPr>
          <w:sz w:val="20"/>
          <w:szCs w:val="20"/>
        </w:rPr>
        <w:t>the Tokyo Stock Exchange for their invalu</w:t>
      </w:r>
      <w:r w:rsidR="003F4281">
        <w:rPr>
          <w:sz w:val="20"/>
          <w:szCs w:val="20"/>
        </w:rPr>
        <w:t xml:space="preserve">able comments. All errors remain my own. </w:t>
      </w:r>
    </w:p>
  </w:footnote>
  <w:footnote w:id="2">
    <w:p w14:paraId="49B7E2FA" w14:textId="0A957ADE" w:rsidR="00D3257E" w:rsidRPr="009263C8" w:rsidRDefault="00D3257E" w:rsidP="00FC6648">
      <w:pPr>
        <w:pStyle w:val="FootnoteText"/>
        <w:jc w:val="both"/>
        <w:rPr>
          <w:sz w:val="20"/>
          <w:szCs w:val="20"/>
        </w:rPr>
      </w:pPr>
      <w:r w:rsidRPr="009263C8">
        <w:rPr>
          <w:rStyle w:val="FootnoteReference"/>
          <w:sz w:val="20"/>
          <w:szCs w:val="20"/>
        </w:rPr>
        <w:footnoteRef/>
      </w:r>
      <w:r w:rsidRPr="009263C8">
        <w:rPr>
          <w:sz w:val="20"/>
          <w:szCs w:val="20"/>
        </w:rPr>
        <w:t xml:space="preserve"> With regard to market capitalization, the LSE, the fourth largest capital market in the world, stood at 4.09 Trillion GBP in December 2014. </w:t>
      </w:r>
    </w:p>
  </w:footnote>
  <w:footnote w:id="3">
    <w:p w14:paraId="0008BCEC" w14:textId="7C18302A" w:rsidR="00D3257E" w:rsidRPr="009263C8" w:rsidRDefault="00D3257E" w:rsidP="00FC6648">
      <w:pPr>
        <w:pStyle w:val="FootnoteText"/>
        <w:jc w:val="both"/>
        <w:rPr>
          <w:sz w:val="20"/>
          <w:szCs w:val="20"/>
          <w:lang w:val="en-US"/>
        </w:rPr>
      </w:pPr>
      <w:r w:rsidRPr="009263C8">
        <w:rPr>
          <w:rStyle w:val="FootnoteReference"/>
          <w:sz w:val="20"/>
          <w:szCs w:val="20"/>
        </w:rPr>
        <w:footnoteRef/>
      </w:r>
      <w:r w:rsidRPr="009263C8">
        <w:rPr>
          <w:sz w:val="20"/>
          <w:szCs w:val="20"/>
        </w:rPr>
        <w:t xml:space="preserve"> </w:t>
      </w:r>
      <w:r>
        <w:rPr>
          <w:sz w:val="20"/>
          <w:szCs w:val="20"/>
          <w:lang w:val="en-US"/>
        </w:rPr>
        <w:t xml:space="preserve">Simon </w:t>
      </w:r>
      <w:proofErr w:type="spellStart"/>
      <w:r>
        <w:rPr>
          <w:sz w:val="20"/>
          <w:szCs w:val="20"/>
          <w:lang w:val="en-US"/>
        </w:rPr>
        <w:t>Bytheway</w:t>
      </w:r>
      <w:proofErr w:type="spellEnd"/>
      <w:r w:rsidRPr="009263C8">
        <w:rPr>
          <w:sz w:val="20"/>
          <w:szCs w:val="20"/>
          <w:lang w:val="en-US"/>
        </w:rPr>
        <w:t xml:space="preserve"> ‘</w:t>
      </w:r>
      <w:proofErr w:type="spellStart"/>
      <w:r w:rsidRPr="009263C8">
        <w:rPr>
          <w:sz w:val="20"/>
          <w:szCs w:val="20"/>
          <w:lang w:val="en-US"/>
        </w:rPr>
        <w:t>Liberalisation</w:t>
      </w:r>
      <w:proofErr w:type="spellEnd"/>
      <w:r w:rsidRPr="009263C8">
        <w:rPr>
          <w:sz w:val="20"/>
          <w:szCs w:val="20"/>
          <w:lang w:val="en-US"/>
        </w:rPr>
        <w:t xml:space="preserve">, </w:t>
      </w:r>
      <w:proofErr w:type="spellStart"/>
      <w:r>
        <w:rPr>
          <w:sz w:val="20"/>
          <w:szCs w:val="20"/>
          <w:lang w:val="en-US"/>
        </w:rPr>
        <w:t>internationalis</w:t>
      </w:r>
      <w:r w:rsidRPr="009263C8">
        <w:rPr>
          <w:sz w:val="20"/>
          <w:szCs w:val="20"/>
          <w:lang w:val="en-US"/>
        </w:rPr>
        <w:t>ation</w:t>
      </w:r>
      <w:proofErr w:type="spellEnd"/>
      <w:r w:rsidRPr="009263C8">
        <w:rPr>
          <w:sz w:val="20"/>
          <w:szCs w:val="20"/>
          <w:lang w:val="en-US"/>
        </w:rPr>
        <w:t>, and globalization: charting the course of foreign investment in the finance a</w:t>
      </w:r>
      <w:r>
        <w:rPr>
          <w:sz w:val="20"/>
          <w:szCs w:val="20"/>
          <w:lang w:val="en-US"/>
        </w:rPr>
        <w:t xml:space="preserve">nd commerce of Japan, 1945-2009’ </w:t>
      </w:r>
      <w:r w:rsidRPr="00E738A1">
        <w:rPr>
          <w:sz w:val="20"/>
          <w:szCs w:val="20"/>
          <w:lang w:val="en-US"/>
        </w:rPr>
        <w:t xml:space="preserve">(2010) 22(3) </w:t>
      </w:r>
      <w:r w:rsidRPr="00E738A1">
        <w:rPr>
          <w:i/>
          <w:sz w:val="20"/>
          <w:szCs w:val="20"/>
          <w:lang w:val="en-US"/>
        </w:rPr>
        <w:t>Japan Forum</w:t>
      </w:r>
      <w:r w:rsidRPr="00E738A1">
        <w:rPr>
          <w:sz w:val="20"/>
          <w:szCs w:val="20"/>
          <w:lang w:val="en-US"/>
        </w:rPr>
        <w:t xml:space="preserve"> 433-465;</w:t>
      </w:r>
      <w:r w:rsidRPr="009263C8">
        <w:rPr>
          <w:sz w:val="20"/>
          <w:szCs w:val="20"/>
          <w:lang w:val="en-US"/>
        </w:rPr>
        <w:t xml:space="preserve"> Ralph </w:t>
      </w:r>
      <w:proofErr w:type="spellStart"/>
      <w:r w:rsidRPr="009263C8">
        <w:rPr>
          <w:sz w:val="20"/>
          <w:szCs w:val="20"/>
          <w:lang w:val="en-US"/>
        </w:rPr>
        <w:t>Paprzycki</w:t>
      </w:r>
      <w:proofErr w:type="spellEnd"/>
      <w:r w:rsidRPr="009263C8">
        <w:rPr>
          <w:sz w:val="20"/>
          <w:szCs w:val="20"/>
          <w:lang w:val="en-US"/>
        </w:rPr>
        <w:t xml:space="preserve"> and </w:t>
      </w:r>
      <w:proofErr w:type="spellStart"/>
      <w:r w:rsidRPr="009263C8">
        <w:rPr>
          <w:sz w:val="20"/>
          <w:szCs w:val="20"/>
          <w:lang w:val="en-US"/>
        </w:rPr>
        <w:t>Kyoji</w:t>
      </w:r>
      <w:proofErr w:type="spellEnd"/>
      <w:r w:rsidRPr="009263C8">
        <w:rPr>
          <w:sz w:val="20"/>
          <w:szCs w:val="20"/>
          <w:lang w:val="en-US"/>
        </w:rPr>
        <w:t xml:space="preserve"> </w:t>
      </w:r>
      <w:proofErr w:type="spellStart"/>
      <w:r w:rsidRPr="009263C8">
        <w:rPr>
          <w:sz w:val="20"/>
          <w:szCs w:val="20"/>
          <w:lang w:val="en-US"/>
        </w:rPr>
        <w:t>Fukao</w:t>
      </w:r>
      <w:proofErr w:type="spellEnd"/>
      <w:r w:rsidRPr="009263C8">
        <w:rPr>
          <w:sz w:val="20"/>
          <w:szCs w:val="20"/>
          <w:lang w:val="en-US"/>
        </w:rPr>
        <w:t xml:space="preserve"> </w:t>
      </w:r>
      <w:r w:rsidRPr="009263C8">
        <w:rPr>
          <w:i/>
          <w:sz w:val="20"/>
          <w:szCs w:val="20"/>
          <w:lang w:val="en-US"/>
        </w:rPr>
        <w:t>Foreign direct investment in Japan: Multinational’s Role in Growth and Globalization</w:t>
      </w:r>
      <w:r w:rsidRPr="009263C8">
        <w:rPr>
          <w:sz w:val="20"/>
          <w:szCs w:val="20"/>
          <w:lang w:val="en-US"/>
        </w:rPr>
        <w:t xml:space="preserve"> (</w:t>
      </w:r>
      <w:r>
        <w:rPr>
          <w:sz w:val="20"/>
          <w:szCs w:val="20"/>
          <w:lang w:val="en-US"/>
        </w:rPr>
        <w:t xml:space="preserve">CUP Cambridge </w:t>
      </w:r>
      <w:r w:rsidRPr="009263C8">
        <w:rPr>
          <w:sz w:val="20"/>
          <w:szCs w:val="20"/>
          <w:lang w:val="en-US"/>
        </w:rPr>
        <w:t xml:space="preserve">2008).   </w:t>
      </w:r>
    </w:p>
  </w:footnote>
  <w:footnote w:id="4">
    <w:p w14:paraId="4B69B5CD" w14:textId="27D89195" w:rsidR="008B00D7" w:rsidRPr="008B00D7" w:rsidRDefault="008B00D7" w:rsidP="00CC0173">
      <w:pPr>
        <w:jc w:val="both"/>
        <w:rPr>
          <w:sz w:val="20"/>
          <w:szCs w:val="20"/>
        </w:rPr>
      </w:pPr>
      <w:r w:rsidRPr="008B00D7">
        <w:rPr>
          <w:rStyle w:val="FootnoteReference"/>
          <w:sz w:val="20"/>
          <w:szCs w:val="20"/>
        </w:rPr>
        <w:footnoteRef/>
      </w:r>
      <w:r w:rsidRPr="008B00D7">
        <w:rPr>
          <w:sz w:val="20"/>
          <w:szCs w:val="20"/>
        </w:rPr>
        <w:t xml:space="preserve"> </w:t>
      </w:r>
      <w:proofErr w:type="spellStart"/>
      <w:r w:rsidRPr="008B00D7">
        <w:rPr>
          <w:sz w:val="20"/>
          <w:szCs w:val="20"/>
        </w:rPr>
        <w:t>Yukihiko</w:t>
      </w:r>
      <w:proofErr w:type="spellEnd"/>
      <w:r w:rsidR="009C3302">
        <w:rPr>
          <w:sz w:val="20"/>
          <w:szCs w:val="20"/>
        </w:rPr>
        <w:t xml:space="preserve"> Nakata </w:t>
      </w:r>
      <w:r w:rsidRPr="009C3302">
        <w:rPr>
          <w:i/>
          <w:sz w:val="20"/>
          <w:szCs w:val="20"/>
        </w:rPr>
        <w:t>Sharp “</w:t>
      </w:r>
      <w:proofErr w:type="spellStart"/>
      <w:r w:rsidRPr="009C3302">
        <w:rPr>
          <w:i/>
          <w:sz w:val="20"/>
          <w:szCs w:val="20"/>
        </w:rPr>
        <w:t>Kigyo</w:t>
      </w:r>
      <w:proofErr w:type="spellEnd"/>
      <w:r w:rsidRPr="009C3302">
        <w:rPr>
          <w:i/>
          <w:sz w:val="20"/>
          <w:szCs w:val="20"/>
        </w:rPr>
        <w:t xml:space="preserve"> </w:t>
      </w:r>
      <w:proofErr w:type="spellStart"/>
      <w:r w:rsidRPr="009C3302">
        <w:rPr>
          <w:i/>
          <w:sz w:val="20"/>
          <w:szCs w:val="20"/>
        </w:rPr>
        <w:t>Haisen</w:t>
      </w:r>
      <w:proofErr w:type="spellEnd"/>
      <w:r w:rsidRPr="009C3302">
        <w:rPr>
          <w:i/>
          <w:sz w:val="20"/>
          <w:szCs w:val="20"/>
        </w:rPr>
        <w:t xml:space="preserve">” No </w:t>
      </w:r>
      <w:proofErr w:type="spellStart"/>
      <w:r w:rsidRPr="009C3302">
        <w:rPr>
          <w:i/>
          <w:sz w:val="20"/>
          <w:szCs w:val="20"/>
        </w:rPr>
        <w:t>Shins</w:t>
      </w:r>
      <w:r w:rsidR="009C3302" w:rsidRPr="009C3302">
        <w:rPr>
          <w:i/>
          <w:sz w:val="20"/>
          <w:szCs w:val="20"/>
        </w:rPr>
        <w:t>o</w:t>
      </w:r>
      <w:proofErr w:type="spellEnd"/>
      <w:r w:rsidR="009C3302" w:rsidRPr="009C3302">
        <w:rPr>
          <w:i/>
          <w:sz w:val="20"/>
          <w:szCs w:val="20"/>
        </w:rPr>
        <w:t xml:space="preserve"> </w:t>
      </w:r>
      <w:proofErr w:type="spellStart"/>
      <w:r w:rsidR="009C3302" w:rsidRPr="009C3302">
        <w:rPr>
          <w:i/>
          <w:sz w:val="20"/>
          <w:szCs w:val="20"/>
        </w:rPr>
        <w:t>Daitenkan</w:t>
      </w:r>
      <w:proofErr w:type="spellEnd"/>
      <w:r w:rsidR="009C3302" w:rsidRPr="009C3302">
        <w:rPr>
          <w:i/>
          <w:sz w:val="20"/>
          <w:szCs w:val="20"/>
        </w:rPr>
        <w:t xml:space="preserve"> </w:t>
      </w:r>
      <w:proofErr w:type="spellStart"/>
      <w:r w:rsidR="009C3302" w:rsidRPr="009C3302">
        <w:rPr>
          <w:i/>
          <w:sz w:val="20"/>
          <w:szCs w:val="20"/>
        </w:rPr>
        <w:t>Suru</w:t>
      </w:r>
      <w:proofErr w:type="spellEnd"/>
      <w:r w:rsidR="009C3302" w:rsidRPr="009C3302">
        <w:rPr>
          <w:i/>
          <w:sz w:val="20"/>
          <w:szCs w:val="20"/>
        </w:rPr>
        <w:t xml:space="preserve"> Nippon No Mono</w:t>
      </w:r>
      <w:r w:rsidRPr="00167CC1">
        <w:rPr>
          <w:sz w:val="20"/>
          <w:szCs w:val="20"/>
        </w:rPr>
        <w:t xml:space="preserve"> </w:t>
      </w:r>
      <w:r w:rsidR="00275C56">
        <w:rPr>
          <w:sz w:val="20"/>
          <w:szCs w:val="20"/>
        </w:rPr>
        <w:t>(</w:t>
      </w:r>
      <w:r w:rsidR="009C3302">
        <w:rPr>
          <w:sz w:val="20"/>
          <w:szCs w:val="20"/>
        </w:rPr>
        <w:t xml:space="preserve">2016 </w:t>
      </w:r>
      <w:r w:rsidRPr="00167CC1">
        <w:rPr>
          <w:sz w:val="20"/>
          <w:szCs w:val="20"/>
        </w:rPr>
        <w:t>Business W</w:t>
      </w:r>
      <w:r w:rsidR="009C3302">
        <w:rPr>
          <w:sz w:val="20"/>
          <w:szCs w:val="20"/>
        </w:rPr>
        <w:t>eekly Cite Publishing</w:t>
      </w:r>
      <w:r w:rsidR="00275C56">
        <w:rPr>
          <w:sz w:val="20"/>
          <w:szCs w:val="20"/>
        </w:rPr>
        <w:t>).</w:t>
      </w:r>
    </w:p>
  </w:footnote>
  <w:footnote w:id="5">
    <w:p w14:paraId="064DDA08" w14:textId="2626F3E5" w:rsidR="00D3257E" w:rsidRPr="00897FA1" w:rsidRDefault="00D3257E" w:rsidP="00CC0173">
      <w:pPr>
        <w:pStyle w:val="FootnoteText"/>
        <w:jc w:val="both"/>
        <w:rPr>
          <w:sz w:val="20"/>
          <w:szCs w:val="20"/>
          <w:lang w:val="en-US"/>
        </w:rPr>
      </w:pPr>
      <w:r w:rsidRPr="00897FA1">
        <w:rPr>
          <w:rStyle w:val="FootnoteReference"/>
          <w:sz w:val="20"/>
          <w:szCs w:val="20"/>
        </w:rPr>
        <w:footnoteRef/>
      </w:r>
      <w:r w:rsidRPr="00897FA1">
        <w:rPr>
          <w:sz w:val="20"/>
          <w:szCs w:val="20"/>
        </w:rPr>
        <w:t xml:space="preserve"> </w:t>
      </w:r>
      <w:r w:rsidRPr="00897FA1">
        <w:rPr>
          <w:sz w:val="20"/>
          <w:szCs w:val="20"/>
          <w:lang w:val="en-US"/>
        </w:rPr>
        <w:t xml:space="preserve">Jennifer </w:t>
      </w:r>
      <w:proofErr w:type="spellStart"/>
      <w:r w:rsidRPr="00897FA1">
        <w:rPr>
          <w:sz w:val="20"/>
          <w:szCs w:val="20"/>
          <w:lang w:val="en-US"/>
        </w:rPr>
        <w:t>Amyx</w:t>
      </w:r>
      <w:proofErr w:type="spellEnd"/>
      <w:r w:rsidRPr="00897FA1">
        <w:rPr>
          <w:sz w:val="20"/>
          <w:szCs w:val="20"/>
          <w:lang w:val="en-US"/>
        </w:rPr>
        <w:t xml:space="preserve"> </w:t>
      </w:r>
      <w:r w:rsidRPr="00897FA1">
        <w:rPr>
          <w:i/>
          <w:sz w:val="20"/>
          <w:szCs w:val="20"/>
          <w:lang w:val="en-US"/>
        </w:rPr>
        <w:t>Japan’s Financial Crisis: Institutional Rigidity and Reluctant Change</w:t>
      </w:r>
      <w:r w:rsidRPr="00897FA1">
        <w:rPr>
          <w:sz w:val="20"/>
          <w:szCs w:val="20"/>
          <w:lang w:val="en-US"/>
        </w:rPr>
        <w:t xml:space="preserve"> (2004, Princeton University Press Princeton NJ 2004). </w:t>
      </w:r>
    </w:p>
  </w:footnote>
  <w:footnote w:id="6">
    <w:p w14:paraId="4D5C4786" w14:textId="56F675C5" w:rsidR="005B181F" w:rsidRPr="00897FA1" w:rsidRDefault="005B181F" w:rsidP="00CC0173">
      <w:pPr>
        <w:jc w:val="both"/>
        <w:rPr>
          <w:sz w:val="20"/>
          <w:szCs w:val="20"/>
        </w:rPr>
      </w:pPr>
      <w:r w:rsidRPr="00897FA1">
        <w:rPr>
          <w:rStyle w:val="FootnoteReference"/>
          <w:sz w:val="20"/>
          <w:szCs w:val="20"/>
        </w:rPr>
        <w:footnoteRef/>
      </w:r>
      <w:r w:rsidRPr="00897FA1">
        <w:rPr>
          <w:sz w:val="20"/>
          <w:szCs w:val="20"/>
        </w:rPr>
        <w:t xml:space="preserve"> </w:t>
      </w:r>
      <w:proofErr w:type="spellStart"/>
      <w:r w:rsidRPr="00897FA1">
        <w:rPr>
          <w:sz w:val="20"/>
          <w:szCs w:val="20"/>
        </w:rPr>
        <w:t>Michiyo</w:t>
      </w:r>
      <w:proofErr w:type="spellEnd"/>
      <w:r w:rsidRPr="00897FA1">
        <w:rPr>
          <w:sz w:val="20"/>
          <w:szCs w:val="20"/>
        </w:rPr>
        <w:t xml:space="preserve"> </w:t>
      </w:r>
      <w:proofErr w:type="spellStart"/>
      <w:r w:rsidRPr="00897FA1">
        <w:rPr>
          <w:sz w:val="20"/>
          <w:szCs w:val="20"/>
        </w:rPr>
        <w:t>Nakamoto</w:t>
      </w:r>
      <w:proofErr w:type="spellEnd"/>
      <w:r w:rsidRPr="00897FA1">
        <w:rPr>
          <w:sz w:val="20"/>
          <w:szCs w:val="20"/>
        </w:rPr>
        <w:t xml:space="preserve">  ‘JAL to take off again with $8.5bn listing’ Financial Times 6 September 2012 </w:t>
      </w:r>
      <w:hyperlink r:id="rId1" w:anchor="axzz4F5XDSWwi" w:history="1">
        <w:r w:rsidRPr="00897FA1">
          <w:rPr>
            <w:rStyle w:val="Hyperlink"/>
            <w:sz w:val="20"/>
            <w:szCs w:val="20"/>
          </w:rPr>
          <w:t>http://www.ft.com/cms/s/0/8b35ad88-f747-11e1-8e9e-00144feabdc0.html#axzz4F5XDSWwi</w:t>
        </w:r>
      </w:hyperlink>
    </w:p>
  </w:footnote>
  <w:footnote w:id="7">
    <w:p w14:paraId="5BE60305" w14:textId="77777777" w:rsidR="00897FA1" w:rsidRPr="00897FA1" w:rsidRDefault="00897FA1" w:rsidP="00CC0173">
      <w:pPr>
        <w:jc w:val="both"/>
        <w:rPr>
          <w:sz w:val="20"/>
          <w:szCs w:val="20"/>
        </w:rPr>
      </w:pPr>
      <w:r w:rsidRPr="00897FA1">
        <w:rPr>
          <w:rStyle w:val="FootnoteReference"/>
          <w:sz w:val="20"/>
          <w:szCs w:val="20"/>
        </w:rPr>
        <w:footnoteRef/>
      </w:r>
      <w:r w:rsidRPr="00897FA1">
        <w:rPr>
          <w:sz w:val="20"/>
          <w:szCs w:val="20"/>
        </w:rPr>
        <w:t xml:space="preserve"> K</w:t>
      </w:r>
      <w:r w:rsidRPr="00AF553C">
        <w:rPr>
          <w:sz w:val="20"/>
          <w:szCs w:val="20"/>
        </w:rPr>
        <w:t>ana Inagaki and Leo Lewis ‘String of scandals puts Japanese investors on edge’ Financial Times 29 May 2016</w:t>
      </w:r>
    </w:p>
    <w:p w14:paraId="65BBD3A9" w14:textId="2CD1DE35" w:rsidR="00897FA1" w:rsidRPr="00897FA1" w:rsidRDefault="00E73B78" w:rsidP="00CC0173">
      <w:pPr>
        <w:jc w:val="both"/>
        <w:rPr>
          <w:sz w:val="20"/>
          <w:szCs w:val="20"/>
        </w:rPr>
      </w:pPr>
      <w:hyperlink r:id="rId2" w:anchor="axzz4F5XDSWwi" w:history="1">
        <w:r w:rsidR="00897FA1" w:rsidRPr="00897FA1">
          <w:rPr>
            <w:rStyle w:val="Hyperlink"/>
            <w:sz w:val="20"/>
            <w:szCs w:val="20"/>
          </w:rPr>
          <w:t>http://www.ft.com/cms/s/0/89c00e1c-2263-11e6-9d4d-c11776a5124d.html#axzz4F5XDSWwi</w:t>
        </w:r>
      </w:hyperlink>
    </w:p>
  </w:footnote>
  <w:footnote w:id="8">
    <w:p w14:paraId="5440EE88" w14:textId="53D57559" w:rsidR="00EF5D69" w:rsidRPr="00603536" w:rsidRDefault="00EF5D69" w:rsidP="00CC0173">
      <w:pPr>
        <w:jc w:val="both"/>
        <w:rPr>
          <w:sz w:val="20"/>
          <w:szCs w:val="20"/>
        </w:rPr>
      </w:pPr>
      <w:r w:rsidRPr="00264429">
        <w:rPr>
          <w:rStyle w:val="FootnoteReference"/>
          <w:sz w:val="20"/>
          <w:szCs w:val="20"/>
        </w:rPr>
        <w:footnoteRef/>
      </w:r>
      <w:r w:rsidRPr="00264429">
        <w:rPr>
          <w:sz w:val="20"/>
          <w:szCs w:val="20"/>
        </w:rPr>
        <w:t xml:space="preserve"> </w:t>
      </w:r>
      <w:r w:rsidR="00603536" w:rsidRPr="00264429">
        <w:rPr>
          <w:sz w:val="20"/>
          <w:szCs w:val="20"/>
        </w:rPr>
        <w:t>‘</w:t>
      </w:r>
      <w:r w:rsidRPr="00264429">
        <w:rPr>
          <w:sz w:val="20"/>
          <w:szCs w:val="20"/>
        </w:rPr>
        <w:t>Fear and favour: The evidence is that foreign managers improve the British firms they acquire</w:t>
      </w:r>
      <w:r w:rsidR="00264429" w:rsidRPr="00264429">
        <w:rPr>
          <w:sz w:val="20"/>
          <w:szCs w:val="20"/>
        </w:rPr>
        <w:t xml:space="preserve">’ The Economist, volume 420, 20; Nicholas Bloom, Renata </w:t>
      </w:r>
      <w:proofErr w:type="spellStart"/>
      <w:r w:rsidR="00264429" w:rsidRPr="00264429">
        <w:rPr>
          <w:sz w:val="20"/>
          <w:szCs w:val="20"/>
        </w:rPr>
        <w:t>Lemos</w:t>
      </w:r>
      <w:proofErr w:type="spellEnd"/>
      <w:r w:rsidR="00264429" w:rsidRPr="00264429">
        <w:rPr>
          <w:sz w:val="20"/>
          <w:szCs w:val="20"/>
        </w:rPr>
        <w:t xml:space="preserve">, </w:t>
      </w:r>
      <w:proofErr w:type="spellStart"/>
      <w:r w:rsidR="00264429" w:rsidRPr="00264429">
        <w:rPr>
          <w:sz w:val="20"/>
          <w:szCs w:val="20"/>
        </w:rPr>
        <w:t>Mingxuan</w:t>
      </w:r>
      <w:proofErr w:type="spellEnd"/>
      <w:r w:rsidR="00264429" w:rsidRPr="00264429">
        <w:rPr>
          <w:sz w:val="20"/>
          <w:szCs w:val="20"/>
        </w:rPr>
        <w:t xml:space="preserve"> Qi, </w:t>
      </w:r>
      <w:proofErr w:type="spellStart"/>
      <w:r w:rsidR="00264429" w:rsidRPr="00264429">
        <w:rPr>
          <w:sz w:val="20"/>
          <w:szCs w:val="20"/>
        </w:rPr>
        <w:t>Raffaella</w:t>
      </w:r>
      <w:proofErr w:type="spellEnd"/>
      <w:r w:rsidR="00264429" w:rsidRPr="00264429">
        <w:rPr>
          <w:sz w:val="20"/>
          <w:szCs w:val="20"/>
        </w:rPr>
        <w:t xml:space="preserve"> </w:t>
      </w:r>
      <w:proofErr w:type="spellStart"/>
      <w:r w:rsidR="00264429" w:rsidRPr="00264429">
        <w:rPr>
          <w:sz w:val="20"/>
          <w:szCs w:val="20"/>
        </w:rPr>
        <w:t>Sadun</w:t>
      </w:r>
      <w:proofErr w:type="spellEnd"/>
      <w:r w:rsidR="00264429" w:rsidRPr="00264429">
        <w:rPr>
          <w:sz w:val="20"/>
          <w:szCs w:val="20"/>
        </w:rPr>
        <w:t xml:space="preserve"> and John Van Reenen ‘Constraints on Developing UK Management Practices Centre for Economic Performance’ BIS Research Paper Number 59, November 2011. </w:t>
      </w:r>
    </w:p>
  </w:footnote>
  <w:footnote w:id="9">
    <w:p w14:paraId="6E442E14" w14:textId="0BF429FA" w:rsidR="00517E0C" w:rsidRPr="00C46BE0" w:rsidRDefault="00517E0C" w:rsidP="00CC0173">
      <w:pPr>
        <w:pStyle w:val="FootnoteText"/>
        <w:jc w:val="both"/>
        <w:rPr>
          <w:sz w:val="20"/>
          <w:szCs w:val="20"/>
        </w:rPr>
      </w:pPr>
      <w:r w:rsidRPr="00C46BE0">
        <w:rPr>
          <w:rStyle w:val="FootnoteReference"/>
          <w:sz w:val="20"/>
          <w:szCs w:val="20"/>
        </w:rPr>
        <w:footnoteRef/>
      </w:r>
      <w:r w:rsidRPr="00C46BE0">
        <w:rPr>
          <w:sz w:val="20"/>
          <w:szCs w:val="20"/>
        </w:rPr>
        <w:t xml:space="preserve"> </w:t>
      </w:r>
      <w:proofErr w:type="spellStart"/>
      <w:r w:rsidR="00C46BE0" w:rsidRPr="00C46BE0">
        <w:rPr>
          <w:sz w:val="20"/>
          <w:szCs w:val="20"/>
        </w:rPr>
        <w:t>Yukihiko</w:t>
      </w:r>
      <w:proofErr w:type="spellEnd"/>
      <w:r w:rsidR="00C46BE0" w:rsidRPr="00C46BE0">
        <w:rPr>
          <w:sz w:val="20"/>
          <w:szCs w:val="20"/>
        </w:rPr>
        <w:t xml:space="preserve"> Nakata </w:t>
      </w:r>
      <w:r w:rsidR="00C46BE0" w:rsidRPr="009C3302">
        <w:rPr>
          <w:i/>
          <w:sz w:val="20"/>
          <w:szCs w:val="20"/>
        </w:rPr>
        <w:t>Sharp “</w:t>
      </w:r>
      <w:proofErr w:type="spellStart"/>
      <w:r w:rsidR="00C46BE0" w:rsidRPr="009C3302">
        <w:rPr>
          <w:i/>
          <w:sz w:val="20"/>
          <w:szCs w:val="20"/>
        </w:rPr>
        <w:t>Kigyo</w:t>
      </w:r>
      <w:proofErr w:type="spellEnd"/>
      <w:r w:rsidR="00C46BE0" w:rsidRPr="009C3302">
        <w:rPr>
          <w:i/>
          <w:sz w:val="20"/>
          <w:szCs w:val="20"/>
        </w:rPr>
        <w:t xml:space="preserve"> </w:t>
      </w:r>
      <w:proofErr w:type="spellStart"/>
      <w:r w:rsidR="00C46BE0" w:rsidRPr="009C3302">
        <w:rPr>
          <w:i/>
          <w:sz w:val="20"/>
          <w:szCs w:val="20"/>
        </w:rPr>
        <w:t>Haisen</w:t>
      </w:r>
      <w:proofErr w:type="spellEnd"/>
      <w:r w:rsidR="00C46BE0" w:rsidRPr="009C3302">
        <w:rPr>
          <w:i/>
          <w:sz w:val="20"/>
          <w:szCs w:val="20"/>
        </w:rPr>
        <w:t xml:space="preserve">” No </w:t>
      </w:r>
      <w:proofErr w:type="spellStart"/>
      <w:r w:rsidR="00C46BE0" w:rsidRPr="009C3302">
        <w:rPr>
          <w:i/>
          <w:sz w:val="20"/>
          <w:szCs w:val="20"/>
        </w:rPr>
        <w:t>Shinso</w:t>
      </w:r>
      <w:proofErr w:type="spellEnd"/>
      <w:r w:rsidR="00C46BE0" w:rsidRPr="009C3302">
        <w:rPr>
          <w:i/>
          <w:sz w:val="20"/>
          <w:szCs w:val="20"/>
        </w:rPr>
        <w:t xml:space="preserve"> </w:t>
      </w:r>
      <w:proofErr w:type="spellStart"/>
      <w:r w:rsidR="00C46BE0" w:rsidRPr="009C3302">
        <w:rPr>
          <w:i/>
          <w:sz w:val="20"/>
          <w:szCs w:val="20"/>
        </w:rPr>
        <w:t>Daitenkan</w:t>
      </w:r>
      <w:proofErr w:type="spellEnd"/>
      <w:r w:rsidR="00C46BE0" w:rsidRPr="009C3302">
        <w:rPr>
          <w:i/>
          <w:sz w:val="20"/>
          <w:szCs w:val="20"/>
        </w:rPr>
        <w:t xml:space="preserve"> </w:t>
      </w:r>
      <w:proofErr w:type="spellStart"/>
      <w:r w:rsidR="00C46BE0" w:rsidRPr="009C3302">
        <w:rPr>
          <w:i/>
          <w:sz w:val="20"/>
          <w:szCs w:val="20"/>
        </w:rPr>
        <w:t>Suru</w:t>
      </w:r>
      <w:proofErr w:type="spellEnd"/>
      <w:r w:rsidR="00C46BE0" w:rsidRPr="009C3302">
        <w:rPr>
          <w:i/>
          <w:sz w:val="20"/>
          <w:szCs w:val="20"/>
        </w:rPr>
        <w:t xml:space="preserve"> Nippon No Mono</w:t>
      </w:r>
      <w:r w:rsidR="009C3302">
        <w:rPr>
          <w:i/>
          <w:sz w:val="20"/>
          <w:szCs w:val="20"/>
        </w:rPr>
        <w:t xml:space="preserve"> </w:t>
      </w:r>
      <w:r w:rsidR="00C46BE0" w:rsidRPr="00C46BE0">
        <w:rPr>
          <w:sz w:val="20"/>
          <w:szCs w:val="20"/>
        </w:rPr>
        <w:t>(</w:t>
      </w:r>
      <w:r w:rsidR="009C3302">
        <w:rPr>
          <w:sz w:val="20"/>
          <w:szCs w:val="20"/>
        </w:rPr>
        <w:t xml:space="preserve">2016 </w:t>
      </w:r>
      <w:r w:rsidR="00C46BE0" w:rsidRPr="00C46BE0">
        <w:rPr>
          <w:sz w:val="20"/>
          <w:szCs w:val="20"/>
        </w:rPr>
        <w:t>Business</w:t>
      </w:r>
      <w:r w:rsidR="009C3302">
        <w:rPr>
          <w:sz w:val="20"/>
          <w:szCs w:val="20"/>
        </w:rPr>
        <w:t xml:space="preserve"> Weekly Cite Publishing</w:t>
      </w:r>
      <w:r w:rsidR="00C46BE0" w:rsidRPr="00C46BE0">
        <w:rPr>
          <w:sz w:val="20"/>
          <w:szCs w:val="20"/>
        </w:rPr>
        <w:t>).</w:t>
      </w:r>
    </w:p>
  </w:footnote>
  <w:footnote w:id="10">
    <w:p w14:paraId="5425B9B9" w14:textId="3E8D7DC9" w:rsidR="00B40FFB" w:rsidRDefault="00B40FFB">
      <w:pPr>
        <w:pStyle w:val="FootnoteText"/>
      </w:pPr>
      <w:r w:rsidRPr="00B40FFB">
        <w:rPr>
          <w:rStyle w:val="FootnoteReference"/>
          <w:sz w:val="20"/>
          <w:szCs w:val="20"/>
        </w:rPr>
        <w:footnoteRef/>
      </w:r>
      <w:r w:rsidRPr="00B40FFB">
        <w:rPr>
          <w:sz w:val="20"/>
          <w:szCs w:val="20"/>
        </w:rPr>
        <w:t xml:space="preserve"> </w:t>
      </w:r>
      <w:r w:rsidRPr="00762A8C">
        <w:rPr>
          <w:sz w:val="20"/>
          <w:szCs w:val="20"/>
        </w:rPr>
        <w:t xml:space="preserve">Dan W. </w:t>
      </w:r>
      <w:proofErr w:type="spellStart"/>
      <w:r w:rsidRPr="00762A8C">
        <w:rPr>
          <w:sz w:val="20"/>
          <w:szCs w:val="20"/>
        </w:rPr>
        <w:t>Puchniak</w:t>
      </w:r>
      <w:proofErr w:type="spellEnd"/>
      <w:r w:rsidRPr="00762A8C">
        <w:rPr>
          <w:sz w:val="20"/>
          <w:szCs w:val="20"/>
        </w:rPr>
        <w:t xml:space="preserve"> &amp; </w:t>
      </w:r>
      <w:proofErr w:type="spellStart"/>
      <w:r w:rsidRPr="00762A8C">
        <w:rPr>
          <w:sz w:val="20"/>
          <w:szCs w:val="20"/>
        </w:rPr>
        <w:t>Masafumi</w:t>
      </w:r>
      <w:proofErr w:type="spellEnd"/>
      <w:r w:rsidRPr="00762A8C">
        <w:rPr>
          <w:sz w:val="20"/>
          <w:szCs w:val="20"/>
        </w:rPr>
        <w:t xml:space="preserve"> </w:t>
      </w:r>
      <w:proofErr w:type="spellStart"/>
      <w:proofErr w:type="gramStart"/>
      <w:r w:rsidRPr="00762A8C">
        <w:rPr>
          <w:sz w:val="20"/>
          <w:szCs w:val="20"/>
        </w:rPr>
        <w:t>Nakahigashi</w:t>
      </w:r>
      <w:proofErr w:type="spellEnd"/>
      <w:r w:rsidRPr="00762A8C">
        <w:rPr>
          <w:sz w:val="20"/>
          <w:szCs w:val="20"/>
        </w:rPr>
        <w:t xml:space="preserve">  ‘</w:t>
      </w:r>
      <w:proofErr w:type="gramEnd"/>
      <w:r w:rsidRPr="00762A8C">
        <w:rPr>
          <w:sz w:val="20"/>
          <w:szCs w:val="20"/>
        </w:rPr>
        <w:t>The Enigma of Hostile Takeovers in Japan - Bidder Beware’ NUS Working Paper 2016/008, available at http://law.nus.edu.sg/wps/</w:t>
      </w:r>
    </w:p>
  </w:footnote>
  <w:footnote w:id="11">
    <w:p w14:paraId="74A7D683" w14:textId="246EF028" w:rsidR="00D3257E" w:rsidRPr="009263C8" w:rsidRDefault="00D3257E" w:rsidP="00CC0173">
      <w:pPr>
        <w:pStyle w:val="FootnoteText"/>
        <w:jc w:val="both"/>
        <w:rPr>
          <w:sz w:val="20"/>
          <w:szCs w:val="20"/>
          <w:lang w:val="en-US"/>
        </w:rPr>
      </w:pPr>
      <w:r w:rsidRPr="009263C8">
        <w:rPr>
          <w:rStyle w:val="FootnoteReference"/>
          <w:sz w:val="20"/>
          <w:szCs w:val="20"/>
        </w:rPr>
        <w:footnoteRef/>
      </w:r>
      <w:r w:rsidRPr="009263C8">
        <w:rPr>
          <w:sz w:val="20"/>
          <w:szCs w:val="20"/>
        </w:rPr>
        <w:t xml:space="preserve"> </w:t>
      </w:r>
      <w:r w:rsidRPr="009263C8">
        <w:rPr>
          <w:sz w:val="20"/>
          <w:szCs w:val="20"/>
          <w:lang w:val="en-US"/>
        </w:rPr>
        <w:t xml:space="preserve">Ulrike </w:t>
      </w:r>
      <w:proofErr w:type="spellStart"/>
      <w:r w:rsidRPr="009263C8">
        <w:rPr>
          <w:sz w:val="20"/>
          <w:szCs w:val="20"/>
          <w:lang w:val="en-US"/>
        </w:rPr>
        <w:t>Schaede</w:t>
      </w:r>
      <w:proofErr w:type="spellEnd"/>
      <w:r w:rsidRPr="009263C8">
        <w:rPr>
          <w:sz w:val="20"/>
          <w:szCs w:val="20"/>
          <w:lang w:val="en-US"/>
        </w:rPr>
        <w:t xml:space="preserve"> ‘From developmental state to the ‘New Japan’: the strategic inflection point in Japanese business’ (2012) </w:t>
      </w:r>
      <w:r>
        <w:rPr>
          <w:sz w:val="20"/>
          <w:szCs w:val="20"/>
          <w:lang w:val="en-US"/>
        </w:rPr>
        <w:t>18(</w:t>
      </w:r>
      <w:r w:rsidRPr="00FC6648">
        <w:rPr>
          <w:sz w:val="20"/>
          <w:szCs w:val="20"/>
          <w:lang w:val="en-US"/>
        </w:rPr>
        <w:t>2) Asia Pacific Business</w:t>
      </w:r>
      <w:r w:rsidRPr="009263C8">
        <w:rPr>
          <w:sz w:val="20"/>
          <w:szCs w:val="20"/>
          <w:lang w:val="en-US"/>
        </w:rPr>
        <w:t xml:space="preserve"> Review 167-185. </w:t>
      </w:r>
    </w:p>
  </w:footnote>
  <w:footnote w:id="12">
    <w:p w14:paraId="6A9C83C1" w14:textId="30EACF5F" w:rsidR="00D3257E" w:rsidRPr="00E738A1" w:rsidRDefault="00D3257E" w:rsidP="00CC0173">
      <w:pPr>
        <w:pStyle w:val="FootnoteText"/>
        <w:jc w:val="both"/>
        <w:rPr>
          <w:sz w:val="20"/>
          <w:szCs w:val="20"/>
          <w:lang w:val="en-US"/>
        </w:rPr>
      </w:pPr>
      <w:r w:rsidRPr="00E738A1">
        <w:rPr>
          <w:rStyle w:val="FootnoteReference"/>
          <w:sz w:val="20"/>
          <w:szCs w:val="20"/>
        </w:rPr>
        <w:footnoteRef/>
      </w:r>
      <w:r w:rsidRPr="00E738A1">
        <w:rPr>
          <w:sz w:val="20"/>
          <w:szCs w:val="20"/>
        </w:rPr>
        <w:t xml:space="preserve"> </w:t>
      </w:r>
      <w:r w:rsidRPr="00E738A1">
        <w:rPr>
          <w:sz w:val="20"/>
          <w:szCs w:val="20"/>
          <w:lang w:val="en-US"/>
        </w:rPr>
        <w:t xml:space="preserve">Jonathan Morris, John </w:t>
      </w:r>
      <w:proofErr w:type="spellStart"/>
      <w:r w:rsidRPr="00E738A1">
        <w:rPr>
          <w:sz w:val="20"/>
          <w:szCs w:val="20"/>
          <w:lang w:val="en-US"/>
        </w:rPr>
        <w:t>Hassard</w:t>
      </w:r>
      <w:proofErr w:type="spellEnd"/>
      <w:r w:rsidRPr="00E738A1">
        <w:rPr>
          <w:sz w:val="20"/>
          <w:szCs w:val="20"/>
          <w:lang w:val="en-US"/>
        </w:rPr>
        <w:t>, Leo McCann ‘The resilience of ‘</w:t>
      </w:r>
      <w:proofErr w:type="spellStart"/>
      <w:r w:rsidRPr="00E738A1">
        <w:rPr>
          <w:sz w:val="20"/>
          <w:szCs w:val="20"/>
          <w:lang w:val="en-US"/>
        </w:rPr>
        <w:t>institutionalised</w:t>
      </w:r>
      <w:proofErr w:type="spellEnd"/>
      <w:r w:rsidRPr="00E738A1">
        <w:rPr>
          <w:sz w:val="20"/>
          <w:szCs w:val="20"/>
          <w:lang w:val="en-US"/>
        </w:rPr>
        <w:t xml:space="preserve"> capitalism’: Managing managers under ‘shareholder capitalism’ and ‘managerial capitalism’ (2008) 61(5) Human Relations 687-710.</w:t>
      </w:r>
    </w:p>
  </w:footnote>
  <w:footnote w:id="13">
    <w:p w14:paraId="501DD367" w14:textId="051D7AB8" w:rsidR="00D3257E" w:rsidRPr="009263C8" w:rsidRDefault="00D3257E" w:rsidP="00CC0173">
      <w:pPr>
        <w:pStyle w:val="FootnoteText"/>
        <w:jc w:val="both"/>
        <w:rPr>
          <w:sz w:val="20"/>
          <w:szCs w:val="20"/>
          <w:lang w:val="en-US"/>
        </w:rPr>
      </w:pPr>
      <w:r w:rsidRPr="009263C8">
        <w:rPr>
          <w:rStyle w:val="FootnoteReference"/>
          <w:sz w:val="20"/>
          <w:szCs w:val="20"/>
        </w:rPr>
        <w:footnoteRef/>
      </w:r>
      <w:r w:rsidRPr="009263C8">
        <w:rPr>
          <w:sz w:val="20"/>
          <w:szCs w:val="20"/>
        </w:rPr>
        <w:t xml:space="preserve"> </w:t>
      </w:r>
      <w:proofErr w:type="spellStart"/>
      <w:r w:rsidRPr="009263C8">
        <w:rPr>
          <w:sz w:val="20"/>
          <w:szCs w:val="20"/>
          <w:lang w:val="en-US"/>
        </w:rPr>
        <w:t>Shinhua</w:t>
      </w:r>
      <w:proofErr w:type="spellEnd"/>
      <w:r w:rsidRPr="009263C8">
        <w:rPr>
          <w:sz w:val="20"/>
          <w:szCs w:val="20"/>
          <w:lang w:val="en-US"/>
        </w:rPr>
        <w:t xml:space="preserve"> Liu, John Stowe, Ken Hung ‘Why US firms delist from the Tokyo stock exchange: An empirical analysis’ (2012) 24(1) International Review of Economics &amp; Finance 62-70.</w:t>
      </w:r>
    </w:p>
  </w:footnote>
  <w:footnote w:id="14">
    <w:p w14:paraId="2E8B8004" w14:textId="197B19EA" w:rsidR="00D3257E" w:rsidRPr="009263C8" w:rsidRDefault="00D3257E" w:rsidP="00FC6648">
      <w:pPr>
        <w:pStyle w:val="FootnoteText"/>
        <w:jc w:val="both"/>
        <w:rPr>
          <w:sz w:val="20"/>
          <w:szCs w:val="20"/>
        </w:rPr>
      </w:pPr>
      <w:r w:rsidRPr="009263C8">
        <w:rPr>
          <w:rStyle w:val="FootnoteReference"/>
          <w:sz w:val="20"/>
          <w:szCs w:val="20"/>
        </w:rPr>
        <w:footnoteRef/>
      </w:r>
      <w:r w:rsidRPr="009263C8">
        <w:rPr>
          <w:sz w:val="20"/>
          <w:szCs w:val="20"/>
        </w:rPr>
        <w:t xml:space="preserve"> John Buchanan, Dominic</w:t>
      </w:r>
      <w:r>
        <w:rPr>
          <w:sz w:val="20"/>
          <w:szCs w:val="20"/>
        </w:rPr>
        <w:t xml:space="preserve"> </w:t>
      </w:r>
      <w:proofErr w:type="spellStart"/>
      <w:r>
        <w:rPr>
          <w:sz w:val="20"/>
          <w:szCs w:val="20"/>
        </w:rPr>
        <w:t>Heesang</w:t>
      </w:r>
      <w:proofErr w:type="spellEnd"/>
      <w:r>
        <w:rPr>
          <w:sz w:val="20"/>
          <w:szCs w:val="20"/>
        </w:rPr>
        <w:t xml:space="preserve"> Chai, and Simon Deakin</w:t>
      </w:r>
      <w:r w:rsidRPr="009263C8">
        <w:rPr>
          <w:sz w:val="20"/>
          <w:szCs w:val="20"/>
        </w:rPr>
        <w:t xml:space="preserve"> </w:t>
      </w:r>
      <w:r w:rsidRPr="00E738A1">
        <w:rPr>
          <w:i/>
          <w:sz w:val="20"/>
          <w:szCs w:val="20"/>
        </w:rPr>
        <w:t>Hedge Fund Activism in Japan: The Limits of Shareholder Primacy</w:t>
      </w:r>
      <w:r w:rsidRPr="009263C8">
        <w:rPr>
          <w:sz w:val="20"/>
          <w:szCs w:val="20"/>
        </w:rPr>
        <w:t xml:space="preserve"> (CUP Cambridge 2012).</w:t>
      </w:r>
    </w:p>
  </w:footnote>
  <w:footnote w:id="15">
    <w:p w14:paraId="107B19E5" w14:textId="3B223678" w:rsidR="00D3257E" w:rsidRPr="00E22CE5" w:rsidRDefault="00D3257E" w:rsidP="00FC6648">
      <w:pPr>
        <w:pStyle w:val="FootnoteText"/>
        <w:jc w:val="both"/>
        <w:rPr>
          <w:lang w:val="en-US"/>
        </w:rPr>
      </w:pPr>
      <w:r w:rsidRPr="009263C8">
        <w:rPr>
          <w:rStyle w:val="FootnoteReference"/>
          <w:sz w:val="20"/>
          <w:szCs w:val="20"/>
        </w:rPr>
        <w:footnoteRef/>
      </w:r>
      <w:r w:rsidRPr="009263C8">
        <w:rPr>
          <w:sz w:val="20"/>
          <w:szCs w:val="20"/>
        </w:rPr>
        <w:t xml:space="preserve"> </w:t>
      </w:r>
      <w:proofErr w:type="spellStart"/>
      <w:r w:rsidRPr="009263C8">
        <w:rPr>
          <w:sz w:val="20"/>
          <w:szCs w:val="20"/>
          <w:lang w:val="en-US"/>
        </w:rPr>
        <w:t>Kee-hong</w:t>
      </w:r>
      <w:proofErr w:type="spellEnd"/>
      <w:r w:rsidRPr="009263C8">
        <w:rPr>
          <w:sz w:val="20"/>
          <w:szCs w:val="20"/>
          <w:lang w:val="en-US"/>
        </w:rPr>
        <w:t xml:space="preserve"> bae, Takeshi Yamada, Keiichi Ito, ‘How do individual, institutional, and foreign investors win and lose in equity trade? Evidence from Japan’ (2006)</w:t>
      </w:r>
      <w:r>
        <w:rPr>
          <w:sz w:val="20"/>
          <w:szCs w:val="20"/>
          <w:lang w:val="en-US"/>
        </w:rPr>
        <w:t xml:space="preserve"> </w:t>
      </w:r>
      <w:r w:rsidRPr="009263C8">
        <w:rPr>
          <w:sz w:val="20"/>
          <w:szCs w:val="20"/>
          <w:lang w:val="en-US"/>
        </w:rPr>
        <w:t xml:space="preserve">6(3) </w:t>
      </w:r>
      <w:r>
        <w:rPr>
          <w:sz w:val="20"/>
          <w:szCs w:val="20"/>
          <w:lang w:val="en-US"/>
        </w:rPr>
        <w:t xml:space="preserve">International Review of Finance </w:t>
      </w:r>
      <w:r w:rsidRPr="009263C8">
        <w:rPr>
          <w:sz w:val="20"/>
          <w:szCs w:val="20"/>
          <w:lang w:val="en-US"/>
        </w:rPr>
        <w:t>129-155.</w:t>
      </w:r>
      <w:r>
        <w:rPr>
          <w:lang w:val="en-US"/>
        </w:rPr>
        <w:t xml:space="preserve"> </w:t>
      </w:r>
    </w:p>
  </w:footnote>
  <w:footnote w:id="16">
    <w:p w14:paraId="38BAE236" w14:textId="61E1DE18" w:rsidR="00D3257E" w:rsidRPr="00762A8C" w:rsidRDefault="00D3257E" w:rsidP="00117D00">
      <w:pPr>
        <w:pStyle w:val="FootnoteText"/>
        <w:jc w:val="both"/>
        <w:rPr>
          <w:sz w:val="20"/>
          <w:szCs w:val="20"/>
        </w:rPr>
      </w:pPr>
      <w:r w:rsidRPr="00C560FB">
        <w:rPr>
          <w:rStyle w:val="FootnoteReference"/>
          <w:sz w:val="20"/>
          <w:szCs w:val="20"/>
        </w:rPr>
        <w:footnoteRef/>
      </w:r>
      <w:r w:rsidRPr="00C560FB">
        <w:rPr>
          <w:sz w:val="20"/>
          <w:szCs w:val="20"/>
        </w:rPr>
        <w:t xml:space="preserve"> Office for National Statistics, UK</w:t>
      </w:r>
      <w:r>
        <w:rPr>
          <w:sz w:val="20"/>
          <w:szCs w:val="20"/>
        </w:rPr>
        <w:t>.</w:t>
      </w:r>
      <w:r w:rsidRPr="00C560FB">
        <w:rPr>
          <w:sz w:val="20"/>
          <w:szCs w:val="20"/>
        </w:rPr>
        <w:t xml:space="preserve"> Family holdings of</w:t>
      </w:r>
      <w:r>
        <w:rPr>
          <w:sz w:val="20"/>
          <w:szCs w:val="20"/>
        </w:rPr>
        <w:t xml:space="preserve"> </w:t>
      </w:r>
      <w:r w:rsidRPr="00C560FB">
        <w:rPr>
          <w:sz w:val="20"/>
          <w:szCs w:val="20"/>
        </w:rPr>
        <w:t>compan</w:t>
      </w:r>
      <w:r>
        <w:rPr>
          <w:sz w:val="20"/>
          <w:szCs w:val="20"/>
        </w:rPr>
        <w:t>ies</w:t>
      </w:r>
      <w:r w:rsidRPr="00C560FB">
        <w:rPr>
          <w:sz w:val="20"/>
          <w:szCs w:val="20"/>
        </w:rPr>
        <w:t xml:space="preserve"> </w:t>
      </w:r>
      <w:r>
        <w:rPr>
          <w:sz w:val="20"/>
          <w:szCs w:val="20"/>
        </w:rPr>
        <w:t xml:space="preserve">in the UK </w:t>
      </w:r>
      <w:r w:rsidRPr="00C560FB">
        <w:rPr>
          <w:sz w:val="20"/>
          <w:szCs w:val="20"/>
        </w:rPr>
        <w:t>are low. See</w:t>
      </w:r>
      <w:r>
        <w:rPr>
          <w:sz w:val="20"/>
          <w:szCs w:val="20"/>
        </w:rPr>
        <w:t xml:space="preserve"> also</w:t>
      </w:r>
      <w:r w:rsidRPr="00C560FB">
        <w:rPr>
          <w:sz w:val="20"/>
          <w:szCs w:val="20"/>
        </w:rPr>
        <w:t xml:space="preserve"> </w:t>
      </w:r>
      <w:r w:rsidRPr="00117D00">
        <w:rPr>
          <w:sz w:val="20"/>
          <w:szCs w:val="20"/>
        </w:rPr>
        <w:t xml:space="preserve">Julian Franks and others ‘Ownership: evolution and Regulation’ (2003) ECGI –Finance Working Paper No. 09/2003. Mutual funds in the UK are significant </w:t>
      </w:r>
      <w:proofErr w:type="spellStart"/>
      <w:r w:rsidRPr="00117D00">
        <w:rPr>
          <w:sz w:val="20"/>
          <w:szCs w:val="20"/>
        </w:rPr>
        <w:t>blockholders</w:t>
      </w:r>
      <w:proofErr w:type="spellEnd"/>
      <w:r w:rsidRPr="00117D00">
        <w:rPr>
          <w:sz w:val="20"/>
          <w:szCs w:val="20"/>
        </w:rPr>
        <w:t xml:space="preserve">. See Philip H Phan and Toru Yoshikawa, ‘Corporate governance in Singapore: Developments and Prognoses’ (Academy </w:t>
      </w:r>
      <w:r w:rsidRPr="00762A8C">
        <w:rPr>
          <w:sz w:val="20"/>
          <w:szCs w:val="20"/>
        </w:rPr>
        <w:t xml:space="preserve">of International Business Annual Meeting, 2004). </w:t>
      </w:r>
    </w:p>
  </w:footnote>
  <w:footnote w:id="17">
    <w:p w14:paraId="3C17C4BA" w14:textId="1FE388A1" w:rsidR="00117D00" w:rsidRDefault="00117D00" w:rsidP="00117D00">
      <w:pPr>
        <w:pStyle w:val="FootnoteText"/>
        <w:jc w:val="both"/>
      </w:pPr>
      <w:r w:rsidRPr="00762A8C">
        <w:rPr>
          <w:rStyle w:val="FootnoteReference"/>
          <w:sz w:val="20"/>
          <w:szCs w:val="20"/>
        </w:rPr>
        <w:footnoteRef/>
      </w:r>
      <w:r w:rsidRPr="00762A8C">
        <w:rPr>
          <w:sz w:val="20"/>
          <w:szCs w:val="20"/>
        </w:rPr>
        <w:t xml:space="preserve"> </w:t>
      </w:r>
      <w:r w:rsidR="00DB15A7" w:rsidRPr="00762A8C">
        <w:rPr>
          <w:sz w:val="20"/>
          <w:szCs w:val="20"/>
        </w:rPr>
        <w:t>Shareholdings by the f</w:t>
      </w:r>
      <w:r w:rsidR="00C072F5" w:rsidRPr="00762A8C">
        <w:rPr>
          <w:sz w:val="20"/>
          <w:szCs w:val="20"/>
        </w:rPr>
        <w:t>inancial institut</w:t>
      </w:r>
      <w:r w:rsidR="00DB15A7" w:rsidRPr="00762A8C">
        <w:rPr>
          <w:sz w:val="20"/>
          <w:szCs w:val="20"/>
        </w:rPr>
        <w:t>ions and companies</w:t>
      </w:r>
      <w:r w:rsidR="00C072F5" w:rsidRPr="00762A8C">
        <w:rPr>
          <w:sz w:val="20"/>
          <w:szCs w:val="20"/>
        </w:rPr>
        <w:t xml:space="preserve"> amount to 50 per cent of the outstanding shares. </w:t>
      </w:r>
      <w:r w:rsidR="004D68A6" w:rsidRPr="00762A8C">
        <w:rPr>
          <w:sz w:val="20"/>
          <w:szCs w:val="20"/>
        </w:rPr>
        <w:t xml:space="preserve">These are </w:t>
      </w:r>
      <w:r w:rsidR="00DB15A7" w:rsidRPr="00762A8C">
        <w:rPr>
          <w:sz w:val="20"/>
          <w:szCs w:val="20"/>
        </w:rPr>
        <w:t xml:space="preserve">stable holdings, hence </w:t>
      </w:r>
      <w:r w:rsidR="004D68A6" w:rsidRPr="00762A8C">
        <w:rPr>
          <w:sz w:val="20"/>
          <w:szCs w:val="20"/>
        </w:rPr>
        <w:t>illiquid shares.</w:t>
      </w:r>
      <w:r w:rsidR="00ED1AB6" w:rsidRPr="00762A8C">
        <w:rPr>
          <w:sz w:val="20"/>
          <w:szCs w:val="20"/>
        </w:rPr>
        <w:t xml:space="preserve"> Not all of them are cross-held shares.</w:t>
      </w:r>
      <w:r w:rsidR="00C072F5" w:rsidRPr="00762A8C">
        <w:rPr>
          <w:sz w:val="20"/>
          <w:szCs w:val="20"/>
        </w:rPr>
        <w:t xml:space="preserve"> </w:t>
      </w:r>
      <w:r w:rsidRPr="00762A8C">
        <w:rPr>
          <w:sz w:val="20"/>
          <w:szCs w:val="20"/>
        </w:rPr>
        <w:t>See the annual report in 2015 by JPX http://www.jpx.co.jp/markets/statistics-equities/examination/nlsgeu000001q8j8-att/j-bunpu2015.pdf</w:t>
      </w:r>
    </w:p>
  </w:footnote>
  <w:footnote w:id="18">
    <w:p w14:paraId="7484F367" w14:textId="7BC19E29" w:rsidR="00D3257E" w:rsidRPr="00C560FB" w:rsidRDefault="00D3257E" w:rsidP="00671272">
      <w:pPr>
        <w:pStyle w:val="FootnoteText"/>
        <w:jc w:val="both"/>
        <w:rPr>
          <w:sz w:val="20"/>
          <w:szCs w:val="20"/>
        </w:rPr>
      </w:pPr>
      <w:r w:rsidRPr="00C560FB">
        <w:rPr>
          <w:rStyle w:val="FootnoteReference"/>
          <w:sz w:val="20"/>
          <w:szCs w:val="20"/>
        </w:rPr>
        <w:footnoteRef/>
      </w:r>
      <w:r w:rsidRPr="00C560FB">
        <w:rPr>
          <w:sz w:val="20"/>
          <w:szCs w:val="20"/>
        </w:rPr>
        <w:t xml:space="preserve"> UK individuals owned 11.5 per cent of the value of the UK stock market at the end of 2010, </w:t>
      </w:r>
      <w:r>
        <w:rPr>
          <w:sz w:val="20"/>
          <w:szCs w:val="20"/>
        </w:rPr>
        <w:t xml:space="preserve">which was </w:t>
      </w:r>
      <w:r w:rsidRPr="00C560FB">
        <w:rPr>
          <w:sz w:val="20"/>
          <w:szCs w:val="20"/>
        </w:rPr>
        <w:t>down from 16.7 per cent in 1998.</w:t>
      </w:r>
      <w:r>
        <w:rPr>
          <w:sz w:val="20"/>
          <w:szCs w:val="20"/>
        </w:rPr>
        <w:t xml:space="preserve"> See Ownership of UK Quoted Shares 1998 and 2010, Office for National Statistics </w:t>
      </w:r>
      <w:r w:rsidRPr="00063D20">
        <w:rPr>
          <w:sz w:val="20"/>
          <w:szCs w:val="20"/>
        </w:rPr>
        <w:t>http://www.ons.gov.uk/ons/rel/pnfc1/share-ownership---share-register-survey-report/2010/stb-share-ownership-2010.html</w:t>
      </w:r>
    </w:p>
  </w:footnote>
  <w:footnote w:id="19">
    <w:p w14:paraId="2B7AA2B1" w14:textId="6886528C" w:rsidR="00D3257E" w:rsidRPr="00C560FB" w:rsidRDefault="00D3257E" w:rsidP="00671272">
      <w:pPr>
        <w:pStyle w:val="FootnoteText"/>
        <w:jc w:val="both"/>
        <w:rPr>
          <w:sz w:val="20"/>
          <w:szCs w:val="20"/>
        </w:rPr>
      </w:pPr>
      <w:r w:rsidRPr="00C560FB">
        <w:rPr>
          <w:rStyle w:val="FootnoteReference"/>
          <w:sz w:val="20"/>
          <w:szCs w:val="20"/>
        </w:rPr>
        <w:footnoteRef/>
      </w:r>
      <w:r w:rsidRPr="00C560FB">
        <w:rPr>
          <w:sz w:val="20"/>
          <w:szCs w:val="20"/>
        </w:rPr>
        <w:t xml:space="preserve"> EU Commission Report, Who Owns the European Economy: Evolution of the Ownership of EU-Listed Companies between 1972-2012 </w:t>
      </w:r>
      <w:hyperlink r:id="rId3" w:history="1">
        <w:r w:rsidRPr="00C560FB">
          <w:rPr>
            <w:rStyle w:val="Hyperlink"/>
            <w:sz w:val="20"/>
            <w:szCs w:val="20"/>
          </w:rPr>
          <w:t>http://ec.europa.eu/finance/finservices-retail/docs/fsug/papers/1308-report-who-owns-european-economy_en.pdf</w:t>
        </w:r>
      </w:hyperlink>
      <w:r>
        <w:rPr>
          <w:sz w:val="20"/>
          <w:szCs w:val="20"/>
        </w:rPr>
        <w:t>.</w:t>
      </w:r>
      <w:r w:rsidRPr="00C560FB">
        <w:rPr>
          <w:sz w:val="20"/>
          <w:szCs w:val="20"/>
        </w:rPr>
        <w:t xml:space="preserve"> Japan does not have holdings by government</w:t>
      </w:r>
      <w:r>
        <w:rPr>
          <w:sz w:val="20"/>
          <w:szCs w:val="20"/>
        </w:rPr>
        <w:t>-</w:t>
      </w:r>
      <w:r w:rsidRPr="00C560FB">
        <w:rPr>
          <w:sz w:val="20"/>
          <w:szCs w:val="20"/>
        </w:rPr>
        <w:t>linked corporations</w:t>
      </w:r>
      <w:r>
        <w:rPr>
          <w:sz w:val="20"/>
          <w:szCs w:val="20"/>
        </w:rPr>
        <w:t>—</w:t>
      </w:r>
      <w:r w:rsidRPr="00C560FB">
        <w:rPr>
          <w:sz w:val="20"/>
          <w:szCs w:val="20"/>
        </w:rPr>
        <w:t xml:space="preserve">an economic model used in Singapore and other developing countries. For instance, 26 of the 100 largest firms listed on the Singapore Exchange (SGX) are controlled to varying degrees by the state through GLCs. See Lay Hong Tan, ‘Family Owned Firms in Singapore: Legal Strategies for Constraining Self dealing in </w:t>
      </w:r>
      <w:proofErr w:type="spellStart"/>
      <w:r w:rsidRPr="00C560FB">
        <w:rPr>
          <w:sz w:val="20"/>
          <w:szCs w:val="20"/>
        </w:rPr>
        <w:t>concentreated</w:t>
      </w:r>
      <w:proofErr w:type="spellEnd"/>
      <w:r w:rsidRPr="00C560FB">
        <w:rPr>
          <w:sz w:val="20"/>
          <w:szCs w:val="20"/>
        </w:rPr>
        <w:t xml:space="preserve"> ownership structures’ (2011) 23 Singapore Academy of Law Journal 890. </w:t>
      </w:r>
    </w:p>
  </w:footnote>
  <w:footnote w:id="20">
    <w:p w14:paraId="1AC025E9" w14:textId="77777777" w:rsidR="00D3257E" w:rsidRPr="00C560FB" w:rsidRDefault="00D3257E" w:rsidP="00671272">
      <w:pPr>
        <w:pStyle w:val="FootnoteText"/>
        <w:jc w:val="both"/>
        <w:rPr>
          <w:sz w:val="20"/>
          <w:szCs w:val="20"/>
        </w:rPr>
      </w:pPr>
      <w:r w:rsidRPr="00C560FB">
        <w:rPr>
          <w:rStyle w:val="FootnoteReference"/>
          <w:sz w:val="20"/>
          <w:szCs w:val="20"/>
        </w:rPr>
        <w:footnoteRef/>
      </w:r>
      <w:r w:rsidRPr="00C560FB">
        <w:rPr>
          <w:sz w:val="20"/>
          <w:szCs w:val="20"/>
        </w:rPr>
        <w:t xml:space="preserve"> See Hiroshi Oda, The Current State of Takeover Law in Japan, (2009) Journal of Business Law.</w:t>
      </w:r>
    </w:p>
  </w:footnote>
  <w:footnote w:id="21">
    <w:p w14:paraId="587B2BAB" w14:textId="3415788B" w:rsidR="00D3257E" w:rsidRPr="00D3257E" w:rsidRDefault="00D3257E" w:rsidP="00671272">
      <w:pPr>
        <w:pStyle w:val="FootnoteText"/>
        <w:jc w:val="both"/>
        <w:rPr>
          <w:sz w:val="20"/>
          <w:szCs w:val="20"/>
        </w:rPr>
      </w:pPr>
      <w:r w:rsidRPr="00C560FB">
        <w:rPr>
          <w:rStyle w:val="FootnoteReference"/>
          <w:sz w:val="20"/>
          <w:szCs w:val="20"/>
        </w:rPr>
        <w:footnoteRef/>
      </w:r>
      <w:r w:rsidRPr="00C560FB">
        <w:rPr>
          <w:sz w:val="20"/>
          <w:szCs w:val="20"/>
        </w:rPr>
        <w:t xml:space="preserve"> </w:t>
      </w:r>
      <w:r w:rsidRPr="00D3257E">
        <w:rPr>
          <w:sz w:val="20"/>
          <w:szCs w:val="20"/>
        </w:rPr>
        <w:t xml:space="preserve">See the statistics in Enrico </w:t>
      </w:r>
      <w:proofErr w:type="spellStart"/>
      <w:r w:rsidRPr="00D3257E">
        <w:rPr>
          <w:sz w:val="20"/>
          <w:szCs w:val="20"/>
        </w:rPr>
        <w:t>Colcera</w:t>
      </w:r>
      <w:proofErr w:type="spellEnd"/>
      <w:r w:rsidRPr="00D3257E">
        <w:rPr>
          <w:sz w:val="20"/>
          <w:szCs w:val="20"/>
        </w:rPr>
        <w:t>, The Market for Corporate Control in Japan: M&amp;As, Hostile Takeovers and Regulatory Framework, (Heidelberg 2007), pp40-51.</w:t>
      </w:r>
      <w:r w:rsidR="008E6189">
        <w:rPr>
          <w:sz w:val="20"/>
          <w:szCs w:val="20"/>
        </w:rPr>
        <w:t xml:space="preserve"> </w:t>
      </w:r>
      <w:r w:rsidR="008E6189" w:rsidRPr="00762A8C">
        <w:rPr>
          <w:sz w:val="20"/>
          <w:szCs w:val="20"/>
        </w:rPr>
        <w:t>However, there has been no suc</w:t>
      </w:r>
      <w:r w:rsidR="00454A5B">
        <w:rPr>
          <w:sz w:val="20"/>
          <w:szCs w:val="20"/>
        </w:rPr>
        <w:t>cessful unsolicited takeover</w:t>
      </w:r>
      <w:r w:rsidR="008E6189" w:rsidRPr="00762A8C">
        <w:rPr>
          <w:sz w:val="20"/>
          <w:szCs w:val="20"/>
        </w:rPr>
        <w:t xml:space="preserve"> in Japan.</w:t>
      </w:r>
      <w:r w:rsidR="008E6189">
        <w:rPr>
          <w:sz w:val="20"/>
          <w:szCs w:val="20"/>
        </w:rPr>
        <w:t xml:space="preserve"> </w:t>
      </w:r>
    </w:p>
  </w:footnote>
  <w:footnote w:id="22">
    <w:p w14:paraId="084718AA" w14:textId="43F33A1E" w:rsidR="00D3257E" w:rsidRPr="00D3257E" w:rsidRDefault="00D3257E" w:rsidP="00040A44">
      <w:pPr>
        <w:pStyle w:val="FootnoteText"/>
        <w:jc w:val="both"/>
        <w:rPr>
          <w:sz w:val="20"/>
          <w:szCs w:val="20"/>
        </w:rPr>
      </w:pPr>
      <w:r w:rsidRPr="00D3257E">
        <w:rPr>
          <w:rStyle w:val="FootnoteReference"/>
          <w:sz w:val="20"/>
          <w:szCs w:val="20"/>
        </w:rPr>
        <w:footnoteRef/>
      </w:r>
      <w:r w:rsidR="00BD5AD6">
        <w:rPr>
          <w:sz w:val="20"/>
          <w:szCs w:val="20"/>
        </w:rPr>
        <w:t xml:space="preserve"> Deloitte ‘Deals and Divestitures Trends in Japanese </w:t>
      </w:r>
      <w:r w:rsidRPr="00D3257E">
        <w:rPr>
          <w:sz w:val="20"/>
          <w:szCs w:val="20"/>
        </w:rPr>
        <w:t xml:space="preserve">Mergers &amp; </w:t>
      </w:r>
      <w:r w:rsidR="00BD5AD6">
        <w:rPr>
          <w:sz w:val="20"/>
          <w:szCs w:val="20"/>
        </w:rPr>
        <w:t>Acquisitions’ (October 2014</w:t>
      </w:r>
      <w:proofErr w:type="gramStart"/>
      <w:r w:rsidR="00BD5AD6">
        <w:rPr>
          <w:sz w:val="20"/>
          <w:szCs w:val="20"/>
        </w:rPr>
        <w:t xml:space="preserve">) </w:t>
      </w:r>
      <w:r>
        <w:rPr>
          <w:sz w:val="20"/>
          <w:szCs w:val="20"/>
        </w:rPr>
        <w:t xml:space="preserve"> </w:t>
      </w:r>
      <w:r w:rsidR="00BD5AD6" w:rsidRPr="00BD5AD6">
        <w:rPr>
          <w:sz w:val="20"/>
          <w:szCs w:val="20"/>
        </w:rPr>
        <w:t>http://www2.deloitte.com/content/dam/Deloitte/jp/Documents/mergers-and-acquisitions/jp-ma-ma-newsletter-oct2014-en.pdf</w:t>
      </w:r>
      <w:proofErr w:type="gramEnd"/>
      <w:r>
        <w:rPr>
          <w:sz w:val="20"/>
          <w:szCs w:val="20"/>
        </w:rPr>
        <w:t xml:space="preserve">; A </w:t>
      </w:r>
      <w:proofErr w:type="spellStart"/>
      <w:r>
        <w:rPr>
          <w:sz w:val="20"/>
          <w:szCs w:val="20"/>
        </w:rPr>
        <w:t>Metwalli</w:t>
      </w:r>
      <w:proofErr w:type="spellEnd"/>
      <w:r>
        <w:rPr>
          <w:sz w:val="20"/>
          <w:szCs w:val="20"/>
        </w:rPr>
        <w:t xml:space="preserve"> and Roger Tang ‘Mergers and acquisitions in Japan: An update’ (2013) 24(6) Journal of Corporate Accounting &amp; Finance 25-34. </w:t>
      </w:r>
    </w:p>
  </w:footnote>
  <w:footnote w:id="23">
    <w:p w14:paraId="2A89E78F" w14:textId="46007EF1" w:rsidR="00D3257E" w:rsidRPr="00D3257E" w:rsidRDefault="00D3257E" w:rsidP="00040A44">
      <w:pPr>
        <w:pStyle w:val="FootnoteText"/>
        <w:jc w:val="both"/>
        <w:rPr>
          <w:sz w:val="20"/>
          <w:szCs w:val="20"/>
        </w:rPr>
      </w:pPr>
      <w:r w:rsidRPr="00D3257E">
        <w:rPr>
          <w:rStyle w:val="FootnoteReference"/>
          <w:sz w:val="20"/>
          <w:szCs w:val="20"/>
        </w:rPr>
        <w:footnoteRef/>
      </w:r>
      <w:r w:rsidRPr="00D3257E">
        <w:rPr>
          <w:sz w:val="20"/>
          <w:szCs w:val="20"/>
        </w:rPr>
        <w:t xml:space="preserve"> Tokyo Stock Exchange Report. http://www.jpx.co.jp/english/corporate/investor-relations/ir-library/annual-reports/</w:t>
      </w:r>
    </w:p>
  </w:footnote>
  <w:footnote w:id="24">
    <w:p w14:paraId="07851C77" w14:textId="49016BFC" w:rsidR="00D3257E" w:rsidRPr="00CD7DCB" w:rsidRDefault="00D3257E" w:rsidP="00040A44">
      <w:pPr>
        <w:pStyle w:val="FootnoteText"/>
        <w:jc w:val="both"/>
        <w:rPr>
          <w:sz w:val="20"/>
          <w:szCs w:val="20"/>
        </w:rPr>
      </w:pPr>
      <w:r w:rsidRPr="00D3257E">
        <w:rPr>
          <w:rStyle w:val="FootnoteReference"/>
          <w:sz w:val="20"/>
          <w:szCs w:val="20"/>
        </w:rPr>
        <w:footnoteRef/>
      </w:r>
      <w:r w:rsidRPr="00D3257E">
        <w:rPr>
          <w:sz w:val="20"/>
          <w:szCs w:val="20"/>
        </w:rPr>
        <w:t xml:space="preserve"> UK Takeover Panel Annual Report. http://</w:t>
      </w:r>
      <w:r w:rsidRPr="00127283">
        <w:rPr>
          <w:sz w:val="20"/>
          <w:szCs w:val="20"/>
        </w:rPr>
        <w:t>www.thetakeoverpanel.org.uk/statements/reports</w:t>
      </w:r>
    </w:p>
  </w:footnote>
  <w:footnote w:id="25">
    <w:p w14:paraId="18A1A799" w14:textId="77777777" w:rsidR="00D3257E" w:rsidRPr="00CD7DCB" w:rsidRDefault="00D3257E" w:rsidP="00040A44">
      <w:pPr>
        <w:pStyle w:val="FootnoteText"/>
        <w:jc w:val="both"/>
        <w:rPr>
          <w:lang w:val="en-US"/>
        </w:rPr>
      </w:pPr>
      <w:r w:rsidRPr="00CD7DCB">
        <w:rPr>
          <w:rStyle w:val="FootnoteReference"/>
          <w:sz w:val="20"/>
          <w:szCs w:val="20"/>
        </w:rPr>
        <w:footnoteRef/>
      </w:r>
      <w:r w:rsidRPr="00CD7DCB">
        <w:rPr>
          <w:sz w:val="20"/>
          <w:szCs w:val="20"/>
        </w:rPr>
        <w:t xml:space="preserve"> </w:t>
      </w:r>
      <w:r w:rsidRPr="00CD7DCB">
        <w:rPr>
          <w:sz w:val="20"/>
          <w:szCs w:val="20"/>
          <w:lang w:val="en-US"/>
        </w:rPr>
        <w:t>There are some foreign takeovers of smaller Japanese companies.</w:t>
      </w:r>
      <w:r>
        <w:rPr>
          <w:lang w:val="en-US"/>
        </w:rPr>
        <w:t xml:space="preserve">  </w:t>
      </w:r>
    </w:p>
  </w:footnote>
  <w:footnote w:id="26">
    <w:p w14:paraId="0CA74C10" w14:textId="31344FA7" w:rsidR="00D3257E" w:rsidRPr="00C560FB" w:rsidRDefault="00D3257E" w:rsidP="00CC0173">
      <w:pPr>
        <w:pStyle w:val="FootnoteText"/>
        <w:jc w:val="both"/>
        <w:rPr>
          <w:sz w:val="20"/>
          <w:szCs w:val="20"/>
          <w:lang w:eastAsia="ja-JP"/>
        </w:rPr>
      </w:pPr>
      <w:r w:rsidRPr="00C560FB">
        <w:rPr>
          <w:rStyle w:val="FootnoteReference"/>
          <w:sz w:val="20"/>
          <w:szCs w:val="20"/>
        </w:rPr>
        <w:footnoteRef/>
      </w:r>
      <w:r w:rsidRPr="00C560FB">
        <w:rPr>
          <w:rFonts w:hint="eastAsia"/>
          <w:sz w:val="20"/>
          <w:szCs w:val="20"/>
        </w:rPr>
        <w:t xml:space="preserve"> The FIE, Article 27-2.1.1-6.</w:t>
      </w:r>
    </w:p>
  </w:footnote>
  <w:footnote w:id="27">
    <w:p w14:paraId="091DAD20" w14:textId="77777777" w:rsidR="00D3257E" w:rsidRPr="00C560FB" w:rsidRDefault="00D3257E" w:rsidP="00CC0173">
      <w:pPr>
        <w:pStyle w:val="FootnoteText"/>
        <w:jc w:val="both"/>
        <w:rPr>
          <w:sz w:val="20"/>
          <w:szCs w:val="20"/>
        </w:rPr>
      </w:pPr>
      <w:r w:rsidRPr="00C560FB">
        <w:rPr>
          <w:rStyle w:val="FootnoteReference"/>
          <w:sz w:val="20"/>
          <w:szCs w:val="20"/>
        </w:rPr>
        <w:footnoteRef/>
      </w:r>
      <w:r w:rsidRPr="00C560FB">
        <w:rPr>
          <w:sz w:val="20"/>
          <w:szCs w:val="20"/>
        </w:rPr>
        <w:t xml:space="preserve"> The Disclosure Rules and Transparency Rules, DTRs 5.1.2.</w:t>
      </w:r>
    </w:p>
  </w:footnote>
  <w:footnote w:id="28">
    <w:p w14:paraId="528757A6" w14:textId="77777777" w:rsidR="00D3257E" w:rsidRPr="00C560FB" w:rsidRDefault="00D3257E" w:rsidP="00CC0173">
      <w:pPr>
        <w:pStyle w:val="FootnoteText"/>
        <w:jc w:val="both"/>
        <w:rPr>
          <w:sz w:val="20"/>
          <w:szCs w:val="20"/>
        </w:rPr>
      </w:pPr>
      <w:r w:rsidRPr="00C560FB">
        <w:rPr>
          <w:rStyle w:val="FootnoteReference"/>
          <w:sz w:val="20"/>
          <w:szCs w:val="20"/>
        </w:rPr>
        <w:footnoteRef/>
      </w:r>
      <w:r w:rsidRPr="00C560FB">
        <w:rPr>
          <w:sz w:val="20"/>
          <w:szCs w:val="20"/>
        </w:rPr>
        <w:t xml:space="preserve"> UK Companies Act 2006, s793.</w:t>
      </w:r>
    </w:p>
  </w:footnote>
  <w:footnote w:id="29">
    <w:p w14:paraId="2D3A6FE5" w14:textId="77777777" w:rsidR="00D3257E" w:rsidRPr="00C560FB" w:rsidRDefault="00D3257E" w:rsidP="00CC0173">
      <w:pPr>
        <w:pStyle w:val="FootnoteText"/>
        <w:jc w:val="both"/>
        <w:rPr>
          <w:sz w:val="20"/>
          <w:szCs w:val="20"/>
        </w:rPr>
      </w:pPr>
      <w:r w:rsidRPr="00C560FB">
        <w:rPr>
          <w:rStyle w:val="FootnoteReference"/>
          <w:sz w:val="20"/>
          <w:szCs w:val="20"/>
        </w:rPr>
        <w:footnoteRef/>
      </w:r>
      <w:r w:rsidRPr="00C560FB">
        <w:rPr>
          <w:sz w:val="20"/>
          <w:szCs w:val="20"/>
        </w:rPr>
        <w:t xml:space="preserve"> UK Companies Act 2006, s 820.</w:t>
      </w:r>
    </w:p>
  </w:footnote>
  <w:footnote w:id="30">
    <w:p w14:paraId="35E36FF2" w14:textId="77777777" w:rsidR="00D3257E" w:rsidRPr="00C560FB" w:rsidRDefault="00D3257E" w:rsidP="00CC0173">
      <w:pPr>
        <w:pStyle w:val="FootnoteText"/>
        <w:jc w:val="both"/>
        <w:rPr>
          <w:sz w:val="20"/>
          <w:szCs w:val="20"/>
        </w:rPr>
      </w:pPr>
      <w:r w:rsidRPr="00C560FB">
        <w:rPr>
          <w:rStyle w:val="FootnoteReference"/>
          <w:sz w:val="20"/>
          <w:szCs w:val="20"/>
        </w:rPr>
        <w:footnoteRef/>
      </w:r>
      <w:r w:rsidRPr="00C560FB">
        <w:rPr>
          <w:sz w:val="20"/>
          <w:szCs w:val="20"/>
        </w:rPr>
        <w:t xml:space="preserve"> UK Companies Act 2006, s 794.</w:t>
      </w:r>
    </w:p>
  </w:footnote>
  <w:footnote w:id="31">
    <w:p w14:paraId="714A62E3" w14:textId="77777777" w:rsidR="00D3257E" w:rsidRPr="004B1A93" w:rsidRDefault="00D3257E" w:rsidP="00CC0173">
      <w:pPr>
        <w:pStyle w:val="FootnoteText"/>
        <w:jc w:val="both"/>
        <w:rPr>
          <w:sz w:val="20"/>
          <w:szCs w:val="20"/>
        </w:rPr>
      </w:pPr>
      <w:r w:rsidRPr="004B1A93">
        <w:rPr>
          <w:rStyle w:val="FootnoteReference"/>
          <w:sz w:val="20"/>
          <w:szCs w:val="20"/>
        </w:rPr>
        <w:footnoteRef/>
      </w:r>
      <w:r w:rsidRPr="004B1A93">
        <w:rPr>
          <w:sz w:val="20"/>
          <w:szCs w:val="20"/>
        </w:rPr>
        <w:t xml:space="preserve"> UK Companies Act 2006, s 797(1)(b). </w:t>
      </w:r>
    </w:p>
  </w:footnote>
  <w:footnote w:id="32">
    <w:p w14:paraId="4DC0A5B6" w14:textId="77777777" w:rsidR="00D3257E" w:rsidRPr="005E28A3" w:rsidRDefault="00D3257E" w:rsidP="00CC0173">
      <w:pPr>
        <w:pStyle w:val="FootnoteText"/>
        <w:jc w:val="both"/>
        <w:rPr>
          <w:sz w:val="20"/>
          <w:szCs w:val="20"/>
        </w:rPr>
      </w:pPr>
      <w:r w:rsidRPr="004B1A93">
        <w:rPr>
          <w:rStyle w:val="FootnoteReference"/>
          <w:sz w:val="20"/>
          <w:szCs w:val="20"/>
        </w:rPr>
        <w:footnoteRef/>
      </w:r>
      <w:r w:rsidRPr="004B1A93">
        <w:rPr>
          <w:sz w:val="20"/>
          <w:szCs w:val="20"/>
        </w:rPr>
        <w:t xml:space="preserve"> The Cabinet Office rejected the proposal for such disenfranchisement because the law-making power belonged to the Ministry of Justice rather than the Ministry of Economy, Trade and </w:t>
      </w:r>
      <w:r w:rsidRPr="005E28A3">
        <w:rPr>
          <w:sz w:val="20"/>
          <w:szCs w:val="20"/>
        </w:rPr>
        <w:t xml:space="preserve">Industry (METI). </w:t>
      </w:r>
    </w:p>
  </w:footnote>
  <w:footnote w:id="33">
    <w:p w14:paraId="72A20BB5" w14:textId="77777777" w:rsidR="00D3257E" w:rsidRPr="005E28A3" w:rsidRDefault="00D3257E" w:rsidP="00CC0173">
      <w:pPr>
        <w:pStyle w:val="FootnoteText"/>
        <w:jc w:val="both"/>
        <w:rPr>
          <w:sz w:val="20"/>
          <w:szCs w:val="20"/>
          <w:lang w:val="en-US"/>
        </w:rPr>
      </w:pPr>
      <w:r w:rsidRPr="005E28A3">
        <w:rPr>
          <w:rStyle w:val="FootnoteReference"/>
          <w:sz w:val="20"/>
          <w:szCs w:val="20"/>
        </w:rPr>
        <w:footnoteRef/>
      </w:r>
      <w:r w:rsidRPr="005E28A3">
        <w:rPr>
          <w:sz w:val="20"/>
          <w:szCs w:val="20"/>
        </w:rPr>
        <w:t xml:space="preserve"> </w:t>
      </w:r>
      <w:r w:rsidRPr="005E28A3">
        <w:rPr>
          <w:sz w:val="20"/>
          <w:szCs w:val="20"/>
          <w:lang w:val="en-US"/>
        </w:rPr>
        <w:t>JASDEC also notifies the company of the identity of particular shareholders who will exercise their minority rights to the company.</w:t>
      </w:r>
    </w:p>
  </w:footnote>
  <w:footnote w:id="34">
    <w:p w14:paraId="4DA821BA" w14:textId="77777777" w:rsidR="00D3257E" w:rsidRPr="005E28A3" w:rsidRDefault="00D3257E" w:rsidP="00CC0173">
      <w:pPr>
        <w:pStyle w:val="FootnoteText"/>
        <w:jc w:val="both"/>
        <w:rPr>
          <w:sz w:val="20"/>
          <w:szCs w:val="20"/>
          <w:lang w:val="en-US"/>
        </w:rPr>
      </w:pPr>
      <w:r w:rsidRPr="005E28A3">
        <w:rPr>
          <w:rStyle w:val="FootnoteReference"/>
          <w:sz w:val="20"/>
          <w:szCs w:val="20"/>
        </w:rPr>
        <w:footnoteRef/>
      </w:r>
      <w:r w:rsidRPr="005E28A3">
        <w:rPr>
          <w:sz w:val="20"/>
          <w:szCs w:val="20"/>
        </w:rPr>
        <w:t xml:space="preserve"> </w:t>
      </w:r>
      <w:r w:rsidRPr="005E28A3">
        <w:rPr>
          <w:sz w:val="20"/>
          <w:szCs w:val="20"/>
          <w:lang w:val="en-US"/>
        </w:rPr>
        <w:t xml:space="preserve">The 5 % disclosure rule above also applies to those who hold shares under custody’s names. </w:t>
      </w:r>
    </w:p>
  </w:footnote>
  <w:footnote w:id="35">
    <w:p w14:paraId="4622C9E4" w14:textId="77777777" w:rsidR="00D3257E" w:rsidRPr="004B1A93" w:rsidRDefault="00D3257E" w:rsidP="00CC0173">
      <w:pPr>
        <w:pStyle w:val="FootnoteText"/>
        <w:jc w:val="both"/>
        <w:rPr>
          <w:sz w:val="20"/>
          <w:szCs w:val="20"/>
        </w:rPr>
      </w:pPr>
      <w:r w:rsidRPr="005E28A3">
        <w:rPr>
          <w:rStyle w:val="FootnoteReference"/>
          <w:sz w:val="20"/>
          <w:szCs w:val="20"/>
        </w:rPr>
        <w:footnoteRef/>
      </w:r>
      <w:r w:rsidRPr="005E28A3">
        <w:rPr>
          <w:sz w:val="20"/>
          <w:szCs w:val="20"/>
        </w:rPr>
        <w:t xml:space="preserve"> General Principle 6 of the Takeover Code.</w:t>
      </w:r>
      <w:r w:rsidRPr="004B1A93">
        <w:rPr>
          <w:sz w:val="20"/>
          <w:szCs w:val="20"/>
        </w:rPr>
        <w:t xml:space="preserve"> </w:t>
      </w:r>
    </w:p>
  </w:footnote>
  <w:footnote w:id="36">
    <w:p w14:paraId="3FA80A31" w14:textId="77777777" w:rsidR="00D3257E" w:rsidRPr="00C560FB" w:rsidRDefault="00D3257E" w:rsidP="00CC0173">
      <w:pPr>
        <w:pStyle w:val="FootnoteText"/>
        <w:jc w:val="both"/>
        <w:rPr>
          <w:sz w:val="20"/>
          <w:szCs w:val="20"/>
        </w:rPr>
      </w:pPr>
      <w:r w:rsidRPr="004B1A93">
        <w:rPr>
          <w:rStyle w:val="FootnoteReference"/>
          <w:sz w:val="20"/>
          <w:szCs w:val="20"/>
        </w:rPr>
        <w:footnoteRef/>
      </w:r>
      <w:r w:rsidRPr="004B1A93">
        <w:rPr>
          <w:sz w:val="20"/>
          <w:szCs w:val="20"/>
        </w:rPr>
        <w:t xml:space="preserve"> City Code on Takeovers and Mergers, Rule 2.4. Additionally, for comments on the deadline, see </w:t>
      </w:r>
      <w:proofErr w:type="spellStart"/>
      <w:r w:rsidRPr="004B1A93">
        <w:rPr>
          <w:sz w:val="20"/>
          <w:szCs w:val="20"/>
        </w:rPr>
        <w:t>Helia</w:t>
      </w:r>
      <w:proofErr w:type="spellEnd"/>
      <w:r w:rsidRPr="004B1A93">
        <w:rPr>
          <w:sz w:val="20"/>
          <w:szCs w:val="20"/>
        </w:rPr>
        <w:t xml:space="preserve"> </w:t>
      </w:r>
      <w:proofErr w:type="spellStart"/>
      <w:r w:rsidRPr="004B1A93">
        <w:rPr>
          <w:sz w:val="20"/>
          <w:szCs w:val="20"/>
        </w:rPr>
        <w:t>Ebrahimi</w:t>
      </w:r>
      <w:proofErr w:type="spellEnd"/>
      <w:r w:rsidRPr="004B1A93">
        <w:rPr>
          <w:sz w:val="20"/>
          <w:szCs w:val="20"/>
        </w:rPr>
        <w:t>, Takeover Panel to Review ‘Cadbury Law’</w:t>
      </w:r>
      <w:r w:rsidRPr="004B1A93">
        <w:rPr>
          <w:rFonts w:ascii="Helvetica" w:hAnsi="Helvetica" w:cs="Helvetica"/>
          <w:sz w:val="20"/>
          <w:szCs w:val="20"/>
        </w:rPr>
        <w:t xml:space="preserve"> </w:t>
      </w:r>
      <w:r w:rsidRPr="004B1A93">
        <w:rPr>
          <w:sz w:val="20"/>
          <w:szCs w:val="20"/>
        </w:rPr>
        <w:t>(21 October 2012), The</w:t>
      </w:r>
      <w:r w:rsidRPr="004B1A93">
        <w:rPr>
          <w:sz w:val="20"/>
          <w:szCs w:val="20"/>
        </w:rPr>
        <w:tab/>
        <w:t>Telegraph,</w:t>
      </w:r>
      <w:r w:rsidRPr="004B1A93">
        <w:rPr>
          <w:sz w:val="20"/>
          <w:szCs w:val="20"/>
        </w:rPr>
        <w:tab/>
        <w:t>available</w:t>
      </w:r>
      <w:r w:rsidRPr="004B1A93">
        <w:rPr>
          <w:sz w:val="20"/>
          <w:szCs w:val="20"/>
        </w:rPr>
        <w:tab/>
        <w:t>at http://www.telegraph.co.uk/finance/markets/9624417/Takeover-Panel-to-review- Cadbury-law.html.</w:t>
      </w:r>
    </w:p>
  </w:footnote>
  <w:footnote w:id="37">
    <w:p w14:paraId="2C9BD5E4" w14:textId="77777777" w:rsidR="00D3257E" w:rsidRPr="004B1A93" w:rsidRDefault="00D3257E" w:rsidP="00CC0173">
      <w:pPr>
        <w:pStyle w:val="FootnoteText"/>
        <w:jc w:val="both"/>
        <w:rPr>
          <w:sz w:val="20"/>
          <w:szCs w:val="20"/>
        </w:rPr>
      </w:pPr>
      <w:r w:rsidRPr="004B1A93">
        <w:rPr>
          <w:rStyle w:val="FootnoteReference"/>
          <w:sz w:val="20"/>
          <w:szCs w:val="20"/>
        </w:rPr>
        <w:footnoteRef/>
      </w:r>
      <w:r w:rsidRPr="004B1A93">
        <w:rPr>
          <w:sz w:val="20"/>
          <w:szCs w:val="20"/>
        </w:rPr>
        <w:t xml:space="preserve"> The PUSU rule was effectively applied in the case of Pfizer’s potential hostile takeover of AstraZeneca. The latter target board’s insistent rejection of all potential offers and discussions by the former company up until the PUSU deadline gave Pfizer little room but to ‘shut up’. </w:t>
      </w:r>
    </w:p>
  </w:footnote>
  <w:footnote w:id="38">
    <w:p w14:paraId="7169485E" w14:textId="3C5D4CFB" w:rsidR="00D3257E" w:rsidRPr="00C560FB" w:rsidRDefault="00D3257E" w:rsidP="00CC0173">
      <w:pPr>
        <w:jc w:val="both"/>
        <w:rPr>
          <w:sz w:val="20"/>
          <w:szCs w:val="20"/>
        </w:rPr>
      </w:pPr>
      <w:r w:rsidRPr="00C560FB">
        <w:rPr>
          <w:rStyle w:val="FootnoteReference"/>
          <w:sz w:val="20"/>
          <w:szCs w:val="20"/>
        </w:rPr>
        <w:footnoteRef/>
      </w:r>
      <w:r w:rsidRPr="00C560FB">
        <w:rPr>
          <w:sz w:val="20"/>
          <w:szCs w:val="20"/>
        </w:rPr>
        <w:t xml:space="preserve"> </w:t>
      </w:r>
      <w:proofErr w:type="spellStart"/>
      <w:r w:rsidRPr="008A1879">
        <w:rPr>
          <w:sz w:val="20"/>
          <w:szCs w:val="20"/>
        </w:rPr>
        <w:t>Blanaid</w:t>
      </w:r>
      <w:proofErr w:type="spellEnd"/>
      <w:r w:rsidRPr="008A1879">
        <w:rPr>
          <w:sz w:val="20"/>
          <w:szCs w:val="20"/>
        </w:rPr>
        <w:t xml:space="preserve"> Clarke, ‘Reviewing Takeover Regulation in the Wake of the Cadbury Acquisition Regulation in a Twirl</w:t>
      </w:r>
      <w:r w:rsidRPr="008A1879">
        <w:rPr>
          <w:rFonts w:ascii="Lucida Sans Unicode" w:hAnsi="Lucida Sans Unicode" w:cs="Lucida Sans Unicode"/>
          <w:sz w:val="20"/>
          <w:szCs w:val="20"/>
        </w:rPr>
        <w:t xml:space="preserve">’, </w:t>
      </w:r>
      <w:r w:rsidRPr="008A1879">
        <w:rPr>
          <w:sz w:val="20"/>
          <w:szCs w:val="20"/>
        </w:rPr>
        <w:t>(2011)</w:t>
      </w:r>
      <w:r>
        <w:rPr>
          <w:sz w:val="20"/>
          <w:szCs w:val="20"/>
        </w:rPr>
        <w:t xml:space="preserve"> 3 Journal of Business Law, </w:t>
      </w:r>
      <w:r w:rsidRPr="008A1879">
        <w:rPr>
          <w:sz w:val="20"/>
          <w:szCs w:val="20"/>
        </w:rPr>
        <w:t>300.</w:t>
      </w:r>
    </w:p>
  </w:footnote>
  <w:footnote w:id="39">
    <w:p w14:paraId="6F0A355B" w14:textId="77777777" w:rsidR="00D3257E" w:rsidRPr="00C560FB" w:rsidRDefault="00D3257E" w:rsidP="00CC0173">
      <w:pPr>
        <w:pStyle w:val="FootnoteText"/>
        <w:jc w:val="both"/>
        <w:rPr>
          <w:sz w:val="20"/>
          <w:szCs w:val="20"/>
        </w:rPr>
      </w:pPr>
      <w:r w:rsidRPr="00C560FB">
        <w:rPr>
          <w:rStyle w:val="FootnoteReference"/>
          <w:sz w:val="20"/>
          <w:szCs w:val="20"/>
        </w:rPr>
        <w:footnoteRef/>
      </w:r>
      <w:r w:rsidRPr="00C560FB">
        <w:rPr>
          <w:sz w:val="20"/>
          <w:szCs w:val="20"/>
        </w:rPr>
        <w:t xml:space="preserve"> City Code on Takeovers and Mergers, Rules 24.2 and 25.1.</w:t>
      </w:r>
    </w:p>
  </w:footnote>
  <w:footnote w:id="40">
    <w:p w14:paraId="75ADE3F5" w14:textId="1CC882FB" w:rsidR="00D3257E" w:rsidRPr="00C560FB" w:rsidRDefault="00D3257E" w:rsidP="00CC0173">
      <w:pPr>
        <w:pStyle w:val="FootnoteText"/>
        <w:jc w:val="both"/>
        <w:rPr>
          <w:sz w:val="20"/>
          <w:szCs w:val="20"/>
        </w:rPr>
      </w:pPr>
      <w:r w:rsidRPr="00C560FB">
        <w:rPr>
          <w:rStyle w:val="FootnoteReference"/>
          <w:sz w:val="20"/>
          <w:szCs w:val="20"/>
        </w:rPr>
        <w:footnoteRef/>
      </w:r>
      <w:r w:rsidRPr="00C560FB">
        <w:rPr>
          <w:sz w:val="20"/>
          <w:szCs w:val="20"/>
        </w:rPr>
        <w:t xml:space="preserve"> </w:t>
      </w:r>
      <w:r>
        <w:rPr>
          <w:sz w:val="20"/>
          <w:szCs w:val="20"/>
        </w:rPr>
        <w:t xml:space="preserve">City Code on Takeovers and Mergers, </w:t>
      </w:r>
      <w:r w:rsidRPr="00C560FB">
        <w:rPr>
          <w:sz w:val="20"/>
          <w:szCs w:val="20"/>
        </w:rPr>
        <w:t>Rule 19.1.</w:t>
      </w:r>
    </w:p>
  </w:footnote>
  <w:footnote w:id="41">
    <w:p w14:paraId="48CDD28B" w14:textId="1721400C" w:rsidR="00D3257E" w:rsidRPr="00DA5EF9" w:rsidRDefault="00D3257E" w:rsidP="00CC0173">
      <w:pPr>
        <w:pStyle w:val="FootnoteText"/>
        <w:jc w:val="both"/>
        <w:rPr>
          <w:lang w:val="en-US"/>
        </w:rPr>
      </w:pPr>
      <w:r>
        <w:rPr>
          <w:rStyle w:val="FootnoteReference"/>
        </w:rPr>
        <w:footnoteRef/>
      </w:r>
      <w:r>
        <w:t xml:space="preserve"> </w:t>
      </w:r>
      <w:r w:rsidRPr="00C560FB">
        <w:rPr>
          <w:sz w:val="20"/>
          <w:szCs w:val="20"/>
        </w:rPr>
        <w:t>City Code on Takeovers and Mergers</w:t>
      </w:r>
      <w:r>
        <w:rPr>
          <w:sz w:val="20"/>
          <w:szCs w:val="20"/>
        </w:rPr>
        <w:t xml:space="preserve">, Rules 19.7, 19.8 and 24.2. </w:t>
      </w:r>
    </w:p>
  </w:footnote>
  <w:footnote w:id="42">
    <w:p w14:paraId="2B0F309B" w14:textId="77777777" w:rsidR="00D3257E" w:rsidRPr="00C560FB" w:rsidRDefault="00D3257E" w:rsidP="00CC0173">
      <w:pPr>
        <w:pStyle w:val="FootnoteText"/>
        <w:jc w:val="both"/>
        <w:rPr>
          <w:sz w:val="20"/>
          <w:szCs w:val="20"/>
        </w:rPr>
      </w:pPr>
      <w:r w:rsidRPr="00C560FB">
        <w:rPr>
          <w:rStyle w:val="FootnoteReference"/>
          <w:sz w:val="20"/>
          <w:szCs w:val="20"/>
        </w:rPr>
        <w:footnoteRef/>
      </w:r>
      <w:r w:rsidRPr="00C560FB">
        <w:rPr>
          <w:sz w:val="20"/>
          <w:szCs w:val="20"/>
        </w:rPr>
        <w:t xml:space="preserve"> The FIE, Article 27-9</w:t>
      </w:r>
      <w:r>
        <w:rPr>
          <w:sz w:val="20"/>
          <w:szCs w:val="20"/>
        </w:rPr>
        <w:t>.</w:t>
      </w:r>
    </w:p>
  </w:footnote>
  <w:footnote w:id="43">
    <w:p w14:paraId="00C874DE" w14:textId="77777777" w:rsidR="00D3257E" w:rsidRPr="00C560FB" w:rsidRDefault="00D3257E" w:rsidP="00CC0173">
      <w:pPr>
        <w:pStyle w:val="FootnoteText"/>
        <w:jc w:val="both"/>
        <w:rPr>
          <w:sz w:val="20"/>
          <w:szCs w:val="20"/>
        </w:rPr>
      </w:pPr>
      <w:r w:rsidRPr="00C560FB">
        <w:rPr>
          <w:rStyle w:val="FootnoteReference"/>
          <w:sz w:val="20"/>
          <w:szCs w:val="20"/>
        </w:rPr>
        <w:footnoteRef/>
      </w:r>
      <w:r w:rsidRPr="00C560FB">
        <w:rPr>
          <w:sz w:val="20"/>
          <w:szCs w:val="20"/>
        </w:rPr>
        <w:t xml:space="preserve"> The FIE, Article 27-10-1,2.</w:t>
      </w:r>
    </w:p>
  </w:footnote>
  <w:footnote w:id="44">
    <w:p w14:paraId="253811DC" w14:textId="77777777" w:rsidR="00D3257E" w:rsidRPr="00C560FB" w:rsidRDefault="00D3257E" w:rsidP="00CC0173">
      <w:pPr>
        <w:pStyle w:val="FootnoteText"/>
        <w:jc w:val="both"/>
      </w:pPr>
      <w:r w:rsidRPr="00C560FB">
        <w:rPr>
          <w:rStyle w:val="FootnoteReference"/>
          <w:sz w:val="20"/>
          <w:szCs w:val="20"/>
        </w:rPr>
        <w:footnoteRef/>
      </w:r>
      <w:r w:rsidRPr="00C560FB">
        <w:rPr>
          <w:sz w:val="20"/>
          <w:szCs w:val="20"/>
        </w:rPr>
        <w:t xml:space="preserve"> The FIE, Article 27-10-11.</w:t>
      </w:r>
    </w:p>
  </w:footnote>
  <w:footnote w:id="45">
    <w:p w14:paraId="7311FB03" w14:textId="77777777" w:rsidR="00D3257E" w:rsidRPr="004B1A93" w:rsidRDefault="00D3257E" w:rsidP="00CC0173">
      <w:pPr>
        <w:pStyle w:val="FootnoteText"/>
        <w:jc w:val="both"/>
        <w:rPr>
          <w:sz w:val="20"/>
          <w:szCs w:val="20"/>
        </w:rPr>
      </w:pPr>
      <w:r w:rsidRPr="004B1A93">
        <w:rPr>
          <w:rStyle w:val="FootnoteReference"/>
          <w:sz w:val="20"/>
          <w:szCs w:val="20"/>
        </w:rPr>
        <w:footnoteRef/>
      </w:r>
      <w:r>
        <w:rPr>
          <w:sz w:val="20"/>
          <w:szCs w:val="20"/>
        </w:rPr>
        <w:t xml:space="preserve"> The threshold is provided by the Ordinance 14-2-2 under Article 27-13-4 of the FIE.</w:t>
      </w:r>
    </w:p>
  </w:footnote>
  <w:footnote w:id="46">
    <w:p w14:paraId="13D7A27C" w14:textId="678172EA" w:rsidR="00D3257E" w:rsidRPr="00B634D0" w:rsidRDefault="00D3257E" w:rsidP="00CC0173">
      <w:pPr>
        <w:pStyle w:val="FootnoteText"/>
        <w:jc w:val="both"/>
        <w:rPr>
          <w:sz w:val="20"/>
          <w:szCs w:val="20"/>
        </w:rPr>
      </w:pPr>
      <w:r w:rsidRPr="00B634D0">
        <w:rPr>
          <w:rStyle w:val="FootnoteReference"/>
          <w:sz w:val="20"/>
          <w:szCs w:val="20"/>
        </w:rPr>
        <w:footnoteRef/>
      </w:r>
      <w:r>
        <w:rPr>
          <w:sz w:val="20"/>
          <w:szCs w:val="20"/>
        </w:rPr>
        <w:t xml:space="preserve"> </w:t>
      </w:r>
      <w:proofErr w:type="spellStart"/>
      <w:r>
        <w:rPr>
          <w:sz w:val="20"/>
          <w:szCs w:val="20"/>
        </w:rPr>
        <w:t>Tomotaka</w:t>
      </w:r>
      <w:proofErr w:type="spellEnd"/>
      <w:r>
        <w:rPr>
          <w:sz w:val="20"/>
          <w:szCs w:val="20"/>
        </w:rPr>
        <w:t xml:space="preserve"> Fujita ‘</w:t>
      </w:r>
      <w:r w:rsidRPr="00B634D0">
        <w:rPr>
          <w:sz w:val="20"/>
          <w:szCs w:val="20"/>
        </w:rPr>
        <w:t>The Takeover Regulation in Japan: Peculiar Developments in the M</w:t>
      </w:r>
      <w:r>
        <w:rPr>
          <w:sz w:val="20"/>
          <w:szCs w:val="20"/>
        </w:rPr>
        <w:t xml:space="preserve">andatory Offer Rule’ (2011) No3 </w:t>
      </w:r>
      <w:proofErr w:type="spellStart"/>
      <w:r>
        <w:rPr>
          <w:sz w:val="20"/>
          <w:szCs w:val="20"/>
        </w:rPr>
        <w:t>UTSoft</w:t>
      </w:r>
      <w:proofErr w:type="spellEnd"/>
      <w:r>
        <w:rPr>
          <w:sz w:val="20"/>
          <w:szCs w:val="20"/>
        </w:rPr>
        <w:t xml:space="preserve"> Law Review </w:t>
      </w:r>
      <w:r w:rsidRPr="00B634D0">
        <w:rPr>
          <w:sz w:val="20"/>
          <w:szCs w:val="20"/>
        </w:rPr>
        <w:t>24-41.</w:t>
      </w:r>
    </w:p>
  </w:footnote>
  <w:footnote w:id="47">
    <w:p w14:paraId="528118A2" w14:textId="77777777" w:rsidR="00D3257E" w:rsidRPr="00762A8C" w:rsidRDefault="00D3257E" w:rsidP="00CC0173">
      <w:pPr>
        <w:pStyle w:val="FootnoteText"/>
        <w:jc w:val="both"/>
        <w:rPr>
          <w:lang w:val="en-US"/>
        </w:rPr>
      </w:pPr>
      <w:r w:rsidRPr="00B634D0">
        <w:rPr>
          <w:rStyle w:val="FootnoteReference"/>
          <w:sz w:val="20"/>
          <w:szCs w:val="20"/>
        </w:rPr>
        <w:footnoteRef/>
      </w:r>
      <w:r w:rsidRPr="00B634D0">
        <w:rPr>
          <w:sz w:val="20"/>
          <w:szCs w:val="20"/>
        </w:rPr>
        <w:t xml:space="preserve"> </w:t>
      </w:r>
      <w:r w:rsidRPr="00B634D0">
        <w:rPr>
          <w:sz w:val="20"/>
          <w:szCs w:val="20"/>
          <w:lang w:val="en-US"/>
        </w:rPr>
        <w:t>However</w:t>
      </w:r>
      <w:r w:rsidRPr="00762A8C">
        <w:rPr>
          <w:sz w:val="20"/>
          <w:szCs w:val="20"/>
          <w:lang w:val="en-US"/>
        </w:rPr>
        <w:t xml:space="preserve">, after-hours on the market transactions made through </w:t>
      </w:r>
      <w:proofErr w:type="spellStart"/>
      <w:r w:rsidRPr="00762A8C">
        <w:rPr>
          <w:sz w:val="20"/>
          <w:szCs w:val="20"/>
          <w:lang w:val="en-US"/>
        </w:rPr>
        <w:t>ToSTNet</w:t>
      </w:r>
      <w:proofErr w:type="spellEnd"/>
      <w:r w:rsidRPr="00762A8C">
        <w:rPr>
          <w:sz w:val="20"/>
          <w:szCs w:val="20"/>
          <w:lang w:val="en-US"/>
        </w:rPr>
        <w:t xml:space="preserve"> and J-Net are not exempted. See FIE, Article 27-2-.13.</w:t>
      </w:r>
    </w:p>
  </w:footnote>
  <w:footnote w:id="48">
    <w:p w14:paraId="3D9AD16C" w14:textId="75A9ABFD" w:rsidR="00D3257E" w:rsidRPr="00C560FB" w:rsidRDefault="00D3257E">
      <w:pPr>
        <w:pStyle w:val="FootnoteText"/>
      </w:pPr>
      <w:r w:rsidRPr="00762A8C">
        <w:rPr>
          <w:rStyle w:val="FootnoteReference"/>
          <w:sz w:val="20"/>
          <w:szCs w:val="20"/>
        </w:rPr>
        <w:footnoteRef/>
      </w:r>
      <w:r w:rsidR="00C85032" w:rsidRPr="00762A8C">
        <w:rPr>
          <w:sz w:val="20"/>
          <w:szCs w:val="20"/>
        </w:rPr>
        <w:t xml:space="preserve"> The FIE, Article 27-13 para </w:t>
      </w:r>
      <w:r w:rsidRPr="00762A8C">
        <w:rPr>
          <w:sz w:val="20"/>
          <w:szCs w:val="20"/>
        </w:rPr>
        <w:t>4</w:t>
      </w:r>
      <w:r w:rsidR="008821CA" w:rsidRPr="00762A8C">
        <w:rPr>
          <w:sz w:val="20"/>
          <w:szCs w:val="20"/>
        </w:rPr>
        <w:t>, Ordinance 14-2-2.</w:t>
      </w:r>
    </w:p>
  </w:footnote>
  <w:footnote w:id="49">
    <w:p w14:paraId="7760FC84" w14:textId="77777777" w:rsidR="00D3257E" w:rsidRPr="007E0565" w:rsidRDefault="00D3257E" w:rsidP="00CC0173">
      <w:pPr>
        <w:pStyle w:val="FootnoteText"/>
        <w:jc w:val="both"/>
        <w:rPr>
          <w:sz w:val="20"/>
          <w:szCs w:val="20"/>
        </w:rPr>
      </w:pPr>
      <w:r w:rsidRPr="007E0565">
        <w:rPr>
          <w:rStyle w:val="FootnoteReference"/>
          <w:sz w:val="20"/>
          <w:szCs w:val="20"/>
        </w:rPr>
        <w:footnoteRef/>
      </w:r>
      <w:r w:rsidRPr="007E0565">
        <w:rPr>
          <w:sz w:val="20"/>
          <w:szCs w:val="20"/>
        </w:rPr>
        <w:t xml:space="preserve"> </w:t>
      </w:r>
      <w:r w:rsidRPr="007E0565">
        <w:rPr>
          <w:i/>
          <w:sz w:val="20"/>
          <w:szCs w:val="20"/>
        </w:rPr>
        <w:t xml:space="preserve">Unocal Corp. </w:t>
      </w:r>
      <w:proofErr w:type="gramStart"/>
      <w:r w:rsidRPr="007E0565">
        <w:rPr>
          <w:i/>
          <w:sz w:val="20"/>
          <w:szCs w:val="20"/>
        </w:rPr>
        <w:t>v.</w:t>
      </w:r>
      <w:proofErr w:type="gramEnd"/>
      <w:r w:rsidRPr="007E0565">
        <w:rPr>
          <w:i/>
          <w:sz w:val="20"/>
          <w:szCs w:val="20"/>
        </w:rPr>
        <w:t xml:space="preserve"> Mesa Petroleum Co</w:t>
      </w:r>
      <w:r w:rsidRPr="007E0565">
        <w:rPr>
          <w:sz w:val="20"/>
          <w:szCs w:val="20"/>
        </w:rPr>
        <w:t>., 493 A.2d 946 (Del. 1985).</w:t>
      </w:r>
    </w:p>
  </w:footnote>
  <w:footnote w:id="50">
    <w:p w14:paraId="5EC43D73" w14:textId="77777777" w:rsidR="00D3257E" w:rsidRPr="001A3927" w:rsidRDefault="00D3257E" w:rsidP="00CC0173">
      <w:pPr>
        <w:pStyle w:val="FootnoteText"/>
        <w:jc w:val="both"/>
        <w:rPr>
          <w:sz w:val="20"/>
          <w:szCs w:val="20"/>
          <w:lang w:val="en-US"/>
        </w:rPr>
      </w:pPr>
      <w:r w:rsidRPr="007E0565">
        <w:rPr>
          <w:rStyle w:val="FootnoteReference"/>
          <w:sz w:val="20"/>
          <w:szCs w:val="20"/>
        </w:rPr>
        <w:footnoteRef/>
      </w:r>
      <w:r w:rsidRPr="007E0565">
        <w:rPr>
          <w:sz w:val="20"/>
          <w:szCs w:val="20"/>
        </w:rPr>
        <w:t xml:space="preserve"> </w:t>
      </w:r>
      <w:r w:rsidRPr="007E0565">
        <w:rPr>
          <w:sz w:val="20"/>
          <w:szCs w:val="20"/>
          <w:lang w:val="en-US"/>
        </w:rPr>
        <w:t xml:space="preserve">In </w:t>
      </w:r>
      <w:r w:rsidRPr="00DA5EF9">
        <w:rPr>
          <w:i/>
          <w:sz w:val="20"/>
          <w:szCs w:val="20"/>
          <w:lang w:val="en-US"/>
        </w:rPr>
        <w:t xml:space="preserve">NBS v </w:t>
      </w:r>
      <w:proofErr w:type="spellStart"/>
      <w:r w:rsidRPr="00DA5EF9">
        <w:rPr>
          <w:i/>
          <w:sz w:val="20"/>
          <w:szCs w:val="20"/>
          <w:lang w:val="en-US"/>
        </w:rPr>
        <w:t>Livedoor</w:t>
      </w:r>
      <w:proofErr w:type="spellEnd"/>
      <w:r w:rsidRPr="007E0565">
        <w:rPr>
          <w:sz w:val="20"/>
          <w:szCs w:val="20"/>
          <w:lang w:val="en-US"/>
        </w:rPr>
        <w:t>, the court has developed the case law by interpreting ‘unfair issue of shares/ share option’ in ruling whether or not poison pills used may be unfair under company</w:t>
      </w:r>
      <w:r>
        <w:rPr>
          <w:sz w:val="20"/>
          <w:szCs w:val="20"/>
          <w:lang w:val="en-US"/>
        </w:rPr>
        <w:t xml:space="preserve"> law </w:t>
      </w:r>
      <w:r w:rsidRPr="001A3927">
        <w:rPr>
          <w:sz w:val="20"/>
          <w:szCs w:val="20"/>
          <w:lang w:val="en-US"/>
        </w:rPr>
        <w:t xml:space="preserve">provisions so as to allow shareholders of the company to obtain injunction of the issue under the Articles 210 and 247 of the Companies Act. </w:t>
      </w:r>
    </w:p>
  </w:footnote>
  <w:footnote w:id="51">
    <w:p w14:paraId="2909FE80" w14:textId="4673F1D3" w:rsidR="00D3257E" w:rsidRPr="00212E52" w:rsidRDefault="00D3257E" w:rsidP="00CC0173">
      <w:pPr>
        <w:jc w:val="both"/>
        <w:rPr>
          <w:sz w:val="20"/>
          <w:szCs w:val="20"/>
        </w:rPr>
      </w:pPr>
      <w:r w:rsidRPr="001A3927">
        <w:rPr>
          <w:rStyle w:val="FootnoteReference"/>
          <w:sz w:val="20"/>
          <w:szCs w:val="20"/>
        </w:rPr>
        <w:footnoteRef/>
      </w:r>
      <w:r w:rsidRPr="001A3927">
        <w:rPr>
          <w:sz w:val="20"/>
          <w:szCs w:val="20"/>
        </w:rPr>
        <w:t xml:space="preserve"> D. Hugh Whittaker and Masaru Hayakawa, ‘Contesting “Corporate Value” Through Tak</w:t>
      </w:r>
      <w:r>
        <w:rPr>
          <w:sz w:val="20"/>
          <w:szCs w:val="20"/>
        </w:rPr>
        <w:t>eover Bids in Japan’ (2007) 15(</w:t>
      </w:r>
      <w:r w:rsidRPr="001A3927">
        <w:rPr>
          <w:sz w:val="20"/>
          <w:szCs w:val="20"/>
        </w:rPr>
        <w:t>1</w:t>
      </w:r>
      <w:r>
        <w:rPr>
          <w:sz w:val="20"/>
          <w:szCs w:val="20"/>
        </w:rPr>
        <w:t xml:space="preserve">) Corporate Governance </w:t>
      </w:r>
      <w:r w:rsidRPr="001A3927">
        <w:rPr>
          <w:sz w:val="20"/>
          <w:szCs w:val="20"/>
        </w:rPr>
        <w:t xml:space="preserve">16-26. </w:t>
      </w:r>
    </w:p>
  </w:footnote>
  <w:footnote w:id="52">
    <w:p w14:paraId="30A6CC5B" w14:textId="17673798" w:rsidR="00D3257E" w:rsidRPr="00683E74" w:rsidRDefault="00D3257E" w:rsidP="00CC0173">
      <w:pPr>
        <w:pStyle w:val="FootnoteText"/>
        <w:jc w:val="both"/>
        <w:rPr>
          <w:sz w:val="20"/>
          <w:szCs w:val="20"/>
          <w:lang w:val="en-US"/>
        </w:rPr>
      </w:pPr>
      <w:r w:rsidRPr="00683E74">
        <w:rPr>
          <w:rStyle w:val="FootnoteReference"/>
          <w:sz w:val="20"/>
          <w:szCs w:val="20"/>
        </w:rPr>
        <w:footnoteRef/>
      </w:r>
      <w:r w:rsidRPr="00683E74">
        <w:rPr>
          <w:sz w:val="20"/>
          <w:szCs w:val="20"/>
        </w:rPr>
        <w:t xml:space="preserve"> </w:t>
      </w:r>
      <w:proofErr w:type="spellStart"/>
      <w:r w:rsidRPr="00683E74">
        <w:rPr>
          <w:sz w:val="20"/>
          <w:szCs w:val="20"/>
          <w:lang w:val="en-US"/>
        </w:rPr>
        <w:t>Masatsugu</w:t>
      </w:r>
      <w:proofErr w:type="spellEnd"/>
      <w:r w:rsidRPr="00683E74">
        <w:rPr>
          <w:sz w:val="20"/>
          <w:szCs w:val="20"/>
          <w:lang w:val="en-US"/>
        </w:rPr>
        <w:t xml:space="preserve"> Yoshioka ‘A comparative critique of cash-out mergers in Japan and the US’ (2005) 5(2) Journal of Corporate Law Studies 465-506. </w:t>
      </w:r>
    </w:p>
  </w:footnote>
  <w:footnote w:id="53">
    <w:p w14:paraId="29765B64" w14:textId="77777777" w:rsidR="00D3257E" w:rsidRPr="00683E74" w:rsidRDefault="00D3257E" w:rsidP="00CC0173">
      <w:pPr>
        <w:pStyle w:val="FootnoteText"/>
        <w:jc w:val="both"/>
        <w:rPr>
          <w:sz w:val="20"/>
          <w:szCs w:val="20"/>
        </w:rPr>
      </w:pPr>
      <w:r w:rsidRPr="00683E74">
        <w:rPr>
          <w:rStyle w:val="FootnoteReference"/>
          <w:sz w:val="20"/>
          <w:szCs w:val="20"/>
        </w:rPr>
        <w:footnoteRef/>
      </w:r>
      <w:r w:rsidRPr="00683E74">
        <w:rPr>
          <w:sz w:val="20"/>
          <w:szCs w:val="20"/>
        </w:rPr>
        <w:t xml:space="preserve"> </w:t>
      </w:r>
      <w:r w:rsidRPr="00683E74">
        <w:rPr>
          <w:i/>
          <w:sz w:val="20"/>
          <w:szCs w:val="20"/>
        </w:rPr>
        <w:t xml:space="preserve">NBS v. </w:t>
      </w:r>
      <w:proofErr w:type="spellStart"/>
      <w:r w:rsidRPr="00683E74">
        <w:rPr>
          <w:i/>
          <w:sz w:val="20"/>
          <w:szCs w:val="20"/>
        </w:rPr>
        <w:t>Livedoor</w:t>
      </w:r>
      <w:proofErr w:type="spellEnd"/>
      <w:r w:rsidRPr="00683E74">
        <w:rPr>
          <w:sz w:val="20"/>
          <w:szCs w:val="20"/>
        </w:rPr>
        <w:t xml:space="preserve">, 1899 </w:t>
      </w:r>
      <w:proofErr w:type="spellStart"/>
      <w:r w:rsidRPr="00683E74">
        <w:rPr>
          <w:sz w:val="20"/>
          <w:szCs w:val="20"/>
        </w:rPr>
        <w:t>Hanrei</w:t>
      </w:r>
      <w:proofErr w:type="spellEnd"/>
      <w:r w:rsidRPr="00683E74">
        <w:rPr>
          <w:sz w:val="20"/>
          <w:szCs w:val="20"/>
        </w:rPr>
        <w:t xml:space="preserve"> </w:t>
      </w:r>
      <w:proofErr w:type="spellStart"/>
      <w:r w:rsidRPr="00683E74">
        <w:rPr>
          <w:sz w:val="20"/>
          <w:szCs w:val="20"/>
        </w:rPr>
        <w:t>Jihô</w:t>
      </w:r>
      <w:proofErr w:type="spellEnd"/>
      <w:r w:rsidRPr="00683E74">
        <w:rPr>
          <w:sz w:val="20"/>
          <w:szCs w:val="20"/>
        </w:rPr>
        <w:t xml:space="preserve"> 56 (Tokyo High Court, March 23, 2005).</w:t>
      </w:r>
    </w:p>
  </w:footnote>
  <w:footnote w:id="54">
    <w:p w14:paraId="3C9CD369" w14:textId="77777777" w:rsidR="00D3257E" w:rsidRPr="00683E74" w:rsidRDefault="00D3257E" w:rsidP="00CC0173">
      <w:pPr>
        <w:pStyle w:val="FootnoteText"/>
        <w:jc w:val="both"/>
        <w:rPr>
          <w:sz w:val="20"/>
          <w:szCs w:val="20"/>
        </w:rPr>
      </w:pPr>
      <w:r w:rsidRPr="00683E74">
        <w:rPr>
          <w:rStyle w:val="FootnoteReference"/>
          <w:sz w:val="20"/>
          <w:szCs w:val="20"/>
        </w:rPr>
        <w:footnoteRef/>
      </w:r>
      <w:r w:rsidRPr="00683E74">
        <w:rPr>
          <w:sz w:val="20"/>
          <w:szCs w:val="20"/>
        </w:rPr>
        <w:t xml:space="preserve"> </w:t>
      </w:r>
      <w:r w:rsidRPr="00683E74">
        <w:rPr>
          <w:i/>
          <w:sz w:val="20"/>
          <w:szCs w:val="20"/>
        </w:rPr>
        <w:t xml:space="preserve">Bull Dog Sauce </w:t>
      </w:r>
      <w:proofErr w:type="gramStart"/>
      <w:r w:rsidRPr="00683E74">
        <w:rPr>
          <w:i/>
          <w:sz w:val="20"/>
          <w:szCs w:val="20"/>
        </w:rPr>
        <w:t>v.</w:t>
      </w:r>
      <w:proofErr w:type="gramEnd"/>
      <w:r w:rsidRPr="00683E74">
        <w:rPr>
          <w:i/>
          <w:sz w:val="20"/>
          <w:szCs w:val="20"/>
        </w:rPr>
        <w:t xml:space="preserve"> Steel Partners 2007 Tokyo Supreme Court, Case No. 2007 (</w:t>
      </w:r>
      <w:proofErr w:type="spellStart"/>
      <w:r w:rsidRPr="00683E74">
        <w:rPr>
          <w:i/>
          <w:sz w:val="20"/>
          <w:szCs w:val="20"/>
        </w:rPr>
        <w:t>Kyo</w:t>
      </w:r>
      <w:proofErr w:type="spellEnd"/>
      <w:r w:rsidRPr="00683E74">
        <w:rPr>
          <w:i/>
          <w:sz w:val="20"/>
          <w:szCs w:val="20"/>
        </w:rPr>
        <w:t>) 30</w:t>
      </w:r>
    </w:p>
  </w:footnote>
  <w:footnote w:id="55">
    <w:p w14:paraId="676732F1" w14:textId="1B170A43" w:rsidR="00D3257E" w:rsidRPr="00C560FB" w:rsidRDefault="00D3257E" w:rsidP="00A05E9C">
      <w:pPr>
        <w:pStyle w:val="FootnoteText"/>
        <w:jc w:val="both"/>
        <w:rPr>
          <w:sz w:val="20"/>
          <w:szCs w:val="20"/>
        </w:rPr>
      </w:pPr>
      <w:r w:rsidRPr="00683E74">
        <w:rPr>
          <w:rStyle w:val="FootnoteReference"/>
          <w:sz w:val="20"/>
          <w:szCs w:val="20"/>
        </w:rPr>
        <w:footnoteRef/>
      </w:r>
      <w:r w:rsidRPr="00683E74">
        <w:rPr>
          <w:sz w:val="20"/>
          <w:szCs w:val="20"/>
        </w:rPr>
        <w:t xml:space="preserve"> For a detailed discussion of its use, see Appendix C ‘Advance Warning</w:t>
      </w:r>
      <w:r>
        <w:rPr>
          <w:sz w:val="20"/>
          <w:szCs w:val="20"/>
        </w:rPr>
        <w:t xml:space="preserve"> Poison Pill’ in </w:t>
      </w:r>
      <w:proofErr w:type="spellStart"/>
      <w:r>
        <w:rPr>
          <w:sz w:val="20"/>
          <w:szCs w:val="20"/>
        </w:rPr>
        <w:t>Encrio</w:t>
      </w:r>
      <w:proofErr w:type="spellEnd"/>
      <w:r>
        <w:rPr>
          <w:sz w:val="20"/>
          <w:szCs w:val="20"/>
        </w:rPr>
        <w:t xml:space="preserve"> </w:t>
      </w:r>
      <w:proofErr w:type="spellStart"/>
      <w:r>
        <w:rPr>
          <w:sz w:val="20"/>
          <w:szCs w:val="20"/>
        </w:rPr>
        <w:t>Colcera</w:t>
      </w:r>
      <w:proofErr w:type="spellEnd"/>
      <w:r w:rsidRPr="00683E74">
        <w:rPr>
          <w:sz w:val="20"/>
          <w:szCs w:val="20"/>
        </w:rPr>
        <w:t xml:space="preserve"> </w:t>
      </w:r>
      <w:proofErr w:type="gramStart"/>
      <w:r w:rsidRPr="00683E74">
        <w:rPr>
          <w:i/>
          <w:sz w:val="20"/>
          <w:szCs w:val="20"/>
        </w:rPr>
        <w:t>The</w:t>
      </w:r>
      <w:proofErr w:type="gramEnd"/>
      <w:r w:rsidRPr="00683E74">
        <w:rPr>
          <w:i/>
          <w:sz w:val="20"/>
          <w:szCs w:val="20"/>
        </w:rPr>
        <w:t xml:space="preserve"> Market For Corporate Control in Japan: M&amp;As, Hostile Takeovers and Regulatory Framework</w:t>
      </w:r>
      <w:r>
        <w:rPr>
          <w:sz w:val="20"/>
          <w:szCs w:val="20"/>
        </w:rPr>
        <w:t xml:space="preserve"> </w:t>
      </w:r>
      <w:r w:rsidRPr="00683E74">
        <w:rPr>
          <w:sz w:val="20"/>
          <w:szCs w:val="20"/>
        </w:rPr>
        <w:t>(Springer Heidelberg 2007).</w:t>
      </w:r>
    </w:p>
  </w:footnote>
  <w:footnote w:id="56">
    <w:p w14:paraId="7D1A328C" w14:textId="77777777" w:rsidR="00D3257E" w:rsidRPr="00683E74" w:rsidRDefault="00D3257E" w:rsidP="00A05E9C">
      <w:pPr>
        <w:pStyle w:val="FootnoteText"/>
        <w:jc w:val="both"/>
        <w:rPr>
          <w:sz w:val="20"/>
          <w:szCs w:val="20"/>
          <w:lang w:val="en-US"/>
        </w:rPr>
      </w:pPr>
      <w:r w:rsidRPr="00683E74">
        <w:rPr>
          <w:rStyle w:val="FootnoteReference"/>
          <w:sz w:val="20"/>
          <w:szCs w:val="20"/>
        </w:rPr>
        <w:footnoteRef/>
      </w:r>
      <w:r w:rsidRPr="00683E74">
        <w:rPr>
          <w:sz w:val="20"/>
          <w:szCs w:val="20"/>
        </w:rPr>
        <w:t xml:space="preserve"> </w:t>
      </w:r>
      <w:r w:rsidRPr="00683E74">
        <w:rPr>
          <w:sz w:val="20"/>
          <w:szCs w:val="20"/>
          <w:lang w:val="en-US"/>
        </w:rPr>
        <w:t>Companies Act, Article 206-2.</w:t>
      </w:r>
    </w:p>
  </w:footnote>
  <w:footnote w:id="57">
    <w:p w14:paraId="71120D62" w14:textId="77777777" w:rsidR="00D3257E" w:rsidRPr="00683E74" w:rsidRDefault="00D3257E" w:rsidP="00A05E9C">
      <w:pPr>
        <w:pStyle w:val="FootnoteText"/>
        <w:jc w:val="both"/>
        <w:rPr>
          <w:sz w:val="20"/>
          <w:szCs w:val="20"/>
          <w:lang w:val="en-US"/>
        </w:rPr>
      </w:pPr>
      <w:r w:rsidRPr="00683E74">
        <w:rPr>
          <w:rStyle w:val="FootnoteReference"/>
          <w:sz w:val="20"/>
          <w:szCs w:val="20"/>
        </w:rPr>
        <w:footnoteRef/>
      </w:r>
      <w:r w:rsidRPr="00683E74">
        <w:rPr>
          <w:sz w:val="20"/>
          <w:szCs w:val="20"/>
        </w:rPr>
        <w:t xml:space="preserve"> </w:t>
      </w:r>
      <w:r w:rsidRPr="00683E74">
        <w:rPr>
          <w:sz w:val="20"/>
          <w:szCs w:val="20"/>
          <w:lang w:val="en-US"/>
        </w:rPr>
        <w:t xml:space="preserve">Companies Act, Article 244-2. </w:t>
      </w:r>
    </w:p>
  </w:footnote>
  <w:footnote w:id="58">
    <w:p w14:paraId="5C98516D" w14:textId="77777777" w:rsidR="00D3257E" w:rsidRPr="00683E74" w:rsidRDefault="00D3257E" w:rsidP="00A05E9C">
      <w:pPr>
        <w:pStyle w:val="FootnoteText"/>
        <w:jc w:val="both"/>
        <w:rPr>
          <w:sz w:val="20"/>
          <w:szCs w:val="20"/>
        </w:rPr>
      </w:pPr>
      <w:r w:rsidRPr="00683E74">
        <w:rPr>
          <w:rStyle w:val="FootnoteReference"/>
          <w:sz w:val="20"/>
          <w:szCs w:val="20"/>
        </w:rPr>
        <w:footnoteRef/>
      </w:r>
      <w:r w:rsidRPr="00683E74">
        <w:rPr>
          <w:sz w:val="20"/>
          <w:szCs w:val="20"/>
        </w:rPr>
        <w:t xml:space="preserve"> The law allows the companies to do so on a voluntary basis under Article 202 of the Companies Act. In the UK, a pre-emption right is no longer mandatory in private companies. There is an on-going debate about the wisdom of such a right for the shareholders in listed companies. </w:t>
      </w:r>
    </w:p>
  </w:footnote>
  <w:footnote w:id="59">
    <w:p w14:paraId="347BFF28" w14:textId="422D7902" w:rsidR="00D3257E" w:rsidRPr="00FD37B8" w:rsidRDefault="00D3257E" w:rsidP="00A05E9C">
      <w:pPr>
        <w:pStyle w:val="FootnoteText"/>
        <w:jc w:val="both"/>
        <w:rPr>
          <w:lang w:val="en-US"/>
        </w:rPr>
      </w:pPr>
      <w:r w:rsidRPr="00683E74">
        <w:rPr>
          <w:rStyle w:val="FootnoteReference"/>
          <w:sz w:val="20"/>
          <w:szCs w:val="20"/>
        </w:rPr>
        <w:footnoteRef/>
      </w:r>
      <w:r w:rsidRPr="00683E74">
        <w:rPr>
          <w:sz w:val="20"/>
          <w:szCs w:val="20"/>
        </w:rPr>
        <w:t xml:space="preserve"> </w:t>
      </w:r>
      <w:r>
        <w:rPr>
          <w:sz w:val="20"/>
          <w:szCs w:val="20"/>
          <w:lang w:val="en-US"/>
        </w:rPr>
        <w:t>Toru Yoshikawa, Philip Phan ‘</w:t>
      </w:r>
      <w:r w:rsidRPr="00683E74">
        <w:rPr>
          <w:sz w:val="20"/>
          <w:szCs w:val="20"/>
          <w:lang w:val="en-US"/>
        </w:rPr>
        <w:t>Alternative corporate governance systems in Japanese firms: implications for a shift to stockholder-centered corporate governance’ (2001)</w:t>
      </w:r>
      <w:r>
        <w:rPr>
          <w:sz w:val="20"/>
          <w:szCs w:val="20"/>
          <w:lang w:val="en-US"/>
        </w:rPr>
        <w:t xml:space="preserve"> </w:t>
      </w:r>
      <w:r w:rsidRPr="00683E74">
        <w:rPr>
          <w:sz w:val="20"/>
          <w:szCs w:val="20"/>
          <w:lang w:val="en-US"/>
        </w:rPr>
        <w:t>18(2) Asia Pacific Journal of Management 183-205.</w:t>
      </w:r>
      <w:r>
        <w:rPr>
          <w:lang w:val="en-US"/>
        </w:rPr>
        <w:t xml:space="preserve"> </w:t>
      </w:r>
    </w:p>
  </w:footnote>
  <w:footnote w:id="60">
    <w:p w14:paraId="6978E213" w14:textId="2F546D80" w:rsidR="00D3257E" w:rsidRPr="008F7BA8" w:rsidRDefault="00D3257E" w:rsidP="008F7BA8">
      <w:pPr>
        <w:pStyle w:val="FootnoteText"/>
        <w:jc w:val="both"/>
        <w:rPr>
          <w:sz w:val="20"/>
          <w:szCs w:val="20"/>
          <w:lang w:val="en-US"/>
        </w:rPr>
      </w:pPr>
      <w:r w:rsidRPr="008F7BA8">
        <w:rPr>
          <w:rStyle w:val="FootnoteReference"/>
          <w:sz w:val="20"/>
          <w:szCs w:val="20"/>
        </w:rPr>
        <w:footnoteRef/>
      </w:r>
      <w:r w:rsidRPr="008F7BA8">
        <w:rPr>
          <w:sz w:val="20"/>
          <w:szCs w:val="20"/>
        </w:rPr>
        <w:t xml:space="preserve"> </w:t>
      </w:r>
      <w:r w:rsidRPr="008F7BA8">
        <w:rPr>
          <w:sz w:val="20"/>
          <w:szCs w:val="20"/>
          <w:lang w:val="en-US"/>
        </w:rPr>
        <w:t>Takaya Seki ‘Legal reform and shareholder activism by institutional investors in Japan’ (20</w:t>
      </w:r>
      <w:r>
        <w:rPr>
          <w:sz w:val="20"/>
          <w:szCs w:val="20"/>
          <w:lang w:val="en-US"/>
        </w:rPr>
        <w:t xml:space="preserve">05) 13(3) Corporate Governance </w:t>
      </w:r>
      <w:r w:rsidRPr="008F7BA8">
        <w:rPr>
          <w:sz w:val="20"/>
          <w:szCs w:val="20"/>
          <w:lang w:val="en-US"/>
        </w:rPr>
        <w:t>377-385.</w:t>
      </w:r>
    </w:p>
  </w:footnote>
  <w:footnote w:id="61">
    <w:p w14:paraId="64BAACB0" w14:textId="0584913E" w:rsidR="00D3257E" w:rsidRPr="008F7BA8" w:rsidRDefault="00D3257E" w:rsidP="008F7BA8">
      <w:pPr>
        <w:pStyle w:val="FootnoteText"/>
        <w:jc w:val="both"/>
        <w:rPr>
          <w:sz w:val="20"/>
          <w:szCs w:val="20"/>
          <w:lang w:val="en-US"/>
        </w:rPr>
      </w:pPr>
      <w:r w:rsidRPr="008F7BA8">
        <w:rPr>
          <w:rStyle w:val="FootnoteReference"/>
          <w:sz w:val="20"/>
          <w:szCs w:val="20"/>
        </w:rPr>
        <w:footnoteRef/>
      </w:r>
      <w:r w:rsidRPr="008F7BA8">
        <w:rPr>
          <w:sz w:val="20"/>
          <w:szCs w:val="20"/>
        </w:rPr>
        <w:t xml:space="preserve"> </w:t>
      </w:r>
      <w:r w:rsidRPr="008F7BA8">
        <w:rPr>
          <w:sz w:val="20"/>
          <w:szCs w:val="20"/>
          <w:lang w:val="en-US"/>
        </w:rPr>
        <w:t>F Hayashi ‘The main bank system, and corporate investment: An empirical reassessme</w:t>
      </w:r>
      <w:r>
        <w:rPr>
          <w:sz w:val="20"/>
          <w:szCs w:val="20"/>
          <w:lang w:val="en-US"/>
        </w:rPr>
        <w:t xml:space="preserve">nt’ in M Aoki and G </w:t>
      </w:r>
      <w:proofErr w:type="spellStart"/>
      <w:r>
        <w:rPr>
          <w:sz w:val="20"/>
          <w:szCs w:val="20"/>
          <w:lang w:val="en-US"/>
        </w:rPr>
        <w:t>Saxonhouse</w:t>
      </w:r>
      <w:proofErr w:type="spellEnd"/>
      <w:r>
        <w:rPr>
          <w:sz w:val="20"/>
          <w:szCs w:val="20"/>
          <w:lang w:val="en-US"/>
        </w:rPr>
        <w:t xml:space="preserve"> </w:t>
      </w:r>
      <w:r w:rsidRPr="008F7BA8">
        <w:rPr>
          <w:i/>
          <w:sz w:val="20"/>
          <w:szCs w:val="20"/>
          <w:lang w:val="en-US"/>
        </w:rPr>
        <w:t>Finance, Governance, and Competitiveness in Japan</w:t>
      </w:r>
      <w:r w:rsidRPr="008F7BA8">
        <w:rPr>
          <w:sz w:val="20"/>
          <w:szCs w:val="20"/>
          <w:lang w:val="en-US"/>
        </w:rPr>
        <w:t xml:space="preserve"> (Oxford: OUP 2000); </w:t>
      </w:r>
      <w:proofErr w:type="spellStart"/>
      <w:r w:rsidRPr="008F7BA8">
        <w:rPr>
          <w:sz w:val="20"/>
          <w:szCs w:val="20"/>
          <w:lang w:val="en-US"/>
        </w:rPr>
        <w:t>Wenlian</w:t>
      </w:r>
      <w:proofErr w:type="spellEnd"/>
      <w:r w:rsidRPr="008F7BA8">
        <w:rPr>
          <w:sz w:val="20"/>
          <w:szCs w:val="20"/>
          <w:lang w:val="en-US"/>
        </w:rPr>
        <w:t xml:space="preserve"> Gao ‘Banks as lenders and shareholders: Evidence from Japan’ (2008) 16(4) Pacific-Basin Finance Journal 389-410. </w:t>
      </w:r>
    </w:p>
  </w:footnote>
  <w:footnote w:id="62">
    <w:p w14:paraId="594474CC" w14:textId="5ABB40BE" w:rsidR="00D3257E" w:rsidRPr="008F7BA8" w:rsidRDefault="00D3257E" w:rsidP="008F7BA8">
      <w:pPr>
        <w:pStyle w:val="FootnoteText"/>
        <w:jc w:val="both"/>
        <w:rPr>
          <w:sz w:val="20"/>
          <w:szCs w:val="20"/>
          <w:lang w:val="en-US"/>
        </w:rPr>
      </w:pPr>
      <w:r w:rsidRPr="008F7BA8">
        <w:rPr>
          <w:rStyle w:val="FootnoteReference"/>
          <w:sz w:val="20"/>
          <w:szCs w:val="20"/>
        </w:rPr>
        <w:footnoteRef/>
      </w:r>
      <w:r w:rsidRPr="008F7BA8">
        <w:rPr>
          <w:sz w:val="20"/>
          <w:szCs w:val="20"/>
        </w:rPr>
        <w:t xml:space="preserve"> David Weinstein and </w:t>
      </w:r>
      <w:proofErr w:type="spellStart"/>
      <w:r w:rsidRPr="008F7BA8">
        <w:rPr>
          <w:sz w:val="20"/>
          <w:szCs w:val="20"/>
        </w:rPr>
        <w:t>Yishay</w:t>
      </w:r>
      <w:proofErr w:type="spellEnd"/>
      <w:r w:rsidRPr="008F7BA8">
        <w:rPr>
          <w:sz w:val="20"/>
          <w:szCs w:val="20"/>
        </w:rPr>
        <w:t xml:space="preserve"> </w:t>
      </w:r>
      <w:proofErr w:type="spellStart"/>
      <w:r w:rsidRPr="008F7BA8">
        <w:rPr>
          <w:sz w:val="20"/>
          <w:szCs w:val="20"/>
        </w:rPr>
        <w:t>Yafeh</w:t>
      </w:r>
      <w:proofErr w:type="spellEnd"/>
      <w:r w:rsidRPr="008F7BA8">
        <w:rPr>
          <w:sz w:val="20"/>
          <w:szCs w:val="20"/>
        </w:rPr>
        <w:t xml:space="preserve"> ‘On the costs of a bank-</w:t>
      </w:r>
      <w:proofErr w:type="spellStart"/>
      <w:r w:rsidRPr="008F7BA8">
        <w:rPr>
          <w:sz w:val="20"/>
          <w:szCs w:val="20"/>
        </w:rPr>
        <w:t>centered</w:t>
      </w:r>
      <w:proofErr w:type="spellEnd"/>
      <w:r w:rsidRPr="008F7BA8">
        <w:rPr>
          <w:sz w:val="20"/>
          <w:szCs w:val="20"/>
        </w:rPr>
        <w:t xml:space="preserve"> financial system: Evidence from the changing main banks relations in Japan’ (1998) 53(2) Journal of finance 635-672.</w:t>
      </w:r>
    </w:p>
  </w:footnote>
  <w:footnote w:id="63">
    <w:p w14:paraId="5A78A0EE" w14:textId="77777777" w:rsidR="00D3257E" w:rsidRPr="00D91886" w:rsidRDefault="00D3257E" w:rsidP="008F7BA8">
      <w:pPr>
        <w:pStyle w:val="FootnoteText"/>
        <w:jc w:val="both"/>
        <w:rPr>
          <w:sz w:val="20"/>
          <w:szCs w:val="20"/>
          <w:lang w:val="en-US"/>
        </w:rPr>
      </w:pPr>
      <w:r w:rsidRPr="008F7BA8">
        <w:rPr>
          <w:rStyle w:val="FootnoteReference"/>
          <w:sz w:val="20"/>
          <w:szCs w:val="20"/>
        </w:rPr>
        <w:footnoteRef/>
      </w:r>
      <w:r w:rsidRPr="008F7BA8">
        <w:rPr>
          <w:sz w:val="20"/>
          <w:szCs w:val="20"/>
        </w:rPr>
        <w:t xml:space="preserve"> </w:t>
      </w:r>
      <w:r w:rsidRPr="008F7BA8">
        <w:rPr>
          <w:sz w:val="20"/>
          <w:szCs w:val="20"/>
          <w:lang w:val="en-US"/>
        </w:rPr>
        <w:t xml:space="preserve">Under Article 308 of the Companies Act, if company A holds at least one fourth of the issued shares of the company B, company B cannot exercise its voting right at shareholder meetings of company A. </w:t>
      </w:r>
    </w:p>
  </w:footnote>
  <w:footnote w:id="64">
    <w:p w14:paraId="60C2BE99" w14:textId="77777777" w:rsidR="00D3257E" w:rsidRPr="00E738A1" w:rsidRDefault="00D3257E" w:rsidP="0067350E">
      <w:pPr>
        <w:pStyle w:val="FootnoteText"/>
        <w:jc w:val="both"/>
        <w:rPr>
          <w:sz w:val="20"/>
          <w:szCs w:val="20"/>
        </w:rPr>
      </w:pPr>
      <w:r w:rsidRPr="00E738A1">
        <w:rPr>
          <w:rStyle w:val="FootnoteReference"/>
          <w:sz w:val="20"/>
          <w:szCs w:val="20"/>
        </w:rPr>
        <w:footnoteRef/>
      </w:r>
      <w:r w:rsidRPr="00E738A1">
        <w:rPr>
          <w:sz w:val="20"/>
          <w:szCs w:val="20"/>
        </w:rPr>
        <w:t xml:space="preserve"> For instance, Eisai Co., Ltd, a Japanese pharmaceutical company, has disclosed the level of cross-shareholding in their annual report. http://www.eisai.com/pdf/eannual/epdf2014an.pdf</w:t>
      </w:r>
    </w:p>
  </w:footnote>
  <w:footnote w:id="65">
    <w:p w14:paraId="518E0183" w14:textId="2E746A8E" w:rsidR="00D3257E" w:rsidRPr="00E738A1" w:rsidRDefault="00D3257E" w:rsidP="0067350E">
      <w:pPr>
        <w:pStyle w:val="FootnoteText"/>
        <w:jc w:val="both"/>
        <w:rPr>
          <w:lang w:val="en-US"/>
        </w:rPr>
      </w:pPr>
      <w:r w:rsidRPr="00E738A1">
        <w:rPr>
          <w:rStyle w:val="FootnoteReference"/>
          <w:sz w:val="20"/>
          <w:szCs w:val="20"/>
        </w:rPr>
        <w:footnoteRef/>
      </w:r>
      <w:r w:rsidRPr="00E738A1">
        <w:rPr>
          <w:sz w:val="20"/>
          <w:szCs w:val="20"/>
        </w:rPr>
        <w:t xml:space="preserve"> </w:t>
      </w:r>
      <w:r w:rsidRPr="00E738A1">
        <w:rPr>
          <w:sz w:val="20"/>
          <w:szCs w:val="20"/>
          <w:lang w:val="en-US"/>
        </w:rPr>
        <w:t>The EU Directive on Takeover Bid requires the disclosure of some cross-shareholdings. Article 10(1)(</w:t>
      </w:r>
      <w:proofErr w:type="gramStart"/>
      <w:r w:rsidRPr="00E738A1">
        <w:rPr>
          <w:sz w:val="20"/>
          <w:szCs w:val="20"/>
          <w:lang w:val="en-US"/>
        </w:rPr>
        <w:t>c)of</w:t>
      </w:r>
      <w:proofErr w:type="gramEnd"/>
      <w:r w:rsidRPr="00E738A1">
        <w:rPr>
          <w:sz w:val="20"/>
          <w:szCs w:val="20"/>
          <w:lang w:val="en-US"/>
        </w:rPr>
        <w:t xml:space="preserve"> Directive 2004/25EC (Directive on takeover bids).</w:t>
      </w:r>
      <w:r>
        <w:rPr>
          <w:lang w:val="en-US"/>
        </w:rPr>
        <w:t xml:space="preserve"> </w:t>
      </w:r>
    </w:p>
  </w:footnote>
  <w:footnote w:id="66">
    <w:p w14:paraId="2A16E241" w14:textId="77777777" w:rsidR="00D3257E" w:rsidRPr="007D4262" w:rsidRDefault="00D3257E" w:rsidP="0067350E">
      <w:pPr>
        <w:pStyle w:val="FootnoteText"/>
        <w:jc w:val="both"/>
        <w:rPr>
          <w:sz w:val="20"/>
          <w:szCs w:val="20"/>
        </w:rPr>
      </w:pPr>
      <w:r w:rsidRPr="00C560FB">
        <w:rPr>
          <w:rStyle w:val="FootnoteReference"/>
          <w:sz w:val="20"/>
          <w:szCs w:val="20"/>
        </w:rPr>
        <w:footnoteRef/>
      </w:r>
      <w:r w:rsidRPr="00C560FB">
        <w:rPr>
          <w:sz w:val="20"/>
          <w:szCs w:val="20"/>
        </w:rPr>
        <w:t xml:space="preserve"> Recent case law, however, </w:t>
      </w:r>
      <w:r>
        <w:rPr>
          <w:sz w:val="20"/>
          <w:szCs w:val="20"/>
        </w:rPr>
        <w:t xml:space="preserve">has </w:t>
      </w:r>
      <w:r w:rsidRPr="00C560FB">
        <w:rPr>
          <w:sz w:val="20"/>
          <w:szCs w:val="20"/>
        </w:rPr>
        <w:t xml:space="preserve">referred to the directors’ duty to shareholders. Rex Holding </w:t>
      </w:r>
      <w:r w:rsidRPr="0067350E">
        <w:rPr>
          <w:sz w:val="20"/>
          <w:szCs w:val="20"/>
        </w:rPr>
        <w:t xml:space="preserve">case, 1301 </w:t>
      </w:r>
      <w:proofErr w:type="spellStart"/>
      <w:r w:rsidRPr="0067350E">
        <w:rPr>
          <w:sz w:val="20"/>
          <w:szCs w:val="20"/>
        </w:rPr>
        <w:t>Kinyû</w:t>
      </w:r>
      <w:proofErr w:type="spellEnd"/>
      <w:r w:rsidRPr="0067350E">
        <w:rPr>
          <w:sz w:val="20"/>
          <w:szCs w:val="20"/>
        </w:rPr>
        <w:t xml:space="preserve"> </w:t>
      </w:r>
      <w:proofErr w:type="spellStart"/>
      <w:r w:rsidRPr="0067350E">
        <w:rPr>
          <w:sz w:val="20"/>
          <w:szCs w:val="20"/>
        </w:rPr>
        <w:t>Shôji</w:t>
      </w:r>
      <w:proofErr w:type="spellEnd"/>
      <w:r w:rsidRPr="0067350E">
        <w:rPr>
          <w:sz w:val="20"/>
          <w:szCs w:val="20"/>
        </w:rPr>
        <w:t xml:space="preserve"> </w:t>
      </w:r>
      <w:proofErr w:type="spellStart"/>
      <w:r w:rsidRPr="0067350E">
        <w:rPr>
          <w:sz w:val="20"/>
          <w:szCs w:val="20"/>
        </w:rPr>
        <w:t>Hanrei</w:t>
      </w:r>
      <w:proofErr w:type="spellEnd"/>
      <w:r w:rsidRPr="0067350E">
        <w:rPr>
          <w:sz w:val="20"/>
          <w:szCs w:val="20"/>
        </w:rPr>
        <w:t xml:space="preserve"> 28 (Tokyo High Court, September 12, 2008); </w:t>
      </w:r>
      <w:proofErr w:type="spellStart"/>
      <w:r w:rsidRPr="0067350E">
        <w:rPr>
          <w:sz w:val="20"/>
          <w:szCs w:val="20"/>
        </w:rPr>
        <w:t>Sunstar</w:t>
      </w:r>
      <w:proofErr w:type="spellEnd"/>
      <w:r w:rsidRPr="0067350E">
        <w:rPr>
          <w:sz w:val="20"/>
          <w:szCs w:val="20"/>
        </w:rPr>
        <w:t xml:space="preserve"> case, 1326 </w:t>
      </w:r>
      <w:proofErr w:type="spellStart"/>
      <w:r w:rsidRPr="007D4262">
        <w:rPr>
          <w:sz w:val="20"/>
          <w:szCs w:val="20"/>
        </w:rPr>
        <w:t>Kinyû</w:t>
      </w:r>
      <w:proofErr w:type="spellEnd"/>
      <w:r w:rsidRPr="007D4262">
        <w:rPr>
          <w:sz w:val="20"/>
          <w:szCs w:val="20"/>
        </w:rPr>
        <w:t xml:space="preserve"> </w:t>
      </w:r>
      <w:proofErr w:type="spellStart"/>
      <w:r w:rsidRPr="007D4262">
        <w:rPr>
          <w:sz w:val="20"/>
          <w:szCs w:val="20"/>
        </w:rPr>
        <w:t>Shôji</w:t>
      </w:r>
      <w:proofErr w:type="spellEnd"/>
      <w:r w:rsidRPr="007D4262">
        <w:rPr>
          <w:sz w:val="20"/>
          <w:szCs w:val="20"/>
        </w:rPr>
        <w:t xml:space="preserve"> </w:t>
      </w:r>
      <w:proofErr w:type="spellStart"/>
      <w:r w:rsidRPr="007D4262">
        <w:rPr>
          <w:sz w:val="20"/>
          <w:szCs w:val="20"/>
        </w:rPr>
        <w:t>Hanrei</w:t>
      </w:r>
      <w:proofErr w:type="spellEnd"/>
      <w:r w:rsidRPr="007D4262">
        <w:rPr>
          <w:sz w:val="20"/>
          <w:szCs w:val="20"/>
        </w:rPr>
        <w:t xml:space="preserve"> 20 (Osaka High Court, September 1, 2009).</w:t>
      </w:r>
    </w:p>
  </w:footnote>
  <w:footnote w:id="67">
    <w:p w14:paraId="02F5FF49" w14:textId="2006C0AE" w:rsidR="00642081" w:rsidRPr="0067350E" w:rsidRDefault="00642081" w:rsidP="0067350E">
      <w:pPr>
        <w:jc w:val="both"/>
        <w:rPr>
          <w:sz w:val="20"/>
          <w:szCs w:val="20"/>
        </w:rPr>
      </w:pPr>
      <w:r w:rsidRPr="007D4262">
        <w:rPr>
          <w:rStyle w:val="FootnoteReference"/>
          <w:sz w:val="20"/>
          <w:szCs w:val="20"/>
        </w:rPr>
        <w:footnoteRef/>
      </w:r>
      <w:r w:rsidRPr="007D4262">
        <w:rPr>
          <w:sz w:val="20"/>
          <w:szCs w:val="20"/>
        </w:rPr>
        <w:t xml:space="preserve"> </w:t>
      </w:r>
      <w:r w:rsidR="0067350E" w:rsidRPr="007D4262">
        <w:rPr>
          <w:sz w:val="20"/>
          <w:szCs w:val="20"/>
        </w:rPr>
        <w:t>7.7 % in 2004 according to one report, see</w:t>
      </w:r>
      <w:r w:rsidR="00351D1B" w:rsidRPr="007D4262">
        <w:rPr>
          <w:sz w:val="20"/>
          <w:szCs w:val="20"/>
        </w:rPr>
        <w:t xml:space="preserve"> </w:t>
      </w:r>
      <w:proofErr w:type="spellStart"/>
      <w:r w:rsidR="00351D1B" w:rsidRPr="007D4262">
        <w:rPr>
          <w:sz w:val="20"/>
          <w:szCs w:val="20"/>
        </w:rPr>
        <w:t>Masaharu</w:t>
      </w:r>
      <w:proofErr w:type="spellEnd"/>
      <w:r w:rsidR="00351D1B" w:rsidRPr="007D4262">
        <w:rPr>
          <w:sz w:val="20"/>
          <w:szCs w:val="20"/>
        </w:rPr>
        <w:t xml:space="preserve"> Ito, ‘</w:t>
      </w:r>
      <w:r w:rsidR="0067350E" w:rsidRPr="007D4262">
        <w:rPr>
          <w:sz w:val="20"/>
          <w:szCs w:val="20"/>
        </w:rPr>
        <w:t>The End of Cross-shareholdings in Japan</w:t>
      </w:r>
      <w:r w:rsidR="00351D1B" w:rsidRPr="007D4262">
        <w:rPr>
          <w:sz w:val="20"/>
          <w:szCs w:val="20"/>
        </w:rPr>
        <w:t>’</w:t>
      </w:r>
      <w:r w:rsidR="0067350E" w:rsidRPr="007D4262">
        <w:rPr>
          <w:sz w:val="20"/>
          <w:szCs w:val="20"/>
        </w:rPr>
        <w:t xml:space="preserve">, </w:t>
      </w:r>
      <w:r w:rsidR="007F1FA1" w:rsidRPr="007D4262">
        <w:rPr>
          <w:sz w:val="20"/>
          <w:szCs w:val="20"/>
        </w:rPr>
        <w:t>(</w:t>
      </w:r>
      <w:r w:rsidR="0067350E" w:rsidRPr="007D4262">
        <w:rPr>
          <w:sz w:val="20"/>
          <w:szCs w:val="20"/>
        </w:rPr>
        <w:t>2004</w:t>
      </w:r>
      <w:r w:rsidR="007F1FA1" w:rsidRPr="007D4262">
        <w:rPr>
          <w:sz w:val="20"/>
          <w:szCs w:val="20"/>
        </w:rPr>
        <w:t>)</w:t>
      </w:r>
      <w:r w:rsidR="0067350E" w:rsidRPr="007D4262">
        <w:rPr>
          <w:sz w:val="20"/>
          <w:szCs w:val="20"/>
        </w:rPr>
        <w:t xml:space="preserve">  Daiwa Institute of Research </w:t>
      </w:r>
      <w:hyperlink r:id="rId4" w:history="1">
        <w:r w:rsidR="0067350E" w:rsidRPr="007D4262">
          <w:rPr>
            <w:rStyle w:val="Hyperlink"/>
            <w:sz w:val="20"/>
            <w:szCs w:val="20"/>
          </w:rPr>
          <w:t>http://www.dir.co.jp/release/pdf/dir0402b.pdf</w:t>
        </w:r>
      </w:hyperlink>
      <w:r w:rsidR="0067350E" w:rsidRPr="007D4262">
        <w:rPr>
          <w:sz w:val="20"/>
          <w:szCs w:val="20"/>
        </w:rPr>
        <w:t xml:space="preserve">;  19 % according to another report, see Leo Lewis, Japanese banks to accelerate unwind of cross-shareholdings: Mizuho, Sumitomo and Mitsubishi set fresh targets to reduce Y10tn ‘strategic’ client stakes, Financial Times, 15 Nov 2015 </w:t>
      </w:r>
      <w:hyperlink r:id="rId5" w:history="1">
        <w:r w:rsidR="0067350E" w:rsidRPr="007D4262">
          <w:rPr>
            <w:rStyle w:val="Hyperlink"/>
            <w:sz w:val="20"/>
            <w:szCs w:val="20"/>
          </w:rPr>
          <w:t>https://www.ft.com/content/bf714ea6-8b76-11e5-8be4-3506bf20cc2b</w:t>
        </w:r>
      </w:hyperlink>
    </w:p>
  </w:footnote>
  <w:footnote w:id="68">
    <w:p w14:paraId="286C9155" w14:textId="1745E32B" w:rsidR="00D3257E" w:rsidRPr="00C84BBA" w:rsidRDefault="00D3257E" w:rsidP="0067350E">
      <w:pPr>
        <w:pStyle w:val="FootnoteText"/>
        <w:jc w:val="both"/>
        <w:rPr>
          <w:lang w:val="en-US"/>
        </w:rPr>
      </w:pPr>
      <w:r w:rsidRPr="008F7BA8">
        <w:rPr>
          <w:rStyle w:val="FootnoteReference"/>
          <w:sz w:val="20"/>
          <w:szCs w:val="20"/>
        </w:rPr>
        <w:footnoteRef/>
      </w:r>
      <w:r w:rsidRPr="008F7BA8">
        <w:rPr>
          <w:sz w:val="20"/>
          <w:szCs w:val="20"/>
        </w:rPr>
        <w:t xml:space="preserve"> </w:t>
      </w:r>
      <w:r w:rsidRPr="008F7BA8">
        <w:rPr>
          <w:sz w:val="20"/>
          <w:szCs w:val="20"/>
          <w:lang w:val="en-US"/>
        </w:rPr>
        <w:t xml:space="preserve">Hideaki </w:t>
      </w:r>
      <w:proofErr w:type="spellStart"/>
      <w:r w:rsidRPr="008F7BA8">
        <w:rPr>
          <w:sz w:val="20"/>
          <w:szCs w:val="20"/>
          <w:lang w:val="en-US"/>
        </w:rPr>
        <w:t>Sakawa</w:t>
      </w:r>
      <w:proofErr w:type="spellEnd"/>
      <w:r w:rsidRPr="008F7BA8">
        <w:rPr>
          <w:sz w:val="20"/>
          <w:szCs w:val="20"/>
          <w:lang w:val="en-US"/>
        </w:rPr>
        <w:t xml:space="preserve">, Masato </w:t>
      </w:r>
      <w:proofErr w:type="spellStart"/>
      <w:r w:rsidRPr="008F7BA8">
        <w:rPr>
          <w:sz w:val="20"/>
          <w:szCs w:val="20"/>
          <w:lang w:val="en-US"/>
        </w:rPr>
        <w:t>Ubukata</w:t>
      </w:r>
      <w:proofErr w:type="spellEnd"/>
      <w:r w:rsidRPr="008F7BA8">
        <w:rPr>
          <w:sz w:val="20"/>
          <w:szCs w:val="20"/>
          <w:lang w:val="en-US"/>
        </w:rPr>
        <w:t>, Naoki Watanabe ‘Market liquidity and bank-dominated corporate governance: Evidence from Japan’ (2014) 31(2) International Review of Econom</w:t>
      </w:r>
      <w:r>
        <w:rPr>
          <w:sz w:val="20"/>
          <w:szCs w:val="20"/>
          <w:lang w:val="en-US"/>
        </w:rPr>
        <w:t>ics &amp; Finance</w:t>
      </w:r>
      <w:r w:rsidRPr="008F7BA8">
        <w:rPr>
          <w:sz w:val="20"/>
          <w:szCs w:val="20"/>
          <w:lang w:val="en-US"/>
        </w:rPr>
        <w:t xml:space="preserve"> 1-11.</w:t>
      </w:r>
      <w:r>
        <w:rPr>
          <w:lang w:val="en-US"/>
        </w:rPr>
        <w:t xml:space="preserve"> </w:t>
      </w:r>
    </w:p>
  </w:footnote>
  <w:footnote w:id="69">
    <w:p w14:paraId="111539BF" w14:textId="4328A24D" w:rsidR="00D3257E" w:rsidRPr="008F7BA8" w:rsidRDefault="00D3257E" w:rsidP="002705FB">
      <w:pPr>
        <w:pStyle w:val="FootnoteText"/>
        <w:jc w:val="both"/>
        <w:rPr>
          <w:sz w:val="20"/>
          <w:szCs w:val="20"/>
          <w:lang w:val="en-US"/>
        </w:rPr>
      </w:pPr>
      <w:r w:rsidRPr="008F7BA8">
        <w:rPr>
          <w:rStyle w:val="FootnoteReference"/>
          <w:sz w:val="20"/>
          <w:szCs w:val="20"/>
        </w:rPr>
        <w:footnoteRef/>
      </w:r>
      <w:r w:rsidRPr="008F7BA8">
        <w:rPr>
          <w:sz w:val="20"/>
          <w:szCs w:val="20"/>
        </w:rPr>
        <w:t xml:space="preserve"> </w:t>
      </w:r>
      <w:r w:rsidRPr="008F7BA8">
        <w:rPr>
          <w:sz w:val="20"/>
          <w:szCs w:val="20"/>
          <w:lang w:val="en-US"/>
        </w:rPr>
        <w:t xml:space="preserve">Kenji </w:t>
      </w:r>
      <w:proofErr w:type="spellStart"/>
      <w:r w:rsidRPr="008F7BA8">
        <w:rPr>
          <w:sz w:val="20"/>
          <w:szCs w:val="20"/>
          <w:lang w:val="en-US"/>
        </w:rPr>
        <w:t>Kutsyna</w:t>
      </w:r>
      <w:proofErr w:type="spellEnd"/>
      <w:r w:rsidRPr="008F7BA8">
        <w:rPr>
          <w:sz w:val="20"/>
          <w:szCs w:val="20"/>
          <w:lang w:val="en-US"/>
        </w:rPr>
        <w:t>, Janet Smith, &amp; Richard Smith ‘Banking relationships and access to equity capital markets: Evidence from Japan’s main bank system’ (2007)</w:t>
      </w:r>
      <w:r>
        <w:rPr>
          <w:sz w:val="20"/>
          <w:szCs w:val="20"/>
          <w:lang w:val="en-US"/>
        </w:rPr>
        <w:t xml:space="preserve"> </w:t>
      </w:r>
      <w:r w:rsidRPr="008F7BA8">
        <w:rPr>
          <w:sz w:val="20"/>
          <w:szCs w:val="20"/>
          <w:lang w:val="en-US"/>
        </w:rPr>
        <w:t xml:space="preserve">31(2) Journal of Banking &amp; Finance 335-360. </w:t>
      </w:r>
    </w:p>
  </w:footnote>
  <w:footnote w:id="70">
    <w:p w14:paraId="084036FD" w14:textId="46D8A017" w:rsidR="00D3257E" w:rsidRPr="008F7BA8" w:rsidRDefault="00D3257E" w:rsidP="002705FB">
      <w:pPr>
        <w:pStyle w:val="FootnoteText"/>
        <w:jc w:val="both"/>
        <w:rPr>
          <w:sz w:val="20"/>
          <w:szCs w:val="20"/>
          <w:lang w:val="en-US"/>
        </w:rPr>
      </w:pPr>
      <w:r w:rsidRPr="008F7BA8">
        <w:rPr>
          <w:rStyle w:val="FootnoteReference"/>
          <w:sz w:val="20"/>
          <w:szCs w:val="20"/>
        </w:rPr>
        <w:footnoteRef/>
      </w:r>
      <w:r w:rsidRPr="008F7BA8">
        <w:rPr>
          <w:sz w:val="20"/>
          <w:szCs w:val="20"/>
        </w:rPr>
        <w:t xml:space="preserve"> </w:t>
      </w:r>
      <w:proofErr w:type="spellStart"/>
      <w:r w:rsidRPr="008F7BA8">
        <w:rPr>
          <w:sz w:val="20"/>
          <w:szCs w:val="20"/>
          <w:lang w:val="en-US"/>
        </w:rPr>
        <w:t>Ayoko</w:t>
      </w:r>
      <w:proofErr w:type="spellEnd"/>
      <w:r w:rsidRPr="008F7BA8">
        <w:rPr>
          <w:sz w:val="20"/>
          <w:szCs w:val="20"/>
          <w:lang w:val="en-US"/>
        </w:rPr>
        <w:t xml:space="preserve"> Yasuda ‘Do bank relationships affect the firm’s underwriter choice in the corporate-bond underwriting market?’ (2005) 60 The Journal of Finance 1259-1292. </w:t>
      </w:r>
    </w:p>
  </w:footnote>
  <w:footnote w:id="71">
    <w:p w14:paraId="0D1F7426" w14:textId="5EE5C441" w:rsidR="00D3257E" w:rsidRPr="008F7BA8" w:rsidRDefault="00D3257E" w:rsidP="002705FB">
      <w:pPr>
        <w:pStyle w:val="FootnoteText"/>
        <w:jc w:val="both"/>
        <w:rPr>
          <w:sz w:val="20"/>
          <w:szCs w:val="20"/>
          <w:lang w:val="en-US"/>
        </w:rPr>
      </w:pPr>
      <w:r w:rsidRPr="008F7BA8">
        <w:rPr>
          <w:rStyle w:val="FootnoteReference"/>
          <w:sz w:val="20"/>
          <w:szCs w:val="20"/>
        </w:rPr>
        <w:footnoteRef/>
      </w:r>
      <w:r w:rsidRPr="008F7BA8">
        <w:rPr>
          <w:sz w:val="20"/>
          <w:szCs w:val="20"/>
        </w:rPr>
        <w:t xml:space="preserve"> </w:t>
      </w:r>
      <w:r w:rsidRPr="008F7BA8">
        <w:rPr>
          <w:sz w:val="20"/>
          <w:szCs w:val="20"/>
          <w:lang w:val="en-US"/>
        </w:rPr>
        <w:t xml:space="preserve">Yoshiro Miwa and Mark </w:t>
      </w:r>
      <w:proofErr w:type="spellStart"/>
      <w:r w:rsidRPr="008F7BA8">
        <w:rPr>
          <w:sz w:val="20"/>
          <w:szCs w:val="20"/>
          <w:lang w:val="en-US"/>
        </w:rPr>
        <w:t>Ramseyer</w:t>
      </w:r>
      <w:proofErr w:type="spellEnd"/>
      <w:r w:rsidRPr="008F7BA8">
        <w:rPr>
          <w:sz w:val="20"/>
          <w:szCs w:val="20"/>
          <w:lang w:val="en-US"/>
        </w:rPr>
        <w:t xml:space="preserve"> ‘Who appoints them, what do they do? Evidence on outside directors from Japan’ (2005) 14(2) Journal of E</w:t>
      </w:r>
      <w:r>
        <w:rPr>
          <w:sz w:val="20"/>
          <w:szCs w:val="20"/>
          <w:lang w:val="en-US"/>
        </w:rPr>
        <w:t xml:space="preserve">conomics &amp; Management Strategy </w:t>
      </w:r>
      <w:r w:rsidRPr="008F7BA8">
        <w:rPr>
          <w:sz w:val="20"/>
          <w:szCs w:val="20"/>
          <w:lang w:val="en-US"/>
        </w:rPr>
        <w:t xml:space="preserve">299-337. </w:t>
      </w:r>
    </w:p>
  </w:footnote>
  <w:footnote w:id="72">
    <w:p w14:paraId="4AF295F4" w14:textId="5EA81F5B" w:rsidR="00D3257E" w:rsidRPr="00D91886" w:rsidRDefault="00D3257E" w:rsidP="002705FB">
      <w:pPr>
        <w:jc w:val="both"/>
        <w:rPr>
          <w:sz w:val="20"/>
          <w:szCs w:val="20"/>
        </w:rPr>
      </w:pPr>
      <w:r w:rsidRPr="007D4262">
        <w:rPr>
          <w:rStyle w:val="FootnoteReference"/>
          <w:sz w:val="20"/>
          <w:szCs w:val="20"/>
        </w:rPr>
        <w:footnoteRef/>
      </w:r>
      <w:r w:rsidRPr="007D4262">
        <w:rPr>
          <w:sz w:val="20"/>
          <w:szCs w:val="20"/>
        </w:rPr>
        <w:t xml:space="preserve"> </w:t>
      </w:r>
      <w:r w:rsidRPr="007D4262">
        <w:rPr>
          <w:sz w:val="20"/>
          <w:szCs w:val="20"/>
          <w:lang w:val="en-US"/>
        </w:rPr>
        <w:t xml:space="preserve">The Japanese Companies Act Article 2(15). It defines an independent director as a person (1) who is not an executive director nor an executive officer, nor an employee, including a manager, of such Stock Company or any of its subsidiaries, and (2) who has neither ever served in the past as an executive director nor executive officer, nor as an employee, including a manager, of such Stock Company or any of its subsidiaries. </w:t>
      </w:r>
      <w:r w:rsidR="00C05858" w:rsidRPr="007D4262">
        <w:rPr>
          <w:rFonts w:hint="eastAsia"/>
          <w:sz w:val="20"/>
          <w:szCs w:val="20"/>
          <w:lang w:val="en-US"/>
        </w:rPr>
        <w:t>After the 2014 amendments, where the company has board committees</w:t>
      </w:r>
      <w:r w:rsidR="00C05858" w:rsidRPr="007D4262">
        <w:rPr>
          <w:sz w:val="20"/>
          <w:szCs w:val="20"/>
          <w:lang w:val="en-US"/>
        </w:rPr>
        <w:t>, either three committees or just one audit committee, it is required to appoint at least two outside directors. Otherwise, the company is not required to appoint an outside director.</w:t>
      </w:r>
    </w:p>
  </w:footnote>
  <w:footnote w:id="73">
    <w:p w14:paraId="576F9046" w14:textId="77777777" w:rsidR="00D3257E" w:rsidRPr="00CD7DCB" w:rsidRDefault="00D3257E" w:rsidP="002705FB">
      <w:pPr>
        <w:pStyle w:val="FootnoteText"/>
        <w:jc w:val="both"/>
        <w:rPr>
          <w:sz w:val="20"/>
          <w:szCs w:val="20"/>
          <w:lang w:val="en-US"/>
        </w:rPr>
      </w:pPr>
      <w:r w:rsidRPr="00CD7DCB">
        <w:rPr>
          <w:rStyle w:val="FootnoteReference"/>
          <w:sz w:val="20"/>
          <w:szCs w:val="20"/>
        </w:rPr>
        <w:footnoteRef/>
      </w:r>
      <w:r w:rsidRPr="00CD7DCB">
        <w:rPr>
          <w:sz w:val="20"/>
          <w:szCs w:val="20"/>
        </w:rPr>
        <w:t xml:space="preserve"> </w:t>
      </w:r>
      <w:r>
        <w:rPr>
          <w:sz w:val="20"/>
          <w:szCs w:val="20"/>
        </w:rPr>
        <w:t xml:space="preserve">Japan’s </w:t>
      </w:r>
      <w:r w:rsidRPr="00CD7DCB">
        <w:rPr>
          <w:sz w:val="20"/>
          <w:szCs w:val="20"/>
          <w:lang w:val="en-US"/>
        </w:rPr>
        <w:t>Corporate Governance Code, Principle 4-8 http://www.fsa.go.jp/en/refer/councils/corporategovernance/20150306-1/01.pdf</w:t>
      </w:r>
    </w:p>
  </w:footnote>
  <w:footnote w:id="74">
    <w:p w14:paraId="6DFEB713" w14:textId="2A152A0A" w:rsidR="00D3257E" w:rsidRPr="002705FB" w:rsidRDefault="00D3257E" w:rsidP="00A05E9C">
      <w:pPr>
        <w:pStyle w:val="FootnoteText"/>
        <w:jc w:val="both"/>
        <w:rPr>
          <w:sz w:val="20"/>
          <w:szCs w:val="20"/>
        </w:rPr>
      </w:pPr>
      <w:r w:rsidRPr="002705FB">
        <w:rPr>
          <w:rStyle w:val="FootnoteReference"/>
          <w:sz w:val="20"/>
          <w:szCs w:val="20"/>
        </w:rPr>
        <w:footnoteRef/>
      </w:r>
      <w:r w:rsidRPr="002705FB">
        <w:rPr>
          <w:sz w:val="20"/>
          <w:szCs w:val="20"/>
        </w:rPr>
        <w:t xml:space="preserve"> The CEO of Lawson moving to Suntory is a rare example; Also see </w:t>
      </w:r>
      <w:r w:rsidRPr="002705FB">
        <w:rPr>
          <w:sz w:val="20"/>
          <w:szCs w:val="20"/>
          <w:lang w:val="en-US"/>
        </w:rPr>
        <w:t xml:space="preserve">A </w:t>
      </w:r>
      <w:proofErr w:type="spellStart"/>
      <w:r w:rsidRPr="002705FB">
        <w:rPr>
          <w:sz w:val="20"/>
          <w:szCs w:val="20"/>
          <w:lang w:val="en-US"/>
        </w:rPr>
        <w:t>Horiuchi</w:t>
      </w:r>
      <w:proofErr w:type="spellEnd"/>
      <w:r w:rsidRPr="002705FB">
        <w:rPr>
          <w:sz w:val="20"/>
          <w:szCs w:val="20"/>
          <w:lang w:val="en-US"/>
        </w:rPr>
        <w:t xml:space="preserve"> and K Shimizu ‘Did </w:t>
      </w:r>
      <w:proofErr w:type="spellStart"/>
      <w:r w:rsidRPr="008E4DAB">
        <w:rPr>
          <w:i/>
          <w:sz w:val="20"/>
          <w:szCs w:val="20"/>
          <w:lang w:val="en-US"/>
        </w:rPr>
        <w:t>Amakudari</w:t>
      </w:r>
      <w:proofErr w:type="spellEnd"/>
      <w:r w:rsidRPr="008E4DAB">
        <w:rPr>
          <w:i/>
          <w:sz w:val="20"/>
          <w:szCs w:val="20"/>
          <w:lang w:val="en-US"/>
        </w:rPr>
        <w:t xml:space="preserve"> </w:t>
      </w:r>
      <w:r>
        <w:rPr>
          <w:sz w:val="20"/>
          <w:szCs w:val="20"/>
          <w:lang w:val="en-US"/>
        </w:rPr>
        <w:t>u</w:t>
      </w:r>
      <w:r w:rsidRPr="002705FB">
        <w:rPr>
          <w:sz w:val="20"/>
          <w:szCs w:val="20"/>
          <w:lang w:val="en-US"/>
        </w:rPr>
        <w:t>ndermine the effectiveness of regulator monitoring in Japan’ (2001) 25</w:t>
      </w:r>
      <w:r>
        <w:rPr>
          <w:sz w:val="20"/>
          <w:szCs w:val="20"/>
          <w:lang w:val="en-US"/>
        </w:rPr>
        <w:t xml:space="preserve"> Journal of Banking and Finance</w:t>
      </w:r>
      <w:r w:rsidRPr="002705FB">
        <w:rPr>
          <w:sz w:val="20"/>
          <w:szCs w:val="20"/>
          <w:lang w:val="en-US"/>
        </w:rPr>
        <w:t xml:space="preserve"> 573.</w:t>
      </w:r>
    </w:p>
  </w:footnote>
  <w:footnote w:id="75">
    <w:p w14:paraId="0888D330" w14:textId="3F6C81E8" w:rsidR="006E641A" w:rsidRPr="007D4262" w:rsidRDefault="00A40837" w:rsidP="006E641A">
      <w:pPr>
        <w:rPr>
          <w:sz w:val="20"/>
          <w:szCs w:val="20"/>
        </w:rPr>
      </w:pPr>
      <w:r w:rsidRPr="007D4262">
        <w:rPr>
          <w:rStyle w:val="FootnoteReference"/>
          <w:sz w:val="20"/>
          <w:szCs w:val="20"/>
        </w:rPr>
        <w:footnoteRef/>
      </w:r>
      <w:r w:rsidRPr="007D4262">
        <w:rPr>
          <w:sz w:val="20"/>
          <w:szCs w:val="20"/>
        </w:rPr>
        <w:t xml:space="preserve"> </w:t>
      </w:r>
      <w:r w:rsidR="006E641A" w:rsidRPr="007D4262">
        <w:rPr>
          <w:sz w:val="20"/>
          <w:szCs w:val="20"/>
        </w:rPr>
        <w:t xml:space="preserve">There is no conclusive evidence on </w:t>
      </w:r>
      <w:r w:rsidR="00F61FE6" w:rsidRPr="007D4262">
        <w:rPr>
          <w:sz w:val="20"/>
          <w:szCs w:val="20"/>
        </w:rPr>
        <w:t xml:space="preserve">the </w:t>
      </w:r>
      <w:r w:rsidR="006E641A" w:rsidRPr="007D4262">
        <w:rPr>
          <w:sz w:val="20"/>
          <w:szCs w:val="20"/>
        </w:rPr>
        <w:t>benefits of an independent board in a takeover bid. The effectiveness depends on how they behave in the situation. See</w:t>
      </w:r>
    </w:p>
    <w:p w14:paraId="4D2AE5F2" w14:textId="060F9C15" w:rsidR="00A40837" w:rsidRPr="006E641A" w:rsidRDefault="006E641A" w:rsidP="00F61FE6">
      <w:pPr>
        <w:jc w:val="both"/>
        <w:rPr>
          <w:sz w:val="20"/>
          <w:szCs w:val="20"/>
        </w:rPr>
      </w:pPr>
      <w:r w:rsidRPr="007D4262">
        <w:rPr>
          <w:sz w:val="20"/>
          <w:szCs w:val="20"/>
        </w:rPr>
        <w:t xml:space="preserve">P Clarkson, A </w:t>
      </w:r>
      <w:proofErr w:type="spellStart"/>
      <w:r w:rsidRPr="007D4262">
        <w:rPr>
          <w:sz w:val="20"/>
          <w:szCs w:val="20"/>
        </w:rPr>
        <w:t>Craswell</w:t>
      </w:r>
      <w:proofErr w:type="spellEnd"/>
      <w:r w:rsidRPr="007D4262">
        <w:rPr>
          <w:sz w:val="20"/>
          <w:szCs w:val="20"/>
        </w:rPr>
        <w:t>, P Mackenzie, ‘</w:t>
      </w:r>
      <w:r w:rsidR="00F61FE6" w:rsidRPr="007D4262">
        <w:rPr>
          <w:sz w:val="20"/>
          <w:szCs w:val="20"/>
        </w:rPr>
        <w:t>The effect of board independence on target s</w:t>
      </w:r>
      <w:r w:rsidRPr="007D4262">
        <w:rPr>
          <w:sz w:val="20"/>
          <w:szCs w:val="20"/>
        </w:rPr>
        <w:t>hareholder Wealth’ (2008) 18 (2) Australian Accounting Review</w:t>
      </w:r>
      <w:r w:rsidR="00F61FE6" w:rsidRPr="007D4262">
        <w:rPr>
          <w:sz w:val="20"/>
          <w:szCs w:val="20"/>
        </w:rPr>
        <w:t xml:space="preserve"> </w:t>
      </w:r>
      <w:r w:rsidRPr="007D4262">
        <w:rPr>
          <w:sz w:val="20"/>
          <w:szCs w:val="20"/>
        </w:rPr>
        <w:t>135</w:t>
      </w:r>
      <w:r w:rsidR="00F61FE6" w:rsidRPr="007D4262">
        <w:rPr>
          <w:sz w:val="20"/>
          <w:szCs w:val="20"/>
        </w:rPr>
        <w:t>-148;</w:t>
      </w:r>
      <w:r w:rsidRPr="007D4262">
        <w:rPr>
          <w:sz w:val="20"/>
          <w:szCs w:val="20"/>
        </w:rPr>
        <w:t xml:space="preserve"> </w:t>
      </w:r>
      <w:r w:rsidR="00F61FE6" w:rsidRPr="007D4262">
        <w:rPr>
          <w:sz w:val="20"/>
          <w:szCs w:val="20"/>
        </w:rPr>
        <w:t>B</w:t>
      </w:r>
      <w:r w:rsidRPr="007D4262">
        <w:rPr>
          <w:sz w:val="20"/>
          <w:szCs w:val="20"/>
        </w:rPr>
        <w:t xml:space="preserve"> Schmidt ‘Costs and benefits of friendly boards during mergers and acquisitions’ </w:t>
      </w:r>
      <w:r w:rsidR="00F61FE6" w:rsidRPr="007D4262">
        <w:rPr>
          <w:sz w:val="20"/>
          <w:szCs w:val="20"/>
        </w:rPr>
        <w:t xml:space="preserve">(2015) </w:t>
      </w:r>
      <w:r w:rsidRPr="007D4262">
        <w:rPr>
          <w:sz w:val="20"/>
          <w:szCs w:val="20"/>
        </w:rPr>
        <w:t>Journal of Financial Economics</w:t>
      </w:r>
      <w:r w:rsidR="00F61FE6" w:rsidRPr="007D4262">
        <w:rPr>
          <w:sz w:val="20"/>
          <w:szCs w:val="20"/>
        </w:rPr>
        <w:t xml:space="preserve"> 424-</w:t>
      </w:r>
      <w:proofErr w:type="gramStart"/>
      <w:r w:rsidR="00F61FE6" w:rsidRPr="007D4262">
        <w:rPr>
          <w:sz w:val="20"/>
          <w:szCs w:val="20"/>
        </w:rPr>
        <w:t xml:space="preserve">447 </w:t>
      </w:r>
      <w:r w:rsidR="00ED1AB6" w:rsidRPr="007D4262">
        <w:rPr>
          <w:sz w:val="20"/>
          <w:szCs w:val="20"/>
        </w:rPr>
        <w:t>;</w:t>
      </w:r>
      <w:r w:rsidR="00F61FE6" w:rsidRPr="007D4262">
        <w:rPr>
          <w:sz w:val="20"/>
          <w:szCs w:val="20"/>
        </w:rPr>
        <w:t>M</w:t>
      </w:r>
      <w:proofErr w:type="gramEnd"/>
      <w:r w:rsidRPr="007D4262">
        <w:rPr>
          <w:sz w:val="20"/>
          <w:szCs w:val="20"/>
        </w:rPr>
        <w:t xml:space="preserve"> </w:t>
      </w:r>
      <w:proofErr w:type="spellStart"/>
      <w:r w:rsidRPr="007D4262">
        <w:rPr>
          <w:sz w:val="20"/>
          <w:szCs w:val="20"/>
        </w:rPr>
        <w:t>Bange</w:t>
      </w:r>
      <w:proofErr w:type="spellEnd"/>
      <w:r w:rsidRPr="007D4262">
        <w:rPr>
          <w:sz w:val="20"/>
          <w:szCs w:val="20"/>
        </w:rPr>
        <w:t xml:space="preserve"> ‘</w:t>
      </w:r>
      <w:r w:rsidR="00F61FE6" w:rsidRPr="007D4262">
        <w:rPr>
          <w:sz w:val="20"/>
          <w:szCs w:val="20"/>
        </w:rPr>
        <w:t>Board composition, board effectiveness, and the observed form of takeover b</w:t>
      </w:r>
      <w:r w:rsidRPr="007D4262">
        <w:rPr>
          <w:sz w:val="20"/>
          <w:szCs w:val="20"/>
        </w:rPr>
        <w:t>ids’</w:t>
      </w:r>
      <w:r w:rsidR="00F61FE6" w:rsidRPr="007D4262">
        <w:rPr>
          <w:sz w:val="20"/>
          <w:szCs w:val="20"/>
        </w:rPr>
        <w:t xml:space="preserve"> (2004) 17(4) </w:t>
      </w:r>
      <w:r w:rsidRPr="007D4262">
        <w:rPr>
          <w:sz w:val="20"/>
          <w:szCs w:val="20"/>
        </w:rPr>
        <w:t>The Revi</w:t>
      </w:r>
      <w:r w:rsidR="00F61FE6" w:rsidRPr="007D4262">
        <w:rPr>
          <w:sz w:val="20"/>
          <w:szCs w:val="20"/>
        </w:rPr>
        <w:t>ew of Financial Studies 1185-1215.</w:t>
      </w:r>
    </w:p>
  </w:footnote>
  <w:footnote w:id="76">
    <w:p w14:paraId="6524490F" w14:textId="69117D94" w:rsidR="00D3257E" w:rsidRPr="008E4DAB" w:rsidRDefault="00D3257E" w:rsidP="00A05E9C">
      <w:pPr>
        <w:pStyle w:val="FootnoteText"/>
        <w:jc w:val="both"/>
        <w:rPr>
          <w:sz w:val="20"/>
          <w:szCs w:val="20"/>
          <w:lang w:val="en-US"/>
        </w:rPr>
      </w:pPr>
      <w:r w:rsidRPr="008E4DAB">
        <w:rPr>
          <w:rStyle w:val="FootnoteReference"/>
          <w:sz w:val="20"/>
          <w:szCs w:val="20"/>
        </w:rPr>
        <w:footnoteRef/>
      </w:r>
      <w:r w:rsidRPr="008E4DAB">
        <w:rPr>
          <w:sz w:val="20"/>
          <w:szCs w:val="20"/>
        </w:rPr>
        <w:t xml:space="preserve"> </w:t>
      </w:r>
      <w:r w:rsidRPr="008E4DAB">
        <w:rPr>
          <w:sz w:val="20"/>
          <w:szCs w:val="20"/>
          <w:lang w:val="en-US"/>
        </w:rPr>
        <w:t xml:space="preserve">Stephanie Pease, Stanley </w:t>
      </w:r>
      <w:proofErr w:type="spellStart"/>
      <w:r w:rsidRPr="008E4DAB">
        <w:rPr>
          <w:sz w:val="20"/>
          <w:szCs w:val="20"/>
          <w:lang w:val="en-US"/>
        </w:rPr>
        <w:t>Paliwoda</w:t>
      </w:r>
      <w:proofErr w:type="spellEnd"/>
      <w:r w:rsidRPr="008E4DAB">
        <w:rPr>
          <w:sz w:val="20"/>
          <w:szCs w:val="20"/>
          <w:lang w:val="en-US"/>
        </w:rPr>
        <w:t xml:space="preserve">, Jim Slater ‘The erosion of stable shareholder practice in Japan’ (2006) 15 International Business Review 618-640. </w:t>
      </w:r>
    </w:p>
  </w:footnote>
  <w:footnote w:id="77">
    <w:p w14:paraId="2A291C04" w14:textId="2A6BFE90" w:rsidR="00D3257E" w:rsidRPr="00546C19" w:rsidRDefault="00D3257E" w:rsidP="00A05E9C">
      <w:pPr>
        <w:pStyle w:val="FootnoteText"/>
        <w:jc w:val="both"/>
        <w:rPr>
          <w:lang w:val="en-US"/>
        </w:rPr>
      </w:pPr>
      <w:r w:rsidRPr="008E4DAB">
        <w:rPr>
          <w:rStyle w:val="FootnoteReference"/>
          <w:sz w:val="20"/>
          <w:szCs w:val="20"/>
        </w:rPr>
        <w:footnoteRef/>
      </w:r>
      <w:r w:rsidRPr="008E4DAB">
        <w:rPr>
          <w:sz w:val="20"/>
          <w:szCs w:val="20"/>
        </w:rPr>
        <w:t xml:space="preserve"> </w:t>
      </w:r>
      <w:r w:rsidRPr="008E4DAB">
        <w:rPr>
          <w:sz w:val="20"/>
          <w:szCs w:val="20"/>
          <w:lang w:val="en-US"/>
        </w:rPr>
        <w:t xml:space="preserve">B </w:t>
      </w:r>
      <w:proofErr w:type="spellStart"/>
      <w:r w:rsidRPr="008E4DAB">
        <w:rPr>
          <w:sz w:val="20"/>
          <w:szCs w:val="20"/>
          <w:lang w:val="en-US"/>
        </w:rPr>
        <w:t>McLannahan</w:t>
      </w:r>
      <w:proofErr w:type="spellEnd"/>
      <w:r w:rsidRPr="008E4DAB">
        <w:rPr>
          <w:sz w:val="20"/>
          <w:szCs w:val="20"/>
          <w:lang w:val="en-US"/>
        </w:rPr>
        <w:t xml:space="preserve"> ‘Japanese shareholders reap</w:t>
      </w:r>
      <w:r>
        <w:rPr>
          <w:sz w:val="20"/>
          <w:szCs w:val="20"/>
          <w:lang w:val="en-US"/>
        </w:rPr>
        <w:t xml:space="preserve"> quirky perks’ Financial Times 23 Feb</w:t>
      </w:r>
      <w:r w:rsidRPr="008E4DAB">
        <w:rPr>
          <w:sz w:val="20"/>
          <w:szCs w:val="20"/>
          <w:lang w:val="en-US"/>
        </w:rPr>
        <w:t xml:space="preserve"> 2014.</w:t>
      </w:r>
      <w:r>
        <w:rPr>
          <w:lang w:val="en-US"/>
        </w:rPr>
        <w:t xml:space="preserve"> </w:t>
      </w:r>
    </w:p>
  </w:footnote>
  <w:footnote w:id="78">
    <w:p w14:paraId="68AA93E4" w14:textId="19E37FC3" w:rsidR="00D3257E" w:rsidRPr="008E4DAB" w:rsidRDefault="00D3257E" w:rsidP="00A05E9C">
      <w:pPr>
        <w:pStyle w:val="FootnoteText"/>
        <w:jc w:val="both"/>
        <w:rPr>
          <w:sz w:val="20"/>
          <w:szCs w:val="20"/>
          <w:lang w:val="en-US"/>
        </w:rPr>
      </w:pPr>
      <w:r w:rsidRPr="008E4DAB">
        <w:rPr>
          <w:rStyle w:val="FootnoteReference"/>
          <w:sz w:val="20"/>
          <w:szCs w:val="20"/>
        </w:rPr>
        <w:footnoteRef/>
      </w:r>
      <w:r w:rsidRPr="008E4DAB">
        <w:rPr>
          <w:sz w:val="20"/>
          <w:szCs w:val="20"/>
        </w:rPr>
        <w:t xml:space="preserve"> </w:t>
      </w:r>
      <w:r w:rsidRPr="008E4DAB">
        <w:rPr>
          <w:sz w:val="20"/>
          <w:szCs w:val="20"/>
          <w:lang w:val="en-US"/>
        </w:rPr>
        <w:t xml:space="preserve">Aoki </w:t>
      </w:r>
      <w:proofErr w:type="spellStart"/>
      <w:r w:rsidRPr="008E4DAB">
        <w:rPr>
          <w:sz w:val="20"/>
          <w:szCs w:val="20"/>
          <w:lang w:val="en-US"/>
        </w:rPr>
        <w:t>Yasuharu</w:t>
      </w:r>
      <w:proofErr w:type="spellEnd"/>
      <w:r w:rsidRPr="008E4DAB">
        <w:rPr>
          <w:sz w:val="20"/>
          <w:szCs w:val="20"/>
          <w:lang w:val="en-US"/>
        </w:rPr>
        <w:t xml:space="preserve"> ‘How does the largest shareholder affect dividends’ (2014) 14(4) </w:t>
      </w:r>
      <w:r>
        <w:rPr>
          <w:sz w:val="20"/>
          <w:szCs w:val="20"/>
          <w:lang w:val="en-US"/>
        </w:rPr>
        <w:t xml:space="preserve">International Review Finance </w:t>
      </w:r>
      <w:r w:rsidRPr="008E4DAB">
        <w:rPr>
          <w:sz w:val="20"/>
          <w:szCs w:val="20"/>
          <w:lang w:val="en-US"/>
        </w:rPr>
        <w:t xml:space="preserve">613-645. In Japan, the corporation-owned companies tend to have lower dividends. </w:t>
      </w:r>
    </w:p>
  </w:footnote>
  <w:footnote w:id="79">
    <w:p w14:paraId="5979E3F1" w14:textId="47A920B3" w:rsidR="00D3257E" w:rsidRPr="008E4DAB" w:rsidRDefault="00D3257E" w:rsidP="00A05E9C">
      <w:pPr>
        <w:pStyle w:val="FootnoteText"/>
        <w:jc w:val="both"/>
        <w:rPr>
          <w:sz w:val="20"/>
          <w:szCs w:val="20"/>
          <w:lang w:val="en-US"/>
        </w:rPr>
      </w:pPr>
      <w:r w:rsidRPr="008E4DAB">
        <w:rPr>
          <w:rStyle w:val="FootnoteReference"/>
          <w:sz w:val="20"/>
          <w:szCs w:val="20"/>
        </w:rPr>
        <w:footnoteRef/>
      </w:r>
      <w:r w:rsidRPr="008E4DAB">
        <w:rPr>
          <w:sz w:val="20"/>
          <w:szCs w:val="20"/>
        </w:rPr>
        <w:t xml:space="preserve"> </w:t>
      </w:r>
      <w:r w:rsidRPr="008E4DAB">
        <w:rPr>
          <w:sz w:val="20"/>
          <w:szCs w:val="20"/>
          <w:lang w:val="en-US"/>
        </w:rPr>
        <w:t xml:space="preserve">T </w:t>
      </w:r>
      <w:proofErr w:type="spellStart"/>
      <w:r w:rsidRPr="008E4DAB">
        <w:rPr>
          <w:sz w:val="20"/>
          <w:szCs w:val="20"/>
          <w:lang w:val="en-US"/>
        </w:rPr>
        <w:t>Pempel</w:t>
      </w:r>
      <w:proofErr w:type="spellEnd"/>
      <w:r w:rsidRPr="008E4DAB">
        <w:rPr>
          <w:sz w:val="20"/>
          <w:szCs w:val="20"/>
          <w:lang w:val="en-US"/>
        </w:rPr>
        <w:t xml:space="preserve"> ‘Structural </w:t>
      </w:r>
      <w:proofErr w:type="spellStart"/>
      <w:r w:rsidRPr="008E4DAB">
        <w:rPr>
          <w:i/>
          <w:sz w:val="20"/>
          <w:szCs w:val="20"/>
          <w:lang w:val="en-US"/>
        </w:rPr>
        <w:t>gaiatsu</w:t>
      </w:r>
      <w:proofErr w:type="spellEnd"/>
      <w:r w:rsidRPr="008E4DAB">
        <w:rPr>
          <w:i/>
          <w:sz w:val="20"/>
          <w:szCs w:val="20"/>
          <w:lang w:val="en-US"/>
        </w:rPr>
        <w:t>:</w:t>
      </w:r>
      <w:r w:rsidRPr="008E4DAB">
        <w:rPr>
          <w:sz w:val="20"/>
          <w:szCs w:val="20"/>
          <w:lang w:val="en-US"/>
        </w:rPr>
        <w:t xml:space="preserve"> International Finance and Political Change in Japan’ (1999)</w:t>
      </w:r>
      <w:r>
        <w:rPr>
          <w:sz w:val="20"/>
          <w:szCs w:val="20"/>
          <w:lang w:val="en-US"/>
        </w:rPr>
        <w:t xml:space="preserve"> </w:t>
      </w:r>
      <w:r w:rsidRPr="008E4DAB">
        <w:rPr>
          <w:sz w:val="20"/>
          <w:szCs w:val="20"/>
          <w:lang w:val="en-US"/>
        </w:rPr>
        <w:t xml:space="preserve">32(8) Comparative Political Studies 907-932; Glenn Morgan and Izumi Kubo ‘Beyond path dependency? Constructing new models for institutional change: the case of capital markets in Japan’ (2005) 3 Socio-Economic Review 55-82. </w:t>
      </w:r>
    </w:p>
  </w:footnote>
  <w:footnote w:id="80">
    <w:p w14:paraId="6E4BB913" w14:textId="58771FDA" w:rsidR="00D3257E" w:rsidRPr="008E4DAB" w:rsidRDefault="00D3257E" w:rsidP="00A05E9C">
      <w:pPr>
        <w:pStyle w:val="FootnoteText"/>
        <w:jc w:val="both"/>
        <w:rPr>
          <w:sz w:val="20"/>
          <w:szCs w:val="20"/>
          <w:lang w:val="en-US"/>
        </w:rPr>
      </w:pPr>
      <w:r w:rsidRPr="008E4DAB">
        <w:rPr>
          <w:rStyle w:val="FootnoteReference"/>
          <w:sz w:val="20"/>
          <w:szCs w:val="20"/>
        </w:rPr>
        <w:footnoteRef/>
      </w:r>
      <w:r w:rsidRPr="008E4DAB">
        <w:rPr>
          <w:sz w:val="20"/>
          <w:szCs w:val="20"/>
        </w:rPr>
        <w:t xml:space="preserve"> </w:t>
      </w:r>
      <w:r w:rsidRPr="008E4DAB">
        <w:rPr>
          <w:sz w:val="20"/>
          <w:szCs w:val="20"/>
          <w:lang w:val="en-US"/>
        </w:rPr>
        <w:t xml:space="preserve">TF Cargill, MM Hutchison and Ito </w:t>
      </w:r>
      <w:proofErr w:type="spellStart"/>
      <w:r w:rsidRPr="008E4DAB">
        <w:rPr>
          <w:sz w:val="20"/>
          <w:szCs w:val="20"/>
          <w:lang w:val="en-US"/>
        </w:rPr>
        <w:t>Takatoshi</w:t>
      </w:r>
      <w:proofErr w:type="spellEnd"/>
      <w:r w:rsidRPr="008E4DAB">
        <w:rPr>
          <w:sz w:val="20"/>
          <w:szCs w:val="20"/>
          <w:lang w:val="en-US"/>
        </w:rPr>
        <w:t xml:space="preserve"> </w:t>
      </w:r>
      <w:r w:rsidRPr="008E4DAB">
        <w:rPr>
          <w:i/>
          <w:sz w:val="20"/>
          <w:szCs w:val="20"/>
          <w:lang w:val="en-US"/>
        </w:rPr>
        <w:t xml:space="preserve">Financial Policy and Central </w:t>
      </w:r>
      <w:proofErr w:type="spellStart"/>
      <w:r w:rsidRPr="008E4DAB">
        <w:rPr>
          <w:i/>
          <w:sz w:val="20"/>
          <w:szCs w:val="20"/>
          <w:lang w:val="en-US"/>
        </w:rPr>
        <w:t>Bamking</w:t>
      </w:r>
      <w:proofErr w:type="spellEnd"/>
      <w:r w:rsidRPr="008E4DAB">
        <w:rPr>
          <w:i/>
          <w:sz w:val="20"/>
          <w:szCs w:val="20"/>
          <w:lang w:val="en-US"/>
        </w:rPr>
        <w:t xml:space="preserve"> in Japan</w:t>
      </w:r>
      <w:r w:rsidRPr="008E4DAB">
        <w:rPr>
          <w:sz w:val="20"/>
          <w:szCs w:val="20"/>
          <w:lang w:val="en-US"/>
        </w:rPr>
        <w:t xml:space="preserve"> (MIT Cambridge 2000). </w:t>
      </w:r>
    </w:p>
  </w:footnote>
  <w:footnote w:id="81">
    <w:p w14:paraId="7ADFDECC" w14:textId="4A6331DF" w:rsidR="00AC35FE" w:rsidRPr="00AC35FE" w:rsidRDefault="00AC35FE" w:rsidP="00AC35FE">
      <w:pPr>
        <w:rPr>
          <w:sz w:val="20"/>
          <w:szCs w:val="20"/>
        </w:rPr>
      </w:pPr>
      <w:r w:rsidRPr="00AC35FE">
        <w:rPr>
          <w:rStyle w:val="FootnoteReference"/>
          <w:sz w:val="20"/>
          <w:szCs w:val="20"/>
        </w:rPr>
        <w:footnoteRef/>
      </w:r>
      <w:r w:rsidRPr="00AC35FE">
        <w:rPr>
          <w:sz w:val="20"/>
          <w:szCs w:val="20"/>
        </w:rPr>
        <w:t xml:space="preserve"> </w:t>
      </w:r>
      <w:proofErr w:type="spellStart"/>
      <w:r w:rsidRPr="00AC35FE">
        <w:rPr>
          <w:sz w:val="20"/>
          <w:szCs w:val="20"/>
        </w:rPr>
        <w:t>Arash</w:t>
      </w:r>
      <w:proofErr w:type="spellEnd"/>
      <w:r w:rsidRPr="00AC35FE">
        <w:rPr>
          <w:sz w:val="20"/>
          <w:szCs w:val="20"/>
        </w:rPr>
        <w:t xml:space="preserve"> </w:t>
      </w:r>
      <w:proofErr w:type="spellStart"/>
      <w:r w:rsidRPr="00AC35FE">
        <w:rPr>
          <w:sz w:val="20"/>
          <w:szCs w:val="20"/>
        </w:rPr>
        <w:t>Massoudi</w:t>
      </w:r>
      <w:proofErr w:type="spellEnd"/>
      <w:r w:rsidRPr="00AC35FE">
        <w:rPr>
          <w:sz w:val="20"/>
          <w:szCs w:val="20"/>
        </w:rPr>
        <w:t xml:space="preserve"> in London, James </w:t>
      </w:r>
      <w:proofErr w:type="spellStart"/>
      <w:r w:rsidRPr="00AC35FE">
        <w:rPr>
          <w:sz w:val="20"/>
          <w:szCs w:val="20"/>
        </w:rPr>
        <w:t>Fontanella</w:t>
      </w:r>
      <w:proofErr w:type="spellEnd"/>
      <w:r w:rsidRPr="00AC35FE">
        <w:rPr>
          <w:sz w:val="20"/>
          <w:szCs w:val="20"/>
        </w:rPr>
        <w:t xml:space="preserve">-Khan’ </w:t>
      </w:r>
      <w:proofErr w:type="spellStart"/>
      <w:r w:rsidRPr="00AC35FE">
        <w:rPr>
          <w:sz w:val="20"/>
          <w:szCs w:val="20"/>
        </w:rPr>
        <w:t>SoftBank</w:t>
      </w:r>
      <w:proofErr w:type="spellEnd"/>
      <w:r w:rsidRPr="00AC35FE">
        <w:rPr>
          <w:sz w:val="20"/>
          <w:szCs w:val="20"/>
        </w:rPr>
        <w:t xml:space="preserve"> to acquire UK’s Arm Holdings for £24.3bn’ Financial Times 18 July 2016 </w:t>
      </w:r>
      <w:hyperlink r:id="rId6" w:anchor="axzz4Er9QfMZX" w:history="1">
        <w:r w:rsidRPr="00AC35FE">
          <w:rPr>
            <w:rStyle w:val="Hyperlink"/>
            <w:sz w:val="20"/>
            <w:szCs w:val="20"/>
          </w:rPr>
          <w:t>http://www.ft.com/cms/s/0/235b1af4-4c7f-11e6-8172-e39ecd3b86fc.html#axzz4Er9QfMZX</w:t>
        </w:r>
      </w:hyperlink>
    </w:p>
  </w:footnote>
  <w:footnote w:id="82">
    <w:p w14:paraId="0863A4EB" w14:textId="3E584A18" w:rsidR="00D3257E" w:rsidRPr="002D06B0" w:rsidRDefault="00D3257E" w:rsidP="00A05E9C">
      <w:pPr>
        <w:pStyle w:val="FootnoteText"/>
        <w:jc w:val="both"/>
        <w:rPr>
          <w:lang w:val="en-US"/>
        </w:rPr>
      </w:pPr>
      <w:r w:rsidRPr="008E4DAB">
        <w:rPr>
          <w:rStyle w:val="FootnoteReference"/>
          <w:sz w:val="20"/>
          <w:szCs w:val="20"/>
        </w:rPr>
        <w:footnoteRef/>
      </w:r>
      <w:r w:rsidRPr="008E4DAB">
        <w:rPr>
          <w:sz w:val="20"/>
          <w:szCs w:val="20"/>
        </w:rPr>
        <w:t xml:space="preserve"> </w:t>
      </w:r>
      <w:r w:rsidRPr="008E4DAB">
        <w:rPr>
          <w:sz w:val="20"/>
          <w:szCs w:val="20"/>
          <w:lang w:val="en-US"/>
        </w:rPr>
        <w:t xml:space="preserve">Qi Luo, </w:t>
      </w:r>
      <w:proofErr w:type="spellStart"/>
      <w:r w:rsidRPr="008E4DAB">
        <w:rPr>
          <w:sz w:val="20"/>
          <w:szCs w:val="20"/>
          <w:lang w:val="en-US"/>
        </w:rPr>
        <w:t>Toyohiko</w:t>
      </w:r>
      <w:proofErr w:type="spellEnd"/>
      <w:r w:rsidRPr="008E4DAB">
        <w:rPr>
          <w:sz w:val="20"/>
          <w:szCs w:val="20"/>
          <w:lang w:val="en-US"/>
        </w:rPr>
        <w:t xml:space="preserve"> </w:t>
      </w:r>
      <w:proofErr w:type="spellStart"/>
      <w:r w:rsidRPr="008E4DAB">
        <w:rPr>
          <w:sz w:val="20"/>
          <w:szCs w:val="20"/>
          <w:lang w:val="en-US"/>
        </w:rPr>
        <w:t>Hachiya</w:t>
      </w:r>
      <w:proofErr w:type="spellEnd"/>
      <w:r w:rsidRPr="008E4DAB">
        <w:rPr>
          <w:sz w:val="20"/>
          <w:szCs w:val="20"/>
          <w:lang w:val="en-US"/>
        </w:rPr>
        <w:t>, ‘Corporate governance, cash holdings, and firm value’ (2005)</w:t>
      </w:r>
      <w:r>
        <w:rPr>
          <w:sz w:val="20"/>
          <w:szCs w:val="20"/>
          <w:lang w:val="en-US"/>
        </w:rPr>
        <w:t xml:space="preserve"> </w:t>
      </w:r>
      <w:r w:rsidRPr="008E4DAB">
        <w:rPr>
          <w:sz w:val="20"/>
          <w:szCs w:val="20"/>
          <w:lang w:val="en-US"/>
        </w:rPr>
        <w:t>8(4) Review of Pacific Basin Financial Markets and Policies 613-636.</w:t>
      </w:r>
      <w:r>
        <w:rPr>
          <w:lang w:val="en-US"/>
        </w:rPr>
        <w:t xml:space="preserve"> </w:t>
      </w:r>
    </w:p>
  </w:footnote>
  <w:footnote w:id="83">
    <w:p w14:paraId="108F388A" w14:textId="7EB47D8D" w:rsidR="001D0250" w:rsidRPr="007B15B9" w:rsidRDefault="001D0250" w:rsidP="001D0250">
      <w:pPr>
        <w:rPr>
          <w:sz w:val="20"/>
          <w:szCs w:val="20"/>
        </w:rPr>
      </w:pPr>
      <w:r w:rsidRPr="001D0250">
        <w:rPr>
          <w:rStyle w:val="FootnoteReference"/>
          <w:sz w:val="20"/>
          <w:szCs w:val="20"/>
        </w:rPr>
        <w:footnoteRef/>
      </w:r>
      <w:r w:rsidRPr="001D0250">
        <w:rPr>
          <w:sz w:val="20"/>
          <w:szCs w:val="20"/>
        </w:rPr>
        <w:t xml:space="preserve"> </w:t>
      </w:r>
      <w:proofErr w:type="spellStart"/>
      <w:r w:rsidRPr="001D0250">
        <w:rPr>
          <w:sz w:val="20"/>
          <w:szCs w:val="20"/>
        </w:rPr>
        <w:t>Kanika</w:t>
      </w:r>
      <w:proofErr w:type="spellEnd"/>
      <w:r w:rsidRPr="001D0250">
        <w:rPr>
          <w:sz w:val="20"/>
          <w:szCs w:val="20"/>
        </w:rPr>
        <w:t xml:space="preserve"> </w:t>
      </w:r>
      <w:proofErr w:type="spellStart"/>
      <w:proofErr w:type="gramStart"/>
      <w:r w:rsidRPr="001D0250">
        <w:rPr>
          <w:sz w:val="20"/>
          <w:szCs w:val="20"/>
        </w:rPr>
        <w:t>Saigal</w:t>
      </w:r>
      <w:proofErr w:type="spellEnd"/>
      <w:r w:rsidRPr="001D0250">
        <w:rPr>
          <w:sz w:val="20"/>
          <w:szCs w:val="20"/>
        </w:rPr>
        <w:t xml:space="preserve">  ‘</w:t>
      </w:r>
      <w:proofErr w:type="gramEnd"/>
      <w:r w:rsidRPr="001D0250">
        <w:rPr>
          <w:sz w:val="20"/>
          <w:szCs w:val="20"/>
        </w:rPr>
        <w:t xml:space="preserve">M&amp;A: Asia goes on European bargain hunt’ </w:t>
      </w:r>
      <w:proofErr w:type="spellStart"/>
      <w:r w:rsidRPr="001D0250">
        <w:rPr>
          <w:sz w:val="20"/>
          <w:szCs w:val="20"/>
        </w:rPr>
        <w:t>Euromoney</w:t>
      </w:r>
      <w:proofErr w:type="spellEnd"/>
      <w:r w:rsidRPr="001D0250">
        <w:rPr>
          <w:sz w:val="20"/>
          <w:szCs w:val="20"/>
        </w:rPr>
        <w:t xml:space="preserve">. May2012, Vol. 42 Issue </w:t>
      </w:r>
      <w:r w:rsidRPr="007B15B9">
        <w:rPr>
          <w:sz w:val="20"/>
          <w:szCs w:val="20"/>
        </w:rPr>
        <w:t xml:space="preserve">517, 38-38. </w:t>
      </w:r>
    </w:p>
  </w:footnote>
  <w:footnote w:id="84">
    <w:p w14:paraId="6248128E" w14:textId="29C3EB31" w:rsidR="00A707A0" w:rsidRPr="007B15B9" w:rsidRDefault="00A707A0">
      <w:pPr>
        <w:pStyle w:val="FootnoteText"/>
        <w:rPr>
          <w:sz w:val="20"/>
          <w:szCs w:val="20"/>
        </w:rPr>
      </w:pPr>
      <w:r w:rsidRPr="007B15B9">
        <w:rPr>
          <w:rStyle w:val="FootnoteReference"/>
          <w:sz w:val="20"/>
          <w:szCs w:val="20"/>
        </w:rPr>
        <w:footnoteRef/>
      </w:r>
      <w:r w:rsidRPr="007B15B9">
        <w:rPr>
          <w:sz w:val="20"/>
          <w:szCs w:val="20"/>
        </w:rPr>
        <w:t xml:space="preserve"> Article 12, EU Takeover Directive. </w:t>
      </w:r>
    </w:p>
  </w:footnote>
  <w:footnote w:id="85">
    <w:p w14:paraId="1737679E" w14:textId="77777777" w:rsidR="007B15B9" w:rsidRPr="007B15B9" w:rsidRDefault="00256474" w:rsidP="007B15B9">
      <w:pPr>
        <w:rPr>
          <w:sz w:val="20"/>
          <w:szCs w:val="20"/>
        </w:rPr>
      </w:pPr>
      <w:r w:rsidRPr="007B15B9">
        <w:rPr>
          <w:rStyle w:val="FootnoteReference"/>
          <w:sz w:val="20"/>
          <w:szCs w:val="20"/>
        </w:rPr>
        <w:footnoteRef/>
      </w:r>
      <w:r w:rsidRPr="007B15B9">
        <w:rPr>
          <w:sz w:val="20"/>
          <w:szCs w:val="20"/>
        </w:rPr>
        <w:t xml:space="preserve"> The author had a meeting with an EU agency</w:t>
      </w:r>
      <w:r w:rsidR="00F24BC3" w:rsidRPr="007B15B9">
        <w:rPr>
          <w:sz w:val="20"/>
          <w:szCs w:val="20"/>
        </w:rPr>
        <w:t xml:space="preserve"> in 2015</w:t>
      </w:r>
      <w:r w:rsidRPr="007B15B9">
        <w:rPr>
          <w:sz w:val="20"/>
          <w:szCs w:val="20"/>
        </w:rPr>
        <w:t xml:space="preserve"> discussing the </w:t>
      </w:r>
      <w:r w:rsidR="00336DEC" w:rsidRPr="007B15B9">
        <w:rPr>
          <w:sz w:val="20"/>
          <w:szCs w:val="20"/>
        </w:rPr>
        <w:t xml:space="preserve">on-going </w:t>
      </w:r>
      <w:r w:rsidRPr="007B15B9">
        <w:rPr>
          <w:sz w:val="20"/>
          <w:szCs w:val="20"/>
        </w:rPr>
        <w:t xml:space="preserve">EU-Japan trade </w:t>
      </w:r>
      <w:r w:rsidR="00336DEC" w:rsidRPr="007B15B9">
        <w:rPr>
          <w:sz w:val="20"/>
          <w:szCs w:val="20"/>
        </w:rPr>
        <w:t xml:space="preserve">negotiation. </w:t>
      </w:r>
      <w:r w:rsidR="007B15B9" w:rsidRPr="007B15B9">
        <w:rPr>
          <w:sz w:val="20"/>
          <w:szCs w:val="20"/>
        </w:rPr>
        <w:t>Also see Joint statement on the EU-Japan Economic Partnership Agreement/Free Trade Agreement</w:t>
      </w:r>
    </w:p>
    <w:p w14:paraId="438EE713" w14:textId="77777777" w:rsidR="007B15B9" w:rsidRPr="007B15B9" w:rsidRDefault="007B15B9" w:rsidP="007B15B9">
      <w:pPr>
        <w:rPr>
          <w:sz w:val="20"/>
          <w:szCs w:val="20"/>
        </w:rPr>
      </w:pPr>
      <w:r w:rsidRPr="007B15B9">
        <w:rPr>
          <w:sz w:val="20"/>
          <w:szCs w:val="20"/>
        </w:rPr>
        <w:t>http://www.consilium.europa.eu/en/press/press-releases/2016/05/26-tusk-joint-statement-epa-fta-g7/</w:t>
      </w:r>
    </w:p>
    <w:p w14:paraId="6FEAA0F9" w14:textId="3377D51C" w:rsidR="00256474" w:rsidRDefault="00256474">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503B7D"/>
    <w:multiLevelType w:val="hybridMultilevel"/>
    <w:tmpl w:val="CC264DC0"/>
    <w:lvl w:ilvl="0" w:tplc="9660585A">
      <w:numFmt w:val="bullet"/>
      <w:lvlText w:val="-"/>
      <w:lvlJc w:val="left"/>
      <w:pPr>
        <w:ind w:left="720" w:hanging="360"/>
      </w:pPr>
      <w:rPr>
        <w:rFonts w:ascii="Cambria" w:eastAsiaTheme="minorEastAsia" w:hAnsi="Cambria" w:cstheme="minorBidi" w:hint="default"/>
      </w:rPr>
    </w:lvl>
    <w:lvl w:ilvl="1" w:tplc="E2407628" w:tentative="1">
      <w:start w:val="1"/>
      <w:numFmt w:val="bullet"/>
      <w:lvlText w:val="o"/>
      <w:lvlJc w:val="left"/>
      <w:pPr>
        <w:ind w:left="1440" w:hanging="360"/>
      </w:pPr>
      <w:rPr>
        <w:rFonts w:ascii="Courier New" w:hAnsi="Courier New" w:cs="Courier New" w:hint="default"/>
      </w:rPr>
    </w:lvl>
    <w:lvl w:ilvl="2" w:tplc="6214078C" w:tentative="1">
      <w:start w:val="1"/>
      <w:numFmt w:val="bullet"/>
      <w:lvlText w:val=""/>
      <w:lvlJc w:val="left"/>
      <w:pPr>
        <w:ind w:left="2160" w:hanging="360"/>
      </w:pPr>
      <w:rPr>
        <w:rFonts w:ascii="Wingdings" w:hAnsi="Wingdings" w:hint="default"/>
      </w:rPr>
    </w:lvl>
    <w:lvl w:ilvl="3" w:tplc="CB80AA4E" w:tentative="1">
      <w:start w:val="1"/>
      <w:numFmt w:val="bullet"/>
      <w:lvlText w:val=""/>
      <w:lvlJc w:val="left"/>
      <w:pPr>
        <w:ind w:left="2880" w:hanging="360"/>
      </w:pPr>
      <w:rPr>
        <w:rFonts w:ascii="Symbol" w:hAnsi="Symbol" w:hint="default"/>
      </w:rPr>
    </w:lvl>
    <w:lvl w:ilvl="4" w:tplc="E7F2D416" w:tentative="1">
      <w:start w:val="1"/>
      <w:numFmt w:val="bullet"/>
      <w:lvlText w:val="o"/>
      <w:lvlJc w:val="left"/>
      <w:pPr>
        <w:ind w:left="3600" w:hanging="360"/>
      </w:pPr>
      <w:rPr>
        <w:rFonts w:ascii="Courier New" w:hAnsi="Courier New" w:cs="Courier New" w:hint="default"/>
      </w:rPr>
    </w:lvl>
    <w:lvl w:ilvl="5" w:tplc="F9083856" w:tentative="1">
      <w:start w:val="1"/>
      <w:numFmt w:val="bullet"/>
      <w:lvlText w:val=""/>
      <w:lvlJc w:val="left"/>
      <w:pPr>
        <w:ind w:left="4320" w:hanging="360"/>
      </w:pPr>
      <w:rPr>
        <w:rFonts w:ascii="Wingdings" w:hAnsi="Wingdings" w:hint="default"/>
      </w:rPr>
    </w:lvl>
    <w:lvl w:ilvl="6" w:tplc="839463FE" w:tentative="1">
      <w:start w:val="1"/>
      <w:numFmt w:val="bullet"/>
      <w:lvlText w:val=""/>
      <w:lvlJc w:val="left"/>
      <w:pPr>
        <w:ind w:left="5040" w:hanging="360"/>
      </w:pPr>
      <w:rPr>
        <w:rFonts w:ascii="Symbol" w:hAnsi="Symbol" w:hint="default"/>
      </w:rPr>
    </w:lvl>
    <w:lvl w:ilvl="7" w:tplc="78D28C04" w:tentative="1">
      <w:start w:val="1"/>
      <w:numFmt w:val="bullet"/>
      <w:lvlText w:val="o"/>
      <w:lvlJc w:val="left"/>
      <w:pPr>
        <w:ind w:left="5760" w:hanging="360"/>
      </w:pPr>
      <w:rPr>
        <w:rFonts w:ascii="Courier New" w:hAnsi="Courier New" w:cs="Courier New" w:hint="default"/>
      </w:rPr>
    </w:lvl>
    <w:lvl w:ilvl="8" w:tplc="E11CA8AA" w:tentative="1">
      <w:start w:val="1"/>
      <w:numFmt w:val="bullet"/>
      <w:lvlText w:val=""/>
      <w:lvlJc w:val="left"/>
      <w:pPr>
        <w:ind w:left="6480" w:hanging="360"/>
      </w:pPr>
      <w:rPr>
        <w:rFonts w:ascii="Wingdings" w:hAnsi="Wingdings" w:hint="default"/>
      </w:rPr>
    </w:lvl>
  </w:abstractNum>
  <w:abstractNum w:abstractNumId="1">
    <w:nsid w:val="54A15E66"/>
    <w:multiLevelType w:val="hybridMultilevel"/>
    <w:tmpl w:val="0ECE5DF8"/>
    <w:lvl w:ilvl="0" w:tplc="43626618">
      <w:start w:val="7"/>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B85"/>
    <w:rsid w:val="000042D3"/>
    <w:rsid w:val="000059D1"/>
    <w:rsid w:val="00014EB5"/>
    <w:rsid w:val="00024457"/>
    <w:rsid w:val="000256FE"/>
    <w:rsid w:val="00031144"/>
    <w:rsid w:val="00040A44"/>
    <w:rsid w:val="00041C06"/>
    <w:rsid w:val="00042306"/>
    <w:rsid w:val="000455D2"/>
    <w:rsid w:val="00051657"/>
    <w:rsid w:val="00056BA2"/>
    <w:rsid w:val="00057C61"/>
    <w:rsid w:val="0006257B"/>
    <w:rsid w:val="000628E8"/>
    <w:rsid w:val="00063D20"/>
    <w:rsid w:val="000653D2"/>
    <w:rsid w:val="00072FD2"/>
    <w:rsid w:val="00082D26"/>
    <w:rsid w:val="0009045C"/>
    <w:rsid w:val="000954BB"/>
    <w:rsid w:val="000A34AB"/>
    <w:rsid w:val="000A547D"/>
    <w:rsid w:val="000A577D"/>
    <w:rsid w:val="000C07CA"/>
    <w:rsid w:val="000C1B1A"/>
    <w:rsid w:val="000C22F9"/>
    <w:rsid w:val="000C66DA"/>
    <w:rsid w:val="000C69F5"/>
    <w:rsid w:val="000D195E"/>
    <w:rsid w:val="000D2F55"/>
    <w:rsid w:val="000D580D"/>
    <w:rsid w:val="000F288D"/>
    <w:rsid w:val="0010191D"/>
    <w:rsid w:val="00104E13"/>
    <w:rsid w:val="00112FAC"/>
    <w:rsid w:val="001147F6"/>
    <w:rsid w:val="00117D00"/>
    <w:rsid w:val="00122C6C"/>
    <w:rsid w:val="00133403"/>
    <w:rsid w:val="0013397C"/>
    <w:rsid w:val="00133BE2"/>
    <w:rsid w:val="0013774F"/>
    <w:rsid w:val="00140416"/>
    <w:rsid w:val="0014190D"/>
    <w:rsid w:val="00144260"/>
    <w:rsid w:val="00163E02"/>
    <w:rsid w:val="00166FA5"/>
    <w:rsid w:val="00176BAE"/>
    <w:rsid w:val="001770C0"/>
    <w:rsid w:val="00180717"/>
    <w:rsid w:val="00180C9E"/>
    <w:rsid w:val="00182186"/>
    <w:rsid w:val="001821AA"/>
    <w:rsid w:val="00193756"/>
    <w:rsid w:val="001A3927"/>
    <w:rsid w:val="001B6FB2"/>
    <w:rsid w:val="001C43CC"/>
    <w:rsid w:val="001C44E5"/>
    <w:rsid w:val="001C543C"/>
    <w:rsid w:val="001C59D3"/>
    <w:rsid w:val="001D0250"/>
    <w:rsid w:val="001D3502"/>
    <w:rsid w:val="001D52F7"/>
    <w:rsid w:val="001E3B68"/>
    <w:rsid w:val="001F5380"/>
    <w:rsid w:val="001F7E44"/>
    <w:rsid w:val="00203016"/>
    <w:rsid w:val="00212E52"/>
    <w:rsid w:val="00214DA3"/>
    <w:rsid w:val="00222C2C"/>
    <w:rsid w:val="00223DE3"/>
    <w:rsid w:val="00227CD3"/>
    <w:rsid w:val="0023405F"/>
    <w:rsid w:val="00235386"/>
    <w:rsid w:val="00247159"/>
    <w:rsid w:val="002473F5"/>
    <w:rsid w:val="00256474"/>
    <w:rsid w:val="0026319D"/>
    <w:rsid w:val="00264429"/>
    <w:rsid w:val="002705FB"/>
    <w:rsid w:val="002734D1"/>
    <w:rsid w:val="00275C56"/>
    <w:rsid w:val="00280DB4"/>
    <w:rsid w:val="002912A3"/>
    <w:rsid w:val="00291D6D"/>
    <w:rsid w:val="002A4214"/>
    <w:rsid w:val="002B0A72"/>
    <w:rsid w:val="002B2C52"/>
    <w:rsid w:val="002C4A45"/>
    <w:rsid w:val="002C5C5B"/>
    <w:rsid w:val="002C5EEA"/>
    <w:rsid w:val="002D06B0"/>
    <w:rsid w:val="002D3942"/>
    <w:rsid w:val="002D4581"/>
    <w:rsid w:val="002D77F6"/>
    <w:rsid w:val="002E4DD2"/>
    <w:rsid w:val="00304874"/>
    <w:rsid w:val="003122DC"/>
    <w:rsid w:val="00326300"/>
    <w:rsid w:val="00326E63"/>
    <w:rsid w:val="00336DEC"/>
    <w:rsid w:val="003512C0"/>
    <w:rsid w:val="00351D1B"/>
    <w:rsid w:val="00353AA2"/>
    <w:rsid w:val="003540A7"/>
    <w:rsid w:val="00364B85"/>
    <w:rsid w:val="00373C35"/>
    <w:rsid w:val="00376CCB"/>
    <w:rsid w:val="00383A45"/>
    <w:rsid w:val="00383AFE"/>
    <w:rsid w:val="003847FF"/>
    <w:rsid w:val="00384D76"/>
    <w:rsid w:val="00393C5C"/>
    <w:rsid w:val="00394CD1"/>
    <w:rsid w:val="003A31C4"/>
    <w:rsid w:val="003B5C87"/>
    <w:rsid w:val="003D28A0"/>
    <w:rsid w:val="003E32D5"/>
    <w:rsid w:val="003F4281"/>
    <w:rsid w:val="004045C8"/>
    <w:rsid w:val="0040473C"/>
    <w:rsid w:val="00407942"/>
    <w:rsid w:val="0041175B"/>
    <w:rsid w:val="00420E5E"/>
    <w:rsid w:val="0044506A"/>
    <w:rsid w:val="00454A5B"/>
    <w:rsid w:val="00464C2A"/>
    <w:rsid w:val="00467C35"/>
    <w:rsid w:val="004749EE"/>
    <w:rsid w:val="00475192"/>
    <w:rsid w:val="004842BA"/>
    <w:rsid w:val="004843BC"/>
    <w:rsid w:val="00485366"/>
    <w:rsid w:val="00491E30"/>
    <w:rsid w:val="004A10BD"/>
    <w:rsid w:val="004B1A93"/>
    <w:rsid w:val="004C3B16"/>
    <w:rsid w:val="004C6B93"/>
    <w:rsid w:val="004D34D8"/>
    <w:rsid w:val="004D68A6"/>
    <w:rsid w:val="004E0391"/>
    <w:rsid w:val="004E65DD"/>
    <w:rsid w:val="004E7943"/>
    <w:rsid w:val="004F07B2"/>
    <w:rsid w:val="004F5964"/>
    <w:rsid w:val="00502516"/>
    <w:rsid w:val="00510AEF"/>
    <w:rsid w:val="00513A29"/>
    <w:rsid w:val="00517E0C"/>
    <w:rsid w:val="0054574C"/>
    <w:rsid w:val="00546C19"/>
    <w:rsid w:val="0055049F"/>
    <w:rsid w:val="0055621B"/>
    <w:rsid w:val="00557285"/>
    <w:rsid w:val="005635FA"/>
    <w:rsid w:val="00570688"/>
    <w:rsid w:val="00573EA8"/>
    <w:rsid w:val="005746F5"/>
    <w:rsid w:val="0057699B"/>
    <w:rsid w:val="00577A84"/>
    <w:rsid w:val="00590D45"/>
    <w:rsid w:val="005A083E"/>
    <w:rsid w:val="005A410F"/>
    <w:rsid w:val="005B181F"/>
    <w:rsid w:val="005B43DE"/>
    <w:rsid w:val="005D12F4"/>
    <w:rsid w:val="005E28A3"/>
    <w:rsid w:val="005E7E4C"/>
    <w:rsid w:val="00603536"/>
    <w:rsid w:val="00603C22"/>
    <w:rsid w:val="00611104"/>
    <w:rsid w:val="00613766"/>
    <w:rsid w:val="00613E42"/>
    <w:rsid w:val="00616B17"/>
    <w:rsid w:val="00623564"/>
    <w:rsid w:val="00625CCE"/>
    <w:rsid w:val="00627952"/>
    <w:rsid w:val="00630192"/>
    <w:rsid w:val="00642081"/>
    <w:rsid w:val="00653DED"/>
    <w:rsid w:val="00671272"/>
    <w:rsid w:val="0067350E"/>
    <w:rsid w:val="00682ABA"/>
    <w:rsid w:val="00683E74"/>
    <w:rsid w:val="00685C97"/>
    <w:rsid w:val="006862C0"/>
    <w:rsid w:val="006A10BC"/>
    <w:rsid w:val="006A5ABE"/>
    <w:rsid w:val="006B2DF2"/>
    <w:rsid w:val="006B574C"/>
    <w:rsid w:val="006B6F5E"/>
    <w:rsid w:val="006C1560"/>
    <w:rsid w:val="006C2A1E"/>
    <w:rsid w:val="006C316A"/>
    <w:rsid w:val="006C3C57"/>
    <w:rsid w:val="006C62FE"/>
    <w:rsid w:val="006D2322"/>
    <w:rsid w:val="006D30D4"/>
    <w:rsid w:val="006D3D6A"/>
    <w:rsid w:val="006E1F89"/>
    <w:rsid w:val="006E641A"/>
    <w:rsid w:val="006F5799"/>
    <w:rsid w:val="00701854"/>
    <w:rsid w:val="00705CA5"/>
    <w:rsid w:val="007061F8"/>
    <w:rsid w:val="00707F4C"/>
    <w:rsid w:val="007118B9"/>
    <w:rsid w:val="00726A93"/>
    <w:rsid w:val="00737680"/>
    <w:rsid w:val="00745177"/>
    <w:rsid w:val="00751728"/>
    <w:rsid w:val="007576CF"/>
    <w:rsid w:val="00762A8C"/>
    <w:rsid w:val="00764713"/>
    <w:rsid w:val="007B15B9"/>
    <w:rsid w:val="007C2A80"/>
    <w:rsid w:val="007D4262"/>
    <w:rsid w:val="007D5B59"/>
    <w:rsid w:val="007E0565"/>
    <w:rsid w:val="007E2E77"/>
    <w:rsid w:val="007E63B5"/>
    <w:rsid w:val="007F1FA1"/>
    <w:rsid w:val="007F5E45"/>
    <w:rsid w:val="007F7A72"/>
    <w:rsid w:val="00800450"/>
    <w:rsid w:val="00807277"/>
    <w:rsid w:val="0081555B"/>
    <w:rsid w:val="008211A8"/>
    <w:rsid w:val="00821D4C"/>
    <w:rsid w:val="00831EE8"/>
    <w:rsid w:val="00834283"/>
    <w:rsid w:val="008344C4"/>
    <w:rsid w:val="00840772"/>
    <w:rsid w:val="00843D30"/>
    <w:rsid w:val="00847FEF"/>
    <w:rsid w:val="00854B6E"/>
    <w:rsid w:val="00855457"/>
    <w:rsid w:val="008636C1"/>
    <w:rsid w:val="008733B3"/>
    <w:rsid w:val="00875F4C"/>
    <w:rsid w:val="008821CA"/>
    <w:rsid w:val="00882C2E"/>
    <w:rsid w:val="00883D7F"/>
    <w:rsid w:val="00887FCD"/>
    <w:rsid w:val="00897FA1"/>
    <w:rsid w:val="008B00D7"/>
    <w:rsid w:val="008B77A0"/>
    <w:rsid w:val="008C6EFB"/>
    <w:rsid w:val="008C7164"/>
    <w:rsid w:val="008D063E"/>
    <w:rsid w:val="008E436C"/>
    <w:rsid w:val="008E4DAB"/>
    <w:rsid w:val="008E6189"/>
    <w:rsid w:val="008E6B6F"/>
    <w:rsid w:val="008E7736"/>
    <w:rsid w:val="008F3D1C"/>
    <w:rsid w:val="008F51F6"/>
    <w:rsid w:val="008F65C1"/>
    <w:rsid w:val="008F74E2"/>
    <w:rsid w:val="008F7BA8"/>
    <w:rsid w:val="00923C4E"/>
    <w:rsid w:val="009263C8"/>
    <w:rsid w:val="00927BC7"/>
    <w:rsid w:val="00943B5B"/>
    <w:rsid w:val="00950C16"/>
    <w:rsid w:val="00954619"/>
    <w:rsid w:val="00955E32"/>
    <w:rsid w:val="009849E0"/>
    <w:rsid w:val="009869A7"/>
    <w:rsid w:val="00991515"/>
    <w:rsid w:val="00991F5D"/>
    <w:rsid w:val="009A213A"/>
    <w:rsid w:val="009A607B"/>
    <w:rsid w:val="009A7596"/>
    <w:rsid w:val="009B33D7"/>
    <w:rsid w:val="009C3302"/>
    <w:rsid w:val="009E00C5"/>
    <w:rsid w:val="009E1F27"/>
    <w:rsid w:val="009F7A62"/>
    <w:rsid w:val="00A050B4"/>
    <w:rsid w:val="00A05225"/>
    <w:rsid w:val="00A05E9C"/>
    <w:rsid w:val="00A0619F"/>
    <w:rsid w:val="00A25F2F"/>
    <w:rsid w:val="00A32E74"/>
    <w:rsid w:val="00A34344"/>
    <w:rsid w:val="00A40837"/>
    <w:rsid w:val="00A51B03"/>
    <w:rsid w:val="00A54640"/>
    <w:rsid w:val="00A57BA6"/>
    <w:rsid w:val="00A6345D"/>
    <w:rsid w:val="00A64EBC"/>
    <w:rsid w:val="00A65BAF"/>
    <w:rsid w:val="00A707A0"/>
    <w:rsid w:val="00A72EAC"/>
    <w:rsid w:val="00A81E3C"/>
    <w:rsid w:val="00A85A9A"/>
    <w:rsid w:val="00A9529E"/>
    <w:rsid w:val="00A96894"/>
    <w:rsid w:val="00AB2559"/>
    <w:rsid w:val="00AB3B9B"/>
    <w:rsid w:val="00AC2C10"/>
    <w:rsid w:val="00AC35FE"/>
    <w:rsid w:val="00AD109B"/>
    <w:rsid w:val="00AD6AD7"/>
    <w:rsid w:val="00AE4CD6"/>
    <w:rsid w:val="00AE5891"/>
    <w:rsid w:val="00AE59B8"/>
    <w:rsid w:val="00AE6484"/>
    <w:rsid w:val="00AF2175"/>
    <w:rsid w:val="00AF4AD7"/>
    <w:rsid w:val="00AF553C"/>
    <w:rsid w:val="00B0209B"/>
    <w:rsid w:val="00B03B67"/>
    <w:rsid w:val="00B12878"/>
    <w:rsid w:val="00B1312F"/>
    <w:rsid w:val="00B15649"/>
    <w:rsid w:val="00B21981"/>
    <w:rsid w:val="00B22E26"/>
    <w:rsid w:val="00B32C50"/>
    <w:rsid w:val="00B33537"/>
    <w:rsid w:val="00B33BE8"/>
    <w:rsid w:val="00B3441B"/>
    <w:rsid w:val="00B409EB"/>
    <w:rsid w:val="00B40FFB"/>
    <w:rsid w:val="00B41927"/>
    <w:rsid w:val="00B55E04"/>
    <w:rsid w:val="00B56631"/>
    <w:rsid w:val="00B634D0"/>
    <w:rsid w:val="00B66ECF"/>
    <w:rsid w:val="00B83276"/>
    <w:rsid w:val="00B83C47"/>
    <w:rsid w:val="00B841BD"/>
    <w:rsid w:val="00B92F06"/>
    <w:rsid w:val="00B939A7"/>
    <w:rsid w:val="00BA05C6"/>
    <w:rsid w:val="00BA42B2"/>
    <w:rsid w:val="00BA7BA7"/>
    <w:rsid w:val="00BB0522"/>
    <w:rsid w:val="00BC1B67"/>
    <w:rsid w:val="00BD5AD6"/>
    <w:rsid w:val="00BE07EE"/>
    <w:rsid w:val="00BE3255"/>
    <w:rsid w:val="00BE33ED"/>
    <w:rsid w:val="00BE4653"/>
    <w:rsid w:val="00BF06A4"/>
    <w:rsid w:val="00C040B4"/>
    <w:rsid w:val="00C05505"/>
    <w:rsid w:val="00C05858"/>
    <w:rsid w:val="00C072F5"/>
    <w:rsid w:val="00C1575D"/>
    <w:rsid w:val="00C200C9"/>
    <w:rsid w:val="00C30D13"/>
    <w:rsid w:val="00C37986"/>
    <w:rsid w:val="00C46BE0"/>
    <w:rsid w:val="00C503F4"/>
    <w:rsid w:val="00C50A0E"/>
    <w:rsid w:val="00C541AB"/>
    <w:rsid w:val="00C54710"/>
    <w:rsid w:val="00C558A9"/>
    <w:rsid w:val="00C55AE9"/>
    <w:rsid w:val="00C560FB"/>
    <w:rsid w:val="00C57AEA"/>
    <w:rsid w:val="00C65D03"/>
    <w:rsid w:val="00C66ACE"/>
    <w:rsid w:val="00C84BBA"/>
    <w:rsid w:val="00C85032"/>
    <w:rsid w:val="00C92BF1"/>
    <w:rsid w:val="00C96593"/>
    <w:rsid w:val="00CA2088"/>
    <w:rsid w:val="00CA2EE5"/>
    <w:rsid w:val="00CA5D2A"/>
    <w:rsid w:val="00CA6753"/>
    <w:rsid w:val="00CB01A6"/>
    <w:rsid w:val="00CB0472"/>
    <w:rsid w:val="00CB4820"/>
    <w:rsid w:val="00CC0173"/>
    <w:rsid w:val="00CC1518"/>
    <w:rsid w:val="00CC2D2C"/>
    <w:rsid w:val="00CD4A32"/>
    <w:rsid w:val="00CD7DCB"/>
    <w:rsid w:val="00CE0C8E"/>
    <w:rsid w:val="00CF0EE6"/>
    <w:rsid w:val="00D0176E"/>
    <w:rsid w:val="00D10A13"/>
    <w:rsid w:val="00D27966"/>
    <w:rsid w:val="00D27A12"/>
    <w:rsid w:val="00D3257E"/>
    <w:rsid w:val="00D44229"/>
    <w:rsid w:val="00D453B7"/>
    <w:rsid w:val="00D52158"/>
    <w:rsid w:val="00D66102"/>
    <w:rsid w:val="00D7533D"/>
    <w:rsid w:val="00D82E83"/>
    <w:rsid w:val="00D83421"/>
    <w:rsid w:val="00D87508"/>
    <w:rsid w:val="00D91886"/>
    <w:rsid w:val="00D91F00"/>
    <w:rsid w:val="00DA2827"/>
    <w:rsid w:val="00DA5EF9"/>
    <w:rsid w:val="00DA7A7D"/>
    <w:rsid w:val="00DB15A7"/>
    <w:rsid w:val="00DB3DCA"/>
    <w:rsid w:val="00DC1B57"/>
    <w:rsid w:val="00DC2366"/>
    <w:rsid w:val="00DC251D"/>
    <w:rsid w:val="00DC2DDB"/>
    <w:rsid w:val="00DC4329"/>
    <w:rsid w:val="00DC7E50"/>
    <w:rsid w:val="00DE1632"/>
    <w:rsid w:val="00DE1FBF"/>
    <w:rsid w:val="00DE3F67"/>
    <w:rsid w:val="00E05E3B"/>
    <w:rsid w:val="00E10826"/>
    <w:rsid w:val="00E22CE5"/>
    <w:rsid w:val="00E25847"/>
    <w:rsid w:val="00E331D9"/>
    <w:rsid w:val="00E348C0"/>
    <w:rsid w:val="00E40DFF"/>
    <w:rsid w:val="00E41A27"/>
    <w:rsid w:val="00E43CA5"/>
    <w:rsid w:val="00E56579"/>
    <w:rsid w:val="00E572D8"/>
    <w:rsid w:val="00E62743"/>
    <w:rsid w:val="00E627AF"/>
    <w:rsid w:val="00E65A26"/>
    <w:rsid w:val="00E65E33"/>
    <w:rsid w:val="00E738A1"/>
    <w:rsid w:val="00E73B78"/>
    <w:rsid w:val="00E80E40"/>
    <w:rsid w:val="00E83986"/>
    <w:rsid w:val="00E879B0"/>
    <w:rsid w:val="00EC316A"/>
    <w:rsid w:val="00EC4C7C"/>
    <w:rsid w:val="00ED0016"/>
    <w:rsid w:val="00ED1AB6"/>
    <w:rsid w:val="00EE3BD3"/>
    <w:rsid w:val="00EF1F50"/>
    <w:rsid w:val="00EF3182"/>
    <w:rsid w:val="00EF4A00"/>
    <w:rsid w:val="00EF5D69"/>
    <w:rsid w:val="00F04FD4"/>
    <w:rsid w:val="00F076DB"/>
    <w:rsid w:val="00F12327"/>
    <w:rsid w:val="00F12481"/>
    <w:rsid w:val="00F128AE"/>
    <w:rsid w:val="00F24BC3"/>
    <w:rsid w:val="00F42040"/>
    <w:rsid w:val="00F5752D"/>
    <w:rsid w:val="00F61FE6"/>
    <w:rsid w:val="00F63049"/>
    <w:rsid w:val="00F84821"/>
    <w:rsid w:val="00F92677"/>
    <w:rsid w:val="00F95F6C"/>
    <w:rsid w:val="00FB273B"/>
    <w:rsid w:val="00FB36A7"/>
    <w:rsid w:val="00FC6648"/>
    <w:rsid w:val="00FC6B2F"/>
    <w:rsid w:val="00FC72FE"/>
    <w:rsid w:val="00FC7889"/>
    <w:rsid w:val="00FD37B8"/>
    <w:rsid w:val="00FE0890"/>
    <w:rsid w:val="00FE1CC0"/>
    <w:rsid w:val="00FE517D"/>
    <w:rsid w:val="00FF30F0"/>
    <w:rsid w:val="00FF77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9C629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qFormat/>
    <w:rsid w:val="005B7D1D"/>
    <w:rPr>
      <w:sz w:val="20"/>
    </w:rPr>
  </w:style>
  <w:style w:type="paragraph" w:styleId="FootnoteText">
    <w:name w:val="footnote text"/>
    <w:basedOn w:val="Normal"/>
    <w:link w:val="FootnoteTextChar"/>
    <w:uiPriority w:val="99"/>
    <w:unhideWhenUsed/>
    <w:rsid w:val="006A1FE1"/>
  </w:style>
  <w:style w:type="character" w:customStyle="1" w:styleId="FootnoteTextChar">
    <w:name w:val="Footnote Text Char"/>
    <w:basedOn w:val="DefaultParagraphFont"/>
    <w:link w:val="FootnoteText"/>
    <w:uiPriority w:val="99"/>
    <w:rsid w:val="006A1FE1"/>
    <w:rPr>
      <w:lang w:val="en-GB"/>
    </w:rPr>
  </w:style>
  <w:style w:type="character" w:styleId="FootnoteReference">
    <w:name w:val="footnote reference"/>
    <w:basedOn w:val="DefaultParagraphFont"/>
    <w:uiPriority w:val="99"/>
    <w:unhideWhenUsed/>
    <w:rsid w:val="006A1FE1"/>
    <w:rPr>
      <w:vertAlign w:val="superscript"/>
    </w:rPr>
  </w:style>
  <w:style w:type="paragraph" w:styleId="ListParagraph">
    <w:name w:val="List Paragraph"/>
    <w:basedOn w:val="Normal"/>
    <w:uiPriority w:val="34"/>
    <w:qFormat/>
    <w:rsid w:val="00EB2DF5"/>
    <w:pPr>
      <w:ind w:left="720"/>
      <w:contextualSpacing/>
    </w:pPr>
  </w:style>
  <w:style w:type="paragraph" w:styleId="Footer">
    <w:name w:val="footer"/>
    <w:basedOn w:val="Normal"/>
    <w:link w:val="FooterChar"/>
    <w:uiPriority w:val="99"/>
    <w:unhideWhenUsed/>
    <w:rsid w:val="00F778E7"/>
    <w:pPr>
      <w:tabs>
        <w:tab w:val="center" w:pos="4320"/>
        <w:tab w:val="right" w:pos="8640"/>
      </w:tabs>
    </w:pPr>
  </w:style>
  <w:style w:type="character" w:customStyle="1" w:styleId="FooterChar">
    <w:name w:val="Footer Char"/>
    <w:basedOn w:val="DefaultParagraphFont"/>
    <w:link w:val="Footer"/>
    <w:uiPriority w:val="99"/>
    <w:rsid w:val="00F778E7"/>
    <w:rPr>
      <w:lang w:val="en-GB"/>
    </w:rPr>
  </w:style>
  <w:style w:type="character" w:styleId="PageNumber">
    <w:name w:val="page number"/>
    <w:basedOn w:val="DefaultParagraphFont"/>
    <w:uiPriority w:val="99"/>
    <w:semiHidden/>
    <w:unhideWhenUsed/>
    <w:rsid w:val="00F778E7"/>
  </w:style>
  <w:style w:type="character" w:styleId="Hyperlink">
    <w:name w:val="Hyperlink"/>
    <w:basedOn w:val="DefaultParagraphFont"/>
    <w:uiPriority w:val="99"/>
    <w:unhideWhenUsed/>
    <w:rsid w:val="00F778E7"/>
    <w:rPr>
      <w:color w:val="0000FF" w:themeColor="hyperlink"/>
      <w:u w:val="single"/>
    </w:rPr>
  </w:style>
  <w:style w:type="paragraph" w:styleId="BalloonText">
    <w:name w:val="Balloon Text"/>
    <w:basedOn w:val="Normal"/>
    <w:link w:val="BalloonTextChar"/>
    <w:uiPriority w:val="99"/>
    <w:semiHidden/>
    <w:unhideWhenUsed/>
    <w:rsid w:val="00E946B3"/>
    <w:rPr>
      <w:rFonts w:ascii="Tahoma" w:hAnsi="Tahoma" w:cs="Tahoma"/>
      <w:sz w:val="16"/>
      <w:szCs w:val="18"/>
      <w:lang w:val="en-US"/>
    </w:rPr>
  </w:style>
  <w:style w:type="character" w:customStyle="1" w:styleId="BalloonTextChar">
    <w:name w:val="Balloon Text Char"/>
    <w:basedOn w:val="DefaultParagraphFont"/>
    <w:link w:val="BalloonText"/>
    <w:uiPriority w:val="99"/>
    <w:semiHidden/>
    <w:rsid w:val="00E946B3"/>
    <w:rPr>
      <w:rFonts w:ascii="Tahoma" w:hAnsi="Tahoma" w:cs="Tahoma"/>
      <w:sz w:val="16"/>
      <w:szCs w:val="18"/>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lang w:val="en-GB"/>
    </w:rPr>
  </w:style>
  <w:style w:type="paragraph" w:styleId="CommentSubject">
    <w:name w:val="annotation subject"/>
    <w:basedOn w:val="CommentText"/>
    <w:next w:val="CommentText"/>
    <w:link w:val="CommentSubjectChar"/>
    <w:uiPriority w:val="99"/>
    <w:semiHidden/>
    <w:unhideWhenUsed/>
    <w:rsid w:val="00C560FB"/>
    <w:rPr>
      <w:b/>
      <w:bCs/>
      <w:sz w:val="20"/>
      <w:szCs w:val="20"/>
    </w:rPr>
  </w:style>
  <w:style w:type="character" w:customStyle="1" w:styleId="CommentSubjectChar">
    <w:name w:val="Comment Subject Char"/>
    <w:basedOn w:val="CommentTextChar"/>
    <w:link w:val="CommentSubject"/>
    <w:uiPriority w:val="99"/>
    <w:semiHidden/>
    <w:rsid w:val="00C560FB"/>
    <w:rPr>
      <w:b/>
      <w:bCs/>
      <w:sz w:val="20"/>
      <w:szCs w:val="20"/>
      <w:lang w:val="en-GB"/>
    </w:rPr>
  </w:style>
  <w:style w:type="paragraph" w:styleId="Revision">
    <w:name w:val="Revision"/>
    <w:hidden/>
    <w:uiPriority w:val="99"/>
    <w:semiHidden/>
    <w:rsid w:val="00C560FB"/>
    <w:rPr>
      <w:lang w:val="en-GB"/>
    </w:rPr>
  </w:style>
  <w:style w:type="character" w:styleId="FollowedHyperlink">
    <w:name w:val="FollowedHyperlink"/>
    <w:basedOn w:val="DefaultParagraphFont"/>
    <w:uiPriority w:val="99"/>
    <w:semiHidden/>
    <w:unhideWhenUsed/>
    <w:rsid w:val="005B18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image" Target="media/image3.emf"/></Relationships>
</file>

<file path=word/_rels/footnotes.xml.rels><?xml version="1.0" encoding="UTF-8" standalone="yes"?>
<Relationships xmlns="http://schemas.openxmlformats.org/package/2006/relationships"><Relationship Id="rId3" Type="http://schemas.openxmlformats.org/officeDocument/2006/relationships/hyperlink" Target="http://ec.europa.eu/finance/finservices-retail/docs/fsug/papers/1308-report-who-owns-european-economy_en.pdf" TargetMode="External"/><Relationship Id="rId4" Type="http://schemas.openxmlformats.org/officeDocument/2006/relationships/hyperlink" Target="http://www.dir.co.jp/release/pdf/dir0402b.pdf" TargetMode="External"/><Relationship Id="rId5" Type="http://schemas.openxmlformats.org/officeDocument/2006/relationships/hyperlink" Target="https://www.ft.com/content/bf714ea6-8b76-11e5-8be4-3506bf20cc2b" TargetMode="External"/><Relationship Id="rId6" Type="http://schemas.openxmlformats.org/officeDocument/2006/relationships/hyperlink" Target="http://www.ft.com/cms/s/0/235b1af4-4c7f-11e6-8172-e39ecd3b86fc.html" TargetMode="External"/><Relationship Id="rId1" Type="http://schemas.openxmlformats.org/officeDocument/2006/relationships/hyperlink" Target="http://www.ft.com/cms/s/0/8b35ad88-f747-11e1-8e9e-00144feabdc0.html" TargetMode="External"/><Relationship Id="rId2" Type="http://schemas.openxmlformats.org/officeDocument/2006/relationships/hyperlink" Target="http://www.ft.com/cms/s/0/89c00e1c-2263-11e6-9d4d-c11776a5124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D9318-DE07-294A-A17E-DF77753FF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7591</Words>
  <Characters>43271</Characters>
  <Application>Microsoft Macintosh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50761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Lee</dc:creator>
  <cp:lastModifiedBy>Microsoft Office User</cp:lastModifiedBy>
  <cp:revision>2</cp:revision>
  <dcterms:created xsi:type="dcterms:W3CDTF">2017-05-09T16:05:00Z</dcterms:created>
  <dcterms:modified xsi:type="dcterms:W3CDTF">2017-05-09T16:05:00Z</dcterms:modified>
</cp:coreProperties>
</file>