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24" w:rsidRPr="008B6824" w:rsidRDefault="008B6824" w:rsidP="008B6824">
      <w:pPr>
        <w:jc w:val="right"/>
      </w:pPr>
      <w:r>
        <w:t>Joasia Luzak</w:t>
      </w:r>
      <w:r>
        <w:rPr>
          <w:rStyle w:val="FootnoteReference"/>
        </w:rPr>
        <w:footnoteReference w:id="1"/>
      </w:r>
    </w:p>
    <w:p w:rsidR="009A7F47" w:rsidRPr="008B6824" w:rsidRDefault="002A052A" w:rsidP="008B6824">
      <w:pPr>
        <w:jc w:val="center"/>
        <w:rPr>
          <w:b/>
        </w:rPr>
      </w:pPr>
      <w:r w:rsidRPr="008B6824">
        <w:rPr>
          <w:b/>
        </w:rPr>
        <w:t xml:space="preserve">You too will be judged: </w:t>
      </w:r>
      <w:proofErr w:type="spellStart"/>
      <w:r w:rsidR="00537630" w:rsidRPr="008B6824">
        <w:rPr>
          <w:b/>
          <w:i/>
        </w:rPr>
        <w:t>erga</w:t>
      </w:r>
      <w:proofErr w:type="spellEnd"/>
      <w:r w:rsidR="00537630" w:rsidRPr="008B6824">
        <w:rPr>
          <w:b/>
          <w:i/>
        </w:rPr>
        <w:t xml:space="preserve"> </w:t>
      </w:r>
      <w:proofErr w:type="spellStart"/>
      <w:r w:rsidR="00537630" w:rsidRPr="008B6824">
        <w:rPr>
          <w:b/>
          <w:i/>
        </w:rPr>
        <w:t>omnes</w:t>
      </w:r>
      <w:proofErr w:type="spellEnd"/>
      <w:r w:rsidR="00537630" w:rsidRPr="008B6824">
        <w:rPr>
          <w:b/>
        </w:rPr>
        <w:t xml:space="preserve"> effect of</w:t>
      </w:r>
      <w:r w:rsidRPr="008B6824">
        <w:rPr>
          <w:b/>
        </w:rPr>
        <w:t xml:space="preserve"> </w:t>
      </w:r>
      <w:r w:rsidR="00AD546A">
        <w:rPr>
          <w:b/>
        </w:rPr>
        <w:t xml:space="preserve">registered </w:t>
      </w:r>
      <w:r w:rsidRPr="008B6824">
        <w:rPr>
          <w:b/>
        </w:rPr>
        <w:t>unfair</w:t>
      </w:r>
      <w:r w:rsidR="00537630" w:rsidRPr="008B6824">
        <w:rPr>
          <w:b/>
        </w:rPr>
        <w:t xml:space="preserve"> </w:t>
      </w:r>
      <w:r w:rsidR="00AD546A">
        <w:rPr>
          <w:b/>
        </w:rPr>
        <w:t xml:space="preserve">contract </w:t>
      </w:r>
      <w:r w:rsidR="00537630" w:rsidRPr="008B6824">
        <w:rPr>
          <w:b/>
        </w:rPr>
        <w:t xml:space="preserve">terms </w:t>
      </w:r>
      <w:r w:rsidRPr="008B6824">
        <w:rPr>
          <w:b/>
        </w:rPr>
        <w:t>in Poland</w:t>
      </w:r>
    </w:p>
    <w:p w:rsidR="006E770E" w:rsidRDefault="006E770E" w:rsidP="005E379A">
      <w:pPr>
        <w:jc w:val="both"/>
      </w:pPr>
    </w:p>
    <w:p w:rsidR="004C2F17" w:rsidRPr="004C2F17" w:rsidRDefault="00D75F2E" w:rsidP="004C2F17">
      <w:pPr>
        <w:jc w:val="both"/>
      </w:pPr>
      <w:r>
        <w:t xml:space="preserve">1. </w:t>
      </w:r>
      <w:r w:rsidR="00C37AD8">
        <w:t>A glance at the c</w:t>
      </w:r>
      <w:r w:rsidR="00EF1E15">
        <w:t xml:space="preserve">onsequences of unfairness </w:t>
      </w:r>
    </w:p>
    <w:p w:rsidR="006E770E" w:rsidRDefault="005E379A" w:rsidP="00AE3DAB">
      <w:pPr>
        <w:ind w:firstLine="720"/>
        <w:jc w:val="both"/>
      </w:pPr>
      <w:r>
        <w:t>From the moment of its implementation, the U</w:t>
      </w:r>
      <w:r w:rsidR="00EB74E0">
        <w:t>nfair Contract Terms Directive (</w:t>
      </w:r>
      <w:r w:rsidR="00411165">
        <w:t xml:space="preserve">the </w:t>
      </w:r>
      <w:r>
        <w:t>“UCTD”)</w:t>
      </w:r>
      <w:r>
        <w:rPr>
          <w:rStyle w:val="FootnoteReference"/>
        </w:rPr>
        <w:footnoteReference w:id="2"/>
      </w:r>
      <w:r>
        <w:t xml:space="preserve"> has been the subject of many preliminary references due to its wide scope of application, as well as general </w:t>
      </w:r>
      <w:r w:rsidR="004C2F17">
        <w:t>t</w:t>
      </w:r>
      <w:r>
        <w:t>erms used therein. Requests for interpretation of Article 6 UCTD are particularly numerous</w:t>
      </w:r>
      <w:r w:rsidR="0071077C">
        <w:t>,</w:t>
      </w:r>
      <w:r w:rsidR="00E55048">
        <w:rPr>
          <w:rStyle w:val="FootnoteReference"/>
        </w:rPr>
        <w:footnoteReference w:id="3"/>
      </w:r>
      <w:r>
        <w:t xml:space="preserve"> as the exact nature of consequences of unfair contract terms</w:t>
      </w:r>
      <w:r w:rsidR="00C37AD8">
        <w:t xml:space="preserve"> meant to be</w:t>
      </w:r>
      <w:r w:rsidR="00FE27AD">
        <w:t xml:space="preserve"> ‘not binding’ </w:t>
      </w:r>
      <w:r w:rsidR="00C37AD8">
        <w:t xml:space="preserve">on </w:t>
      </w:r>
      <w:r w:rsidR="00FE27AD">
        <w:t>consumers</w:t>
      </w:r>
      <w:r>
        <w:t xml:space="preserve"> remain</w:t>
      </w:r>
      <w:r w:rsidR="009C6AEC">
        <w:t>s</w:t>
      </w:r>
      <w:r>
        <w:t xml:space="preserve"> contentious. This lack of legal certainty as to the </w:t>
      </w:r>
      <w:r w:rsidR="00FE27AD">
        <w:t xml:space="preserve">ramifications </w:t>
      </w:r>
      <w:r>
        <w:t xml:space="preserve">of unfairness might </w:t>
      </w:r>
      <w:r w:rsidR="00E55048">
        <w:t xml:space="preserve">have </w:t>
      </w:r>
      <w:r w:rsidR="00C37AD8">
        <w:t>hindered</w:t>
      </w:r>
      <w:r w:rsidR="00E55048">
        <w:t xml:space="preserve"> the Member States </w:t>
      </w:r>
      <w:r w:rsidR="00C37AD8">
        <w:t xml:space="preserve">in </w:t>
      </w:r>
      <w:r w:rsidR="00E55048">
        <w:t>fulfil</w:t>
      </w:r>
      <w:r w:rsidR="00C37AD8">
        <w:t>ling</w:t>
      </w:r>
      <w:r w:rsidR="00E55048">
        <w:t xml:space="preserve"> their obligation under</w:t>
      </w:r>
      <w:r>
        <w:t xml:space="preserve"> Article 7 UCTD</w:t>
      </w:r>
      <w:r w:rsidR="00E55048">
        <w:t>,</w:t>
      </w:r>
      <w:r>
        <w:t xml:space="preserve"> </w:t>
      </w:r>
      <w:r w:rsidR="00E55048">
        <w:t>requiring</w:t>
      </w:r>
      <w:r>
        <w:t xml:space="preserve"> </w:t>
      </w:r>
      <w:r w:rsidR="00E55048">
        <w:t>the assurance</w:t>
      </w:r>
      <w:r>
        <w:t xml:space="preserve"> </w:t>
      </w:r>
      <w:r w:rsidR="00E55048">
        <w:t xml:space="preserve">of </w:t>
      </w:r>
      <w:r>
        <w:t xml:space="preserve">adequate and effective consumer protection against a perpetual use of unfair </w:t>
      </w:r>
      <w:r w:rsidR="00C37AD8">
        <w:t xml:space="preserve">contract </w:t>
      </w:r>
      <w:r w:rsidR="00E55048">
        <w:t>terms.</w:t>
      </w:r>
      <w:r w:rsidR="00AE3DAB">
        <w:t xml:space="preserve"> Without doubt it has contributed to the variety in procedural and substantive rules </w:t>
      </w:r>
      <w:r w:rsidR="008B6824">
        <w:t xml:space="preserve">as to individual and collective remedies </w:t>
      </w:r>
      <w:r w:rsidR="00AE3DAB">
        <w:t>adopted by the Member States to control for unfairness</w:t>
      </w:r>
      <w:r w:rsidR="0071077C">
        <w:t>.</w:t>
      </w:r>
      <w:r w:rsidR="00AE3DAB">
        <w:rPr>
          <w:rStyle w:val="FootnoteReference"/>
        </w:rPr>
        <w:footnoteReference w:id="4"/>
      </w:r>
    </w:p>
    <w:p w:rsidR="005E379A" w:rsidRDefault="00AE3DAB" w:rsidP="005E379A">
      <w:pPr>
        <w:jc w:val="both"/>
      </w:pPr>
      <w:r>
        <w:tab/>
        <w:t xml:space="preserve">In Poland, the prohibition of the use of unfair contract terms </w:t>
      </w:r>
      <w:r w:rsidR="00EF1E15">
        <w:t xml:space="preserve">falls </w:t>
      </w:r>
      <w:r>
        <w:t>within the general prohibition of practices harming consumers’ collective interests</w:t>
      </w:r>
      <w:r w:rsidR="0071077C">
        <w:t>.</w:t>
      </w:r>
      <w:r>
        <w:rPr>
          <w:rStyle w:val="FootnoteReference"/>
        </w:rPr>
        <w:footnoteReference w:id="5"/>
      </w:r>
      <w:r>
        <w:t xml:space="preserve"> When traders employ such practices, they </w:t>
      </w:r>
      <w:r w:rsidR="0026679E">
        <w:t xml:space="preserve">can </w:t>
      </w:r>
      <w:r>
        <w:t xml:space="preserve">expect that </w:t>
      </w:r>
      <w:r w:rsidR="00A77033">
        <w:t>not only individual consumers, but also consumer organisations</w:t>
      </w:r>
      <w:r w:rsidR="00F14E31">
        <w:t>, consumer ombudsmen</w:t>
      </w:r>
      <w:r w:rsidR="00A77033">
        <w:t xml:space="preserve"> or </w:t>
      </w:r>
      <w:r>
        <w:t>the Polish consumer and market authority –</w:t>
      </w:r>
      <w:r w:rsidR="00F14E31">
        <w:t xml:space="preserve"> </w:t>
      </w:r>
      <w:r w:rsidR="00A77033">
        <w:t xml:space="preserve">the </w:t>
      </w:r>
      <w:r>
        <w:t>Office of Competition and Consumer Protection</w:t>
      </w:r>
      <w:r w:rsidR="005526B2">
        <w:t xml:space="preserve"> (</w:t>
      </w:r>
      <w:r w:rsidR="00411165">
        <w:t xml:space="preserve">the </w:t>
      </w:r>
      <w:r w:rsidR="005526B2">
        <w:t>“</w:t>
      </w:r>
      <w:proofErr w:type="spellStart"/>
      <w:r w:rsidR="005526B2">
        <w:t>UOKiK</w:t>
      </w:r>
      <w:proofErr w:type="spellEnd"/>
      <w:r w:rsidR="005526B2">
        <w:t>”)</w:t>
      </w:r>
      <w:r>
        <w:rPr>
          <w:rStyle w:val="FootnoteReference"/>
        </w:rPr>
        <w:footnoteReference w:id="6"/>
      </w:r>
      <w:r>
        <w:t xml:space="preserve"> – would challenge them thereon</w:t>
      </w:r>
      <w:r w:rsidR="0071077C">
        <w:t>.</w:t>
      </w:r>
      <w:r w:rsidR="00C37AD8">
        <w:t xml:space="preserve"> </w:t>
      </w:r>
      <w:r w:rsidR="00A77033">
        <w:t>A</w:t>
      </w:r>
      <w:r w:rsidR="00C37AD8">
        <w:t xml:space="preserve">n individual consumer may raise an issue of unfairness </w:t>
      </w:r>
      <w:r w:rsidR="00EB74E0">
        <w:t xml:space="preserve">of a particular contract term </w:t>
      </w:r>
      <w:r w:rsidR="00C37AD8">
        <w:t>under the general unfairness’ test of Article 3 UCTD</w:t>
      </w:r>
      <w:r w:rsidR="00A77033">
        <w:t xml:space="preserve"> that has been implemented in Article 385</w:t>
      </w:r>
      <w:r w:rsidR="00A77033" w:rsidRPr="00A77033">
        <w:rPr>
          <w:vertAlign w:val="superscript"/>
        </w:rPr>
        <w:t>1</w:t>
      </w:r>
      <w:r w:rsidR="00A77033">
        <w:t xml:space="preserve"> of the Polish Civil Code</w:t>
      </w:r>
      <w:r w:rsidR="00886832">
        <w:t xml:space="preserve"> (the “KC”)</w:t>
      </w:r>
      <w:r w:rsidR="009C6AEC">
        <w:t>.</w:t>
      </w:r>
      <w:r w:rsidR="00A77033">
        <w:rPr>
          <w:rStyle w:val="FootnoteReference"/>
        </w:rPr>
        <w:footnoteReference w:id="7"/>
      </w:r>
      <w:r w:rsidR="00C37AD8">
        <w:t xml:space="preserve"> </w:t>
      </w:r>
      <w:r w:rsidR="009C6AEC">
        <w:t>This provision</w:t>
      </w:r>
      <w:r w:rsidR="00C37AD8">
        <w:t xml:space="preserve"> requires </w:t>
      </w:r>
      <w:r w:rsidR="00A77033">
        <w:t xml:space="preserve">national </w:t>
      </w:r>
      <w:r w:rsidR="00C37AD8">
        <w:t xml:space="preserve">courts to look into specific circumstances of </w:t>
      </w:r>
      <w:r w:rsidR="00EB74E0">
        <w:t>a given case</w:t>
      </w:r>
      <w:r w:rsidR="009C6AEC">
        <w:t xml:space="preserve"> to assess unfairness</w:t>
      </w:r>
      <w:r w:rsidR="00A77033">
        <w:t>.</w:t>
      </w:r>
      <w:r w:rsidR="00EB74E0">
        <w:t xml:space="preserve"> </w:t>
      </w:r>
      <w:r w:rsidR="00A77033">
        <w:t xml:space="preserve">However, a so-called review of unfairness </w:t>
      </w:r>
      <w:r w:rsidR="00A77033">
        <w:rPr>
          <w:i/>
        </w:rPr>
        <w:t xml:space="preserve">in </w:t>
      </w:r>
      <w:proofErr w:type="spellStart"/>
      <w:r w:rsidR="00A77033" w:rsidRPr="00A77033">
        <w:rPr>
          <w:i/>
        </w:rPr>
        <w:t>abstracto</w:t>
      </w:r>
      <w:proofErr w:type="spellEnd"/>
      <w:r w:rsidR="00311CA1">
        <w:rPr>
          <w:i/>
        </w:rPr>
        <w:t xml:space="preserve"> </w:t>
      </w:r>
      <w:r w:rsidR="00311CA1">
        <w:t>also exists</w:t>
      </w:r>
      <w:r w:rsidR="00A77033">
        <w:t xml:space="preserve">, </w:t>
      </w:r>
      <w:r w:rsidR="00311CA1">
        <w:t xml:space="preserve">and </w:t>
      </w:r>
      <w:r w:rsidR="00A77033">
        <w:t>may be initiated by individual consumers, consumer organisations</w:t>
      </w:r>
      <w:r w:rsidR="00F14E31">
        <w:t>, consumer ombudsmen</w:t>
      </w:r>
      <w:r w:rsidR="00A77033">
        <w:t xml:space="preserve"> </w:t>
      </w:r>
      <w:r w:rsidR="00FE2742">
        <w:t>or</w:t>
      </w:r>
      <w:r w:rsidR="00A77033">
        <w:t xml:space="preserve"> the President of the </w:t>
      </w:r>
      <w:proofErr w:type="spellStart"/>
      <w:r w:rsidR="00A77033">
        <w:t>UOKiK</w:t>
      </w:r>
      <w:proofErr w:type="spellEnd"/>
      <w:r w:rsidR="00A77033">
        <w:t xml:space="preserve">. </w:t>
      </w:r>
      <w:r w:rsidR="00CF32E9">
        <w:t>Either of these entities may</w:t>
      </w:r>
      <w:r w:rsidR="00EB74E0">
        <w:t xml:space="preserve"> claim that a particular contract term </w:t>
      </w:r>
      <w:r w:rsidR="007068C8">
        <w:t xml:space="preserve">is </w:t>
      </w:r>
      <w:r w:rsidR="00EB74E0">
        <w:t>unfair in all contracts it ap</w:t>
      </w:r>
      <w:r w:rsidR="007068C8">
        <w:t>plies to, pursuant to Article 7(</w:t>
      </w:r>
      <w:r w:rsidR="00EB74E0">
        <w:t>2</w:t>
      </w:r>
      <w:r w:rsidR="007068C8">
        <w:t>)</w:t>
      </w:r>
      <w:r w:rsidR="00EB74E0">
        <w:t xml:space="preserve"> UCTD.</w:t>
      </w:r>
      <w:r w:rsidR="00A52015">
        <w:rPr>
          <w:rStyle w:val="FootnoteReference"/>
        </w:rPr>
        <w:footnoteReference w:id="8"/>
      </w:r>
      <w:r w:rsidR="00684926">
        <w:t xml:space="preserve"> </w:t>
      </w:r>
      <w:r>
        <w:t xml:space="preserve">The possibility </w:t>
      </w:r>
      <w:r w:rsidR="004236F7">
        <w:t xml:space="preserve">to protect </w:t>
      </w:r>
      <w:r>
        <w:t>consumer</w:t>
      </w:r>
      <w:r w:rsidR="002A052A">
        <w:t>s’</w:t>
      </w:r>
      <w:r>
        <w:t xml:space="preserve"> collective interests </w:t>
      </w:r>
      <w:r w:rsidR="007714FD">
        <w:t>through the</w:t>
      </w:r>
      <w:r w:rsidR="004236F7">
        <w:t xml:space="preserve"> </w:t>
      </w:r>
      <w:r w:rsidR="004236F7">
        <w:lastRenderedPageBreak/>
        <w:t xml:space="preserve">unfairness </w:t>
      </w:r>
      <w:r w:rsidR="007714FD">
        <w:t xml:space="preserve">review </w:t>
      </w:r>
      <w:r w:rsidR="004236F7">
        <w:rPr>
          <w:i/>
        </w:rPr>
        <w:t xml:space="preserve">in </w:t>
      </w:r>
      <w:proofErr w:type="spellStart"/>
      <w:r w:rsidR="004236F7">
        <w:rPr>
          <w:i/>
        </w:rPr>
        <w:t>abstracto</w:t>
      </w:r>
      <w:proofErr w:type="spellEnd"/>
      <w:r w:rsidR="004236F7">
        <w:rPr>
          <w:i/>
        </w:rPr>
        <w:t xml:space="preserve"> </w:t>
      </w:r>
      <w:r>
        <w:t xml:space="preserve">could be perceived as more efficient </w:t>
      </w:r>
      <w:r w:rsidR="002A052A">
        <w:t xml:space="preserve">than </w:t>
      </w:r>
      <w:r>
        <w:t xml:space="preserve">consumers raising their individual claims </w:t>
      </w:r>
      <w:r w:rsidR="004236F7">
        <w:t>of unfairness</w:t>
      </w:r>
      <w:r w:rsidR="00ED475D">
        <w:t xml:space="preserve"> and serves different purposes</w:t>
      </w:r>
      <w:r w:rsidR="0071077C">
        <w:t>.</w:t>
      </w:r>
      <w:r w:rsidR="002A052A">
        <w:rPr>
          <w:rStyle w:val="FootnoteReference"/>
        </w:rPr>
        <w:footnoteReference w:id="9"/>
      </w:r>
      <w:r w:rsidR="002A052A">
        <w:t xml:space="preserve"> </w:t>
      </w:r>
    </w:p>
    <w:p w:rsidR="002C1D74" w:rsidRPr="008256F5" w:rsidRDefault="00F532F4" w:rsidP="005E379A">
      <w:pPr>
        <w:jc w:val="both"/>
      </w:pPr>
      <w:r>
        <w:tab/>
      </w:r>
      <w:r w:rsidR="00A76F75">
        <w:t>The protection of</w:t>
      </w:r>
      <w:r>
        <w:t xml:space="preserve"> collective interests of consumers </w:t>
      </w:r>
      <w:r w:rsidR="00A76F75">
        <w:t>against unfair contract terms is, therefore, deeply rooted in</w:t>
      </w:r>
      <w:r w:rsidR="002C1D74">
        <w:t xml:space="preserve"> European consumer law</w:t>
      </w:r>
      <w:r>
        <w:t>. What has been contested</w:t>
      </w:r>
      <w:r w:rsidR="002C1D74">
        <w:rPr>
          <w:rStyle w:val="FootnoteReference"/>
        </w:rPr>
        <w:footnoteReference w:id="10"/>
      </w:r>
      <w:r>
        <w:t xml:space="preserve"> is the </w:t>
      </w:r>
      <w:proofErr w:type="spellStart"/>
      <w:r>
        <w:rPr>
          <w:i/>
        </w:rPr>
        <w:t>erga</w:t>
      </w:r>
      <w:proofErr w:type="spellEnd"/>
      <w:r>
        <w:rPr>
          <w:i/>
        </w:rPr>
        <w:t xml:space="preserve"> </w:t>
      </w:r>
      <w:proofErr w:type="spellStart"/>
      <w:r>
        <w:rPr>
          <w:i/>
        </w:rPr>
        <w:t>omnes</w:t>
      </w:r>
      <w:proofErr w:type="spellEnd"/>
      <w:r>
        <w:t xml:space="preserve"> effect</w:t>
      </w:r>
      <w:r w:rsidR="002C1D74">
        <w:t xml:space="preserve"> of the </w:t>
      </w:r>
      <w:r w:rsidR="00411165">
        <w:rPr>
          <w:i/>
        </w:rPr>
        <w:t xml:space="preserve">in </w:t>
      </w:r>
      <w:proofErr w:type="spellStart"/>
      <w:r w:rsidR="00411165">
        <w:rPr>
          <w:i/>
        </w:rPr>
        <w:t>abstracto</w:t>
      </w:r>
      <w:proofErr w:type="spellEnd"/>
      <w:r w:rsidR="00411165">
        <w:rPr>
          <w:i/>
        </w:rPr>
        <w:t xml:space="preserve"> </w:t>
      </w:r>
      <w:r w:rsidR="002C1D74">
        <w:t>unfairness</w:t>
      </w:r>
      <w:r w:rsidR="004236F7">
        <w:t>’</w:t>
      </w:r>
      <w:r w:rsidR="002C1D74">
        <w:t xml:space="preserve"> assessment of a particular contract term. That is to say, if </w:t>
      </w:r>
      <w:r w:rsidR="00EB74E0">
        <w:t xml:space="preserve">the </w:t>
      </w:r>
      <w:r w:rsidR="002C1D74">
        <w:t xml:space="preserve">content of a particular contract term is considered unfair, the question arises whether the same determination </w:t>
      </w:r>
      <w:r w:rsidR="008B6824">
        <w:t>c</w:t>
      </w:r>
      <w:r w:rsidR="002C1D74">
        <w:t xml:space="preserve">ould </w:t>
      </w:r>
      <w:r w:rsidR="008B6824">
        <w:t xml:space="preserve">automatically </w:t>
      </w:r>
      <w:r w:rsidR="002C1D74">
        <w:t>be made in other cases</w:t>
      </w:r>
      <w:r w:rsidR="008B6824">
        <w:t xml:space="preserve"> pertaining to</w:t>
      </w:r>
      <w:r w:rsidR="00411165">
        <w:t xml:space="preserve"> the use of</w:t>
      </w:r>
      <w:r w:rsidR="008B6824">
        <w:t xml:space="preserve"> a term with </w:t>
      </w:r>
      <w:r w:rsidR="004236F7">
        <w:t xml:space="preserve">an identical </w:t>
      </w:r>
      <w:r w:rsidR="008B6824">
        <w:t xml:space="preserve">or </w:t>
      </w:r>
      <w:r w:rsidR="004236F7">
        <w:t xml:space="preserve">a </w:t>
      </w:r>
      <w:r w:rsidR="008B6824">
        <w:t>similar content</w:t>
      </w:r>
      <w:r w:rsidR="002C1D74">
        <w:t>.</w:t>
      </w:r>
      <w:r w:rsidR="008B5E47">
        <w:t xml:space="preserve"> </w:t>
      </w:r>
      <w:r w:rsidR="002C1D74">
        <w:t xml:space="preserve">The Court of Justice of </w:t>
      </w:r>
      <w:r w:rsidR="00EB74E0">
        <w:t xml:space="preserve">the </w:t>
      </w:r>
      <w:r w:rsidR="002C1D74">
        <w:t>European Union (</w:t>
      </w:r>
      <w:r w:rsidR="00411165">
        <w:t xml:space="preserve">the </w:t>
      </w:r>
      <w:r w:rsidR="002C1D74">
        <w:t xml:space="preserve">“CJEU”) has previously in the case </w:t>
      </w:r>
      <w:proofErr w:type="spellStart"/>
      <w:r w:rsidR="002C1D74">
        <w:rPr>
          <w:i/>
        </w:rPr>
        <w:t>Invitel</w:t>
      </w:r>
      <w:proofErr w:type="spellEnd"/>
      <w:r w:rsidR="002C1D74" w:rsidRPr="002C1D74">
        <w:rPr>
          <w:rStyle w:val="FootnoteReference"/>
        </w:rPr>
        <w:footnoteReference w:id="11"/>
      </w:r>
      <w:r w:rsidR="002C1D74" w:rsidRPr="002C1D74">
        <w:t xml:space="preserve"> </w:t>
      </w:r>
      <w:r w:rsidR="002C1D74">
        <w:t xml:space="preserve">confirmed that consumers who were not part of the judicial proceedings </w:t>
      </w:r>
      <w:r w:rsidR="0071077C">
        <w:t xml:space="preserve">recognizing a </w:t>
      </w:r>
      <w:r w:rsidR="002C1D74">
        <w:t>particular contract term</w:t>
      </w:r>
      <w:r w:rsidR="0071077C">
        <w:t xml:space="preserve"> of a given trader as unfair</w:t>
      </w:r>
      <w:r w:rsidR="002C1D74">
        <w:t xml:space="preserve">, but who have concluded a contract with this trader containing the same contract term, </w:t>
      </w:r>
      <w:r w:rsidR="00EB74E0">
        <w:t xml:space="preserve">could </w:t>
      </w:r>
      <w:r w:rsidR="0071077C">
        <w:t xml:space="preserve">rely on the assessment of its </w:t>
      </w:r>
      <w:r w:rsidR="002C1D74">
        <w:t>unfairness against this trader.</w:t>
      </w:r>
      <w:r w:rsidR="0071077C">
        <w:rPr>
          <w:rStyle w:val="FootnoteReference"/>
        </w:rPr>
        <w:footnoteReference w:id="12"/>
      </w:r>
      <w:r w:rsidR="008256F5">
        <w:t xml:space="preserve"> The remaining question, i.e.</w:t>
      </w:r>
      <w:r w:rsidR="008B6824">
        <w:t>,</w:t>
      </w:r>
      <w:r w:rsidR="008256F5">
        <w:t xml:space="preserve"> whether </w:t>
      </w:r>
      <w:r w:rsidR="008B5E47">
        <w:t xml:space="preserve">consumer authorities, consumer organisations and </w:t>
      </w:r>
      <w:r w:rsidR="008256F5">
        <w:t xml:space="preserve">consumers concluding contracts with traders, who use terms previously appraised as unfair, could rely on </w:t>
      </w:r>
      <w:r w:rsidR="008B6824">
        <w:t xml:space="preserve">such </w:t>
      </w:r>
      <w:r w:rsidR="008256F5">
        <w:t>prior judgment</w:t>
      </w:r>
      <w:r w:rsidR="008B6824">
        <w:t>s</w:t>
      </w:r>
      <w:r w:rsidR="009C6AEC" w:rsidRPr="009C6AEC">
        <w:t xml:space="preserve"> </w:t>
      </w:r>
      <w:r w:rsidR="009C6AEC">
        <w:t>against other traders</w:t>
      </w:r>
      <w:r w:rsidR="00A87F32">
        <w:t>,</w:t>
      </w:r>
      <w:r w:rsidR="008256F5">
        <w:t xml:space="preserve"> was recently answered by the CJEU in the Polish case </w:t>
      </w:r>
      <w:proofErr w:type="spellStart"/>
      <w:r w:rsidR="008256F5">
        <w:rPr>
          <w:i/>
        </w:rPr>
        <w:t>Biuro</w:t>
      </w:r>
      <w:proofErr w:type="spellEnd"/>
      <w:r w:rsidR="00567FE6">
        <w:rPr>
          <w:i/>
        </w:rPr>
        <w:t xml:space="preserve"> </w:t>
      </w:r>
      <w:proofErr w:type="spellStart"/>
      <w:r w:rsidR="00567FE6" w:rsidRPr="00567FE6">
        <w:rPr>
          <w:i/>
        </w:rPr>
        <w:t>podróży</w:t>
      </w:r>
      <w:proofErr w:type="spellEnd"/>
      <w:r w:rsidR="00567FE6" w:rsidRPr="00567FE6">
        <w:rPr>
          <w:i/>
        </w:rPr>
        <w:t xml:space="preserve"> Partner</w:t>
      </w:r>
      <w:r w:rsidR="008256F5">
        <w:t>.</w:t>
      </w:r>
      <w:r w:rsidR="008256F5">
        <w:rPr>
          <w:rStyle w:val="FootnoteReference"/>
        </w:rPr>
        <w:footnoteReference w:id="13"/>
      </w:r>
    </w:p>
    <w:p w:rsidR="00D75F2E" w:rsidRPr="008256F5" w:rsidRDefault="00D75F2E" w:rsidP="00D75F2E">
      <w:pPr>
        <w:jc w:val="both"/>
      </w:pPr>
      <w:r>
        <w:t xml:space="preserve">2. </w:t>
      </w:r>
      <w:r w:rsidR="00567FE6">
        <w:t xml:space="preserve">Case </w:t>
      </w:r>
      <w:proofErr w:type="spellStart"/>
      <w:r w:rsidR="00567FE6">
        <w:rPr>
          <w:i/>
        </w:rPr>
        <w:t>Biuro</w:t>
      </w:r>
      <w:proofErr w:type="spellEnd"/>
      <w:r w:rsidR="00567FE6">
        <w:rPr>
          <w:i/>
        </w:rPr>
        <w:t xml:space="preserve"> </w:t>
      </w:r>
      <w:proofErr w:type="spellStart"/>
      <w:r w:rsidR="00567FE6" w:rsidRPr="00567FE6">
        <w:rPr>
          <w:i/>
        </w:rPr>
        <w:t>podróży</w:t>
      </w:r>
      <w:proofErr w:type="spellEnd"/>
      <w:r w:rsidR="00567FE6" w:rsidRPr="00567FE6">
        <w:rPr>
          <w:i/>
        </w:rPr>
        <w:t xml:space="preserve"> Partner</w:t>
      </w:r>
      <w:r w:rsidR="00567FE6">
        <w:t xml:space="preserve"> </w:t>
      </w:r>
    </w:p>
    <w:p w:rsidR="00170B10" w:rsidRDefault="002C1D74" w:rsidP="00170B10">
      <w:pPr>
        <w:jc w:val="both"/>
      </w:pPr>
      <w:r>
        <w:t>2.1</w:t>
      </w:r>
      <w:r w:rsidR="008B6824">
        <w:t>.</w:t>
      </w:r>
      <w:r>
        <w:t xml:space="preserve"> Facts </w:t>
      </w:r>
      <w:r w:rsidR="009F3E39">
        <w:t xml:space="preserve">&amp; Polish law </w:t>
      </w:r>
    </w:p>
    <w:p w:rsidR="00D9188E" w:rsidRDefault="00D9188E" w:rsidP="00170B10">
      <w:pPr>
        <w:jc w:val="both"/>
      </w:pPr>
      <w:proofErr w:type="spellStart"/>
      <w:r>
        <w:t>Biuro</w:t>
      </w:r>
      <w:proofErr w:type="spellEnd"/>
      <w:r>
        <w:t xml:space="preserve"> </w:t>
      </w:r>
      <w:proofErr w:type="spellStart"/>
      <w:r>
        <w:t>podróży</w:t>
      </w:r>
      <w:proofErr w:type="spellEnd"/>
      <w:r>
        <w:t xml:space="preserve"> ‘Partner’</w:t>
      </w:r>
      <w:r w:rsidR="0064103B">
        <w:t xml:space="preserve"> (“</w:t>
      </w:r>
      <w:proofErr w:type="spellStart"/>
      <w:r w:rsidR="0064103B">
        <w:t>Biuro</w:t>
      </w:r>
      <w:proofErr w:type="spellEnd"/>
      <w:r w:rsidR="00567FE6">
        <w:t xml:space="preserve"> Partner</w:t>
      </w:r>
      <w:r w:rsidR="0064103B">
        <w:t>”)</w:t>
      </w:r>
      <w:r>
        <w:t xml:space="preserve"> is a travel agency in Poland </w:t>
      </w:r>
      <w:r w:rsidR="00395F1D">
        <w:t>f</w:t>
      </w:r>
      <w:r>
        <w:t>ound to provide unfair contract terms to consumers and subsequently fined</w:t>
      </w:r>
      <w:r w:rsidR="0064103B">
        <w:t xml:space="preserve"> by the President of the </w:t>
      </w:r>
      <w:proofErr w:type="spellStart"/>
      <w:r w:rsidR="009F3E39">
        <w:t>UOKiK</w:t>
      </w:r>
      <w:proofErr w:type="spellEnd"/>
      <w:r w:rsidR="001F0A96">
        <w:t xml:space="preserve"> during an administrative procedure</w:t>
      </w:r>
      <w:r>
        <w:t>.</w:t>
      </w:r>
      <w:r>
        <w:rPr>
          <w:rStyle w:val="FootnoteReference"/>
        </w:rPr>
        <w:footnoteReference w:id="14"/>
      </w:r>
      <w:r>
        <w:t xml:space="preserve"> </w:t>
      </w:r>
      <w:proofErr w:type="spellStart"/>
      <w:r w:rsidR="0064103B">
        <w:t>Biuro</w:t>
      </w:r>
      <w:proofErr w:type="spellEnd"/>
      <w:r w:rsidR="0064103B">
        <w:t xml:space="preserve"> </w:t>
      </w:r>
      <w:r w:rsidR="00567FE6">
        <w:t xml:space="preserve">Partner </w:t>
      </w:r>
      <w:r w:rsidR="0064103B">
        <w:t xml:space="preserve">challenged this finding as it has not been made in </w:t>
      </w:r>
      <w:r w:rsidR="00ED24CD">
        <w:t xml:space="preserve">judicial </w:t>
      </w:r>
      <w:r w:rsidR="0064103B">
        <w:t xml:space="preserve">proceedings assessing the unfairness of its </w:t>
      </w:r>
      <w:r w:rsidR="00EF1E15">
        <w:t xml:space="preserve">own </w:t>
      </w:r>
      <w:r w:rsidR="0064103B">
        <w:t>standard contract terms</w:t>
      </w:r>
      <w:r w:rsidR="009C6AEC">
        <w:t>. Instead,</w:t>
      </w:r>
      <w:r w:rsidR="0064103B">
        <w:t xml:space="preserve"> </w:t>
      </w:r>
      <w:r w:rsidR="009C6AEC">
        <w:t xml:space="preserve">the fine followed from </w:t>
      </w:r>
      <w:r w:rsidR="00ED24CD">
        <w:t xml:space="preserve">administrative proceedings </w:t>
      </w:r>
      <w:r w:rsidR="0064103B">
        <w:t xml:space="preserve">based on the previous </w:t>
      </w:r>
      <w:r w:rsidR="00ED24CD">
        <w:t xml:space="preserve">judicial </w:t>
      </w:r>
      <w:r w:rsidR="00395F1D">
        <w:t xml:space="preserve">assessment </w:t>
      </w:r>
      <w:r w:rsidR="00311CA1">
        <w:rPr>
          <w:i/>
        </w:rPr>
        <w:t xml:space="preserve">in </w:t>
      </w:r>
      <w:proofErr w:type="spellStart"/>
      <w:r w:rsidR="00311CA1">
        <w:rPr>
          <w:i/>
        </w:rPr>
        <w:t>abstracto</w:t>
      </w:r>
      <w:proofErr w:type="spellEnd"/>
      <w:r w:rsidR="00311CA1">
        <w:rPr>
          <w:i/>
        </w:rPr>
        <w:t xml:space="preserve"> </w:t>
      </w:r>
      <w:r w:rsidR="00395F1D">
        <w:t xml:space="preserve">of unfairness </w:t>
      </w:r>
      <w:r w:rsidR="0064103B">
        <w:t xml:space="preserve">of another travel agency’s </w:t>
      </w:r>
      <w:r w:rsidR="00D32F59">
        <w:t xml:space="preserve">standard </w:t>
      </w:r>
      <w:r w:rsidR="0064103B">
        <w:t>terms</w:t>
      </w:r>
      <w:r w:rsidR="00ED24CD">
        <w:t xml:space="preserve"> and conditions</w:t>
      </w:r>
      <w:r w:rsidR="0064103B">
        <w:t xml:space="preserve">. </w:t>
      </w:r>
      <w:proofErr w:type="spellStart"/>
      <w:r w:rsidR="00BF39EE">
        <w:t>Biuro</w:t>
      </w:r>
      <w:proofErr w:type="spellEnd"/>
      <w:r w:rsidR="00BF39EE">
        <w:t xml:space="preserve"> </w:t>
      </w:r>
      <w:r w:rsidR="00567FE6">
        <w:t xml:space="preserve">Partner </w:t>
      </w:r>
      <w:r w:rsidR="00C4471D">
        <w:t xml:space="preserve">sought, therefore, </w:t>
      </w:r>
      <w:r w:rsidR="00395F1D">
        <w:t xml:space="preserve">the </w:t>
      </w:r>
      <w:r w:rsidR="00C4471D">
        <w:t xml:space="preserve">annulment of </w:t>
      </w:r>
      <w:r w:rsidR="009C0AD2">
        <w:t xml:space="preserve">the President of the </w:t>
      </w:r>
      <w:proofErr w:type="spellStart"/>
      <w:r w:rsidR="009C0AD2">
        <w:t>UOKiK’s</w:t>
      </w:r>
      <w:proofErr w:type="spellEnd"/>
      <w:r w:rsidR="009C0AD2">
        <w:t xml:space="preserve"> decision or, in the alternative, having the financial penalty reduced.</w:t>
      </w:r>
    </w:p>
    <w:p w:rsidR="00460783" w:rsidRDefault="003A4C11" w:rsidP="003A4C11">
      <w:pPr>
        <w:ind w:firstLine="720"/>
        <w:jc w:val="both"/>
      </w:pPr>
      <w:r>
        <w:t xml:space="preserve">Polish law </w:t>
      </w:r>
      <w:r w:rsidR="00EF1E15">
        <w:t xml:space="preserve">applicable at the time of deciding the case </w:t>
      </w:r>
      <w:proofErr w:type="spellStart"/>
      <w:r w:rsidR="00567FE6" w:rsidRPr="00215B78">
        <w:rPr>
          <w:i/>
        </w:rPr>
        <w:t>Biuro</w:t>
      </w:r>
      <w:proofErr w:type="spellEnd"/>
      <w:r w:rsidR="00567FE6" w:rsidRPr="00215B78">
        <w:rPr>
          <w:i/>
        </w:rPr>
        <w:t xml:space="preserve"> </w:t>
      </w:r>
      <w:proofErr w:type="spellStart"/>
      <w:r w:rsidR="00567FE6" w:rsidRPr="00215B78">
        <w:rPr>
          <w:i/>
        </w:rPr>
        <w:t>podróży</w:t>
      </w:r>
      <w:proofErr w:type="spellEnd"/>
      <w:r w:rsidR="00567FE6" w:rsidRPr="00215B78">
        <w:rPr>
          <w:i/>
        </w:rPr>
        <w:t xml:space="preserve"> Partner</w:t>
      </w:r>
      <w:r w:rsidR="00567FE6" w:rsidRPr="00215B78">
        <w:t xml:space="preserve"> </w:t>
      </w:r>
      <w:r w:rsidR="00EF1E15">
        <w:t>determined that it is an unlawful</w:t>
      </w:r>
      <w:r w:rsidR="00ED24CD">
        <w:t xml:space="preserve"> practice</w:t>
      </w:r>
      <w:r w:rsidR="00EF1E15">
        <w:t>, harming collective interests of consumers</w:t>
      </w:r>
      <w:r w:rsidR="00ED24CD">
        <w:t>,</w:t>
      </w:r>
      <w:r w:rsidR="00EF1E15">
        <w:t xml:space="preserve"> for a trader to maintain in his standard terms and conditions a clause that has previously</w:t>
      </w:r>
      <w:r w:rsidR="00EF1E15" w:rsidRPr="00EF1E15">
        <w:t xml:space="preserve"> </w:t>
      </w:r>
      <w:r w:rsidR="00EF1E15">
        <w:t xml:space="preserve">been assessed as unfair and registered as such by the District Court in Warsaw XVII Division of Competition </w:t>
      </w:r>
      <w:r w:rsidR="00890881">
        <w:t xml:space="preserve">and Consumer </w:t>
      </w:r>
      <w:r w:rsidR="00EF1E15">
        <w:t>Protection (</w:t>
      </w:r>
      <w:r w:rsidR="00576065">
        <w:t xml:space="preserve">the </w:t>
      </w:r>
      <w:r w:rsidR="00EF1E15" w:rsidRPr="00EF1E15">
        <w:t>“</w:t>
      </w:r>
      <w:proofErr w:type="spellStart"/>
      <w:r w:rsidR="00EF1E15" w:rsidRPr="00EF1E15">
        <w:t>SOKiK</w:t>
      </w:r>
      <w:proofErr w:type="spellEnd"/>
      <w:r w:rsidR="00EF1E15" w:rsidRPr="00EF1E15">
        <w:t>”</w:t>
      </w:r>
      <w:r w:rsidR="00EF1E15">
        <w:t>)</w:t>
      </w:r>
      <w:r w:rsidR="00BF39EE">
        <w:rPr>
          <w:rStyle w:val="FootnoteReference"/>
        </w:rPr>
        <w:footnoteReference w:id="15"/>
      </w:r>
      <w:r w:rsidR="00460783">
        <w:t>.</w:t>
      </w:r>
      <w:r w:rsidR="005526B2">
        <w:rPr>
          <w:rStyle w:val="FootnoteReference"/>
        </w:rPr>
        <w:footnoteReference w:id="16"/>
      </w:r>
      <w:r w:rsidR="003E137A">
        <w:t xml:space="preserve"> The </w:t>
      </w:r>
      <w:proofErr w:type="spellStart"/>
      <w:r w:rsidR="003E137A">
        <w:t>SOKiK</w:t>
      </w:r>
      <w:proofErr w:type="spellEnd"/>
      <w:r w:rsidR="003E137A">
        <w:t xml:space="preserve"> </w:t>
      </w:r>
      <w:r w:rsidR="00A87F32">
        <w:t>has</w:t>
      </w:r>
      <w:r w:rsidR="009D7E16">
        <w:t xml:space="preserve"> the</w:t>
      </w:r>
      <w:r w:rsidR="00A87F32">
        <w:t xml:space="preserve"> authority</w:t>
      </w:r>
      <w:r w:rsidR="00890881">
        <w:t xml:space="preserve"> to monitor standard terms and conditions, ensuring </w:t>
      </w:r>
      <w:r w:rsidR="008159A3">
        <w:t xml:space="preserve">the </w:t>
      </w:r>
      <w:r w:rsidR="00890881">
        <w:lastRenderedPageBreak/>
        <w:t>uniformity</w:t>
      </w:r>
      <w:r w:rsidR="008159A3">
        <w:t xml:space="preserve"> of </w:t>
      </w:r>
      <w:r w:rsidR="00576065">
        <w:t xml:space="preserve">the </w:t>
      </w:r>
      <w:r w:rsidR="008159A3">
        <w:t>unfairness’ control</w:t>
      </w:r>
      <w:r w:rsidR="00576065">
        <w:t xml:space="preserve"> </w:t>
      </w:r>
      <w:r w:rsidR="00576065" w:rsidRPr="00576065">
        <w:rPr>
          <w:i/>
        </w:rPr>
        <w:t xml:space="preserve">in </w:t>
      </w:r>
      <w:proofErr w:type="spellStart"/>
      <w:r w:rsidR="00576065" w:rsidRPr="00576065">
        <w:rPr>
          <w:i/>
        </w:rPr>
        <w:t>abstracto</w:t>
      </w:r>
      <w:proofErr w:type="spellEnd"/>
      <w:r w:rsidR="00890881">
        <w:t xml:space="preserve">. </w:t>
      </w:r>
      <w:r w:rsidR="00D32F59">
        <w:t xml:space="preserve">An </w:t>
      </w:r>
      <w:r w:rsidR="00D32F59">
        <w:rPr>
          <w:i/>
        </w:rPr>
        <w:t xml:space="preserve">in </w:t>
      </w:r>
      <w:proofErr w:type="spellStart"/>
      <w:r w:rsidR="00D32F59">
        <w:rPr>
          <w:i/>
        </w:rPr>
        <w:t>abstracto</w:t>
      </w:r>
      <w:proofErr w:type="spellEnd"/>
      <w:r w:rsidR="00D32F59">
        <w:rPr>
          <w:i/>
        </w:rPr>
        <w:t xml:space="preserve"> </w:t>
      </w:r>
      <w:r w:rsidR="00576065">
        <w:t>review</w:t>
      </w:r>
      <w:r w:rsidR="005526B2">
        <w:t xml:space="preserve"> </w:t>
      </w:r>
      <w:r w:rsidR="00D32F59">
        <w:t xml:space="preserve">examines the </w:t>
      </w:r>
      <w:r w:rsidR="005526B2">
        <w:t>unfairness of a certain clause in trader’s standard terms and conditions in all circumstances, regardless of the individual situation of a given consumer. If</w:t>
      </w:r>
      <w:r w:rsidR="00576065">
        <w:t xml:space="preserve"> the</w:t>
      </w:r>
      <w:r w:rsidR="005526B2">
        <w:t xml:space="preserve"> </w:t>
      </w:r>
      <w:proofErr w:type="spellStart"/>
      <w:r w:rsidR="005526B2">
        <w:t>SOKiK</w:t>
      </w:r>
      <w:proofErr w:type="spellEnd"/>
      <w:r w:rsidR="005526B2">
        <w:t xml:space="preserve"> decided that a contested term was unfair in all circumstances, it would publish it as such in the regist</w:t>
      </w:r>
      <w:r w:rsidR="00D32F59">
        <w:t>er</w:t>
      </w:r>
      <w:r w:rsidR="003E137A">
        <w:t xml:space="preserve">. </w:t>
      </w:r>
      <w:r w:rsidR="00A13D87">
        <w:t>In practice, t</w:t>
      </w:r>
      <w:r w:rsidR="003E137A">
        <w:t xml:space="preserve">he </w:t>
      </w:r>
      <w:r w:rsidR="00D32F59">
        <w:t xml:space="preserve">register </w:t>
      </w:r>
      <w:r w:rsidR="003E137A">
        <w:t xml:space="preserve">of unfair contract terms maintained by the </w:t>
      </w:r>
      <w:proofErr w:type="spellStart"/>
      <w:r w:rsidR="003E137A">
        <w:t>SOKiK</w:t>
      </w:r>
      <w:proofErr w:type="spellEnd"/>
      <w:r w:rsidR="003E137A">
        <w:t xml:space="preserve"> supplemented the grey list of potentially unfair contract terms, which has been implemented in Article 385</w:t>
      </w:r>
      <w:r w:rsidR="003E137A" w:rsidRPr="003E137A">
        <w:rPr>
          <w:vertAlign w:val="superscript"/>
        </w:rPr>
        <w:t>3</w:t>
      </w:r>
      <w:r w:rsidR="003E137A">
        <w:t xml:space="preserve"> </w:t>
      </w:r>
      <w:r w:rsidR="00886832">
        <w:t>KC</w:t>
      </w:r>
      <w:r w:rsidR="003E137A">
        <w:t xml:space="preserve">. </w:t>
      </w:r>
      <w:r w:rsidR="009F3E39">
        <w:t xml:space="preserve">The </w:t>
      </w:r>
      <w:proofErr w:type="spellStart"/>
      <w:r w:rsidR="009F3E39">
        <w:t>SOKiK’s</w:t>
      </w:r>
      <w:proofErr w:type="spellEnd"/>
      <w:r w:rsidR="003E137A">
        <w:t xml:space="preserve"> regist</w:t>
      </w:r>
      <w:r w:rsidR="00D32F59">
        <w:t>e</w:t>
      </w:r>
      <w:r w:rsidR="003E137A">
        <w:t xml:space="preserve">r </w:t>
      </w:r>
      <w:r w:rsidR="00A87F32">
        <w:t>could also be</w:t>
      </w:r>
      <w:r w:rsidR="003E137A">
        <w:t xml:space="preserve"> perceived as a factual black list</w:t>
      </w:r>
      <w:r w:rsidR="0012518E">
        <w:t>.</w:t>
      </w:r>
      <w:r w:rsidR="003E137A">
        <w:t xml:space="preserve"> </w:t>
      </w:r>
      <w:r w:rsidR="0012518E">
        <w:t>C</w:t>
      </w:r>
      <w:r w:rsidR="003E137A">
        <w:t xml:space="preserve">onsistently with the CJEU’s judgment in the case </w:t>
      </w:r>
      <w:proofErr w:type="spellStart"/>
      <w:r w:rsidR="003E137A">
        <w:rPr>
          <w:i/>
        </w:rPr>
        <w:t>Invitel</w:t>
      </w:r>
      <w:proofErr w:type="spellEnd"/>
      <w:r w:rsidR="0012518E">
        <w:t xml:space="preserve">, </w:t>
      </w:r>
      <w:r w:rsidR="00C848A4">
        <w:t xml:space="preserve">the assessment of unfairness of a given contract term would then apply to </w:t>
      </w:r>
      <w:r w:rsidR="009F3E39">
        <w:t xml:space="preserve">all </w:t>
      </w:r>
      <w:r w:rsidR="0012518E">
        <w:t xml:space="preserve">consumers of </w:t>
      </w:r>
      <w:r w:rsidR="009F3E39">
        <w:t xml:space="preserve">a given </w:t>
      </w:r>
      <w:r w:rsidR="0012518E">
        <w:t>trader</w:t>
      </w:r>
      <w:r w:rsidR="00C848A4">
        <w:t>,</w:t>
      </w:r>
      <w:r w:rsidR="0089201D">
        <w:t xml:space="preserve"> when </w:t>
      </w:r>
      <w:r w:rsidR="00332181">
        <w:t xml:space="preserve">the assessed </w:t>
      </w:r>
      <w:r w:rsidR="00C848A4">
        <w:t xml:space="preserve">term </w:t>
      </w:r>
      <w:r w:rsidR="0089201D">
        <w:t>was part of their contract</w:t>
      </w:r>
      <w:r w:rsidR="00A66AE3">
        <w:t>.</w:t>
      </w:r>
      <w:r w:rsidR="00C848A4">
        <w:t xml:space="preserve"> </w:t>
      </w:r>
      <w:r w:rsidR="00A66AE3">
        <w:t>T</w:t>
      </w:r>
      <w:r w:rsidR="00C848A4">
        <w:t>his fact would be made public by registering the term as unfair</w:t>
      </w:r>
      <w:r w:rsidR="003E137A">
        <w:t>.</w:t>
      </w:r>
      <w:r w:rsidR="0012518E">
        <w:t xml:space="preserve"> If the trader did not automatically adjust his standard terms and conditions in all consumer contracts upon the entry of the term into the register, this could lead to administrative penalties, as well as </w:t>
      </w:r>
      <w:r w:rsidR="0089201D">
        <w:t xml:space="preserve">a surge of </w:t>
      </w:r>
      <w:r w:rsidR="0012518E">
        <w:t>individual consumer claims</w:t>
      </w:r>
      <w:r w:rsidR="0089201D">
        <w:t xml:space="preserve"> against this trader</w:t>
      </w:r>
      <w:r w:rsidR="0012518E">
        <w:t xml:space="preserve">, invoking the </w:t>
      </w:r>
      <w:proofErr w:type="spellStart"/>
      <w:r w:rsidR="00ED24CD">
        <w:t>SOKiK’s</w:t>
      </w:r>
      <w:proofErr w:type="spellEnd"/>
      <w:r w:rsidR="00ED24CD">
        <w:t xml:space="preserve"> </w:t>
      </w:r>
      <w:r w:rsidR="0012518E">
        <w:t>decision.</w:t>
      </w:r>
      <w:r w:rsidR="003E137A">
        <w:t xml:space="preserve"> </w:t>
      </w:r>
    </w:p>
    <w:p w:rsidR="003A4C11" w:rsidRPr="00F332F2" w:rsidRDefault="003E137A" w:rsidP="003A4C11">
      <w:pPr>
        <w:ind w:firstLine="720"/>
        <w:jc w:val="both"/>
      </w:pPr>
      <w:r>
        <w:t>It was</w:t>
      </w:r>
      <w:r w:rsidR="00552D0A">
        <w:t>, however,</w:t>
      </w:r>
      <w:r>
        <w:t xml:space="preserve"> contested whether this regist</w:t>
      </w:r>
      <w:r w:rsidR="00D32F59">
        <w:t>e</w:t>
      </w:r>
      <w:r>
        <w:t xml:space="preserve">r could </w:t>
      </w:r>
      <w:r w:rsidR="00A13D87">
        <w:t xml:space="preserve">also </w:t>
      </w:r>
      <w:r>
        <w:t xml:space="preserve">have and had an </w:t>
      </w:r>
      <w:proofErr w:type="spellStart"/>
      <w:r>
        <w:rPr>
          <w:i/>
        </w:rPr>
        <w:t>erga</w:t>
      </w:r>
      <w:proofErr w:type="spellEnd"/>
      <w:r>
        <w:rPr>
          <w:i/>
        </w:rPr>
        <w:t xml:space="preserve"> </w:t>
      </w:r>
      <w:proofErr w:type="spellStart"/>
      <w:r>
        <w:rPr>
          <w:i/>
        </w:rPr>
        <w:t>omnes</w:t>
      </w:r>
      <w:proofErr w:type="spellEnd"/>
      <w:r>
        <w:rPr>
          <w:i/>
        </w:rPr>
        <w:t xml:space="preserve"> </w:t>
      </w:r>
      <w:r>
        <w:t>effect</w:t>
      </w:r>
      <w:r w:rsidR="00E36FDE">
        <w:t xml:space="preserve"> towards traders that have not been part of the judicial proceedings</w:t>
      </w:r>
      <w:r>
        <w:t>.</w:t>
      </w:r>
      <w:r w:rsidR="001D2D2B">
        <w:rPr>
          <w:rStyle w:val="FootnoteReference"/>
        </w:rPr>
        <w:footnoteReference w:id="17"/>
      </w:r>
      <w:r w:rsidR="00460783">
        <w:t xml:space="preserve"> In some </w:t>
      </w:r>
      <w:r w:rsidR="00E36FDE">
        <w:t>judgments</w:t>
      </w:r>
      <w:r w:rsidR="00460783">
        <w:rPr>
          <w:rStyle w:val="FootnoteReference"/>
        </w:rPr>
        <w:footnoteReference w:id="18"/>
      </w:r>
      <w:r w:rsidR="00460783">
        <w:t xml:space="preserve"> the Polish Supreme Court has recognized </w:t>
      </w:r>
      <w:r w:rsidR="009F3E39">
        <w:t>that an entry into the regist</w:t>
      </w:r>
      <w:r w:rsidR="00D32F59">
        <w:t>e</w:t>
      </w:r>
      <w:r w:rsidR="009F3E39">
        <w:t>r of an unfair contract term should have binding effects on</w:t>
      </w:r>
      <w:r w:rsidR="00ED24CD">
        <w:t xml:space="preserve"> all</w:t>
      </w:r>
      <w:r w:rsidR="009F3E39">
        <w:t xml:space="preserve"> traders using identical or similar clauses</w:t>
      </w:r>
      <w:r w:rsidR="00460783">
        <w:t>, while in other</w:t>
      </w:r>
      <w:r w:rsidR="009F3E39">
        <w:t xml:space="preserve"> </w:t>
      </w:r>
      <w:r w:rsidR="00E36FDE">
        <w:t>judgments</w:t>
      </w:r>
      <w:r w:rsidR="009F3E39">
        <w:rPr>
          <w:rStyle w:val="FootnoteReference"/>
        </w:rPr>
        <w:footnoteReference w:id="19"/>
      </w:r>
      <w:r w:rsidR="00460783">
        <w:t xml:space="preserve"> this effect was denied.</w:t>
      </w:r>
      <w:r w:rsidR="00684926">
        <w:t xml:space="preserve"> The President of the </w:t>
      </w:r>
      <w:proofErr w:type="spellStart"/>
      <w:r w:rsidR="00684926">
        <w:t>UOKiK</w:t>
      </w:r>
      <w:proofErr w:type="spellEnd"/>
      <w:r w:rsidR="00684926">
        <w:t xml:space="preserve"> favoured the </w:t>
      </w:r>
      <w:proofErr w:type="spellStart"/>
      <w:r w:rsidR="00684926">
        <w:rPr>
          <w:i/>
        </w:rPr>
        <w:t>erga</w:t>
      </w:r>
      <w:proofErr w:type="spellEnd"/>
      <w:r w:rsidR="00684926">
        <w:rPr>
          <w:i/>
        </w:rPr>
        <w:t xml:space="preserve"> </w:t>
      </w:r>
      <w:proofErr w:type="spellStart"/>
      <w:r w:rsidR="00684926">
        <w:rPr>
          <w:i/>
        </w:rPr>
        <w:t>omnes</w:t>
      </w:r>
      <w:proofErr w:type="spellEnd"/>
      <w:r w:rsidR="00684926">
        <w:t xml:space="preserve"> interpretation </w:t>
      </w:r>
      <w:r w:rsidR="00721CFC">
        <w:t>and</w:t>
      </w:r>
      <w:r w:rsidR="00850BF2">
        <w:t xml:space="preserve"> </w:t>
      </w:r>
      <w:r w:rsidR="00721CFC">
        <w:t xml:space="preserve">issued fines </w:t>
      </w:r>
      <w:r w:rsidR="00A13D87">
        <w:t xml:space="preserve">in administrative procedures </w:t>
      </w:r>
      <w:r w:rsidR="00721CFC">
        <w:t>for traders who used contract terms similar to the ones that have already been registered as unfair.</w:t>
      </w:r>
      <w:r w:rsidR="00721CFC">
        <w:rPr>
          <w:rStyle w:val="FootnoteReference"/>
        </w:rPr>
        <w:footnoteReference w:id="20"/>
      </w:r>
      <w:r w:rsidR="00F332F2">
        <w:t xml:space="preserve"> </w:t>
      </w:r>
      <w:r w:rsidR="00850BF2">
        <w:t>He</w:t>
      </w:r>
      <w:r w:rsidR="009D0C55">
        <w:t xml:space="preserve"> also claimed that this allowed </w:t>
      </w:r>
      <w:r w:rsidR="00850BF2">
        <w:t xml:space="preserve">him </w:t>
      </w:r>
      <w:r w:rsidR="009D0C55">
        <w:t>to effectively restrict traders’ circumvention of consumer protection against unfairness</w:t>
      </w:r>
      <w:r w:rsidR="00A66AE3">
        <w:t>. It remains a common</w:t>
      </w:r>
      <w:r w:rsidR="009D0C55">
        <w:t xml:space="preserve"> practice </w:t>
      </w:r>
      <w:r w:rsidR="00A66AE3">
        <w:t xml:space="preserve">in Poland for traders </w:t>
      </w:r>
      <w:r w:rsidR="009D0C55">
        <w:t xml:space="preserve">to slightly modify the language of the contract term </w:t>
      </w:r>
      <w:r w:rsidR="00850BF2">
        <w:t xml:space="preserve">that has </w:t>
      </w:r>
      <w:r w:rsidR="009D0C55">
        <w:t xml:space="preserve">already </w:t>
      </w:r>
      <w:r w:rsidR="00850BF2">
        <w:t xml:space="preserve">been </w:t>
      </w:r>
      <w:r w:rsidR="009D0C55">
        <w:t xml:space="preserve">assessed as unfair, in order to present it as a new contract term. Without the possibility of the President of the </w:t>
      </w:r>
      <w:proofErr w:type="spellStart"/>
      <w:r w:rsidR="009D0C55">
        <w:t>UOKiK</w:t>
      </w:r>
      <w:proofErr w:type="spellEnd"/>
      <w:r w:rsidR="009D0C55">
        <w:t xml:space="preserve"> fining the use of contract terms similar to the ones that have already been registered as unfair, in every case of such ‘tweaking’, the unfairness</w:t>
      </w:r>
      <w:r w:rsidR="00850BF2">
        <w:t>’</w:t>
      </w:r>
      <w:r w:rsidR="009D0C55">
        <w:t xml:space="preserve"> assessment would need to occur anew.</w:t>
      </w:r>
      <w:r w:rsidR="009D0C55">
        <w:rPr>
          <w:rStyle w:val="FootnoteReference"/>
        </w:rPr>
        <w:footnoteReference w:id="21"/>
      </w:r>
      <w:r w:rsidR="009D0C55">
        <w:t xml:space="preserve"> </w:t>
      </w:r>
      <w:r w:rsidR="000E3E43">
        <w:t xml:space="preserve">Considering the </w:t>
      </w:r>
      <w:r w:rsidR="00175409">
        <w:t>controversial nature of this issue</w:t>
      </w:r>
      <w:r w:rsidR="000E3E43">
        <w:t xml:space="preserve">, </w:t>
      </w:r>
      <w:r w:rsidR="00175409">
        <w:t xml:space="preserve">on the appeal of </w:t>
      </w:r>
      <w:proofErr w:type="spellStart"/>
      <w:r w:rsidR="00175409">
        <w:t>Biuro</w:t>
      </w:r>
      <w:proofErr w:type="spellEnd"/>
      <w:r w:rsidR="00175409">
        <w:t xml:space="preserve"> Partner, </w:t>
      </w:r>
      <w:r w:rsidR="00F332F2">
        <w:t xml:space="preserve">the </w:t>
      </w:r>
      <w:r w:rsidR="009C0AD2">
        <w:t xml:space="preserve">VI Civil Division of the </w:t>
      </w:r>
      <w:r w:rsidR="00F332F2">
        <w:t>Court of Appeal of Warsaw decided to ask the CJEU</w:t>
      </w:r>
      <w:r w:rsidR="0097114A">
        <w:t>, among other things,</w:t>
      </w:r>
      <w:r w:rsidR="00F332F2">
        <w:t xml:space="preserve"> </w:t>
      </w:r>
      <w:r w:rsidR="00C848A4">
        <w:t>whether the</w:t>
      </w:r>
      <w:r w:rsidR="00F332F2">
        <w:t xml:space="preserve"> </w:t>
      </w:r>
      <w:r w:rsidR="00175409">
        <w:t xml:space="preserve">actions of the President of the </w:t>
      </w:r>
      <w:proofErr w:type="spellStart"/>
      <w:r w:rsidR="00175409">
        <w:t>UOKiK</w:t>
      </w:r>
      <w:proofErr w:type="spellEnd"/>
      <w:r w:rsidR="00175409">
        <w:t xml:space="preserve"> recognising </w:t>
      </w:r>
      <w:r w:rsidR="00F332F2">
        <w:t xml:space="preserve">such an </w:t>
      </w:r>
      <w:proofErr w:type="spellStart"/>
      <w:r w:rsidR="00F332F2">
        <w:rPr>
          <w:i/>
        </w:rPr>
        <w:t>erga</w:t>
      </w:r>
      <w:proofErr w:type="spellEnd"/>
      <w:r w:rsidR="00F332F2">
        <w:rPr>
          <w:i/>
        </w:rPr>
        <w:t xml:space="preserve"> </w:t>
      </w:r>
      <w:proofErr w:type="spellStart"/>
      <w:r w:rsidR="00F332F2">
        <w:rPr>
          <w:i/>
        </w:rPr>
        <w:t>omnes</w:t>
      </w:r>
      <w:proofErr w:type="spellEnd"/>
      <w:r w:rsidR="00F332F2">
        <w:rPr>
          <w:i/>
        </w:rPr>
        <w:t xml:space="preserve"> </w:t>
      </w:r>
      <w:r w:rsidR="00F332F2">
        <w:t xml:space="preserve">effect in </w:t>
      </w:r>
      <w:r w:rsidR="00175409">
        <w:t xml:space="preserve">Polish </w:t>
      </w:r>
      <w:r w:rsidR="00F332F2">
        <w:t xml:space="preserve">national law </w:t>
      </w:r>
      <w:r w:rsidR="00175409">
        <w:t xml:space="preserve">were </w:t>
      </w:r>
      <w:r w:rsidR="00F332F2">
        <w:t xml:space="preserve">compliant with </w:t>
      </w:r>
      <w:r w:rsidR="00ED24CD">
        <w:t>Articles 6 and 7 UCTD.</w:t>
      </w:r>
    </w:p>
    <w:p w:rsidR="002C1D74" w:rsidRDefault="002C1D74" w:rsidP="00170B10">
      <w:pPr>
        <w:jc w:val="both"/>
      </w:pPr>
      <w:r>
        <w:t xml:space="preserve">2.2 </w:t>
      </w:r>
      <w:r w:rsidR="009C72AA">
        <w:t xml:space="preserve">Fair trial </w:t>
      </w:r>
      <w:r w:rsidR="00031623">
        <w:t>for traders</w:t>
      </w:r>
    </w:p>
    <w:p w:rsidR="00ED24CD" w:rsidRDefault="00BF40E7" w:rsidP="00170B10">
      <w:pPr>
        <w:jc w:val="both"/>
      </w:pPr>
      <w:r>
        <w:t xml:space="preserve">Interestingly, prior to interpreting provisions of the UCTD and assessing compliance of Polish law therewith, the CJEU </w:t>
      </w:r>
      <w:r w:rsidR="00BF1206">
        <w:t xml:space="preserve">compares </w:t>
      </w:r>
      <w:r w:rsidR="00B635F0">
        <w:t xml:space="preserve">the </w:t>
      </w:r>
      <w:r w:rsidR="00BF1206">
        <w:t xml:space="preserve">adherence of this </w:t>
      </w:r>
      <w:r w:rsidR="00BF1206">
        <w:rPr>
          <w:i/>
        </w:rPr>
        <w:t xml:space="preserve">in </w:t>
      </w:r>
      <w:proofErr w:type="spellStart"/>
      <w:r w:rsidR="00BF1206">
        <w:rPr>
          <w:i/>
        </w:rPr>
        <w:t>abstracto</w:t>
      </w:r>
      <w:proofErr w:type="spellEnd"/>
      <w:r w:rsidR="00BF1206">
        <w:t xml:space="preserve"> </w:t>
      </w:r>
      <w:r w:rsidR="009A79EB">
        <w:t xml:space="preserve">unfairness’ review </w:t>
      </w:r>
      <w:r w:rsidR="00BF1206">
        <w:t xml:space="preserve">and its </w:t>
      </w:r>
      <w:proofErr w:type="spellStart"/>
      <w:r w:rsidR="00BF1206">
        <w:rPr>
          <w:i/>
        </w:rPr>
        <w:t>erga</w:t>
      </w:r>
      <w:proofErr w:type="spellEnd"/>
      <w:r w:rsidR="00BF1206">
        <w:rPr>
          <w:i/>
        </w:rPr>
        <w:t xml:space="preserve"> </w:t>
      </w:r>
      <w:proofErr w:type="spellStart"/>
      <w:r w:rsidR="00BF1206">
        <w:rPr>
          <w:i/>
        </w:rPr>
        <w:t>omnes</w:t>
      </w:r>
      <w:proofErr w:type="spellEnd"/>
      <w:r w:rsidR="00BF1206">
        <w:t xml:space="preserve"> effect</w:t>
      </w:r>
      <w:r w:rsidR="002B3195">
        <w:t>s</w:t>
      </w:r>
      <w:r w:rsidR="00BF1206">
        <w:t xml:space="preserve"> to the obligation to provide an effective remedy and a fair trial, as expressed in Article </w:t>
      </w:r>
      <w:r w:rsidR="00BF1206">
        <w:lastRenderedPageBreak/>
        <w:t>47 of the Charter</w:t>
      </w:r>
      <w:r w:rsidR="00BF1206">
        <w:rPr>
          <w:rStyle w:val="FootnoteReference"/>
        </w:rPr>
        <w:footnoteReference w:id="22"/>
      </w:r>
      <w:r w:rsidR="00BF1206">
        <w:t xml:space="preserve"> of Fundamental Rights of the EU</w:t>
      </w:r>
      <w:r w:rsidR="008159A3">
        <w:t xml:space="preserve"> (</w:t>
      </w:r>
      <w:r w:rsidR="00175083">
        <w:t xml:space="preserve">the </w:t>
      </w:r>
      <w:r w:rsidR="008159A3">
        <w:t>“Charter”)</w:t>
      </w:r>
      <w:r w:rsidR="00BF1206">
        <w:t>.</w:t>
      </w:r>
      <w:r w:rsidR="00BF1206">
        <w:rPr>
          <w:rStyle w:val="FootnoteReference"/>
        </w:rPr>
        <w:footnoteReference w:id="23"/>
      </w:r>
      <w:r w:rsidR="00BF1206">
        <w:t xml:space="preserve"> If the unlawful effect of a </w:t>
      </w:r>
      <w:r w:rsidR="00B635F0">
        <w:t xml:space="preserve">contract term </w:t>
      </w:r>
      <w:r w:rsidR="00BF1206">
        <w:t xml:space="preserve">marked as unfair in the </w:t>
      </w:r>
      <w:proofErr w:type="spellStart"/>
      <w:r w:rsidR="00BF1206">
        <w:t>SOKiK’s</w:t>
      </w:r>
      <w:proofErr w:type="spellEnd"/>
      <w:r w:rsidR="00BF1206">
        <w:t xml:space="preserve"> regist</w:t>
      </w:r>
      <w:r w:rsidR="00D32F59">
        <w:t>e</w:t>
      </w:r>
      <w:r w:rsidR="00BF1206">
        <w:t xml:space="preserve">r, based on the outcome of </w:t>
      </w:r>
      <w:r w:rsidR="002B3195">
        <w:t xml:space="preserve">the </w:t>
      </w:r>
      <w:r w:rsidR="00BF1206">
        <w:t xml:space="preserve">judicial proceedings against a particular trader, applies also to other traders, who were not part of these judicial proceedings, it might be questioned whether these traders were given an opportunity to </w:t>
      </w:r>
      <w:r w:rsidR="00ED7068">
        <w:t xml:space="preserve">be heard and to present arguments about the lack of unfairness of their </w:t>
      </w:r>
      <w:r w:rsidR="002B3195">
        <w:t xml:space="preserve">standard </w:t>
      </w:r>
      <w:r w:rsidR="00ED7068">
        <w:t>terms and conditions.</w:t>
      </w:r>
    </w:p>
    <w:p w:rsidR="00ED7068" w:rsidRDefault="00EF070A" w:rsidP="00170B10">
      <w:pPr>
        <w:jc w:val="both"/>
      </w:pPr>
      <w:r>
        <w:tab/>
        <w:t xml:space="preserve">The CJEU </w:t>
      </w:r>
      <w:r w:rsidR="00AC15BA">
        <w:t>has already previously recognised that the unfairness’ control needs to account for the rights of traders and not only of consumers</w:t>
      </w:r>
      <w:r w:rsidR="00E44560">
        <w:t xml:space="preserve">, which include the traders’ right to argue that a </w:t>
      </w:r>
      <w:r w:rsidR="00B635F0">
        <w:t xml:space="preserve">contested contract term </w:t>
      </w:r>
      <w:r w:rsidR="00E44560">
        <w:t>is not unfair</w:t>
      </w:r>
      <w:r w:rsidR="00AC15BA">
        <w:t>.</w:t>
      </w:r>
      <w:r w:rsidR="00AC15BA">
        <w:rPr>
          <w:rStyle w:val="FootnoteReference"/>
        </w:rPr>
        <w:footnoteReference w:id="24"/>
      </w:r>
      <w:r w:rsidR="00E44560">
        <w:t xml:space="preserve"> In </w:t>
      </w:r>
      <w:r w:rsidR="00175083">
        <w:t xml:space="preserve">the </w:t>
      </w:r>
      <w:r w:rsidR="00E44560">
        <w:t xml:space="preserve">case </w:t>
      </w:r>
      <w:proofErr w:type="spellStart"/>
      <w:r w:rsidR="00175083" w:rsidRPr="00215B78">
        <w:rPr>
          <w:i/>
        </w:rPr>
        <w:t>Biuro</w:t>
      </w:r>
      <w:proofErr w:type="spellEnd"/>
      <w:r w:rsidR="00175083" w:rsidRPr="00215B78">
        <w:rPr>
          <w:i/>
        </w:rPr>
        <w:t xml:space="preserve"> </w:t>
      </w:r>
      <w:proofErr w:type="spellStart"/>
      <w:r w:rsidR="00175083" w:rsidRPr="00215B78">
        <w:rPr>
          <w:i/>
        </w:rPr>
        <w:t>podróży</w:t>
      </w:r>
      <w:proofErr w:type="spellEnd"/>
      <w:r w:rsidR="00175083" w:rsidRPr="00215B78">
        <w:rPr>
          <w:i/>
        </w:rPr>
        <w:t xml:space="preserve"> Partner</w:t>
      </w:r>
      <w:r w:rsidR="00E44560">
        <w:rPr>
          <w:i/>
        </w:rPr>
        <w:t xml:space="preserve"> </w:t>
      </w:r>
      <w:r w:rsidR="00E44560">
        <w:t>the CJEU supplements this assessment by explicitly recognising that if such rights are infringed, traders are entitled to an effective judicial remedy.</w:t>
      </w:r>
      <w:r w:rsidR="00E44560">
        <w:rPr>
          <w:rStyle w:val="FootnoteReference"/>
        </w:rPr>
        <w:footnoteReference w:id="25"/>
      </w:r>
      <w:r w:rsidR="00890881">
        <w:t xml:space="preserve"> However, it proceeds then to suggest to the national court that in this case the trader’</w:t>
      </w:r>
      <w:r w:rsidR="00145244">
        <w:t>s</w:t>
      </w:r>
      <w:r w:rsidR="00890881">
        <w:t xml:space="preserve"> right to effective judicial protection </w:t>
      </w:r>
      <w:r w:rsidR="00D32F59">
        <w:t xml:space="preserve">was </w:t>
      </w:r>
      <w:r w:rsidR="00890881">
        <w:t>not infringed</w:t>
      </w:r>
      <w:r w:rsidR="00807E51">
        <w:t>, despite the trader only having an option to contest the assessment of equivalence between his contract term and the already registered as unfair contract term, rather than to question the unfairness’ assessment, in general</w:t>
      </w:r>
      <w:r w:rsidR="00890881">
        <w:t>.</w:t>
      </w:r>
      <w:r w:rsidR="00890881">
        <w:rPr>
          <w:rStyle w:val="FootnoteReference"/>
        </w:rPr>
        <w:footnoteReference w:id="26"/>
      </w:r>
    </w:p>
    <w:p w:rsidR="003113F5" w:rsidRPr="003113F5" w:rsidRDefault="00890881" w:rsidP="00603A94">
      <w:pPr>
        <w:jc w:val="both"/>
      </w:pPr>
      <w:r>
        <w:tab/>
        <w:t xml:space="preserve">It is the national court that will need to examine the position of traders under Polish </w:t>
      </w:r>
      <w:proofErr w:type="gramStart"/>
      <w:r>
        <w:t>law,</w:t>
      </w:r>
      <w:proofErr w:type="gramEnd"/>
      <w:r>
        <w:t xml:space="preserve"> however, the CJEU </w:t>
      </w:r>
      <w:r w:rsidR="00D32F59">
        <w:t xml:space="preserve">indicates what should be considered in this assessment. The national court will need to examine whether </w:t>
      </w:r>
      <w:r>
        <w:t>the trader who is fined for using unlawful contract terms, previously entered into the register of unfair contract terms, has the possibility to challenge this sanction</w:t>
      </w:r>
      <w:r w:rsidR="008159A3">
        <w:t>, both as to its validity and as to its amount</w:t>
      </w:r>
      <w:r>
        <w:t xml:space="preserve">. In Poland, the trader may challenge </w:t>
      </w:r>
      <w:r w:rsidR="00F43F3B">
        <w:t xml:space="preserve">with the </w:t>
      </w:r>
      <w:proofErr w:type="spellStart"/>
      <w:r w:rsidR="00F43F3B">
        <w:t>SOKiK</w:t>
      </w:r>
      <w:proofErr w:type="spellEnd"/>
      <w:r w:rsidR="00F43F3B">
        <w:t xml:space="preserve"> </w:t>
      </w:r>
      <w:r>
        <w:t xml:space="preserve">the </w:t>
      </w:r>
      <w:r w:rsidR="008159A3">
        <w:t xml:space="preserve">validity of the </w:t>
      </w:r>
      <w:r>
        <w:t xml:space="preserve">assessment that the standard term he is using is equivalent to the </w:t>
      </w:r>
      <w:r w:rsidR="00F43F3B">
        <w:t xml:space="preserve">contract </w:t>
      </w:r>
      <w:r>
        <w:t xml:space="preserve">term </w:t>
      </w:r>
      <w:r w:rsidR="00F43F3B">
        <w:t>previously registered as unfair</w:t>
      </w:r>
      <w:r>
        <w:t>.</w:t>
      </w:r>
      <w:r>
        <w:rPr>
          <w:rStyle w:val="FootnoteReference"/>
        </w:rPr>
        <w:footnoteReference w:id="27"/>
      </w:r>
      <w:r w:rsidR="008159A3">
        <w:t xml:space="preserve"> </w:t>
      </w:r>
      <w:r w:rsidR="00D32F59">
        <w:t xml:space="preserve">In this </w:t>
      </w:r>
      <w:r w:rsidR="00642A8C">
        <w:t xml:space="preserve">appeal </w:t>
      </w:r>
      <w:r w:rsidR="00D32F59">
        <w:t>procedure</w:t>
      </w:r>
      <w:r w:rsidR="008159A3">
        <w:t xml:space="preserve"> the </w:t>
      </w:r>
      <w:proofErr w:type="spellStart"/>
      <w:r w:rsidR="008159A3">
        <w:t>SOKiK</w:t>
      </w:r>
      <w:proofErr w:type="spellEnd"/>
      <w:r w:rsidR="008159A3">
        <w:t xml:space="preserve"> goes beyond a formal comparison of both </w:t>
      </w:r>
      <w:r w:rsidR="00031623">
        <w:t xml:space="preserve">contract </w:t>
      </w:r>
      <w:r w:rsidR="008159A3">
        <w:t xml:space="preserve">terms and establishes their material </w:t>
      </w:r>
      <w:proofErr w:type="spellStart"/>
      <w:r w:rsidR="008159A3">
        <w:t>identicality</w:t>
      </w:r>
      <w:proofErr w:type="spellEnd"/>
      <w:r w:rsidR="008159A3">
        <w:t xml:space="preserve"> in light of all relevant circumstances specific to each case.</w:t>
      </w:r>
      <w:r w:rsidR="008159A3">
        <w:rPr>
          <w:rStyle w:val="FootnoteReference"/>
        </w:rPr>
        <w:footnoteReference w:id="28"/>
      </w:r>
      <w:r w:rsidR="008159A3">
        <w:t xml:space="preserve"> This, pursuant to the CJEU, should guarantee the </w:t>
      </w:r>
      <w:r w:rsidR="00F01F4B">
        <w:t xml:space="preserve">trader’s </w:t>
      </w:r>
      <w:r w:rsidR="008159A3">
        <w:t>right to fair trial.</w:t>
      </w:r>
      <w:r w:rsidR="008159A3">
        <w:rPr>
          <w:rStyle w:val="FootnoteReference"/>
        </w:rPr>
        <w:footnoteReference w:id="29"/>
      </w:r>
      <w:r w:rsidR="00807E51">
        <w:t xml:space="preserve"> This is contrary to the view expressed by AG </w:t>
      </w:r>
      <w:proofErr w:type="spellStart"/>
      <w:r w:rsidR="00807E51">
        <w:t>Saugmandsgaard</w:t>
      </w:r>
      <w:proofErr w:type="spellEnd"/>
      <w:r w:rsidR="00807E51">
        <w:t xml:space="preserve"> </w:t>
      </w:r>
      <w:proofErr w:type="spellStart"/>
      <w:r w:rsidR="00807E51">
        <w:t>Øe</w:t>
      </w:r>
      <w:proofErr w:type="spellEnd"/>
      <w:r w:rsidR="00A66AE3">
        <w:t xml:space="preserve"> </w:t>
      </w:r>
      <w:r w:rsidR="00807E51">
        <w:t>that the right to fair trial guarantees the trader’s possibility to claim that the contract term he is using is not unfair</w:t>
      </w:r>
      <w:r w:rsidR="00A66AE3">
        <w:t>. This remedy is not the same as only being able to</w:t>
      </w:r>
      <w:r w:rsidR="008243CB">
        <w:t xml:space="preserve"> question </w:t>
      </w:r>
      <w:r w:rsidR="00A66AE3">
        <w:t>the</w:t>
      </w:r>
      <w:r w:rsidR="008243CB">
        <w:t xml:space="preserve"> equivalence </w:t>
      </w:r>
      <w:r w:rsidR="00A66AE3">
        <w:t xml:space="preserve">of a contract term </w:t>
      </w:r>
      <w:r w:rsidR="008243CB">
        <w:t>to the other, already registered as unfair contract term</w:t>
      </w:r>
      <w:r w:rsidR="00807E51">
        <w:t>.</w:t>
      </w:r>
      <w:r w:rsidR="00807E51">
        <w:rPr>
          <w:rStyle w:val="FootnoteReference"/>
        </w:rPr>
        <w:footnoteReference w:id="30"/>
      </w:r>
      <w:r w:rsidR="00807E51">
        <w:t xml:space="preserve"> The CJEU only adds </w:t>
      </w:r>
      <w:r w:rsidR="00A322AF">
        <w:t xml:space="preserve">a requirement for </w:t>
      </w:r>
      <w:r w:rsidR="008159A3">
        <w:t>national court</w:t>
      </w:r>
      <w:r w:rsidR="00A322AF">
        <w:t>s</w:t>
      </w:r>
      <w:r w:rsidR="008159A3">
        <w:t xml:space="preserve"> </w:t>
      </w:r>
      <w:r w:rsidR="00A322AF">
        <w:t xml:space="preserve">to </w:t>
      </w:r>
      <w:r w:rsidR="008159A3">
        <w:t xml:space="preserve">consider whether </w:t>
      </w:r>
      <w:r w:rsidR="00F01F4B">
        <w:t xml:space="preserve">the </w:t>
      </w:r>
      <w:r w:rsidR="008159A3">
        <w:t>Polish legal system gives traders an opportunity to challenge the amount of the fine</w:t>
      </w:r>
      <w:r w:rsidR="008243CB">
        <w:t xml:space="preserve"> imposed by the President of the </w:t>
      </w:r>
      <w:proofErr w:type="spellStart"/>
      <w:r w:rsidR="008243CB">
        <w:t>UOKiK</w:t>
      </w:r>
      <w:proofErr w:type="spellEnd"/>
      <w:r w:rsidR="008159A3">
        <w:t>, as being disproportionate.</w:t>
      </w:r>
      <w:r w:rsidR="008159A3">
        <w:rPr>
          <w:rStyle w:val="FootnoteReference"/>
        </w:rPr>
        <w:footnoteReference w:id="31"/>
      </w:r>
      <w:r w:rsidR="008159A3">
        <w:t xml:space="preserve"> If this right is also provided, then </w:t>
      </w:r>
      <w:r w:rsidR="00F01F4B">
        <w:t xml:space="preserve">the </w:t>
      </w:r>
      <w:r w:rsidR="008159A3">
        <w:t>Polish legal system should be deemed compliant with Article 47 of the Charter.</w:t>
      </w:r>
    </w:p>
    <w:p w:rsidR="002C1D74" w:rsidRPr="002C1D74" w:rsidRDefault="002C1D74" w:rsidP="00170B10">
      <w:pPr>
        <w:jc w:val="both"/>
      </w:pPr>
      <w:r>
        <w:t xml:space="preserve">2.3 </w:t>
      </w:r>
      <w:r w:rsidR="00BF40E7">
        <w:t>Conditions for</w:t>
      </w:r>
      <w:r w:rsidR="00145244">
        <w:t xml:space="preserve"> the</w:t>
      </w:r>
      <w:r w:rsidR="00BF40E7">
        <w:t xml:space="preserve"> </w:t>
      </w:r>
      <w:proofErr w:type="spellStart"/>
      <w:r w:rsidR="00BF40E7">
        <w:t>e</w:t>
      </w:r>
      <w:r>
        <w:rPr>
          <w:i/>
        </w:rPr>
        <w:t>rga</w:t>
      </w:r>
      <w:proofErr w:type="spellEnd"/>
      <w:r>
        <w:rPr>
          <w:i/>
        </w:rPr>
        <w:t xml:space="preserve"> </w:t>
      </w:r>
      <w:proofErr w:type="spellStart"/>
      <w:r>
        <w:rPr>
          <w:i/>
        </w:rPr>
        <w:t>omnes</w:t>
      </w:r>
      <w:proofErr w:type="spellEnd"/>
      <w:r>
        <w:t xml:space="preserve"> effect</w:t>
      </w:r>
    </w:p>
    <w:p w:rsidR="00BF40E7" w:rsidRDefault="00AA2171" w:rsidP="005E379A">
      <w:pPr>
        <w:jc w:val="both"/>
      </w:pPr>
      <w:r>
        <w:lastRenderedPageBreak/>
        <w:t xml:space="preserve">As long as the Polish scheme for registering unfair contract terms accounts for the traders’ right to </w:t>
      </w:r>
      <w:r w:rsidR="00BF3B69">
        <w:t xml:space="preserve">fair trial and </w:t>
      </w:r>
      <w:r>
        <w:t xml:space="preserve">effective judicial protection, the CJEU considers </w:t>
      </w:r>
      <w:r w:rsidR="009506C8">
        <w:t xml:space="preserve">its adoption as </w:t>
      </w:r>
      <w:r>
        <w:t>compatible with European consumer law</w:t>
      </w:r>
      <w:r w:rsidR="00A322AF">
        <w:t xml:space="preserve">. The implementing measures aim then </w:t>
      </w:r>
      <w:r w:rsidR="009506C8">
        <w:t>at enhancing the effectiveness of the prohibition to use unfair contract terms</w:t>
      </w:r>
      <w:r>
        <w:t>.</w:t>
      </w:r>
      <w:r w:rsidR="009506C8">
        <w:rPr>
          <w:rStyle w:val="FootnoteReference"/>
        </w:rPr>
        <w:footnoteReference w:id="32"/>
      </w:r>
      <w:r>
        <w:t xml:space="preserve"> Article 8 UCTD specifically allows the Member States to draft lists of </w:t>
      </w:r>
      <w:r w:rsidR="00031623">
        <w:t xml:space="preserve">contract </w:t>
      </w:r>
      <w:r>
        <w:t>terms deemed to be unfair and only requires them to notify the Commission thereof</w:t>
      </w:r>
      <w:r w:rsidR="00A322AF">
        <w:t>.</w:t>
      </w:r>
      <w:r w:rsidR="00DF674E">
        <w:t xml:space="preserve"> </w:t>
      </w:r>
      <w:r w:rsidR="00A322AF">
        <w:t>T</w:t>
      </w:r>
      <w:r w:rsidR="00DF674E">
        <w:t>he Polish register of unfair contract terms could be compared</w:t>
      </w:r>
      <w:r w:rsidR="00A322AF">
        <w:t xml:space="preserve"> to such lists</w:t>
      </w:r>
      <w:r>
        <w:t>.</w:t>
      </w:r>
      <w:r w:rsidR="001E2652">
        <w:rPr>
          <w:rStyle w:val="FootnoteReference"/>
        </w:rPr>
        <w:footnoteReference w:id="33"/>
      </w:r>
      <w:r>
        <w:t xml:space="preserve"> However, in its judgment, while considering the functions fulfilled by the register of unfair contract terms, the CJEU identifies certain conditions </w:t>
      </w:r>
      <w:r w:rsidR="00A322AF">
        <w:t xml:space="preserve">for </w:t>
      </w:r>
      <w:r>
        <w:t xml:space="preserve">such lists </w:t>
      </w:r>
      <w:r w:rsidR="00DF674E">
        <w:t xml:space="preserve">and registers </w:t>
      </w:r>
      <w:r>
        <w:t xml:space="preserve">in order to </w:t>
      </w:r>
      <w:r w:rsidR="00A322AF">
        <w:t xml:space="preserve">grant them with </w:t>
      </w:r>
      <w:r w:rsidR="00DF674E">
        <w:t xml:space="preserve">an </w:t>
      </w:r>
      <w:proofErr w:type="spellStart"/>
      <w:r w:rsidR="00DF674E">
        <w:rPr>
          <w:i/>
        </w:rPr>
        <w:t>erga</w:t>
      </w:r>
      <w:proofErr w:type="spellEnd"/>
      <w:r w:rsidR="00DF674E">
        <w:rPr>
          <w:i/>
        </w:rPr>
        <w:t xml:space="preserve"> </w:t>
      </w:r>
      <w:proofErr w:type="spellStart"/>
      <w:r w:rsidR="00DF674E">
        <w:rPr>
          <w:i/>
        </w:rPr>
        <w:t>omnes</w:t>
      </w:r>
      <w:proofErr w:type="spellEnd"/>
      <w:r w:rsidR="00DF674E">
        <w:rPr>
          <w:i/>
        </w:rPr>
        <w:t xml:space="preserve"> </w:t>
      </w:r>
      <w:r w:rsidR="00DF674E">
        <w:t>effect</w:t>
      </w:r>
      <w:r>
        <w:t>.</w:t>
      </w:r>
    </w:p>
    <w:p w:rsidR="00AA2171" w:rsidRPr="000934FF" w:rsidRDefault="00AA2171" w:rsidP="005E379A">
      <w:pPr>
        <w:jc w:val="both"/>
      </w:pPr>
      <w:r>
        <w:tab/>
      </w:r>
      <w:r w:rsidR="009506C8">
        <w:t>The first function of the register is to make it public</w:t>
      </w:r>
      <w:r w:rsidR="00B533C9">
        <w:t>ly known</w:t>
      </w:r>
      <w:r w:rsidR="009506C8">
        <w:t xml:space="preserve"> which </w:t>
      </w:r>
      <w:r w:rsidR="00880F2B">
        <w:t xml:space="preserve">contract </w:t>
      </w:r>
      <w:r w:rsidR="009506C8">
        <w:t xml:space="preserve">terms have </w:t>
      </w:r>
      <w:r w:rsidR="00DF674E">
        <w:t xml:space="preserve">already </w:t>
      </w:r>
      <w:r w:rsidR="009506C8">
        <w:t xml:space="preserve">been </w:t>
      </w:r>
      <w:r w:rsidR="00DF674E">
        <w:t>declared</w:t>
      </w:r>
      <w:r w:rsidR="009506C8">
        <w:t xml:space="preserve"> unfair. This should allow both consumers and traders to easily consult the list of unfair contract terms, </w:t>
      </w:r>
      <w:r w:rsidR="00DF674E">
        <w:t xml:space="preserve">and </w:t>
      </w:r>
      <w:r w:rsidR="009506C8">
        <w:t>to determine whether in their own contracts identical or similar terms have not been used. The register facilitates, therefore, the “</w:t>
      </w:r>
      <w:r w:rsidR="009506C8" w:rsidRPr="009506C8">
        <w:rPr>
          <w:i/>
        </w:rPr>
        <w:t>circulation and reproduction of terms held to be unlawful</w:t>
      </w:r>
      <w:r w:rsidR="009506C8">
        <w:t>”.</w:t>
      </w:r>
      <w:r w:rsidR="009506C8">
        <w:rPr>
          <w:rStyle w:val="FootnoteReference"/>
        </w:rPr>
        <w:footnoteReference w:id="34"/>
      </w:r>
      <w:r w:rsidR="009506C8">
        <w:t xml:space="preserve"> This function is especially important in the Member States such as Poland, where access to judicial decisions is not facilitated by </w:t>
      </w:r>
      <w:r w:rsidR="00145AFE">
        <w:t>a comprehensive</w:t>
      </w:r>
      <w:r w:rsidR="009506C8">
        <w:t xml:space="preserve"> online database.</w:t>
      </w:r>
      <w:r w:rsidR="009506C8">
        <w:rPr>
          <w:rStyle w:val="FootnoteReference"/>
        </w:rPr>
        <w:footnoteReference w:id="35"/>
      </w:r>
      <w:r w:rsidR="009506C8">
        <w:t xml:space="preserve"> It could encourage consumers to pursue their own individual claims against traders who </w:t>
      </w:r>
      <w:r w:rsidR="00145AFE">
        <w:t>use unfair contract terms, by facilitating the recognition thereof</w:t>
      </w:r>
      <w:r w:rsidR="009506C8">
        <w:t>. It might also motivate traders to redraft their unfair contract terms</w:t>
      </w:r>
      <w:r w:rsidR="00880F2B">
        <w:t>,</w:t>
      </w:r>
      <w:r w:rsidR="000934FF">
        <w:t xml:space="preserve"> </w:t>
      </w:r>
      <w:r w:rsidR="00880F2B">
        <w:t>upon finding a similar contract term already registered as unfair</w:t>
      </w:r>
      <w:r w:rsidR="00B0167C">
        <w:t>. This adjustment should result</w:t>
      </w:r>
      <w:r w:rsidR="00880F2B">
        <w:t xml:space="preserve"> </w:t>
      </w:r>
      <w:r w:rsidR="00B0167C">
        <w:t xml:space="preserve">from traders’ </w:t>
      </w:r>
      <w:r w:rsidR="000934FF">
        <w:t xml:space="preserve">fear </w:t>
      </w:r>
      <w:r w:rsidR="00B0167C">
        <w:t xml:space="preserve">of </w:t>
      </w:r>
      <w:r w:rsidR="00880F2B">
        <w:t xml:space="preserve">having </w:t>
      </w:r>
      <w:r w:rsidR="000934FF">
        <w:t xml:space="preserve">their </w:t>
      </w:r>
      <w:r w:rsidR="00880F2B">
        <w:t xml:space="preserve">contract </w:t>
      </w:r>
      <w:r w:rsidR="000934FF">
        <w:t xml:space="preserve">terms </w:t>
      </w:r>
      <w:r w:rsidR="00880F2B">
        <w:t xml:space="preserve">exposed as unfair in </w:t>
      </w:r>
      <w:r w:rsidR="000934FF">
        <w:t xml:space="preserve">the register, </w:t>
      </w:r>
      <w:r w:rsidR="00B0167C">
        <w:t xml:space="preserve">which could be perceived as </w:t>
      </w:r>
      <w:r w:rsidR="000934FF">
        <w:t xml:space="preserve">a </w:t>
      </w:r>
      <w:r w:rsidR="00F83634">
        <w:t xml:space="preserve">modern </w:t>
      </w:r>
      <w:r w:rsidR="00B0167C">
        <w:t xml:space="preserve">version </w:t>
      </w:r>
      <w:r w:rsidR="000934FF">
        <w:t xml:space="preserve">of </w:t>
      </w:r>
      <w:r w:rsidR="00880F2B">
        <w:t>‘</w:t>
      </w:r>
      <w:r w:rsidR="000934FF">
        <w:t>name-and-shame’ lists.</w:t>
      </w:r>
      <w:r w:rsidR="009506C8">
        <w:t xml:space="preserve"> Therefore, the first condition </w:t>
      </w:r>
      <w:r w:rsidR="000934FF">
        <w:t xml:space="preserve">to grant the register an </w:t>
      </w:r>
      <w:proofErr w:type="spellStart"/>
      <w:r w:rsidR="000934FF">
        <w:rPr>
          <w:i/>
        </w:rPr>
        <w:t>erga</w:t>
      </w:r>
      <w:proofErr w:type="spellEnd"/>
      <w:r w:rsidR="000934FF">
        <w:rPr>
          <w:i/>
        </w:rPr>
        <w:t xml:space="preserve"> </w:t>
      </w:r>
      <w:proofErr w:type="spellStart"/>
      <w:r w:rsidR="000934FF">
        <w:rPr>
          <w:i/>
        </w:rPr>
        <w:t>omnes</w:t>
      </w:r>
      <w:proofErr w:type="spellEnd"/>
      <w:r w:rsidR="000934FF">
        <w:t xml:space="preserve"> effect is for it to be publicly and easily accessible. It should be mentioned </w:t>
      </w:r>
      <w:r w:rsidR="00013395">
        <w:t xml:space="preserve">here </w:t>
      </w:r>
      <w:r w:rsidR="000934FF">
        <w:t xml:space="preserve">that the Polish register </w:t>
      </w:r>
      <w:r w:rsidR="00CB403A">
        <w:t xml:space="preserve">is </w:t>
      </w:r>
      <w:r w:rsidR="000934FF">
        <w:t>available online.</w:t>
      </w:r>
      <w:r w:rsidR="005D3858">
        <w:t xml:space="preserve"> </w:t>
      </w:r>
    </w:p>
    <w:p w:rsidR="009506C8" w:rsidRDefault="001B48C9" w:rsidP="005E379A">
      <w:pPr>
        <w:jc w:val="both"/>
      </w:pPr>
      <w:r>
        <w:tab/>
        <w:t>Secondly</w:t>
      </w:r>
      <w:r w:rsidR="009506C8">
        <w:t xml:space="preserve">, the </w:t>
      </w:r>
      <w:r w:rsidR="009665D6">
        <w:t>register aims to increase legal certainty by increasing transparency of consumer protection in Poland.</w:t>
      </w:r>
      <w:r w:rsidR="009665D6">
        <w:rPr>
          <w:rStyle w:val="FootnoteReference"/>
        </w:rPr>
        <w:footnoteReference w:id="36"/>
      </w:r>
      <w:r w:rsidR="009665D6">
        <w:t xml:space="preserve"> Without the register, as mentioned above, judicial decisions on unfairness of contract terms would not be made publicly available. This </w:t>
      </w:r>
      <w:r w:rsidR="005F1999">
        <w:t xml:space="preserve">could weaken </w:t>
      </w:r>
      <w:r w:rsidR="00EF0754">
        <w:t xml:space="preserve">the </w:t>
      </w:r>
      <w:r w:rsidR="005F1999">
        <w:t xml:space="preserve">parties’ ability to </w:t>
      </w:r>
      <w:r w:rsidR="00F83634">
        <w:t xml:space="preserve">assess </w:t>
      </w:r>
      <w:r w:rsidR="005F1999">
        <w:t>unfairness</w:t>
      </w:r>
      <w:r w:rsidR="00F83634">
        <w:t xml:space="preserve"> of their own contractual terms and conditions</w:t>
      </w:r>
      <w:r w:rsidR="0096052C">
        <w:t>. Moreover, it</w:t>
      </w:r>
      <w:r w:rsidR="005F1999">
        <w:t xml:space="preserve"> could also contribute to </w:t>
      </w:r>
      <w:r w:rsidR="007F13E8">
        <w:t xml:space="preserve">varied unfairness’ assessments </w:t>
      </w:r>
      <w:r w:rsidR="00440B44">
        <w:t xml:space="preserve">in individual and collective review, carried out </w:t>
      </w:r>
      <w:r w:rsidR="007F13E8">
        <w:t xml:space="preserve">by different national courts </w:t>
      </w:r>
      <w:r w:rsidR="00F83634">
        <w:t xml:space="preserve">in </w:t>
      </w:r>
      <w:r w:rsidR="007F13E8">
        <w:t xml:space="preserve">identical or similar circumstances. </w:t>
      </w:r>
      <w:r w:rsidR="00955860">
        <w:t xml:space="preserve">However, in order for this objective of increasing transparency and legal certainty of consumer protection to be achieved, the register of unfair </w:t>
      </w:r>
      <w:r w:rsidR="00EF0754">
        <w:t xml:space="preserve">contract </w:t>
      </w:r>
      <w:r w:rsidR="00955860">
        <w:t xml:space="preserve">terms </w:t>
      </w:r>
      <w:r w:rsidR="00EF0754">
        <w:t xml:space="preserve">would </w:t>
      </w:r>
      <w:r w:rsidR="00955860">
        <w:t>need to be “</w:t>
      </w:r>
      <w:r w:rsidR="00955860" w:rsidRPr="00955860">
        <w:rPr>
          <w:i/>
        </w:rPr>
        <w:t>structured in a clear manner, irrespective of the number of terms it contains</w:t>
      </w:r>
      <w:r w:rsidR="00955860">
        <w:t>”.</w:t>
      </w:r>
      <w:r w:rsidR="00955860">
        <w:rPr>
          <w:rStyle w:val="FootnoteReference"/>
        </w:rPr>
        <w:footnoteReference w:id="37"/>
      </w:r>
      <w:r w:rsidR="00955860">
        <w:t xml:space="preserve"> If it is not easy to compare a particular </w:t>
      </w:r>
      <w:r w:rsidR="00EF0754">
        <w:t xml:space="preserve">contract </w:t>
      </w:r>
      <w:r w:rsidR="00955860">
        <w:t>term to the ones listed in the register, e.g.</w:t>
      </w:r>
      <w:r w:rsidR="00EF0754">
        <w:t>,</w:t>
      </w:r>
      <w:r w:rsidR="00955860">
        <w:t xml:space="preserve"> because the register</w:t>
      </w:r>
      <w:r w:rsidR="00EF0754">
        <w:t>:</w:t>
      </w:r>
      <w:r w:rsidR="00955860">
        <w:t xml:space="preserve"> contains hundreds if not thousands of them</w:t>
      </w:r>
      <w:r w:rsidR="00EF0754">
        <w:t>;</w:t>
      </w:r>
      <w:r w:rsidR="00955860">
        <w:t xml:space="preserve"> </w:t>
      </w:r>
      <w:r w:rsidR="00C873D2">
        <w:t xml:space="preserve">provides </w:t>
      </w:r>
      <w:r w:rsidR="00955860">
        <w:t xml:space="preserve">no search </w:t>
      </w:r>
      <w:r w:rsidR="00955860">
        <w:lastRenderedPageBreak/>
        <w:t>form</w:t>
      </w:r>
      <w:r w:rsidR="00EF0754">
        <w:t>;</w:t>
      </w:r>
      <w:r w:rsidR="00955860">
        <w:t xml:space="preserve"> </w:t>
      </w:r>
      <w:r w:rsidR="00C873D2">
        <w:t xml:space="preserve">does not use </w:t>
      </w:r>
      <w:r w:rsidR="00955860">
        <w:t>keywords</w:t>
      </w:r>
      <w:r w:rsidR="00EF0754">
        <w:t xml:space="preserve">; does not classify contract </w:t>
      </w:r>
      <w:r w:rsidR="00955860">
        <w:t xml:space="preserve">terms per sector and/or </w:t>
      </w:r>
      <w:r w:rsidR="0053534E">
        <w:t xml:space="preserve">a </w:t>
      </w:r>
      <w:r w:rsidR="00955860">
        <w:t xml:space="preserve">type of </w:t>
      </w:r>
      <w:r w:rsidR="0053534E">
        <w:t xml:space="preserve">a </w:t>
      </w:r>
      <w:r w:rsidR="00955860">
        <w:t>contract term</w:t>
      </w:r>
      <w:r w:rsidR="00EF0754">
        <w:t>;</w:t>
      </w:r>
      <w:r w:rsidR="00955860">
        <w:t xml:space="preserve"> then</w:t>
      </w:r>
      <w:r w:rsidR="00EF0754">
        <w:t>,</w:t>
      </w:r>
      <w:r w:rsidR="00955860">
        <w:t xml:space="preserve"> it </w:t>
      </w:r>
      <w:r w:rsidR="00F6674C">
        <w:t>is unlikely to achieve its desired objective</w:t>
      </w:r>
      <w:r w:rsidR="00B533C9">
        <w:t>s</w:t>
      </w:r>
      <w:r w:rsidR="00F6674C">
        <w:t>.</w:t>
      </w:r>
      <w:r>
        <w:rPr>
          <w:rStyle w:val="FootnoteReference"/>
        </w:rPr>
        <w:footnoteReference w:id="38"/>
      </w:r>
    </w:p>
    <w:p w:rsidR="00D82196" w:rsidRDefault="00D82196" w:rsidP="005E379A">
      <w:pPr>
        <w:jc w:val="both"/>
      </w:pPr>
      <w:r>
        <w:tab/>
      </w:r>
      <w:r w:rsidR="00B533C9">
        <w:t>Another condition that the CJEU introduces for the national registers of unfair contract terms is that they need to be kept up-to-date, with an additional requirement</w:t>
      </w:r>
      <w:r w:rsidR="0053534E">
        <w:t xml:space="preserve"> for their keepers to</w:t>
      </w:r>
      <w:r w:rsidR="00B533C9">
        <w:t xml:space="preserve"> </w:t>
      </w:r>
      <w:r w:rsidR="0053534E">
        <w:t>promptly remove</w:t>
      </w:r>
      <w:r w:rsidR="00B533C9">
        <w:t xml:space="preserve"> </w:t>
      </w:r>
      <w:r w:rsidR="0053534E">
        <w:t xml:space="preserve">from them such contract </w:t>
      </w:r>
      <w:r w:rsidR="00B533C9">
        <w:t>terms that are no longer needed.</w:t>
      </w:r>
      <w:r w:rsidR="00B533C9">
        <w:rPr>
          <w:rStyle w:val="FootnoteReference"/>
        </w:rPr>
        <w:footnoteReference w:id="39"/>
      </w:r>
      <w:r w:rsidR="00B533C9">
        <w:t xml:space="preserve"> While to fulfil both above-mentioned functions the register would need to remain current and new decisions as to unfair contract terms should be published as soon as possible, the last requirement is a bit baffling. </w:t>
      </w:r>
      <w:r w:rsidR="00292C3B">
        <w:t>Amongst the</w:t>
      </w:r>
      <w:r w:rsidR="00B533C9">
        <w:t xml:space="preserve"> foreseeable scenario</w:t>
      </w:r>
      <w:r w:rsidR="00292C3B">
        <w:t>s</w:t>
      </w:r>
      <w:r w:rsidR="00B533C9">
        <w:t xml:space="preserve"> of </w:t>
      </w:r>
      <w:r w:rsidR="00CF5A42">
        <w:t>when a particular contract term that has been declared unfair should no longer be listed in the register</w:t>
      </w:r>
      <w:r w:rsidR="00827539">
        <w:t xml:space="preserve">, </w:t>
      </w:r>
      <w:r w:rsidR="00292C3B">
        <w:t xml:space="preserve">we can think of a situation </w:t>
      </w:r>
      <w:r w:rsidR="00827539">
        <w:t xml:space="preserve">when </w:t>
      </w:r>
      <w:r w:rsidR="00CF5A42">
        <w:t>that term has subsequently</w:t>
      </w:r>
      <w:r w:rsidR="008915AA">
        <w:t xml:space="preserve"> been</w:t>
      </w:r>
      <w:r w:rsidR="00CF5A42">
        <w:t>, on appeal, after all</w:t>
      </w:r>
      <w:r w:rsidR="00292C3B">
        <w:t>,</w:t>
      </w:r>
      <w:r w:rsidR="00CF5A42">
        <w:t xml:space="preserve"> deemed lawful</w:t>
      </w:r>
      <w:r w:rsidR="005B018E">
        <w:t xml:space="preserve"> or when the law applicable to the contract has changed</w:t>
      </w:r>
      <w:r w:rsidR="00CF5A42">
        <w:t>.</w:t>
      </w:r>
      <w:r w:rsidR="005B018E">
        <w:rPr>
          <w:rStyle w:val="FootnoteReference"/>
        </w:rPr>
        <w:footnoteReference w:id="40"/>
      </w:r>
      <w:r w:rsidR="00827539">
        <w:t xml:space="preserve"> Otherwise, even if upon declaring a certain </w:t>
      </w:r>
      <w:r w:rsidR="0053534E">
        <w:t xml:space="preserve">contract </w:t>
      </w:r>
      <w:r w:rsidR="00827539">
        <w:t xml:space="preserve">term unfair its application in practice has </w:t>
      </w:r>
      <w:r w:rsidR="008915AA">
        <w:t xml:space="preserve">ceased in </w:t>
      </w:r>
      <w:r w:rsidR="00827539">
        <w:t xml:space="preserve">a given sector, it could be wise to leave that </w:t>
      </w:r>
      <w:r w:rsidR="0053534E">
        <w:t xml:space="preserve">contract </w:t>
      </w:r>
      <w:r w:rsidR="00827539">
        <w:t xml:space="preserve">term </w:t>
      </w:r>
      <w:r w:rsidR="0053534E">
        <w:t xml:space="preserve">in </w:t>
      </w:r>
      <w:r w:rsidR="00827539">
        <w:t>the register</w:t>
      </w:r>
      <w:r w:rsidR="00860764">
        <w:t>. This could serve</w:t>
      </w:r>
      <w:r w:rsidR="00827539">
        <w:t xml:space="preserve"> as </w:t>
      </w:r>
      <w:r w:rsidR="00CA575E">
        <w:t xml:space="preserve">both </w:t>
      </w:r>
      <w:r w:rsidR="00827539">
        <w:t xml:space="preserve">a precautionary </w:t>
      </w:r>
      <w:r w:rsidR="00CA575E">
        <w:t xml:space="preserve">and a deterring </w:t>
      </w:r>
      <w:r w:rsidR="00827539">
        <w:t>measure.</w:t>
      </w:r>
      <w:r w:rsidR="008A5F72">
        <w:t xml:space="preserve"> Interestingly, the Polish government submitted to the CJEU that once an unfair contract term has been entered into the register, it could neither be removed from nor corrected in the register, which indicates </w:t>
      </w:r>
      <w:r w:rsidR="00292C3B">
        <w:t xml:space="preserve">a </w:t>
      </w:r>
      <w:r w:rsidR="008A5F72">
        <w:t>potential lack of compliance of the Polish registration system with this requirement.</w:t>
      </w:r>
      <w:r w:rsidR="008A5F72">
        <w:rPr>
          <w:rStyle w:val="FootnoteReference"/>
        </w:rPr>
        <w:footnoteReference w:id="41"/>
      </w:r>
    </w:p>
    <w:p w:rsidR="00966BC2" w:rsidRDefault="00063580" w:rsidP="005E379A">
      <w:pPr>
        <w:jc w:val="both"/>
      </w:pPr>
      <w:r>
        <w:tab/>
        <w:t>For completeness sake, the third function of the register mentioned by the CJEU is the strengthening of the national judicial sy</w:t>
      </w:r>
      <w:r w:rsidR="00860764">
        <w:t>stem and its proper functioning. This would be achieved</w:t>
      </w:r>
      <w:r>
        <w:t xml:space="preserve"> by avoiding </w:t>
      </w:r>
      <w:r w:rsidR="006861A1">
        <w:t>multiple judicial proceedings pertaining to the unfairness’ assessment of identical or similar standard terms and conditions.</w:t>
      </w:r>
      <w:r w:rsidR="006861A1">
        <w:rPr>
          <w:rStyle w:val="FootnoteReference"/>
        </w:rPr>
        <w:footnoteReference w:id="42"/>
      </w:r>
      <w:r w:rsidR="00631D12">
        <w:t xml:space="preserve"> If the registers </w:t>
      </w:r>
      <w:r w:rsidR="001916CE">
        <w:t xml:space="preserve">are </w:t>
      </w:r>
      <w:r w:rsidR="00631D12">
        <w:t>properly managed, assuring the existence of a transparent and up-to-date list of unfair contract terms, this could diminish the number of claims brought to national courts on the same matter</w:t>
      </w:r>
      <w:r w:rsidR="00864A91">
        <w:t>. This would follow from</w:t>
      </w:r>
      <w:r w:rsidR="00631D12">
        <w:t xml:space="preserve"> parties </w:t>
      </w:r>
      <w:r w:rsidR="00864A91">
        <w:t xml:space="preserve">no longer </w:t>
      </w:r>
      <w:r w:rsidR="002A7902">
        <w:t>refer</w:t>
      </w:r>
      <w:r w:rsidR="00864A91">
        <w:t>ring</w:t>
      </w:r>
      <w:r w:rsidR="002A7902">
        <w:t xml:space="preserve"> to the judge to determine whether their contractual rights and obligations are fair.</w:t>
      </w:r>
      <w:r w:rsidR="00EC732C">
        <w:t xml:space="preserve"> </w:t>
      </w:r>
    </w:p>
    <w:p w:rsidR="00063580" w:rsidRDefault="00EC732C" w:rsidP="00966BC2">
      <w:pPr>
        <w:ind w:firstLine="720"/>
        <w:jc w:val="both"/>
      </w:pPr>
      <w:r>
        <w:t xml:space="preserve">Concluding, </w:t>
      </w:r>
      <w:r w:rsidR="00966BC2">
        <w:t xml:space="preserve">to give an </w:t>
      </w:r>
      <w:proofErr w:type="spellStart"/>
      <w:r w:rsidR="00966BC2">
        <w:rPr>
          <w:i/>
        </w:rPr>
        <w:t>erga</w:t>
      </w:r>
      <w:proofErr w:type="spellEnd"/>
      <w:r w:rsidR="00966BC2">
        <w:rPr>
          <w:i/>
        </w:rPr>
        <w:t xml:space="preserve"> </w:t>
      </w:r>
      <w:proofErr w:type="spellStart"/>
      <w:r w:rsidR="00966BC2">
        <w:rPr>
          <w:i/>
        </w:rPr>
        <w:t>omnes</w:t>
      </w:r>
      <w:proofErr w:type="spellEnd"/>
      <w:r w:rsidR="00966BC2">
        <w:rPr>
          <w:i/>
        </w:rPr>
        <w:t xml:space="preserve"> </w:t>
      </w:r>
      <w:r w:rsidR="00966BC2">
        <w:t xml:space="preserve">effect to </w:t>
      </w:r>
      <w:r w:rsidR="008819FA">
        <w:t xml:space="preserve">standard </w:t>
      </w:r>
      <w:r w:rsidR="00966BC2">
        <w:t>terms and conditions declared unfair</w:t>
      </w:r>
      <w:r w:rsidR="008819FA">
        <w:t xml:space="preserve"> during the</w:t>
      </w:r>
      <w:r w:rsidR="00966BC2">
        <w:t xml:space="preserve"> </w:t>
      </w:r>
      <w:r w:rsidR="00966BC2">
        <w:rPr>
          <w:i/>
        </w:rPr>
        <w:t xml:space="preserve">in </w:t>
      </w:r>
      <w:proofErr w:type="spellStart"/>
      <w:r w:rsidR="00966BC2">
        <w:rPr>
          <w:i/>
        </w:rPr>
        <w:t>abstracto</w:t>
      </w:r>
      <w:proofErr w:type="spellEnd"/>
      <w:r w:rsidR="00292C3B">
        <w:rPr>
          <w:i/>
        </w:rPr>
        <w:t xml:space="preserve"> </w:t>
      </w:r>
      <w:r w:rsidR="00292C3B">
        <w:t>review</w:t>
      </w:r>
      <w:r w:rsidR="00966BC2">
        <w:t xml:space="preserve">, </w:t>
      </w:r>
      <w:r>
        <w:t xml:space="preserve">the </w:t>
      </w:r>
      <w:r w:rsidR="00966BC2">
        <w:t xml:space="preserve">registers listing such unfair </w:t>
      </w:r>
      <w:r w:rsidR="008819FA">
        <w:t xml:space="preserve">contract </w:t>
      </w:r>
      <w:r w:rsidR="00966BC2">
        <w:t xml:space="preserve">terms would need to be: publicly and easily accessible; </w:t>
      </w:r>
      <w:r w:rsidR="008D05AB">
        <w:t>transparent and clearly structured; up-to-date.</w:t>
      </w:r>
    </w:p>
    <w:p w:rsidR="006E770E" w:rsidRDefault="00D75F2E" w:rsidP="005E379A">
      <w:pPr>
        <w:jc w:val="both"/>
      </w:pPr>
      <w:r>
        <w:t xml:space="preserve">3. </w:t>
      </w:r>
      <w:r w:rsidR="0005377D">
        <w:t xml:space="preserve">Change of Polish law – </w:t>
      </w:r>
      <w:r w:rsidR="000F0378">
        <w:t>(</w:t>
      </w:r>
      <w:proofErr w:type="gramStart"/>
      <w:r w:rsidR="000F0378">
        <w:t>un)</w:t>
      </w:r>
      <w:proofErr w:type="gramEnd"/>
      <w:r w:rsidR="000F0378">
        <w:t>necessary</w:t>
      </w:r>
      <w:r w:rsidR="0005377D">
        <w:t xml:space="preserve">? </w:t>
      </w:r>
    </w:p>
    <w:p w:rsidR="006E3786" w:rsidRDefault="002B1E5B" w:rsidP="005E379A">
      <w:pPr>
        <w:jc w:val="both"/>
      </w:pPr>
      <w:r>
        <w:t xml:space="preserve">The CJEU delivered its judgment in the case </w:t>
      </w:r>
      <w:proofErr w:type="spellStart"/>
      <w:r w:rsidR="00773544" w:rsidRPr="00215B78">
        <w:rPr>
          <w:i/>
        </w:rPr>
        <w:t>Biuro</w:t>
      </w:r>
      <w:proofErr w:type="spellEnd"/>
      <w:r w:rsidR="00773544" w:rsidRPr="00215B78">
        <w:rPr>
          <w:i/>
        </w:rPr>
        <w:t xml:space="preserve"> </w:t>
      </w:r>
      <w:proofErr w:type="spellStart"/>
      <w:r w:rsidR="00773544" w:rsidRPr="00215B78">
        <w:rPr>
          <w:i/>
        </w:rPr>
        <w:t>podróży</w:t>
      </w:r>
      <w:proofErr w:type="spellEnd"/>
      <w:r w:rsidR="00773544" w:rsidRPr="00215B78">
        <w:rPr>
          <w:i/>
        </w:rPr>
        <w:t xml:space="preserve"> Partner</w:t>
      </w:r>
      <w:r>
        <w:t xml:space="preserve"> after the change of Polish law pertaining to the unfairness’ assessment </w:t>
      </w:r>
      <w:r>
        <w:rPr>
          <w:i/>
        </w:rPr>
        <w:t xml:space="preserve">in </w:t>
      </w:r>
      <w:proofErr w:type="spellStart"/>
      <w:r>
        <w:rPr>
          <w:i/>
        </w:rPr>
        <w:t>abstracto</w:t>
      </w:r>
      <w:proofErr w:type="spellEnd"/>
      <w:r>
        <w:t xml:space="preserve">. Any case started as of April 17, 2016 invoking an </w:t>
      </w:r>
      <w:r>
        <w:rPr>
          <w:i/>
        </w:rPr>
        <w:t xml:space="preserve">in </w:t>
      </w:r>
      <w:proofErr w:type="spellStart"/>
      <w:r>
        <w:rPr>
          <w:i/>
        </w:rPr>
        <w:t>abstracto</w:t>
      </w:r>
      <w:proofErr w:type="spellEnd"/>
      <w:r>
        <w:t xml:space="preserve"> </w:t>
      </w:r>
      <w:r w:rsidR="00C85D15">
        <w:t xml:space="preserve">review </w:t>
      </w:r>
      <w:r>
        <w:t xml:space="preserve">of unfairness, will not have its decision </w:t>
      </w:r>
      <w:r w:rsidR="00773544">
        <w:t xml:space="preserve">automatically </w:t>
      </w:r>
      <w:r>
        <w:t>published in the register</w:t>
      </w:r>
      <w:r w:rsidR="00C7646E">
        <w:t xml:space="preserve"> and will not generate </w:t>
      </w:r>
      <w:r w:rsidR="00C85D15">
        <w:t xml:space="preserve">an </w:t>
      </w:r>
      <w:proofErr w:type="spellStart"/>
      <w:r w:rsidR="00C7646E">
        <w:rPr>
          <w:i/>
        </w:rPr>
        <w:t>erga</w:t>
      </w:r>
      <w:proofErr w:type="spellEnd"/>
      <w:r w:rsidR="00C7646E">
        <w:rPr>
          <w:i/>
        </w:rPr>
        <w:t xml:space="preserve"> </w:t>
      </w:r>
      <w:proofErr w:type="spellStart"/>
      <w:r w:rsidR="00C7646E">
        <w:rPr>
          <w:i/>
        </w:rPr>
        <w:t>omnes</w:t>
      </w:r>
      <w:proofErr w:type="spellEnd"/>
      <w:r w:rsidR="00C7646E">
        <w:t xml:space="preserve"> effects</w:t>
      </w:r>
      <w:r>
        <w:t>.</w:t>
      </w:r>
      <w:r w:rsidR="00600B35">
        <w:rPr>
          <w:rStyle w:val="FootnoteReference"/>
        </w:rPr>
        <w:footnoteReference w:id="43"/>
      </w:r>
      <w:r>
        <w:t xml:space="preserve"> </w:t>
      </w:r>
      <w:r w:rsidR="00C7646E">
        <w:t xml:space="preserve">The change in law codifies the most recent position of the Polish Supreme Court, with the prevailing view that even the unfairness’ control </w:t>
      </w:r>
      <w:r w:rsidR="00C7646E">
        <w:rPr>
          <w:i/>
        </w:rPr>
        <w:t xml:space="preserve">in </w:t>
      </w:r>
      <w:proofErr w:type="spellStart"/>
      <w:r w:rsidR="00C7646E">
        <w:rPr>
          <w:i/>
        </w:rPr>
        <w:t>abstracto</w:t>
      </w:r>
      <w:proofErr w:type="spellEnd"/>
      <w:r w:rsidR="00C7646E">
        <w:t xml:space="preserve"> requires an analysis of unfairness of a </w:t>
      </w:r>
      <w:r w:rsidR="00031252">
        <w:t xml:space="preserve">contract term </w:t>
      </w:r>
      <w:r w:rsidR="00C7646E">
        <w:t>in view of the whole contract.</w:t>
      </w:r>
      <w:r w:rsidR="00C7646E">
        <w:rPr>
          <w:rStyle w:val="FootnoteReference"/>
        </w:rPr>
        <w:footnoteReference w:id="44"/>
      </w:r>
      <w:r w:rsidR="00C85D15">
        <w:t xml:space="preserve"> Such a thorough </w:t>
      </w:r>
      <w:r w:rsidR="00C85D15">
        <w:lastRenderedPageBreak/>
        <w:t>analysis</w:t>
      </w:r>
      <w:r w:rsidR="00C7646E">
        <w:t xml:space="preserve"> </w:t>
      </w:r>
      <w:r w:rsidR="00C85D15">
        <w:t xml:space="preserve">is thought to potentially </w:t>
      </w:r>
      <w:r w:rsidR="00C7646E">
        <w:t>lead to different results for different traders using an identical or a similar clause in their standard terms and conditions, if the</w:t>
      </w:r>
      <w:r w:rsidR="00C85D15">
        <w:t>ir</w:t>
      </w:r>
      <w:r w:rsidR="00C7646E">
        <w:t xml:space="preserve"> remaining terms and conditions vary. </w:t>
      </w:r>
      <w:r w:rsidR="00720D0F">
        <w:t>Therefore</w:t>
      </w:r>
      <w:r w:rsidR="00C7646E">
        <w:t>,</w:t>
      </w:r>
      <w:r w:rsidR="00720D0F">
        <w:t xml:space="preserve"> after the reform, the </w:t>
      </w:r>
      <w:proofErr w:type="spellStart"/>
      <w:r w:rsidR="00720D0F">
        <w:rPr>
          <w:i/>
        </w:rPr>
        <w:t>erga</w:t>
      </w:r>
      <w:proofErr w:type="spellEnd"/>
      <w:r w:rsidR="00720D0F">
        <w:rPr>
          <w:i/>
        </w:rPr>
        <w:t xml:space="preserve"> </w:t>
      </w:r>
      <w:proofErr w:type="spellStart"/>
      <w:r w:rsidR="00720D0F">
        <w:rPr>
          <w:i/>
        </w:rPr>
        <w:t>omnes</w:t>
      </w:r>
      <w:proofErr w:type="spellEnd"/>
      <w:r w:rsidR="00720D0F">
        <w:rPr>
          <w:i/>
        </w:rPr>
        <w:t xml:space="preserve"> </w:t>
      </w:r>
      <w:r w:rsidR="00720D0F">
        <w:t>effect has been limited only</w:t>
      </w:r>
      <w:r w:rsidR="00C7646E">
        <w:t xml:space="preserve"> </w:t>
      </w:r>
      <w:r w:rsidR="00720D0F">
        <w:t xml:space="preserve">to apply to </w:t>
      </w:r>
      <w:r w:rsidR="00C7646E">
        <w:t>the unfairness’ assessment for other contracts of the same trader</w:t>
      </w:r>
      <w:r w:rsidR="00720D0F">
        <w:t>.</w:t>
      </w:r>
      <w:r w:rsidR="00720D0F">
        <w:rPr>
          <w:rStyle w:val="FootnoteReference"/>
        </w:rPr>
        <w:footnoteReference w:id="45"/>
      </w:r>
      <w:r w:rsidR="00C7646E">
        <w:t xml:space="preserve"> </w:t>
      </w:r>
    </w:p>
    <w:p w:rsidR="009F3E39" w:rsidRDefault="009F3E39" w:rsidP="00C7646E">
      <w:pPr>
        <w:ind w:firstLine="720"/>
        <w:jc w:val="both"/>
      </w:pPr>
      <w:r>
        <w:t xml:space="preserve">The recent modernisation of the </w:t>
      </w:r>
      <w:r w:rsidR="00D33900">
        <w:t xml:space="preserve">Law on competition and consumer protection </w:t>
      </w:r>
      <w:r>
        <w:t xml:space="preserve">has given the authority to the President of the </w:t>
      </w:r>
      <w:proofErr w:type="spellStart"/>
      <w:r w:rsidRPr="00C126AF">
        <w:t>UOKiK</w:t>
      </w:r>
      <w:proofErr w:type="spellEnd"/>
      <w:r>
        <w:rPr>
          <w:i/>
        </w:rPr>
        <w:t xml:space="preserve"> </w:t>
      </w:r>
      <w:r>
        <w:t xml:space="preserve">to conduct </w:t>
      </w:r>
      <w:r w:rsidR="00886EBA">
        <w:t xml:space="preserve">the </w:t>
      </w:r>
      <w:r>
        <w:t xml:space="preserve">unfairness control </w:t>
      </w:r>
      <w:r>
        <w:rPr>
          <w:i/>
        </w:rPr>
        <w:t xml:space="preserve">in </w:t>
      </w:r>
      <w:proofErr w:type="spellStart"/>
      <w:r>
        <w:rPr>
          <w:i/>
        </w:rPr>
        <w:t>abstracto</w:t>
      </w:r>
      <w:proofErr w:type="spellEnd"/>
      <w:r>
        <w:t xml:space="preserve"> and </w:t>
      </w:r>
      <w:r w:rsidR="00886EBA">
        <w:t xml:space="preserve">has, therefore, </w:t>
      </w:r>
      <w:r>
        <w:t xml:space="preserve">taken it away from the </w:t>
      </w:r>
      <w:proofErr w:type="spellStart"/>
      <w:r w:rsidRPr="00D33900">
        <w:t>SOKiK</w:t>
      </w:r>
      <w:proofErr w:type="spellEnd"/>
      <w:r>
        <w:t>.</w:t>
      </w:r>
      <w:r w:rsidR="00C7646E">
        <w:rPr>
          <w:rStyle w:val="FootnoteReference"/>
        </w:rPr>
        <w:footnoteReference w:id="46"/>
      </w:r>
      <w:r>
        <w:t xml:space="preserve"> </w:t>
      </w:r>
      <w:r w:rsidR="00C7646E">
        <w:t>T</w:t>
      </w:r>
      <w:r>
        <w:t xml:space="preserve">he procedure is now administrative rather than judicial, more alike the protection of collective consumer interests against the use of unfair commercial practices. </w:t>
      </w:r>
      <w:r w:rsidR="00357DC4">
        <w:t xml:space="preserve">Consumers, consumer ombudsmen, ombudsmen of the insured, consumer associations and foreign organisations entitled to start </w:t>
      </w:r>
      <w:r w:rsidR="00886EBA">
        <w:t xml:space="preserve">the </w:t>
      </w:r>
      <w:r w:rsidR="00357DC4">
        <w:t xml:space="preserve">injunction proceedings, may notify the President of the </w:t>
      </w:r>
      <w:proofErr w:type="spellStart"/>
      <w:r w:rsidR="00357DC4" w:rsidRPr="00C126AF">
        <w:t>UOKiK</w:t>
      </w:r>
      <w:proofErr w:type="spellEnd"/>
      <w:r w:rsidR="00357DC4">
        <w:t xml:space="preserve"> about an infringement regarding a trader using an abusive clause</w:t>
      </w:r>
      <w:r w:rsidR="00886EBA">
        <w:t xml:space="preserve"> in his contacts</w:t>
      </w:r>
      <w:r w:rsidR="00357DC4">
        <w:t>.</w:t>
      </w:r>
      <w:r w:rsidR="00D33900">
        <w:rPr>
          <w:rStyle w:val="FootnoteReference"/>
        </w:rPr>
        <w:footnoteReference w:id="47"/>
      </w:r>
      <w:r w:rsidR="00357DC4">
        <w:t xml:space="preserve"> </w:t>
      </w:r>
      <w:r w:rsidR="00D33900">
        <w:t xml:space="preserve">The President of the </w:t>
      </w:r>
      <w:proofErr w:type="spellStart"/>
      <w:r w:rsidR="00D33900">
        <w:t>UOKiK</w:t>
      </w:r>
      <w:proofErr w:type="spellEnd"/>
      <w:r w:rsidR="00D33900">
        <w:t xml:space="preserve"> may decide to publish his decision in full or in part at the expense of the trader.</w:t>
      </w:r>
      <w:r w:rsidR="00D33900">
        <w:rPr>
          <w:rStyle w:val="FootnoteReference"/>
        </w:rPr>
        <w:footnoteReference w:id="48"/>
      </w:r>
      <w:r w:rsidR="00D33900">
        <w:t xml:space="preserve"> </w:t>
      </w:r>
      <w:r w:rsidR="00787987">
        <w:t xml:space="preserve">The publication is, therefore, no longer a default and a new online database has been created for the decisions of the President of the </w:t>
      </w:r>
      <w:proofErr w:type="spellStart"/>
      <w:r w:rsidR="00787987">
        <w:t>UOKiK</w:t>
      </w:r>
      <w:proofErr w:type="spellEnd"/>
      <w:r w:rsidR="00787987">
        <w:t>.</w:t>
      </w:r>
      <w:r w:rsidR="00787987">
        <w:rPr>
          <w:rStyle w:val="FootnoteReference"/>
        </w:rPr>
        <w:footnoteReference w:id="49"/>
      </w:r>
      <w:r w:rsidR="00787987">
        <w:t xml:space="preserve"> </w:t>
      </w:r>
      <w:r>
        <w:t xml:space="preserve">Since </w:t>
      </w:r>
      <w:r w:rsidR="00357DC4">
        <w:t xml:space="preserve">this change in Polish consumer law </w:t>
      </w:r>
      <w:r w:rsidR="00E4587E">
        <w:t>has</w:t>
      </w:r>
      <w:r>
        <w:t xml:space="preserve"> only very recently </w:t>
      </w:r>
      <w:r w:rsidR="00E4587E">
        <w:t xml:space="preserve">been </w:t>
      </w:r>
      <w:r>
        <w:t xml:space="preserve">introduced, it is impossible to evaluate at this point its </w:t>
      </w:r>
      <w:r w:rsidR="001133F9">
        <w:t xml:space="preserve">impact on the </w:t>
      </w:r>
      <w:r>
        <w:t xml:space="preserve">effectiveness </w:t>
      </w:r>
      <w:r w:rsidR="001133F9">
        <w:t>of consumer protection</w:t>
      </w:r>
      <w:r w:rsidR="009565A1">
        <w:t>. However,</w:t>
      </w:r>
      <w:r w:rsidR="000F0378">
        <w:t xml:space="preserve"> consumer organisations and authorities are likely to mourn the loss of a possibility </w:t>
      </w:r>
      <w:r w:rsidR="001133F9">
        <w:t xml:space="preserve">to use </w:t>
      </w:r>
      <w:r w:rsidR="000F0378">
        <w:t xml:space="preserve">the </w:t>
      </w:r>
      <w:proofErr w:type="spellStart"/>
      <w:r w:rsidR="000F0378">
        <w:rPr>
          <w:i/>
        </w:rPr>
        <w:t>erga</w:t>
      </w:r>
      <w:proofErr w:type="spellEnd"/>
      <w:r w:rsidR="000F0378">
        <w:rPr>
          <w:i/>
        </w:rPr>
        <w:t xml:space="preserve"> </w:t>
      </w:r>
      <w:proofErr w:type="spellStart"/>
      <w:r w:rsidR="000F0378">
        <w:rPr>
          <w:i/>
        </w:rPr>
        <w:t>omnes</w:t>
      </w:r>
      <w:proofErr w:type="spellEnd"/>
      <w:r w:rsidR="000F0378">
        <w:rPr>
          <w:i/>
        </w:rPr>
        <w:t xml:space="preserve"> </w:t>
      </w:r>
      <w:r w:rsidR="000F0378">
        <w:t xml:space="preserve">effect of the </w:t>
      </w:r>
      <w:r w:rsidR="00E4587E">
        <w:rPr>
          <w:i/>
        </w:rPr>
        <w:t xml:space="preserve">in </w:t>
      </w:r>
      <w:proofErr w:type="spellStart"/>
      <w:r w:rsidR="00E4587E">
        <w:rPr>
          <w:i/>
        </w:rPr>
        <w:t>abstracto</w:t>
      </w:r>
      <w:proofErr w:type="spellEnd"/>
      <w:r w:rsidR="00E4587E">
        <w:t xml:space="preserve"> </w:t>
      </w:r>
      <w:r w:rsidR="000F0378">
        <w:t xml:space="preserve">unfairness’ </w:t>
      </w:r>
      <w:r w:rsidR="00E4587E">
        <w:t>review</w:t>
      </w:r>
      <w:r>
        <w:t>.</w:t>
      </w:r>
    </w:p>
    <w:p w:rsidR="00E766B0" w:rsidRDefault="00E766B0" w:rsidP="00C7646E">
      <w:pPr>
        <w:ind w:firstLine="720"/>
        <w:jc w:val="both"/>
      </w:pPr>
      <w:r>
        <w:t xml:space="preserve">Considering the judgment of the CJEU in case </w:t>
      </w:r>
      <w:proofErr w:type="spellStart"/>
      <w:r w:rsidR="001133F9" w:rsidRPr="00215B78">
        <w:rPr>
          <w:i/>
        </w:rPr>
        <w:t>Biuro</w:t>
      </w:r>
      <w:proofErr w:type="spellEnd"/>
      <w:r w:rsidR="001133F9" w:rsidRPr="00215B78">
        <w:rPr>
          <w:i/>
        </w:rPr>
        <w:t xml:space="preserve"> </w:t>
      </w:r>
      <w:proofErr w:type="spellStart"/>
      <w:r w:rsidR="001133F9" w:rsidRPr="00215B78">
        <w:rPr>
          <w:i/>
        </w:rPr>
        <w:t>podróży</w:t>
      </w:r>
      <w:proofErr w:type="spellEnd"/>
      <w:r w:rsidR="001133F9" w:rsidRPr="00215B78">
        <w:rPr>
          <w:i/>
        </w:rPr>
        <w:t xml:space="preserve"> Partner</w:t>
      </w:r>
      <w:r>
        <w:t xml:space="preserve"> it could be asked whether the change in Polish law was </w:t>
      </w:r>
      <w:r w:rsidR="000F0378">
        <w:t>necessary</w:t>
      </w:r>
      <w:r w:rsidR="009565A1">
        <w:t>. After all,</w:t>
      </w:r>
      <w:r w:rsidR="000F0378">
        <w:t xml:space="preserve"> the CJEU explicitly allowed the Member States to grant </w:t>
      </w:r>
      <w:r w:rsidR="001176DC">
        <w:t xml:space="preserve">an </w:t>
      </w:r>
      <w:proofErr w:type="spellStart"/>
      <w:r w:rsidR="001176DC">
        <w:rPr>
          <w:i/>
        </w:rPr>
        <w:t>erga</w:t>
      </w:r>
      <w:proofErr w:type="spellEnd"/>
      <w:r w:rsidR="001176DC">
        <w:rPr>
          <w:i/>
        </w:rPr>
        <w:t xml:space="preserve"> </w:t>
      </w:r>
      <w:proofErr w:type="spellStart"/>
      <w:r w:rsidR="001176DC">
        <w:rPr>
          <w:i/>
        </w:rPr>
        <w:t>omnes</w:t>
      </w:r>
      <w:proofErr w:type="spellEnd"/>
      <w:r w:rsidR="001176DC">
        <w:rPr>
          <w:i/>
        </w:rPr>
        <w:t xml:space="preserve"> </w:t>
      </w:r>
      <w:r w:rsidR="001176DC">
        <w:t xml:space="preserve">effect to </w:t>
      </w:r>
      <w:r w:rsidR="008F7BBD">
        <w:t xml:space="preserve">the </w:t>
      </w:r>
      <w:r w:rsidR="000F0378">
        <w:t xml:space="preserve">unfairness’ control </w:t>
      </w:r>
      <w:r w:rsidR="000F0378">
        <w:rPr>
          <w:i/>
        </w:rPr>
        <w:t xml:space="preserve">in </w:t>
      </w:r>
      <w:proofErr w:type="spellStart"/>
      <w:r w:rsidR="000F0378">
        <w:rPr>
          <w:i/>
        </w:rPr>
        <w:t>abstracto</w:t>
      </w:r>
      <w:proofErr w:type="spellEnd"/>
      <w:r w:rsidR="008F7BBD">
        <w:t>,</w:t>
      </w:r>
      <w:r w:rsidR="000F0378">
        <w:t xml:space="preserve"> provided certain conditions have been met</w:t>
      </w:r>
      <w:r>
        <w:t>.</w:t>
      </w:r>
      <w:r w:rsidR="000F0378">
        <w:t xml:space="preserve"> </w:t>
      </w:r>
      <w:r w:rsidR="00D907BB">
        <w:t xml:space="preserve">The Polish legislator definitely needed to clarify the uncertainty as to the consequences of the </w:t>
      </w:r>
      <w:r w:rsidR="001176DC" w:rsidRPr="00D907BB">
        <w:rPr>
          <w:i/>
        </w:rPr>
        <w:t xml:space="preserve">in </w:t>
      </w:r>
      <w:proofErr w:type="spellStart"/>
      <w:r w:rsidR="001176DC" w:rsidRPr="00D907BB">
        <w:rPr>
          <w:i/>
        </w:rPr>
        <w:t>abstracto</w:t>
      </w:r>
      <w:proofErr w:type="spellEnd"/>
      <w:r w:rsidR="001176DC">
        <w:t xml:space="preserve"> </w:t>
      </w:r>
      <w:r w:rsidR="00D907BB">
        <w:t xml:space="preserve">unfairness’ </w:t>
      </w:r>
      <w:r w:rsidR="001176DC">
        <w:t>review</w:t>
      </w:r>
      <w:r w:rsidR="00D907BB">
        <w:t>, which led to diverging judgments of the Polish Supreme Court.</w:t>
      </w:r>
      <w:r w:rsidR="000D576C">
        <w:rPr>
          <w:rStyle w:val="FootnoteReference"/>
        </w:rPr>
        <w:footnoteReference w:id="50"/>
      </w:r>
      <w:r w:rsidR="00D907BB">
        <w:t xml:space="preserve"> While an explicit recognition by the Polish legislator of the </w:t>
      </w:r>
      <w:proofErr w:type="spellStart"/>
      <w:r w:rsidR="00D907BB">
        <w:rPr>
          <w:i/>
        </w:rPr>
        <w:t>erga</w:t>
      </w:r>
      <w:proofErr w:type="spellEnd"/>
      <w:r w:rsidR="00D907BB">
        <w:rPr>
          <w:i/>
        </w:rPr>
        <w:t xml:space="preserve"> </w:t>
      </w:r>
      <w:proofErr w:type="spellStart"/>
      <w:r w:rsidR="00D907BB">
        <w:rPr>
          <w:i/>
        </w:rPr>
        <w:t>omnes</w:t>
      </w:r>
      <w:proofErr w:type="spellEnd"/>
      <w:r w:rsidR="00D907BB">
        <w:t xml:space="preserve"> effect of such </w:t>
      </w:r>
      <w:r w:rsidR="00215B78">
        <w:t>unfairness’</w:t>
      </w:r>
      <w:r w:rsidR="00D907BB">
        <w:t xml:space="preserve"> control could have benefitted Polish consumers, it would have required the change of the registering system. Bearing in mind the conditions listed by the CJEU, the Polish system seemed to have complied with only one: making the register publicly and easily accessible through an online database. </w:t>
      </w:r>
      <w:r w:rsidR="001133F9">
        <w:t>Otherwise, p</w:t>
      </w:r>
      <w:r w:rsidR="00D907BB">
        <w:t xml:space="preserve">lacing of the unfair </w:t>
      </w:r>
      <w:r w:rsidR="008F7BBD">
        <w:t xml:space="preserve">contract </w:t>
      </w:r>
      <w:r w:rsidR="00D907BB">
        <w:t>terms in this online register was in no way structured or transparent. The register contain</w:t>
      </w:r>
      <w:r w:rsidR="001133F9">
        <w:t xml:space="preserve">ed </w:t>
      </w:r>
      <w:r w:rsidR="00D907BB">
        <w:t>6.896 entries</w:t>
      </w:r>
      <w:r w:rsidR="002C448A">
        <w:t>,</w:t>
      </w:r>
      <w:r w:rsidR="00D907BB">
        <w:rPr>
          <w:rStyle w:val="FootnoteReference"/>
        </w:rPr>
        <w:footnoteReference w:id="51"/>
      </w:r>
      <w:r w:rsidR="00D907BB">
        <w:t xml:space="preserve"> which only reveal</w:t>
      </w:r>
      <w:r w:rsidR="001133F9">
        <w:t>ed</w:t>
      </w:r>
      <w:r w:rsidR="00D907BB">
        <w:t xml:space="preserve">: the date and signature of the decision; names of parties in the case; the </w:t>
      </w:r>
      <w:r w:rsidR="008F7BBD">
        <w:t xml:space="preserve">exact </w:t>
      </w:r>
      <w:r w:rsidR="00D907BB">
        <w:t>content of the unfair clause; the date of entry into the register; the name of the trade sector</w:t>
      </w:r>
      <w:r w:rsidR="002C448A">
        <w:t>.</w:t>
      </w:r>
      <w:r w:rsidR="002C448A">
        <w:rPr>
          <w:rStyle w:val="FootnoteReference"/>
        </w:rPr>
        <w:footnoteReference w:id="52"/>
      </w:r>
      <w:r w:rsidR="002C448A">
        <w:t xml:space="preserve"> These </w:t>
      </w:r>
      <w:r w:rsidR="001133F9">
        <w:t>we</w:t>
      </w:r>
      <w:r w:rsidR="002C448A">
        <w:t>re also the only fields that allow</w:t>
      </w:r>
      <w:r w:rsidR="001133F9">
        <w:t>ed</w:t>
      </w:r>
      <w:r w:rsidR="002C448A">
        <w:t xml:space="preserve"> to selectively </w:t>
      </w:r>
      <w:proofErr w:type="gramStart"/>
      <w:r w:rsidR="002C448A">
        <w:t>peruse</w:t>
      </w:r>
      <w:proofErr w:type="gramEnd"/>
      <w:r w:rsidR="002C448A">
        <w:t xml:space="preserve"> the register.</w:t>
      </w:r>
      <w:r w:rsidR="00AF6A91">
        <w:t xml:space="preserve"> It </w:t>
      </w:r>
      <w:r w:rsidR="001D7C40">
        <w:t xml:space="preserve">could be </w:t>
      </w:r>
      <w:r w:rsidR="00AF6A91">
        <w:t>argued that the lack of a more comprehensive search function in the register</w:t>
      </w:r>
      <w:r w:rsidR="008F7BBD">
        <w:t>,</w:t>
      </w:r>
      <w:r w:rsidR="00AF6A91">
        <w:t xml:space="preserve"> as well as not indicating any context to the </w:t>
      </w:r>
      <w:r w:rsidR="008F7BBD">
        <w:t xml:space="preserve">contract </w:t>
      </w:r>
      <w:r w:rsidR="008F7BBD">
        <w:lastRenderedPageBreak/>
        <w:t xml:space="preserve">terms </w:t>
      </w:r>
      <w:r w:rsidR="00AF6A91">
        <w:t xml:space="preserve">that have been </w:t>
      </w:r>
      <w:r w:rsidR="008F7BBD">
        <w:t xml:space="preserve">registered </w:t>
      </w:r>
      <w:r w:rsidR="00AF6A91">
        <w:t>as unfair, depreciate</w:t>
      </w:r>
      <w:r w:rsidR="001133F9">
        <w:t>d</w:t>
      </w:r>
      <w:r w:rsidR="00AF6A91">
        <w:t xml:space="preserve"> the transparency of the register. Moreover, </w:t>
      </w:r>
      <w:r w:rsidR="001133F9">
        <w:t xml:space="preserve">while </w:t>
      </w:r>
      <w:r w:rsidR="00AF6A91">
        <w:t xml:space="preserve">it </w:t>
      </w:r>
      <w:r w:rsidR="008F7BBD">
        <w:t>would be</w:t>
      </w:r>
      <w:r w:rsidR="00AF6A91">
        <w:t xml:space="preserve"> difficult to establish whether the register was kept up-to-date</w:t>
      </w:r>
      <w:r w:rsidR="00D253A9">
        <w:t>, the Polish government admitted that there was no mechanism to remove or correct contract terms already registered as unfair</w:t>
      </w:r>
      <w:r w:rsidR="00AF6A91">
        <w:t>.</w:t>
      </w:r>
      <w:r w:rsidR="00D253A9">
        <w:rPr>
          <w:rStyle w:val="FootnoteReference"/>
        </w:rPr>
        <w:footnoteReference w:id="53"/>
      </w:r>
    </w:p>
    <w:p w:rsidR="00AF6A91" w:rsidRPr="00804AFA" w:rsidRDefault="00AF6A91" w:rsidP="00C7646E">
      <w:pPr>
        <w:ind w:firstLine="720"/>
        <w:jc w:val="both"/>
      </w:pPr>
      <w:r>
        <w:t xml:space="preserve">From the short-term, procedural and economic point of view it was easier to change the legal effect of the </w:t>
      </w:r>
      <w:r>
        <w:rPr>
          <w:i/>
        </w:rPr>
        <w:t xml:space="preserve">in </w:t>
      </w:r>
      <w:proofErr w:type="spellStart"/>
      <w:r>
        <w:rPr>
          <w:i/>
        </w:rPr>
        <w:t>abstracto</w:t>
      </w:r>
      <w:proofErr w:type="spellEnd"/>
      <w:r>
        <w:t xml:space="preserve"> unfairness’ assessment rather than to invest in updating and modernising the register. The long term effects for the protection of Polish consumers may be, however, quite severe</w:t>
      </w:r>
      <w:r w:rsidR="00791417">
        <w:t>.</w:t>
      </w:r>
      <w:r>
        <w:t xml:space="preserve"> </w:t>
      </w:r>
      <w:r w:rsidR="00791417">
        <w:t xml:space="preserve">Unfortunately, due to </w:t>
      </w:r>
      <w:r>
        <w:t xml:space="preserve">the general lack of resources of Polish consumer organisations, only a small amount of claims </w:t>
      </w:r>
      <w:r w:rsidR="00791417">
        <w:t xml:space="preserve">can be raised by them </w:t>
      </w:r>
      <w:r>
        <w:t>per year</w:t>
      </w:r>
      <w:r w:rsidR="00791417">
        <w:t>. This, while</w:t>
      </w:r>
      <w:r w:rsidR="00771621">
        <w:t xml:space="preserve"> </w:t>
      </w:r>
      <w:r w:rsidR="00791417">
        <w:t xml:space="preserve">at the same time </w:t>
      </w:r>
      <w:r w:rsidR="00771621">
        <w:t xml:space="preserve">Polish traders </w:t>
      </w:r>
      <w:r w:rsidR="00791417">
        <w:t xml:space="preserve">show their inventiveness </w:t>
      </w:r>
      <w:r w:rsidR="00771621">
        <w:t xml:space="preserve">in tweaking their contract terms </w:t>
      </w:r>
      <w:r w:rsidR="0002629E">
        <w:t xml:space="preserve">so as </w:t>
      </w:r>
      <w:r w:rsidR="00771621">
        <w:t>to adjust them only minimally after the unfairness’ assessment</w:t>
      </w:r>
      <w:r>
        <w:t>.</w:t>
      </w:r>
      <w:r w:rsidR="0002629E">
        <w:t xml:space="preserve"> </w:t>
      </w:r>
      <w:r w:rsidR="00924DB8">
        <w:t>The AG</w:t>
      </w:r>
      <w:r w:rsidR="00924DB8" w:rsidRPr="00924DB8">
        <w:t xml:space="preserve"> </w:t>
      </w:r>
      <w:proofErr w:type="spellStart"/>
      <w:r w:rsidR="00924DB8">
        <w:t>Saugmandsgaard</w:t>
      </w:r>
      <w:proofErr w:type="spellEnd"/>
      <w:r w:rsidR="00924DB8">
        <w:t xml:space="preserve"> </w:t>
      </w:r>
      <w:proofErr w:type="spellStart"/>
      <w:r w:rsidR="00924DB8">
        <w:t>Øe</w:t>
      </w:r>
      <w:proofErr w:type="spellEnd"/>
      <w:r w:rsidR="00924DB8">
        <w:t xml:space="preserve"> stated in his opinion that the deterrent function of the finding of unfairness of a particular contract term should continue to influence other traders, even if no </w:t>
      </w:r>
      <w:proofErr w:type="spellStart"/>
      <w:r w:rsidR="00924DB8">
        <w:rPr>
          <w:i/>
        </w:rPr>
        <w:t>erga</w:t>
      </w:r>
      <w:proofErr w:type="spellEnd"/>
      <w:r w:rsidR="00924DB8">
        <w:rPr>
          <w:i/>
        </w:rPr>
        <w:t xml:space="preserve"> </w:t>
      </w:r>
      <w:proofErr w:type="spellStart"/>
      <w:r w:rsidR="00924DB8">
        <w:rPr>
          <w:i/>
        </w:rPr>
        <w:t>omnes</w:t>
      </w:r>
      <w:proofErr w:type="spellEnd"/>
      <w:r w:rsidR="00924DB8">
        <w:t xml:space="preserve"> effect was given to such a finding.</w:t>
      </w:r>
      <w:r w:rsidR="00924DB8">
        <w:rPr>
          <w:rStyle w:val="FootnoteReference"/>
        </w:rPr>
        <w:footnoteReference w:id="54"/>
      </w:r>
      <w:r w:rsidR="00924DB8">
        <w:t xml:space="preserve"> </w:t>
      </w:r>
      <w:r w:rsidR="0002629E">
        <w:t xml:space="preserve">Such a deterrent function </w:t>
      </w:r>
      <w:r w:rsidR="00924DB8">
        <w:t xml:space="preserve">could indeed prevail, </w:t>
      </w:r>
      <w:r w:rsidR="0002629E">
        <w:t xml:space="preserve">but only if the new Polish law upheld the mandatory publication of the decisions on unfairness of contract terms in the </w:t>
      </w:r>
      <w:r w:rsidR="0002629E">
        <w:rPr>
          <w:i/>
        </w:rPr>
        <w:t xml:space="preserve">in </w:t>
      </w:r>
      <w:proofErr w:type="spellStart"/>
      <w:r w:rsidR="0002629E">
        <w:rPr>
          <w:i/>
        </w:rPr>
        <w:t>abstracto</w:t>
      </w:r>
      <w:proofErr w:type="spellEnd"/>
      <w:r w:rsidR="0002629E">
        <w:t xml:space="preserve"> review</w:t>
      </w:r>
      <w:r w:rsidR="00924DB8">
        <w:t xml:space="preserve">. The </w:t>
      </w:r>
      <w:r w:rsidR="0002629E">
        <w:t xml:space="preserve">discretionary function </w:t>
      </w:r>
      <w:r w:rsidR="00924DB8">
        <w:t xml:space="preserve">of the </w:t>
      </w:r>
      <w:r w:rsidR="0002629E">
        <w:t xml:space="preserve">new online database, as well as including in it all decisions of the President of the </w:t>
      </w:r>
      <w:proofErr w:type="spellStart"/>
      <w:r w:rsidR="0002629E">
        <w:t>UOKiK</w:t>
      </w:r>
      <w:proofErr w:type="spellEnd"/>
      <w:r w:rsidR="0002629E">
        <w:t xml:space="preserve">, not only the ones pertaining to the </w:t>
      </w:r>
      <w:r w:rsidR="0002629E">
        <w:rPr>
          <w:i/>
        </w:rPr>
        <w:t xml:space="preserve">in </w:t>
      </w:r>
      <w:proofErr w:type="spellStart"/>
      <w:r w:rsidR="0002629E">
        <w:rPr>
          <w:i/>
        </w:rPr>
        <w:t>abstracto</w:t>
      </w:r>
      <w:proofErr w:type="spellEnd"/>
      <w:r w:rsidR="0002629E">
        <w:rPr>
          <w:i/>
        </w:rPr>
        <w:t xml:space="preserve"> </w:t>
      </w:r>
      <w:r w:rsidR="0002629E">
        <w:t>unfairness’ assessment,</w:t>
      </w:r>
      <w:r w:rsidR="00924DB8">
        <w:t xml:space="preserve"> will weaken the deterrent function</w:t>
      </w:r>
      <w:r w:rsidR="00791417">
        <w:t>. It can be expected that</w:t>
      </w:r>
      <w:r w:rsidR="00924DB8">
        <w:t xml:space="preserve"> </w:t>
      </w:r>
      <w:r w:rsidR="00791417">
        <w:t xml:space="preserve">these changes </w:t>
      </w:r>
      <w:r w:rsidR="00924DB8">
        <w:t>will hinder traders from finding out, which terms have previously been declared as unfair.</w:t>
      </w:r>
      <w:r w:rsidR="00B239FB">
        <w:t xml:space="preserve"> If, upon the evaluation of the new system, the lacks thereof become obvious, the judgment of the CJEU in ca</w:t>
      </w:r>
      <w:bookmarkStart w:id="0" w:name="_GoBack"/>
      <w:bookmarkEnd w:id="0"/>
      <w:r w:rsidR="00B239FB">
        <w:t xml:space="preserve">se </w:t>
      </w:r>
      <w:proofErr w:type="spellStart"/>
      <w:r w:rsidR="00613848" w:rsidRPr="00215B78">
        <w:rPr>
          <w:i/>
        </w:rPr>
        <w:t>Biuro</w:t>
      </w:r>
      <w:proofErr w:type="spellEnd"/>
      <w:r w:rsidR="00613848" w:rsidRPr="00215B78">
        <w:rPr>
          <w:i/>
        </w:rPr>
        <w:t xml:space="preserve"> </w:t>
      </w:r>
      <w:proofErr w:type="spellStart"/>
      <w:r w:rsidR="00613848" w:rsidRPr="00215B78">
        <w:rPr>
          <w:i/>
        </w:rPr>
        <w:t>podróży</w:t>
      </w:r>
      <w:proofErr w:type="spellEnd"/>
      <w:r w:rsidR="00613848" w:rsidRPr="00215B78">
        <w:rPr>
          <w:i/>
        </w:rPr>
        <w:t xml:space="preserve"> Partner</w:t>
      </w:r>
      <w:r w:rsidR="00613848">
        <w:t xml:space="preserve"> </w:t>
      </w:r>
      <w:r w:rsidR="00B239FB">
        <w:t>opens the way for further legal reform in Poland.</w:t>
      </w:r>
      <w:r w:rsidR="00804AFA">
        <w:t xml:space="preserve"> We could, however, </w:t>
      </w:r>
      <w:r w:rsidR="002D3576">
        <w:t xml:space="preserve">already lament </w:t>
      </w:r>
      <w:r w:rsidR="00804AFA">
        <w:t xml:space="preserve">the CJEU not imposing on the Member States an obligation to assure that an </w:t>
      </w:r>
      <w:r w:rsidR="00804AFA">
        <w:rPr>
          <w:i/>
        </w:rPr>
        <w:t xml:space="preserve">in </w:t>
      </w:r>
      <w:proofErr w:type="spellStart"/>
      <w:r w:rsidR="00804AFA">
        <w:rPr>
          <w:i/>
        </w:rPr>
        <w:t>abstracto</w:t>
      </w:r>
      <w:proofErr w:type="spellEnd"/>
      <w:r w:rsidR="00804AFA">
        <w:rPr>
          <w:i/>
        </w:rPr>
        <w:t xml:space="preserve"> </w:t>
      </w:r>
      <w:r w:rsidR="00804AFA" w:rsidRPr="00804AFA">
        <w:t>unfairness’</w:t>
      </w:r>
      <w:r w:rsidR="00804AFA">
        <w:rPr>
          <w:i/>
        </w:rPr>
        <w:t xml:space="preserve"> </w:t>
      </w:r>
      <w:r w:rsidR="00804AFA">
        <w:t xml:space="preserve">review is given an </w:t>
      </w:r>
      <w:proofErr w:type="spellStart"/>
      <w:r w:rsidR="00804AFA">
        <w:rPr>
          <w:i/>
        </w:rPr>
        <w:t>erga</w:t>
      </w:r>
      <w:proofErr w:type="spellEnd"/>
      <w:r w:rsidR="00804AFA">
        <w:rPr>
          <w:i/>
        </w:rPr>
        <w:t xml:space="preserve"> </w:t>
      </w:r>
      <w:proofErr w:type="spellStart"/>
      <w:r w:rsidR="00804AFA">
        <w:rPr>
          <w:i/>
        </w:rPr>
        <w:t>omnes</w:t>
      </w:r>
      <w:proofErr w:type="spellEnd"/>
      <w:r w:rsidR="00804AFA">
        <w:rPr>
          <w:i/>
        </w:rPr>
        <w:t xml:space="preserve"> </w:t>
      </w:r>
      <w:r w:rsidR="00804AFA">
        <w:t xml:space="preserve">effect, </w:t>
      </w:r>
      <w:r w:rsidR="002D3576">
        <w:t>as a way of providing effective consumer protection in collective procedures.</w:t>
      </w:r>
      <w:r w:rsidR="002D3576" w:rsidRPr="002D3576">
        <w:rPr>
          <w:rStyle w:val="FootnoteReference"/>
        </w:rPr>
        <w:t xml:space="preserve"> </w:t>
      </w:r>
      <w:r w:rsidR="002D3576">
        <w:rPr>
          <w:rStyle w:val="FootnoteReference"/>
        </w:rPr>
        <w:footnoteReference w:id="55"/>
      </w:r>
      <w:r w:rsidR="002D3576">
        <w:t xml:space="preserve"> This </w:t>
      </w:r>
      <w:r w:rsidR="00804AFA">
        <w:t>would have likely increased the level of consumer protection and harmonised collective procedures in the Member States.</w:t>
      </w:r>
    </w:p>
    <w:sectPr w:rsidR="00AF6A91" w:rsidRPr="00804AFA" w:rsidSect="00DA43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82" w:rsidRDefault="001A3A82" w:rsidP="005E379A">
      <w:pPr>
        <w:spacing w:after="0" w:line="240" w:lineRule="auto"/>
      </w:pPr>
      <w:r>
        <w:separator/>
      </w:r>
    </w:p>
  </w:endnote>
  <w:endnote w:type="continuationSeparator" w:id="0">
    <w:p w:rsidR="001A3A82" w:rsidRDefault="001A3A82" w:rsidP="005E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82" w:rsidRDefault="001A3A82" w:rsidP="005E379A">
      <w:pPr>
        <w:spacing w:after="0" w:line="240" w:lineRule="auto"/>
      </w:pPr>
      <w:r>
        <w:separator/>
      </w:r>
    </w:p>
  </w:footnote>
  <w:footnote w:type="continuationSeparator" w:id="0">
    <w:p w:rsidR="001A3A82" w:rsidRDefault="001A3A82" w:rsidP="005E379A">
      <w:pPr>
        <w:spacing w:after="0" w:line="240" w:lineRule="auto"/>
      </w:pPr>
      <w:r>
        <w:continuationSeparator/>
      </w:r>
    </w:p>
  </w:footnote>
  <w:footnote w:id="1">
    <w:p w:rsidR="008B6824" w:rsidRDefault="008B6824" w:rsidP="00A458EB">
      <w:pPr>
        <w:pStyle w:val="FootnoteText"/>
        <w:jc w:val="both"/>
      </w:pPr>
      <w:r>
        <w:rPr>
          <w:rStyle w:val="FootnoteReference"/>
        </w:rPr>
        <w:footnoteRef/>
      </w:r>
      <w:r>
        <w:t xml:space="preserve"> </w:t>
      </w:r>
      <w:proofErr w:type="gramStart"/>
      <w:r w:rsidR="00C37AD8">
        <w:t>Associate Professor in Law and Director of the Ce</w:t>
      </w:r>
      <w:r w:rsidR="005125B6">
        <w:t>ntre for European Legal Studies</w:t>
      </w:r>
      <w:r w:rsidR="00C37AD8">
        <w:t xml:space="preserve"> </w:t>
      </w:r>
      <w:r w:rsidR="005125B6">
        <w:t>(</w:t>
      </w:r>
      <w:r w:rsidR="00C37AD8">
        <w:t>University of Exeter</w:t>
      </w:r>
      <w:r w:rsidR="005125B6">
        <w:t>)</w:t>
      </w:r>
      <w:r w:rsidR="00C37AD8">
        <w:t xml:space="preserve">; External Fellow at the Centre for </w:t>
      </w:r>
      <w:r w:rsidR="005125B6">
        <w:t>the Study of European Contract Law (</w:t>
      </w:r>
      <w:r w:rsidR="00C37AD8">
        <w:t>University of Amsterdam</w:t>
      </w:r>
      <w:r w:rsidR="005125B6">
        <w:t>)</w:t>
      </w:r>
      <w:r w:rsidR="00C37AD8">
        <w:t>; j</w:t>
      </w:r>
      <w:r w:rsidR="005125B6">
        <w:t>.</w:t>
      </w:r>
      <w:r w:rsidR="00C37AD8">
        <w:t>luzak@exeter.ac.uk.</w:t>
      </w:r>
      <w:proofErr w:type="gramEnd"/>
    </w:p>
  </w:footnote>
  <w:footnote w:id="2">
    <w:p w:rsidR="005E379A" w:rsidRDefault="005E379A" w:rsidP="00A458EB">
      <w:pPr>
        <w:pStyle w:val="FootnoteText"/>
        <w:jc w:val="both"/>
      </w:pPr>
      <w:r>
        <w:rPr>
          <w:rStyle w:val="FootnoteReference"/>
        </w:rPr>
        <w:footnoteRef/>
      </w:r>
      <w:r>
        <w:t xml:space="preserve"> </w:t>
      </w:r>
      <w:r w:rsidR="002B2119">
        <w:t>Council Directive (EEC) 93/13 on unfair terms in consumer contracts (Unfair Contract Terms Directive) [1993] OJ L95/29.</w:t>
      </w:r>
    </w:p>
  </w:footnote>
  <w:footnote w:id="3">
    <w:p w:rsidR="00E55048" w:rsidRDefault="00E55048" w:rsidP="00A458EB">
      <w:pPr>
        <w:pStyle w:val="FootnoteText"/>
        <w:jc w:val="both"/>
      </w:pPr>
      <w:r>
        <w:rPr>
          <w:rStyle w:val="FootnoteReference"/>
        </w:rPr>
        <w:footnoteRef/>
      </w:r>
      <w:r>
        <w:t xml:space="preserve"> </w:t>
      </w:r>
      <w:r w:rsidR="00124065">
        <w:t>Beginning with the joined cases C-240/98</w:t>
      </w:r>
      <w:r w:rsidR="00124065">
        <w:softHyphen/>
      </w:r>
      <w:r w:rsidR="00124065">
        <w:rPr>
          <w:lang w:val="en-US"/>
        </w:rPr>
        <w:t xml:space="preserve"> until </w:t>
      </w:r>
      <w:r w:rsidR="00124065">
        <w:t xml:space="preserve">C-244/98 </w:t>
      </w:r>
      <w:proofErr w:type="spellStart"/>
      <w:r w:rsidR="00124065">
        <w:rPr>
          <w:i/>
        </w:rPr>
        <w:t>Océano</w:t>
      </w:r>
      <w:proofErr w:type="spellEnd"/>
      <w:r w:rsidR="00124065">
        <w:t xml:space="preserve"> ECLI</w:t>
      </w:r>
      <w:proofErr w:type="gramStart"/>
      <w:r w:rsidR="00124065">
        <w:t>:EU:C:2000:346</w:t>
      </w:r>
      <w:proofErr w:type="gramEnd"/>
      <w:r w:rsidR="00124065">
        <w:t xml:space="preserve"> the number of requests for a preliminary reference on the interpretation of Article 6 UCTD steadily increased, with </w:t>
      </w:r>
      <w:r w:rsidR="009F41CE">
        <w:t xml:space="preserve">two new judgments thereon being delivered in the first three months of </w:t>
      </w:r>
      <w:r w:rsidR="00124065">
        <w:t>2017</w:t>
      </w:r>
      <w:r w:rsidR="009F41CE">
        <w:t xml:space="preserve">: case C-421/14 </w:t>
      </w:r>
      <w:r w:rsidR="009F41CE">
        <w:rPr>
          <w:i/>
        </w:rPr>
        <w:t>Banco Primus</w:t>
      </w:r>
      <w:r w:rsidR="009F41CE">
        <w:t xml:space="preserve"> ECLI:EU:C:2017:60 and case C-503/15 </w:t>
      </w:r>
      <w:proofErr w:type="spellStart"/>
      <w:r w:rsidR="009F41CE">
        <w:rPr>
          <w:i/>
        </w:rPr>
        <w:t>Margarit</w:t>
      </w:r>
      <w:proofErr w:type="spellEnd"/>
      <w:r w:rsidR="009F41CE">
        <w:rPr>
          <w:i/>
        </w:rPr>
        <w:t xml:space="preserve"> </w:t>
      </w:r>
      <w:proofErr w:type="spellStart"/>
      <w:r w:rsidR="009F41CE">
        <w:rPr>
          <w:i/>
        </w:rPr>
        <w:t>Panicello</w:t>
      </w:r>
      <w:proofErr w:type="spellEnd"/>
      <w:r w:rsidR="009F41CE">
        <w:t xml:space="preserve"> ECLI:EU:C:2017:126.</w:t>
      </w:r>
    </w:p>
  </w:footnote>
  <w:footnote w:id="4">
    <w:p w:rsidR="00AE3DAB" w:rsidRDefault="00AE3DAB" w:rsidP="00A458EB">
      <w:pPr>
        <w:pStyle w:val="FootnoteText"/>
        <w:jc w:val="both"/>
      </w:pPr>
      <w:r>
        <w:rPr>
          <w:rStyle w:val="FootnoteReference"/>
        </w:rPr>
        <w:footnoteRef/>
      </w:r>
      <w:r>
        <w:t xml:space="preserve"> </w:t>
      </w:r>
      <w:r w:rsidR="00EB1B5A">
        <w:t>See e.g. Hans Schulte-</w:t>
      </w:r>
      <w:proofErr w:type="spellStart"/>
      <w:r w:rsidR="00EB1B5A">
        <w:t>Nölke</w:t>
      </w:r>
      <w:proofErr w:type="spellEnd"/>
      <w:r w:rsidR="00EB1B5A">
        <w:t xml:space="preserve">, Christian </w:t>
      </w:r>
      <w:proofErr w:type="spellStart"/>
      <w:r w:rsidR="00EB1B5A">
        <w:t>Twigg-Flesner</w:t>
      </w:r>
      <w:proofErr w:type="spellEnd"/>
      <w:r w:rsidR="00EB1B5A">
        <w:t xml:space="preserve"> and Martin </w:t>
      </w:r>
      <w:proofErr w:type="spellStart"/>
      <w:r w:rsidR="00EB1B5A">
        <w:t>Ebers</w:t>
      </w:r>
      <w:proofErr w:type="spellEnd"/>
      <w:r w:rsidR="00EB1B5A">
        <w:t>, ‘EC Consumer Law Compendium – Comparative Analysis’ (April 2007) &lt;</w:t>
      </w:r>
      <w:r w:rsidR="00EB1B5A" w:rsidRPr="00EB1B5A">
        <w:t>http://ec.europa.eu/consumers/archive/cons_int/safe_shop/acquis/comp_analysis_en.pdf</w:t>
      </w:r>
      <w:r w:rsidR="00EB1B5A">
        <w:t>&gt; accessed 24 March 2017</w:t>
      </w:r>
      <w:r w:rsidR="00C143A1">
        <w:t>, 332-336</w:t>
      </w:r>
      <w:r w:rsidR="00AD546A">
        <w:t xml:space="preserve">; Bert </w:t>
      </w:r>
      <w:proofErr w:type="spellStart"/>
      <w:r w:rsidR="00AD546A">
        <w:t>Keirsbilck</w:t>
      </w:r>
      <w:proofErr w:type="spellEnd"/>
      <w:r w:rsidR="00AD546A">
        <w:t>, ‘</w:t>
      </w:r>
      <w:proofErr w:type="gramStart"/>
      <w:r w:rsidR="00AD546A">
        <w:t>The</w:t>
      </w:r>
      <w:proofErr w:type="gramEnd"/>
      <w:r w:rsidR="00AD546A">
        <w:t xml:space="preserve"> </w:t>
      </w:r>
      <w:proofErr w:type="spellStart"/>
      <w:r w:rsidR="00AD546A">
        <w:rPr>
          <w:i/>
        </w:rPr>
        <w:t>erga</w:t>
      </w:r>
      <w:proofErr w:type="spellEnd"/>
      <w:r w:rsidR="00AD546A">
        <w:rPr>
          <w:i/>
        </w:rPr>
        <w:t xml:space="preserve"> </w:t>
      </w:r>
      <w:proofErr w:type="spellStart"/>
      <w:r w:rsidR="00AD546A">
        <w:rPr>
          <w:i/>
        </w:rPr>
        <w:t>omnes</w:t>
      </w:r>
      <w:proofErr w:type="spellEnd"/>
      <w:r w:rsidR="00AD546A">
        <w:t xml:space="preserve"> effect of the finding of an unfair contract term: </w:t>
      </w:r>
      <w:proofErr w:type="spellStart"/>
      <w:r w:rsidR="00AD546A">
        <w:rPr>
          <w:i/>
        </w:rPr>
        <w:t>Nemzeti</w:t>
      </w:r>
      <w:proofErr w:type="spellEnd"/>
      <w:r w:rsidR="00AD546A">
        <w:t xml:space="preserve">’ 50 (2013) </w:t>
      </w:r>
      <w:r w:rsidR="00F82A9A">
        <w:t>Common Market Law Review 1468</w:t>
      </w:r>
      <w:r w:rsidR="00EB1B5A">
        <w:t>.</w:t>
      </w:r>
    </w:p>
  </w:footnote>
  <w:footnote w:id="5">
    <w:p w:rsidR="00AE3DAB" w:rsidRPr="00E4347F" w:rsidRDefault="00AE3DAB" w:rsidP="00A458EB">
      <w:pPr>
        <w:pStyle w:val="FootnoteText"/>
        <w:jc w:val="both"/>
      </w:pPr>
      <w:r>
        <w:rPr>
          <w:rStyle w:val="FootnoteReference"/>
        </w:rPr>
        <w:footnoteRef/>
      </w:r>
      <w:r>
        <w:t xml:space="preserve"> </w:t>
      </w:r>
      <w:proofErr w:type="gramStart"/>
      <w:r w:rsidR="00EF1E15">
        <w:t xml:space="preserve">Articles 23a and 24 </w:t>
      </w:r>
      <w:r w:rsidR="001E4C00">
        <w:t xml:space="preserve">of the </w:t>
      </w:r>
      <w:r w:rsidR="00E4347F">
        <w:t>Law</w:t>
      </w:r>
      <w:r w:rsidR="00EF1E15">
        <w:t xml:space="preserve"> on </w:t>
      </w:r>
      <w:r w:rsidR="00E4347F">
        <w:t>competition and consumer protection (</w:t>
      </w:r>
      <w:proofErr w:type="spellStart"/>
      <w:r w:rsidR="00E4347F">
        <w:rPr>
          <w:i/>
        </w:rPr>
        <w:t>Ustawa</w:t>
      </w:r>
      <w:proofErr w:type="spellEnd"/>
      <w:r w:rsidR="00E4347F">
        <w:rPr>
          <w:i/>
        </w:rPr>
        <w:t xml:space="preserve"> o </w:t>
      </w:r>
      <w:proofErr w:type="spellStart"/>
      <w:r w:rsidR="00E4347F">
        <w:rPr>
          <w:i/>
        </w:rPr>
        <w:t>ochronie</w:t>
      </w:r>
      <w:proofErr w:type="spellEnd"/>
      <w:r w:rsidR="00E4347F">
        <w:rPr>
          <w:i/>
        </w:rPr>
        <w:t xml:space="preserve"> </w:t>
      </w:r>
      <w:proofErr w:type="spellStart"/>
      <w:r w:rsidR="00E4347F">
        <w:rPr>
          <w:i/>
        </w:rPr>
        <w:t>konkurencji</w:t>
      </w:r>
      <w:proofErr w:type="spellEnd"/>
      <w:r w:rsidR="00E4347F">
        <w:rPr>
          <w:i/>
        </w:rPr>
        <w:t xml:space="preserve"> I </w:t>
      </w:r>
      <w:proofErr w:type="spellStart"/>
      <w:r w:rsidR="00E4347F">
        <w:rPr>
          <w:i/>
        </w:rPr>
        <w:t>konsumentów</w:t>
      </w:r>
      <w:proofErr w:type="spellEnd"/>
      <w:r w:rsidR="00E4347F">
        <w:t xml:space="preserve">) of 16 February 2007, </w:t>
      </w:r>
      <w:proofErr w:type="spellStart"/>
      <w:r w:rsidR="00E4347F">
        <w:t>Dz</w:t>
      </w:r>
      <w:proofErr w:type="spellEnd"/>
      <w:r w:rsidR="00E4347F">
        <w:t xml:space="preserve"> U No 50 item 331</w:t>
      </w:r>
      <w:r w:rsidR="00C0026C">
        <w:t xml:space="preserve"> as amended</w:t>
      </w:r>
      <w:r w:rsidR="00E4347F">
        <w:t>.</w:t>
      </w:r>
      <w:proofErr w:type="gramEnd"/>
    </w:p>
  </w:footnote>
  <w:footnote w:id="6">
    <w:p w:rsidR="00AE3DAB" w:rsidRPr="001E4C00" w:rsidRDefault="00AE3DAB" w:rsidP="00A458EB">
      <w:pPr>
        <w:pStyle w:val="FootnoteText"/>
        <w:jc w:val="both"/>
        <w:rPr>
          <w:lang w:val="pl-PL"/>
        </w:rPr>
      </w:pPr>
      <w:r>
        <w:rPr>
          <w:rStyle w:val="FootnoteReference"/>
        </w:rPr>
        <w:footnoteRef/>
      </w:r>
      <w:r w:rsidRPr="007E38F4">
        <w:rPr>
          <w:lang w:val="pl-PL"/>
        </w:rPr>
        <w:t xml:space="preserve"> </w:t>
      </w:r>
      <w:r w:rsidR="00EF1E15" w:rsidRPr="001E4C00">
        <w:rPr>
          <w:i/>
          <w:lang w:val="pl-PL"/>
        </w:rPr>
        <w:t>U</w:t>
      </w:r>
      <w:r w:rsidR="001E4C00" w:rsidRPr="001E4C00">
        <w:rPr>
          <w:i/>
          <w:lang w:val="pl-PL"/>
        </w:rPr>
        <w:t xml:space="preserve">rząd </w:t>
      </w:r>
      <w:r w:rsidR="00EF1E15" w:rsidRPr="001E4C00">
        <w:rPr>
          <w:i/>
          <w:lang w:val="pl-PL"/>
        </w:rPr>
        <w:t>O</w:t>
      </w:r>
      <w:r w:rsidR="001E4C00" w:rsidRPr="001E4C00">
        <w:rPr>
          <w:i/>
          <w:lang w:val="pl-PL"/>
        </w:rPr>
        <w:t xml:space="preserve">chrony </w:t>
      </w:r>
      <w:r w:rsidR="00EF1E15" w:rsidRPr="001E4C00">
        <w:rPr>
          <w:i/>
          <w:lang w:val="pl-PL"/>
        </w:rPr>
        <w:t>K</w:t>
      </w:r>
      <w:r w:rsidR="001E4C00" w:rsidRPr="001E4C00">
        <w:rPr>
          <w:i/>
          <w:lang w:val="pl-PL"/>
        </w:rPr>
        <w:t xml:space="preserve">onkurencji </w:t>
      </w:r>
      <w:r w:rsidR="00EF1E15" w:rsidRPr="001E4C00">
        <w:rPr>
          <w:i/>
          <w:lang w:val="pl-PL"/>
        </w:rPr>
        <w:t>i</w:t>
      </w:r>
      <w:r w:rsidR="001E4C00" w:rsidRPr="001E4C00">
        <w:rPr>
          <w:i/>
          <w:lang w:val="pl-PL"/>
        </w:rPr>
        <w:t xml:space="preserve"> </w:t>
      </w:r>
      <w:r w:rsidR="00EF1E15" w:rsidRPr="001E4C00">
        <w:rPr>
          <w:i/>
          <w:lang w:val="pl-PL"/>
        </w:rPr>
        <w:t>K</w:t>
      </w:r>
      <w:r w:rsidR="001E4C00" w:rsidRPr="001E4C00">
        <w:rPr>
          <w:i/>
          <w:lang w:val="pl-PL"/>
        </w:rPr>
        <w:t>onsumentów</w:t>
      </w:r>
      <w:r w:rsidR="001E4C00">
        <w:rPr>
          <w:lang w:val="pl-PL"/>
        </w:rPr>
        <w:t xml:space="preserve"> &lt;</w:t>
      </w:r>
      <w:r w:rsidR="001E4C00" w:rsidRPr="001E4C00">
        <w:rPr>
          <w:lang w:val="pl-PL"/>
        </w:rPr>
        <w:t>https://uokik.gov.pl/</w:t>
      </w:r>
      <w:r w:rsidR="001E4C00">
        <w:rPr>
          <w:lang w:val="pl-PL"/>
        </w:rPr>
        <w:t>&gt;</w:t>
      </w:r>
      <w:r w:rsidR="00C143A1">
        <w:rPr>
          <w:lang w:val="pl-PL"/>
        </w:rPr>
        <w:t xml:space="preserve"> accessed 24 March 2017</w:t>
      </w:r>
      <w:r w:rsidR="001E4C00">
        <w:rPr>
          <w:lang w:val="pl-PL"/>
        </w:rPr>
        <w:t>.</w:t>
      </w:r>
    </w:p>
  </w:footnote>
  <w:footnote w:id="7">
    <w:p w:rsidR="00A77033" w:rsidRPr="00C0026C" w:rsidRDefault="00A77033" w:rsidP="00A458EB">
      <w:pPr>
        <w:pStyle w:val="FootnoteText"/>
        <w:jc w:val="both"/>
        <w:rPr>
          <w:lang w:val="en-US"/>
        </w:rPr>
      </w:pPr>
      <w:r>
        <w:rPr>
          <w:rStyle w:val="FootnoteReference"/>
        </w:rPr>
        <w:footnoteRef/>
      </w:r>
      <w:r>
        <w:t xml:space="preserve"> </w:t>
      </w:r>
      <w:proofErr w:type="gramStart"/>
      <w:r w:rsidR="00C0026C">
        <w:t>Polish Civil Code (</w:t>
      </w:r>
      <w:proofErr w:type="spellStart"/>
      <w:r w:rsidR="00C0026C">
        <w:rPr>
          <w:i/>
        </w:rPr>
        <w:t>Kodeks</w:t>
      </w:r>
      <w:proofErr w:type="spellEnd"/>
      <w:r w:rsidR="00C0026C">
        <w:rPr>
          <w:i/>
        </w:rPr>
        <w:t xml:space="preserve"> </w:t>
      </w:r>
      <w:proofErr w:type="spellStart"/>
      <w:r w:rsidR="00C0026C">
        <w:rPr>
          <w:i/>
        </w:rPr>
        <w:t>cywilny</w:t>
      </w:r>
      <w:proofErr w:type="spellEnd"/>
      <w:r w:rsidR="00C0026C">
        <w:t xml:space="preserve">) of 23 April 1964, </w:t>
      </w:r>
      <w:proofErr w:type="spellStart"/>
      <w:r w:rsidR="00C0026C">
        <w:t>Dz</w:t>
      </w:r>
      <w:proofErr w:type="spellEnd"/>
      <w:r w:rsidR="00C0026C">
        <w:t xml:space="preserve"> U No 16 item 93 as amended.</w:t>
      </w:r>
      <w:proofErr w:type="gramEnd"/>
    </w:p>
  </w:footnote>
  <w:footnote w:id="8">
    <w:p w:rsidR="00A52015" w:rsidRPr="00F14E31" w:rsidRDefault="00A52015" w:rsidP="00A458EB">
      <w:pPr>
        <w:pStyle w:val="FootnoteText"/>
        <w:jc w:val="both"/>
      </w:pPr>
      <w:r>
        <w:rPr>
          <w:rStyle w:val="FootnoteReference"/>
        </w:rPr>
        <w:footnoteRef/>
      </w:r>
      <w:r>
        <w:t xml:space="preserve"> </w:t>
      </w:r>
      <w:r w:rsidR="00F40233">
        <w:t>On the basis of Articles 479</w:t>
      </w:r>
      <w:r w:rsidR="00F40233" w:rsidRPr="00165E01">
        <w:rPr>
          <w:vertAlign w:val="superscript"/>
        </w:rPr>
        <w:t>36</w:t>
      </w:r>
      <w:r w:rsidR="00F40233">
        <w:t>-479</w:t>
      </w:r>
      <w:r w:rsidR="00F40233" w:rsidRPr="00165E01">
        <w:rPr>
          <w:vertAlign w:val="superscript"/>
        </w:rPr>
        <w:t>45</w:t>
      </w:r>
      <w:r w:rsidR="00F40233">
        <w:t xml:space="preserve"> of the Polish Code of Civil Procedure (</w:t>
      </w:r>
      <w:proofErr w:type="spellStart"/>
      <w:r w:rsidR="00F40233">
        <w:rPr>
          <w:i/>
        </w:rPr>
        <w:t>Kodeks</w:t>
      </w:r>
      <w:proofErr w:type="spellEnd"/>
      <w:r w:rsidR="00F40233">
        <w:rPr>
          <w:i/>
        </w:rPr>
        <w:t xml:space="preserve"> </w:t>
      </w:r>
      <w:proofErr w:type="spellStart"/>
      <w:r w:rsidR="00F40233">
        <w:rPr>
          <w:i/>
        </w:rPr>
        <w:t>postępowania</w:t>
      </w:r>
      <w:proofErr w:type="spellEnd"/>
      <w:r w:rsidR="00F40233">
        <w:rPr>
          <w:i/>
        </w:rPr>
        <w:t xml:space="preserve"> </w:t>
      </w:r>
      <w:proofErr w:type="spellStart"/>
      <w:r w:rsidR="00F40233">
        <w:rPr>
          <w:i/>
        </w:rPr>
        <w:t>cywilnego</w:t>
      </w:r>
      <w:proofErr w:type="spellEnd"/>
      <w:r w:rsidR="00F40233">
        <w:t xml:space="preserve">) of 17 November 1964, </w:t>
      </w:r>
      <w:proofErr w:type="spellStart"/>
      <w:r w:rsidR="00F40233">
        <w:t>Dz</w:t>
      </w:r>
      <w:proofErr w:type="spellEnd"/>
      <w:r w:rsidR="00F40233">
        <w:t xml:space="preserve"> U No 43 item 296 as amended.</w:t>
      </w:r>
    </w:p>
  </w:footnote>
  <w:footnote w:id="9">
    <w:p w:rsidR="002A052A" w:rsidRPr="00ED475D" w:rsidRDefault="002A052A" w:rsidP="00A458EB">
      <w:pPr>
        <w:pStyle w:val="FootnoteText"/>
        <w:jc w:val="both"/>
      </w:pPr>
      <w:r>
        <w:rPr>
          <w:rStyle w:val="FootnoteReference"/>
        </w:rPr>
        <w:footnoteRef/>
      </w:r>
      <w:r w:rsidRPr="00684926">
        <w:t xml:space="preserve"> </w:t>
      </w:r>
      <w:r w:rsidR="00ED475D">
        <w:t xml:space="preserve">The different purposes and legal effects of individual and collective consumer actions have recently been confirmed in joined cases C-381/14 and C-385/14 </w:t>
      </w:r>
      <w:r w:rsidR="00ED475D">
        <w:rPr>
          <w:i/>
        </w:rPr>
        <w:t xml:space="preserve">Sales </w:t>
      </w:r>
      <w:proofErr w:type="spellStart"/>
      <w:r w:rsidR="00ED475D">
        <w:rPr>
          <w:i/>
        </w:rPr>
        <w:t>Sinués</w:t>
      </w:r>
      <w:proofErr w:type="spellEnd"/>
      <w:r w:rsidR="00ED475D">
        <w:t xml:space="preserve"> ECLI:EU:C:2016:252, paras 30 and 40.</w:t>
      </w:r>
    </w:p>
  </w:footnote>
  <w:footnote w:id="10">
    <w:p w:rsidR="002C1D74" w:rsidRPr="00215B78" w:rsidRDefault="002C1D74" w:rsidP="00A458EB">
      <w:pPr>
        <w:pStyle w:val="FootnoteText"/>
        <w:jc w:val="both"/>
      </w:pPr>
      <w:r>
        <w:rPr>
          <w:rStyle w:val="FootnoteReference"/>
        </w:rPr>
        <w:footnoteRef/>
      </w:r>
      <w:r w:rsidRPr="00215B78">
        <w:t xml:space="preserve"> </w:t>
      </w:r>
      <w:r w:rsidR="00AE2B43" w:rsidRPr="00215B78">
        <w:t>See e</w:t>
      </w:r>
      <w:r w:rsidR="00A41675" w:rsidRPr="00215B78">
        <w:t xml:space="preserve">.g. </w:t>
      </w:r>
      <w:r w:rsidR="00A41675">
        <w:t>c</w:t>
      </w:r>
      <w:r w:rsidR="00A41675" w:rsidRPr="007E38F4">
        <w:t xml:space="preserve">ase C-472/10 </w:t>
      </w:r>
      <w:proofErr w:type="spellStart"/>
      <w:r w:rsidR="00A41675" w:rsidRPr="007E38F4">
        <w:rPr>
          <w:i/>
        </w:rPr>
        <w:t>Invitel</w:t>
      </w:r>
      <w:proofErr w:type="spellEnd"/>
      <w:r w:rsidR="00A41675" w:rsidRPr="007E38F4">
        <w:t xml:space="preserve"> ECLI</w:t>
      </w:r>
      <w:proofErr w:type="gramStart"/>
      <w:r w:rsidR="00A41675" w:rsidRPr="007E38F4">
        <w:t>:EU:C:2012:242</w:t>
      </w:r>
      <w:proofErr w:type="gramEnd"/>
      <w:r w:rsidR="00A41675">
        <w:t xml:space="preserve">, Opinion of AG </w:t>
      </w:r>
      <w:proofErr w:type="spellStart"/>
      <w:r w:rsidR="00A41675">
        <w:t>Trstenjak</w:t>
      </w:r>
      <w:proofErr w:type="spellEnd"/>
      <w:r w:rsidR="00A41675">
        <w:t>, paras 59-60</w:t>
      </w:r>
      <w:r w:rsidR="00A41675" w:rsidRPr="007E38F4">
        <w:t>.</w:t>
      </w:r>
    </w:p>
  </w:footnote>
  <w:footnote w:id="11">
    <w:p w:rsidR="002C1D74" w:rsidRPr="007E38F4" w:rsidRDefault="002C1D74" w:rsidP="00A458EB">
      <w:pPr>
        <w:pStyle w:val="FootnoteText"/>
        <w:jc w:val="both"/>
      </w:pPr>
      <w:r>
        <w:rPr>
          <w:rStyle w:val="FootnoteReference"/>
        </w:rPr>
        <w:footnoteRef/>
      </w:r>
      <w:r w:rsidRPr="007E38F4">
        <w:t xml:space="preserve"> </w:t>
      </w:r>
      <w:r w:rsidR="007E38F4" w:rsidRPr="007E38F4">
        <w:t xml:space="preserve">Case C-472/10 </w:t>
      </w:r>
      <w:proofErr w:type="spellStart"/>
      <w:r w:rsidR="007E38F4" w:rsidRPr="007E38F4">
        <w:rPr>
          <w:i/>
        </w:rPr>
        <w:t>Invitel</w:t>
      </w:r>
      <w:proofErr w:type="spellEnd"/>
      <w:r w:rsidR="007E38F4" w:rsidRPr="007E38F4">
        <w:t xml:space="preserve"> ECLI</w:t>
      </w:r>
      <w:proofErr w:type="gramStart"/>
      <w:r w:rsidR="007E38F4" w:rsidRPr="007E38F4">
        <w:t>:EU:C:2012:242</w:t>
      </w:r>
      <w:proofErr w:type="gramEnd"/>
      <w:r w:rsidR="007E38F4" w:rsidRPr="007E38F4">
        <w:t>.</w:t>
      </w:r>
    </w:p>
  </w:footnote>
  <w:footnote w:id="12">
    <w:p w:rsidR="0071077C" w:rsidRPr="00215B78" w:rsidRDefault="0071077C" w:rsidP="00A458EB">
      <w:pPr>
        <w:pStyle w:val="FootnoteText"/>
        <w:jc w:val="both"/>
      </w:pPr>
      <w:r>
        <w:rPr>
          <w:rStyle w:val="FootnoteReference"/>
        </w:rPr>
        <w:footnoteRef/>
      </w:r>
      <w:r w:rsidRPr="00215B78">
        <w:t xml:space="preserve"> </w:t>
      </w:r>
      <w:r w:rsidR="00A41675" w:rsidRPr="00215B78">
        <w:t xml:space="preserve">Case </w:t>
      </w:r>
      <w:r w:rsidR="00A41675" w:rsidRPr="00215B78">
        <w:rPr>
          <w:i/>
        </w:rPr>
        <w:t>Invitel</w:t>
      </w:r>
      <w:r w:rsidR="00A41675" w:rsidRPr="00215B78">
        <w:t xml:space="preserve"> (n 11)  paras. 43-44.</w:t>
      </w:r>
    </w:p>
  </w:footnote>
  <w:footnote w:id="13">
    <w:p w:rsidR="008256F5" w:rsidRPr="00215B78" w:rsidRDefault="008256F5" w:rsidP="00A458EB">
      <w:pPr>
        <w:pStyle w:val="FootnoteText"/>
        <w:jc w:val="both"/>
      </w:pPr>
      <w:r>
        <w:rPr>
          <w:rStyle w:val="FootnoteReference"/>
        </w:rPr>
        <w:footnoteRef/>
      </w:r>
      <w:r w:rsidRPr="00215B78">
        <w:t xml:space="preserve"> </w:t>
      </w:r>
      <w:r w:rsidR="007E38F4" w:rsidRPr="00215B78">
        <w:t xml:space="preserve">Case C-119/15 </w:t>
      </w:r>
      <w:r w:rsidR="007E38F4" w:rsidRPr="00215B78">
        <w:rPr>
          <w:i/>
        </w:rPr>
        <w:t>Biuro podróży Partner</w:t>
      </w:r>
      <w:r w:rsidR="007E38F4" w:rsidRPr="00215B78">
        <w:t xml:space="preserve"> ECLI:EU:C:2016:987.</w:t>
      </w:r>
    </w:p>
  </w:footnote>
  <w:footnote w:id="14">
    <w:p w:rsidR="00D9188E" w:rsidRDefault="00D9188E" w:rsidP="00A458EB">
      <w:pPr>
        <w:pStyle w:val="FootnoteText"/>
        <w:jc w:val="both"/>
      </w:pPr>
      <w:r>
        <w:rPr>
          <w:rStyle w:val="FootnoteReference"/>
        </w:rPr>
        <w:footnoteRef/>
      </w:r>
      <w:r>
        <w:t xml:space="preserve"> </w:t>
      </w:r>
      <w:r w:rsidR="003113F5">
        <w:t>The fine was awarded on the basis of Article 106(1</w:t>
      </w:r>
      <w:proofErr w:type="gramStart"/>
      <w:r w:rsidR="003113F5">
        <w:t>)(</w:t>
      </w:r>
      <w:proofErr w:type="gramEnd"/>
      <w:r w:rsidR="003113F5">
        <w:t xml:space="preserve">4) of the Law on competition and consumer protection (n 5). </w:t>
      </w:r>
      <w:r w:rsidR="001F0A96">
        <w:t xml:space="preserve">Tourism </w:t>
      </w:r>
      <w:r>
        <w:t xml:space="preserve">sector is widely known for </w:t>
      </w:r>
      <w:r w:rsidR="001439C1">
        <w:t>using unfair standard contract terms</w:t>
      </w:r>
      <w:r w:rsidR="001F0A96">
        <w:t>, e.g. in the register of unfair contract terms in Poland 1123 clauses out of 6938 clauses pertain to the tourism sector</w:t>
      </w:r>
      <w:r w:rsidR="00CA4BF1">
        <w:t>, see &lt;</w:t>
      </w:r>
      <w:r w:rsidR="00CA4BF1" w:rsidRPr="00CA4BF1">
        <w:t>http://decyzje.uokik.gov.pl/nd_wz_um.nsf</w:t>
      </w:r>
      <w:r w:rsidR="00CA4BF1">
        <w:t>&gt; accessed 24 March 2017</w:t>
      </w:r>
      <w:r w:rsidR="001F0A96">
        <w:t>.</w:t>
      </w:r>
    </w:p>
  </w:footnote>
  <w:footnote w:id="15">
    <w:p w:rsidR="00BF39EE" w:rsidRPr="00215B78" w:rsidRDefault="00BF39EE" w:rsidP="00A458EB">
      <w:pPr>
        <w:pStyle w:val="FootnoteText"/>
        <w:jc w:val="both"/>
        <w:rPr>
          <w:lang w:val="pl-PL"/>
        </w:rPr>
      </w:pPr>
      <w:r>
        <w:rPr>
          <w:rStyle w:val="FootnoteReference"/>
        </w:rPr>
        <w:footnoteRef/>
      </w:r>
      <w:r w:rsidRPr="00FA4186">
        <w:rPr>
          <w:i/>
          <w:lang w:val="pl-PL"/>
        </w:rPr>
        <w:t>Sąd Ochrony Konkurencji i Konsumentów</w:t>
      </w:r>
      <w:r>
        <w:rPr>
          <w:lang w:val="pl-PL"/>
        </w:rPr>
        <w:t xml:space="preserve"> &lt;</w:t>
      </w:r>
      <w:r w:rsidRPr="00E21C87">
        <w:rPr>
          <w:lang w:val="pl-PL"/>
        </w:rPr>
        <w:t>http://bip.warszawa.so.gov.pl/artykuly/329/xvii-wydzial-sad-ochrony-konkurencji-i-konsumentow</w:t>
      </w:r>
      <w:r>
        <w:rPr>
          <w:lang w:val="pl-PL"/>
        </w:rPr>
        <w:t>&gt; accessed 24 March 2017</w:t>
      </w:r>
      <w:r w:rsidRPr="00FA4186">
        <w:rPr>
          <w:lang w:val="pl-PL"/>
        </w:rPr>
        <w:t>.</w:t>
      </w:r>
      <w:r w:rsidRPr="00215B78">
        <w:rPr>
          <w:lang w:val="pl-PL"/>
        </w:rPr>
        <w:t xml:space="preserve"> </w:t>
      </w:r>
    </w:p>
  </w:footnote>
  <w:footnote w:id="16">
    <w:p w:rsidR="005526B2" w:rsidRPr="00215B78" w:rsidRDefault="005526B2" w:rsidP="00A458EB">
      <w:pPr>
        <w:pStyle w:val="FootnoteText"/>
        <w:jc w:val="both"/>
      </w:pPr>
      <w:r>
        <w:rPr>
          <w:rStyle w:val="FootnoteReference"/>
        </w:rPr>
        <w:footnoteRef/>
      </w:r>
      <w:proofErr w:type="gramStart"/>
      <w:r w:rsidR="00BF39EE">
        <w:t>Article 24 of the Law on competition and consumer protection (n 5).</w:t>
      </w:r>
      <w:proofErr w:type="gramEnd"/>
    </w:p>
  </w:footnote>
  <w:footnote w:id="17">
    <w:p w:rsidR="001D2D2B" w:rsidRPr="001D2D2B" w:rsidRDefault="001D2D2B" w:rsidP="00A458EB">
      <w:pPr>
        <w:pStyle w:val="FootnoteText"/>
        <w:jc w:val="both"/>
      </w:pPr>
      <w:r w:rsidRPr="000D576C">
        <w:rPr>
          <w:rStyle w:val="FootnoteReference"/>
        </w:rPr>
        <w:footnoteRef/>
      </w:r>
      <w:r w:rsidRPr="000D576C">
        <w:t xml:space="preserve"> The </w:t>
      </w:r>
      <w:proofErr w:type="spellStart"/>
      <w:r w:rsidRPr="000D576C">
        <w:rPr>
          <w:i/>
        </w:rPr>
        <w:t>erga</w:t>
      </w:r>
      <w:proofErr w:type="spellEnd"/>
      <w:r w:rsidRPr="000D576C">
        <w:rPr>
          <w:i/>
        </w:rPr>
        <w:t xml:space="preserve"> </w:t>
      </w:r>
      <w:proofErr w:type="spellStart"/>
      <w:r w:rsidRPr="000D576C">
        <w:rPr>
          <w:i/>
        </w:rPr>
        <w:t>omnes</w:t>
      </w:r>
      <w:proofErr w:type="spellEnd"/>
      <w:r w:rsidRPr="000D576C">
        <w:rPr>
          <w:i/>
        </w:rPr>
        <w:t xml:space="preserve"> </w:t>
      </w:r>
      <w:r w:rsidRPr="000D576C">
        <w:t>interpretation was based on the literal reading of Article 479</w:t>
      </w:r>
      <w:r w:rsidRPr="000D576C">
        <w:rPr>
          <w:vertAlign w:val="superscript"/>
        </w:rPr>
        <w:t>43</w:t>
      </w:r>
      <w:r w:rsidRPr="000D576C">
        <w:t xml:space="preserve"> of the Code of Civil Procedure</w:t>
      </w:r>
      <w:r w:rsidR="00552D0A">
        <w:t xml:space="preserve"> </w:t>
      </w:r>
      <w:r w:rsidR="00552D0A" w:rsidRPr="000D576C">
        <w:t>(n 8)</w:t>
      </w:r>
      <w:r w:rsidR="00552D0A">
        <w:t>,</w:t>
      </w:r>
      <w:r w:rsidR="00552D0A" w:rsidRPr="000D576C">
        <w:t xml:space="preserve"> </w:t>
      </w:r>
      <w:r w:rsidR="00552D0A">
        <w:t>allowing registered unfair contract terms to have an effect against third parties,</w:t>
      </w:r>
      <w:r w:rsidRPr="000D576C">
        <w:t xml:space="preserve"> and supported by the President of the </w:t>
      </w:r>
      <w:proofErr w:type="spellStart"/>
      <w:r w:rsidRPr="000D576C">
        <w:t>UOKiK</w:t>
      </w:r>
      <w:proofErr w:type="spellEnd"/>
      <w:r w:rsidRPr="000D576C">
        <w:t xml:space="preserve">, see case </w:t>
      </w:r>
      <w:proofErr w:type="spellStart"/>
      <w:r w:rsidR="00175409" w:rsidRPr="00215B78">
        <w:rPr>
          <w:i/>
        </w:rPr>
        <w:t>Biuro</w:t>
      </w:r>
      <w:proofErr w:type="spellEnd"/>
      <w:r w:rsidR="00175409" w:rsidRPr="00215B78">
        <w:rPr>
          <w:i/>
        </w:rPr>
        <w:t xml:space="preserve"> podróży Partner</w:t>
      </w:r>
      <w:r w:rsidR="00175409" w:rsidRPr="00215B78">
        <w:t xml:space="preserve"> </w:t>
      </w:r>
      <w:r w:rsidRPr="000D576C">
        <w:t xml:space="preserve">(n 13), Opinion of AG </w:t>
      </w:r>
      <w:proofErr w:type="spellStart"/>
      <w:r w:rsidRPr="000D576C">
        <w:t>Saugmandsgaard</w:t>
      </w:r>
      <w:proofErr w:type="spellEnd"/>
      <w:r w:rsidRPr="000D576C">
        <w:t xml:space="preserve"> </w:t>
      </w:r>
      <w:proofErr w:type="spellStart"/>
      <w:r w:rsidRPr="000D576C">
        <w:t>Øe</w:t>
      </w:r>
      <w:proofErr w:type="spellEnd"/>
      <w:r w:rsidRPr="000D576C">
        <w:t>, para 32.</w:t>
      </w:r>
    </w:p>
  </w:footnote>
  <w:footnote w:id="18">
    <w:p w:rsidR="00460783" w:rsidRDefault="00460783" w:rsidP="00A458EB">
      <w:pPr>
        <w:pStyle w:val="FootnoteText"/>
        <w:jc w:val="both"/>
      </w:pPr>
      <w:r>
        <w:rPr>
          <w:rStyle w:val="FootnoteReference"/>
        </w:rPr>
        <w:footnoteRef/>
      </w:r>
      <w:r>
        <w:t xml:space="preserve"> </w:t>
      </w:r>
      <w:r w:rsidR="002F1BAE">
        <w:t xml:space="preserve">See e.g. </w:t>
      </w:r>
      <w:r w:rsidR="009F3E39">
        <w:t>Polish Supreme Court</w:t>
      </w:r>
      <w:r w:rsidR="008C0F2E">
        <w:t xml:space="preserve"> (</w:t>
      </w:r>
      <w:proofErr w:type="spellStart"/>
      <w:r w:rsidR="008C0F2E">
        <w:rPr>
          <w:i/>
        </w:rPr>
        <w:t>Sąd</w:t>
      </w:r>
      <w:proofErr w:type="spellEnd"/>
      <w:r w:rsidR="008C0F2E">
        <w:rPr>
          <w:i/>
        </w:rPr>
        <w:t xml:space="preserve"> </w:t>
      </w:r>
      <w:proofErr w:type="spellStart"/>
      <w:r w:rsidR="008C0F2E">
        <w:rPr>
          <w:i/>
        </w:rPr>
        <w:t>Najwyższy</w:t>
      </w:r>
      <w:proofErr w:type="spellEnd"/>
      <w:r w:rsidR="008C0F2E">
        <w:t>)</w:t>
      </w:r>
      <w:r w:rsidR="009F3E39">
        <w:t xml:space="preserve"> </w:t>
      </w:r>
      <w:r w:rsidR="008C0F2E">
        <w:t xml:space="preserve">(7 October 2008) </w:t>
      </w:r>
      <w:r w:rsidR="009F3E39">
        <w:t xml:space="preserve">III CZP 80/08 </w:t>
      </w:r>
      <w:r w:rsidR="008C0F2E">
        <w:t>&lt;</w:t>
      </w:r>
      <w:r w:rsidR="008C0F2E" w:rsidRPr="008C0F2E">
        <w:t>http://sn.pl/sites/orzecznictwo/Orzeczenia1/III%20CZP%2080-08.pdf</w:t>
      </w:r>
      <w:r w:rsidR="008C0F2E">
        <w:t>&gt; accessed 24 March 2017</w:t>
      </w:r>
      <w:r w:rsidR="009F3E39">
        <w:t>.</w:t>
      </w:r>
    </w:p>
  </w:footnote>
  <w:footnote w:id="19">
    <w:p w:rsidR="009F3E39" w:rsidRDefault="009F3E39" w:rsidP="00A458EB">
      <w:pPr>
        <w:pStyle w:val="FootnoteText"/>
        <w:jc w:val="both"/>
      </w:pPr>
      <w:r>
        <w:rPr>
          <w:rStyle w:val="FootnoteReference"/>
        </w:rPr>
        <w:footnoteRef/>
      </w:r>
      <w:r>
        <w:t xml:space="preserve"> </w:t>
      </w:r>
      <w:r w:rsidR="002F1BAE">
        <w:t xml:space="preserve">See e.g. </w:t>
      </w:r>
      <w:r>
        <w:t xml:space="preserve">Polish Supreme Court </w:t>
      </w:r>
      <w:r w:rsidR="008C0F2E">
        <w:t>(</w:t>
      </w:r>
      <w:proofErr w:type="spellStart"/>
      <w:r w:rsidR="008C0F2E">
        <w:rPr>
          <w:i/>
        </w:rPr>
        <w:t>Sąd</w:t>
      </w:r>
      <w:proofErr w:type="spellEnd"/>
      <w:r w:rsidR="008C0F2E">
        <w:rPr>
          <w:i/>
        </w:rPr>
        <w:t xml:space="preserve"> </w:t>
      </w:r>
      <w:proofErr w:type="spellStart"/>
      <w:r w:rsidR="008C0F2E">
        <w:rPr>
          <w:i/>
        </w:rPr>
        <w:t>Najwyższy</w:t>
      </w:r>
      <w:proofErr w:type="spellEnd"/>
      <w:r w:rsidR="008C0F2E">
        <w:t xml:space="preserve">) (20 November 2015) </w:t>
      </w:r>
      <w:r>
        <w:t xml:space="preserve">III CZP 17/15 </w:t>
      </w:r>
      <w:r w:rsidR="008C0F2E">
        <w:t>&lt;</w:t>
      </w:r>
      <w:r w:rsidR="008C0F2E" w:rsidRPr="008C0F2E">
        <w:t>http://www.sn.pl/sites/orzecznictwo/orzeczenia3/iii%20czp%2017-15.pdf</w:t>
      </w:r>
      <w:r w:rsidR="008C0F2E">
        <w:t>&gt; accessed 24 March 2017</w:t>
      </w:r>
      <w:r>
        <w:t>.</w:t>
      </w:r>
    </w:p>
  </w:footnote>
  <w:footnote w:id="20">
    <w:p w:rsidR="00721CFC" w:rsidRDefault="00721CFC" w:rsidP="00A458EB">
      <w:pPr>
        <w:pStyle w:val="FootnoteText"/>
        <w:jc w:val="both"/>
      </w:pPr>
      <w:r>
        <w:rPr>
          <w:rStyle w:val="FootnoteReference"/>
        </w:rPr>
        <w:footnoteRef/>
      </w:r>
      <w:r>
        <w:t xml:space="preserve"> The fine could amount to up to 10% of annual turnover of the trader, which contributed to the effectiveness of consumer protection against unfairness, pursuant to Article 106(1)(4) of the Law on competition and consumer protection (n 5).</w:t>
      </w:r>
    </w:p>
  </w:footnote>
  <w:footnote w:id="21">
    <w:p w:rsidR="009D0C55" w:rsidRDefault="009D0C55" w:rsidP="00A458EB">
      <w:pPr>
        <w:pStyle w:val="FootnoteText"/>
        <w:jc w:val="both"/>
      </w:pPr>
      <w:r>
        <w:rPr>
          <w:rStyle w:val="FootnoteReference"/>
        </w:rPr>
        <w:footnoteRef/>
      </w:r>
      <w:r>
        <w:t xml:space="preserve"> </w:t>
      </w:r>
      <w:proofErr w:type="gramStart"/>
      <w:r>
        <w:t>See</w:t>
      </w:r>
      <w:r w:rsidRPr="009D0C55">
        <w:t xml:space="preserve"> </w:t>
      </w:r>
      <w:r w:rsidRPr="008A5F72">
        <w:t xml:space="preserve">case </w:t>
      </w:r>
      <w:r w:rsidR="00175409" w:rsidRPr="00215B78">
        <w:rPr>
          <w:i/>
        </w:rPr>
        <w:t>Biuro podróży Partner</w:t>
      </w:r>
      <w:r w:rsidR="00175409" w:rsidRPr="00215B78">
        <w:t xml:space="preserve"> </w:t>
      </w:r>
      <w:r w:rsidRPr="008A5F72">
        <w:t xml:space="preserve">(n 13), Opinion of AG </w:t>
      </w:r>
      <w:proofErr w:type="spellStart"/>
      <w:r>
        <w:t>Saugmandsgaard</w:t>
      </w:r>
      <w:proofErr w:type="spellEnd"/>
      <w:r>
        <w:t xml:space="preserve"> </w:t>
      </w:r>
      <w:proofErr w:type="spellStart"/>
      <w:r>
        <w:t>Øe</w:t>
      </w:r>
      <w:proofErr w:type="spellEnd"/>
      <w:r>
        <w:t>,</w:t>
      </w:r>
      <w:r w:rsidRPr="008A5F72">
        <w:t xml:space="preserve"> para </w:t>
      </w:r>
      <w:r>
        <w:t>40.</w:t>
      </w:r>
      <w:proofErr w:type="gramEnd"/>
    </w:p>
  </w:footnote>
  <w:footnote w:id="22">
    <w:p w:rsidR="00BF1206" w:rsidRDefault="00BF1206" w:rsidP="00A458EB">
      <w:pPr>
        <w:pStyle w:val="FootnoteText"/>
        <w:jc w:val="both"/>
      </w:pPr>
      <w:r>
        <w:rPr>
          <w:rStyle w:val="FootnoteReference"/>
        </w:rPr>
        <w:footnoteRef/>
      </w:r>
      <w:r>
        <w:t xml:space="preserve"> </w:t>
      </w:r>
      <w:proofErr w:type="gramStart"/>
      <w:r w:rsidR="002A5084">
        <w:t>Charter of Fundamental Rights of the European Union [2000] OJ L364/01.</w:t>
      </w:r>
      <w:proofErr w:type="gramEnd"/>
    </w:p>
  </w:footnote>
  <w:footnote w:id="23">
    <w:p w:rsidR="00BF1206" w:rsidRPr="00FE27AD" w:rsidRDefault="00BF1206" w:rsidP="00A458EB">
      <w:pPr>
        <w:pStyle w:val="FootnoteText"/>
        <w:jc w:val="both"/>
        <w:rPr>
          <w:lang w:val="pl-PL"/>
        </w:rPr>
      </w:pPr>
      <w:r>
        <w:rPr>
          <w:rStyle w:val="FootnoteReference"/>
        </w:rPr>
        <w:footnoteRef/>
      </w:r>
      <w:r w:rsidRPr="00FE27AD">
        <w:rPr>
          <w:lang w:val="pl-PL"/>
        </w:rPr>
        <w:t xml:space="preserve"> </w:t>
      </w:r>
      <w:r w:rsidR="002A5084">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2A5084">
        <w:rPr>
          <w:lang w:val="pl-PL"/>
        </w:rPr>
        <w:t>(n 13)</w:t>
      </w:r>
      <w:r w:rsidRPr="00FE27AD">
        <w:rPr>
          <w:lang w:val="pl-PL"/>
        </w:rPr>
        <w:t>, para 23.</w:t>
      </w:r>
    </w:p>
  </w:footnote>
  <w:footnote w:id="24">
    <w:p w:rsidR="00AC15BA" w:rsidRPr="00215B78" w:rsidRDefault="00AC15BA" w:rsidP="00A458EB">
      <w:pPr>
        <w:pStyle w:val="FootnoteText"/>
        <w:jc w:val="both"/>
      </w:pPr>
      <w:r>
        <w:rPr>
          <w:rStyle w:val="FootnoteReference"/>
        </w:rPr>
        <w:footnoteRef/>
      </w:r>
      <w:r w:rsidRPr="00215B78">
        <w:t xml:space="preserve"> </w:t>
      </w:r>
      <w:r w:rsidR="003B25C6" w:rsidRPr="00215B78">
        <w:t xml:space="preserve">On the basis of the </w:t>
      </w:r>
      <w:r w:rsidR="003B25C6" w:rsidRPr="00215B78">
        <w:rPr>
          <w:i/>
        </w:rPr>
        <w:t xml:space="preserve">audi alteram partem </w:t>
      </w:r>
      <w:r w:rsidR="003B25C6" w:rsidRPr="00215B78">
        <w:t>principle, s</w:t>
      </w:r>
      <w:r w:rsidRPr="00215B78">
        <w:t xml:space="preserve">ee </w:t>
      </w:r>
      <w:r w:rsidR="003B25C6" w:rsidRPr="00215B78">
        <w:t xml:space="preserve">case C-472/11 </w:t>
      </w:r>
      <w:r w:rsidR="003B25C6" w:rsidRPr="00215B78">
        <w:rPr>
          <w:i/>
        </w:rPr>
        <w:t>Banif Plus Bank</w:t>
      </w:r>
      <w:r w:rsidR="003B25C6" w:rsidRPr="00215B78">
        <w:t xml:space="preserve"> ECLI:EU:C:2013:88, paras 29-36.</w:t>
      </w:r>
    </w:p>
  </w:footnote>
  <w:footnote w:id="25">
    <w:p w:rsidR="00E44560" w:rsidRPr="00FE27AD" w:rsidRDefault="00E44560" w:rsidP="00A458EB">
      <w:pPr>
        <w:pStyle w:val="FootnoteText"/>
        <w:jc w:val="both"/>
        <w:rPr>
          <w:lang w:val="pl-PL"/>
        </w:rPr>
      </w:pPr>
      <w:r>
        <w:rPr>
          <w:rStyle w:val="FootnoteReference"/>
        </w:rPr>
        <w:footnoteRef/>
      </w:r>
      <w:r w:rsidRPr="00FE27AD">
        <w:rPr>
          <w:lang w:val="pl-PL"/>
        </w:rPr>
        <w:t xml:space="preserve"> </w:t>
      </w:r>
      <w:r w:rsidR="007379C4">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7379C4">
        <w:rPr>
          <w:lang w:val="pl-PL"/>
        </w:rPr>
        <w:t>(n 13)</w:t>
      </w:r>
      <w:r w:rsidRPr="00FE27AD">
        <w:rPr>
          <w:lang w:val="pl-PL"/>
        </w:rPr>
        <w:t>, para 27.</w:t>
      </w:r>
    </w:p>
  </w:footnote>
  <w:footnote w:id="26">
    <w:p w:rsidR="00890881" w:rsidRPr="00FE27AD" w:rsidRDefault="00890881" w:rsidP="00A458EB">
      <w:pPr>
        <w:pStyle w:val="FootnoteText"/>
        <w:jc w:val="both"/>
        <w:rPr>
          <w:lang w:val="pl-PL"/>
        </w:rPr>
      </w:pPr>
      <w:r>
        <w:rPr>
          <w:rStyle w:val="FootnoteReference"/>
        </w:rPr>
        <w:footnoteRef/>
      </w:r>
      <w:r w:rsidRPr="00FE27AD">
        <w:rPr>
          <w:lang w:val="pl-PL"/>
        </w:rPr>
        <w:t xml:space="preserve"> </w:t>
      </w:r>
      <w:r w:rsidR="007379C4">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7379C4">
        <w:rPr>
          <w:lang w:val="pl-PL"/>
        </w:rPr>
        <w:t>(n 13)</w:t>
      </w:r>
      <w:r w:rsidRPr="00FE27AD">
        <w:rPr>
          <w:lang w:val="pl-PL"/>
        </w:rPr>
        <w:t>, para</w:t>
      </w:r>
      <w:r w:rsidR="008159A3" w:rsidRPr="00FE27AD">
        <w:rPr>
          <w:lang w:val="pl-PL"/>
        </w:rPr>
        <w:t>s</w:t>
      </w:r>
      <w:r w:rsidRPr="00FE27AD">
        <w:rPr>
          <w:lang w:val="pl-PL"/>
        </w:rPr>
        <w:t xml:space="preserve"> 40-43.</w:t>
      </w:r>
    </w:p>
  </w:footnote>
  <w:footnote w:id="27">
    <w:p w:rsidR="00890881" w:rsidRPr="00215B78" w:rsidRDefault="00890881" w:rsidP="00A458EB">
      <w:pPr>
        <w:pStyle w:val="FootnoteText"/>
        <w:jc w:val="both"/>
      </w:pPr>
      <w:r>
        <w:rPr>
          <w:rStyle w:val="FootnoteReference"/>
        </w:rPr>
        <w:footnoteRef/>
      </w:r>
      <w:r w:rsidRPr="00FE27AD">
        <w:rPr>
          <w:lang w:val="pl-PL"/>
        </w:rPr>
        <w:t xml:space="preserve"> </w:t>
      </w:r>
      <w:r w:rsidR="007379C4">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7379C4">
        <w:rPr>
          <w:lang w:val="pl-PL"/>
        </w:rPr>
        <w:t>(n 13)</w:t>
      </w:r>
      <w:r w:rsidRPr="00FE27AD">
        <w:rPr>
          <w:lang w:val="pl-PL"/>
        </w:rPr>
        <w:t>, para 41.</w:t>
      </w:r>
      <w:r w:rsidR="008556D3">
        <w:rPr>
          <w:lang w:val="pl-PL"/>
        </w:rPr>
        <w:t xml:space="preserve"> </w:t>
      </w:r>
      <w:r w:rsidR="008556D3" w:rsidRPr="00215B78">
        <w:t xml:space="preserve">The appeal may be made on the basis of Article 81 </w:t>
      </w:r>
      <w:r w:rsidR="008556D3">
        <w:t xml:space="preserve">of the Law on competition and consumer protection (n 5) to the President of the </w:t>
      </w:r>
      <w:proofErr w:type="spellStart"/>
      <w:r w:rsidR="008556D3">
        <w:t>UOKiK</w:t>
      </w:r>
      <w:proofErr w:type="spellEnd"/>
      <w:r w:rsidR="008556D3">
        <w:t xml:space="preserve">, who may either change or annul his decision or transfer the case’s files to the </w:t>
      </w:r>
      <w:proofErr w:type="spellStart"/>
      <w:r w:rsidR="008556D3">
        <w:t>SOKiK</w:t>
      </w:r>
      <w:proofErr w:type="spellEnd"/>
      <w:r w:rsidR="008556D3">
        <w:t xml:space="preserve"> for further consideration.</w:t>
      </w:r>
    </w:p>
  </w:footnote>
  <w:footnote w:id="28">
    <w:p w:rsidR="008159A3" w:rsidRPr="00FE27AD" w:rsidRDefault="008159A3" w:rsidP="00A458EB">
      <w:pPr>
        <w:pStyle w:val="FootnoteText"/>
        <w:jc w:val="both"/>
        <w:rPr>
          <w:lang w:val="pl-PL"/>
        </w:rPr>
      </w:pPr>
      <w:r>
        <w:rPr>
          <w:rStyle w:val="FootnoteReference"/>
        </w:rPr>
        <w:footnoteRef/>
      </w:r>
      <w:r w:rsidRPr="00FE27AD">
        <w:rPr>
          <w:lang w:val="pl-PL"/>
        </w:rPr>
        <w:t xml:space="preserve"> </w:t>
      </w:r>
      <w:r w:rsidR="007379C4">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7379C4">
        <w:rPr>
          <w:lang w:val="pl-PL"/>
        </w:rPr>
        <w:t>(n 13)</w:t>
      </w:r>
      <w:r w:rsidRPr="00FE27AD">
        <w:rPr>
          <w:lang w:val="pl-PL"/>
        </w:rPr>
        <w:t>, para 42.</w:t>
      </w:r>
    </w:p>
  </w:footnote>
  <w:footnote w:id="29">
    <w:p w:rsidR="008159A3" w:rsidRPr="00FE27AD" w:rsidRDefault="008159A3" w:rsidP="00A458EB">
      <w:pPr>
        <w:pStyle w:val="FootnoteText"/>
        <w:jc w:val="both"/>
        <w:rPr>
          <w:lang w:val="pl-PL"/>
        </w:rPr>
      </w:pPr>
      <w:r>
        <w:rPr>
          <w:rStyle w:val="FootnoteReference"/>
        </w:rPr>
        <w:footnoteRef/>
      </w:r>
      <w:r w:rsidRPr="00FE27AD">
        <w:rPr>
          <w:lang w:val="pl-PL"/>
        </w:rPr>
        <w:t xml:space="preserve"> </w:t>
      </w:r>
      <w:r w:rsidR="007379C4">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7379C4">
        <w:rPr>
          <w:lang w:val="pl-PL"/>
        </w:rPr>
        <w:t>(n 13)</w:t>
      </w:r>
      <w:r w:rsidRPr="00FE27AD">
        <w:rPr>
          <w:lang w:val="pl-PL"/>
        </w:rPr>
        <w:t>, para 43.</w:t>
      </w:r>
    </w:p>
  </w:footnote>
  <w:footnote w:id="30">
    <w:p w:rsidR="00807E51" w:rsidRDefault="00807E51" w:rsidP="00A458EB">
      <w:pPr>
        <w:pStyle w:val="FootnoteText"/>
        <w:jc w:val="both"/>
      </w:pPr>
      <w:r>
        <w:rPr>
          <w:rStyle w:val="FootnoteReference"/>
        </w:rPr>
        <w:footnoteRef/>
      </w:r>
      <w:r>
        <w:t xml:space="preserve"> </w:t>
      </w:r>
      <w:proofErr w:type="gramStart"/>
      <w:r>
        <w:t xml:space="preserve">See </w:t>
      </w:r>
      <w:r w:rsidRPr="008A5F72">
        <w:t xml:space="preserve">case </w:t>
      </w:r>
      <w:r w:rsidR="00175409" w:rsidRPr="00215B78">
        <w:rPr>
          <w:i/>
        </w:rPr>
        <w:t>Biuro podróży Partner</w:t>
      </w:r>
      <w:r w:rsidR="00175409" w:rsidRPr="00215B78">
        <w:t xml:space="preserve"> </w:t>
      </w:r>
      <w:r w:rsidRPr="008A5F72">
        <w:t xml:space="preserve">(n 13), Opinion of AG </w:t>
      </w:r>
      <w:proofErr w:type="spellStart"/>
      <w:r>
        <w:t>Saugmandsgaard</w:t>
      </w:r>
      <w:proofErr w:type="spellEnd"/>
      <w:r>
        <w:t xml:space="preserve"> </w:t>
      </w:r>
      <w:proofErr w:type="spellStart"/>
      <w:r>
        <w:t>Øe</w:t>
      </w:r>
      <w:proofErr w:type="spellEnd"/>
      <w:r>
        <w:t>,</w:t>
      </w:r>
      <w:r w:rsidRPr="008A5F72">
        <w:t xml:space="preserve"> para </w:t>
      </w:r>
      <w:r>
        <w:t>64.</w:t>
      </w:r>
      <w:proofErr w:type="gramEnd"/>
    </w:p>
  </w:footnote>
  <w:footnote w:id="31">
    <w:p w:rsidR="008159A3" w:rsidRPr="00215B78" w:rsidRDefault="008159A3" w:rsidP="00A458EB">
      <w:pPr>
        <w:pStyle w:val="FootnoteText"/>
        <w:jc w:val="both"/>
        <w:rPr>
          <w:lang w:val="pl-PL"/>
        </w:rPr>
      </w:pPr>
      <w:r>
        <w:rPr>
          <w:rStyle w:val="FootnoteReference"/>
        </w:rPr>
        <w:footnoteRef/>
      </w:r>
      <w:r w:rsidRPr="00215B78">
        <w:rPr>
          <w:lang w:val="pl-PL"/>
        </w:rPr>
        <w:t xml:space="preserve"> </w:t>
      </w:r>
      <w:r w:rsidR="007379C4">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7379C4">
        <w:rPr>
          <w:lang w:val="pl-PL"/>
        </w:rPr>
        <w:t>(n 13)</w:t>
      </w:r>
      <w:r w:rsidRPr="00215B78">
        <w:rPr>
          <w:lang w:val="pl-PL"/>
        </w:rPr>
        <w:t>, paras 45-46.</w:t>
      </w:r>
    </w:p>
  </w:footnote>
  <w:footnote w:id="32">
    <w:p w:rsidR="009506C8" w:rsidRPr="003113F5" w:rsidRDefault="009506C8" w:rsidP="00A458EB">
      <w:pPr>
        <w:pStyle w:val="FootnoteText"/>
        <w:jc w:val="both"/>
      </w:pPr>
      <w:r>
        <w:rPr>
          <w:rStyle w:val="FootnoteReference"/>
        </w:rPr>
        <w:footnoteRef/>
      </w:r>
      <w:r w:rsidRPr="00215B78">
        <w:rPr>
          <w:lang w:val="pl-PL"/>
        </w:rPr>
        <w:t xml:space="preserve"> </w:t>
      </w:r>
      <w:r w:rsidR="00DF674E">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DF674E">
        <w:rPr>
          <w:lang w:val="pl-PL"/>
        </w:rPr>
        <w:t>(n 13)</w:t>
      </w:r>
      <w:r w:rsidRPr="00215B78">
        <w:rPr>
          <w:lang w:val="pl-PL"/>
        </w:rPr>
        <w:t>, para 34.</w:t>
      </w:r>
      <w:r w:rsidR="00771621" w:rsidRPr="00215B78">
        <w:rPr>
          <w:lang w:val="pl-PL"/>
        </w:rPr>
        <w:t xml:space="preserve"> </w:t>
      </w:r>
      <w:r w:rsidR="00771621">
        <w:t xml:space="preserve">This finding is contrary to the assessment of AG </w:t>
      </w:r>
      <w:proofErr w:type="spellStart"/>
      <w:r w:rsidR="00771621">
        <w:t>Saugmandsgaard</w:t>
      </w:r>
      <w:proofErr w:type="spellEnd"/>
      <w:r w:rsidR="00771621">
        <w:t xml:space="preserve"> </w:t>
      </w:r>
      <w:proofErr w:type="spellStart"/>
      <w:r w:rsidR="00771621">
        <w:t>Øe</w:t>
      </w:r>
      <w:proofErr w:type="spellEnd"/>
      <w:r w:rsidR="00771621">
        <w:t xml:space="preserve">, who considered that the unfairness’ assessment, even in the </w:t>
      </w:r>
      <w:r w:rsidR="00771621">
        <w:rPr>
          <w:i/>
        </w:rPr>
        <w:t xml:space="preserve">in </w:t>
      </w:r>
      <w:proofErr w:type="spellStart"/>
      <w:r w:rsidR="00771621">
        <w:rPr>
          <w:i/>
        </w:rPr>
        <w:t>abstracto</w:t>
      </w:r>
      <w:proofErr w:type="spellEnd"/>
      <w:r w:rsidR="00771621">
        <w:t xml:space="preserve"> review, always needs to account for the particular circumstances involved in the case, see</w:t>
      </w:r>
      <w:r w:rsidR="00771621" w:rsidRPr="008A5F72">
        <w:t xml:space="preserve"> case </w:t>
      </w:r>
      <w:r w:rsidR="00175409" w:rsidRPr="00215B78">
        <w:rPr>
          <w:i/>
        </w:rPr>
        <w:t>Biuro podróży Partner</w:t>
      </w:r>
      <w:r w:rsidR="00175409" w:rsidRPr="00215B78">
        <w:t xml:space="preserve"> </w:t>
      </w:r>
      <w:r w:rsidR="00771621" w:rsidRPr="008A5F72">
        <w:t xml:space="preserve">(n 13), Opinion of AG </w:t>
      </w:r>
      <w:proofErr w:type="spellStart"/>
      <w:r w:rsidR="00771621">
        <w:t>Saugmandsgaard</w:t>
      </w:r>
      <w:proofErr w:type="spellEnd"/>
      <w:r w:rsidR="00771621">
        <w:t xml:space="preserve"> </w:t>
      </w:r>
      <w:proofErr w:type="spellStart"/>
      <w:r w:rsidR="00771621">
        <w:t>Øe</w:t>
      </w:r>
      <w:proofErr w:type="spellEnd"/>
      <w:r w:rsidR="00771621">
        <w:t>,</w:t>
      </w:r>
      <w:r w:rsidR="00771621" w:rsidRPr="008A5F72">
        <w:t xml:space="preserve"> para </w:t>
      </w:r>
      <w:r w:rsidR="00771621">
        <w:t>49.</w:t>
      </w:r>
    </w:p>
  </w:footnote>
  <w:footnote w:id="33">
    <w:p w:rsidR="001E2652" w:rsidRDefault="001E2652" w:rsidP="00A458EB">
      <w:pPr>
        <w:pStyle w:val="FootnoteText"/>
        <w:jc w:val="both"/>
      </w:pPr>
      <w:r>
        <w:rPr>
          <w:rStyle w:val="FootnoteReference"/>
        </w:rPr>
        <w:footnoteRef/>
      </w:r>
      <w:r>
        <w:t xml:space="preserve"> Although in its opinion AG </w:t>
      </w:r>
      <w:proofErr w:type="spellStart"/>
      <w:r>
        <w:t>Saugmandsgaard</w:t>
      </w:r>
      <w:proofErr w:type="spellEnd"/>
      <w:r>
        <w:t xml:space="preserve"> </w:t>
      </w:r>
      <w:proofErr w:type="spellStart"/>
      <w:r>
        <w:t>Øe</w:t>
      </w:r>
      <w:proofErr w:type="spellEnd"/>
      <w:r>
        <w:t xml:space="preserve"> claims that this provision should apply only to national lists of unfair contract terms as adopted by the legislators, see </w:t>
      </w:r>
      <w:r w:rsidRPr="008A5F72">
        <w:t xml:space="preserve">case </w:t>
      </w:r>
      <w:r w:rsidR="00175409" w:rsidRPr="00215B78">
        <w:rPr>
          <w:i/>
        </w:rPr>
        <w:t>Biuro podróży Partner</w:t>
      </w:r>
      <w:r w:rsidR="00175409" w:rsidRPr="00215B78">
        <w:t xml:space="preserve"> </w:t>
      </w:r>
      <w:r w:rsidRPr="008A5F72">
        <w:t xml:space="preserve">(n 13), Opinion of AG </w:t>
      </w:r>
      <w:proofErr w:type="spellStart"/>
      <w:r>
        <w:t>Saugmandsgaard</w:t>
      </w:r>
      <w:proofErr w:type="spellEnd"/>
      <w:r>
        <w:t xml:space="preserve"> </w:t>
      </w:r>
      <w:proofErr w:type="spellStart"/>
      <w:r>
        <w:t>Øe</w:t>
      </w:r>
      <w:proofErr w:type="spellEnd"/>
      <w:r>
        <w:t>,</w:t>
      </w:r>
      <w:r w:rsidRPr="008A5F72">
        <w:t xml:space="preserve"> para </w:t>
      </w:r>
      <w:r>
        <w:t>54.</w:t>
      </w:r>
    </w:p>
  </w:footnote>
  <w:footnote w:id="34">
    <w:p w:rsidR="009506C8" w:rsidRPr="00215B78" w:rsidRDefault="009506C8" w:rsidP="00A458EB">
      <w:pPr>
        <w:pStyle w:val="FootnoteText"/>
        <w:jc w:val="both"/>
        <w:rPr>
          <w:lang w:val="pl-PL"/>
        </w:rPr>
      </w:pPr>
      <w:r>
        <w:rPr>
          <w:rStyle w:val="FootnoteReference"/>
        </w:rPr>
        <w:footnoteRef/>
      </w:r>
      <w:r w:rsidRPr="00215B78">
        <w:rPr>
          <w:lang w:val="pl-PL"/>
        </w:rPr>
        <w:t xml:space="preserve"> </w:t>
      </w:r>
      <w:r w:rsidR="00DF674E">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DF674E">
        <w:rPr>
          <w:lang w:val="pl-PL"/>
        </w:rPr>
        <w:t>(n 13)</w:t>
      </w:r>
      <w:r w:rsidRPr="00215B78">
        <w:rPr>
          <w:lang w:val="pl-PL"/>
        </w:rPr>
        <w:t>, para 35.</w:t>
      </w:r>
    </w:p>
  </w:footnote>
  <w:footnote w:id="35">
    <w:p w:rsidR="009506C8" w:rsidRDefault="009506C8" w:rsidP="00A458EB">
      <w:pPr>
        <w:pStyle w:val="FootnoteText"/>
        <w:jc w:val="both"/>
      </w:pPr>
      <w:r>
        <w:rPr>
          <w:rStyle w:val="FootnoteReference"/>
        </w:rPr>
        <w:footnoteRef/>
      </w:r>
      <w:r>
        <w:t xml:space="preserve"> </w:t>
      </w:r>
      <w:r w:rsidR="00145AFE">
        <w:t xml:space="preserve">For the longest time only judgments </w:t>
      </w:r>
      <w:r>
        <w:t xml:space="preserve">of the Polish Supreme Court </w:t>
      </w:r>
      <w:r w:rsidR="00145AFE">
        <w:t xml:space="preserve">were accessible online, now also </w:t>
      </w:r>
      <w:r>
        <w:t>some Court of Appeals</w:t>
      </w:r>
      <w:r w:rsidR="00145AFE">
        <w:t>’</w:t>
      </w:r>
      <w:r>
        <w:t xml:space="preserve"> judgments </w:t>
      </w:r>
      <w:r w:rsidR="00145AFE">
        <w:t>are published online</w:t>
      </w:r>
      <w:r>
        <w:t>.</w:t>
      </w:r>
    </w:p>
  </w:footnote>
  <w:footnote w:id="36">
    <w:p w:rsidR="009665D6" w:rsidRPr="00FE27AD" w:rsidRDefault="009665D6" w:rsidP="00A458EB">
      <w:pPr>
        <w:pStyle w:val="FootnoteText"/>
        <w:jc w:val="both"/>
        <w:rPr>
          <w:lang w:val="pl-PL"/>
        </w:rPr>
      </w:pPr>
      <w:r>
        <w:rPr>
          <w:rStyle w:val="FootnoteReference"/>
        </w:rPr>
        <w:footnoteRef/>
      </w:r>
      <w:r w:rsidRPr="00FE27AD">
        <w:rPr>
          <w:lang w:val="pl-PL"/>
        </w:rPr>
        <w:t xml:space="preserve"> </w:t>
      </w:r>
      <w:r w:rsidR="00DF674E">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DF674E">
        <w:rPr>
          <w:lang w:val="pl-PL"/>
        </w:rPr>
        <w:t>(n 13)</w:t>
      </w:r>
      <w:r w:rsidRPr="00FE27AD">
        <w:rPr>
          <w:lang w:val="pl-PL"/>
        </w:rPr>
        <w:t>, para 35.</w:t>
      </w:r>
    </w:p>
  </w:footnote>
  <w:footnote w:id="37">
    <w:p w:rsidR="00955860" w:rsidRPr="00F53962" w:rsidRDefault="00955860" w:rsidP="00A458EB">
      <w:pPr>
        <w:pStyle w:val="FootnoteText"/>
        <w:jc w:val="both"/>
      </w:pPr>
      <w:r>
        <w:rPr>
          <w:rStyle w:val="FootnoteReference"/>
        </w:rPr>
        <w:footnoteRef/>
      </w:r>
      <w:r w:rsidRPr="00215B78">
        <w:rPr>
          <w:lang w:val="pl-PL"/>
        </w:rPr>
        <w:t xml:space="preserve"> </w:t>
      </w:r>
      <w:r w:rsidR="00DF674E">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DF674E">
        <w:rPr>
          <w:lang w:val="pl-PL"/>
        </w:rPr>
        <w:t>(n 13)</w:t>
      </w:r>
      <w:r w:rsidRPr="00215B78">
        <w:rPr>
          <w:lang w:val="pl-PL"/>
        </w:rPr>
        <w:t>, para 38.</w:t>
      </w:r>
      <w:r w:rsidR="00F53962" w:rsidRPr="00215B78">
        <w:rPr>
          <w:lang w:val="pl-PL"/>
        </w:rPr>
        <w:t xml:space="preserve"> </w:t>
      </w:r>
      <w:r w:rsidR="00F53962">
        <w:t xml:space="preserve">The aim of this requirement is to alleviate the concern of reduced legal certainty in case of the radical increase in the amount of entries in the register, see </w:t>
      </w:r>
      <w:r w:rsidR="00F53962" w:rsidRPr="008A5F72">
        <w:t xml:space="preserve">case </w:t>
      </w:r>
      <w:r w:rsidR="00175409" w:rsidRPr="00215B78">
        <w:rPr>
          <w:i/>
        </w:rPr>
        <w:t>Biuro podróży Partner</w:t>
      </w:r>
      <w:r w:rsidR="00175409" w:rsidRPr="00215B78">
        <w:t xml:space="preserve"> </w:t>
      </w:r>
      <w:r w:rsidR="00F53962" w:rsidRPr="008A5F72">
        <w:t xml:space="preserve">(n 13), Opinion of AG </w:t>
      </w:r>
      <w:proofErr w:type="spellStart"/>
      <w:r w:rsidR="00F53962">
        <w:t>Saugmandsgaard</w:t>
      </w:r>
      <w:proofErr w:type="spellEnd"/>
      <w:r w:rsidR="00F53962">
        <w:t xml:space="preserve"> </w:t>
      </w:r>
      <w:proofErr w:type="spellStart"/>
      <w:r w:rsidR="00F53962">
        <w:t>Øe</w:t>
      </w:r>
      <w:proofErr w:type="spellEnd"/>
      <w:r w:rsidR="00F53962">
        <w:t>,</w:t>
      </w:r>
      <w:r w:rsidR="00F53962" w:rsidRPr="008A5F72">
        <w:t xml:space="preserve"> para </w:t>
      </w:r>
      <w:r w:rsidR="00F53962">
        <w:t>57.</w:t>
      </w:r>
    </w:p>
  </w:footnote>
  <w:footnote w:id="38">
    <w:p w:rsidR="001B48C9" w:rsidRPr="001B48C9" w:rsidRDefault="001B48C9" w:rsidP="00A458EB">
      <w:pPr>
        <w:pStyle w:val="FootnoteText"/>
        <w:jc w:val="both"/>
        <w:rPr>
          <w:lang w:val="en-US"/>
        </w:rPr>
      </w:pPr>
      <w:r>
        <w:rPr>
          <w:rStyle w:val="FootnoteReference"/>
        </w:rPr>
        <w:footnoteRef/>
      </w:r>
      <w:r>
        <w:t xml:space="preserve"> </w:t>
      </w:r>
      <w:proofErr w:type="gramStart"/>
      <w:r>
        <w:rPr>
          <w:lang w:val="en-US"/>
        </w:rPr>
        <w:t>Whether the Polish register fulfilled this function will be further discussed in part 3.</w:t>
      </w:r>
      <w:proofErr w:type="gramEnd"/>
    </w:p>
  </w:footnote>
  <w:footnote w:id="39">
    <w:p w:rsidR="00B533C9" w:rsidRPr="00215B78" w:rsidRDefault="00B533C9" w:rsidP="00A458EB">
      <w:pPr>
        <w:pStyle w:val="FootnoteText"/>
        <w:jc w:val="both"/>
      </w:pPr>
      <w:r>
        <w:rPr>
          <w:rStyle w:val="FootnoteReference"/>
        </w:rPr>
        <w:footnoteRef/>
      </w:r>
      <w:r w:rsidRPr="00FE27AD">
        <w:rPr>
          <w:lang w:val="pl-PL"/>
        </w:rPr>
        <w:t xml:space="preserve"> </w:t>
      </w:r>
      <w:r w:rsidR="00DF674E">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DF674E">
        <w:rPr>
          <w:lang w:val="pl-PL"/>
        </w:rPr>
        <w:t>(n 13)</w:t>
      </w:r>
      <w:r w:rsidRPr="00FE27AD">
        <w:rPr>
          <w:lang w:val="pl-PL"/>
        </w:rPr>
        <w:t>, para 39.</w:t>
      </w:r>
      <w:r w:rsidR="00A458EB">
        <w:rPr>
          <w:lang w:val="pl-PL"/>
        </w:rPr>
        <w:t xml:space="preserve"> </w:t>
      </w:r>
      <w:proofErr w:type="gramStart"/>
      <w:r w:rsidR="00A458EB" w:rsidRPr="00215B78">
        <w:t xml:space="preserve">Previously also argued by </w:t>
      </w:r>
      <w:proofErr w:type="spellStart"/>
      <w:r w:rsidR="00A458EB">
        <w:t>Keirsbilck</w:t>
      </w:r>
      <w:proofErr w:type="spellEnd"/>
      <w:r w:rsidR="00A458EB">
        <w:t xml:space="preserve"> (n 4) 1474 and 1476.</w:t>
      </w:r>
      <w:proofErr w:type="gramEnd"/>
    </w:p>
  </w:footnote>
  <w:footnote w:id="40">
    <w:p w:rsidR="005B018E" w:rsidRDefault="005B018E" w:rsidP="00A458EB">
      <w:pPr>
        <w:pStyle w:val="FootnoteText"/>
        <w:jc w:val="both"/>
      </w:pPr>
      <w:r>
        <w:rPr>
          <w:rStyle w:val="FootnoteReference"/>
        </w:rPr>
        <w:footnoteRef/>
      </w:r>
      <w:r>
        <w:t xml:space="preserve"> See </w:t>
      </w:r>
      <w:r w:rsidRPr="008A5F72">
        <w:t xml:space="preserve">case </w:t>
      </w:r>
      <w:r w:rsidR="00175409" w:rsidRPr="00215B78">
        <w:rPr>
          <w:i/>
        </w:rPr>
        <w:t>Biuro podróży Partner</w:t>
      </w:r>
      <w:r w:rsidR="00175409" w:rsidRPr="00215B78">
        <w:t xml:space="preserve"> </w:t>
      </w:r>
      <w:r w:rsidRPr="008A5F72">
        <w:t xml:space="preserve">(n 13), Opinion of AG </w:t>
      </w:r>
      <w:proofErr w:type="spellStart"/>
      <w:r>
        <w:t>Saugmandsgaard</w:t>
      </w:r>
      <w:proofErr w:type="spellEnd"/>
      <w:r>
        <w:t xml:space="preserve"> </w:t>
      </w:r>
      <w:proofErr w:type="spellStart"/>
      <w:r>
        <w:t>Øe</w:t>
      </w:r>
      <w:proofErr w:type="spellEnd"/>
      <w:r>
        <w:t>,</w:t>
      </w:r>
      <w:r w:rsidRPr="008A5F72">
        <w:t xml:space="preserve"> para </w:t>
      </w:r>
      <w:r>
        <w:t>46 invoking as an example case C-237/</w:t>
      </w:r>
      <w:r w:rsidR="00486827">
        <w:t>02</w:t>
      </w:r>
      <w:r>
        <w:t xml:space="preserve"> </w:t>
      </w:r>
      <w:proofErr w:type="spellStart"/>
      <w:r>
        <w:rPr>
          <w:i/>
        </w:rPr>
        <w:t>Freiburger</w:t>
      </w:r>
      <w:proofErr w:type="spellEnd"/>
      <w:r>
        <w:rPr>
          <w:i/>
        </w:rPr>
        <w:t xml:space="preserve"> </w:t>
      </w:r>
      <w:proofErr w:type="spellStart"/>
      <w:r>
        <w:rPr>
          <w:i/>
        </w:rPr>
        <w:t>Kommunalbauten</w:t>
      </w:r>
      <w:proofErr w:type="spellEnd"/>
      <w:r>
        <w:t xml:space="preserve"> ECLI</w:t>
      </w:r>
      <w:proofErr w:type="gramStart"/>
      <w:r>
        <w:t>:EU:C:2004:209</w:t>
      </w:r>
      <w:proofErr w:type="gramEnd"/>
      <w:r>
        <w:t>, para 21.</w:t>
      </w:r>
    </w:p>
  </w:footnote>
  <w:footnote w:id="41">
    <w:p w:rsidR="008A5F72" w:rsidRPr="008A5F72" w:rsidRDefault="008A5F72" w:rsidP="00A458EB">
      <w:pPr>
        <w:pStyle w:val="FootnoteText"/>
        <w:jc w:val="both"/>
      </w:pPr>
      <w:r>
        <w:rPr>
          <w:rStyle w:val="FootnoteReference"/>
        </w:rPr>
        <w:footnoteRef/>
      </w:r>
      <w:r w:rsidRPr="008A5F72">
        <w:t xml:space="preserve"> </w:t>
      </w:r>
      <w:proofErr w:type="gramStart"/>
      <w:r w:rsidRPr="008A5F72">
        <w:t xml:space="preserve">See case </w:t>
      </w:r>
      <w:r w:rsidR="00175409" w:rsidRPr="00215B78">
        <w:rPr>
          <w:i/>
        </w:rPr>
        <w:t>Biuro podróży Partner</w:t>
      </w:r>
      <w:r w:rsidR="00175409" w:rsidRPr="00215B78">
        <w:t xml:space="preserve"> </w:t>
      </w:r>
      <w:r w:rsidRPr="008A5F72">
        <w:t xml:space="preserve">(n 13), Opinion of AG </w:t>
      </w:r>
      <w:proofErr w:type="spellStart"/>
      <w:r>
        <w:t>Saugmandsgaard</w:t>
      </w:r>
      <w:proofErr w:type="spellEnd"/>
      <w:r>
        <w:t xml:space="preserve"> </w:t>
      </w:r>
      <w:proofErr w:type="spellStart"/>
      <w:r>
        <w:t>Øe</w:t>
      </w:r>
      <w:proofErr w:type="spellEnd"/>
      <w:r>
        <w:t>,</w:t>
      </w:r>
      <w:r w:rsidRPr="008A5F72">
        <w:t xml:space="preserve"> para</w:t>
      </w:r>
      <w:r w:rsidR="00924DB8">
        <w:t>s</w:t>
      </w:r>
      <w:r w:rsidRPr="008A5F72">
        <w:t xml:space="preserve"> 27</w:t>
      </w:r>
      <w:r w:rsidR="00924DB8">
        <w:t xml:space="preserve"> and 69</w:t>
      </w:r>
      <w:r w:rsidRPr="008A5F72">
        <w:t>.</w:t>
      </w:r>
      <w:proofErr w:type="gramEnd"/>
    </w:p>
  </w:footnote>
  <w:footnote w:id="42">
    <w:p w:rsidR="006861A1" w:rsidRPr="008A5F72" w:rsidRDefault="006861A1" w:rsidP="00A458EB">
      <w:pPr>
        <w:pStyle w:val="FootnoteText"/>
        <w:jc w:val="both"/>
        <w:rPr>
          <w:lang w:val="pl-PL"/>
        </w:rPr>
      </w:pPr>
      <w:r>
        <w:rPr>
          <w:rStyle w:val="FootnoteReference"/>
        </w:rPr>
        <w:footnoteRef/>
      </w:r>
      <w:r w:rsidRPr="008A5F72">
        <w:rPr>
          <w:lang w:val="pl-PL"/>
        </w:rPr>
        <w:t xml:space="preserve"> </w:t>
      </w:r>
      <w:r w:rsidR="00DF674E">
        <w:rPr>
          <w:lang w:val="pl-PL"/>
        </w:rPr>
        <w:t xml:space="preserve">Case </w:t>
      </w:r>
      <w:r w:rsidR="00175409" w:rsidRPr="007E38F4">
        <w:rPr>
          <w:i/>
          <w:lang w:val="pl-PL"/>
        </w:rPr>
        <w:t>Biuro podróż</w:t>
      </w:r>
      <w:r w:rsidR="00175409">
        <w:rPr>
          <w:i/>
          <w:lang w:val="pl-PL"/>
        </w:rPr>
        <w:t>y Partner</w:t>
      </w:r>
      <w:r w:rsidR="00175409">
        <w:rPr>
          <w:lang w:val="pl-PL"/>
        </w:rPr>
        <w:t xml:space="preserve"> </w:t>
      </w:r>
      <w:r w:rsidR="00DF674E">
        <w:rPr>
          <w:lang w:val="pl-PL"/>
        </w:rPr>
        <w:t>(n 13)</w:t>
      </w:r>
      <w:r w:rsidRPr="008A5F72">
        <w:rPr>
          <w:lang w:val="pl-PL"/>
        </w:rPr>
        <w:t>, para 35.</w:t>
      </w:r>
    </w:p>
  </w:footnote>
  <w:footnote w:id="43">
    <w:p w:rsidR="00600B35" w:rsidRPr="00215B78" w:rsidRDefault="00600B35" w:rsidP="00A458EB">
      <w:pPr>
        <w:pStyle w:val="FootnoteText"/>
        <w:jc w:val="both"/>
        <w:rPr>
          <w:lang w:val="pl-PL"/>
        </w:rPr>
      </w:pPr>
      <w:r>
        <w:rPr>
          <w:rStyle w:val="FootnoteReference"/>
        </w:rPr>
        <w:footnoteRef/>
      </w:r>
      <w:r w:rsidRPr="00215B78">
        <w:rPr>
          <w:lang w:val="pl-PL"/>
        </w:rPr>
        <w:t xml:space="preserve"> A comprehensive overview and analysis of the change in law may be found in: Monika Namysłowska and Anna Piszcz (eds), </w:t>
      </w:r>
      <w:r w:rsidRPr="00215B78">
        <w:rPr>
          <w:i/>
          <w:lang w:val="pl-PL"/>
        </w:rPr>
        <w:t>Ustawa o zmianie ustawy o ochronie konkurencji i konsumentów z 5.8.2015 r. Komentarz</w:t>
      </w:r>
      <w:r w:rsidRPr="00215B78">
        <w:rPr>
          <w:lang w:val="pl-PL"/>
        </w:rPr>
        <w:t xml:space="preserve"> (Beck 2016).</w:t>
      </w:r>
    </w:p>
  </w:footnote>
  <w:footnote w:id="44">
    <w:p w:rsidR="00C7646E" w:rsidRDefault="00C7646E" w:rsidP="00A458EB">
      <w:pPr>
        <w:pStyle w:val="FootnoteText"/>
        <w:jc w:val="both"/>
      </w:pPr>
      <w:r>
        <w:rPr>
          <w:rStyle w:val="FootnoteReference"/>
        </w:rPr>
        <w:footnoteRef/>
      </w:r>
      <w:r>
        <w:t xml:space="preserve"> See </w:t>
      </w:r>
      <w:r w:rsidR="00292C3B">
        <w:t>P</w:t>
      </w:r>
      <w:r>
        <w:t xml:space="preserve">olish Supreme Court </w:t>
      </w:r>
      <w:r w:rsidR="00292C3B">
        <w:t>(n 19)</w:t>
      </w:r>
      <w:r>
        <w:t xml:space="preserve">. </w:t>
      </w:r>
    </w:p>
  </w:footnote>
  <w:footnote w:id="45">
    <w:p w:rsidR="00720D0F" w:rsidRDefault="00720D0F">
      <w:pPr>
        <w:pStyle w:val="FootnoteText"/>
      </w:pPr>
      <w:r>
        <w:rPr>
          <w:rStyle w:val="FootnoteReference"/>
        </w:rPr>
        <w:footnoteRef/>
      </w:r>
      <w:r>
        <w:t xml:space="preserve"> See new Article 23d of the Law on competition and consumer protection (n 5).</w:t>
      </w:r>
    </w:p>
  </w:footnote>
  <w:footnote w:id="46">
    <w:p w:rsidR="00C7646E" w:rsidRDefault="00C7646E" w:rsidP="00A458EB">
      <w:pPr>
        <w:pStyle w:val="FootnoteText"/>
        <w:jc w:val="both"/>
      </w:pPr>
      <w:r>
        <w:rPr>
          <w:rStyle w:val="FootnoteReference"/>
        </w:rPr>
        <w:footnoteRef/>
      </w:r>
      <w:r>
        <w:t xml:space="preserve"> </w:t>
      </w:r>
      <w:proofErr w:type="gramStart"/>
      <w:r>
        <w:t xml:space="preserve">Article </w:t>
      </w:r>
      <w:r w:rsidR="00D33900">
        <w:t>23b of the Law on competition and consumer protection (n 5)</w:t>
      </w:r>
      <w:r w:rsidR="00357DC4">
        <w:t>.</w:t>
      </w:r>
      <w:proofErr w:type="gramEnd"/>
    </w:p>
  </w:footnote>
  <w:footnote w:id="47">
    <w:p w:rsidR="00D33900" w:rsidRPr="00D33900" w:rsidRDefault="00D33900" w:rsidP="00A458EB">
      <w:pPr>
        <w:pStyle w:val="FootnoteText"/>
        <w:jc w:val="both"/>
        <w:rPr>
          <w:lang w:val="en-US"/>
        </w:rPr>
      </w:pPr>
      <w:r>
        <w:rPr>
          <w:rStyle w:val="FootnoteReference"/>
        </w:rPr>
        <w:footnoteRef/>
      </w:r>
      <w:r>
        <w:t xml:space="preserve"> Contrary to the prohibition in Article 23a of the Law on competition and consumer protection (n 5), which prohibits traders to conduct practices that harm collective consumer interests, meaning practices that are unlawful or contrary to the principle of good practices.</w:t>
      </w:r>
    </w:p>
  </w:footnote>
  <w:footnote w:id="48">
    <w:p w:rsidR="00D33900" w:rsidRPr="00D33900" w:rsidRDefault="00D33900" w:rsidP="00A458EB">
      <w:pPr>
        <w:pStyle w:val="FootnoteText"/>
        <w:jc w:val="both"/>
        <w:rPr>
          <w:lang w:val="en-US"/>
        </w:rPr>
      </w:pPr>
      <w:r>
        <w:rPr>
          <w:rStyle w:val="FootnoteReference"/>
        </w:rPr>
        <w:footnoteRef/>
      </w:r>
      <w:r>
        <w:t xml:space="preserve"> </w:t>
      </w:r>
      <w:proofErr w:type="gramStart"/>
      <w:r>
        <w:t>Article 23b (3) of the Law on competition and consumer protection (n 5).</w:t>
      </w:r>
      <w:proofErr w:type="gramEnd"/>
    </w:p>
  </w:footnote>
  <w:footnote w:id="49">
    <w:p w:rsidR="00787987" w:rsidRPr="00787987" w:rsidRDefault="00787987" w:rsidP="00A458EB">
      <w:pPr>
        <w:pStyle w:val="FootnoteText"/>
        <w:jc w:val="both"/>
        <w:rPr>
          <w:lang w:val="en-US"/>
        </w:rPr>
      </w:pPr>
      <w:r>
        <w:rPr>
          <w:rStyle w:val="FootnoteReference"/>
        </w:rPr>
        <w:footnoteRef/>
      </w:r>
      <w:r>
        <w:t xml:space="preserve"> &lt;</w:t>
      </w:r>
      <w:r w:rsidRPr="00787987">
        <w:t>http://decyzje.uokik.gov.pl/bp/dec_prez.nsf</w:t>
      </w:r>
      <w:r>
        <w:t>&gt; accessed 24 March 2017.</w:t>
      </w:r>
    </w:p>
  </w:footnote>
  <w:footnote w:id="50">
    <w:p w:rsidR="000D576C" w:rsidRDefault="000D576C">
      <w:pPr>
        <w:pStyle w:val="FootnoteText"/>
      </w:pPr>
      <w:r>
        <w:rPr>
          <w:rStyle w:val="FootnoteReference"/>
        </w:rPr>
        <w:footnoteRef/>
      </w:r>
      <w:r>
        <w:t xml:space="preserve"> See </w:t>
      </w:r>
      <w:r w:rsidR="00720D0F">
        <w:t>Polish Supreme Court (</w:t>
      </w:r>
      <w:r>
        <w:t>n 18 and 19</w:t>
      </w:r>
      <w:r w:rsidR="00720D0F">
        <w:t>)</w:t>
      </w:r>
      <w:r>
        <w:t>.</w:t>
      </w:r>
    </w:p>
  </w:footnote>
  <w:footnote w:id="51">
    <w:p w:rsidR="00D907BB" w:rsidRDefault="00D907BB" w:rsidP="00A458EB">
      <w:pPr>
        <w:pStyle w:val="FootnoteText"/>
        <w:jc w:val="both"/>
      </w:pPr>
      <w:r>
        <w:rPr>
          <w:rStyle w:val="FootnoteReference"/>
        </w:rPr>
        <w:footnoteRef/>
      </w:r>
      <w:r>
        <w:t xml:space="preserve"> </w:t>
      </w:r>
      <w:proofErr w:type="gramStart"/>
      <w:r>
        <w:t>With the last entry from 16 February 2017.</w:t>
      </w:r>
      <w:proofErr w:type="gramEnd"/>
      <w:r w:rsidR="005E6241">
        <w:t xml:space="preserve"> See </w:t>
      </w:r>
      <w:r w:rsidR="005E6241" w:rsidRPr="008A5F72">
        <w:t xml:space="preserve">case </w:t>
      </w:r>
      <w:r w:rsidR="00175409" w:rsidRPr="00215B78">
        <w:rPr>
          <w:i/>
        </w:rPr>
        <w:t>Biuro podróży Partner</w:t>
      </w:r>
      <w:r w:rsidR="00175409" w:rsidRPr="00215B78">
        <w:t xml:space="preserve"> </w:t>
      </w:r>
      <w:r w:rsidR="005E6241" w:rsidRPr="008A5F72">
        <w:t xml:space="preserve">(n 13), Opinion of AG </w:t>
      </w:r>
      <w:proofErr w:type="spellStart"/>
      <w:r w:rsidR="005E6241">
        <w:t>Saugmandsgaard</w:t>
      </w:r>
      <w:proofErr w:type="spellEnd"/>
      <w:r w:rsidR="005E6241">
        <w:t xml:space="preserve"> </w:t>
      </w:r>
      <w:proofErr w:type="spellStart"/>
      <w:r w:rsidR="005E6241">
        <w:t>Øe</w:t>
      </w:r>
      <w:proofErr w:type="spellEnd"/>
      <w:r w:rsidR="005E6241">
        <w:t>,</w:t>
      </w:r>
      <w:r w:rsidR="005E6241" w:rsidRPr="008A5F72">
        <w:t xml:space="preserve"> </w:t>
      </w:r>
      <w:r w:rsidR="005E6241">
        <w:t xml:space="preserve">n 44 on as much as 300 entries being </w:t>
      </w:r>
      <w:r w:rsidR="00CF310E">
        <w:t xml:space="preserve">registered </w:t>
      </w:r>
      <w:r w:rsidR="005E6241">
        <w:t>only in the period between July 2015 and the middle of March 2016.</w:t>
      </w:r>
    </w:p>
  </w:footnote>
  <w:footnote w:id="52">
    <w:p w:rsidR="002C448A" w:rsidRDefault="002C448A" w:rsidP="00A458EB">
      <w:pPr>
        <w:pStyle w:val="FootnoteText"/>
        <w:jc w:val="both"/>
      </w:pPr>
      <w:r>
        <w:rPr>
          <w:rStyle w:val="FootnoteReference"/>
        </w:rPr>
        <w:footnoteRef/>
      </w:r>
      <w:r>
        <w:t xml:space="preserve"> The register recognises 14 trade sectors: provision of energy, water, gas and central heating; education; e-commerce; </w:t>
      </w:r>
      <w:r w:rsidR="00F8719E">
        <w:t xml:space="preserve">real estate; consumer sales; Ponzi schemes; cable and satellite TV services; tourism; bank services; financial services; internet services; telecommunication services; insurance services; </w:t>
      </w:r>
      <w:r>
        <w:t xml:space="preserve">other </w:t>
      </w:r>
      <w:r w:rsidR="00F8719E">
        <w:t>services.</w:t>
      </w:r>
    </w:p>
  </w:footnote>
  <w:footnote w:id="53">
    <w:p w:rsidR="00D253A9" w:rsidRPr="00D253A9" w:rsidRDefault="00D253A9" w:rsidP="00A458EB">
      <w:pPr>
        <w:pStyle w:val="FootnoteText"/>
        <w:jc w:val="both"/>
        <w:rPr>
          <w:lang w:val="en-US"/>
        </w:rPr>
      </w:pPr>
      <w:r>
        <w:rPr>
          <w:rStyle w:val="FootnoteReference"/>
        </w:rPr>
        <w:footnoteRef/>
      </w:r>
      <w:r>
        <w:t xml:space="preserve"> See </w:t>
      </w:r>
      <w:proofErr w:type="spellStart"/>
      <w:r>
        <w:t>n</w:t>
      </w:r>
      <w:proofErr w:type="spellEnd"/>
      <w:r>
        <w:t xml:space="preserve"> 41.</w:t>
      </w:r>
    </w:p>
  </w:footnote>
  <w:footnote w:id="54">
    <w:p w:rsidR="00924DB8" w:rsidRDefault="00924DB8" w:rsidP="00A458EB">
      <w:pPr>
        <w:pStyle w:val="FootnoteText"/>
        <w:jc w:val="both"/>
      </w:pPr>
      <w:r>
        <w:rPr>
          <w:rStyle w:val="FootnoteReference"/>
        </w:rPr>
        <w:footnoteRef/>
      </w:r>
      <w:r>
        <w:t xml:space="preserve"> </w:t>
      </w:r>
      <w:proofErr w:type="gramStart"/>
      <w:r>
        <w:t xml:space="preserve">See </w:t>
      </w:r>
      <w:r w:rsidRPr="008A5F72">
        <w:t xml:space="preserve">case </w:t>
      </w:r>
      <w:r w:rsidR="00175409" w:rsidRPr="00215B78">
        <w:rPr>
          <w:i/>
        </w:rPr>
        <w:t>Biuro podróży Partner</w:t>
      </w:r>
      <w:r w:rsidR="00175409" w:rsidRPr="00215B78">
        <w:t xml:space="preserve"> </w:t>
      </w:r>
      <w:r w:rsidRPr="008A5F72">
        <w:t xml:space="preserve">(n 13), Opinion of AG </w:t>
      </w:r>
      <w:proofErr w:type="spellStart"/>
      <w:r>
        <w:t>Saugmandsgaard</w:t>
      </w:r>
      <w:proofErr w:type="spellEnd"/>
      <w:r>
        <w:t xml:space="preserve"> </w:t>
      </w:r>
      <w:proofErr w:type="spellStart"/>
      <w:r>
        <w:t>Øe</w:t>
      </w:r>
      <w:proofErr w:type="spellEnd"/>
      <w:r>
        <w:t>, para 71.</w:t>
      </w:r>
      <w:proofErr w:type="gramEnd"/>
    </w:p>
  </w:footnote>
  <w:footnote w:id="55">
    <w:p w:rsidR="002D3576" w:rsidRPr="00804AFA" w:rsidRDefault="002D3576" w:rsidP="002D3576">
      <w:pPr>
        <w:pStyle w:val="FootnoteText"/>
        <w:jc w:val="both"/>
      </w:pPr>
      <w:r>
        <w:rPr>
          <w:rStyle w:val="FootnoteReference"/>
        </w:rPr>
        <w:footnoteRef/>
      </w:r>
      <w:r>
        <w:t xml:space="preserve"> </w:t>
      </w:r>
      <w:proofErr w:type="spellStart"/>
      <w:r>
        <w:t>Keirsbilck</w:t>
      </w:r>
      <w:proofErr w:type="spellEnd"/>
      <w:r>
        <w:t xml:space="preserve"> (n 4) 1473 has already argued for such an obligation to be introduced with respect to recognizing the effect of injunction proceedings based on unfair contract terms against other consumers of the same trader, on the basis of the judgment in the case </w:t>
      </w:r>
      <w:proofErr w:type="spellStart"/>
      <w:r>
        <w:rPr>
          <w:i/>
        </w:rPr>
        <w:t>Invitel</w:t>
      </w:r>
      <w:proofErr w:type="spellEnd"/>
      <w:r>
        <w:t xml:space="preserve"> (n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0E"/>
    <w:rsid w:val="00013395"/>
    <w:rsid w:val="0002629E"/>
    <w:rsid w:val="00031252"/>
    <w:rsid w:val="00031623"/>
    <w:rsid w:val="0005377D"/>
    <w:rsid w:val="00063580"/>
    <w:rsid w:val="000934FF"/>
    <w:rsid w:val="000D576C"/>
    <w:rsid w:val="000E3E43"/>
    <w:rsid w:val="000F0378"/>
    <w:rsid w:val="001133F9"/>
    <w:rsid w:val="001176DC"/>
    <w:rsid w:val="00124065"/>
    <w:rsid w:val="0012518E"/>
    <w:rsid w:val="001439C1"/>
    <w:rsid w:val="00145244"/>
    <w:rsid w:val="00145AFE"/>
    <w:rsid w:val="00170B10"/>
    <w:rsid w:val="00175083"/>
    <w:rsid w:val="00175409"/>
    <w:rsid w:val="001916CE"/>
    <w:rsid w:val="001A3A82"/>
    <w:rsid w:val="001A5EFB"/>
    <w:rsid w:val="001B48C9"/>
    <w:rsid w:val="001B6FBE"/>
    <w:rsid w:val="001D2D2B"/>
    <w:rsid w:val="001D7C40"/>
    <w:rsid w:val="001E2652"/>
    <w:rsid w:val="001E4C00"/>
    <w:rsid w:val="001E4E26"/>
    <w:rsid w:val="001F0A96"/>
    <w:rsid w:val="00204BD3"/>
    <w:rsid w:val="00215B78"/>
    <w:rsid w:val="0026679E"/>
    <w:rsid w:val="00292C3B"/>
    <w:rsid w:val="002A052A"/>
    <w:rsid w:val="002A5084"/>
    <w:rsid w:val="002A7902"/>
    <w:rsid w:val="002B1E5B"/>
    <w:rsid w:val="002B2119"/>
    <w:rsid w:val="002B3195"/>
    <w:rsid w:val="002B3D25"/>
    <w:rsid w:val="002C1D74"/>
    <w:rsid w:val="002C448A"/>
    <w:rsid w:val="002D3576"/>
    <w:rsid w:val="002F1BAE"/>
    <w:rsid w:val="003113F5"/>
    <w:rsid w:val="00311CA1"/>
    <w:rsid w:val="00332181"/>
    <w:rsid w:val="00347CBB"/>
    <w:rsid w:val="00357DC4"/>
    <w:rsid w:val="00395F1D"/>
    <w:rsid w:val="003A4C11"/>
    <w:rsid w:val="003B25C6"/>
    <w:rsid w:val="003B6162"/>
    <w:rsid w:val="003E137A"/>
    <w:rsid w:val="00411165"/>
    <w:rsid w:val="004236F7"/>
    <w:rsid w:val="00425F1F"/>
    <w:rsid w:val="004318FE"/>
    <w:rsid w:val="00440B44"/>
    <w:rsid w:val="004509F0"/>
    <w:rsid w:val="00460783"/>
    <w:rsid w:val="00486827"/>
    <w:rsid w:val="004C2F17"/>
    <w:rsid w:val="005125B6"/>
    <w:rsid w:val="0053534E"/>
    <w:rsid w:val="00537630"/>
    <w:rsid w:val="005526B2"/>
    <w:rsid w:val="00552D0A"/>
    <w:rsid w:val="00567FE6"/>
    <w:rsid w:val="00576065"/>
    <w:rsid w:val="005B018E"/>
    <w:rsid w:val="005B4C7C"/>
    <w:rsid w:val="005D3858"/>
    <w:rsid w:val="005E379A"/>
    <w:rsid w:val="005E6241"/>
    <w:rsid w:val="005F1999"/>
    <w:rsid w:val="005F4F00"/>
    <w:rsid w:val="005F5CD6"/>
    <w:rsid w:val="00600B35"/>
    <w:rsid w:val="00603A94"/>
    <w:rsid w:val="006114D3"/>
    <w:rsid w:val="00613848"/>
    <w:rsid w:val="00631D12"/>
    <w:rsid w:val="0064103B"/>
    <w:rsid w:val="00642A8C"/>
    <w:rsid w:val="00655E2A"/>
    <w:rsid w:val="00684926"/>
    <w:rsid w:val="0068502F"/>
    <w:rsid w:val="006861A1"/>
    <w:rsid w:val="006C4FC5"/>
    <w:rsid w:val="006D395A"/>
    <w:rsid w:val="006E3786"/>
    <w:rsid w:val="006E770E"/>
    <w:rsid w:val="007068C8"/>
    <w:rsid w:val="0071077C"/>
    <w:rsid w:val="00720D0F"/>
    <w:rsid w:val="00721CFC"/>
    <w:rsid w:val="007379C4"/>
    <w:rsid w:val="007714FD"/>
    <w:rsid w:val="00771621"/>
    <w:rsid w:val="00773544"/>
    <w:rsid w:val="00787987"/>
    <w:rsid w:val="00791417"/>
    <w:rsid w:val="007D34FF"/>
    <w:rsid w:val="007E38F4"/>
    <w:rsid w:val="007F068F"/>
    <w:rsid w:val="007F13E8"/>
    <w:rsid w:val="00804AFA"/>
    <w:rsid w:val="00807E51"/>
    <w:rsid w:val="008159A3"/>
    <w:rsid w:val="008243CB"/>
    <w:rsid w:val="008256F5"/>
    <w:rsid w:val="00827539"/>
    <w:rsid w:val="00850BF2"/>
    <w:rsid w:val="008556D3"/>
    <w:rsid w:val="00860764"/>
    <w:rsid w:val="00864A91"/>
    <w:rsid w:val="00880F2B"/>
    <w:rsid w:val="008819FA"/>
    <w:rsid w:val="008838AA"/>
    <w:rsid w:val="00886832"/>
    <w:rsid w:val="00886EBA"/>
    <w:rsid w:val="00890881"/>
    <w:rsid w:val="008915AA"/>
    <w:rsid w:val="0089201D"/>
    <w:rsid w:val="008A5F72"/>
    <w:rsid w:val="008B5E47"/>
    <w:rsid w:val="008B6824"/>
    <w:rsid w:val="008C0F2E"/>
    <w:rsid w:val="008D05AB"/>
    <w:rsid w:val="008E4A8F"/>
    <w:rsid w:val="008F7BBD"/>
    <w:rsid w:val="00924DB8"/>
    <w:rsid w:val="00947033"/>
    <w:rsid w:val="009506C8"/>
    <w:rsid w:val="00955860"/>
    <w:rsid w:val="009565A1"/>
    <w:rsid w:val="00956778"/>
    <w:rsid w:val="0096052C"/>
    <w:rsid w:val="0096622D"/>
    <w:rsid w:val="009665D6"/>
    <w:rsid w:val="00966BC2"/>
    <w:rsid w:val="0097114A"/>
    <w:rsid w:val="009739F1"/>
    <w:rsid w:val="009838B6"/>
    <w:rsid w:val="009A79EB"/>
    <w:rsid w:val="009C0AD2"/>
    <w:rsid w:val="009C6AEC"/>
    <w:rsid w:val="009C72AA"/>
    <w:rsid w:val="009D0C55"/>
    <w:rsid w:val="009D7E16"/>
    <w:rsid w:val="009E2FFB"/>
    <w:rsid w:val="009E76C2"/>
    <w:rsid w:val="009F3E39"/>
    <w:rsid w:val="009F41CE"/>
    <w:rsid w:val="00A109DF"/>
    <w:rsid w:val="00A13D87"/>
    <w:rsid w:val="00A322AF"/>
    <w:rsid w:val="00A41675"/>
    <w:rsid w:val="00A458EB"/>
    <w:rsid w:val="00A52015"/>
    <w:rsid w:val="00A657C4"/>
    <w:rsid w:val="00A66AE3"/>
    <w:rsid w:val="00A76F75"/>
    <w:rsid w:val="00A77033"/>
    <w:rsid w:val="00A87F32"/>
    <w:rsid w:val="00AA2171"/>
    <w:rsid w:val="00AC15BA"/>
    <w:rsid w:val="00AD546A"/>
    <w:rsid w:val="00AE2B43"/>
    <w:rsid w:val="00AE3DAB"/>
    <w:rsid w:val="00AF6A91"/>
    <w:rsid w:val="00B0167C"/>
    <w:rsid w:val="00B239FB"/>
    <w:rsid w:val="00B533C9"/>
    <w:rsid w:val="00B635F0"/>
    <w:rsid w:val="00BC6966"/>
    <w:rsid w:val="00BE349C"/>
    <w:rsid w:val="00BE463A"/>
    <w:rsid w:val="00BF1206"/>
    <w:rsid w:val="00BF39EE"/>
    <w:rsid w:val="00BF3B69"/>
    <w:rsid w:val="00BF40E7"/>
    <w:rsid w:val="00C0026C"/>
    <w:rsid w:val="00C143A1"/>
    <w:rsid w:val="00C22B25"/>
    <w:rsid w:val="00C37AD8"/>
    <w:rsid w:val="00C4471D"/>
    <w:rsid w:val="00C4662C"/>
    <w:rsid w:val="00C7646E"/>
    <w:rsid w:val="00C848A4"/>
    <w:rsid w:val="00C85CBC"/>
    <w:rsid w:val="00C85D15"/>
    <w:rsid w:val="00C873D2"/>
    <w:rsid w:val="00CA4BF1"/>
    <w:rsid w:val="00CA575E"/>
    <w:rsid w:val="00CB403A"/>
    <w:rsid w:val="00CF310E"/>
    <w:rsid w:val="00CF32E9"/>
    <w:rsid w:val="00CF5A42"/>
    <w:rsid w:val="00D253A9"/>
    <w:rsid w:val="00D30177"/>
    <w:rsid w:val="00D32F59"/>
    <w:rsid w:val="00D33900"/>
    <w:rsid w:val="00D37087"/>
    <w:rsid w:val="00D411A6"/>
    <w:rsid w:val="00D53254"/>
    <w:rsid w:val="00D75F2E"/>
    <w:rsid w:val="00D82196"/>
    <w:rsid w:val="00D907BB"/>
    <w:rsid w:val="00D9188E"/>
    <w:rsid w:val="00DA4375"/>
    <w:rsid w:val="00DB19AA"/>
    <w:rsid w:val="00DF674E"/>
    <w:rsid w:val="00E21C87"/>
    <w:rsid w:val="00E36FDE"/>
    <w:rsid w:val="00E4347F"/>
    <w:rsid w:val="00E44560"/>
    <w:rsid w:val="00E4587E"/>
    <w:rsid w:val="00E55048"/>
    <w:rsid w:val="00E675C5"/>
    <w:rsid w:val="00E766B0"/>
    <w:rsid w:val="00EA70E6"/>
    <w:rsid w:val="00EB1B5A"/>
    <w:rsid w:val="00EB74E0"/>
    <w:rsid w:val="00EC732C"/>
    <w:rsid w:val="00ED24CD"/>
    <w:rsid w:val="00ED475D"/>
    <w:rsid w:val="00ED7068"/>
    <w:rsid w:val="00EF070A"/>
    <w:rsid w:val="00EF0754"/>
    <w:rsid w:val="00EF1E15"/>
    <w:rsid w:val="00F00F9D"/>
    <w:rsid w:val="00F01F4B"/>
    <w:rsid w:val="00F126D7"/>
    <w:rsid w:val="00F14E31"/>
    <w:rsid w:val="00F332F2"/>
    <w:rsid w:val="00F345BE"/>
    <w:rsid w:val="00F40233"/>
    <w:rsid w:val="00F43F3B"/>
    <w:rsid w:val="00F532F4"/>
    <w:rsid w:val="00F53962"/>
    <w:rsid w:val="00F53D3E"/>
    <w:rsid w:val="00F6674C"/>
    <w:rsid w:val="00F80F8F"/>
    <w:rsid w:val="00F82A9A"/>
    <w:rsid w:val="00F83634"/>
    <w:rsid w:val="00F8719E"/>
    <w:rsid w:val="00FA4186"/>
    <w:rsid w:val="00FD39A8"/>
    <w:rsid w:val="00FE2742"/>
    <w:rsid w:val="00FE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0E"/>
    <w:pPr>
      <w:ind w:left="720"/>
      <w:contextualSpacing/>
    </w:pPr>
  </w:style>
  <w:style w:type="paragraph" w:styleId="FootnoteText">
    <w:name w:val="footnote text"/>
    <w:aliases w:val="Footnote,fn,Footnote Text Char1,Footnote Text Char Char,FOOTNOTES,single space,footnote text,Fußnotentext Char,Fußnote,Footnote ak,FußnotentextE,Footnote ak Carattere,Footnote Text Char Char1,FOOTNOTES Char Char,fn Char Char"/>
    <w:basedOn w:val="Normal"/>
    <w:link w:val="FootnoteTextChar"/>
    <w:uiPriority w:val="99"/>
    <w:unhideWhenUsed/>
    <w:rsid w:val="005E379A"/>
    <w:pPr>
      <w:spacing w:after="0" w:line="240" w:lineRule="auto"/>
    </w:pPr>
    <w:rPr>
      <w:sz w:val="20"/>
      <w:szCs w:val="20"/>
    </w:rPr>
  </w:style>
  <w:style w:type="character" w:customStyle="1" w:styleId="FootnoteTextChar">
    <w:name w:val="Footnote Text Char"/>
    <w:aliases w:val="Footnote Char,fn Char,Footnote Text Char1 Char,Footnote Text Char Char Char,FOOTNOTES Char,single space Char,footnote text Char,Fußnotentext Char Char,Fußnote Char,Footnote ak Char,FußnotentextE Char,Footnote ak Carattere Char"/>
    <w:basedOn w:val="DefaultParagraphFont"/>
    <w:link w:val="FootnoteText"/>
    <w:uiPriority w:val="99"/>
    <w:rsid w:val="005E379A"/>
    <w:rPr>
      <w:sz w:val="20"/>
      <w:szCs w:val="20"/>
    </w:rPr>
  </w:style>
  <w:style w:type="character" w:styleId="FootnoteReference">
    <w:name w:val="footnote reference"/>
    <w:aliases w:val="Footnote Reference Superscript,EN Footnote Reference,Times 10 Point,Exposant 3 Point,Footnote symbol,Footnote reference number,note TESI,Odwołanie przypisu,footnote ref,Appel note de bas de p.,Voetnootverwijzing,FR, Exposant 3 Point"/>
    <w:basedOn w:val="DefaultParagraphFont"/>
    <w:uiPriority w:val="99"/>
    <w:unhideWhenUsed/>
    <w:rsid w:val="005E379A"/>
    <w:rPr>
      <w:vertAlign w:val="superscript"/>
    </w:rPr>
  </w:style>
  <w:style w:type="character" w:styleId="Hyperlink">
    <w:name w:val="Hyperlink"/>
    <w:basedOn w:val="DefaultParagraphFont"/>
    <w:uiPriority w:val="99"/>
    <w:unhideWhenUsed/>
    <w:rsid w:val="00C143A1"/>
    <w:rPr>
      <w:color w:val="0000FF" w:themeColor="hyperlink"/>
      <w:u w:val="single"/>
    </w:rPr>
  </w:style>
  <w:style w:type="paragraph" w:styleId="EndnoteText">
    <w:name w:val="endnote text"/>
    <w:basedOn w:val="Normal"/>
    <w:link w:val="EndnoteTextChar"/>
    <w:uiPriority w:val="99"/>
    <w:semiHidden/>
    <w:unhideWhenUsed/>
    <w:rsid w:val="00600B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B35"/>
    <w:rPr>
      <w:sz w:val="20"/>
      <w:szCs w:val="20"/>
    </w:rPr>
  </w:style>
  <w:style w:type="character" w:styleId="EndnoteReference">
    <w:name w:val="endnote reference"/>
    <w:basedOn w:val="DefaultParagraphFont"/>
    <w:uiPriority w:val="99"/>
    <w:semiHidden/>
    <w:unhideWhenUsed/>
    <w:rsid w:val="00600B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0E"/>
    <w:pPr>
      <w:ind w:left="720"/>
      <w:contextualSpacing/>
    </w:pPr>
  </w:style>
  <w:style w:type="paragraph" w:styleId="FootnoteText">
    <w:name w:val="footnote text"/>
    <w:aliases w:val="Footnote,fn,Footnote Text Char1,Footnote Text Char Char,FOOTNOTES,single space,footnote text,Fußnotentext Char,Fußnote,Footnote ak,FußnotentextE,Footnote ak Carattere,Footnote Text Char Char1,FOOTNOTES Char Char,fn Char Char"/>
    <w:basedOn w:val="Normal"/>
    <w:link w:val="FootnoteTextChar"/>
    <w:uiPriority w:val="99"/>
    <w:unhideWhenUsed/>
    <w:rsid w:val="005E379A"/>
    <w:pPr>
      <w:spacing w:after="0" w:line="240" w:lineRule="auto"/>
    </w:pPr>
    <w:rPr>
      <w:sz w:val="20"/>
      <w:szCs w:val="20"/>
    </w:rPr>
  </w:style>
  <w:style w:type="character" w:customStyle="1" w:styleId="FootnoteTextChar">
    <w:name w:val="Footnote Text Char"/>
    <w:aliases w:val="Footnote Char,fn Char,Footnote Text Char1 Char,Footnote Text Char Char Char,FOOTNOTES Char,single space Char,footnote text Char,Fußnotentext Char Char,Fußnote Char,Footnote ak Char,FußnotentextE Char,Footnote ak Carattere Char"/>
    <w:basedOn w:val="DefaultParagraphFont"/>
    <w:link w:val="FootnoteText"/>
    <w:uiPriority w:val="99"/>
    <w:rsid w:val="005E379A"/>
    <w:rPr>
      <w:sz w:val="20"/>
      <w:szCs w:val="20"/>
    </w:rPr>
  </w:style>
  <w:style w:type="character" w:styleId="FootnoteReference">
    <w:name w:val="footnote reference"/>
    <w:aliases w:val="Footnote Reference Superscript,EN Footnote Reference,Times 10 Point,Exposant 3 Point,Footnote symbol,Footnote reference number,note TESI,Odwołanie przypisu,footnote ref,Appel note de bas de p.,Voetnootverwijzing,FR, Exposant 3 Point"/>
    <w:basedOn w:val="DefaultParagraphFont"/>
    <w:uiPriority w:val="99"/>
    <w:unhideWhenUsed/>
    <w:rsid w:val="005E379A"/>
    <w:rPr>
      <w:vertAlign w:val="superscript"/>
    </w:rPr>
  </w:style>
  <w:style w:type="character" w:styleId="Hyperlink">
    <w:name w:val="Hyperlink"/>
    <w:basedOn w:val="DefaultParagraphFont"/>
    <w:uiPriority w:val="99"/>
    <w:unhideWhenUsed/>
    <w:rsid w:val="00C143A1"/>
    <w:rPr>
      <w:color w:val="0000FF" w:themeColor="hyperlink"/>
      <w:u w:val="single"/>
    </w:rPr>
  </w:style>
  <w:style w:type="paragraph" w:styleId="EndnoteText">
    <w:name w:val="endnote text"/>
    <w:basedOn w:val="Normal"/>
    <w:link w:val="EndnoteTextChar"/>
    <w:uiPriority w:val="99"/>
    <w:semiHidden/>
    <w:unhideWhenUsed/>
    <w:rsid w:val="00600B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B35"/>
    <w:rPr>
      <w:sz w:val="20"/>
      <w:szCs w:val="20"/>
    </w:rPr>
  </w:style>
  <w:style w:type="character" w:styleId="EndnoteReference">
    <w:name w:val="endnote reference"/>
    <w:basedOn w:val="DefaultParagraphFont"/>
    <w:uiPriority w:val="99"/>
    <w:semiHidden/>
    <w:unhideWhenUsed/>
    <w:rsid w:val="00600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18791">
      <w:bodyDiv w:val="1"/>
      <w:marLeft w:val="0"/>
      <w:marRight w:val="0"/>
      <w:marTop w:val="0"/>
      <w:marBottom w:val="0"/>
      <w:divBdr>
        <w:top w:val="none" w:sz="0" w:space="0" w:color="auto"/>
        <w:left w:val="none" w:sz="0" w:space="0" w:color="auto"/>
        <w:bottom w:val="none" w:sz="0" w:space="0" w:color="auto"/>
        <w:right w:val="none" w:sz="0" w:space="0" w:color="auto"/>
      </w:divBdr>
    </w:div>
    <w:div w:id="21420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3324</Words>
  <Characters>18947</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Exeter</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Luzak, Joasia</cp:lastModifiedBy>
  <cp:revision>9</cp:revision>
  <dcterms:created xsi:type="dcterms:W3CDTF">2017-05-03T15:40:00Z</dcterms:created>
  <dcterms:modified xsi:type="dcterms:W3CDTF">2017-05-03T16:04:00Z</dcterms:modified>
</cp:coreProperties>
</file>