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ABE1D" w14:textId="77777777" w:rsidR="00DB555C" w:rsidRPr="000F6BCF" w:rsidRDefault="00DB555C" w:rsidP="000F6BCF">
      <w:pPr>
        <w:widowControl w:val="0"/>
        <w:rPr>
          <w:rFonts w:ascii="Times New Roman" w:hAnsi="Times New Roman"/>
          <w:b/>
          <w:bCs/>
          <w:lang w:val="en-GB"/>
        </w:rPr>
      </w:pPr>
      <w:r w:rsidRPr="000F6BCF">
        <w:rPr>
          <w:rFonts w:ascii="Times New Roman" w:hAnsi="Times New Roman"/>
          <w:b/>
          <w:bCs/>
          <w:lang w:val="en-GB"/>
        </w:rPr>
        <w:t>A new foundation: physical Integrity, disabled dance and cultural heritage</w:t>
      </w:r>
    </w:p>
    <w:p w14:paraId="6C6C2005" w14:textId="77777777" w:rsidR="00DB555C" w:rsidRPr="000F6BCF" w:rsidRDefault="00DB555C" w:rsidP="00DB555C">
      <w:pPr>
        <w:widowControl w:val="0"/>
        <w:jc w:val="center"/>
        <w:rPr>
          <w:rFonts w:ascii="Times New Roman" w:hAnsi="Times New Roman"/>
          <w:lang w:val="en-GB"/>
        </w:rPr>
      </w:pPr>
    </w:p>
    <w:p w14:paraId="0B155695" w14:textId="17BF11D3" w:rsidR="00DB555C" w:rsidRPr="000F6BCF" w:rsidRDefault="000F6BCF" w:rsidP="000F6BCF">
      <w:pPr>
        <w:widowControl w:val="0"/>
        <w:rPr>
          <w:rFonts w:ascii="Times New Roman" w:hAnsi="Times New Roman"/>
          <w:lang w:val="en-GB"/>
        </w:rPr>
      </w:pPr>
      <w:r>
        <w:rPr>
          <w:rFonts w:ascii="Times New Roman" w:hAnsi="Times New Roman"/>
          <w:lang w:val="en-GB"/>
        </w:rPr>
        <w:t>Abbe Brown, Shawn Harmon, Kate Marsh, Mathilde Pavis, Charlotte Waelde, Sarah Whatley and Karen Wood</w:t>
      </w:r>
    </w:p>
    <w:p w14:paraId="4CA741DC" w14:textId="77777777" w:rsidR="00DB555C" w:rsidRPr="000F6BCF" w:rsidRDefault="00DB555C" w:rsidP="00DB555C">
      <w:pPr>
        <w:widowControl w:val="0"/>
        <w:jc w:val="both"/>
        <w:rPr>
          <w:rFonts w:ascii="Times New Roman" w:hAnsi="Times New Roman"/>
          <w:lang w:val="en-GB"/>
        </w:rPr>
      </w:pPr>
    </w:p>
    <w:p w14:paraId="47966372" w14:textId="77777777" w:rsidR="00DB555C" w:rsidRPr="000F6BCF" w:rsidRDefault="00DB555C" w:rsidP="00B251CF">
      <w:pPr>
        <w:widowControl w:val="0"/>
        <w:jc w:val="both"/>
        <w:rPr>
          <w:rFonts w:ascii="Times New Roman" w:hAnsi="Times New Roman"/>
          <w:b/>
          <w:lang w:val="en-GB"/>
        </w:rPr>
      </w:pPr>
      <w:r w:rsidRPr="000F6BCF">
        <w:rPr>
          <w:rFonts w:ascii="Times New Roman" w:hAnsi="Times New Roman"/>
          <w:b/>
          <w:lang w:val="en-GB"/>
        </w:rPr>
        <w:t>Introduction</w:t>
      </w:r>
    </w:p>
    <w:p w14:paraId="6F71F40A" w14:textId="77777777" w:rsidR="00DB555C" w:rsidRPr="000F6BCF" w:rsidRDefault="00DB555C" w:rsidP="00B251CF">
      <w:pPr>
        <w:widowControl w:val="0"/>
        <w:jc w:val="both"/>
        <w:rPr>
          <w:rFonts w:ascii="Times New Roman" w:hAnsi="Times New Roman"/>
          <w:lang w:val="en-GB"/>
        </w:rPr>
      </w:pPr>
    </w:p>
    <w:p w14:paraId="01AC057E" w14:textId="77777777" w:rsidR="00DB555C" w:rsidRPr="000F6BCF" w:rsidRDefault="00DB555C" w:rsidP="00B251CF">
      <w:pPr>
        <w:widowControl w:val="0"/>
        <w:tabs>
          <w:tab w:val="left" w:pos="7938"/>
        </w:tabs>
        <w:jc w:val="both"/>
        <w:rPr>
          <w:rFonts w:ascii="Times New Roman" w:hAnsi="Times New Roman"/>
          <w:lang w:val="en-GB"/>
        </w:rPr>
      </w:pPr>
      <w:r w:rsidRPr="000F6BCF">
        <w:rPr>
          <w:rFonts w:ascii="Times New Roman" w:hAnsi="Times New Roman"/>
          <w:lang w:val="en-GB"/>
        </w:rPr>
        <w:t>Leading dance commentators have argued that ‘disability remains a marginalised and under-theorised area in dance studies’, notwithstanding advances in the growth of mixed ability dance companies, and the expansion of critical scholarship around dance and disability</w:t>
      </w:r>
      <w:r w:rsidR="00BC4C74" w:rsidRPr="000F6BCF">
        <w:rPr>
          <w:rFonts w:ascii="Times New Roman" w:hAnsi="Times New Roman"/>
          <w:lang w:val="en-GB"/>
        </w:rPr>
        <w:t xml:space="preserve"> (Albright</w:t>
      </w:r>
      <w:r w:rsidR="00D775A5" w:rsidRPr="000F6BCF">
        <w:rPr>
          <w:rFonts w:ascii="Times New Roman" w:hAnsi="Times New Roman"/>
          <w:lang w:val="en-GB"/>
        </w:rPr>
        <w:t xml:space="preserve"> Copper and Brandstetter 2015:3,</w:t>
      </w:r>
      <w:r w:rsidR="009E555F" w:rsidRPr="000F6BCF">
        <w:rPr>
          <w:rFonts w:ascii="Times New Roman" w:hAnsi="Times New Roman"/>
          <w:lang w:val="en-GB"/>
        </w:rPr>
        <w:t xml:space="preserve"> </w:t>
      </w:r>
      <w:r w:rsidR="00BC4C74" w:rsidRPr="000F6BCF">
        <w:rPr>
          <w:rFonts w:ascii="Times New Roman" w:hAnsi="Times New Roman"/>
          <w:lang w:val="en-GB"/>
        </w:rPr>
        <w:t>5)</w:t>
      </w:r>
      <w:r w:rsidRPr="000F6BCF">
        <w:rPr>
          <w:rFonts w:ascii="Times New Roman" w:hAnsi="Times New Roman"/>
          <w:lang w:val="en-GB"/>
        </w:rPr>
        <w:t xml:space="preserve">. We agree that ‘disabled dance’ is under-theorised; in the light of this </w:t>
      </w:r>
      <w:r w:rsidRPr="000F6BCF">
        <w:rPr>
          <w:rFonts w:ascii="Times New Roman" w:hAnsi="Times New Roman"/>
        </w:rPr>
        <w:t>we have chosen to continue to use the term ‘disabled dance’, but we stress that we do not claim that disabled dance should be seen as a distinct art-form, and certainly not a distinct genre, but as a unique and</w:t>
      </w:r>
      <w:r w:rsidR="00D1626A" w:rsidRPr="000F6BCF">
        <w:rPr>
          <w:rFonts w:ascii="Times New Roman" w:hAnsi="Times New Roman"/>
        </w:rPr>
        <w:t xml:space="preserve"> important integrated element</w:t>
      </w:r>
      <w:r w:rsidRPr="000F6BCF">
        <w:rPr>
          <w:rFonts w:ascii="Times New Roman" w:hAnsi="Times New Roman"/>
        </w:rPr>
        <w:t xml:space="preserve"> of the </w:t>
      </w:r>
      <w:bookmarkStart w:id="0" w:name="_GoBack"/>
      <w:bookmarkEnd w:id="0"/>
      <w:r w:rsidRPr="000F6BCF">
        <w:rPr>
          <w:rFonts w:ascii="Times New Roman" w:hAnsi="Times New Roman"/>
        </w:rPr>
        <w:t>dance community that deserves its place alongside any other sector within that community.</w:t>
      </w:r>
      <w:r w:rsidRPr="000F6BCF">
        <w:rPr>
          <w:rStyle w:val="FootnoteReference"/>
          <w:rFonts w:ascii="Times New Roman" w:hAnsi="Times New Roman"/>
          <w:lang w:val="en-GB"/>
        </w:rPr>
        <w:footnoteReference w:id="1"/>
      </w:r>
      <w:r w:rsidRPr="000F6BCF">
        <w:rPr>
          <w:rFonts w:ascii="Times New Roman" w:hAnsi="Times New Roman"/>
          <w:lang w:val="en-GB"/>
        </w:rPr>
        <w:t xml:space="preserve"> Further, for as long as this is so and disabled dance lacks </w:t>
      </w:r>
      <w:r w:rsidRPr="000F6BCF">
        <w:rPr>
          <w:rFonts w:ascii="Times New Roman" w:hAnsi="Times New Roman"/>
        </w:rPr>
        <w:t xml:space="preserve">a philosophy to deepen understanding and knowledge of the dance and its philosophy, </w:t>
      </w:r>
      <w:r w:rsidRPr="000F6BCF">
        <w:rPr>
          <w:rFonts w:ascii="Times New Roman" w:hAnsi="Times New Roman"/>
          <w:lang w:val="en-GB"/>
        </w:rPr>
        <w:t xml:space="preserve">disabled dance will continue to evolve in fits and starts, and to be persistently at the margins of dance. </w:t>
      </w:r>
    </w:p>
    <w:p w14:paraId="3F5B6EF1" w14:textId="77777777" w:rsidR="00DB555C" w:rsidRPr="000F6BCF" w:rsidRDefault="00DB555C" w:rsidP="00B251CF">
      <w:pPr>
        <w:widowControl w:val="0"/>
        <w:tabs>
          <w:tab w:val="left" w:pos="7938"/>
        </w:tabs>
        <w:jc w:val="both"/>
        <w:rPr>
          <w:rFonts w:ascii="Times New Roman" w:hAnsi="Times New Roman"/>
          <w:lang w:val="en-GB"/>
        </w:rPr>
      </w:pPr>
    </w:p>
    <w:p w14:paraId="31BBE7EC" w14:textId="77777777" w:rsidR="00DB555C" w:rsidRPr="000F6BCF" w:rsidRDefault="00DB555C" w:rsidP="00B251CF">
      <w:pPr>
        <w:widowControl w:val="0"/>
        <w:tabs>
          <w:tab w:val="left" w:pos="7938"/>
        </w:tabs>
        <w:jc w:val="both"/>
        <w:rPr>
          <w:rFonts w:ascii="Times New Roman" w:hAnsi="Times New Roman"/>
          <w:lang w:val="en-GB"/>
        </w:rPr>
      </w:pPr>
      <w:r w:rsidRPr="000F6BCF">
        <w:rPr>
          <w:rFonts w:ascii="Times New Roman" w:hAnsi="Times New Roman"/>
        </w:rPr>
        <w:t>Dance has been argued to pose unique philosophical questions relating to inter alia</w:t>
      </w:r>
      <w:r w:rsidR="0095297F" w:rsidRPr="000F6BCF">
        <w:rPr>
          <w:rFonts w:ascii="Times New Roman" w:hAnsi="Times New Roman"/>
        </w:rPr>
        <w:t xml:space="preserve"> </w:t>
      </w:r>
      <w:r w:rsidRPr="000F6BCF">
        <w:rPr>
          <w:rFonts w:ascii="Times New Roman" w:hAnsi="Times New Roman"/>
        </w:rPr>
        <w:t>the importance of the human body, the dynamics of agency, the collaborative nature of dance and the individuality of the body, and the meaning generated in different dance activities</w:t>
      </w:r>
      <w:r w:rsidR="00507165" w:rsidRPr="000F6BCF">
        <w:rPr>
          <w:rFonts w:ascii="Times New Roman" w:hAnsi="Times New Roman"/>
          <w:lang w:val="en-GB"/>
        </w:rPr>
        <w:t xml:space="preserve"> (Bunker, Pakes and Bowel 2013)</w:t>
      </w:r>
      <w:r w:rsidRPr="000F6BCF">
        <w:rPr>
          <w:rFonts w:ascii="Times New Roman" w:hAnsi="Times New Roman"/>
        </w:rPr>
        <w:t xml:space="preserve">. But disabled dance (bearing in mind the point made above) raises much deeper enquiries. </w:t>
      </w:r>
      <w:r w:rsidRPr="000F6BCF">
        <w:rPr>
          <w:rFonts w:ascii="Times New Roman" w:hAnsi="Times New Roman"/>
          <w:lang w:val="en-GB"/>
        </w:rPr>
        <w:t xml:space="preserve"> Accordingly, in this chapter, we have two primary aims. Firstly regarding marginalisation, to argue that disabled dance, already an important component of the rich mosaic that comprises our cultural heritage, meets the criteria demanded for protection and promotion under the law pertaining to intangible cultural heritage (ICH); as such, practitioners and other communities of interest must do more to make disabled dance and its agents more visible</w:t>
      </w:r>
      <w:r w:rsidRPr="000F6BCF">
        <w:rPr>
          <w:rFonts w:ascii="Times New Roman" w:hAnsi="Times New Roman"/>
          <w:b/>
          <w:lang w:val="en-GB"/>
        </w:rPr>
        <w:t>.</w:t>
      </w:r>
      <w:r w:rsidRPr="000F6BCF">
        <w:rPr>
          <w:rFonts w:ascii="Times New Roman" w:hAnsi="Times New Roman"/>
          <w:lang w:val="en-GB"/>
        </w:rPr>
        <w:t xml:space="preserve"> Secondly, and to assist in delivering the first aim, this chapter will offer a theory – or at least an interdisciplinar</w:t>
      </w:r>
      <w:r w:rsidR="0095297F" w:rsidRPr="000F6BCF">
        <w:rPr>
          <w:rFonts w:ascii="Times New Roman" w:hAnsi="Times New Roman"/>
          <w:lang w:val="en-GB"/>
        </w:rPr>
        <w:t xml:space="preserve">y </w:t>
      </w:r>
      <w:r w:rsidRPr="000F6BCF">
        <w:rPr>
          <w:rFonts w:ascii="Times New Roman" w:hAnsi="Times New Roman"/>
          <w:lang w:val="en-GB"/>
        </w:rPr>
        <w:t xml:space="preserve">grounded and principled foundation – around which disabled dance might coalesce and through which it might be examined. This foundation could ultimately facilitate disabled dance in becoming a more visible, acknowledged and safeguarded part of ICH. Through these dual aims, our overall purpose in this chapter is to help disabled dance thrive and take its rightful place in the cultural milieu more generally. </w:t>
      </w:r>
    </w:p>
    <w:p w14:paraId="10BD2772" w14:textId="77777777" w:rsidR="00DB555C" w:rsidRPr="000F6BCF" w:rsidRDefault="00DB555C" w:rsidP="00B251CF">
      <w:pPr>
        <w:jc w:val="both"/>
        <w:rPr>
          <w:rFonts w:ascii="Times New Roman" w:hAnsi="Times New Roman"/>
        </w:rPr>
      </w:pPr>
    </w:p>
    <w:p w14:paraId="439F0AAB" w14:textId="77777777" w:rsidR="00DB555C" w:rsidRPr="000F6BCF" w:rsidRDefault="00DB555C" w:rsidP="00B251CF">
      <w:pPr>
        <w:jc w:val="both"/>
        <w:rPr>
          <w:rFonts w:ascii="Times New Roman" w:hAnsi="Times New Roman"/>
        </w:rPr>
      </w:pPr>
      <w:r w:rsidRPr="000F6BCF">
        <w:rPr>
          <w:rFonts w:ascii="Times New Roman" w:hAnsi="Times New Roman"/>
        </w:rPr>
        <w:t xml:space="preserve">We seek to do this from an interdisciplinary perspective.  The InVisible Difference project was of course an interdisciplinary effort, bringing together academics in law </w:t>
      </w:r>
      <w:r w:rsidRPr="000F6BCF">
        <w:rPr>
          <w:rFonts w:ascii="Times New Roman" w:hAnsi="Times New Roman"/>
        </w:rPr>
        <w:lastRenderedPageBreak/>
        <w:t>(intellectual property, human rights and medical law) and dance, and dance practitioners.</w:t>
      </w:r>
      <w:r w:rsidRPr="000F6BCF">
        <w:rPr>
          <w:rStyle w:val="FootnoteReference"/>
          <w:rFonts w:ascii="Times New Roman" w:hAnsi="Times New Roman"/>
        </w:rPr>
        <w:footnoteReference w:id="2"/>
      </w:r>
      <w:r w:rsidRPr="000F6BCF">
        <w:rPr>
          <w:rFonts w:ascii="Times New Roman" w:hAnsi="Times New Roman"/>
        </w:rPr>
        <w:t xml:space="preserve"> This article was written, not only because of the particular contribution that we wanted to make to developing a philosophy of disabled dance, but also because we wanted to write a true inter-disciplinary piece so that we could show how far our thinking had come during the currency of the project.  To that end we met in early 2015 to conduct an ‘article sprint’.</w:t>
      </w:r>
      <w:r w:rsidRPr="000F6BCF">
        <w:rPr>
          <w:rStyle w:val="FootnoteReference"/>
          <w:rFonts w:ascii="Times New Roman" w:hAnsi="Times New Roman"/>
        </w:rPr>
        <w:footnoteReference w:id="3"/>
      </w:r>
      <w:r w:rsidRPr="000F6BCF">
        <w:rPr>
          <w:rFonts w:ascii="Times New Roman" w:hAnsi="Times New Roman"/>
        </w:rPr>
        <w:t xml:space="preserve">  While generally the aim of a book sprint is to finish a book in 3-5 days, we did not quite manage that with our article, and as is often the way with these initiatives, other priorities took over once our meeting was finished.  However, we persevered, and sequentially, rather than concurrently, we completed this article which we think makes a unique contribution to the literature and indeed to the final output of the InVisible Difference project.</w:t>
      </w:r>
    </w:p>
    <w:p w14:paraId="47691C2F" w14:textId="77777777" w:rsidR="00DB555C" w:rsidRPr="000F6BCF" w:rsidRDefault="00DB555C" w:rsidP="00B251CF">
      <w:pPr>
        <w:widowControl w:val="0"/>
        <w:jc w:val="both"/>
        <w:rPr>
          <w:rFonts w:ascii="Times New Roman" w:hAnsi="Times New Roman"/>
          <w:lang w:val="en-GB"/>
        </w:rPr>
      </w:pPr>
    </w:p>
    <w:p w14:paraId="266B1DA7" w14:textId="77777777" w:rsidR="00DB555C" w:rsidRPr="000F6BCF" w:rsidRDefault="00DB555C" w:rsidP="00B251CF">
      <w:pPr>
        <w:widowControl w:val="0"/>
        <w:jc w:val="both"/>
        <w:rPr>
          <w:rFonts w:ascii="Times New Roman" w:hAnsi="Times New Roman"/>
          <w:lang w:val="en-GB"/>
        </w:rPr>
      </w:pPr>
    </w:p>
    <w:p w14:paraId="765D5CB1" w14:textId="77777777" w:rsidR="00DB555C" w:rsidRPr="000F6BCF" w:rsidRDefault="00DB555C" w:rsidP="00B251CF">
      <w:pPr>
        <w:widowControl w:val="0"/>
        <w:jc w:val="both"/>
        <w:rPr>
          <w:rFonts w:ascii="Times New Roman" w:hAnsi="Times New Roman"/>
          <w:b/>
          <w:lang w:val="en-GB"/>
        </w:rPr>
      </w:pPr>
      <w:r w:rsidRPr="000F6BCF">
        <w:rPr>
          <w:rFonts w:ascii="Times New Roman" w:hAnsi="Times New Roman"/>
          <w:b/>
          <w:lang w:val="en-GB"/>
        </w:rPr>
        <w:t>The Fight Against Marginalisation and the Intangible Cultural Heritage Perspective</w:t>
      </w:r>
    </w:p>
    <w:p w14:paraId="76B9E803" w14:textId="77777777" w:rsidR="00DB555C" w:rsidRPr="000F6BCF" w:rsidRDefault="00DB555C" w:rsidP="00B251CF">
      <w:pPr>
        <w:pStyle w:val="ColorfulList-Accent11"/>
        <w:widowControl w:val="0"/>
        <w:ind w:left="0" w:right="78"/>
        <w:jc w:val="both"/>
        <w:rPr>
          <w:rFonts w:ascii="Times New Roman" w:hAnsi="Times New Roman"/>
          <w:color w:val="000000" w:themeColor="text1"/>
          <w:lang w:val="en-GB"/>
        </w:rPr>
      </w:pPr>
    </w:p>
    <w:p w14:paraId="5506A2B7" w14:textId="77777777" w:rsidR="00BF33DA" w:rsidRPr="000F6BCF" w:rsidRDefault="00DB555C" w:rsidP="00B251CF">
      <w:pPr>
        <w:widowControl w:val="0"/>
        <w:jc w:val="both"/>
        <w:rPr>
          <w:rFonts w:ascii="Times New Roman" w:hAnsi="Times New Roman"/>
          <w:lang w:val="en-GB"/>
        </w:rPr>
      </w:pPr>
      <w:r w:rsidRPr="000F6BCF">
        <w:rPr>
          <w:rFonts w:ascii="Times New Roman" w:hAnsi="Times New Roman"/>
          <w:color w:val="000000" w:themeColor="text1"/>
          <w:lang w:val="en-GB"/>
        </w:rPr>
        <w:t xml:space="preserve">A strong theme through this collection is the existence, value and quality of disabled </w:t>
      </w:r>
      <w:r w:rsidRPr="000F6BCF">
        <w:rPr>
          <w:rFonts w:ascii="Times New Roman" w:hAnsi="Times New Roman"/>
          <w:lang w:val="en-GB"/>
        </w:rPr>
        <w:t xml:space="preserve">dance. </w:t>
      </w:r>
      <w:r w:rsidR="00BF33DA" w:rsidRPr="000F6BCF">
        <w:rPr>
          <w:rFonts w:ascii="Times New Roman" w:hAnsi="Times New Roman"/>
          <w:lang w:val="en-GB"/>
        </w:rPr>
        <w:t xml:space="preserve">‘Pioneering’ integrated dance companies of the 1980s and 1990s set a path to show that the work of disabled dance artists should be taken seriously. </w:t>
      </w:r>
      <w:r w:rsidR="00BF33DA" w:rsidRPr="000F6BCF">
        <w:rPr>
          <w:rFonts w:ascii="Times New Roman" w:hAnsi="Times New Roman"/>
          <w:vertAlign w:val="superscript"/>
          <w:lang w:val="en-GB"/>
        </w:rPr>
        <w:footnoteReference w:id="4"/>
      </w:r>
      <w:r w:rsidR="00BF33DA" w:rsidRPr="000F6BCF">
        <w:rPr>
          <w:rFonts w:ascii="Times New Roman" w:hAnsi="Times New Roman"/>
          <w:lang w:val="en-GB"/>
        </w:rPr>
        <w:t xml:space="preserve"> Contemporary disabled dance artists tend to continue in this pioneering mode, as autodidacts and self-resourced. Communities of artists grow up in locations that are most supportive of the work, still sometimes remote from the dance ‘mainstream’, however well the work may be received. There is plenty of evidence of the quality of this work. We witnessed it during our observations of rehearsals and work in performance</w:t>
      </w:r>
      <w:r w:rsidR="00BF33DA" w:rsidRPr="000F6BCF">
        <w:rPr>
          <w:rFonts w:ascii="Times New Roman" w:hAnsi="Times New Roman"/>
          <w:vertAlign w:val="superscript"/>
          <w:lang w:val="en-GB"/>
        </w:rPr>
        <w:footnoteReference w:id="5"/>
      </w:r>
      <w:r w:rsidR="00BF33DA" w:rsidRPr="000F6BCF">
        <w:rPr>
          <w:rFonts w:ascii="Times New Roman" w:hAnsi="Times New Roman"/>
          <w:lang w:val="en-GB"/>
        </w:rPr>
        <w:t xml:space="preserve">, and our own project events featured performances to draw attention to the need for the work to be witnessed, documented and transmitted more widely. </w:t>
      </w:r>
    </w:p>
    <w:p w14:paraId="7A9D2869" w14:textId="77777777" w:rsidR="00BF33DA" w:rsidRPr="000F6BCF" w:rsidRDefault="00BF33DA" w:rsidP="00B251CF">
      <w:pPr>
        <w:widowControl w:val="0"/>
        <w:jc w:val="both"/>
        <w:rPr>
          <w:rFonts w:ascii="Times New Roman" w:hAnsi="Times New Roman"/>
          <w:color w:val="000000" w:themeColor="text1"/>
          <w:lang w:val="en-GB"/>
        </w:rPr>
      </w:pPr>
    </w:p>
    <w:p w14:paraId="7A242D7E" w14:textId="77777777" w:rsidR="00DB555C" w:rsidRPr="000F6BCF" w:rsidRDefault="00DB555C" w:rsidP="00B251CF">
      <w:pPr>
        <w:widowControl w:val="0"/>
        <w:jc w:val="both"/>
        <w:rPr>
          <w:rFonts w:ascii="Times New Roman" w:hAnsi="Times New Roman"/>
          <w:color w:val="000000" w:themeColor="text1"/>
          <w:lang w:val="en-GB"/>
        </w:rPr>
      </w:pPr>
      <w:r w:rsidRPr="000F6BCF">
        <w:rPr>
          <w:rFonts w:ascii="Times New Roman" w:hAnsi="Times New Roman"/>
          <w:lang w:val="en-GB"/>
        </w:rPr>
        <w:t>While a rich and feted cultural practice might persist in the shadows for a while, it cannot thrive indefinitely away from widespread critical review, lay audiences, and major funding sources. This is especially the case when the practice is pursued by members of society who have traditionally been side-lined and discriminated against (such as disabled individuals). Some assistance can come from international law and resulting practices and opportunities pertaining to intangible cultural heritage (ICH).</w:t>
      </w:r>
    </w:p>
    <w:p w14:paraId="58F22399" w14:textId="77777777" w:rsidR="00BF33DA" w:rsidRPr="000F6BCF" w:rsidRDefault="00BF33DA" w:rsidP="00B251CF">
      <w:pPr>
        <w:widowControl w:val="0"/>
        <w:jc w:val="both"/>
        <w:rPr>
          <w:rFonts w:ascii="Times New Roman" w:hAnsi="Times New Roman"/>
        </w:rPr>
      </w:pPr>
    </w:p>
    <w:p w14:paraId="5C4C82EA" w14:textId="77777777" w:rsidR="00DB555C" w:rsidRPr="000F6BCF" w:rsidRDefault="00DB555C" w:rsidP="00B251CF">
      <w:pPr>
        <w:widowControl w:val="0"/>
        <w:jc w:val="both"/>
        <w:rPr>
          <w:rFonts w:ascii="Times New Roman" w:hAnsi="Times New Roman"/>
          <w:lang w:val="en-GB"/>
        </w:rPr>
      </w:pPr>
      <w:r w:rsidRPr="000F6BCF">
        <w:rPr>
          <w:rFonts w:ascii="Times New Roman" w:hAnsi="Times New Roman"/>
          <w:lang w:val="en-GB"/>
        </w:rPr>
        <w:t>ICH has its present roots in the United Nations Educational, Scientific and Cultural Organisation (UNESCO), established in 1945 in the belief that peace should rest on the basis of humanity’s intellectual and moral stability. UNESCO seeks to build intercultural understanding though the protection of heritage and support for cultural diversity</w:t>
      </w:r>
      <w:r w:rsidR="00C37BC2" w:rsidRPr="000F6BCF">
        <w:rPr>
          <w:rFonts w:ascii="Times New Roman" w:hAnsi="Times New Roman"/>
          <w:lang w:val="en-GB"/>
        </w:rPr>
        <w:t xml:space="preserve"> (UNESCO n.d.)</w:t>
      </w:r>
      <w:r w:rsidRPr="000F6BCF">
        <w:rPr>
          <w:rFonts w:ascii="Times New Roman" w:hAnsi="Times New Roman"/>
          <w:lang w:val="en-GB"/>
        </w:rPr>
        <w:t xml:space="preserve">.  Further, </w:t>
      </w:r>
      <w:r w:rsidRPr="000F6BCF">
        <w:rPr>
          <w:rFonts w:ascii="Times New Roman" w:hAnsi="Times New Roman"/>
        </w:rPr>
        <w:t xml:space="preserve">the Universal Declaration of Human Rights 1948 </w:t>
      </w:r>
      <w:r w:rsidRPr="000F6BCF">
        <w:rPr>
          <w:rFonts w:ascii="Times New Roman" w:hAnsi="Times New Roman"/>
        </w:rPr>
        <w:lastRenderedPageBreak/>
        <w:t>(UDHR</w:t>
      </w:r>
      <w:r w:rsidR="00B929A6" w:rsidRPr="000F6BCF">
        <w:rPr>
          <w:rFonts w:ascii="Times New Roman" w:hAnsi="Times New Roman"/>
          <w:lang w:val="en-GB"/>
        </w:rPr>
        <w:t>)</w:t>
      </w:r>
      <w:r w:rsidRPr="000F6BCF">
        <w:rPr>
          <w:rFonts w:ascii="Times New Roman" w:hAnsi="Times New Roman"/>
        </w:rPr>
        <w:t>,</w:t>
      </w:r>
      <w:r w:rsidRPr="000F6BCF">
        <w:rPr>
          <w:rFonts w:ascii="Times New Roman" w:hAnsi="Times New Roman"/>
          <w:lang w:val="en-GB"/>
        </w:rPr>
        <w:t xml:space="preserve"> the starting point of </w:t>
      </w:r>
      <w:r w:rsidRPr="000F6BCF">
        <w:rPr>
          <w:rFonts w:ascii="Times New Roman" w:hAnsi="Times New Roman"/>
        </w:rPr>
        <w:t xml:space="preserve">‘modern’ international human rights regime which is part of </w:t>
      </w:r>
      <w:r w:rsidRPr="000F6BCF">
        <w:rPr>
          <w:rFonts w:ascii="Times New Roman" w:hAnsi="Times New Roman"/>
          <w:lang w:val="en-GB"/>
        </w:rPr>
        <w:t xml:space="preserve">the same package of international activities which followed </w:t>
      </w:r>
      <w:r w:rsidRPr="000F6BCF">
        <w:rPr>
          <w:rFonts w:ascii="Times New Roman" w:hAnsi="Times New Roman"/>
        </w:rPr>
        <w:t xml:space="preserve">the atrocities of the two world wars, states:  </w:t>
      </w:r>
    </w:p>
    <w:p w14:paraId="7E473F25" w14:textId="77777777" w:rsidR="00DB555C" w:rsidRPr="000F6BCF" w:rsidRDefault="00DB555C" w:rsidP="00B251CF">
      <w:pPr>
        <w:pStyle w:val="ColorfulList-Accent11"/>
        <w:widowControl w:val="0"/>
        <w:ind w:left="0" w:right="78"/>
        <w:jc w:val="both"/>
        <w:rPr>
          <w:rFonts w:ascii="Times New Roman" w:hAnsi="Times New Roman"/>
        </w:rPr>
      </w:pPr>
    </w:p>
    <w:p w14:paraId="0E4E5D1D" w14:textId="77777777" w:rsidR="00DB555C" w:rsidRPr="000F6BCF" w:rsidRDefault="00DB555C" w:rsidP="00B251CF">
      <w:pPr>
        <w:pStyle w:val="ColorfulList-Accent11"/>
        <w:widowControl w:val="0"/>
        <w:ind w:left="709" w:right="610"/>
        <w:jc w:val="both"/>
        <w:rPr>
          <w:rFonts w:ascii="Times New Roman" w:hAnsi="Times New Roman"/>
          <w:lang w:val="en-GB"/>
        </w:rPr>
      </w:pPr>
      <w:r w:rsidRPr="000F6BCF">
        <w:rPr>
          <w:rFonts w:ascii="Times New Roman" w:hAnsi="Times New Roman"/>
        </w:rPr>
        <w:t xml:space="preserve">… the advent of a world in which human beings shall enjoy freedom of speech and belief and freedom from fear and want has been proclaimed as the highest aspiration of the common people...All human beings are born free and equal in dignity and rights. </w:t>
      </w:r>
      <w:r w:rsidR="00B929A6" w:rsidRPr="000F6BCF">
        <w:rPr>
          <w:rFonts w:ascii="Times New Roman" w:hAnsi="Times New Roman"/>
          <w:lang w:val="en-GB"/>
        </w:rPr>
        <w:t>(Article 1)</w:t>
      </w:r>
    </w:p>
    <w:p w14:paraId="6F56DFF3" w14:textId="77777777" w:rsidR="00DB555C" w:rsidRPr="000F6BCF" w:rsidRDefault="00DB555C" w:rsidP="00B251CF">
      <w:pPr>
        <w:pStyle w:val="ColorfulList-Accent11"/>
        <w:widowControl w:val="0"/>
        <w:ind w:left="0" w:right="78"/>
        <w:jc w:val="both"/>
        <w:rPr>
          <w:rFonts w:ascii="Times New Roman" w:hAnsi="Times New Roman"/>
          <w:lang w:val="en-GB"/>
        </w:rPr>
      </w:pPr>
    </w:p>
    <w:p w14:paraId="72DA52E1" w14:textId="77777777" w:rsidR="00DB555C" w:rsidRPr="000F6BCF" w:rsidRDefault="00DB555C" w:rsidP="00B251CF">
      <w:pPr>
        <w:pStyle w:val="ColorfulList-Accent11"/>
        <w:widowControl w:val="0"/>
        <w:ind w:left="0" w:right="78"/>
        <w:jc w:val="both"/>
        <w:rPr>
          <w:rFonts w:ascii="Times New Roman" w:hAnsi="Times New Roman"/>
        </w:rPr>
      </w:pPr>
      <w:r w:rsidRPr="000F6BCF">
        <w:rPr>
          <w:rFonts w:ascii="Times New Roman" w:hAnsi="Times New Roman"/>
          <w:lang w:val="en-GB"/>
        </w:rPr>
        <w:t>Within this framework, UNESCO long focussed on tangible cultural heritage – heritage that can be touched such as monuments, buildings and paintings.</w:t>
      </w:r>
      <w:r w:rsidRPr="000F6BCF">
        <w:rPr>
          <w:rFonts w:ascii="Times New Roman" w:hAnsi="Times New Roman"/>
        </w:rPr>
        <w:t xml:space="preserve">  2003, however, saw the UNESCO Convention for the Safeguarding of Intangible Cultural Heritage 2003 (ICHC) which refers</w:t>
      </w:r>
      <w:r w:rsidR="005737D4" w:rsidRPr="000F6BCF">
        <w:rPr>
          <w:rFonts w:ascii="Times New Roman" w:hAnsi="Times New Roman"/>
        </w:rPr>
        <w:t>,</w:t>
      </w:r>
      <w:r w:rsidRPr="000F6BCF">
        <w:rPr>
          <w:rFonts w:ascii="Times New Roman" w:hAnsi="Times New Roman"/>
        </w:rPr>
        <w:t xml:space="preserve"> in its first recital</w:t>
      </w:r>
      <w:r w:rsidR="005737D4" w:rsidRPr="000F6BCF">
        <w:rPr>
          <w:rFonts w:ascii="Times New Roman" w:hAnsi="Times New Roman"/>
        </w:rPr>
        <w:t>,</w:t>
      </w:r>
      <w:r w:rsidRPr="000F6BCF">
        <w:rPr>
          <w:rFonts w:ascii="Times New Roman" w:hAnsi="Times New Roman"/>
        </w:rPr>
        <w:t xml:space="preserve"> to international human rights instruments.</w:t>
      </w:r>
      <w:r w:rsidR="005737D4" w:rsidRPr="000F6BCF">
        <w:rPr>
          <w:rFonts w:ascii="Times New Roman" w:hAnsi="Times New Roman"/>
        </w:rPr>
        <w:t xml:space="preserve"> </w:t>
      </w:r>
      <w:r w:rsidRPr="000F6BCF">
        <w:rPr>
          <w:rFonts w:ascii="Times New Roman" w:hAnsi="Times New Roman"/>
        </w:rPr>
        <w:t>The ICHC defines intangible cultural heritage as the practices, representations, expressions, knowledge, skills – as well as the instruments, objects, artefacts and cultural spaces associated therewith – that communities, groups and, in some cases, individuals recognize as part of their cultural heritage</w:t>
      </w:r>
      <w:r w:rsidR="00C64B67" w:rsidRPr="000F6BCF">
        <w:rPr>
          <w:rFonts w:ascii="Times New Roman" w:hAnsi="Times New Roman"/>
          <w:lang w:val="en-GB"/>
        </w:rPr>
        <w:t xml:space="preserve"> (ICH</w:t>
      </w:r>
      <w:r w:rsidR="00231240" w:rsidRPr="000F6BCF">
        <w:rPr>
          <w:rFonts w:ascii="Times New Roman" w:hAnsi="Times New Roman"/>
          <w:lang w:val="en-GB"/>
        </w:rPr>
        <w:t>C</w:t>
      </w:r>
      <w:r w:rsidR="00B929A6" w:rsidRPr="000F6BCF">
        <w:rPr>
          <w:rFonts w:ascii="Times New Roman" w:hAnsi="Times New Roman"/>
          <w:lang w:val="en-GB"/>
        </w:rPr>
        <w:t>, Article 2.1)</w:t>
      </w:r>
      <w:r w:rsidRPr="000F6BCF">
        <w:rPr>
          <w:rFonts w:ascii="Times New Roman" w:hAnsi="Times New Roman"/>
        </w:rPr>
        <w:t>.  It goes on to state that this ICH is</w:t>
      </w:r>
      <w:r w:rsidR="006652D7" w:rsidRPr="000F6BCF">
        <w:rPr>
          <w:rFonts w:ascii="Times New Roman" w:hAnsi="Times New Roman"/>
          <w:lang w:val="en-GB"/>
        </w:rPr>
        <w:t xml:space="preserve">: </w:t>
      </w:r>
    </w:p>
    <w:p w14:paraId="3CAA6744" w14:textId="77777777" w:rsidR="00DB555C" w:rsidRPr="000F6BCF" w:rsidRDefault="00DB555C" w:rsidP="00B251CF">
      <w:pPr>
        <w:pStyle w:val="ColorfulList-Accent11"/>
        <w:widowControl w:val="0"/>
        <w:ind w:left="0" w:right="78"/>
        <w:jc w:val="both"/>
        <w:rPr>
          <w:rFonts w:ascii="Times New Roman" w:hAnsi="Times New Roman"/>
        </w:rPr>
      </w:pPr>
    </w:p>
    <w:p w14:paraId="70487A56" w14:textId="77777777" w:rsidR="00DB555C" w:rsidRPr="000F6BCF" w:rsidRDefault="00A86178" w:rsidP="00B251CF">
      <w:pPr>
        <w:pStyle w:val="ColorfulList-Accent11"/>
        <w:widowControl w:val="0"/>
        <w:numPr>
          <w:ilvl w:val="0"/>
          <w:numId w:val="10"/>
        </w:numPr>
        <w:ind w:right="78"/>
        <w:jc w:val="both"/>
        <w:rPr>
          <w:rFonts w:ascii="Times New Roman" w:hAnsi="Times New Roman"/>
        </w:rPr>
      </w:pPr>
      <w:r w:rsidRPr="000F6BCF">
        <w:rPr>
          <w:rFonts w:ascii="Times New Roman" w:hAnsi="Times New Roman"/>
        </w:rPr>
        <w:t>T</w:t>
      </w:r>
      <w:r w:rsidR="00DB555C" w:rsidRPr="000F6BCF">
        <w:rPr>
          <w:rFonts w:ascii="Times New Roman" w:hAnsi="Times New Roman"/>
        </w:rPr>
        <w:t>ransmitted from generation to generation;</w:t>
      </w:r>
    </w:p>
    <w:p w14:paraId="278A1EE5" w14:textId="77777777" w:rsidR="00DB555C" w:rsidRPr="000F6BCF" w:rsidRDefault="00A86178" w:rsidP="00B251CF">
      <w:pPr>
        <w:pStyle w:val="ColorfulList-Accent11"/>
        <w:widowControl w:val="0"/>
        <w:numPr>
          <w:ilvl w:val="0"/>
          <w:numId w:val="10"/>
        </w:numPr>
        <w:ind w:right="78"/>
        <w:jc w:val="both"/>
        <w:rPr>
          <w:rFonts w:ascii="Times New Roman" w:hAnsi="Times New Roman"/>
        </w:rPr>
      </w:pPr>
      <w:r w:rsidRPr="000F6BCF">
        <w:rPr>
          <w:rFonts w:ascii="Times New Roman" w:hAnsi="Times New Roman"/>
        </w:rPr>
        <w:t>C</w:t>
      </w:r>
      <w:r w:rsidR="00DB555C" w:rsidRPr="000F6BCF">
        <w:rPr>
          <w:rFonts w:ascii="Times New Roman" w:hAnsi="Times New Roman"/>
        </w:rPr>
        <w:t>onstantly recreated by communities and groups in response to their environment, their interaction with nature and their history; and</w:t>
      </w:r>
    </w:p>
    <w:p w14:paraId="78CFEF29" w14:textId="77777777" w:rsidR="00DB555C" w:rsidRPr="000F6BCF" w:rsidRDefault="00A86178" w:rsidP="00B251CF">
      <w:pPr>
        <w:pStyle w:val="ColorfulList-Accent11"/>
        <w:widowControl w:val="0"/>
        <w:numPr>
          <w:ilvl w:val="0"/>
          <w:numId w:val="10"/>
        </w:numPr>
        <w:ind w:right="78"/>
        <w:jc w:val="both"/>
        <w:rPr>
          <w:rFonts w:ascii="Times New Roman" w:hAnsi="Times New Roman"/>
        </w:rPr>
      </w:pPr>
      <w:r w:rsidRPr="000F6BCF">
        <w:rPr>
          <w:rFonts w:ascii="Times New Roman" w:hAnsi="Times New Roman"/>
        </w:rPr>
        <w:t>P</w:t>
      </w:r>
      <w:r w:rsidR="00DB555C" w:rsidRPr="000F6BCF">
        <w:rPr>
          <w:rFonts w:ascii="Times New Roman" w:hAnsi="Times New Roman"/>
        </w:rPr>
        <w:t>rovides them with a sense of identity and continuity, thus promoting respect for cultural diversity and human creativity.</w:t>
      </w:r>
    </w:p>
    <w:p w14:paraId="5C16EC08" w14:textId="77777777" w:rsidR="00DB555C" w:rsidRPr="000F6BCF" w:rsidRDefault="00DB555C" w:rsidP="00B251CF">
      <w:pPr>
        <w:pStyle w:val="ColorfulList-Accent11"/>
        <w:widowControl w:val="0"/>
        <w:ind w:left="0" w:right="78"/>
        <w:jc w:val="both"/>
        <w:rPr>
          <w:rFonts w:ascii="Times New Roman" w:hAnsi="Times New Roman"/>
        </w:rPr>
      </w:pPr>
    </w:p>
    <w:p w14:paraId="7669DDB9" w14:textId="77777777" w:rsidR="00DB555C" w:rsidRPr="000F6BCF" w:rsidRDefault="00DB555C" w:rsidP="00B251CF">
      <w:pPr>
        <w:pStyle w:val="ColorfulList-Accent11"/>
        <w:widowControl w:val="0"/>
        <w:ind w:left="0" w:right="78"/>
        <w:jc w:val="both"/>
        <w:rPr>
          <w:rFonts w:ascii="Times New Roman" w:hAnsi="Times New Roman"/>
        </w:rPr>
      </w:pPr>
      <w:r w:rsidRPr="000F6BCF">
        <w:rPr>
          <w:rFonts w:ascii="Times New Roman" w:hAnsi="Times New Roman"/>
        </w:rPr>
        <w:t>The ICHC then enumerates oral traditions and expressions, including language, performing arts, social practices, rituals and festive events, knowledge and practices concerning nature and the universe, and traditional craftsmanship as examples of ICH - insofar as they are compatible with human rights</w:t>
      </w:r>
      <w:r w:rsidR="00C64B67" w:rsidRPr="000F6BCF">
        <w:rPr>
          <w:rFonts w:ascii="Times New Roman" w:hAnsi="Times New Roman"/>
          <w:lang w:val="en-GB"/>
        </w:rPr>
        <w:t xml:space="preserve"> (ICH</w:t>
      </w:r>
      <w:r w:rsidR="00231240" w:rsidRPr="000F6BCF">
        <w:rPr>
          <w:rFonts w:ascii="Times New Roman" w:hAnsi="Times New Roman"/>
          <w:lang w:val="en-GB"/>
        </w:rPr>
        <w:t>C</w:t>
      </w:r>
      <w:r w:rsidR="00C64B67" w:rsidRPr="000F6BCF">
        <w:rPr>
          <w:rFonts w:ascii="Times New Roman" w:hAnsi="Times New Roman"/>
          <w:lang w:val="en-GB"/>
        </w:rPr>
        <w:t>, Article 2.1 and 2.2)</w:t>
      </w:r>
      <w:r w:rsidRPr="000F6BCF">
        <w:rPr>
          <w:rFonts w:ascii="Times New Roman" w:hAnsi="Times New Roman"/>
        </w:rPr>
        <w:t>.  The ICHC also stipulates that ‘safeguarding’ entails ensuring the viability of the intangible cultural heritage, including the identification, documentation, research, preservation, protection, promotion, enhancement, transmission, and revitalisation of various aspects of such heritage</w:t>
      </w:r>
      <w:r w:rsidR="00231240" w:rsidRPr="000F6BCF">
        <w:rPr>
          <w:rFonts w:ascii="Times New Roman" w:hAnsi="Times New Roman"/>
          <w:lang w:val="en-GB"/>
        </w:rPr>
        <w:t xml:space="preserve"> (ICHC</w:t>
      </w:r>
      <w:r w:rsidR="000D0C63" w:rsidRPr="000F6BCF">
        <w:rPr>
          <w:rFonts w:ascii="Times New Roman" w:hAnsi="Times New Roman"/>
          <w:lang w:val="en-GB"/>
        </w:rPr>
        <w:t>, Article 2.3)</w:t>
      </w:r>
      <w:r w:rsidRPr="000F6BCF">
        <w:rPr>
          <w:rFonts w:ascii="Times New Roman" w:hAnsi="Times New Roman"/>
        </w:rPr>
        <w:t xml:space="preserve">. ICH is, in other words, living heritage; a term </w:t>
      </w:r>
      <w:r w:rsidR="00E74FB6" w:rsidRPr="000F6BCF">
        <w:rPr>
          <w:rFonts w:ascii="Times New Roman" w:hAnsi="Times New Roman"/>
        </w:rPr>
        <w:t>that</w:t>
      </w:r>
      <w:r w:rsidRPr="000F6BCF">
        <w:rPr>
          <w:rFonts w:ascii="Times New Roman" w:hAnsi="Times New Roman"/>
        </w:rPr>
        <w:t xml:space="preserve"> resonates strongly when one considers disabled dance.  </w:t>
      </w:r>
    </w:p>
    <w:p w14:paraId="566BF4D9" w14:textId="77777777" w:rsidR="00DB555C" w:rsidRPr="000F6BCF" w:rsidRDefault="00DB555C" w:rsidP="00B251CF">
      <w:pPr>
        <w:pStyle w:val="ColorfulList-Accent11"/>
        <w:widowControl w:val="0"/>
        <w:ind w:left="0" w:right="78"/>
        <w:jc w:val="both"/>
        <w:rPr>
          <w:rFonts w:ascii="Times New Roman" w:hAnsi="Times New Roman"/>
        </w:rPr>
      </w:pPr>
    </w:p>
    <w:p w14:paraId="069CFF61" w14:textId="77777777" w:rsidR="00DB555C" w:rsidRPr="000F6BCF" w:rsidRDefault="00DB555C" w:rsidP="00B251CF">
      <w:pPr>
        <w:pStyle w:val="ColorfulList-Accent11"/>
        <w:widowControl w:val="0"/>
        <w:ind w:left="0" w:right="78"/>
        <w:jc w:val="both"/>
        <w:rPr>
          <w:rFonts w:ascii="Times New Roman" w:hAnsi="Times New Roman"/>
          <w:lang w:val="en-GB"/>
        </w:rPr>
      </w:pPr>
      <w:r w:rsidRPr="000F6BCF">
        <w:rPr>
          <w:rFonts w:ascii="Times New Roman" w:hAnsi="Times New Roman"/>
          <w:lang w:val="en-GB"/>
        </w:rPr>
        <w:t>One can of course argue that disabled dance is part of ICH whatever a treaty says. Yet the recognition of something as forming a part of cultural heritage under the ICHC has important legal, social, political and economic consequences. T</w:t>
      </w:r>
      <w:r w:rsidRPr="000F6BCF">
        <w:rPr>
          <w:rFonts w:ascii="Times New Roman" w:hAnsi="Times New Roman"/>
        </w:rPr>
        <w:t>he importance placed on ICH can be understood when considering that, as of February 2016, 166 States out of a possibl</w:t>
      </w:r>
      <w:r w:rsidR="006652D7" w:rsidRPr="000F6BCF">
        <w:rPr>
          <w:rFonts w:ascii="Times New Roman" w:hAnsi="Times New Roman"/>
        </w:rPr>
        <w:t xml:space="preserve">e 195 were parties to the ICHC </w:t>
      </w:r>
      <w:r w:rsidRPr="000F6BCF">
        <w:rPr>
          <w:rFonts w:ascii="Times New Roman" w:hAnsi="Times New Roman"/>
        </w:rPr>
        <w:t>– although sadly not yet the UK which has been the focus of much, although not all</w:t>
      </w:r>
      <w:r w:rsidR="005737D4" w:rsidRPr="000F6BCF">
        <w:rPr>
          <w:rFonts w:ascii="Times New Roman" w:hAnsi="Times New Roman"/>
        </w:rPr>
        <w:t>,</w:t>
      </w:r>
      <w:r w:rsidRPr="000F6BCF">
        <w:rPr>
          <w:rFonts w:ascii="Times New Roman" w:hAnsi="Times New Roman"/>
        </w:rPr>
        <w:t xml:space="preserve"> of the work of the InVisible Difference Project. The ICHC is thus likely to become the standard-setting instrument for safeguarding living cultural heritage for years to come.</w:t>
      </w:r>
    </w:p>
    <w:p w14:paraId="4FFDD7D9" w14:textId="77777777" w:rsidR="00DB555C" w:rsidRPr="000F6BCF" w:rsidRDefault="00DB555C" w:rsidP="00B251CF">
      <w:pPr>
        <w:pStyle w:val="ColorfulList-Accent11"/>
        <w:widowControl w:val="0"/>
        <w:ind w:left="0" w:right="78"/>
        <w:jc w:val="both"/>
        <w:rPr>
          <w:rFonts w:ascii="Times New Roman" w:hAnsi="Times New Roman"/>
          <w:lang w:val="en-GB"/>
        </w:rPr>
      </w:pPr>
    </w:p>
    <w:p w14:paraId="584E6EBB" w14:textId="2D21BE53" w:rsidR="00DB555C" w:rsidRPr="000F6BCF" w:rsidRDefault="00DB555C" w:rsidP="00B251CF">
      <w:pPr>
        <w:pStyle w:val="ColorfulList-Accent11"/>
        <w:widowControl w:val="0"/>
        <w:ind w:left="0" w:right="78"/>
        <w:jc w:val="both"/>
        <w:rPr>
          <w:rFonts w:ascii="Times New Roman" w:hAnsi="Times New Roman"/>
          <w:lang w:val="en-GB"/>
        </w:rPr>
      </w:pPr>
      <w:r w:rsidRPr="000F6BCF">
        <w:rPr>
          <w:rFonts w:ascii="Times New Roman" w:hAnsi="Times New Roman"/>
          <w:lang w:val="en-GB"/>
        </w:rPr>
        <w:t xml:space="preserve">From an instrumental perspective, the ICHC means that a web of formal and informal legal mechanisms becomes available to facilitate protection and promotion.  As noted, </w:t>
      </w:r>
      <w:r w:rsidRPr="000F6BCF">
        <w:rPr>
          <w:rFonts w:ascii="Times New Roman" w:hAnsi="Times New Roman"/>
        </w:rPr>
        <w:t>states</w:t>
      </w:r>
      <w:r w:rsidR="00CF5753" w:rsidRPr="000F6BCF">
        <w:rPr>
          <w:rFonts w:ascii="Times New Roman" w:hAnsi="Times New Roman"/>
        </w:rPr>
        <w:t xml:space="preserve"> must safeguard ICH</w:t>
      </w:r>
      <w:r w:rsidR="004D5993" w:rsidRPr="000F6BCF">
        <w:rPr>
          <w:rFonts w:ascii="Times New Roman" w:hAnsi="Times New Roman"/>
        </w:rPr>
        <w:t xml:space="preserve"> (ICHC, article 1(a), 11 (a)</w:t>
      </w:r>
      <w:r w:rsidR="00584DDC" w:rsidRPr="000F6BCF">
        <w:rPr>
          <w:rFonts w:ascii="Times New Roman" w:hAnsi="Times New Roman"/>
        </w:rPr>
        <w:t xml:space="preserve">) </w:t>
      </w:r>
      <w:r w:rsidRPr="000F6BCF">
        <w:rPr>
          <w:rFonts w:ascii="Times New Roman" w:hAnsi="Times New Roman"/>
        </w:rPr>
        <w:t>and other obligations are imposed to help ensure the continuity, transmission and development of the relevant ICH, and to foster continuity between past, present and future generations</w:t>
      </w:r>
      <w:r w:rsidR="00CF5753" w:rsidRPr="000F6BCF">
        <w:rPr>
          <w:rFonts w:ascii="Times New Roman" w:hAnsi="Times New Roman"/>
        </w:rPr>
        <w:t xml:space="preserve"> </w:t>
      </w:r>
      <w:r w:rsidR="004D5993" w:rsidRPr="000F6BCF">
        <w:rPr>
          <w:rFonts w:ascii="Times New Roman" w:hAnsi="Times New Roman"/>
        </w:rPr>
        <w:t xml:space="preserve"> (ICHC, article  1, 2(1), 11</w:t>
      </w:r>
      <w:r w:rsidR="00584DDC" w:rsidRPr="000F6BCF">
        <w:rPr>
          <w:rFonts w:ascii="Times New Roman" w:hAnsi="Times New Roman"/>
        </w:rPr>
        <w:t>)</w:t>
      </w:r>
      <w:r w:rsidRPr="000F6BCF">
        <w:rPr>
          <w:rFonts w:ascii="Times New Roman" w:hAnsi="Times New Roman"/>
        </w:rPr>
        <w:t xml:space="preserve">. </w:t>
      </w:r>
      <w:r w:rsidRPr="000F6BCF">
        <w:rPr>
          <w:rFonts w:ascii="Times New Roman" w:hAnsi="Times New Roman"/>
          <w:lang w:val="en-GB"/>
        </w:rPr>
        <w:t xml:space="preserve">From a socio-cultural perspective, ICH </w:t>
      </w:r>
      <w:r w:rsidRPr="000F6BCF">
        <w:rPr>
          <w:rFonts w:ascii="Times New Roman" w:hAnsi="Times New Roman"/>
          <w:lang w:val="en-GB"/>
        </w:rPr>
        <w:lastRenderedPageBreak/>
        <w:t>affirms and enhances a sense of identity and belonging within the community</w:t>
      </w:r>
      <w:r w:rsidR="005737D4" w:rsidRPr="000F6BCF">
        <w:rPr>
          <w:rFonts w:ascii="Times New Roman" w:hAnsi="Times New Roman"/>
          <w:lang w:val="en-GB"/>
        </w:rPr>
        <w:t xml:space="preserve"> </w:t>
      </w:r>
      <w:r w:rsidRPr="000F6BCF">
        <w:rPr>
          <w:rFonts w:ascii="Times New Roman" w:hAnsi="Times New Roman"/>
          <w:lang w:val="en-GB"/>
        </w:rPr>
        <w:t>which generates the ICH.  Members of the community whose ICH is to be safeguarded are to be full partners in its identification and management</w:t>
      </w:r>
      <w:r w:rsidR="004D5993" w:rsidRPr="000F6BCF">
        <w:rPr>
          <w:rFonts w:ascii="Times New Roman" w:hAnsi="Times New Roman"/>
          <w:lang w:val="en-GB"/>
        </w:rPr>
        <w:t xml:space="preserve"> (ICHC, article15)</w:t>
      </w:r>
      <w:r w:rsidRPr="000F6BCF">
        <w:rPr>
          <w:rFonts w:ascii="Times New Roman" w:hAnsi="Times New Roman"/>
          <w:lang w:val="en-GB"/>
        </w:rPr>
        <w:t xml:space="preserve">. In describing this as ‘an extraordinary bottom-up, grass roots participatory provision’, Kurin </w:t>
      </w:r>
      <w:r w:rsidR="006652D7" w:rsidRPr="000F6BCF">
        <w:rPr>
          <w:rFonts w:ascii="Times New Roman" w:hAnsi="Times New Roman"/>
          <w:lang w:val="en-GB"/>
        </w:rPr>
        <w:t xml:space="preserve">(2007:14) </w:t>
      </w:r>
      <w:r w:rsidRPr="000F6BCF">
        <w:rPr>
          <w:rFonts w:ascii="Times New Roman" w:hAnsi="Times New Roman"/>
          <w:lang w:val="en-GB"/>
        </w:rPr>
        <w:t>noted that:</w:t>
      </w:r>
    </w:p>
    <w:p w14:paraId="53FAE009" w14:textId="77777777" w:rsidR="00DB555C" w:rsidRPr="000F6BCF" w:rsidRDefault="00DB555C" w:rsidP="00B251CF">
      <w:pPr>
        <w:widowControl w:val="0"/>
        <w:autoSpaceDE w:val="0"/>
        <w:autoSpaceDN w:val="0"/>
        <w:adjustRightInd w:val="0"/>
        <w:jc w:val="both"/>
        <w:rPr>
          <w:rFonts w:ascii="Times New Roman" w:hAnsi="Times New Roman"/>
          <w:u w:color="0000E9"/>
        </w:rPr>
      </w:pPr>
    </w:p>
    <w:p w14:paraId="5A71ACE2" w14:textId="77777777" w:rsidR="00DB555C" w:rsidRPr="000F6BCF" w:rsidRDefault="00DB555C" w:rsidP="00B251CF">
      <w:pPr>
        <w:widowControl w:val="0"/>
        <w:autoSpaceDE w:val="0"/>
        <w:autoSpaceDN w:val="0"/>
        <w:adjustRightInd w:val="0"/>
        <w:ind w:left="709" w:right="610"/>
        <w:jc w:val="both"/>
        <w:rPr>
          <w:rFonts w:ascii="Times New Roman" w:hAnsi="Times New Roman"/>
          <w:u w:color="0000E9"/>
        </w:rPr>
      </w:pPr>
      <w:r w:rsidRPr="000F6BCF">
        <w:rPr>
          <w:rFonts w:ascii="Times New Roman" w:hAnsi="Times New Roman"/>
        </w:rPr>
        <w:t>it is not the songs sung in any recreated or imitative form - no matter how well meaning or how literally correct - by scholars, or performers, or members of some other community. It is the singing of the songs by the members of the very community who regard those songs as theirs, and indicative of their identity as a cultural group. It is the singing by the people who nurtured the traditions and who will, in all probability, transmit those songs to the next generation</w:t>
      </w:r>
      <w:r w:rsidR="006652D7" w:rsidRPr="000F6BCF">
        <w:rPr>
          <w:rFonts w:ascii="Times New Roman" w:hAnsi="Times New Roman"/>
          <w:lang w:val="en-GB"/>
        </w:rPr>
        <w:t xml:space="preserve">. </w:t>
      </w:r>
    </w:p>
    <w:p w14:paraId="56023E5B" w14:textId="77777777" w:rsidR="00DB555C" w:rsidRPr="000F6BCF" w:rsidRDefault="00DB555C" w:rsidP="00B251CF">
      <w:pPr>
        <w:pStyle w:val="ColorfulList-Accent11"/>
        <w:widowControl w:val="0"/>
        <w:ind w:left="0" w:right="78"/>
        <w:jc w:val="both"/>
        <w:rPr>
          <w:rFonts w:ascii="Times New Roman" w:hAnsi="Times New Roman"/>
          <w:lang w:val="en-GB"/>
        </w:rPr>
      </w:pPr>
    </w:p>
    <w:p w14:paraId="2F1F043F" w14:textId="77777777" w:rsidR="00DB555C" w:rsidRPr="000F6BCF" w:rsidRDefault="00DB555C" w:rsidP="00B251CF">
      <w:pPr>
        <w:pStyle w:val="ColorfulList-Accent11"/>
        <w:widowControl w:val="0"/>
        <w:ind w:left="0" w:right="78"/>
        <w:jc w:val="both"/>
        <w:rPr>
          <w:rFonts w:ascii="Times New Roman" w:hAnsi="Times New Roman"/>
          <w:lang w:val="en-GB"/>
        </w:rPr>
      </w:pPr>
      <w:r w:rsidRPr="000F6BCF">
        <w:rPr>
          <w:rFonts w:ascii="Times New Roman" w:hAnsi="Times New Roman"/>
          <w:lang w:val="en-GB"/>
        </w:rPr>
        <w:t xml:space="preserve">Others have argued that the focus on community means that the values held by groups, and the individuals that make up those communities, should form a part of what is valued in ICH, including what makes individuals human. ICH is thus “composed of deeper, underlying values such as teamwork and generosity, as well as significance that stems from senses of belonging and pride,” and “elements such as emotions, values and memories should also be placed within the concept of the </w:t>
      </w:r>
      <w:r w:rsidR="0043081F" w:rsidRPr="000F6BCF">
        <w:rPr>
          <w:rFonts w:ascii="Times New Roman" w:hAnsi="Times New Roman"/>
          <w:lang w:val="en-GB"/>
        </w:rPr>
        <w:t>intangible</w:t>
      </w:r>
      <w:r w:rsidRPr="000F6BCF">
        <w:rPr>
          <w:rFonts w:ascii="Times New Roman" w:hAnsi="Times New Roman"/>
          <w:lang w:val="en-GB"/>
        </w:rPr>
        <w:t>”</w:t>
      </w:r>
      <w:r w:rsidR="0043081F" w:rsidRPr="000F6BCF">
        <w:rPr>
          <w:rFonts w:ascii="Times New Roman" w:hAnsi="Times New Roman"/>
          <w:lang w:val="en-GB"/>
        </w:rPr>
        <w:t>(Stefano 2012:19).</w:t>
      </w:r>
      <w:r w:rsidRPr="000F6BCF">
        <w:rPr>
          <w:rFonts w:ascii="Times New Roman" w:hAnsi="Times New Roman"/>
          <w:lang w:val="en-GB"/>
        </w:rPr>
        <w:t xml:space="preserve"> Looking more broadly, this breadth of perspective enhances cultural enrichment for communities and society as a whole. T</w:t>
      </w:r>
      <w:r w:rsidRPr="000F6BCF">
        <w:rPr>
          <w:rFonts w:ascii="Times New Roman" w:hAnsi="Times New Roman"/>
        </w:rPr>
        <w:t xml:space="preserve">he ICHC is instrumental in encouraging openness towards different cultures and respect for cultural diversity, and in </w:t>
      </w:r>
      <w:r w:rsidRPr="000F6BCF">
        <w:rPr>
          <w:rFonts w:ascii="Times New Roman" w:hAnsi="Times New Roman"/>
          <w:lang w:val="en-GB"/>
        </w:rPr>
        <w:t>maximising the creative potential and evolution of cultural memory and the opportunity to inspire new cultural initiatives</w:t>
      </w:r>
      <w:r w:rsidR="00ED1D74" w:rsidRPr="000F6BCF">
        <w:rPr>
          <w:rFonts w:ascii="Times New Roman" w:hAnsi="Times New Roman"/>
          <w:lang w:val="en-GB"/>
        </w:rPr>
        <w:t xml:space="preserve"> (Telesetski and Nafziger</w:t>
      </w:r>
      <w:r w:rsidR="00980732" w:rsidRPr="000F6BCF">
        <w:rPr>
          <w:rFonts w:ascii="Times New Roman" w:hAnsi="Times New Roman"/>
          <w:lang w:val="en-GB"/>
        </w:rPr>
        <w:t xml:space="preserve"> 2014</w:t>
      </w:r>
      <w:r w:rsidR="00315BCE" w:rsidRPr="000F6BCF">
        <w:rPr>
          <w:rFonts w:ascii="Times New Roman" w:hAnsi="Times New Roman"/>
          <w:lang w:val="en-GB"/>
        </w:rPr>
        <w:t xml:space="preserve">; </w:t>
      </w:r>
      <w:r w:rsidR="00315BCE" w:rsidRPr="000F6BCF">
        <w:rPr>
          <w:rFonts w:ascii="Times New Roman" w:hAnsi="Times New Roman"/>
          <w:color w:val="222222"/>
          <w:shd w:val="clear" w:color="auto" w:fill="FFFFFF"/>
        </w:rPr>
        <w:t>Vadi and Schneider 2014</w:t>
      </w:r>
      <w:r w:rsidR="00980732" w:rsidRPr="000F6BCF">
        <w:rPr>
          <w:rFonts w:ascii="Times New Roman" w:hAnsi="Times New Roman"/>
          <w:lang w:val="en-GB"/>
        </w:rPr>
        <w:t>).</w:t>
      </w:r>
    </w:p>
    <w:p w14:paraId="53F2C0E6" w14:textId="77777777" w:rsidR="00DB555C" w:rsidRPr="000F6BCF" w:rsidRDefault="00DB555C" w:rsidP="00B251CF">
      <w:pPr>
        <w:pStyle w:val="ColorfulList-Accent11"/>
        <w:widowControl w:val="0"/>
        <w:ind w:left="0" w:right="78"/>
        <w:jc w:val="both"/>
        <w:rPr>
          <w:rFonts w:ascii="Times New Roman" w:hAnsi="Times New Roman"/>
          <w:lang w:val="en-GB"/>
        </w:rPr>
      </w:pPr>
    </w:p>
    <w:p w14:paraId="22DF137E" w14:textId="028F47D4" w:rsidR="00DB555C" w:rsidRPr="000F6BCF" w:rsidRDefault="00DB555C" w:rsidP="00B251CF">
      <w:pPr>
        <w:pStyle w:val="ColorfulList-Accent11"/>
        <w:widowControl w:val="0"/>
        <w:ind w:left="0" w:right="78"/>
        <w:jc w:val="both"/>
        <w:rPr>
          <w:rFonts w:ascii="Times New Roman" w:hAnsi="Times New Roman"/>
          <w:lang w:val="en-GB"/>
        </w:rPr>
      </w:pPr>
      <w:r w:rsidRPr="000F6BCF">
        <w:rPr>
          <w:rFonts w:ascii="Times New Roman" w:hAnsi="Times New Roman"/>
          <w:lang w:val="en-GB"/>
        </w:rPr>
        <w:t>This final perspective is a reminder of the multi-faceted nature of recognising and safeguarding ICH. ICH is part of the living heritage of its “own” community and this community will have a role in managing it; this is in marked contrast to the universal focus of tangible cultural heritage. Further, this community is unlikely to equate to all the citizens of one country and may cross borders, yet the obligations under the ICH are imposed upon states. Finally, notwithstanding its local (non universal) element, ICH is also part of the wider cultural space and experience of other communities and of global society, including as part of the universal nature of the human rights framework</w:t>
      </w:r>
      <w:r w:rsidR="00B92940" w:rsidRPr="000F6BCF">
        <w:rPr>
          <w:rFonts w:ascii="Times New Roman" w:hAnsi="Times New Roman"/>
          <w:lang w:val="en-GB"/>
        </w:rPr>
        <w:t xml:space="preserve"> (Blake 2000:61-85; Lenzerini 2011)</w:t>
      </w:r>
      <w:r w:rsidRPr="000F6BCF">
        <w:rPr>
          <w:rFonts w:ascii="Times New Roman" w:hAnsi="Times New Roman"/>
          <w:lang w:val="en-GB"/>
        </w:rPr>
        <w:t>.</w:t>
      </w:r>
    </w:p>
    <w:p w14:paraId="62FB9DBE" w14:textId="77777777" w:rsidR="00DB555C" w:rsidRPr="000F6BCF" w:rsidRDefault="00DB555C" w:rsidP="00B251CF">
      <w:pPr>
        <w:pStyle w:val="ColorfulList-Accent11"/>
        <w:widowControl w:val="0"/>
        <w:ind w:left="0" w:right="78"/>
        <w:jc w:val="both"/>
        <w:rPr>
          <w:rFonts w:ascii="Times New Roman" w:hAnsi="Times New Roman"/>
          <w:lang w:val="en-GB"/>
        </w:rPr>
      </w:pPr>
    </w:p>
    <w:p w14:paraId="69DF5B1C" w14:textId="77777777" w:rsidR="00DB555C" w:rsidRPr="000F6BCF" w:rsidRDefault="006F1E3F" w:rsidP="00B251CF">
      <w:pPr>
        <w:pStyle w:val="ColorfulList-Accent11"/>
        <w:widowControl w:val="0"/>
        <w:ind w:left="0" w:right="78"/>
        <w:jc w:val="both"/>
        <w:rPr>
          <w:rFonts w:ascii="Times New Roman" w:hAnsi="Times New Roman"/>
          <w:lang w:val="en-GB"/>
        </w:rPr>
      </w:pPr>
      <w:r w:rsidRPr="000F6BCF">
        <w:rPr>
          <w:rFonts w:ascii="Times New Roman" w:hAnsi="Times New Roman"/>
          <w:lang w:val="en-GB"/>
        </w:rPr>
        <w:t>The</w:t>
      </w:r>
      <w:r w:rsidR="00DB555C" w:rsidRPr="000F6BCF">
        <w:rPr>
          <w:rFonts w:ascii="Times New Roman" w:hAnsi="Times New Roman"/>
        </w:rPr>
        <w:t xml:space="preserve"> creation of </w:t>
      </w:r>
      <w:r w:rsidRPr="000F6BCF">
        <w:rPr>
          <w:rFonts w:ascii="Times New Roman" w:hAnsi="Times New Roman"/>
        </w:rPr>
        <w:t>this framework</w:t>
      </w:r>
      <w:r w:rsidR="00DB555C" w:rsidRPr="000F6BCF">
        <w:rPr>
          <w:rFonts w:ascii="Times New Roman" w:hAnsi="Times New Roman"/>
        </w:rPr>
        <w:t xml:space="preserve"> </w:t>
      </w:r>
      <w:r w:rsidR="001F27F4" w:rsidRPr="000F6BCF">
        <w:rPr>
          <w:rFonts w:ascii="Times New Roman" w:hAnsi="Times New Roman"/>
        </w:rPr>
        <w:t>is</w:t>
      </w:r>
      <w:r w:rsidR="00DB555C" w:rsidRPr="000F6BCF">
        <w:rPr>
          <w:rFonts w:ascii="Times New Roman" w:hAnsi="Times New Roman"/>
        </w:rPr>
        <w:t xml:space="preserve"> a valuable </w:t>
      </w:r>
      <w:r w:rsidRPr="000F6BCF">
        <w:rPr>
          <w:rFonts w:ascii="Times New Roman" w:hAnsi="Times New Roman"/>
        </w:rPr>
        <w:t>step forward for ICH in general, and</w:t>
      </w:r>
      <w:r w:rsidR="00DB555C" w:rsidRPr="000F6BCF">
        <w:rPr>
          <w:rFonts w:ascii="Times New Roman" w:hAnsi="Times New Roman"/>
        </w:rPr>
        <w:t xml:space="preserve"> we consider it to be essential, in order to avoid further marginalisation, that disabled dance is </w:t>
      </w:r>
      <w:r w:rsidRPr="000F6BCF">
        <w:rPr>
          <w:rFonts w:ascii="Times New Roman" w:hAnsi="Times New Roman"/>
        </w:rPr>
        <w:t>recognized as a</w:t>
      </w:r>
      <w:r w:rsidR="00DB555C" w:rsidRPr="000F6BCF">
        <w:rPr>
          <w:rFonts w:ascii="Times New Roman" w:hAnsi="Times New Roman"/>
        </w:rPr>
        <w:t xml:space="preserve"> part of it. </w:t>
      </w:r>
    </w:p>
    <w:p w14:paraId="38B74040" w14:textId="77777777" w:rsidR="00DB555C" w:rsidRPr="000F6BCF" w:rsidRDefault="00DB555C" w:rsidP="00B251CF">
      <w:pPr>
        <w:pStyle w:val="ColorfulList-Accent11"/>
        <w:widowControl w:val="0"/>
        <w:ind w:left="0" w:right="78" w:firstLine="720"/>
        <w:jc w:val="both"/>
        <w:rPr>
          <w:rFonts w:ascii="Times New Roman" w:hAnsi="Times New Roman"/>
          <w:lang w:val="en-GB"/>
        </w:rPr>
      </w:pPr>
    </w:p>
    <w:p w14:paraId="6928B37C" w14:textId="77777777" w:rsidR="00DB555C" w:rsidRPr="000F6BCF" w:rsidRDefault="00DB555C" w:rsidP="00B251CF">
      <w:pPr>
        <w:pStyle w:val="ColorfulList-Accent11"/>
        <w:widowControl w:val="0"/>
        <w:ind w:left="0" w:right="78"/>
        <w:jc w:val="both"/>
        <w:rPr>
          <w:rFonts w:ascii="Times New Roman" w:hAnsi="Times New Roman"/>
          <w:b/>
          <w:lang w:val="en-GB"/>
        </w:rPr>
      </w:pPr>
    </w:p>
    <w:p w14:paraId="597A8CE3" w14:textId="77777777" w:rsidR="00DB555C" w:rsidRPr="000F6BCF" w:rsidRDefault="00DB555C" w:rsidP="00B251CF">
      <w:pPr>
        <w:pStyle w:val="ColorfulList-Accent11"/>
        <w:widowControl w:val="0"/>
        <w:ind w:left="0" w:right="78"/>
        <w:jc w:val="both"/>
        <w:rPr>
          <w:rFonts w:ascii="Times New Roman" w:hAnsi="Times New Roman"/>
          <w:b/>
          <w:lang w:val="en-GB"/>
        </w:rPr>
      </w:pPr>
      <w:r w:rsidRPr="000F6BCF">
        <w:rPr>
          <w:rFonts w:ascii="Times New Roman" w:hAnsi="Times New Roman"/>
          <w:b/>
          <w:lang w:val="en-GB"/>
        </w:rPr>
        <w:t>Making dance part of Intangible Cultural Heritage</w:t>
      </w:r>
    </w:p>
    <w:p w14:paraId="4D7BCF6F" w14:textId="77777777" w:rsidR="00DB555C" w:rsidRPr="000F6BCF" w:rsidRDefault="00DB555C" w:rsidP="00B251CF">
      <w:pPr>
        <w:pStyle w:val="ColorfulList-Accent11"/>
        <w:widowControl w:val="0"/>
        <w:ind w:left="0" w:right="78" w:firstLine="720"/>
        <w:jc w:val="both"/>
        <w:rPr>
          <w:rFonts w:ascii="Times New Roman" w:hAnsi="Times New Roman"/>
          <w:lang w:val="en-GB"/>
        </w:rPr>
      </w:pPr>
    </w:p>
    <w:p w14:paraId="21D1AF8A" w14:textId="77777777" w:rsidR="00DB555C" w:rsidRPr="000F6BCF" w:rsidRDefault="00DB555C" w:rsidP="00B251CF">
      <w:pPr>
        <w:pStyle w:val="ColorfulList-Accent11"/>
        <w:widowControl w:val="0"/>
        <w:ind w:left="0" w:right="78"/>
        <w:jc w:val="both"/>
        <w:rPr>
          <w:rFonts w:ascii="Times New Roman" w:hAnsi="Times New Roman"/>
        </w:rPr>
      </w:pPr>
      <w:r w:rsidRPr="000F6BCF">
        <w:rPr>
          <w:rFonts w:ascii="Times New Roman" w:hAnsi="Times New Roman"/>
          <w:lang w:val="en-GB"/>
        </w:rPr>
        <w:t xml:space="preserve">Historically, the way in which something became an ‘authorised’ part of cultural heritage was by it entering the records of (mostly public) institutions charged with the task of recording, curating and preserving our past. </w:t>
      </w:r>
      <w:r w:rsidRPr="000F6BCF">
        <w:rPr>
          <w:rFonts w:ascii="Times New Roman" w:hAnsi="Times New Roman"/>
        </w:rPr>
        <w:t xml:space="preserve">Disabled dance is conspicuous by its absence from these records, and what records there are appear to be woefully incomplete. For example, while the </w:t>
      </w:r>
      <w:r w:rsidR="006F012C" w:rsidRPr="000F6BCF">
        <w:rPr>
          <w:rFonts w:ascii="Times New Roman" w:hAnsi="Times New Roman"/>
        </w:rPr>
        <w:t>V&amp;A</w:t>
      </w:r>
      <w:r w:rsidRPr="000F6BCF">
        <w:rPr>
          <w:rFonts w:ascii="Times New Roman" w:hAnsi="Times New Roman"/>
        </w:rPr>
        <w:t xml:space="preserve"> has some records of a very small number of dancers with disabilities at various times in history, these dancers </w:t>
      </w:r>
      <w:r w:rsidRPr="000F6BCF">
        <w:rPr>
          <w:rFonts w:ascii="Times New Roman" w:hAnsi="Times New Roman"/>
        </w:rPr>
        <w:lastRenderedPageBreak/>
        <w:t>are rarely named and tend to be referred to by their disability (e.g., ‘dancer with one hand’),</w:t>
      </w:r>
      <w:r w:rsidRPr="000F6BCF">
        <w:rPr>
          <w:rStyle w:val="FootnoteReference"/>
          <w:rFonts w:ascii="Times New Roman" w:hAnsi="Times New Roman"/>
        </w:rPr>
        <w:footnoteReference w:id="6"/>
      </w:r>
      <w:r w:rsidRPr="000F6BCF">
        <w:rPr>
          <w:rFonts w:ascii="Times New Roman" w:hAnsi="Times New Roman"/>
        </w:rPr>
        <w:t xml:space="preserve"> an approach that underscores our trepidation about using the term ‘disabled dance’.</w:t>
      </w:r>
    </w:p>
    <w:p w14:paraId="04480F49" w14:textId="77777777" w:rsidR="00DB555C" w:rsidRPr="000F6BCF" w:rsidRDefault="00DB555C" w:rsidP="00B251CF">
      <w:pPr>
        <w:pStyle w:val="ColorfulList-Accent11"/>
        <w:widowControl w:val="0"/>
        <w:ind w:left="0" w:right="78"/>
        <w:jc w:val="both"/>
        <w:rPr>
          <w:rFonts w:ascii="Times New Roman" w:hAnsi="Times New Roman"/>
          <w:lang w:val="en-GB"/>
        </w:rPr>
      </w:pPr>
    </w:p>
    <w:p w14:paraId="5B7F284D" w14:textId="77777777" w:rsidR="00DB555C" w:rsidRPr="000F6BCF" w:rsidRDefault="00DB555C" w:rsidP="00B251CF">
      <w:pPr>
        <w:pStyle w:val="ColorfulList-Accent11"/>
        <w:widowControl w:val="0"/>
        <w:ind w:left="0" w:right="78"/>
        <w:jc w:val="both"/>
        <w:rPr>
          <w:rFonts w:ascii="Times New Roman" w:hAnsi="Times New Roman"/>
          <w:lang w:val="en-GB"/>
        </w:rPr>
      </w:pPr>
      <w:r w:rsidRPr="000F6BCF">
        <w:rPr>
          <w:rFonts w:ascii="Times New Roman" w:hAnsi="Times New Roman"/>
          <w:lang w:val="en-GB"/>
        </w:rPr>
        <w:t xml:space="preserve">However, the focus in the ICHC on living heritage should mark a radical change in thinking towards disabled dance; an emphasis on living heritage means that an historical absence from archives and museums is no legitimate bar to recognition of something as a proper, important, and valued component of living heritage. In other words, under the modern regime, historical marginalisation is not a bar to recognition of disabled dance as part of our ICH; the key issue is for disabled dance to satisfy the definition. Thus, while disabled dance is obviously </w:t>
      </w:r>
      <w:r w:rsidRPr="000F6BCF">
        <w:rPr>
          <w:rFonts w:ascii="Times New Roman" w:hAnsi="Times New Roman"/>
          <w:u w:color="0000E9"/>
        </w:rPr>
        <w:t xml:space="preserve">an intangible art form, we must inquire whether it meets the other necessary criteria within the ICHC: transmitted across generations, constantly recreated by communities, and, at its heart and as discussed above, providing a sense of identity and continuity for </w:t>
      </w:r>
      <w:r w:rsidRPr="000F6BCF">
        <w:rPr>
          <w:rFonts w:ascii="Times New Roman" w:hAnsi="Times New Roman"/>
          <w:lang w:val="en-GB"/>
        </w:rPr>
        <w:t>‘the individual groups and communities that embody, practise and transmit’ the ICH</w:t>
      </w:r>
      <w:r w:rsidR="00066860" w:rsidRPr="000F6BCF">
        <w:rPr>
          <w:rFonts w:ascii="Times New Roman" w:hAnsi="Times New Roman"/>
          <w:lang w:val="en-GB"/>
        </w:rPr>
        <w:t xml:space="preserve"> (ICHC</w:t>
      </w:r>
      <w:r w:rsidR="002F00C7" w:rsidRPr="000F6BCF">
        <w:rPr>
          <w:rFonts w:ascii="Times New Roman" w:hAnsi="Times New Roman"/>
          <w:lang w:val="en-GB"/>
        </w:rPr>
        <w:t>, Article 15).</w:t>
      </w:r>
      <w:r w:rsidRPr="000F6BCF">
        <w:rPr>
          <w:rStyle w:val="FootnoteReference"/>
          <w:rFonts w:ascii="Times New Roman" w:hAnsi="Times New Roman"/>
          <w:lang w:val="en-GB"/>
        </w:rPr>
        <w:footnoteReference w:id="7"/>
      </w:r>
      <w:r w:rsidRPr="000F6BCF">
        <w:rPr>
          <w:rFonts w:ascii="Times New Roman" w:hAnsi="Times New Roman"/>
          <w:lang w:val="en-GB"/>
        </w:rPr>
        <w:t xml:space="preserve"> Other work in this project, and the points made at the start of this chapter, suggest that there is at least some transmission across generations, and that disabled dance is constantly being recreated</w:t>
      </w:r>
      <w:r w:rsidR="002F00C7" w:rsidRPr="000F6BCF">
        <w:rPr>
          <w:rFonts w:ascii="Times New Roman" w:hAnsi="Times New Roman"/>
          <w:lang w:val="en-GB"/>
        </w:rPr>
        <w:t xml:space="preserve"> (Harmon et al. 2015).</w:t>
      </w:r>
      <w:r w:rsidRPr="000F6BCF">
        <w:rPr>
          <w:rFonts w:ascii="Times New Roman" w:hAnsi="Times New Roman"/>
          <w:lang w:val="en-GB"/>
        </w:rPr>
        <w:t xml:space="preserve">The focus of this chapter then, is the need for a sense of identity in those who practice the customs and traditions in question, </w:t>
      </w:r>
      <w:r w:rsidR="006F1E3F" w:rsidRPr="000F6BCF">
        <w:rPr>
          <w:rFonts w:ascii="Times New Roman" w:hAnsi="Times New Roman"/>
          <w:lang w:val="en-GB"/>
        </w:rPr>
        <w:t xml:space="preserve">and </w:t>
      </w:r>
      <w:r w:rsidRPr="000F6BCF">
        <w:rPr>
          <w:rFonts w:ascii="Times New Roman" w:hAnsi="Times New Roman"/>
          <w:lang w:val="en-GB"/>
        </w:rPr>
        <w:t>which shifts as cultural practices are reworked by communities. This sense of identity is also essential to the grounding of individual dignity</w:t>
      </w:r>
      <w:r w:rsidR="006F1E3F" w:rsidRPr="000F6BCF">
        <w:rPr>
          <w:rFonts w:ascii="Times New Roman" w:hAnsi="Times New Roman"/>
          <w:lang w:val="en-GB"/>
        </w:rPr>
        <w:t>,</w:t>
      </w:r>
      <w:r w:rsidRPr="000F6BCF">
        <w:rPr>
          <w:rFonts w:ascii="Times New Roman" w:hAnsi="Times New Roman"/>
          <w:lang w:val="en-GB"/>
        </w:rPr>
        <w:t xml:space="preserve"> the facilitation of self-confidence, and the formation of community - each of which are deeply entrenched ideas in the human rights system within which ICHC exists</w:t>
      </w:r>
      <w:r w:rsidR="00B376D2" w:rsidRPr="000F6BCF">
        <w:rPr>
          <w:rFonts w:ascii="Times New Roman" w:hAnsi="Times New Roman"/>
          <w:lang w:val="en-GB"/>
        </w:rPr>
        <w:t xml:space="preserve"> (</w:t>
      </w:r>
      <w:r w:rsidR="006652D7" w:rsidRPr="000F6BCF">
        <w:rPr>
          <w:rFonts w:ascii="Times New Roman" w:hAnsi="Times New Roman"/>
          <w:color w:val="191919"/>
          <w:u w:color="0000E9"/>
        </w:rPr>
        <w:t>InVisible Difference Symposium video 2014:1:04:30;</w:t>
      </w:r>
      <w:r w:rsidR="00B376D2" w:rsidRPr="000F6BCF">
        <w:rPr>
          <w:rFonts w:ascii="Times New Roman" w:hAnsi="Times New Roman"/>
          <w:lang w:val="en-GB"/>
        </w:rPr>
        <w:t xml:space="preserve"> </w:t>
      </w:r>
      <w:r w:rsidR="00584DDC" w:rsidRPr="000F6BCF">
        <w:rPr>
          <w:rFonts w:ascii="Times New Roman" w:hAnsi="Times New Roman"/>
          <w:lang w:val="en-GB"/>
        </w:rPr>
        <w:t xml:space="preserve">and </w:t>
      </w:r>
      <w:r w:rsidR="00B376D2" w:rsidRPr="000F6BCF">
        <w:rPr>
          <w:rFonts w:ascii="Times New Roman" w:hAnsi="Times New Roman"/>
          <w:lang w:val="en-GB"/>
        </w:rPr>
        <w:t>ICHC Art 15)</w:t>
      </w:r>
      <w:r w:rsidRPr="000F6BCF">
        <w:rPr>
          <w:rFonts w:ascii="Times New Roman" w:hAnsi="Times New Roman"/>
          <w:lang w:val="en-GB"/>
        </w:rPr>
        <w:t xml:space="preserve">.  We contend that the disabled dance community </w:t>
      </w:r>
      <w:r w:rsidRPr="000F6BCF">
        <w:rPr>
          <w:rFonts w:ascii="Times New Roman" w:hAnsi="Times New Roman"/>
          <w:i/>
          <w:lang w:val="en-GB"/>
        </w:rPr>
        <w:t>is</w:t>
      </w:r>
      <w:r w:rsidRPr="000F6BCF">
        <w:rPr>
          <w:rFonts w:ascii="Times New Roman" w:hAnsi="Times New Roman"/>
          <w:lang w:val="en-GB"/>
        </w:rPr>
        <w:t xml:space="preserve"> a community with an identity for the purposes of ICHC. </w:t>
      </w:r>
    </w:p>
    <w:p w14:paraId="383A086F" w14:textId="77777777" w:rsidR="00DB555C" w:rsidRPr="000F6BCF" w:rsidRDefault="00DB555C" w:rsidP="00B251CF">
      <w:pPr>
        <w:pStyle w:val="ColorfulList-Accent11"/>
        <w:widowControl w:val="0"/>
        <w:ind w:left="0" w:right="78"/>
        <w:jc w:val="both"/>
        <w:rPr>
          <w:rFonts w:ascii="Times New Roman" w:hAnsi="Times New Roman"/>
          <w:lang w:val="en-GB"/>
        </w:rPr>
      </w:pPr>
    </w:p>
    <w:p w14:paraId="25626AD5" w14:textId="77777777" w:rsidR="00DB555C" w:rsidRPr="000F6BCF" w:rsidRDefault="00DB555C" w:rsidP="00B251CF">
      <w:pPr>
        <w:pStyle w:val="ColorfulList-Accent11"/>
        <w:widowControl w:val="0"/>
        <w:ind w:left="0" w:right="78"/>
        <w:jc w:val="both"/>
        <w:rPr>
          <w:rFonts w:ascii="Times New Roman" w:hAnsi="Times New Roman"/>
          <w:lang w:val="en-GB"/>
        </w:rPr>
      </w:pPr>
      <w:r w:rsidRPr="000F6BCF">
        <w:rPr>
          <w:rFonts w:ascii="Times New Roman" w:hAnsi="Times New Roman"/>
          <w:lang w:val="en-GB"/>
        </w:rPr>
        <w:t>To support this assertion, we develop the second aim of this chapter - articulating a foundational concept, around which disabled dance can coalesce. This would also help to fill that gap referred to in the quote at the outset: ‘disability remains … [an] under-theorised area in dance studies’</w:t>
      </w:r>
      <w:r w:rsidR="005C664B" w:rsidRPr="000F6BCF">
        <w:rPr>
          <w:rFonts w:ascii="Times New Roman" w:hAnsi="Times New Roman"/>
          <w:lang w:val="en-GB"/>
        </w:rPr>
        <w:t xml:space="preserve"> (Albright Copper and Brandstetter 2015:5)</w:t>
      </w:r>
      <w:r w:rsidRPr="000F6BCF">
        <w:rPr>
          <w:rFonts w:ascii="Times New Roman" w:hAnsi="Times New Roman"/>
          <w:lang w:val="en-GB"/>
        </w:rPr>
        <w:t xml:space="preserve">.  </w:t>
      </w:r>
      <w:r w:rsidRPr="000F6BCF">
        <w:rPr>
          <w:rFonts w:ascii="Times New Roman" w:hAnsi="Times New Roman"/>
        </w:rPr>
        <w:t xml:space="preserve">An example of the link between a foundational concept and a community can be seen from what might seem to be a related field: Disability Arts. Disability Arts is in fact a quite distinct community and has an identity because of the philosophy </w:t>
      </w:r>
      <w:r w:rsidR="006F1E3F" w:rsidRPr="000F6BCF">
        <w:rPr>
          <w:rFonts w:ascii="Times New Roman" w:hAnsi="Times New Roman"/>
        </w:rPr>
        <w:t>that</w:t>
      </w:r>
      <w:r w:rsidRPr="000F6BCF">
        <w:rPr>
          <w:rFonts w:ascii="Times New Roman" w:hAnsi="Times New Roman"/>
        </w:rPr>
        <w:t xml:space="preserve"> underpin</w:t>
      </w:r>
      <w:r w:rsidR="006F012C" w:rsidRPr="000F6BCF">
        <w:rPr>
          <w:rFonts w:ascii="Times New Roman" w:hAnsi="Times New Roman"/>
        </w:rPr>
        <w:t>s</w:t>
      </w:r>
      <w:r w:rsidRPr="000F6BCF">
        <w:rPr>
          <w:rFonts w:ascii="Times New Roman" w:hAnsi="Times New Roman"/>
        </w:rPr>
        <w:t xml:space="preserve"> </w:t>
      </w:r>
      <w:r w:rsidR="006F1E3F" w:rsidRPr="000F6BCF">
        <w:rPr>
          <w:rFonts w:ascii="Times New Roman" w:hAnsi="Times New Roman"/>
        </w:rPr>
        <w:t xml:space="preserve">it, </w:t>
      </w:r>
      <w:r w:rsidRPr="000F6BCF">
        <w:rPr>
          <w:rFonts w:ascii="Times New Roman" w:hAnsi="Times New Roman"/>
        </w:rPr>
        <w:t>and which has been adopted by this group</w:t>
      </w:r>
      <w:r w:rsidRPr="000F6BCF">
        <w:rPr>
          <w:rFonts w:ascii="Times New Roman" w:hAnsi="Times New Roman"/>
          <w:b/>
        </w:rPr>
        <w:t>.</w:t>
      </w:r>
    </w:p>
    <w:p w14:paraId="4BA9456B" w14:textId="77777777" w:rsidR="00DB555C" w:rsidRPr="000F6BCF" w:rsidRDefault="00DB555C" w:rsidP="00B251CF">
      <w:pPr>
        <w:pStyle w:val="ColorfulList-Accent11"/>
        <w:widowControl w:val="0"/>
        <w:ind w:left="0" w:right="78"/>
        <w:jc w:val="both"/>
        <w:rPr>
          <w:rFonts w:ascii="Times New Roman" w:hAnsi="Times New Roman"/>
          <w:lang w:val="en-GB"/>
        </w:rPr>
      </w:pPr>
    </w:p>
    <w:p w14:paraId="37D9041F" w14:textId="77777777" w:rsidR="00DB555C" w:rsidRPr="000F6BCF" w:rsidRDefault="00DB555C" w:rsidP="00B251CF">
      <w:pPr>
        <w:widowControl w:val="0"/>
        <w:autoSpaceDE w:val="0"/>
        <w:autoSpaceDN w:val="0"/>
        <w:adjustRightInd w:val="0"/>
        <w:jc w:val="both"/>
        <w:rPr>
          <w:rFonts w:ascii="Times New Roman" w:hAnsi="Times New Roman"/>
          <w:b/>
        </w:rPr>
      </w:pPr>
      <w:r w:rsidRPr="000F6BCF">
        <w:rPr>
          <w:rFonts w:ascii="Times New Roman" w:hAnsi="Times New Roman"/>
          <w:b/>
        </w:rPr>
        <w:t>Disability Arts Distinguished from Disabled Dance</w:t>
      </w:r>
    </w:p>
    <w:p w14:paraId="1B7FE278" w14:textId="77777777" w:rsidR="00DB555C" w:rsidRPr="000F6BCF" w:rsidRDefault="00DB555C" w:rsidP="00B251CF">
      <w:pPr>
        <w:widowControl w:val="0"/>
        <w:autoSpaceDE w:val="0"/>
        <w:autoSpaceDN w:val="0"/>
        <w:adjustRightInd w:val="0"/>
        <w:jc w:val="both"/>
        <w:rPr>
          <w:rFonts w:ascii="Times New Roman" w:hAnsi="Times New Roman"/>
          <w:b/>
        </w:rPr>
      </w:pPr>
    </w:p>
    <w:p w14:paraId="141FDAD5" w14:textId="77777777" w:rsidR="00DB555C" w:rsidRPr="000F6BCF" w:rsidRDefault="00DB555C" w:rsidP="00B251CF">
      <w:pPr>
        <w:widowControl w:val="0"/>
        <w:autoSpaceDE w:val="0"/>
        <w:autoSpaceDN w:val="0"/>
        <w:adjustRightInd w:val="0"/>
        <w:jc w:val="both"/>
        <w:rPr>
          <w:rFonts w:ascii="Times New Roman" w:hAnsi="Times New Roman"/>
        </w:rPr>
      </w:pPr>
      <w:r w:rsidRPr="000F6BCF">
        <w:rPr>
          <w:rFonts w:ascii="Times New Roman" w:hAnsi="Times New Roman"/>
        </w:rPr>
        <w:t xml:space="preserve">Disability Arts is a movement that formed in the mid-1970s. </w:t>
      </w:r>
      <w:hyperlink r:id="rId8" w:history="1">
        <w:r w:rsidRPr="000F6BCF">
          <w:rPr>
            <w:rFonts w:ascii="Times New Roman" w:hAnsi="Times New Roman"/>
            <w:bCs/>
          </w:rPr>
          <w:t>Sutherland</w:t>
        </w:r>
      </w:hyperlink>
      <w:r w:rsidRPr="000F6BCF">
        <w:rPr>
          <w:rFonts w:ascii="Times New Roman" w:hAnsi="Times New Roman"/>
        </w:rPr>
        <w:t xml:space="preserve"> </w:t>
      </w:r>
      <w:r w:rsidR="006652D7" w:rsidRPr="000F6BCF">
        <w:rPr>
          <w:rFonts w:ascii="Times New Roman" w:hAnsi="Times New Roman"/>
        </w:rPr>
        <w:t>(1989:</w:t>
      </w:r>
      <w:r w:rsidR="00584DDC" w:rsidRPr="000F6BCF">
        <w:rPr>
          <w:rFonts w:ascii="Times New Roman" w:hAnsi="Times New Roman"/>
        </w:rPr>
        <w:t>159</w:t>
      </w:r>
      <w:r w:rsidR="006652D7" w:rsidRPr="000F6BCF">
        <w:rPr>
          <w:rFonts w:ascii="Times New Roman" w:hAnsi="Times New Roman"/>
        </w:rPr>
        <w:t xml:space="preserve">) </w:t>
      </w:r>
      <w:r w:rsidRPr="000F6BCF">
        <w:rPr>
          <w:rFonts w:ascii="Times New Roman" w:hAnsi="Times New Roman"/>
        </w:rPr>
        <w:t>describes Disability Art as “art made by disabled people which reflects the experience of disabilit</w:t>
      </w:r>
      <w:r w:rsidR="00237575" w:rsidRPr="000F6BCF">
        <w:rPr>
          <w:rFonts w:ascii="Times New Roman" w:hAnsi="Times New Roman"/>
        </w:rPr>
        <w:t>y”</w:t>
      </w:r>
      <w:r w:rsidR="006652D7" w:rsidRPr="000F6BCF">
        <w:rPr>
          <w:rFonts w:ascii="Times New Roman" w:hAnsi="Times New Roman"/>
          <w:lang w:val="en-GB"/>
        </w:rPr>
        <w:t xml:space="preserve">. </w:t>
      </w:r>
      <w:r w:rsidRPr="000F6BCF">
        <w:rPr>
          <w:rFonts w:ascii="Times New Roman" w:hAnsi="Times New Roman"/>
        </w:rPr>
        <w:t>He also suggests that disability politics was central to its emergence, and that without disability politics, Disability Art may not be what it is now:</w:t>
      </w:r>
    </w:p>
    <w:p w14:paraId="251ACA90" w14:textId="77777777" w:rsidR="00DB555C" w:rsidRPr="000F6BCF" w:rsidRDefault="00DB555C" w:rsidP="00B251CF">
      <w:pPr>
        <w:widowControl w:val="0"/>
        <w:autoSpaceDE w:val="0"/>
        <w:autoSpaceDN w:val="0"/>
        <w:adjustRightInd w:val="0"/>
        <w:jc w:val="both"/>
        <w:rPr>
          <w:rFonts w:ascii="Times New Roman" w:hAnsi="Times New Roman"/>
        </w:rPr>
      </w:pPr>
    </w:p>
    <w:p w14:paraId="0FD9BE19" w14:textId="77777777" w:rsidR="00DB555C" w:rsidRPr="000F6BCF" w:rsidRDefault="00DB555C" w:rsidP="00B251CF">
      <w:pPr>
        <w:widowControl w:val="0"/>
        <w:autoSpaceDE w:val="0"/>
        <w:autoSpaceDN w:val="0"/>
        <w:adjustRightInd w:val="0"/>
        <w:ind w:left="709" w:right="610"/>
        <w:jc w:val="both"/>
        <w:rPr>
          <w:rFonts w:ascii="Times New Roman" w:hAnsi="Times New Roman"/>
        </w:rPr>
      </w:pPr>
      <w:r w:rsidRPr="000F6BCF">
        <w:rPr>
          <w:rFonts w:ascii="Times New Roman" w:hAnsi="Times New Roman"/>
        </w:rPr>
        <w:t>I don’t think disability arts would have happened without disability politics coming first… Our politics teach us that we are oppressed, not inferior… Our politics have given us self-esteem. They have taught us, not simply to value ourselves, but to value ourselves as disabled people.</w:t>
      </w:r>
      <w:r w:rsidR="006652D7" w:rsidRPr="000F6BCF">
        <w:rPr>
          <w:rFonts w:ascii="Times New Roman" w:hAnsi="Times New Roman"/>
        </w:rPr>
        <w:t xml:space="preserve"> </w:t>
      </w:r>
      <w:r w:rsidR="00006BE7" w:rsidRPr="000F6BCF">
        <w:rPr>
          <w:rFonts w:ascii="Times New Roman" w:hAnsi="Times New Roman"/>
          <w:lang w:val="en-GB"/>
        </w:rPr>
        <w:t>(1989:159)</w:t>
      </w:r>
    </w:p>
    <w:p w14:paraId="2F5E7902" w14:textId="77777777" w:rsidR="00DB555C" w:rsidRPr="000F6BCF" w:rsidRDefault="00DB555C" w:rsidP="00B251CF">
      <w:pPr>
        <w:widowControl w:val="0"/>
        <w:autoSpaceDE w:val="0"/>
        <w:autoSpaceDN w:val="0"/>
        <w:adjustRightInd w:val="0"/>
        <w:jc w:val="both"/>
        <w:rPr>
          <w:rFonts w:ascii="Times New Roman" w:hAnsi="Times New Roman"/>
        </w:rPr>
      </w:pPr>
    </w:p>
    <w:p w14:paraId="565516D8" w14:textId="77777777" w:rsidR="00DB555C" w:rsidRPr="000F6BCF" w:rsidRDefault="00DB555C" w:rsidP="00B251CF">
      <w:pPr>
        <w:widowControl w:val="0"/>
        <w:autoSpaceDE w:val="0"/>
        <w:autoSpaceDN w:val="0"/>
        <w:adjustRightInd w:val="0"/>
        <w:jc w:val="both"/>
        <w:rPr>
          <w:rFonts w:ascii="Times New Roman" w:hAnsi="Times New Roman"/>
        </w:rPr>
      </w:pPr>
      <w:r w:rsidRPr="000F6BCF">
        <w:rPr>
          <w:rFonts w:ascii="Times New Roman" w:hAnsi="Times New Roman"/>
        </w:rPr>
        <w:t xml:space="preserve">Something of the political flavour of the movement can be gleaned from Bragg’s 2007 </w:t>
      </w:r>
      <w:r w:rsidR="006F1E3F" w:rsidRPr="000F6BCF">
        <w:rPr>
          <w:rFonts w:ascii="Times New Roman" w:hAnsi="Times New Roman"/>
        </w:rPr>
        <w:t>blog post describing the debate</w:t>
      </w:r>
      <w:r w:rsidRPr="000F6BCF">
        <w:rPr>
          <w:rFonts w:ascii="Times New Roman" w:hAnsi="Times New Roman"/>
        </w:rPr>
        <w:t xml:space="preserve"> held at the Tate</w:t>
      </w:r>
      <w:r w:rsidR="00A23E25" w:rsidRPr="000F6BCF">
        <w:rPr>
          <w:rFonts w:ascii="Times New Roman" w:hAnsi="Times New Roman"/>
        </w:rPr>
        <w:t xml:space="preserve"> Modern</w:t>
      </w:r>
      <w:r w:rsidRPr="000F6BCF">
        <w:rPr>
          <w:rFonts w:ascii="Times New Roman" w:hAnsi="Times New Roman"/>
        </w:rPr>
        <w:t xml:space="preserve"> in relation to a motion that disability and deaf arts ought to be dead and buried (i.e., that we are all in the mainstream now)</w:t>
      </w:r>
      <w:r w:rsidR="006652D7" w:rsidRPr="000F6BCF">
        <w:rPr>
          <w:rFonts w:ascii="Times New Roman" w:hAnsi="Times New Roman"/>
          <w:lang w:val="en-GB"/>
        </w:rPr>
        <w:t xml:space="preserve">. </w:t>
      </w:r>
      <w:r w:rsidRPr="000F6BCF">
        <w:rPr>
          <w:rFonts w:ascii="Times New Roman" w:hAnsi="Times New Roman"/>
        </w:rPr>
        <w:t>Bragg</w:t>
      </w:r>
      <w:r w:rsidR="006652D7" w:rsidRPr="000F6BCF">
        <w:rPr>
          <w:rFonts w:ascii="Times New Roman" w:hAnsi="Times New Roman"/>
        </w:rPr>
        <w:t xml:space="preserve"> (2007)</w:t>
      </w:r>
      <w:r w:rsidRPr="000F6BCF">
        <w:rPr>
          <w:rFonts w:ascii="Times New Roman" w:hAnsi="Times New Roman"/>
        </w:rPr>
        <w:t xml:space="preserve"> noted the passion elicited in favour of Disability Arts, going so far as to quote the view of one speaker that Disability Arts could be seen as ‘the last remaining avant-garde movement’ comparable to the early days of feminism and black arts. More recently, Dadafest, as part of its 2014 Congress, held a debate around the motion that ‘This congress proposes that Disability Arts is a form of human rights activism and as such only disabled people should be its leaders.’ The motion was ultimately carried by 31 votes to 26. In keeping with the politicised nature of the movement, Darke </w:t>
      </w:r>
      <w:r w:rsidR="006652D7" w:rsidRPr="000F6BCF">
        <w:rPr>
          <w:rFonts w:ascii="Times New Roman" w:hAnsi="Times New Roman"/>
        </w:rPr>
        <w:t xml:space="preserve">(2003:130) </w:t>
      </w:r>
      <w:r w:rsidRPr="000F6BCF">
        <w:rPr>
          <w:rFonts w:ascii="Times New Roman" w:hAnsi="Times New Roman"/>
        </w:rPr>
        <w:t>argues that:</w:t>
      </w:r>
    </w:p>
    <w:p w14:paraId="195A437F" w14:textId="77777777" w:rsidR="00DB555C" w:rsidRPr="000F6BCF" w:rsidRDefault="00DB555C" w:rsidP="00B251CF">
      <w:pPr>
        <w:widowControl w:val="0"/>
        <w:autoSpaceDE w:val="0"/>
        <w:autoSpaceDN w:val="0"/>
        <w:adjustRightInd w:val="0"/>
        <w:jc w:val="both"/>
        <w:rPr>
          <w:rFonts w:ascii="Times New Roman" w:hAnsi="Times New Roman"/>
        </w:rPr>
      </w:pPr>
    </w:p>
    <w:p w14:paraId="36DC2F9C" w14:textId="77777777" w:rsidR="00DB555C" w:rsidRPr="000F6BCF" w:rsidRDefault="00DB555C" w:rsidP="00B251CF">
      <w:pPr>
        <w:widowControl w:val="0"/>
        <w:autoSpaceDE w:val="0"/>
        <w:autoSpaceDN w:val="0"/>
        <w:adjustRightInd w:val="0"/>
        <w:ind w:left="709" w:right="610"/>
        <w:jc w:val="both"/>
        <w:rPr>
          <w:rFonts w:ascii="Times New Roman" w:hAnsi="Times New Roman"/>
        </w:rPr>
      </w:pPr>
      <w:r w:rsidRPr="000F6BCF">
        <w:rPr>
          <w:rFonts w:ascii="Times New Roman" w:hAnsi="Times New Roman"/>
        </w:rPr>
        <w:t>Disability art philosophy is based upon legitimising the experience of disabled people as equal within art and all other cultural practices’ … it is ‘part of a process of re-presenting a more accurate picture of society, life, disability and impairment and art itself. Disability Art is a challenge to, an undermining of (as a minimum), traditional aesthetic and social values</w:t>
      </w:r>
      <w:r w:rsidR="006652D7" w:rsidRPr="000F6BCF">
        <w:rPr>
          <w:rFonts w:ascii="Times New Roman" w:hAnsi="Times New Roman"/>
        </w:rPr>
        <w:t xml:space="preserve">. </w:t>
      </w:r>
    </w:p>
    <w:p w14:paraId="381B50A9" w14:textId="77777777" w:rsidR="00DB555C" w:rsidRPr="000F6BCF" w:rsidRDefault="00DB555C" w:rsidP="00B251CF">
      <w:pPr>
        <w:widowControl w:val="0"/>
        <w:autoSpaceDE w:val="0"/>
        <w:autoSpaceDN w:val="0"/>
        <w:adjustRightInd w:val="0"/>
        <w:jc w:val="both"/>
        <w:rPr>
          <w:rFonts w:ascii="Times New Roman" w:hAnsi="Times New Roman"/>
        </w:rPr>
      </w:pPr>
    </w:p>
    <w:p w14:paraId="0AF226D5" w14:textId="77777777" w:rsidR="00DB555C" w:rsidRPr="000F6BCF" w:rsidRDefault="00DB555C" w:rsidP="00B251CF">
      <w:pPr>
        <w:widowControl w:val="0"/>
        <w:autoSpaceDE w:val="0"/>
        <w:autoSpaceDN w:val="0"/>
        <w:adjustRightInd w:val="0"/>
        <w:jc w:val="both"/>
        <w:rPr>
          <w:rFonts w:ascii="Times New Roman" w:hAnsi="Times New Roman"/>
        </w:rPr>
      </w:pPr>
      <w:r w:rsidRPr="000F6BCF">
        <w:rPr>
          <w:rFonts w:ascii="Times New Roman" w:hAnsi="Times New Roman"/>
        </w:rPr>
        <w:t>Brisenden</w:t>
      </w:r>
      <w:r w:rsidR="006652D7" w:rsidRPr="000F6BCF">
        <w:rPr>
          <w:rFonts w:ascii="Times New Roman" w:hAnsi="Times New Roman"/>
        </w:rPr>
        <w:t xml:space="preserve"> (</w:t>
      </w:r>
      <w:r w:rsidR="009E555F" w:rsidRPr="000F6BCF">
        <w:rPr>
          <w:rFonts w:ascii="Times New Roman" w:hAnsi="Times New Roman"/>
        </w:rPr>
        <w:t>1990</w:t>
      </w:r>
      <w:r w:rsidR="00584DDC" w:rsidRPr="000F6BCF">
        <w:rPr>
          <w:rFonts w:ascii="Times New Roman" w:hAnsi="Times New Roman"/>
        </w:rPr>
        <w:t>)</w:t>
      </w:r>
      <w:r w:rsidRPr="000F6BCF">
        <w:rPr>
          <w:rFonts w:ascii="Times New Roman" w:hAnsi="Times New Roman"/>
        </w:rPr>
        <w:t xml:space="preserve"> has authored a moving account of what it means to be part of the movement:</w:t>
      </w:r>
    </w:p>
    <w:p w14:paraId="06C87F24" w14:textId="77777777" w:rsidR="00DB555C" w:rsidRPr="000F6BCF" w:rsidRDefault="00DB555C" w:rsidP="00B251CF">
      <w:pPr>
        <w:widowControl w:val="0"/>
        <w:autoSpaceDE w:val="0"/>
        <w:autoSpaceDN w:val="0"/>
        <w:adjustRightInd w:val="0"/>
        <w:jc w:val="both"/>
        <w:rPr>
          <w:rFonts w:ascii="Times New Roman" w:hAnsi="Times New Roman"/>
          <w:b/>
          <w:bCs/>
        </w:rPr>
      </w:pPr>
    </w:p>
    <w:p w14:paraId="54C23FAD" w14:textId="77777777" w:rsidR="00DB555C" w:rsidRPr="000F6BCF" w:rsidRDefault="00DB555C" w:rsidP="00B251CF">
      <w:pPr>
        <w:widowControl w:val="0"/>
        <w:autoSpaceDE w:val="0"/>
        <w:autoSpaceDN w:val="0"/>
        <w:adjustRightInd w:val="0"/>
        <w:ind w:left="709" w:right="610"/>
        <w:jc w:val="both"/>
        <w:rPr>
          <w:rFonts w:ascii="Times New Roman" w:hAnsi="Times New Roman"/>
        </w:rPr>
      </w:pPr>
      <w:r w:rsidRPr="000F6BCF">
        <w:rPr>
          <w:rFonts w:ascii="Times New Roman" w:hAnsi="Times New Roman"/>
        </w:rPr>
        <w:t>...The culture of disability is the web that binds us together on the basis of what is common but leaves us room to move and grow. It is built upon appreciating and valuing many things, including things that may have been patronised or ignored in the past. For instance, an important element of our culture is our history. We should not wait for the academics to decide this is important, but we must begin charting it ourselves by listening to and recording the reminiscences of older people with disabilities. Their stories are our lost history, a central element of the culture we belong to. But a disability culture must also celebrate the present and the future.  … Disability culture is about expressing ourselves in whatever way comes naturally, and about realising that these expressions are valuable. It is not a question of shutting ourselves off from society, as some people seem to think. On the contrary we must take our place in society fortified and empowered by the knowledge that we do not need to discard our cultural identity as the price of integration.</w:t>
      </w:r>
      <w:r w:rsidR="00FA2FFD" w:rsidRPr="000F6BCF">
        <w:rPr>
          <w:rFonts w:ascii="Times New Roman" w:hAnsi="Times New Roman"/>
          <w:lang w:val="en-GB"/>
        </w:rPr>
        <w:t xml:space="preserve"> </w:t>
      </w:r>
    </w:p>
    <w:p w14:paraId="3B11A125" w14:textId="77777777" w:rsidR="00DB555C" w:rsidRPr="000F6BCF" w:rsidRDefault="00DB555C" w:rsidP="00B251CF">
      <w:pPr>
        <w:widowControl w:val="0"/>
        <w:autoSpaceDE w:val="0"/>
        <w:autoSpaceDN w:val="0"/>
        <w:adjustRightInd w:val="0"/>
        <w:jc w:val="both"/>
        <w:rPr>
          <w:rFonts w:ascii="Times New Roman" w:hAnsi="Times New Roman"/>
        </w:rPr>
      </w:pPr>
    </w:p>
    <w:p w14:paraId="2E5FE55B" w14:textId="77777777" w:rsidR="00DB555C" w:rsidRPr="000F6BCF" w:rsidRDefault="00DB555C" w:rsidP="00B251CF">
      <w:pPr>
        <w:widowControl w:val="0"/>
        <w:autoSpaceDE w:val="0"/>
        <w:autoSpaceDN w:val="0"/>
        <w:adjustRightInd w:val="0"/>
        <w:jc w:val="both"/>
        <w:rPr>
          <w:rFonts w:ascii="Times New Roman" w:hAnsi="Times New Roman"/>
        </w:rPr>
      </w:pPr>
      <w:r w:rsidRPr="000F6BCF">
        <w:rPr>
          <w:rFonts w:ascii="Times New Roman" w:hAnsi="Times New Roman"/>
        </w:rPr>
        <w:t>Importantly for our purposes, this philosophical tradition engenders a sense of belonging for the community. When one sits within a particular philosophical tradition, it can act both as a guiding principle for one’s actions, and as an enabler for outsiders to better understand what drives and shapes one’s actions: an artist working within the Disability Arts movement follows an established tradition – a community with which to identify - while at the same time her audience has an intellectual framework to better understand the work.</w:t>
      </w:r>
      <w:r w:rsidRPr="000F6BCF">
        <w:rPr>
          <w:rStyle w:val="FootnoteReference"/>
          <w:rFonts w:ascii="Times New Roman" w:hAnsi="Times New Roman"/>
        </w:rPr>
        <w:footnoteReference w:id="8"/>
      </w:r>
      <w:r w:rsidRPr="000F6BCF">
        <w:rPr>
          <w:rFonts w:ascii="Times New Roman" w:hAnsi="Times New Roman"/>
        </w:rPr>
        <w:t xml:space="preserve">  As Boyce</w:t>
      </w:r>
      <w:r w:rsidR="006652D7" w:rsidRPr="000F6BCF">
        <w:rPr>
          <w:rFonts w:ascii="Times New Roman" w:hAnsi="Times New Roman"/>
        </w:rPr>
        <w:t xml:space="preserve"> (2013:265)</w:t>
      </w:r>
      <w:r w:rsidRPr="000F6BCF">
        <w:rPr>
          <w:rFonts w:ascii="Times New Roman" w:hAnsi="Times New Roman"/>
        </w:rPr>
        <w:t xml:space="preserve"> has noted, there is a mutual dependence between the artistic and philosophical attainment of a work:</w:t>
      </w:r>
    </w:p>
    <w:p w14:paraId="2FEE9087" w14:textId="77777777" w:rsidR="00DB555C" w:rsidRPr="000F6BCF" w:rsidRDefault="00DB555C" w:rsidP="00B251CF">
      <w:pPr>
        <w:widowControl w:val="0"/>
        <w:autoSpaceDE w:val="0"/>
        <w:autoSpaceDN w:val="0"/>
        <w:adjustRightInd w:val="0"/>
        <w:jc w:val="both"/>
        <w:rPr>
          <w:rFonts w:ascii="Times New Roman" w:hAnsi="Times New Roman"/>
        </w:rPr>
      </w:pPr>
    </w:p>
    <w:p w14:paraId="6E2B54EB" w14:textId="77777777" w:rsidR="00DB555C" w:rsidRPr="000F6BCF" w:rsidRDefault="00DB555C" w:rsidP="00B251CF">
      <w:pPr>
        <w:widowControl w:val="0"/>
        <w:autoSpaceDE w:val="0"/>
        <w:autoSpaceDN w:val="0"/>
        <w:adjustRightInd w:val="0"/>
        <w:ind w:left="709" w:right="610"/>
        <w:jc w:val="both"/>
        <w:rPr>
          <w:rFonts w:ascii="Times New Roman" w:hAnsi="Times New Roman"/>
        </w:rPr>
      </w:pPr>
      <w:r w:rsidRPr="000F6BCF">
        <w:rPr>
          <w:rFonts w:ascii="Times New Roman" w:hAnsi="Times New Roman"/>
        </w:rPr>
        <w:t>[I]t is in virtue of what the work achieves as art that it achieves something philosophically important. It is in virtue of what it achieves philosophically that the work succeeds as art.</w:t>
      </w:r>
      <w:r w:rsidR="003B28E2" w:rsidRPr="000F6BCF">
        <w:rPr>
          <w:rFonts w:ascii="Times New Roman" w:hAnsi="Times New Roman"/>
          <w:lang w:val="en-GB"/>
        </w:rPr>
        <w:t xml:space="preserve"> </w:t>
      </w:r>
    </w:p>
    <w:p w14:paraId="0F65BF53" w14:textId="77777777" w:rsidR="00DB555C" w:rsidRPr="000F6BCF" w:rsidRDefault="00DB555C" w:rsidP="00B251CF">
      <w:pPr>
        <w:widowControl w:val="0"/>
        <w:autoSpaceDE w:val="0"/>
        <w:autoSpaceDN w:val="0"/>
        <w:adjustRightInd w:val="0"/>
        <w:jc w:val="both"/>
        <w:rPr>
          <w:rFonts w:ascii="Times New Roman" w:hAnsi="Times New Roman"/>
        </w:rPr>
      </w:pPr>
    </w:p>
    <w:p w14:paraId="4D6981AF" w14:textId="48542C76" w:rsidR="00DB555C" w:rsidRPr="000F6BCF" w:rsidRDefault="00DB555C" w:rsidP="00B251CF">
      <w:pPr>
        <w:widowControl w:val="0"/>
        <w:autoSpaceDE w:val="0"/>
        <w:autoSpaceDN w:val="0"/>
        <w:adjustRightInd w:val="0"/>
        <w:jc w:val="both"/>
        <w:rPr>
          <w:rFonts w:ascii="Times New Roman" w:hAnsi="Times New Roman"/>
        </w:rPr>
      </w:pPr>
      <w:r w:rsidRPr="000F6BCF">
        <w:rPr>
          <w:rFonts w:ascii="Times New Roman" w:hAnsi="Times New Roman"/>
        </w:rPr>
        <w:t>There is no doubt that the Disability Arts movement has a powerful identity, and no doubt that a community has coalesced around its philosophy – a community which holds strong values and traditions that are passed on to others. The physical manifestations of their movement – the artworks, the paintings, the books, the sculptures, the dances, the performances – are the subject of public and private efforts to capture, so that the history and the tangible manifestations of the movement can be available to others</w:t>
      </w:r>
      <w:r w:rsidR="00A730DA" w:rsidRPr="000F6BCF">
        <w:rPr>
          <w:rFonts w:ascii="Times New Roman" w:hAnsi="Times New Roman"/>
        </w:rPr>
        <w:t xml:space="preserve"> (National Disability Art Collection and Archive)</w:t>
      </w:r>
      <w:r w:rsidRPr="000F6BCF">
        <w:rPr>
          <w:rFonts w:ascii="Times New Roman" w:hAnsi="Times New Roman"/>
        </w:rPr>
        <w:t xml:space="preserve">. The Disability Arts movement and its manifestations, in other words, are in the course of becoming a curated part of our cultural heritage. Some elements of this are tangible and some intangible, but at the heart of which is the intangible nature of the movement; </w:t>
      </w:r>
      <w:r w:rsidRPr="000F6BCF">
        <w:rPr>
          <w:rFonts w:ascii="Times New Roman" w:hAnsi="Times New Roman"/>
          <w:lang w:val="en-GB"/>
        </w:rPr>
        <w:t>its underlying values, its politics, the sense of belonging and pride that it inculcates, the emotions it generates, the memories that it leaves – and these are continuously reworked by the community over time.</w:t>
      </w:r>
    </w:p>
    <w:p w14:paraId="63A0E8B2" w14:textId="77777777" w:rsidR="005B5DA1" w:rsidRPr="000F6BCF" w:rsidRDefault="005B5DA1" w:rsidP="00B251CF">
      <w:pPr>
        <w:widowControl w:val="0"/>
        <w:autoSpaceDE w:val="0"/>
        <w:autoSpaceDN w:val="0"/>
        <w:adjustRightInd w:val="0"/>
        <w:jc w:val="both"/>
        <w:rPr>
          <w:rFonts w:ascii="Times New Roman" w:hAnsi="Times New Roman"/>
        </w:rPr>
      </w:pPr>
    </w:p>
    <w:p w14:paraId="2F0BD180" w14:textId="77777777" w:rsidR="00DB555C" w:rsidRPr="000F6BCF" w:rsidRDefault="00DB555C" w:rsidP="00B251CF">
      <w:pPr>
        <w:widowControl w:val="0"/>
        <w:autoSpaceDE w:val="0"/>
        <w:autoSpaceDN w:val="0"/>
        <w:adjustRightInd w:val="0"/>
        <w:jc w:val="both"/>
        <w:rPr>
          <w:rFonts w:ascii="Times New Roman" w:hAnsi="Times New Roman"/>
        </w:rPr>
      </w:pPr>
      <w:r w:rsidRPr="000F6BCF">
        <w:rPr>
          <w:rFonts w:ascii="Times New Roman" w:hAnsi="Times New Roman"/>
        </w:rPr>
        <w:t xml:space="preserve">Conversations with our disabled dance collaborators makes clear that while they have </w:t>
      </w:r>
      <w:r w:rsidR="00B756B4" w:rsidRPr="000F6BCF">
        <w:rPr>
          <w:rFonts w:ascii="Times New Roman" w:hAnsi="Times New Roman"/>
        </w:rPr>
        <w:t xml:space="preserve">respect </w:t>
      </w:r>
      <w:r w:rsidRPr="000F6BCF">
        <w:rPr>
          <w:rFonts w:ascii="Times New Roman" w:hAnsi="Times New Roman"/>
        </w:rPr>
        <w:t>for the Disability Arts movement and its politics, these disabled dancers do not form a part of the Disability Arts movement; these dancers are rather fundamentally apolitical. Further, and as we have argued extensively elsewhere</w:t>
      </w:r>
      <w:r w:rsidR="00584DDC" w:rsidRPr="000F6BCF">
        <w:rPr>
          <w:rFonts w:ascii="Times New Roman" w:hAnsi="Times New Roman"/>
          <w:lang w:val="en-GB"/>
        </w:rPr>
        <w:t>,</w:t>
      </w:r>
      <w:r w:rsidR="00584DDC" w:rsidRPr="000F6BCF">
        <w:rPr>
          <w:rStyle w:val="FootnoteReference"/>
          <w:rFonts w:ascii="Times New Roman" w:hAnsi="Times New Roman"/>
          <w:lang w:val="en-GB"/>
        </w:rPr>
        <w:footnoteReference w:id="9"/>
      </w:r>
      <w:r w:rsidRPr="000F6BCF">
        <w:rPr>
          <w:rFonts w:ascii="Times New Roman" w:hAnsi="Times New Roman"/>
        </w:rPr>
        <w:t xml:space="preserve"> while disabled dance challenges traditional aesthetic values, it is difficult to claim that it also seeks to undermine these values in the sense of making traditional aesthetics less powerful or less likely to succeed on their own terms – a strong claim made by the Disability Arts movement. In short, the philosophy underlying Disability Art does not serve as a foundation through which the disabled dancers who have formed part of this project can identify as a community for purposes of ‘qualifying’ for ICHC protection. </w:t>
      </w:r>
    </w:p>
    <w:p w14:paraId="7370F75C" w14:textId="77777777" w:rsidR="00DB555C" w:rsidRPr="000F6BCF" w:rsidRDefault="00DB555C" w:rsidP="00B251CF">
      <w:pPr>
        <w:widowControl w:val="0"/>
        <w:autoSpaceDE w:val="0"/>
        <w:autoSpaceDN w:val="0"/>
        <w:adjustRightInd w:val="0"/>
        <w:jc w:val="both"/>
        <w:rPr>
          <w:rFonts w:ascii="Times New Roman" w:hAnsi="Times New Roman"/>
        </w:rPr>
      </w:pPr>
    </w:p>
    <w:p w14:paraId="4FCE78C9" w14:textId="77777777" w:rsidR="00DB555C" w:rsidRPr="000F6BCF" w:rsidRDefault="00DB555C" w:rsidP="00B251CF">
      <w:pPr>
        <w:widowControl w:val="0"/>
        <w:autoSpaceDE w:val="0"/>
        <w:autoSpaceDN w:val="0"/>
        <w:adjustRightInd w:val="0"/>
        <w:jc w:val="both"/>
        <w:rPr>
          <w:rFonts w:ascii="Times New Roman" w:hAnsi="Times New Roman"/>
          <w:b/>
        </w:rPr>
      </w:pPr>
      <w:r w:rsidRPr="000F6BCF">
        <w:rPr>
          <w:rFonts w:ascii="Times New Roman" w:hAnsi="Times New Roman"/>
          <w:b/>
        </w:rPr>
        <w:t>Towards Intangible Heritage Status: a Foundation to Facilitate Community and Critique</w:t>
      </w:r>
    </w:p>
    <w:p w14:paraId="3EFC944E" w14:textId="77777777" w:rsidR="00DB555C" w:rsidRPr="000F6BCF" w:rsidRDefault="00DB555C" w:rsidP="00B251CF">
      <w:pPr>
        <w:widowControl w:val="0"/>
        <w:autoSpaceDE w:val="0"/>
        <w:autoSpaceDN w:val="0"/>
        <w:adjustRightInd w:val="0"/>
        <w:jc w:val="both"/>
        <w:rPr>
          <w:rFonts w:ascii="Times New Roman" w:hAnsi="Times New Roman"/>
        </w:rPr>
      </w:pPr>
    </w:p>
    <w:p w14:paraId="7AD253A4" w14:textId="77777777" w:rsidR="00DB555C" w:rsidRPr="000F6BCF" w:rsidRDefault="00DB555C" w:rsidP="00B251CF">
      <w:pPr>
        <w:widowControl w:val="0"/>
        <w:autoSpaceDE w:val="0"/>
        <w:autoSpaceDN w:val="0"/>
        <w:adjustRightInd w:val="0"/>
        <w:jc w:val="both"/>
        <w:rPr>
          <w:rFonts w:ascii="Times New Roman" w:hAnsi="Times New Roman"/>
        </w:rPr>
      </w:pPr>
      <w:r w:rsidRPr="000F6BCF">
        <w:rPr>
          <w:rFonts w:ascii="Times New Roman" w:hAnsi="Times New Roman"/>
          <w:lang w:val="en-GB"/>
        </w:rPr>
        <w:t>The key</w:t>
      </w:r>
      <w:r w:rsidRPr="000F6BCF">
        <w:rPr>
          <w:rFonts w:ascii="Times New Roman" w:hAnsi="Times New Roman"/>
        </w:rPr>
        <w:t xml:space="preserve"> question, then, is: </w:t>
      </w:r>
    </w:p>
    <w:p w14:paraId="71DFBC93" w14:textId="77777777" w:rsidR="00DB555C" w:rsidRPr="000F6BCF" w:rsidRDefault="00DB555C" w:rsidP="00B251CF">
      <w:pPr>
        <w:widowControl w:val="0"/>
        <w:autoSpaceDE w:val="0"/>
        <w:autoSpaceDN w:val="0"/>
        <w:adjustRightInd w:val="0"/>
        <w:jc w:val="both"/>
        <w:rPr>
          <w:rFonts w:ascii="Times New Roman" w:hAnsi="Times New Roman"/>
        </w:rPr>
      </w:pPr>
    </w:p>
    <w:p w14:paraId="2F52594D" w14:textId="77777777" w:rsidR="00DB555C" w:rsidRPr="000F6BCF" w:rsidRDefault="00DB555C" w:rsidP="00B251CF">
      <w:pPr>
        <w:widowControl w:val="0"/>
        <w:autoSpaceDE w:val="0"/>
        <w:autoSpaceDN w:val="0"/>
        <w:adjustRightInd w:val="0"/>
        <w:ind w:left="426" w:right="610"/>
        <w:jc w:val="both"/>
        <w:rPr>
          <w:rFonts w:ascii="Times New Roman" w:hAnsi="Times New Roman"/>
        </w:rPr>
      </w:pPr>
      <w:r w:rsidRPr="000F6BCF">
        <w:rPr>
          <w:rFonts w:ascii="Times New Roman" w:hAnsi="Times New Roman"/>
        </w:rPr>
        <w:t>What theoretical notion should ground the disabled dance community so that disabled dance can better become an explicit part of our cultural heritage?</w:t>
      </w:r>
    </w:p>
    <w:p w14:paraId="0538A93B" w14:textId="77777777" w:rsidR="00DB555C" w:rsidRPr="000F6BCF" w:rsidRDefault="00DB555C" w:rsidP="00B251CF">
      <w:pPr>
        <w:widowControl w:val="0"/>
        <w:autoSpaceDE w:val="0"/>
        <w:autoSpaceDN w:val="0"/>
        <w:adjustRightInd w:val="0"/>
        <w:jc w:val="both"/>
        <w:rPr>
          <w:rFonts w:ascii="Times New Roman" w:hAnsi="Times New Roman"/>
        </w:rPr>
      </w:pPr>
    </w:p>
    <w:p w14:paraId="69C0F022" w14:textId="77777777" w:rsidR="00F22EE1" w:rsidRPr="000F6BCF" w:rsidRDefault="00DB555C" w:rsidP="00B251CF">
      <w:pPr>
        <w:widowControl w:val="0"/>
        <w:jc w:val="both"/>
        <w:rPr>
          <w:rFonts w:ascii="Times New Roman" w:hAnsi="Times New Roman"/>
          <w:lang w:val="en-GB"/>
        </w:rPr>
      </w:pPr>
      <w:r w:rsidRPr="000F6BCF">
        <w:rPr>
          <w:rFonts w:ascii="Times New Roman" w:hAnsi="Times New Roman"/>
          <w:lang w:val="en-GB"/>
        </w:rPr>
        <w:t>The next section will explore the theoretical component of this question</w:t>
      </w:r>
      <w:r w:rsidR="00B756B4" w:rsidRPr="000F6BCF">
        <w:rPr>
          <w:rFonts w:ascii="Times New Roman" w:hAnsi="Times New Roman"/>
          <w:lang w:val="en-GB"/>
        </w:rPr>
        <w:t xml:space="preserve"> with consideration given to ‘who’ compromises the community (noting that our focus in the InVisible Difference project was the UK, but the same conditions may apply to disabled dance across national boundaries or in other countries), </w:t>
      </w:r>
      <w:r w:rsidR="00F22EE1" w:rsidRPr="000F6BCF">
        <w:rPr>
          <w:rFonts w:ascii="Times New Roman" w:hAnsi="Times New Roman"/>
          <w:lang w:val="en-GB"/>
        </w:rPr>
        <w:t xml:space="preserve">and what constitutes a ‘foundation’ to which members of the community might </w:t>
      </w:r>
      <w:r w:rsidRPr="000F6BCF">
        <w:rPr>
          <w:rFonts w:ascii="Times New Roman" w:hAnsi="Times New Roman"/>
          <w:lang w:val="en-GB"/>
        </w:rPr>
        <w:t>implicitly align from a sense of belonging and pride</w:t>
      </w:r>
      <w:r w:rsidR="00FD2F2F" w:rsidRPr="000F6BCF">
        <w:rPr>
          <w:rFonts w:ascii="Times New Roman" w:hAnsi="Times New Roman"/>
          <w:lang w:val="en-GB"/>
        </w:rPr>
        <w:t xml:space="preserve"> (Stefano </w:t>
      </w:r>
      <w:r w:rsidR="00742F55" w:rsidRPr="000F6BCF">
        <w:rPr>
          <w:rFonts w:ascii="Times New Roman" w:hAnsi="Times New Roman"/>
          <w:lang w:val="en-GB"/>
        </w:rPr>
        <w:t>2012:</w:t>
      </w:r>
      <w:r w:rsidR="00FD2F2F" w:rsidRPr="000F6BCF">
        <w:rPr>
          <w:rFonts w:ascii="Times New Roman" w:hAnsi="Times New Roman"/>
          <w:lang w:val="en-GB"/>
        </w:rPr>
        <w:t>19)</w:t>
      </w:r>
      <w:r w:rsidRPr="000F6BCF">
        <w:rPr>
          <w:rFonts w:ascii="Times New Roman" w:hAnsi="Times New Roman"/>
          <w:lang w:val="en-GB"/>
        </w:rPr>
        <w:t xml:space="preserve">, </w:t>
      </w:r>
      <w:r w:rsidR="00F22EE1" w:rsidRPr="000F6BCF">
        <w:rPr>
          <w:rFonts w:ascii="Times New Roman" w:hAnsi="Times New Roman"/>
          <w:lang w:val="en-GB"/>
        </w:rPr>
        <w:t>or</w:t>
      </w:r>
      <w:r w:rsidRPr="000F6BCF">
        <w:rPr>
          <w:rFonts w:ascii="Times New Roman" w:hAnsi="Times New Roman"/>
          <w:lang w:val="en-GB"/>
        </w:rPr>
        <w:t xml:space="preserve"> in the absence of the growth of </w:t>
      </w:r>
      <w:r w:rsidR="00F22EE1" w:rsidRPr="000F6BCF">
        <w:rPr>
          <w:rFonts w:ascii="Times New Roman" w:hAnsi="Times New Roman"/>
          <w:lang w:val="en-GB"/>
        </w:rPr>
        <w:t xml:space="preserve">an alternative, or </w:t>
      </w:r>
      <w:r w:rsidRPr="000F6BCF">
        <w:rPr>
          <w:rFonts w:ascii="Times New Roman" w:hAnsi="Times New Roman"/>
          <w:lang w:val="en-GB"/>
        </w:rPr>
        <w:t>splinter movement</w:t>
      </w:r>
      <w:r w:rsidR="00F22EE1" w:rsidRPr="000F6BCF">
        <w:rPr>
          <w:rFonts w:ascii="Times New Roman" w:hAnsi="Times New Roman"/>
          <w:lang w:val="en-GB"/>
        </w:rPr>
        <w:t>.</w:t>
      </w:r>
    </w:p>
    <w:p w14:paraId="29C92EEE" w14:textId="77777777" w:rsidR="00DB555C" w:rsidRPr="000F6BCF" w:rsidRDefault="00DB555C" w:rsidP="00B251CF">
      <w:pPr>
        <w:pStyle w:val="ColorfulList-Accent11"/>
        <w:widowControl w:val="0"/>
        <w:ind w:left="0" w:right="78"/>
        <w:jc w:val="both"/>
        <w:rPr>
          <w:rFonts w:ascii="Times New Roman" w:hAnsi="Times New Roman"/>
          <w:lang w:val="en-GB"/>
        </w:rPr>
      </w:pPr>
    </w:p>
    <w:p w14:paraId="261A2D7D" w14:textId="77777777" w:rsidR="00DB555C" w:rsidRPr="000F6BCF" w:rsidRDefault="00DB555C" w:rsidP="00B251CF">
      <w:pPr>
        <w:widowControl w:val="0"/>
        <w:jc w:val="both"/>
        <w:rPr>
          <w:rFonts w:ascii="Times New Roman" w:hAnsi="Times New Roman"/>
        </w:rPr>
      </w:pPr>
      <w:r w:rsidRPr="000F6BCF">
        <w:rPr>
          <w:rFonts w:ascii="Times New Roman" w:hAnsi="Times New Roman"/>
          <w:lang w:val="en-GB"/>
        </w:rPr>
        <w:t xml:space="preserve">A starting point in the search for theory or foundation might seem to be the concept of ‘embodiment’. This has been relied on in different discursive contexts, including that associated with the description of dance, where it has entered common parlance. </w:t>
      </w:r>
      <w:r w:rsidRPr="000F6BCF">
        <w:rPr>
          <w:rFonts w:ascii="Times New Roman" w:hAnsi="Times New Roman"/>
        </w:rPr>
        <w:t>Embodiment is, however, a protean concept, particularly within the confines of dance</w:t>
      </w:r>
      <w:r w:rsidR="00F22EE1" w:rsidRPr="000F6BCF">
        <w:rPr>
          <w:rFonts w:ascii="Times New Roman" w:hAnsi="Times New Roman"/>
        </w:rPr>
        <w:t xml:space="preserve"> and may be insufficient as a foundation.</w:t>
      </w:r>
    </w:p>
    <w:p w14:paraId="554FE3C2" w14:textId="77777777" w:rsidR="00DB555C" w:rsidRPr="000F6BCF" w:rsidRDefault="00DB555C" w:rsidP="00B251CF">
      <w:pPr>
        <w:widowControl w:val="0"/>
        <w:jc w:val="both"/>
        <w:rPr>
          <w:rFonts w:ascii="Times New Roman" w:hAnsi="Times New Roman"/>
        </w:rPr>
      </w:pPr>
    </w:p>
    <w:p w14:paraId="74E17106" w14:textId="56CF4AA3" w:rsidR="00DB555C" w:rsidRPr="000F6BCF" w:rsidRDefault="00DB555C" w:rsidP="00B251CF">
      <w:pPr>
        <w:pStyle w:val="ColorfulList-Accent11"/>
        <w:ind w:left="0"/>
        <w:jc w:val="both"/>
        <w:rPr>
          <w:rFonts w:ascii="Times New Roman" w:hAnsi="Times New Roman"/>
          <w:lang w:val="en-GB"/>
        </w:rPr>
      </w:pPr>
      <w:r w:rsidRPr="000F6BCF">
        <w:rPr>
          <w:rFonts w:ascii="Times New Roman" w:hAnsi="Times New Roman"/>
        </w:rPr>
        <w:t xml:space="preserve">With respect to the individual dancer, embodiment </w:t>
      </w:r>
      <w:r w:rsidR="00F22EE1" w:rsidRPr="000F6BCF">
        <w:rPr>
          <w:rFonts w:ascii="Times New Roman" w:hAnsi="Times New Roman"/>
        </w:rPr>
        <w:t xml:space="preserve">as a term </w:t>
      </w:r>
      <w:r w:rsidRPr="000F6BCF">
        <w:rPr>
          <w:rFonts w:ascii="Times New Roman" w:hAnsi="Times New Roman"/>
        </w:rPr>
        <w:t>has been used to: include the body embodying choreographic intention</w:t>
      </w:r>
      <w:r w:rsidR="00704CEF" w:rsidRPr="000F6BCF">
        <w:rPr>
          <w:rFonts w:ascii="Times New Roman" w:hAnsi="Times New Roman"/>
        </w:rPr>
        <w:t xml:space="preserve"> (McFee 2011:131-5, 181-4)</w:t>
      </w:r>
      <w:r w:rsidRPr="000F6BCF">
        <w:rPr>
          <w:rFonts w:ascii="Times New Roman" w:hAnsi="Times New Roman"/>
        </w:rPr>
        <w:t>; reflect incorporeal exchanges between the choreographer, dancer, audience and the conscious</w:t>
      </w:r>
      <w:r w:rsidR="00DA4FB8" w:rsidRPr="000F6BCF">
        <w:rPr>
          <w:rFonts w:ascii="Times New Roman" w:hAnsi="Times New Roman"/>
        </w:rPr>
        <w:t>-</w:t>
      </w:r>
      <w:r w:rsidRPr="000F6BCF">
        <w:rPr>
          <w:rFonts w:ascii="Times New Roman" w:hAnsi="Times New Roman"/>
        </w:rPr>
        <w:t xml:space="preserve"> world</w:t>
      </w:r>
      <w:r w:rsidR="00DA4FB8" w:rsidRPr="000F6BCF">
        <w:rPr>
          <w:rFonts w:ascii="Times New Roman" w:hAnsi="Times New Roman"/>
        </w:rPr>
        <w:t xml:space="preserve"> and the self-other</w:t>
      </w:r>
      <w:r w:rsidR="00704CEF" w:rsidRPr="000F6BCF">
        <w:rPr>
          <w:rFonts w:ascii="Times New Roman" w:hAnsi="Times New Roman"/>
        </w:rPr>
        <w:t xml:space="preserve"> (Carr 2013: 63</w:t>
      </w:r>
      <w:r w:rsidR="00301EDF" w:rsidRPr="000F6BCF">
        <w:rPr>
          <w:rFonts w:ascii="Times New Roman" w:hAnsi="Times New Roman"/>
        </w:rPr>
        <w:t>, 6</w:t>
      </w:r>
      <w:r w:rsidR="00DA4FB8" w:rsidRPr="000F6BCF">
        <w:rPr>
          <w:rFonts w:ascii="Times New Roman" w:hAnsi="Times New Roman"/>
        </w:rPr>
        <w:t>4</w:t>
      </w:r>
      <w:r w:rsidR="00704CEF" w:rsidRPr="000F6BCF">
        <w:rPr>
          <w:rFonts w:ascii="Times New Roman" w:hAnsi="Times New Roman"/>
        </w:rPr>
        <w:t xml:space="preserve">) </w:t>
      </w:r>
      <w:r w:rsidRPr="000F6BCF">
        <w:rPr>
          <w:rFonts w:ascii="Times New Roman" w:hAnsi="Times New Roman"/>
        </w:rPr>
        <w:t>regard the body as having a double nature – being a subject and a thing</w:t>
      </w:r>
      <w:r w:rsidR="00704CEF" w:rsidRPr="000F6BCF">
        <w:rPr>
          <w:rFonts w:ascii="Times New Roman" w:hAnsi="Times New Roman"/>
        </w:rPr>
        <w:t xml:space="preserve"> (64)</w:t>
      </w:r>
      <w:r w:rsidRPr="000F6BCF">
        <w:rPr>
          <w:rFonts w:ascii="Times New Roman" w:hAnsi="Times New Roman"/>
        </w:rPr>
        <w:t>; highlight an intrinsic intertwining of body and mind as both are fully given over to the dance experience</w:t>
      </w:r>
      <w:r w:rsidR="00E62EAC" w:rsidRPr="000F6BCF">
        <w:rPr>
          <w:rFonts w:ascii="Times New Roman" w:hAnsi="Times New Roman"/>
          <w:lang w:val="en-GB"/>
        </w:rPr>
        <w:t xml:space="preserve"> (Ness 2001:72,73,75,77-8; </w:t>
      </w:r>
      <w:r w:rsidR="00500520" w:rsidRPr="000F6BCF">
        <w:rPr>
          <w:rFonts w:ascii="Times New Roman" w:hAnsi="Times New Roman"/>
          <w:lang w:val="en-GB"/>
        </w:rPr>
        <w:t>Williamson 2004</w:t>
      </w:r>
      <w:r w:rsidR="00E62EAC" w:rsidRPr="000F6BCF">
        <w:rPr>
          <w:rFonts w:ascii="Times New Roman" w:hAnsi="Times New Roman"/>
          <w:lang w:val="en-GB"/>
        </w:rPr>
        <w:t>)</w:t>
      </w:r>
      <w:r w:rsidRPr="000F6BCF">
        <w:rPr>
          <w:rFonts w:ascii="Times New Roman" w:hAnsi="Times New Roman"/>
        </w:rPr>
        <w:t>;</w:t>
      </w:r>
      <w:r w:rsidR="00110811" w:rsidRPr="000F6BCF">
        <w:rPr>
          <w:rFonts w:ascii="Times New Roman" w:hAnsi="Times New Roman"/>
        </w:rPr>
        <w:t xml:space="preserve"> and to</w:t>
      </w:r>
      <w:r w:rsidR="00F22EE1" w:rsidRPr="000F6BCF">
        <w:rPr>
          <w:rFonts w:ascii="Times New Roman" w:hAnsi="Times New Roman"/>
        </w:rPr>
        <w:t xml:space="preserve"> </w:t>
      </w:r>
      <w:r w:rsidRPr="000F6BCF">
        <w:rPr>
          <w:rFonts w:ascii="Times New Roman" w:hAnsi="Times New Roman"/>
        </w:rPr>
        <w:t>describe the shared habits of dancers, who have a high level sensitivity to bodily sensations produced by their movements</w:t>
      </w:r>
      <w:r w:rsidR="00704CEF" w:rsidRPr="000F6BCF">
        <w:rPr>
          <w:rFonts w:ascii="Times New Roman" w:hAnsi="Times New Roman"/>
        </w:rPr>
        <w:t xml:space="preserve"> (Hunter, Smith and Emerald 2015:10</w:t>
      </w:r>
      <w:r w:rsidR="00A730DA" w:rsidRPr="000F6BCF">
        <w:rPr>
          <w:rFonts w:ascii="Times New Roman" w:hAnsi="Times New Roman"/>
        </w:rPr>
        <w:t xml:space="preserve">). </w:t>
      </w:r>
      <w:r w:rsidRPr="000F6BCF">
        <w:rPr>
          <w:rFonts w:ascii="Times New Roman" w:hAnsi="Times New Roman"/>
        </w:rPr>
        <w:t xml:space="preserve">In contrast, </w:t>
      </w:r>
      <w:r w:rsidRPr="000F6BCF">
        <w:rPr>
          <w:rFonts w:ascii="Times New Roman" w:hAnsi="Times New Roman"/>
          <w:lang w:val="en-GB"/>
        </w:rPr>
        <w:t xml:space="preserve">the work of </w:t>
      </w:r>
      <w:r w:rsidR="00F22EE1" w:rsidRPr="000F6BCF">
        <w:rPr>
          <w:rFonts w:ascii="Times New Roman" w:hAnsi="Times New Roman"/>
          <w:lang w:val="en-GB"/>
        </w:rPr>
        <w:t xml:space="preserve">philosopher </w:t>
      </w:r>
      <w:r w:rsidRPr="000F6BCF">
        <w:rPr>
          <w:rFonts w:ascii="Times New Roman" w:hAnsi="Times New Roman"/>
          <w:lang w:val="en-GB"/>
        </w:rPr>
        <w:t xml:space="preserve">Merleau-Ponty </w:t>
      </w:r>
      <w:r w:rsidR="006652D7" w:rsidRPr="000F6BCF">
        <w:rPr>
          <w:rFonts w:ascii="Times New Roman" w:hAnsi="Times New Roman"/>
          <w:lang w:val="en-GB"/>
        </w:rPr>
        <w:t xml:space="preserve">(2002:84) </w:t>
      </w:r>
      <w:r w:rsidRPr="000F6BCF">
        <w:rPr>
          <w:rFonts w:ascii="Times New Roman" w:hAnsi="Times New Roman"/>
          <w:lang w:val="en-GB"/>
        </w:rPr>
        <w:t>on the body as subject suggests that the idea of embodiment may be tied up with traditional notions of the objectified dancer, which have been challenged in late 20</w:t>
      </w:r>
      <w:r w:rsidRPr="000F6BCF">
        <w:rPr>
          <w:rFonts w:ascii="Times New Roman" w:hAnsi="Times New Roman"/>
          <w:vertAlign w:val="superscript"/>
          <w:lang w:val="en-GB"/>
        </w:rPr>
        <w:t>th</w:t>
      </w:r>
      <w:r w:rsidRPr="000F6BCF">
        <w:rPr>
          <w:rFonts w:ascii="Times New Roman" w:hAnsi="Times New Roman"/>
          <w:lang w:val="en-GB"/>
        </w:rPr>
        <w:t xml:space="preserve"> century developments in the art-form. </w:t>
      </w:r>
      <w:r w:rsidRPr="000F6BCF">
        <w:rPr>
          <w:rFonts w:ascii="Times New Roman" w:hAnsi="Times New Roman"/>
        </w:rPr>
        <w:t xml:space="preserve">Probing more deeply, </w:t>
      </w:r>
      <w:r w:rsidRPr="000F6BCF">
        <w:rPr>
          <w:rFonts w:ascii="Times New Roman" w:hAnsi="Times New Roman"/>
          <w:lang w:val="en-GB"/>
        </w:rPr>
        <w:t>embodiment has often been used to highlight the notion that one is deeply invested in the dance. To ‘fully give ourselves over’ to a dance experience is to be fully ‘in our body’, and this somehow relates to the sincerity or virtue of the dance</w:t>
      </w:r>
      <w:r w:rsidR="00A84E6E" w:rsidRPr="000F6BCF">
        <w:rPr>
          <w:rFonts w:ascii="Times New Roman" w:hAnsi="Times New Roman"/>
          <w:lang w:val="en-GB"/>
        </w:rPr>
        <w:t>.</w:t>
      </w:r>
      <w:r w:rsidRPr="000F6BCF">
        <w:rPr>
          <w:rFonts w:ascii="Times New Roman" w:hAnsi="Times New Roman"/>
          <w:lang w:val="en-GB"/>
        </w:rPr>
        <w:t xml:space="preserve"> This understanding is exemplified by the following:</w:t>
      </w:r>
    </w:p>
    <w:p w14:paraId="07B9F46F" w14:textId="77777777" w:rsidR="00DB555C" w:rsidRPr="000F6BCF" w:rsidRDefault="00DB555C" w:rsidP="00B251CF">
      <w:pPr>
        <w:pStyle w:val="ColorfulList-Accent11"/>
        <w:widowControl w:val="0"/>
        <w:ind w:left="0" w:right="78"/>
        <w:jc w:val="both"/>
        <w:rPr>
          <w:rFonts w:ascii="Times New Roman" w:hAnsi="Times New Roman"/>
          <w:lang w:val="en-GB"/>
        </w:rPr>
      </w:pPr>
    </w:p>
    <w:p w14:paraId="03E3068B" w14:textId="67675CB0" w:rsidR="00DB555C" w:rsidRPr="000F6BCF" w:rsidRDefault="00DB555C" w:rsidP="00B251CF">
      <w:pPr>
        <w:pStyle w:val="ColorfulList-Accent11"/>
        <w:widowControl w:val="0"/>
        <w:ind w:left="1440" w:right="645"/>
        <w:jc w:val="both"/>
        <w:rPr>
          <w:rFonts w:ascii="Times New Roman" w:hAnsi="Times New Roman"/>
          <w:lang w:val="en-GB"/>
        </w:rPr>
      </w:pPr>
      <w:r w:rsidRPr="000F6BCF">
        <w:rPr>
          <w:rFonts w:ascii="Times New Roman" w:hAnsi="Times New Roman"/>
          <w:lang w:val="en-GB"/>
        </w:rPr>
        <w:t>Unlike the actor’s, the dancer’s body inevitably resists being given away. The more fully a dancer throws themselves into dancing a part, the more they come across physically as completely themselves. It is a paradox, not just of dance, but of our own existence, that often when physical being is at full tilt, the human essence seems most visible. When a dancer is giving it all they've got, what we see is no illusion, even if they are performing a ‘role’: the animating spirit cannot be borrowed or faked, it is the dancer's own.</w:t>
      </w:r>
      <w:r w:rsidR="00114633" w:rsidRPr="000F6BCF">
        <w:rPr>
          <w:rFonts w:ascii="Times New Roman" w:hAnsi="Times New Roman"/>
          <w:lang w:val="en-GB"/>
        </w:rPr>
        <w:t xml:space="preserve"> (</w:t>
      </w:r>
      <w:r w:rsidR="00CE1762" w:rsidRPr="000F6BCF">
        <w:rPr>
          <w:rFonts w:ascii="Times New Roman" w:hAnsi="Times New Roman"/>
          <w:lang w:val="en-GB"/>
        </w:rPr>
        <w:t>Williamson 2004</w:t>
      </w:r>
      <w:r w:rsidR="00114633" w:rsidRPr="000F6BCF">
        <w:rPr>
          <w:rFonts w:ascii="Times New Roman" w:hAnsi="Times New Roman"/>
          <w:lang w:val="en-GB"/>
        </w:rPr>
        <w:t>)</w:t>
      </w:r>
    </w:p>
    <w:p w14:paraId="377EA929" w14:textId="77777777" w:rsidR="00DB555C" w:rsidRPr="000F6BCF" w:rsidRDefault="00DB555C" w:rsidP="00B251CF">
      <w:pPr>
        <w:pStyle w:val="ColorfulList-Accent11"/>
        <w:widowControl w:val="0"/>
        <w:ind w:left="0"/>
        <w:jc w:val="both"/>
        <w:rPr>
          <w:rFonts w:ascii="Times New Roman" w:hAnsi="Times New Roman"/>
          <w:i/>
          <w:lang w:val="en-GB"/>
        </w:rPr>
      </w:pPr>
    </w:p>
    <w:p w14:paraId="112C593F" w14:textId="77777777" w:rsidR="00DB555C" w:rsidRPr="000F6BCF" w:rsidRDefault="00DB555C" w:rsidP="00B251CF">
      <w:pPr>
        <w:pStyle w:val="ColorfulList-Accent11"/>
        <w:widowControl w:val="0"/>
        <w:ind w:left="0"/>
        <w:jc w:val="both"/>
        <w:rPr>
          <w:rFonts w:ascii="Times New Roman" w:hAnsi="Times New Roman"/>
          <w:lang w:val="en-GB"/>
        </w:rPr>
      </w:pPr>
      <w:r w:rsidRPr="000F6BCF">
        <w:rPr>
          <w:rFonts w:ascii="Times New Roman" w:hAnsi="Times New Roman"/>
          <w:lang w:val="en-GB"/>
        </w:rPr>
        <w:t xml:space="preserve">Thinking about embodiment in dance (as distinct from the dancer) does not alleviate the difficulty. At base, and this may not be without controversy, it may refer to a physical and emotional phenomenon located in the individual, sometimes in cooperation or synchronicity with other individuals.  However, when categorised into a framework of words so as to develop a shared understanding of this experience, it becomes evasive.  It is a highly personal and transitional </w:t>
      </w:r>
      <w:r w:rsidR="00A84E6E" w:rsidRPr="000F6BCF">
        <w:rPr>
          <w:rFonts w:ascii="Times New Roman" w:hAnsi="Times New Roman"/>
          <w:lang w:val="en-GB"/>
        </w:rPr>
        <w:t>practice</w:t>
      </w:r>
      <w:r w:rsidRPr="000F6BCF">
        <w:rPr>
          <w:rFonts w:ascii="Times New Roman" w:hAnsi="Times New Roman"/>
          <w:lang w:val="en-GB"/>
        </w:rPr>
        <w:t xml:space="preserve">; even when we are ‘copying’ someone else’s movement, we cannot help but translate and interpret this through the fibres, sinews, and cells of our own bodies, the memory and physical consequences of our own experiences, and the emphases, prejudices, and foibles of our own understandings.  Moreover, our bodies, always central to dance, are ever changing, minute-by-minute, day-by-day, year-by-year. In the light of this, can embodiment be applied more specifically to disabled dance? </w:t>
      </w:r>
    </w:p>
    <w:p w14:paraId="6D688712" w14:textId="77777777" w:rsidR="00DB555C" w:rsidRPr="000F6BCF" w:rsidRDefault="00DB555C" w:rsidP="00B251CF">
      <w:pPr>
        <w:pStyle w:val="ColorfulList-Accent11"/>
        <w:widowControl w:val="0"/>
        <w:ind w:left="0"/>
        <w:jc w:val="both"/>
        <w:rPr>
          <w:rFonts w:ascii="Times New Roman" w:hAnsi="Times New Roman"/>
          <w:lang w:val="en-GB"/>
        </w:rPr>
      </w:pPr>
    </w:p>
    <w:p w14:paraId="5E12BECA" w14:textId="0E38B4BF" w:rsidR="00DB555C" w:rsidRPr="000F6BCF" w:rsidRDefault="00DB555C" w:rsidP="00B251CF">
      <w:pPr>
        <w:pStyle w:val="ColorfulList-Accent11"/>
        <w:widowControl w:val="0"/>
        <w:ind w:left="0"/>
        <w:jc w:val="both"/>
        <w:rPr>
          <w:rFonts w:ascii="Times New Roman" w:hAnsi="Times New Roman"/>
          <w:lang w:val="en-GB"/>
        </w:rPr>
      </w:pPr>
      <w:r w:rsidRPr="000F6BCF">
        <w:rPr>
          <w:rFonts w:ascii="Times New Roman" w:hAnsi="Times New Roman"/>
        </w:rPr>
        <w:t>There has been some consideration of unusual and mutable bodies from the perspective of deconstructing dance</w:t>
      </w:r>
      <w:r w:rsidR="00114633" w:rsidRPr="000F6BCF">
        <w:rPr>
          <w:rFonts w:ascii="Times New Roman" w:hAnsi="Times New Roman"/>
        </w:rPr>
        <w:t xml:space="preserve"> (Bixler 1999:242-5; </w:t>
      </w:r>
      <w:r w:rsidR="009E555F" w:rsidRPr="000F6BCF">
        <w:rPr>
          <w:rFonts w:ascii="Times New Roman" w:hAnsi="Times New Roman"/>
        </w:rPr>
        <w:t>Dodds</w:t>
      </w:r>
      <w:r w:rsidR="00A239C5" w:rsidRPr="000F6BCF">
        <w:rPr>
          <w:rFonts w:ascii="Times New Roman" w:hAnsi="Times New Roman"/>
        </w:rPr>
        <w:t xml:space="preserve"> 1999: </w:t>
      </w:r>
      <w:r w:rsidR="00D51D3F" w:rsidRPr="000F6BCF">
        <w:rPr>
          <w:rFonts w:ascii="Times New Roman" w:hAnsi="Times New Roman"/>
        </w:rPr>
        <w:t>218-220</w:t>
      </w:r>
      <w:r w:rsidR="007E5207" w:rsidRPr="000F6BCF">
        <w:rPr>
          <w:rFonts w:ascii="Times New Roman" w:hAnsi="Times New Roman"/>
        </w:rPr>
        <w:t>)</w:t>
      </w:r>
      <w:r w:rsidRPr="000F6BCF">
        <w:rPr>
          <w:rFonts w:ascii="Times New Roman" w:hAnsi="Times New Roman"/>
        </w:rPr>
        <w:t xml:space="preserve">. There have also been some critiques of binary approaches to disability/non-disability and the focus in dance on one particular type of thin, </w:t>
      </w:r>
      <w:r w:rsidR="00A84E6E" w:rsidRPr="000F6BCF">
        <w:rPr>
          <w:rFonts w:ascii="Times New Roman" w:hAnsi="Times New Roman"/>
        </w:rPr>
        <w:t>non-</w:t>
      </w:r>
      <w:r w:rsidRPr="000F6BCF">
        <w:rPr>
          <w:rFonts w:ascii="Times New Roman" w:hAnsi="Times New Roman"/>
        </w:rPr>
        <w:t>disabled, beautiful, balletic body, rather than on how different bodies with different legacies dance within their own abilities</w:t>
      </w:r>
      <w:r w:rsidR="00114633" w:rsidRPr="000F6BCF">
        <w:rPr>
          <w:rFonts w:ascii="Times New Roman" w:hAnsi="Times New Roman"/>
        </w:rPr>
        <w:t xml:space="preserve"> (Dils and Cooper Albright 2001: 236; Burt 2001:44)</w:t>
      </w:r>
      <w:r w:rsidRPr="000F6BCF">
        <w:rPr>
          <w:rFonts w:ascii="Times New Roman" w:hAnsi="Times New Roman"/>
        </w:rPr>
        <w:t>. The relationship of the disabled dancer to the notion of embodiment (and the further fragmentary effect it has on that notion) has, however, hardly been considered. We contend that</w:t>
      </w:r>
      <w:r w:rsidRPr="000F6BCF">
        <w:rPr>
          <w:rFonts w:ascii="Times New Roman" w:hAnsi="Times New Roman"/>
          <w:lang w:val="en-GB"/>
        </w:rPr>
        <w:t xml:space="preserve"> the lived experience of disability has the potential to make a person ‘better’ at embodiment in part because those with a disability are familiar with scrutiny: </w:t>
      </w:r>
    </w:p>
    <w:p w14:paraId="102E31F6" w14:textId="77777777" w:rsidR="00DB555C" w:rsidRPr="000F6BCF" w:rsidRDefault="00DB555C" w:rsidP="00B251CF">
      <w:pPr>
        <w:pStyle w:val="ColorfulList-Accent11"/>
        <w:widowControl w:val="0"/>
        <w:ind w:left="0"/>
        <w:jc w:val="both"/>
        <w:rPr>
          <w:rFonts w:ascii="Times New Roman" w:hAnsi="Times New Roman"/>
          <w:lang w:val="en-GB"/>
        </w:rPr>
      </w:pPr>
    </w:p>
    <w:p w14:paraId="573F7764" w14:textId="77777777" w:rsidR="00DB555C" w:rsidRPr="000F6BCF" w:rsidRDefault="00DB555C" w:rsidP="00B251CF">
      <w:pPr>
        <w:pStyle w:val="ColorfulList-Accent11"/>
        <w:widowControl w:val="0"/>
        <w:ind w:left="709" w:right="610"/>
        <w:jc w:val="both"/>
        <w:rPr>
          <w:rFonts w:ascii="Times New Roman" w:hAnsi="Times New Roman"/>
          <w:lang w:val="en-GB"/>
        </w:rPr>
      </w:pPr>
      <w:r w:rsidRPr="000F6BCF">
        <w:rPr>
          <w:rFonts w:ascii="Times New Roman" w:hAnsi="Times New Roman"/>
          <w:lang w:val="en-GB"/>
        </w:rPr>
        <w:t>If born disabled our very ‘difference’ makes us interesting we are either being scrutinised for potential ‘normalisation’ or scrutinised for ways in which we might benefit from changed perceptions. We (our bodies) are central to the debate.</w:t>
      </w:r>
    </w:p>
    <w:p w14:paraId="38D42D0B" w14:textId="77777777" w:rsidR="00DB555C" w:rsidRPr="000F6BCF" w:rsidRDefault="00DB555C" w:rsidP="00B251CF">
      <w:pPr>
        <w:pStyle w:val="ColorfulList-Accent11"/>
        <w:widowControl w:val="0"/>
        <w:ind w:left="426" w:right="610"/>
        <w:jc w:val="both"/>
        <w:rPr>
          <w:rFonts w:ascii="Times New Roman" w:hAnsi="Times New Roman"/>
          <w:lang w:val="en-GB"/>
        </w:rPr>
      </w:pPr>
    </w:p>
    <w:p w14:paraId="3ED0C02F" w14:textId="035BC1CE" w:rsidR="00DB555C" w:rsidRPr="000F6BCF" w:rsidRDefault="00DB555C" w:rsidP="00B251CF">
      <w:pPr>
        <w:pStyle w:val="ColorfulList-Accent11"/>
        <w:widowControl w:val="0"/>
        <w:ind w:left="709" w:right="610"/>
        <w:jc w:val="both"/>
        <w:rPr>
          <w:rFonts w:ascii="Times New Roman" w:hAnsi="Times New Roman"/>
          <w:lang w:val="en-GB"/>
        </w:rPr>
      </w:pPr>
      <w:r w:rsidRPr="000F6BCF">
        <w:rPr>
          <w:rFonts w:ascii="Times New Roman" w:hAnsi="Times New Roman"/>
          <w:lang w:val="en-GB"/>
        </w:rPr>
        <w:t>The experience of impairment insists that we think about our bodies frequently, impaired bodies in a normative world are constantly adjusting and negotiating as part of the experience of being in the world; from public transport and visiting restaurants to everyday tasks essentially designed for a ‘fully functioning’ body.</w:t>
      </w:r>
      <w:r w:rsidR="005374C2" w:rsidRPr="000F6BCF">
        <w:rPr>
          <w:rFonts w:ascii="Times New Roman" w:hAnsi="Times New Roman"/>
          <w:lang w:val="en-GB"/>
        </w:rPr>
        <w:t xml:space="preserve"> (Marsh 2015)</w:t>
      </w:r>
    </w:p>
    <w:p w14:paraId="6969A5F6" w14:textId="77777777" w:rsidR="00DB555C" w:rsidRPr="000F6BCF" w:rsidRDefault="00DB555C" w:rsidP="00B251CF">
      <w:pPr>
        <w:pStyle w:val="ColorfulList-Accent11"/>
        <w:widowControl w:val="0"/>
        <w:ind w:left="0"/>
        <w:jc w:val="both"/>
        <w:rPr>
          <w:rFonts w:ascii="Times New Roman" w:hAnsi="Times New Roman"/>
          <w:lang w:val="en-GB"/>
        </w:rPr>
      </w:pPr>
    </w:p>
    <w:p w14:paraId="1510B4DF" w14:textId="77777777" w:rsidR="00DB555C" w:rsidRPr="000F6BCF" w:rsidRDefault="00DB555C" w:rsidP="00B251CF">
      <w:pPr>
        <w:pStyle w:val="ColorfulList-Accent11"/>
        <w:widowControl w:val="0"/>
        <w:ind w:left="0"/>
        <w:jc w:val="both"/>
        <w:rPr>
          <w:rFonts w:ascii="Times New Roman" w:hAnsi="Times New Roman"/>
          <w:lang w:val="en-GB"/>
        </w:rPr>
      </w:pPr>
      <w:r w:rsidRPr="000F6BCF">
        <w:rPr>
          <w:rFonts w:ascii="Times New Roman" w:hAnsi="Times New Roman"/>
          <w:lang w:val="en-GB"/>
        </w:rPr>
        <w:t xml:space="preserve">Yet so far there has been limited consideration of how physical difference can radically transform the transmission of embodied knowledge. </w:t>
      </w:r>
    </w:p>
    <w:p w14:paraId="3CF79512" w14:textId="77777777" w:rsidR="00DB555C" w:rsidRPr="000F6BCF" w:rsidRDefault="00DB555C" w:rsidP="00B251CF">
      <w:pPr>
        <w:pStyle w:val="ColorfulList-Accent11"/>
        <w:widowControl w:val="0"/>
        <w:ind w:left="0"/>
        <w:jc w:val="both"/>
        <w:rPr>
          <w:rFonts w:ascii="Times New Roman" w:hAnsi="Times New Roman"/>
          <w:lang w:val="en-GB"/>
        </w:rPr>
      </w:pPr>
    </w:p>
    <w:p w14:paraId="011EA703" w14:textId="77777777" w:rsidR="00DB555C" w:rsidRPr="000F6BCF" w:rsidRDefault="00DB555C" w:rsidP="00B251CF">
      <w:pPr>
        <w:pStyle w:val="ColorfulList-Accent11"/>
        <w:widowControl w:val="0"/>
        <w:ind w:left="0"/>
        <w:jc w:val="both"/>
        <w:rPr>
          <w:rFonts w:ascii="Times New Roman" w:hAnsi="Times New Roman"/>
          <w:lang w:val="en-GB"/>
        </w:rPr>
      </w:pPr>
      <w:r w:rsidRPr="000F6BCF">
        <w:rPr>
          <w:rFonts w:ascii="Times New Roman" w:hAnsi="Times New Roman"/>
          <w:lang w:val="en-GB"/>
        </w:rPr>
        <w:t xml:space="preserve">Further, a focus on lived ‘embodied’ experiences </w:t>
      </w:r>
      <w:r w:rsidR="00A84E6E" w:rsidRPr="000F6BCF">
        <w:rPr>
          <w:rFonts w:ascii="Times New Roman" w:hAnsi="Times New Roman"/>
          <w:lang w:val="en-GB"/>
        </w:rPr>
        <w:t xml:space="preserve">raises </w:t>
      </w:r>
      <w:r w:rsidRPr="000F6BCF">
        <w:rPr>
          <w:rFonts w:ascii="Times New Roman" w:hAnsi="Times New Roman"/>
          <w:lang w:val="en-GB"/>
        </w:rPr>
        <w:t>interesting questions of disability models. As we and others have explored elsewhere</w:t>
      </w:r>
      <w:r w:rsidR="00114633" w:rsidRPr="000F6BCF">
        <w:rPr>
          <w:rFonts w:ascii="Times New Roman" w:hAnsi="Times New Roman"/>
          <w:lang w:val="en-GB"/>
        </w:rPr>
        <w:t xml:space="preserve"> (UPIAS 1976: 14; Campbell 2009; Swain and French 2015:569-82; Brown and Waelde 2015: 578)</w:t>
      </w:r>
      <w:r w:rsidRPr="000F6BCF">
        <w:rPr>
          <w:rFonts w:ascii="Times New Roman" w:hAnsi="Times New Roman"/>
          <w:lang w:val="en-GB"/>
        </w:rPr>
        <w:t>, there are strong views that the medical model of disability, which sees disability as a problem to be cured, is unacceptable to disabled dancers; and that a social model (which sees disability as arising from the subjective structures which society imposes) or an affirmative model (that the focus should be on what people can do, rather than what they cannot) are preferable approaches. Embodiment is deeply intertwined with the medical model.  A disabled person cannot live ignorant of her body when there are constant reminders such as medical interventions, physical access, and the perpetuation of the ‘normal’ or ‘perfect’ body in the media. So it could be argued that the disabled body is constantly embodying, and through this a disabled person becomes highly effective at capturing and utilising unique body knowledge. This problematic base could argue against embo</w:t>
      </w:r>
      <w:r w:rsidR="00110811" w:rsidRPr="000F6BCF">
        <w:rPr>
          <w:rFonts w:ascii="Times New Roman" w:hAnsi="Times New Roman"/>
          <w:lang w:val="en-GB"/>
        </w:rPr>
        <w:t>diment being a unifying concept</w:t>
      </w:r>
      <w:r w:rsidRPr="000F6BCF">
        <w:rPr>
          <w:rFonts w:ascii="Times New Roman" w:hAnsi="Times New Roman"/>
          <w:lang w:val="en-GB"/>
        </w:rPr>
        <w:t>.</w:t>
      </w:r>
      <w:r w:rsidRPr="000F6BCF">
        <w:rPr>
          <w:rStyle w:val="FootnoteReference"/>
          <w:rFonts w:ascii="Times New Roman" w:hAnsi="Times New Roman"/>
          <w:lang w:val="en-GB"/>
        </w:rPr>
        <w:footnoteReference w:id="10"/>
      </w:r>
      <w:r w:rsidRPr="000F6BCF">
        <w:rPr>
          <w:rFonts w:ascii="Times New Roman" w:hAnsi="Times New Roman"/>
          <w:lang w:val="en-GB"/>
        </w:rPr>
        <w:t xml:space="preserve">  </w:t>
      </w:r>
    </w:p>
    <w:p w14:paraId="0FF9DEE8" w14:textId="77777777" w:rsidR="00DB555C" w:rsidRPr="000F6BCF" w:rsidRDefault="00DB555C" w:rsidP="00B251CF">
      <w:pPr>
        <w:pStyle w:val="ColorfulList-Accent11"/>
        <w:widowControl w:val="0"/>
        <w:ind w:left="0"/>
        <w:jc w:val="both"/>
        <w:rPr>
          <w:rFonts w:ascii="Times New Roman" w:hAnsi="Times New Roman"/>
          <w:lang w:val="en-GB"/>
        </w:rPr>
      </w:pPr>
    </w:p>
    <w:p w14:paraId="7FE92253" w14:textId="77777777" w:rsidR="00DB555C" w:rsidRPr="000F6BCF" w:rsidRDefault="00DB555C" w:rsidP="00B251CF">
      <w:pPr>
        <w:pStyle w:val="ColorfulList-Accent11"/>
        <w:widowControl w:val="0"/>
        <w:ind w:left="0"/>
        <w:jc w:val="both"/>
        <w:rPr>
          <w:rFonts w:ascii="Times New Roman" w:hAnsi="Times New Roman"/>
          <w:lang w:val="en-GB"/>
        </w:rPr>
      </w:pPr>
      <w:r w:rsidRPr="000F6BCF">
        <w:rPr>
          <w:rFonts w:ascii="Times New Roman" w:hAnsi="Times New Roman"/>
          <w:lang w:val="en-GB"/>
        </w:rPr>
        <w:t>As seen, however, there are other objections to arguing for a foundational role for embodiment. The ‘dance understanding’ of embodiment is multiple, varied, and poorly differentiated and articulated, and the ‘disability understanding’ of embodiment is negative or loaded.  Further the law (not just ICH law) does not directly engage with the notion except tangentially through law’s concept of ‘performance’. In the (non legal) definition of ‘performance’ offered by the New Oxford Dictionary, the link between the notions of performance and embodiment is clearly stated: performances are the embodiment on stage of creative works (literary, musical, choreographic works)</w:t>
      </w:r>
      <w:r w:rsidR="000D780D" w:rsidRPr="000F6BCF">
        <w:rPr>
          <w:rFonts w:ascii="Times New Roman" w:hAnsi="Times New Roman"/>
          <w:lang w:val="en-GB"/>
        </w:rPr>
        <w:t xml:space="preserve"> (Pearsall and Hanks 1999:602).</w:t>
      </w:r>
      <w:r w:rsidR="00CA72A7" w:rsidRPr="000F6BCF">
        <w:rPr>
          <w:rFonts w:ascii="Times New Roman" w:hAnsi="Times New Roman"/>
          <w:lang w:val="en-GB"/>
        </w:rPr>
        <w:t xml:space="preserve"> Through</w:t>
      </w:r>
      <w:r w:rsidRPr="000F6BCF">
        <w:rPr>
          <w:rFonts w:ascii="Times New Roman" w:hAnsi="Times New Roman"/>
          <w:lang w:val="en-GB"/>
        </w:rPr>
        <w:t xml:space="preserve"> its regulation of the production and dissemination of performances, the law arguably indirectly engages with the question of embodiment in dance.</w:t>
      </w:r>
    </w:p>
    <w:p w14:paraId="2DD6D0C3" w14:textId="77777777" w:rsidR="0095297F" w:rsidRPr="000F6BCF" w:rsidRDefault="0095297F" w:rsidP="00B251CF">
      <w:pPr>
        <w:widowControl w:val="0"/>
        <w:jc w:val="both"/>
        <w:rPr>
          <w:rFonts w:ascii="Times New Roman" w:hAnsi="Times New Roman"/>
          <w:lang w:val="en-GB"/>
        </w:rPr>
      </w:pPr>
    </w:p>
    <w:p w14:paraId="25139BCA" w14:textId="77777777" w:rsidR="00DB555C" w:rsidRPr="000F6BCF" w:rsidRDefault="00DB555C" w:rsidP="00B251CF">
      <w:pPr>
        <w:widowControl w:val="0"/>
        <w:jc w:val="both"/>
        <w:rPr>
          <w:rFonts w:ascii="Times New Roman" w:hAnsi="Times New Roman"/>
          <w:lang w:val="en-GB"/>
        </w:rPr>
      </w:pPr>
    </w:p>
    <w:p w14:paraId="7C4C4AC7" w14:textId="77777777" w:rsidR="00DB555C" w:rsidRPr="000F6BCF" w:rsidRDefault="00DB555C" w:rsidP="00B251CF">
      <w:pPr>
        <w:widowControl w:val="0"/>
        <w:jc w:val="both"/>
        <w:rPr>
          <w:rFonts w:ascii="Times New Roman" w:hAnsi="Times New Roman"/>
          <w:lang w:val="en-GB"/>
        </w:rPr>
      </w:pPr>
      <w:r w:rsidRPr="000F6BCF">
        <w:rPr>
          <w:rFonts w:ascii="Times New Roman" w:hAnsi="Times New Roman"/>
          <w:noProof/>
          <w:lang w:val="en-GB" w:eastAsia="en-GB"/>
        </w:rPr>
        <mc:AlternateContent>
          <mc:Choice Requires="wps">
            <w:drawing>
              <wp:anchor distT="0" distB="0" distL="114300" distR="114300" simplePos="0" relativeHeight="251664384" behindDoc="0" locked="0" layoutInCell="1" allowOverlap="1" wp14:anchorId="00FB3279" wp14:editId="3FCBEE80">
                <wp:simplePos x="0" y="0"/>
                <wp:positionH relativeFrom="column">
                  <wp:posOffset>1303655</wp:posOffset>
                </wp:positionH>
                <wp:positionV relativeFrom="paragraph">
                  <wp:posOffset>71755</wp:posOffset>
                </wp:positionV>
                <wp:extent cx="737235" cy="278130"/>
                <wp:effectExtent l="57150" t="38100" r="24765" b="83820"/>
                <wp:wrapNone/>
                <wp:docPr id="7" name="U-Turn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7235" cy="278130"/>
                        </a:xfrm>
                        <a:prstGeom prst="uturn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B396F" id="U-Turn Arrow 7" o:spid="_x0000_s1026" style="position:absolute;margin-left:102.65pt;margin-top:5.65pt;width:58.0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37235,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" path="m,278130l,121682c,54479,54479,,121682,l580787,v67203,,121682,54479,121682,121682l702469,139065r34766,l667703,208598,598170,139065r34766,l632936,121682v,-28801,-23348,-52149,-52149,-52149l121682,69533v-28801,,-52149,23348,-52149,52149l69533,278130,,278130xe" fillcolor="#dafda7" strokecolor="#98b954">
                <v:fill color2="#f5ffe6" rotate="t" angle="180" colors="0 #dafda7;22938f #e4fdc2;1 #f5ffe6" focus="100%" type="gradient"/>
                <v:shadow on="t" color="black" opacity="24903f" origin=",.5" offset="0,.55556mm"/>
                <v:path arrowok="t" o:connecttype="custom" o:connectlocs="0,278130;0,121682;121682,0;580787,0;702469,121682;702469,139065;737235,139065;667703,208598;598170,139065;632936,139065;632936,121682;580787,69533;121682,69533;69533,121682;69533,278130;0,278130" o:connectangles="0,0,0,0,0,0,0,0,0,0,0,0,0,0,0,0"/>
                <o:lock v:ext="edit" aspectratio="t"/>
              </v:shape>
            </w:pict>
          </mc:Fallback>
        </mc:AlternateContent>
      </w:r>
      <w:r w:rsidRPr="000F6BCF">
        <w:rPr>
          <w:rFonts w:ascii="Times New Roman" w:hAnsi="Times New Roman"/>
          <w:noProof/>
          <w:lang w:val="en-GB" w:eastAsia="en-GB"/>
        </w:rPr>
        <mc:AlternateContent>
          <mc:Choice Requires="wps">
            <w:drawing>
              <wp:anchor distT="0" distB="0" distL="114300" distR="114300" simplePos="0" relativeHeight="251661312" behindDoc="0" locked="0" layoutInCell="1" allowOverlap="1" wp14:anchorId="0D89743A" wp14:editId="6D3C9E33">
                <wp:simplePos x="0" y="0"/>
                <wp:positionH relativeFrom="column">
                  <wp:posOffset>1835150</wp:posOffset>
                </wp:positionH>
                <wp:positionV relativeFrom="paragraph">
                  <wp:posOffset>210185</wp:posOffset>
                </wp:positionV>
                <wp:extent cx="1382395" cy="343535"/>
                <wp:effectExtent l="6350" t="13970" r="11430" b="23495"/>
                <wp:wrapNone/>
                <wp:docPr id="6" name="Rounded 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2395" cy="343535"/>
                        </a:xfrm>
                        <a:prstGeom prst="roundRect">
                          <a:avLst>
                            <a:gd name="adj" fmla="val 16667"/>
                          </a:avLst>
                        </a:prstGeom>
                        <a:gradFill rotWithShape="1">
                          <a:gsLst>
                            <a:gs pos="0">
                              <a:srgbClr val="C9B5E8"/>
                            </a:gs>
                            <a:gs pos="35001">
                              <a:srgbClr val="D9CBEE"/>
                            </a:gs>
                            <a:gs pos="100000">
                              <a:srgbClr val="F0EAF9"/>
                            </a:gs>
                          </a:gsLst>
                          <a:lin ang="16200000" scaled="1"/>
                        </a:gradFill>
                        <a:ln w="9525" algn="ctr">
                          <a:solidFill>
                            <a:srgbClr val="7D60A0"/>
                          </a:solidFill>
                          <a:round/>
                          <a:headEnd/>
                          <a:tailEnd/>
                        </a:ln>
                        <a:effectLst>
                          <a:outerShdw blurRad="40000" dist="20000" dir="5400000" rotWithShape="0">
                            <a:srgbClr val="808080">
                              <a:alpha val="37999"/>
                            </a:srgbClr>
                          </a:outerShdw>
                        </a:effectLst>
                      </wps:spPr>
                      <wps:txbx>
                        <w:txbxContent>
                          <w:p w14:paraId="3CADD133" w14:textId="77777777" w:rsidR="00527C41" w:rsidRDefault="00527C41" w:rsidP="00DB555C">
                            <w:pPr>
                              <w:jc w:val="center"/>
                            </w:pPr>
                            <w:r>
                              <w:t>Performance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D89743A" id="Rounded Rectangle 3" o:spid="_x0000_s1026" style="position:absolute;left:0;text-align:left;margin-left:144.5pt;margin-top:16.55pt;width:108.85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" fillcolor="#c9b5e8" strokecolor="#7d60a0">
                <v:fill color2="#f0eaf9" rotate="t" angle="180" colors="0 #c9b5e8;22938f #d9cbee;1 #f0eaf9" focus="100%" type="gradient"/>
                <v:shadow on="t" opacity="24903f" origin=",.5" offset="0,.55556mm"/>
                <o:lock v:ext="edit" aspectratio="t"/>
                <v:textbox>
                  <w:txbxContent>
                    <w:p w14:paraId="3CADD133" w14:textId="77777777" w:rsidR="00527C41" w:rsidRDefault="00527C41" w:rsidP="00DB555C">
                      <w:pPr>
                        <w:jc w:val="center"/>
                      </w:pPr>
                      <w:r>
                        <w:t>Performance</w:t>
                      </w:r>
                    </w:p>
                  </w:txbxContent>
                </v:textbox>
              </v:roundrect>
            </w:pict>
          </mc:Fallback>
        </mc:AlternateContent>
      </w:r>
    </w:p>
    <w:p w14:paraId="15DDAF8E" w14:textId="77777777" w:rsidR="00DB555C" w:rsidRPr="000F6BCF" w:rsidRDefault="00DB555C" w:rsidP="00B251CF">
      <w:pPr>
        <w:pStyle w:val="ColorfulList-Accent11"/>
        <w:widowControl w:val="0"/>
        <w:ind w:left="0"/>
        <w:jc w:val="both"/>
        <w:rPr>
          <w:rFonts w:ascii="Times New Roman" w:hAnsi="Times New Roman"/>
          <w:lang w:val="en-GB"/>
        </w:rPr>
      </w:pPr>
      <w:r w:rsidRPr="000F6BCF">
        <w:rPr>
          <w:rFonts w:ascii="Times New Roman" w:hAnsi="Times New Roman"/>
          <w:noProof/>
          <w:lang w:val="en-GB" w:eastAsia="en-GB"/>
        </w:rPr>
        <mc:AlternateContent>
          <mc:Choice Requires="wps">
            <w:drawing>
              <wp:anchor distT="0" distB="0" distL="114300" distR="114300" simplePos="0" relativeHeight="251665408" behindDoc="0" locked="0" layoutInCell="1" allowOverlap="1" wp14:anchorId="498DEF28" wp14:editId="651CA945">
                <wp:simplePos x="0" y="0"/>
                <wp:positionH relativeFrom="column">
                  <wp:posOffset>1922145</wp:posOffset>
                </wp:positionH>
                <wp:positionV relativeFrom="paragraph">
                  <wp:posOffset>230505</wp:posOffset>
                </wp:positionV>
                <wp:extent cx="116840" cy="439420"/>
                <wp:effectExtent l="17145" t="10795" r="18415" b="26035"/>
                <wp:wrapNone/>
                <wp:docPr id="5" name="Down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439420"/>
                        </a:xfrm>
                        <a:prstGeom prst="downArrow">
                          <a:avLst>
                            <a:gd name="adj1" fmla="val 50000"/>
                            <a:gd name="adj2" fmla="val 50110"/>
                          </a:avLst>
                        </a:prstGeom>
                        <a:gradFill rotWithShape="1">
                          <a:gsLst>
                            <a:gs pos="0">
                              <a:srgbClr val="DAFDA7"/>
                            </a:gs>
                            <a:gs pos="35001">
                              <a:srgbClr val="E4FDC2"/>
                            </a:gs>
                            <a:gs pos="100000">
                              <a:srgbClr val="F5FFE6"/>
                            </a:gs>
                          </a:gsLst>
                          <a:lin ang="16200000" scaled="1"/>
                        </a:gradFill>
                        <a:ln w="9525" algn="ctr">
                          <a:solidFill>
                            <a:srgbClr val="98B954"/>
                          </a:solidFill>
                          <a:miter lim="800000"/>
                          <a:headEnd/>
                          <a:tailEnd/>
                        </a:ln>
                        <a:effectLst>
                          <a:outerShdw blurRad="40000"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4E7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51.35pt;margin-top:18.15pt;width:9.2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" adj="18722" fillcolor="#dafda7" strokecolor="#98b954">
                <v:fill color2="#f5ffe6" rotate="t" angle="180" colors="0 #dafda7;22938f #e4fdc2;1 #f5ffe6" focus="100%" type="gradient"/>
                <v:shadow on="t" opacity="24903f" origin=",.5" offset="0,.55556mm"/>
                <o:lock v:ext="edit" aspectratio="t"/>
              </v:shape>
            </w:pict>
          </mc:Fallback>
        </mc:AlternateContent>
      </w:r>
      <w:r w:rsidRPr="000F6BCF">
        <w:rPr>
          <w:rFonts w:ascii="Times New Roman" w:hAnsi="Times New Roman"/>
          <w:noProof/>
          <w:lang w:val="en-GB" w:eastAsia="en-GB"/>
        </w:rPr>
        <mc:AlternateContent>
          <mc:Choice Requires="wps">
            <w:drawing>
              <wp:anchor distT="0" distB="0" distL="114300" distR="114300" simplePos="0" relativeHeight="251659264" behindDoc="0" locked="0" layoutInCell="1" allowOverlap="1" wp14:anchorId="1796B0CF" wp14:editId="0B09A887">
                <wp:simplePos x="0" y="0"/>
                <wp:positionH relativeFrom="column">
                  <wp:posOffset>438785</wp:posOffset>
                </wp:positionH>
                <wp:positionV relativeFrom="paragraph">
                  <wp:posOffset>26670</wp:posOffset>
                </wp:positionV>
                <wp:extent cx="972820" cy="417195"/>
                <wp:effectExtent l="10160" t="6985" r="7620" b="23495"/>
                <wp:wrapNone/>
                <wp:docPr id="4" name="Rounded 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820" cy="417195"/>
                        </a:xfrm>
                        <a:prstGeom prst="roundRect">
                          <a:avLst>
                            <a:gd name="adj" fmla="val 16667"/>
                          </a:avLst>
                        </a:prstGeom>
                        <a:gradFill rotWithShape="1">
                          <a:gsLst>
                            <a:gs pos="0">
                              <a:srgbClr val="A3C4FF"/>
                            </a:gs>
                            <a:gs pos="35001">
                              <a:srgbClr val="BFD5FF"/>
                            </a:gs>
                            <a:gs pos="100000">
                              <a:srgbClr val="E5EEFF"/>
                            </a:gs>
                          </a:gsLst>
                          <a:lin ang="16200000" scaled="1"/>
                        </a:gradFill>
                        <a:ln w="9525" algn="ctr">
                          <a:solidFill>
                            <a:srgbClr val="4A7EBB"/>
                          </a:solidFill>
                          <a:round/>
                          <a:headEnd/>
                          <a:tailEnd/>
                        </a:ln>
                        <a:effectLst>
                          <a:outerShdw blurRad="40000" dist="20000" dir="5400000" rotWithShape="0">
                            <a:srgbClr val="808080">
                              <a:alpha val="37999"/>
                            </a:srgbClr>
                          </a:outerShdw>
                        </a:effectLst>
                      </wps:spPr>
                      <wps:txbx>
                        <w:txbxContent>
                          <w:p w14:paraId="6340443B" w14:textId="77777777" w:rsidR="00527C41" w:rsidRDefault="00527C41" w:rsidP="00DB555C">
                            <w:pPr>
                              <w:jc w:val="center"/>
                            </w:pPr>
                            <w:r>
                              <w:t>Law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6B0CF" id="Rounded Rectangle 1" o:spid="_x0000_s1027" style="position:absolute;left:0;text-align:left;margin-left:34.55pt;margin-top:2.1pt;width:76.6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" fillcolor="#a3c4ff" strokecolor="#4a7ebb">
                <v:fill color2="#e5eeff" rotate="t" angle="180" colors="0 #a3c4ff;22938f #bfd5ff;1 #e5eeff" focus="100%" type="gradient"/>
                <v:shadow on="t" opacity="24903f" origin=",.5" offset="0,.55556mm"/>
                <o:lock v:ext="edit" aspectratio="t"/>
                <v:textbox>
                  <w:txbxContent>
                    <w:p w14:paraId="6340443B" w14:textId="77777777" w:rsidR="00527C41" w:rsidRDefault="00527C41" w:rsidP="00DB555C">
                      <w:pPr>
                        <w:jc w:val="center"/>
                      </w:pPr>
                      <w:r>
                        <w:t>Law</w:t>
                      </w:r>
                    </w:p>
                  </w:txbxContent>
                </v:textbox>
              </v:roundrect>
            </w:pict>
          </mc:Fallback>
        </mc:AlternateContent>
      </w:r>
    </w:p>
    <w:p w14:paraId="74A4866B" w14:textId="77777777" w:rsidR="00DB555C" w:rsidRPr="000F6BCF" w:rsidRDefault="00DB555C" w:rsidP="00B251CF">
      <w:pPr>
        <w:pStyle w:val="ColorfulList-Accent11"/>
        <w:widowControl w:val="0"/>
        <w:ind w:left="0"/>
        <w:jc w:val="both"/>
        <w:rPr>
          <w:rFonts w:ascii="Times New Roman" w:hAnsi="Times New Roman"/>
          <w:lang w:val="en-GB"/>
        </w:rPr>
      </w:pPr>
      <w:r w:rsidRPr="000F6BCF">
        <w:rPr>
          <w:rFonts w:ascii="Times New Roman" w:hAnsi="Times New Roman"/>
          <w:noProof/>
          <w:lang w:val="en-GB" w:eastAsia="en-GB"/>
        </w:rPr>
        <mc:AlternateContent>
          <mc:Choice Requires="wps">
            <w:drawing>
              <wp:anchor distT="0" distB="0" distL="114300" distR="114300" simplePos="0" relativeHeight="251662336" behindDoc="0" locked="0" layoutInCell="1" allowOverlap="1" wp14:anchorId="0C9306C8" wp14:editId="7F77E1EC">
                <wp:simplePos x="0" y="0"/>
                <wp:positionH relativeFrom="column">
                  <wp:posOffset>1313953</wp:posOffset>
                </wp:positionH>
                <wp:positionV relativeFrom="paragraph">
                  <wp:posOffset>113748</wp:posOffset>
                </wp:positionV>
                <wp:extent cx="519430" cy="226695"/>
                <wp:effectExtent l="38100" t="133350" r="0" b="154305"/>
                <wp:wrapNone/>
                <wp:docPr id="2" name="Right Arrow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362079">
                          <a:off x="0" y="0"/>
                          <a:ext cx="519430" cy="226695"/>
                        </a:xfrm>
                        <a:prstGeom prst="rightArrow">
                          <a:avLst>
                            <a:gd name="adj1" fmla="val 50000"/>
                            <a:gd name="adj2" fmla="val 50016"/>
                          </a:avLst>
                        </a:prstGeom>
                        <a:gradFill rotWithShape="1">
                          <a:gsLst>
                            <a:gs pos="0">
                              <a:srgbClr val="DAFDA7"/>
                            </a:gs>
                            <a:gs pos="35001">
                              <a:srgbClr val="E4FDC2"/>
                            </a:gs>
                            <a:gs pos="100000">
                              <a:srgbClr val="F5FFE6"/>
                            </a:gs>
                          </a:gsLst>
                          <a:lin ang="16200000" scaled="1"/>
                        </a:gradFill>
                        <a:ln w="9525" algn="ctr">
                          <a:solidFill>
                            <a:srgbClr val="98B954"/>
                          </a:solidFill>
                          <a:miter lim="800000"/>
                          <a:headEnd/>
                          <a:tailEnd/>
                        </a:ln>
                        <a:effectLst>
                          <a:outerShdw blurRad="40000"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403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03.45pt;margin-top:8.95pt;width:40.9pt;height:17.85pt;rotation:258002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" adj="16885" fillcolor="#dafda7" strokecolor="#98b954">
                <v:fill color2="#f5ffe6" rotate="t" angle="180" colors="0 #dafda7;22938f #e4fdc2;1 #f5ffe6" focus="100%" type="gradient"/>
                <v:shadow on="t" opacity="24903f" origin=",.5" offset="0,.55556mm"/>
                <o:lock v:ext="edit" aspectratio="t"/>
              </v:shape>
            </w:pict>
          </mc:Fallback>
        </mc:AlternateContent>
      </w:r>
      <w:r w:rsidRPr="000F6BCF">
        <w:rPr>
          <w:rFonts w:ascii="Times New Roman" w:hAnsi="Times New Roman"/>
          <w:noProof/>
          <w:lang w:val="en-GB" w:eastAsia="en-GB"/>
        </w:rPr>
        <mc:AlternateContent>
          <mc:Choice Requires="wps">
            <w:drawing>
              <wp:anchor distT="0" distB="0" distL="114300" distR="114300" simplePos="0" relativeHeight="251663360" behindDoc="0" locked="0" layoutInCell="1" allowOverlap="1" wp14:anchorId="35230E93" wp14:editId="1CF2F05A">
                <wp:simplePos x="0" y="0"/>
                <wp:positionH relativeFrom="column">
                  <wp:posOffset>1353820</wp:posOffset>
                </wp:positionH>
                <wp:positionV relativeFrom="paragraph">
                  <wp:posOffset>53340</wp:posOffset>
                </wp:positionV>
                <wp:extent cx="350520" cy="255905"/>
                <wp:effectExtent l="10795" t="10160" r="10160" b="29210"/>
                <wp:wrapNone/>
                <wp:docPr id="3" name="&quot;No&quot; Symbo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55905"/>
                        </a:xfrm>
                        <a:prstGeom prst="noSmoking">
                          <a:avLst>
                            <a:gd name="adj" fmla="val 15826"/>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3582A"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5" o:spid="_x0000_s1026" type="#_x0000_t57" style="position:absolute;margin-left:106.6pt;margin-top:4.2pt;width:27.6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" adj="2496" fillcolor="#bcbcbc">
                <v:fill color2="#ededed" rotate="t" angle="180" colors="0 #bcbcbc;22938f #d0d0d0;1 #ededed" focus="100%" type="gradient"/>
                <v:shadow on="t" opacity="24903f" origin=",.5" offset="0,.55556mm"/>
                <o:lock v:ext="edit" aspectratio="t"/>
              </v:shape>
            </w:pict>
          </mc:Fallback>
        </mc:AlternateContent>
      </w:r>
    </w:p>
    <w:p w14:paraId="66C59AAC" w14:textId="77777777" w:rsidR="00DB555C" w:rsidRPr="000F6BCF" w:rsidRDefault="00DB555C" w:rsidP="00B251CF">
      <w:pPr>
        <w:pStyle w:val="ColorfulList-Accent11"/>
        <w:widowControl w:val="0"/>
        <w:ind w:left="0"/>
        <w:jc w:val="both"/>
        <w:rPr>
          <w:rFonts w:ascii="Times New Roman" w:hAnsi="Times New Roman"/>
          <w:lang w:val="en-GB"/>
        </w:rPr>
      </w:pPr>
      <w:r w:rsidRPr="000F6BCF">
        <w:rPr>
          <w:rFonts w:ascii="Times New Roman" w:hAnsi="Times New Roman"/>
          <w:noProof/>
          <w:lang w:val="en-GB" w:eastAsia="en-GB"/>
        </w:rPr>
        <mc:AlternateContent>
          <mc:Choice Requires="wps">
            <w:drawing>
              <wp:anchor distT="0" distB="0" distL="114300" distR="114300" simplePos="0" relativeHeight="251660288" behindDoc="0" locked="0" layoutInCell="1" allowOverlap="1" wp14:anchorId="2EFB6318" wp14:editId="7D15649C">
                <wp:simplePos x="0" y="0"/>
                <wp:positionH relativeFrom="column">
                  <wp:posOffset>1828800</wp:posOffset>
                </wp:positionH>
                <wp:positionV relativeFrom="paragraph">
                  <wp:posOffset>167640</wp:posOffset>
                </wp:positionV>
                <wp:extent cx="1264920" cy="365125"/>
                <wp:effectExtent l="9525" t="5715" r="11430" b="29210"/>
                <wp:wrapNone/>
                <wp:docPr id="1" name="Rounded 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4920" cy="365125"/>
                        </a:xfrm>
                        <a:prstGeom prst="roundRect">
                          <a:avLst>
                            <a:gd name="adj" fmla="val 16667"/>
                          </a:avLst>
                        </a:prstGeom>
                        <a:gradFill rotWithShape="1">
                          <a:gsLst>
                            <a:gs pos="0">
                              <a:srgbClr val="FFA2A1"/>
                            </a:gs>
                            <a:gs pos="35001">
                              <a:srgbClr val="FFBEBD"/>
                            </a:gs>
                            <a:gs pos="100000">
                              <a:srgbClr val="FFE5E5"/>
                            </a:gs>
                          </a:gsLst>
                          <a:lin ang="16200000" scaled="1"/>
                        </a:gradFill>
                        <a:ln w="9525" algn="ctr">
                          <a:solidFill>
                            <a:srgbClr val="BE4B48"/>
                          </a:solidFill>
                          <a:round/>
                          <a:headEnd/>
                          <a:tailEnd/>
                        </a:ln>
                        <a:effectLst>
                          <a:outerShdw blurRad="40000" dist="20000" dir="5400000" rotWithShape="0">
                            <a:srgbClr val="808080">
                              <a:alpha val="37999"/>
                            </a:srgbClr>
                          </a:outerShdw>
                        </a:effectLst>
                      </wps:spPr>
                      <wps:txbx>
                        <w:txbxContent>
                          <w:p w14:paraId="4AC1C83B" w14:textId="77777777" w:rsidR="00527C41" w:rsidRDefault="00527C41" w:rsidP="00DB555C">
                            <w:pPr>
                              <w:jc w:val="center"/>
                            </w:pPr>
                            <w:r>
                              <w:t>Embodiment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B6318" id="Rounded Rectangle 2" o:spid="_x0000_s1028" style="position:absolute;left:0;text-align:left;margin-left:2in;margin-top:13.2pt;width:99.6pt;height: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" fillcolor="#ffa2a1" strokecolor="#be4b48">
                <v:fill color2="#ffe5e5" rotate="t" angle="180" colors="0 #ffa2a1;22938f #ffbebd;1 #ffe5e5" focus="100%" type="gradient"/>
                <v:shadow on="t" opacity="24903f" origin=",.5" offset="0,.55556mm"/>
                <o:lock v:ext="edit" aspectratio="t"/>
                <v:textbox>
                  <w:txbxContent>
                    <w:p w14:paraId="4AC1C83B" w14:textId="77777777" w:rsidR="00527C41" w:rsidRDefault="00527C41" w:rsidP="00DB555C">
                      <w:pPr>
                        <w:jc w:val="center"/>
                      </w:pPr>
                      <w:r>
                        <w:t>Embodiment</w:t>
                      </w:r>
                    </w:p>
                  </w:txbxContent>
                </v:textbox>
              </v:roundrect>
            </w:pict>
          </mc:Fallback>
        </mc:AlternateContent>
      </w:r>
    </w:p>
    <w:p w14:paraId="45CBB697" w14:textId="77777777" w:rsidR="00DB555C" w:rsidRPr="000F6BCF" w:rsidRDefault="00DB555C" w:rsidP="00B251CF">
      <w:pPr>
        <w:pStyle w:val="ColorfulList-Accent11"/>
        <w:widowControl w:val="0"/>
        <w:ind w:left="0"/>
        <w:jc w:val="both"/>
        <w:rPr>
          <w:rFonts w:ascii="Times New Roman" w:hAnsi="Times New Roman"/>
          <w:lang w:val="en-GB"/>
        </w:rPr>
      </w:pPr>
    </w:p>
    <w:p w14:paraId="33288D3B" w14:textId="77777777" w:rsidR="00DB555C" w:rsidRPr="000F6BCF" w:rsidRDefault="00DB555C" w:rsidP="00B251CF">
      <w:pPr>
        <w:pStyle w:val="ColorfulList-Accent11"/>
        <w:widowControl w:val="0"/>
        <w:ind w:left="0"/>
        <w:jc w:val="both"/>
        <w:rPr>
          <w:rFonts w:ascii="Times New Roman" w:hAnsi="Times New Roman"/>
          <w:lang w:val="en-GB"/>
        </w:rPr>
      </w:pPr>
    </w:p>
    <w:p w14:paraId="35BEEA20" w14:textId="77777777" w:rsidR="00DB555C" w:rsidRPr="000F6BCF" w:rsidRDefault="00DB555C" w:rsidP="00B251CF">
      <w:pPr>
        <w:pStyle w:val="ColorfulList-Accent11"/>
        <w:widowControl w:val="0"/>
        <w:ind w:left="0"/>
        <w:jc w:val="both"/>
        <w:rPr>
          <w:rFonts w:ascii="Times New Roman" w:hAnsi="Times New Roman"/>
          <w:lang w:val="en-GB"/>
        </w:rPr>
      </w:pPr>
    </w:p>
    <w:p w14:paraId="7828915B" w14:textId="77777777" w:rsidR="00DB555C" w:rsidRPr="000F6BCF" w:rsidRDefault="00DB555C" w:rsidP="00B251CF">
      <w:pPr>
        <w:pStyle w:val="ColorfulList-Accent11"/>
        <w:widowControl w:val="0"/>
        <w:ind w:left="0"/>
        <w:jc w:val="both"/>
        <w:rPr>
          <w:rFonts w:ascii="Times New Roman" w:hAnsi="Times New Roman"/>
          <w:lang w:val="en-GB"/>
        </w:rPr>
      </w:pPr>
    </w:p>
    <w:p w14:paraId="475D580E" w14:textId="77777777" w:rsidR="00DB555C" w:rsidRPr="000F6BCF" w:rsidRDefault="00DB555C" w:rsidP="00B251CF">
      <w:pPr>
        <w:pStyle w:val="ColorfulList-Accent11"/>
        <w:widowControl w:val="0"/>
        <w:ind w:left="0"/>
        <w:jc w:val="both"/>
        <w:rPr>
          <w:rFonts w:ascii="Times New Roman" w:hAnsi="Times New Roman"/>
          <w:lang w:val="en-GB"/>
        </w:rPr>
      </w:pPr>
      <w:r w:rsidRPr="000F6BCF">
        <w:rPr>
          <w:rFonts w:ascii="Times New Roman" w:hAnsi="Times New Roman"/>
          <w:lang w:val="en-GB"/>
        </w:rPr>
        <w:t>Law does not, however, articulate a place for a more or less embodied performer or performance, or any question of degree or qua</w:t>
      </w:r>
      <w:r w:rsidR="003F1248" w:rsidRPr="000F6BCF">
        <w:rPr>
          <w:rFonts w:ascii="Times New Roman" w:hAnsi="Times New Roman"/>
          <w:lang w:val="en-GB"/>
        </w:rPr>
        <w:t xml:space="preserve">lity of embodiment </w:t>
      </w:r>
      <w:r w:rsidRPr="000F6BCF">
        <w:rPr>
          <w:rFonts w:ascii="Times New Roman" w:hAnsi="Times New Roman"/>
          <w:lang w:val="en-GB"/>
        </w:rPr>
        <w:t xml:space="preserve">because performances are not understood as adding any particular value to a work during the creative process. Performances are seen as a neutral, though sometimes necessary, step in the communication of a work to the audience, but never one that impacts the substance, quality or authority of the underlying work. To the extent that </w:t>
      </w:r>
      <w:r w:rsidR="00CA72A7" w:rsidRPr="000F6BCF">
        <w:rPr>
          <w:rFonts w:ascii="Times New Roman" w:hAnsi="Times New Roman"/>
          <w:lang w:val="en-GB"/>
        </w:rPr>
        <w:t>it</w:t>
      </w:r>
      <w:r w:rsidRPr="000F6BCF">
        <w:rPr>
          <w:rFonts w:ascii="Times New Roman" w:hAnsi="Times New Roman"/>
          <w:lang w:val="en-GB"/>
        </w:rPr>
        <w:t xml:space="preserve"> respect</w:t>
      </w:r>
      <w:r w:rsidR="00CA72A7" w:rsidRPr="000F6BCF">
        <w:rPr>
          <w:rFonts w:ascii="Times New Roman" w:hAnsi="Times New Roman"/>
          <w:lang w:val="en-GB"/>
        </w:rPr>
        <w:t>s</w:t>
      </w:r>
      <w:r w:rsidRPr="000F6BCF">
        <w:rPr>
          <w:rFonts w:ascii="Times New Roman" w:hAnsi="Times New Roman"/>
          <w:lang w:val="en-GB"/>
        </w:rPr>
        <w:t xml:space="preserve"> the integrity of the work </w:t>
      </w:r>
      <w:r w:rsidR="00CA72A7" w:rsidRPr="000F6BCF">
        <w:rPr>
          <w:rFonts w:ascii="Times New Roman" w:hAnsi="Times New Roman"/>
          <w:lang w:val="en-GB"/>
        </w:rPr>
        <w:t>it</w:t>
      </w:r>
      <w:r w:rsidRPr="000F6BCF">
        <w:rPr>
          <w:rFonts w:ascii="Times New Roman" w:hAnsi="Times New Roman"/>
          <w:lang w:val="en-GB"/>
        </w:rPr>
        <w:t xml:space="preserve"> convey</w:t>
      </w:r>
      <w:r w:rsidR="00CA72A7" w:rsidRPr="000F6BCF">
        <w:rPr>
          <w:rFonts w:ascii="Times New Roman" w:hAnsi="Times New Roman"/>
          <w:lang w:val="en-GB"/>
        </w:rPr>
        <w:t>s</w:t>
      </w:r>
      <w:r w:rsidRPr="000F6BCF">
        <w:rPr>
          <w:rFonts w:ascii="Times New Roman" w:hAnsi="Times New Roman"/>
          <w:lang w:val="en-GB"/>
        </w:rPr>
        <w:t xml:space="preserve">, </w:t>
      </w:r>
      <w:r w:rsidR="00CA72A7" w:rsidRPr="000F6BCF">
        <w:rPr>
          <w:rFonts w:ascii="Times New Roman" w:hAnsi="Times New Roman"/>
          <w:lang w:val="en-GB"/>
        </w:rPr>
        <w:t xml:space="preserve">a </w:t>
      </w:r>
      <w:r w:rsidRPr="000F6BCF">
        <w:rPr>
          <w:rFonts w:ascii="Times New Roman" w:hAnsi="Times New Roman"/>
          <w:lang w:val="en-GB"/>
        </w:rPr>
        <w:t xml:space="preserve">performance </w:t>
      </w:r>
      <w:r w:rsidR="00CA72A7" w:rsidRPr="000F6BCF">
        <w:rPr>
          <w:rFonts w:ascii="Times New Roman" w:hAnsi="Times New Roman"/>
          <w:lang w:val="en-GB"/>
        </w:rPr>
        <w:t>is</w:t>
      </w:r>
      <w:r w:rsidRPr="000F6BCF">
        <w:rPr>
          <w:rFonts w:ascii="Times New Roman" w:hAnsi="Times New Roman"/>
          <w:lang w:val="en-GB"/>
        </w:rPr>
        <w:t xml:space="preserve"> not expected to evidence artistic quality or ‘integrity’ since </w:t>
      </w:r>
      <w:r w:rsidR="00CA72A7" w:rsidRPr="000F6BCF">
        <w:rPr>
          <w:rFonts w:ascii="Times New Roman" w:hAnsi="Times New Roman"/>
          <w:lang w:val="en-GB"/>
        </w:rPr>
        <w:t>it is</w:t>
      </w:r>
      <w:r w:rsidRPr="000F6BCF">
        <w:rPr>
          <w:rFonts w:ascii="Times New Roman" w:hAnsi="Times New Roman"/>
          <w:lang w:val="en-GB"/>
        </w:rPr>
        <w:t xml:space="preserve"> limited to </w:t>
      </w:r>
      <w:r w:rsidR="00CA72A7" w:rsidRPr="000F6BCF">
        <w:rPr>
          <w:rFonts w:ascii="Times New Roman" w:hAnsi="Times New Roman"/>
          <w:lang w:val="en-GB"/>
        </w:rPr>
        <w:t xml:space="preserve">its </w:t>
      </w:r>
      <w:r w:rsidRPr="000F6BCF">
        <w:rPr>
          <w:rFonts w:ascii="Times New Roman" w:hAnsi="Times New Roman"/>
          <w:lang w:val="en-GB"/>
        </w:rPr>
        <w:t>function of transmission. In this logic, performing bodies merely function as a canvass for the communication of the underlying work.</w:t>
      </w:r>
    </w:p>
    <w:p w14:paraId="6307DEA3" w14:textId="77777777" w:rsidR="00DB555C" w:rsidRPr="000F6BCF" w:rsidRDefault="00DB555C" w:rsidP="00B251CF">
      <w:pPr>
        <w:pStyle w:val="ColorfulList-Accent11"/>
        <w:widowControl w:val="0"/>
        <w:ind w:left="0"/>
        <w:jc w:val="both"/>
        <w:rPr>
          <w:rFonts w:ascii="Times New Roman" w:hAnsi="Times New Roman"/>
          <w:lang w:val="en-GB"/>
        </w:rPr>
      </w:pPr>
    </w:p>
    <w:p w14:paraId="3FF4ECFB" w14:textId="77777777" w:rsidR="00DB555C" w:rsidRPr="000F6BCF" w:rsidRDefault="00DB555C" w:rsidP="00B251CF">
      <w:pPr>
        <w:pStyle w:val="ColorfulList-Accent11"/>
        <w:widowControl w:val="0"/>
        <w:ind w:left="0"/>
        <w:jc w:val="both"/>
        <w:rPr>
          <w:rFonts w:ascii="Times New Roman" w:hAnsi="Times New Roman"/>
          <w:lang w:val="en-GB"/>
        </w:rPr>
      </w:pPr>
      <w:r w:rsidRPr="000F6BCF">
        <w:rPr>
          <w:rFonts w:ascii="Times New Roman" w:hAnsi="Times New Roman"/>
          <w:lang w:val="en-GB"/>
        </w:rPr>
        <w:t>This idea of performance as being meaningless is a by-product of two independent but interlinked phenomena of the law in relation to creative works (i.e., of intellectual property law). First, the existing framework seems to over-estimate the authority of both the authors and the works performers interpret – for our purposes, the choreographers and the choreographic works. In essence, the choreographic work is seen as transcending the performing body to reach the audience. Such limited understanding of the performing process transpir</w:t>
      </w:r>
      <w:r w:rsidR="003F1248" w:rsidRPr="000F6BCF">
        <w:rPr>
          <w:rFonts w:ascii="Times New Roman" w:hAnsi="Times New Roman"/>
          <w:lang w:val="en-GB"/>
        </w:rPr>
        <w:t>es in the writing of the</w:t>
      </w:r>
      <w:r w:rsidRPr="000F6BCF">
        <w:rPr>
          <w:rFonts w:ascii="Times New Roman" w:hAnsi="Times New Roman"/>
          <w:lang w:val="en-GB"/>
        </w:rPr>
        <w:t xml:space="preserve"> British judge Justice Park when he describes the creative collaboration between composers and performing musicians as follows: </w:t>
      </w:r>
    </w:p>
    <w:p w14:paraId="323423E3" w14:textId="77777777" w:rsidR="00DB555C" w:rsidRPr="000F6BCF" w:rsidRDefault="00DB555C" w:rsidP="00B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left="720"/>
        <w:jc w:val="both"/>
        <w:rPr>
          <w:rFonts w:ascii="Times New Roman" w:hAnsi="Times New Roman"/>
          <w:lang w:val="en-GB"/>
        </w:rPr>
      </w:pPr>
      <w:r w:rsidRPr="000F6BCF">
        <w:rPr>
          <w:rFonts w:ascii="Times New Roman" w:hAnsi="Times New Roman"/>
          <w:lang w:val="en-GB"/>
        </w:rPr>
        <w:t>A composer can 'hear' the sound of his composition in his mind before he ever hears it played. […] When Mr Kemp was devising his songs the sound which he had in his musical consciousness must surely have been the sound they would have when performed by Spandau Ballet, not the sound they would have when sung by Mr Kemp alone to the accompaniment just of his own guitar.</w:t>
      </w:r>
      <w:r w:rsidR="006D7A80" w:rsidRPr="000F6BCF">
        <w:rPr>
          <w:rStyle w:val="FootnoteReference"/>
          <w:rFonts w:ascii="Times New Roman" w:hAnsi="Times New Roman"/>
          <w:lang w:val="en-GB"/>
        </w:rPr>
        <w:footnoteReference w:id="11"/>
      </w:r>
    </w:p>
    <w:p w14:paraId="155198FA" w14:textId="77777777" w:rsidR="00DB555C" w:rsidRPr="000F6BCF" w:rsidRDefault="00DB555C" w:rsidP="00B251CF">
      <w:pPr>
        <w:pStyle w:val="ColorfulList-Accent11"/>
        <w:widowControl w:val="0"/>
        <w:ind w:left="0"/>
        <w:jc w:val="both"/>
        <w:rPr>
          <w:rFonts w:ascii="Times New Roman" w:hAnsi="Times New Roman"/>
          <w:lang w:val="en-GB"/>
        </w:rPr>
      </w:pPr>
    </w:p>
    <w:p w14:paraId="76667CAB" w14:textId="77777777" w:rsidR="00DB555C" w:rsidRPr="000F6BCF" w:rsidRDefault="00DB555C" w:rsidP="00B251CF">
      <w:pPr>
        <w:pStyle w:val="ColorfulList-Accent11"/>
        <w:widowControl w:val="0"/>
        <w:ind w:left="0"/>
        <w:jc w:val="both"/>
        <w:rPr>
          <w:rFonts w:ascii="Times New Roman" w:hAnsi="Times New Roman"/>
          <w:lang w:val="en-GB"/>
        </w:rPr>
      </w:pPr>
      <w:r w:rsidRPr="000F6BCF">
        <w:rPr>
          <w:rFonts w:ascii="Times New Roman" w:hAnsi="Times New Roman"/>
          <w:lang w:val="en-GB"/>
        </w:rPr>
        <w:t>Second, and within this, the law considers the performer to be an inter-changeable per</w:t>
      </w:r>
      <w:r w:rsidR="003F1248" w:rsidRPr="000F6BCF">
        <w:rPr>
          <w:rFonts w:ascii="Times New Roman" w:hAnsi="Times New Roman"/>
          <w:lang w:val="en-GB"/>
        </w:rPr>
        <w:t xml:space="preserve">forming template whose </w:t>
      </w:r>
      <w:r w:rsidRPr="000F6BCF">
        <w:rPr>
          <w:rFonts w:ascii="Times New Roman" w:hAnsi="Times New Roman"/>
          <w:lang w:val="en-GB"/>
        </w:rPr>
        <w:t xml:space="preserve">peculiarities would or should be rubbed off to let the choreographic work stand by itself. This approach to the performing body was the crux of the </w:t>
      </w:r>
      <w:r w:rsidRPr="000F6BCF">
        <w:rPr>
          <w:rFonts w:ascii="Times New Roman" w:hAnsi="Times New Roman"/>
          <w:i/>
          <w:lang w:val="en-GB"/>
        </w:rPr>
        <w:t>Garcia v Google</w:t>
      </w:r>
      <w:r w:rsidRPr="000F6BCF">
        <w:rPr>
          <w:rFonts w:ascii="Times New Roman" w:hAnsi="Times New Roman"/>
          <w:lang w:val="en-GB"/>
        </w:rPr>
        <w:t xml:space="preserve"> case</w:t>
      </w:r>
      <w:r w:rsidR="00CA72A7" w:rsidRPr="000F6BCF">
        <w:rPr>
          <w:rFonts w:ascii="Times New Roman" w:hAnsi="Times New Roman"/>
          <w:lang w:val="en-GB"/>
        </w:rPr>
        <w:t xml:space="preserve"> in the US</w:t>
      </w:r>
      <w:r w:rsidRPr="000F6BCF">
        <w:rPr>
          <w:rFonts w:ascii="Times New Roman" w:hAnsi="Times New Roman"/>
          <w:lang w:val="en-GB"/>
        </w:rPr>
        <w:t>,</w:t>
      </w:r>
      <w:r w:rsidRPr="000F6BCF">
        <w:rPr>
          <w:rStyle w:val="FootnoteReference"/>
          <w:rFonts w:ascii="Times New Roman" w:hAnsi="Times New Roman"/>
          <w:lang w:val="en-GB"/>
        </w:rPr>
        <w:footnoteReference w:id="12"/>
      </w:r>
      <w:r w:rsidRPr="000F6BCF">
        <w:rPr>
          <w:rFonts w:ascii="Times New Roman" w:hAnsi="Times New Roman"/>
          <w:lang w:val="en-GB"/>
        </w:rPr>
        <w:t xml:space="preserve"> in which Cindy Garcia, an actress, had put forward a claim for the co-ownership and authorship of a video clip on the basis of her performance. Her contention was rejected on the grounds that performing was nothing more than acting as the mouthpiece for the author of a script: </w:t>
      </w:r>
    </w:p>
    <w:p w14:paraId="54C9A1C2" w14:textId="77777777" w:rsidR="00DB555C" w:rsidRPr="000F6BCF" w:rsidRDefault="00DB555C" w:rsidP="00B251CF">
      <w:pPr>
        <w:pStyle w:val="ColorfulList-Accent11"/>
        <w:widowControl w:val="0"/>
        <w:ind w:left="0"/>
        <w:jc w:val="both"/>
        <w:rPr>
          <w:rFonts w:ascii="Times New Roman" w:hAnsi="Times New Roman"/>
          <w:lang w:val="en-GB"/>
        </w:rPr>
      </w:pPr>
    </w:p>
    <w:p w14:paraId="564F7035" w14:textId="77777777" w:rsidR="00DB555C" w:rsidRPr="000F6BCF" w:rsidRDefault="00DB555C" w:rsidP="00B251CF">
      <w:pPr>
        <w:ind w:left="720"/>
        <w:jc w:val="both"/>
        <w:rPr>
          <w:rFonts w:ascii="Times New Roman" w:hAnsi="Times New Roman"/>
          <w:shd w:val="clear" w:color="auto" w:fill="FFFFFF"/>
        </w:rPr>
      </w:pPr>
      <w:r w:rsidRPr="000F6BCF">
        <w:rPr>
          <w:rFonts w:ascii="Times New Roman" w:hAnsi="Times New Roman"/>
          <w:shd w:val="clear" w:color="auto" w:fill="FFFFFF"/>
        </w:rPr>
        <w:t>Garcia</w:t>
      </w:r>
      <w:r w:rsidRPr="000F6BCF">
        <w:rPr>
          <w:rStyle w:val="apple-converted-space"/>
          <w:rFonts w:ascii="Times New Roman" w:hAnsi="Times New Roman"/>
          <w:shd w:val="clear" w:color="auto" w:fill="FFFFFF"/>
        </w:rPr>
        <w:t> </w:t>
      </w:r>
      <w:r w:rsidRPr="000F6BCF">
        <w:rPr>
          <w:rFonts w:ascii="Times New Roman" w:hAnsi="Times New Roman"/>
          <w:shd w:val="clear" w:color="auto" w:fill="FFFFFF"/>
        </w:rPr>
        <w:t>did not write the script; she followed it. Garcia</w:t>
      </w:r>
      <w:r w:rsidRPr="000F6BCF">
        <w:rPr>
          <w:rStyle w:val="apple-converted-space"/>
          <w:rFonts w:ascii="Times New Roman" w:hAnsi="Times New Roman"/>
          <w:shd w:val="clear" w:color="auto" w:fill="FFFFFF"/>
        </w:rPr>
        <w:t> </w:t>
      </w:r>
      <w:r w:rsidRPr="000F6BCF">
        <w:rPr>
          <w:rFonts w:ascii="Times New Roman" w:hAnsi="Times New Roman"/>
          <w:shd w:val="clear" w:color="auto" w:fill="FFFFFF"/>
        </w:rPr>
        <w:t>did not add words or thoughts to the film. She lent her voice to the words and her body to the scene.</w:t>
      </w:r>
      <w:r w:rsidRPr="000F6BCF">
        <w:rPr>
          <w:rStyle w:val="FootnoteReference"/>
          <w:rFonts w:ascii="Times New Roman" w:hAnsi="Times New Roman"/>
          <w:shd w:val="clear" w:color="auto" w:fill="FFFFFF"/>
        </w:rPr>
        <w:footnoteReference w:id="13"/>
      </w:r>
    </w:p>
    <w:p w14:paraId="40908E33" w14:textId="77777777" w:rsidR="00DB555C" w:rsidRPr="000F6BCF" w:rsidRDefault="00DB555C" w:rsidP="00B251CF">
      <w:pPr>
        <w:ind w:left="720"/>
        <w:jc w:val="both"/>
        <w:rPr>
          <w:rFonts w:ascii="Times New Roman" w:hAnsi="Times New Roman"/>
        </w:rPr>
      </w:pPr>
    </w:p>
    <w:p w14:paraId="04AC186B" w14:textId="77777777" w:rsidR="00DB555C" w:rsidRPr="000F6BCF" w:rsidRDefault="00DB555C" w:rsidP="00B251CF">
      <w:pPr>
        <w:pStyle w:val="ColorfulList-Accent11"/>
        <w:widowControl w:val="0"/>
        <w:ind w:left="0"/>
        <w:jc w:val="both"/>
        <w:rPr>
          <w:rFonts w:ascii="Times New Roman" w:hAnsi="Times New Roman"/>
          <w:lang w:val="en-GB"/>
        </w:rPr>
      </w:pPr>
      <w:r w:rsidRPr="000F6BCF">
        <w:rPr>
          <w:rFonts w:ascii="Times New Roman" w:hAnsi="Times New Roman"/>
          <w:lang w:val="en-GB"/>
        </w:rPr>
        <w:t>In effect, this view limits performers’ role to being the authors’ puppets</w:t>
      </w:r>
      <w:r w:rsidR="007D241C" w:rsidRPr="000F6BCF">
        <w:rPr>
          <w:rFonts w:ascii="Times New Roman" w:hAnsi="Times New Roman"/>
          <w:lang w:val="en-GB"/>
        </w:rPr>
        <w:t xml:space="preserve"> (Diderot 1883: 62; Pavis 2014:12)</w:t>
      </w:r>
      <w:r w:rsidRPr="000F6BCF">
        <w:rPr>
          <w:rFonts w:ascii="Times New Roman" w:hAnsi="Times New Roman"/>
          <w:lang w:val="en-GB"/>
        </w:rPr>
        <w:t>.</w:t>
      </w:r>
      <w:r w:rsidRPr="000F6BCF">
        <w:rPr>
          <w:rStyle w:val="FootnoteReference"/>
          <w:rFonts w:ascii="Times New Roman" w:hAnsi="Times New Roman"/>
          <w:lang w:val="en-GB"/>
        </w:rPr>
        <w:footnoteReference w:id="14"/>
      </w:r>
      <w:r w:rsidRPr="000F6BCF">
        <w:rPr>
          <w:rFonts w:ascii="Times New Roman" w:hAnsi="Times New Roman"/>
          <w:lang w:val="en-GB"/>
        </w:rPr>
        <w:t xml:space="preserve"> In doing so, the law assimilates the dancing body to that of a sophisticated pasteboard whose skills reside in the ability to interpret the work without modifying it content, meaning or quality</w:t>
      </w:r>
      <w:r w:rsidR="007D241C" w:rsidRPr="000F6BCF">
        <w:rPr>
          <w:rFonts w:ascii="Times New Roman" w:hAnsi="Times New Roman"/>
          <w:lang w:val="en-GB"/>
        </w:rPr>
        <w:t xml:space="preserve"> (Diderot 1883: 62)</w:t>
      </w:r>
      <w:r w:rsidRPr="000F6BCF">
        <w:rPr>
          <w:rFonts w:ascii="Times New Roman" w:hAnsi="Times New Roman"/>
          <w:lang w:val="en-GB"/>
        </w:rPr>
        <w:t xml:space="preserve">. Failing to do so would lead to unwanted variations, one might say distortions, of the performed version of the choreographic work. This approach thus presumes that dancers with similar bodies and equivalent skill levels should perform </w:t>
      </w:r>
      <w:r w:rsidR="003F1248" w:rsidRPr="000F6BCF">
        <w:rPr>
          <w:rFonts w:ascii="Times New Roman" w:hAnsi="Times New Roman"/>
          <w:lang w:val="en-GB"/>
        </w:rPr>
        <w:t xml:space="preserve">an </w:t>
      </w:r>
      <w:r w:rsidRPr="000F6BCF">
        <w:rPr>
          <w:rFonts w:ascii="Times New Roman" w:hAnsi="Times New Roman"/>
          <w:lang w:val="en-GB"/>
        </w:rPr>
        <w:t>almost identical rendering</w:t>
      </w:r>
      <w:r w:rsidR="003F1248" w:rsidRPr="000F6BCF">
        <w:rPr>
          <w:rFonts w:ascii="Times New Roman" w:hAnsi="Times New Roman"/>
          <w:lang w:val="en-GB"/>
        </w:rPr>
        <w:t xml:space="preserve"> of the same choreographic work</w:t>
      </w:r>
      <w:r w:rsidRPr="000F6BCF">
        <w:rPr>
          <w:rFonts w:ascii="Times New Roman" w:hAnsi="Times New Roman"/>
          <w:lang w:val="en-GB"/>
        </w:rPr>
        <w:t xml:space="preserve">. </w:t>
      </w:r>
    </w:p>
    <w:p w14:paraId="593164D6" w14:textId="77777777" w:rsidR="00DB555C" w:rsidRPr="000F6BCF" w:rsidRDefault="00DB555C" w:rsidP="00B251CF">
      <w:pPr>
        <w:pStyle w:val="ColorfulList-Accent11"/>
        <w:widowControl w:val="0"/>
        <w:ind w:left="0"/>
        <w:jc w:val="both"/>
        <w:rPr>
          <w:rFonts w:ascii="Times New Roman" w:hAnsi="Times New Roman"/>
          <w:lang w:val="en-GB"/>
        </w:rPr>
      </w:pPr>
    </w:p>
    <w:p w14:paraId="56F646C6" w14:textId="77777777" w:rsidR="00DB555C" w:rsidRPr="000F6BCF" w:rsidRDefault="00DB555C" w:rsidP="00B251CF">
      <w:pPr>
        <w:pStyle w:val="ColorfulList-Accent11"/>
        <w:widowControl w:val="0"/>
        <w:ind w:left="0"/>
        <w:jc w:val="both"/>
        <w:rPr>
          <w:rFonts w:ascii="Times New Roman" w:hAnsi="Times New Roman"/>
          <w:lang w:val="en-GB"/>
        </w:rPr>
      </w:pPr>
      <w:r w:rsidRPr="000F6BCF">
        <w:rPr>
          <w:rFonts w:ascii="Times New Roman" w:hAnsi="Times New Roman"/>
          <w:lang w:val="en-GB"/>
        </w:rPr>
        <w:t xml:space="preserve">Couched in such terms, the act of performing becomes a process of </w:t>
      </w:r>
      <w:r w:rsidRPr="000F6BCF">
        <w:rPr>
          <w:rFonts w:ascii="Times New Roman" w:hAnsi="Times New Roman"/>
          <w:i/>
          <w:lang w:val="en-GB"/>
        </w:rPr>
        <w:t>disembodiment</w:t>
      </w:r>
      <w:r w:rsidRPr="000F6BCF">
        <w:rPr>
          <w:rFonts w:ascii="Times New Roman" w:hAnsi="Times New Roman"/>
          <w:lang w:val="en-GB"/>
        </w:rPr>
        <w:t xml:space="preserve"> of the dancing body for it is expected to strip itself from its own physical, intellectual or emotional particularities to adopt those of the work. The relationship between the choreographic work and the performance of the choreographic work thus conceptualised offers no room for ‘embodiment’ as a meaningful notion. This leads us to conclude that performance – which is the only conceptual platform available to understand the idea of embodiment in law – is ‘disembodied’, leaving us with a strange theoretical paradox of ‘disembodied embodiment’. </w:t>
      </w:r>
    </w:p>
    <w:p w14:paraId="4105FC63" w14:textId="77777777" w:rsidR="00DB555C" w:rsidRPr="000F6BCF" w:rsidRDefault="00DB555C" w:rsidP="00B251CF">
      <w:pPr>
        <w:pStyle w:val="ColorfulList-Accent11"/>
        <w:widowControl w:val="0"/>
        <w:ind w:left="0" w:firstLine="720"/>
        <w:jc w:val="both"/>
        <w:rPr>
          <w:rFonts w:ascii="Times New Roman" w:hAnsi="Times New Roman"/>
          <w:lang w:val="en-GB"/>
        </w:rPr>
      </w:pPr>
    </w:p>
    <w:p w14:paraId="1DB02F5E" w14:textId="77777777" w:rsidR="00DB555C" w:rsidRPr="000F6BCF" w:rsidRDefault="00DB555C" w:rsidP="00B251CF">
      <w:pPr>
        <w:widowControl w:val="0"/>
        <w:jc w:val="both"/>
        <w:rPr>
          <w:rFonts w:ascii="Times New Roman" w:hAnsi="Times New Roman"/>
          <w:lang w:val="en-GB"/>
        </w:rPr>
      </w:pPr>
      <w:r w:rsidRPr="000F6BCF">
        <w:rPr>
          <w:rFonts w:ascii="Times New Roman" w:hAnsi="Times New Roman"/>
          <w:lang w:val="en-GB"/>
        </w:rPr>
        <w:t>From the dance perspective, therefore, embodiment has not done much to facilitate inclusiveness in dance, and indeed may be a barrier to inclusiveness insofar as it has failed to facilitate understandings of disabled da</w:t>
      </w:r>
      <w:r w:rsidR="003F1248" w:rsidRPr="000F6BCF">
        <w:rPr>
          <w:rFonts w:ascii="Times New Roman" w:hAnsi="Times New Roman"/>
          <w:lang w:val="en-GB"/>
        </w:rPr>
        <w:t>nce, or the disabled experience</w:t>
      </w:r>
      <w:r w:rsidRPr="000F6BCF">
        <w:rPr>
          <w:rFonts w:ascii="Times New Roman" w:hAnsi="Times New Roman"/>
          <w:lang w:val="en-GB"/>
        </w:rPr>
        <w:t>. The legal contribution is also limited. Ultimately, then, the notion of embodiment is slippery and contested, and does not offer the unifying theoretical foundation that we seek for disabled dance and around which the necessary community can coalesce for the purposes of ICH.  We therefore suggest that another organising concept, one that is perh</w:t>
      </w:r>
      <w:r w:rsidR="003F1248" w:rsidRPr="000F6BCF">
        <w:rPr>
          <w:rFonts w:ascii="Times New Roman" w:hAnsi="Times New Roman"/>
          <w:lang w:val="en-GB"/>
        </w:rPr>
        <w:t>aps more readily comprehensible,</w:t>
      </w:r>
      <w:r w:rsidRPr="000F6BCF">
        <w:rPr>
          <w:rFonts w:ascii="Times New Roman" w:hAnsi="Times New Roman"/>
          <w:lang w:val="en-GB"/>
        </w:rPr>
        <w:t xml:space="preserve"> and, additionally, presently more relevant and familiar to existing legal frameworks, might be more useful in capturing the diversity of being and moving that characterises disabled dance.  This starts with the human rights imbued concept of ‘integrity’.</w:t>
      </w:r>
    </w:p>
    <w:p w14:paraId="0B15F4FB" w14:textId="77777777" w:rsidR="00DB555C" w:rsidRPr="000F6BCF" w:rsidRDefault="00DB555C" w:rsidP="00B251CF">
      <w:pPr>
        <w:pStyle w:val="ColorfulList-Accent11"/>
        <w:widowControl w:val="0"/>
        <w:ind w:left="0" w:firstLine="720"/>
        <w:jc w:val="both"/>
        <w:rPr>
          <w:rFonts w:ascii="Times New Roman" w:hAnsi="Times New Roman"/>
          <w:lang w:val="en-GB"/>
        </w:rPr>
      </w:pPr>
    </w:p>
    <w:p w14:paraId="6463EDC4" w14:textId="77777777" w:rsidR="00DB555C" w:rsidRPr="000F6BCF" w:rsidRDefault="00DB555C" w:rsidP="00B251CF">
      <w:pPr>
        <w:pStyle w:val="ColorfulList-Accent11"/>
        <w:widowControl w:val="0"/>
        <w:ind w:left="0"/>
        <w:jc w:val="both"/>
        <w:rPr>
          <w:rFonts w:ascii="Times New Roman" w:hAnsi="Times New Roman"/>
          <w:b/>
          <w:lang w:val="en-GB"/>
        </w:rPr>
      </w:pPr>
      <w:r w:rsidRPr="000F6BCF">
        <w:rPr>
          <w:rFonts w:ascii="Times New Roman" w:hAnsi="Times New Roman"/>
          <w:b/>
          <w:lang w:val="en-GB"/>
        </w:rPr>
        <w:t xml:space="preserve">A better foundation: Integrity </w:t>
      </w:r>
    </w:p>
    <w:p w14:paraId="68A554F6" w14:textId="77777777" w:rsidR="00DB555C" w:rsidRPr="000F6BCF" w:rsidRDefault="00DB555C" w:rsidP="00B251CF">
      <w:pPr>
        <w:pStyle w:val="CommentText"/>
        <w:widowControl w:val="0"/>
        <w:jc w:val="both"/>
        <w:rPr>
          <w:rFonts w:ascii="Times New Roman" w:hAnsi="Times New Roman"/>
          <w:sz w:val="24"/>
          <w:szCs w:val="24"/>
          <w:lang w:val="en-GB"/>
        </w:rPr>
      </w:pPr>
    </w:p>
    <w:p w14:paraId="29B95CA0" w14:textId="77777777" w:rsidR="00DB555C" w:rsidRPr="000F6BCF" w:rsidRDefault="00DB555C" w:rsidP="00B251CF">
      <w:pPr>
        <w:pStyle w:val="CommentText"/>
        <w:widowControl w:val="0"/>
        <w:jc w:val="both"/>
        <w:rPr>
          <w:rFonts w:ascii="Times New Roman" w:hAnsi="Times New Roman"/>
          <w:sz w:val="24"/>
          <w:szCs w:val="24"/>
          <w:lang w:val="en-GB"/>
        </w:rPr>
      </w:pPr>
      <w:r w:rsidRPr="000F6BCF">
        <w:rPr>
          <w:rFonts w:ascii="Times New Roman" w:hAnsi="Times New Roman"/>
          <w:sz w:val="24"/>
          <w:szCs w:val="24"/>
          <w:lang w:val="en-GB"/>
        </w:rPr>
        <w:t>We consider that integrity can help us to achieve a new and necessary respect for the human body and the place of the disabled or differently-abled body in dance than was seen to be so in respect of embodiment.  Further, as will be explored</w:t>
      </w:r>
      <w:r w:rsidR="006D7A80" w:rsidRPr="000F6BCF">
        <w:rPr>
          <w:rFonts w:ascii="Times New Roman" w:hAnsi="Times New Roman"/>
          <w:sz w:val="24"/>
          <w:szCs w:val="24"/>
          <w:lang w:val="en-GB"/>
        </w:rPr>
        <w:t>,</w:t>
      </w:r>
      <w:r w:rsidRPr="000F6BCF">
        <w:rPr>
          <w:rFonts w:ascii="Times New Roman" w:hAnsi="Times New Roman"/>
          <w:sz w:val="24"/>
          <w:szCs w:val="24"/>
          <w:lang w:val="en-GB"/>
        </w:rPr>
        <w:t xml:space="preserve"> integrity has important links with the field of cultural heritage, and, like heritage, it has human rights foundations.  </w:t>
      </w:r>
    </w:p>
    <w:p w14:paraId="4723383F" w14:textId="77777777" w:rsidR="00DB555C" w:rsidRPr="000F6BCF" w:rsidRDefault="00DB555C" w:rsidP="00B251CF">
      <w:pPr>
        <w:widowControl w:val="0"/>
        <w:jc w:val="both"/>
        <w:rPr>
          <w:rFonts w:ascii="Times New Roman" w:hAnsi="Times New Roman"/>
          <w:lang w:val="en-GB"/>
        </w:rPr>
      </w:pPr>
    </w:p>
    <w:p w14:paraId="2D31A5B9" w14:textId="31373B0A" w:rsidR="00DB555C" w:rsidRPr="000F6BCF" w:rsidRDefault="00DB555C" w:rsidP="00B251CF">
      <w:pPr>
        <w:widowControl w:val="0"/>
        <w:jc w:val="both"/>
        <w:rPr>
          <w:rFonts w:ascii="Times New Roman" w:hAnsi="Times New Roman"/>
          <w:lang w:val="en-GB"/>
        </w:rPr>
      </w:pPr>
      <w:r w:rsidRPr="000F6BCF">
        <w:rPr>
          <w:rFonts w:ascii="Times New Roman" w:hAnsi="Times New Roman"/>
          <w:lang w:val="en-GB"/>
        </w:rPr>
        <w:t xml:space="preserve">Integrity is closely linked to dignity, which refers </w:t>
      </w:r>
      <w:r w:rsidR="00D269F6" w:rsidRPr="000F6BCF">
        <w:rPr>
          <w:rFonts w:ascii="Times New Roman" w:hAnsi="Times New Roman"/>
          <w:lang w:val="en-GB"/>
        </w:rPr>
        <w:t xml:space="preserve">inter alia </w:t>
      </w:r>
      <w:r w:rsidRPr="000F6BCF">
        <w:rPr>
          <w:rFonts w:ascii="Times New Roman" w:hAnsi="Times New Roman"/>
          <w:lang w:val="en-GB"/>
        </w:rPr>
        <w:t>to the unity and wellbeing of the person</w:t>
      </w:r>
      <w:r w:rsidR="007D241C" w:rsidRPr="000F6BCF">
        <w:rPr>
          <w:rFonts w:ascii="Times New Roman" w:hAnsi="Times New Roman"/>
          <w:lang w:val="en-GB"/>
        </w:rPr>
        <w:t xml:space="preserve"> (</w:t>
      </w:r>
      <w:r w:rsidR="007E5207" w:rsidRPr="000F6BCF">
        <w:rPr>
          <w:rFonts w:ascii="Times New Roman" w:hAnsi="Times New Roman"/>
          <w:lang w:val="en-GB"/>
        </w:rPr>
        <w:t>Foster 2011; UDHR and UNESCO Universal Declaration on Bioethics)</w:t>
      </w:r>
      <w:r w:rsidRPr="000F6BCF">
        <w:rPr>
          <w:rFonts w:ascii="Times New Roman" w:hAnsi="Times New Roman"/>
          <w:lang w:val="en-GB"/>
        </w:rPr>
        <w:t>. As such, the constitution of human integrity, both physical and emotional, has been argued to be dependent on the experience of ‘intersubjective recognition’ (i.e., it depends on receiving approval and respect from others)</w:t>
      </w:r>
      <w:r w:rsidR="007D241C" w:rsidRPr="000F6BCF">
        <w:rPr>
          <w:rFonts w:ascii="Times New Roman" w:hAnsi="Times New Roman"/>
          <w:lang w:val="en-GB"/>
        </w:rPr>
        <w:t xml:space="preserve"> (Honneth 1992: 187-201)</w:t>
      </w:r>
      <w:r w:rsidRPr="000F6BCF">
        <w:rPr>
          <w:rFonts w:ascii="Times New Roman" w:hAnsi="Times New Roman"/>
          <w:lang w:val="en-GB"/>
        </w:rPr>
        <w:t>.  This idea of intersubjectivity founds several theories of recognition</w:t>
      </w:r>
      <w:r w:rsidR="007D241C" w:rsidRPr="000F6BCF">
        <w:rPr>
          <w:rFonts w:ascii="Times New Roman" w:hAnsi="Times New Roman"/>
          <w:lang w:val="en-GB"/>
        </w:rPr>
        <w:t xml:space="preserve"> (Hegel 1978)</w:t>
      </w:r>
      <w:r w:rsidRPr="000F6BCF">
        <w:rPr>
          <w:rFonts w:ascii="Times New Roman" w:hAnsi="Times New Roman"/>
          <w:lang w:val="en-GB"/>
        </w:rPr>
        <w:t xml:space="preserve"> which generally hold that individuation is a process in which the individual expresses an identity to the extent permitted by those with whom she is in communication and partnership; we construct our identity in large part by learning from, and drawing on, the perspectives of others toward our qualities and abilities – an idea that is closely linked to the meaning of community within the ICHC.  Identity construction has been termed a process which is ‘fragmentary, comple</w:t>
      </w:r>
      <w:r w:rsidR="007D241C" w:rsidRPr="000F6BCF">
        <w:rPr>
          <w:rFonts w:ascii="Times New Roman" w:hAnsi="Times New Roman"/>
          <w:lang w:val="en-GB"/>
        </w:rPr>
        <w:t>x, multi-faceted and changeable</w:t>
      </w:r>
      <w:r w:rsidRPr="000F6BCF">
        <w:rPr>
          <w:rFonts w:ascii="Times New Roman" w:hAnsi="Times New Roman"/>
          <w:lang w:val="en-GB"/>
        </w:rPr>
        <w:t>’</w:t>
      </w:r>
      <w:r w:rsidR="007D241C" w:rsidRPr="000F6BCF">
        <w:rPr>
          <w:rFonts w:ascii="Times New Roman" w:hAnsi="Times New Roman"/>
          <w:lang w:val="en-GB"/>
        </w:rPr>
        <w:t xml:space="preserve"> (Briginshaw 2001:119)</w:t>
      </w:r>
      <w:r w:rsidRPr="000F6BCF">
        <w:rPr>
          <w:rFonts w:ascii="Times New Roman" w:hAnsi="Times New Roman"/>
          <w:lang w:val="en-GB"/>
        </w:rPr>
        <w:t xml:space="preserve">  - again identity is central to the ICHC.  </w:t>
      </w:r>
    </w:p>
    <w:p w14:paraId="64AF8611" w14:textId="77777777" w:rsidR="00DB555C" w:rsidRPr="000F6BCF" w:rsidRDefault="00DB555C" w:rsidP="00B251CF">
      <w:pPr>
        <w:widowControl w:val="0"/>
        <w:jc w:val="both"/>
        <w:rPr>
          <w:rFonts w:ascii="Times New Roman" w:hAnsi="Times New Roman"/>
          <w:lang w:val="en-GB"/>
        </w:rPr>
      </w:pPr>
    </w:p>
    <w:p w14:paraId="3CB72E8A" w14:textId="2EE0BB23" w:rsidR="00DB555C" w:rsidRPr="000F6BCF" w:rsidRDefault="00DB555C" w:rsidP="00B251CF">
      <w:pPr>
        <w:widowControl w:val="0"/>
        <w:jc w:val="both"/>
        <w:rPr>
          <w:rFonts w:ascii="Times New Roman" w:hAnsi="Times New Roman"/>
          <w:lang w:val="en-GB"/>
        </w:rPr>
      </w:pPr>
      <w:r w:rsidRPr="000F6BCF">
        <w:rPr>
          <w:rFonts w:ascii="Times New Roman" w:hAnsi="Times New Roman"/>
          <w:lang w:val="en-GB"/>
        </w:rPr>
        <w:t>This social entanglement by its very nature renders us vulnerable to ‘disrespect’, which, depending on the form it takes, can upset one’s relationship to self. It has been argued that there are three gradations of disrespect which, importantly, can derogate from one’s integrity.  The first, and arguably least damaging, is that which has negative consequences for one’s social value, either individually or as a group.  It entails a social devaluing that erodes both one’s own self-perception as worthy of esteem, and others’ perception that one is deserving of esteem</w:t>
      </w:r>
      <w:r w:rsidR="007D241C" w:rsidRPr="000F6BCF">
        <w:rPr>
          <w:rFonts w:ascii="Times New Roman" w:hAnsi="Times New Roman"/>
          <w:lang w:val="en-GB"/>
        </w:rPr>
        <w:t xml:space="preserve"> (Speier 1952; Berger 1970:33</w:t>
      </w:r>
      <w:r w:rsidR="007E5207" w:rsidRPr="000F6BCF">
        <w:rPr>
          <w:rFonts w:ascii="Times New Roman" w:hAnsi="Times New Roman"/>
          <w:lang w:val="en-GB"/>
        </w:rPr>
        <w:t>8-347</w:t>
      </w:r>
      <w:r w:rsidR="007D241C" w:rsidRPr="000F6BCF">
        <w:rPr>
          <w:rFonts w:ascii="Times New Roman" w:hAnsi="Times New Roman"/>
          <w:lang w:val="en-GB"/>
        </w:rPr>
        <w:t>)</w:t>
      </w:r>
      <w:r w:rsidRPr="000F6BCF">
        <w:rPr>
          <w:rFonts w:ascii="Times New Roman" w:hAnsi="Times New Roman"/>
          <w:lang w:val="en-GB"/>
        </w:rPr>
        <w:t xml:space="preserve">.  This can occur when one’s qualities and abilities are measured, through that communicative and externally-influenced process, against a standard or norm informed by the majority.  Foucault, in his discussion of ‘normalisation’, noted those modes of “which work by setting up standards or ‘norms’ against which individuals continually measure, </w:t>
      </w:r>
      <w:r w:rsidR="00E078D9" w:rsidRPr="000F6BCF">
        <w:rPr>
          <w:rFonts w:ascii="Times New Roman" w:hAnsi="Times New Roman"/>
          <w:lang w:val="en-GB"/>
        </w:rPr>
        <w:t>j</w:t>
      </w:r>
      <w:r w:rsidRPr="000F6BCF">
        <w:rPr>
          <w:rFonts w:ascii="Times New Roman" w:hAnsi="Times New Roman"/>
          <w:lang w:val="en-GB"/>
        </w:rPr>
        <w:t>udge, and ‘discipline’ and ‘correct’ their beh</w:t>
      </w:r>
      <w:r w:rsidR="007D241C" w:rsidRPr="000F6BCF">
        <w:rPr>
          <w:rFonts w:ascii="Times New Roman" w:hAnsi="Times New Roman"/>
          <w:lang w:val="en-GB"/>
        </w:rPr>
        <w:t>aviour and presentation of self</w:t>
      </w:r>
      <w:r w:rsidRPr="000F6BCF">
        <w:rPr>
          <w:rFonts w:ascii="Times New Roman" w:hAnsi="Times New Roman"/>
          <w:lang w:val="en-GB"/>
        </w:rPr>
        <w:t>”</w:t>
      </w:r>
      <w:r w:rsidR="007D241C" w:rsidRPr="000F6BCF">
        <w:rPr>
          <w:rFonts w:ascii="Times New Roman" w:hAnsi="Times New Roman"/>
          <w:lang w:val="en-GB"/>
        </w:rPr>
        <w:t xml:space="preserve"> (Borno 1993:199).</w:t>
      </w:r>
      <w:r w:rsidRPr="000F6BCF">
        <w:rPr>
          <w:rFonts w:ascii="Times New Roman" w:hAnsi="Times New Roman"/>
          <w:lang w:val="en-GB"/>
        </w:rPr>
        <w:t xml:space="preserve">  In short, one can have one’s identity and integrity eroded or disregarded through social normalisation such as of physique, movement, acumen, and one can thereby be marginalised</w:t>
      </w:r>
      <w:r w:rsidRPr="000F6BCF">
        <w:rPr>
          <w:rFonts w:ascii="Times New Roman" w:hAnsi="Times New Roman"/>
          <w:b/>
          <w:lang w:val="en-GB"/>
        </w:rPr>
        <w:t xml:space="preserve">. </w:t>
      </w:r>
    </w:p>
    <w:p w14:paraId="5A814158" w14:textId="77777777" w:rsidR="00DB555C" w:rsidRPr="000F6BCF" w:rsidRDefault="00DB555C" w:rsidP="00B251CF">
      <w:pPr>
        <w:widowControl w:val="0"/>
        <w:jc w:val="both"/>
        <w:rPr>
          <w:rFonts w:ascii="Times New Roman" w:hAnsi="Times New Roman"/>
          <w:lang w:val="en-GB"/>
        </w:rPr>
      </w:pPr>
    </w:p>
    <w:p w14:paraId="2BB4A550" w14:textId="77777777" w:rsidR="00DB555C" w:rsidRPr="000F6BCF" w:rsidRDefault="00DB555C" w:rsidP="00B251CF">
      <w:pPr>
        <w:widowControl w:val="0"/>
        <w:jc w:val="both"/>
        <w:rPr>
          <w:rFonts w:ascii="Times New Roman" w:hAnsi="Times New Roman"/>
          <w:lang w:val="en-GB"/>
        </w:rPr>
      </w:pPr>
      <w:r w:rsidRPr="000F6BCF">
        <w:rPr>
          <w:rFonts w:ascii="Times New Roman" w:hAnsi="Times New Roman"/>
          <w:lang w:val="en-GB"/>
        </w:rPr>
        <w:t>The second, and arguably more damaging form of disrespect is that which is structured.  The exclusion of individuals or groups from certain rights that members of a given society expect within that society undermines more than just esteem.  This form of disrespect has been described as follows:</w:t>
      </w:r>
    </w:p>
    <w:p w14:paraId="4C36A775" w14:textId="77777777" w:rsidR="00DB555C" w:rsidRPr="000F6BCF" w:rsidRDefault="00DB555C" w:rsidP="00B251CF">
      <w:pPr>
        <w:widowControl w:val="0"/>
        <w:jc w:val="both"/>
        <w:rPr>
          <w:rFonts w:ascii="Times New Roman" w:hAnsi="Times New Roman"/>
          <w:lang w:val="en-GB"/>
        </w:rPr>
      </w:pPr>
    </w:p>
    <w:p w14:paraId="67C31296" w14:textId="77777777" w:rsidR="00DB555C" w:rsidRPr="000F6BCF" w:rsidRDefault="00DB555C" w:rsidP="00B251CF">
      <w:pPr>
        <w:widowControl w:val="0"/>
        <w:ind w:left="709" w:right="798"/>
        <w:jc w:val="both"/>
        <w:rPr>
          <w:rFonts w:ascii="Times New Roman" w:hAnsi="Times New Roman"/>
          <w:lang w:val="en-GB"/>
        </w:rPr>
      </w:pPr>
      <w:r w:rsidRPr="000F6BCF">
        <w:rPr>
          <w:rFonts w:ascii="Times New Roman" w:hAnsi="Times New Roman"/>
          <w:lang w:val="en-GB"/>
        </w:rPr>
        <w:t>For the individual, having socially valid legal rights withheld from him or her signifies a violation of the person’s intersubjective expectation that he or she will be recognized as a subject capable of reaching moral judgments. To this extent, the experience of being denied rights is typically coupled with a loss of self-respect, of the ability to relate to oneself as a partner to interaction in possession of equal rights on a par with all other individuals.</w:t>
      </w:r>
      <w:r w:rsidR="007D241C" w:rsidRPr="000F6BCF">
        <w:rPr>
          <w:rFonts w:ascii="Times New Roman" w:hAnsi="Times New Roman"/>
          <w:lang w:val="en-GB"/>
        </w:rPr>
        <w:t xml:space="preserve"> (Honneth 1992:191)</w:t>
      </w:r>
    </w:p>
    <w:p w14:paraId="41ACF197" w14:textId="77777777" w:rsidR="00DB555C" w:rsidRPr="000F6BCF" w:rsidRDefault="00DB555C" w:rsidP="00B251CF">
      <w:pPr>
        <w:widowControl w:val="0"/>
        <w:jc w:val="both"/>
        <w:rPr>
          <w:rFonts w:ascii="Times New Roman" w:hAnsi="Times New Roman"/>
          <w:lang w:val="en-GB"/>
        </w:rPr>
      </w:pPr>
    </w:p>
    <w:p w14:paraId="22BCF351" w14:textId="77777777" w:rsidR="00DB555C" w:rsidRPr="000F6BCF" w:rsidRDefault="00DB555C" w:rsidP="00B251CF">
      <w:pPr>
        <w:widowControl w:val="0"/>
        <w:jc w:val="both"/>
        <w:rPr>
          <w:rFonts w:ascii="Times New Roman" w:hAnsi="Times New Roman"/>
          <w:lang w:val="en-GB"/>
        </w:rPr>
      </w:pPr>
      <w:r w:rsidRPr="000F6BCF">
        <w:rPr>
          <w:rFonts w:ascii="Times New Roman" w:hAnsi="Times New Roman"/>
          <w:lang w:val="en-GB"/>
        </w:rPr>
        <w:t>Denial of rights and social ostracism lead to a downgrading of the form of living exemplified by the target group, and therefore to ‘social death’, and, on an individual basis, it unravels the identity that is (often painstakingly) constructed (or attempted to be constructed) through ongoing socialisation.</w:t>
      </w:r>
    </w:p>
    <w:p w14:paraId="45CF2C83" w14:textId="77777777" w:rsidR="00DB555C" w:rsidRPr="000F6BCF" w:rsidRDefault="00DB555C" w:rsidP="00B251CF">
      <w:pPr>
        <w:widowControl w:val="0"/>
        <w:jc w:val="both"/>
        <w:rPr>
          <w:rFonts w:ascii="Times New Roman" w:hAnsi="Times New Roman"/>
          <w:lang w:val="en-GB"/>
        </w:rPr>
      </w:pPr>
    </w:p>
    <w:p w14:paraId="37EB7F5F" w14:textId="77777777" w:rsidR="00DB555C" w:rsidRPr="000F6BCF" w:rsidRDefault="00DB555C" w:rsidP="00B251CF">
      <w:pPr>
        <w:widowControl w:val="0"/>
        <w:jc w:val="both"/>
        <w:rPr>
          <w:rFonts w:ascii="Times New Roman" w:hAnsi="Times New Roman"/>
          <w:lang w:val="en-GB"/>
        </w:rPr>
      </w:pPr>
      <w:r w:rsidRPr="000F6BCF">
        <w:rPr>
          <w:rFonts w:ascii="Times New Roman" w:hAnsi="Times New Roman"/>
          <w:lang w:val="en-GB"/>
        </w:rPr>
        <w:t xml:space="preserve">Again, the process of normalisation is critical, and the historical exclusion of difference is exemplified by how lepers led to the recognition of ‘madman’, both of whom were ridiculed for their differentness.  Foucault </w:t>
      </w:r>
      <w:r w:rsidR="006652D7" w:rsidRPr="000F6BCF">
        <w:rPr>
          <w:rFonts w:ascii="Times New Roman" w:hAnsi="Times New Roman"/>
          <w:lang w:val="en-GB"/>
        </w:rPr>
        <w:t xml:space="preserve">(1965:11) </w:t>
      </w:r>
      <w:r w:rsidRPr="000F6BCF">
        <w:rPr>
          <w:rFonts w:ascii="Times New Roman" w:hAnsi="Times New Roman"/>
          <w:lang w:val="en-GB"/>
        </w:rPr>
        <w:t>explains the lepers’ and madmen’s care by external society but exclusion from internal society as an admission that “what was formerly a visible fortress of order has now beco</w:t>
      </w:r>
      <w:r w:rsidR="007D241C" w:rsidRPr="000F6BCF">
        <w:rPr>
          <w:rFonts w:ascii="Times New Roman" w:hAnsi="Times New Roman"/>
          <w:lang w:val="en-GB"/>
        </w:rPr>
        <w:t>me the castle of our conscience</w:t>
      </w:r>
      <w:r w:rsidRPr="000F6BCF">
        <w:rPr>
          <w:rFonts w:ascii="Times New Roman" w:hAnsi="Times New Roman"/>
          <w:lang w:val="en-GB"/>
        </w:rPr>
        <w:t>”</w:t>
      </w:r>
      <w:r w:rsidR="007D241C" w:rsidRPr="000F6BCF">
        <w:rPr>
          <w:rFonts w:ascii="Times New Roman" w:hAnsi="Times New Roman"/>
          <w:lang w:val="en-GB"/>
        </w:rPr>
        <w:t>.</w:t>
      </w:r>
      <w:r w:rsidRPr="000F6BCF">
        <w:rPr>
          <w:rStyle w:val="FootnoteReference"/>
          <w:rFonts w:ascii="Times New Roman" w:hAnsi="Times New Roman"/>
          <w:lang w:val="en-GB"/>
        </w:rPr>
        <w:footnoteReference w:id="15"/>
      </w:r>
      <w:r w:rsidRPr="000F6BCF">
        <w:rPr>
          <w:rFonts w:ascii="Times New Roman" w:hAnsi="Times New Roman"/>
          <w:lang w:val="en-GB"/>
        </w:rPr>
        <w:t xml:space="preserve">  So, as a society, we are often ill-equipped to engage with someone who, historically (though often wrongly), has never been taken seriously, or who has been excluded.  Instead, society has withheld its benefits from them and thereby eroded their integrity.  Disability has often been a basis of this form of disrespect, and systematic denials of rights have signalled that the disabled person is not deemed worthy of the moral accountability shown to others</w:t>
      </w:r>
      <w:r w:rsidR="00767FAF" w:rsidRPr="000F6BCF">
        <w:rPr>
          <w:rFonts w:ascii="Times New Roman" w:hAnsi="Times New Roman"/>
          <w:lang w:val="en-GB"/>
        </w:rPr>
        <w:t xml:space="preserve"> (Feinberg 1980:</w:t>
      </w:r>
      <w:r w:rsidR="00767FAF" w:rsidRPr="000F6BCF">
        <w:rPr>
          <w:rFonts w:ascii="Times New Roman" w:hAnsi="Times New Roman"/>
        </w:rPr>
        <w:t xml:space="preserve"> 143-158)</w:t>
      </w:r>
      <w:r w:rsidRPr="000F6BCF">
        <w:rPr>
          <w:rFonts w:ascii="Times New Roman" w:hAnsi="Times New Roman"/>
          <w:lang w:val="en-GB"/>
        </w:rPr>
        <w:t>.</w:t>
      </w:r>
    </w:p>
    <w:p w14:paraId="60823AEC" w14:textId="77777777" w:rsidR="00DB555C" w:rsidRPr="000F6BCF" w:rsidRDefault="00DB555C" w:rsidP="00B251CF">
      <w:pPr>
        <w:widowControl w:val="0"/>
        <w:jc w:val="both"/>
        <w:rPr>
          <w:rFonts w:ascii="Times New Roman" w:hAnsi="Times New Roman"/>
          <w:lang w:val="en-GB"/>
        </w:rPr>
      </w:pPr>
    </w:p>
    <w:p w14:paraId="7F1B60A6" w14:textId="77777777" w:rsidR="00DB555C" w:rsidRPr="000F6BCF" w:rsidRDefault="00DB555C" w:rsidP="00B251CF">
      <w:pPr>
        <w:widowControl w:val="0"/>
        <w:jc w:val="both"/>
        <w:rPr>
          <w:rFonts w:ascii="Times New Roman" w:hAnsi="Times New Roman"/>
          <w:lang w:val="en-GB"/>
        </w:rPr>
      </w:pPr>
      <w:r w:rsidRPr="000F6BCF">
        <w:rPr>
          <w:rFonts w:ascii="Times New Roman" w:hAnsi="Times New Roman"/>
          <w:lang w:val="en-GB"/>
        </w:rPr>
        <w:t>The third and often most disastrous form of disrespect is that whereby the individual is forcibly deprived of physical integrity (i.e., of her power to make decisions with respect to her own body).  Attempts to ‘seize control’ over another’s body typically impose physical pain and defenceless-ness, they destroy the victim’s confidence that she can govern her body autonomously.  On this form of disrespect the following has been said:</w:t>
      </w:r>
    </w:p>
    <w:p w14:paraId="5857B63E" w14:textId="77777777" w:rsidR="00DB555C" w:rsidRPr="000F6BCF" w:rsidRDefault="00DB555C" w:rsidP="00B251CF">
      <w:pPr>
        <w:widowControl w:val="0"/>
        <w:jc w:val="both"/>
        <w:rPr>
          <w:rFonts w:ascii="Times New Roman" w:hAnsi="Times New Roman"/>
          <w:lang w:val="en-GB"/>
        </w:rPr>
      </w:pPr>
    </w:p>
    <w:p w14:paraId="37F73EC4" w14:textId="77777777" w:rsidR="00DB555C" w:rsidRPr="000F6BCF" w:rsidRDefault="00DB555C" w:rsidP="00B251CF">
      <w:pPr>
        <w:widowControl w:val="0"/>
        <w:ind w:left="709" w:right="798"/>
        <w:jc w:val="both"/>
        <w:rPr>
          <w:rFonts w:ascii="Times New Roman" w:hAnsi="Times New Roman"/>
          <w:lang w:val="en-GB"/>
        </w:rPr>
      </w:pPr>
      <w:r w:rsidRPr="000F6BCF">
        <w:rPr>
          <w:rFonts w:ascii="Times New Roman" w:hAnsi="Times New Roman"/>
          <w:lang w:val="en-GB"/>
        </w:rPr>
        <w:t>[O]ne of the consequences, wedded to a type of social shame, is the loss of self-confidence and trust in the world, and this adversely affects all practical interaction with other subjects, even at a physical level.  Through the experience … the person is deprived of that form of recognition that is expressed in unconditional respect for autonomous control over his own body, a form of respect acquired just through experiencing emotional attachment in the socialization process.  The successful integration of physical and emotional qualities of behaviour is thus shattered post facto from without, crippling the most fundamental form of the practical relationship to self, namely, confidence in oneself.</w:t>
      </w:r>
      <w:r w:rsidR="00767FAF" w:rsidRPr="000F6BCF">
        <w:rPr>
          <w:rFonts w:ascii="Times New Roman" w:hAnsi="Times New Roman"/>
          <w:lang w:val="en-GB"/>
        </w:rPr>
        <w:t xml:space="preserve"> (Honneth 1992:190)</w:t>
      </w:r>
    </w:p>
    <w:p w14:paraId="232FC1AB" w14:textId="77777777" w:rsidR="00DB555C" w:rsidRPr="000F6BCF" w:rsidRDefault="00DB555C" w:rsidP="00B251CF">
      <w:pPr>
        <w:widowControl w:val="0"/>
        <w:jc w:val="both"/>
        <w:rPr>
          <w:rFonts w:ascii="Times New Roman" w:hAnsi="Times New Roman"/>
          <w:lang w:val="en-GB"/>
        </w:rPr>
      </w:pPr>
    </w:p>
    <w:p w14:paraId="7A257623" w14:textId="5E4DC8AC" w:rsidR="00DB555C" w:rsidRPr="000F6BCF" w:rsidRDefault="00DB555C" w:rsidP="00B251CF">
      <w:pPr>
        <w:widowControl w:val="0"/>
        <w:jc w:val="both"/>
        <w:rPr>
          <w:rFonts w:ascii="Times New Roman" w:hAnsi="Times New Roman"/>
          <w:lang w:val="en-GB"/>
        </w:rPr>
      </w:pPr>
      <w:r w:rsidRPr="000F6BCF">
        <w:rPr>
          <w:rFonts w:ascii="Times New Roman" w:hAnsi="Times New Roman"/>
          <w:lang w:val="en-GB"/>
        </w:rPr>
        <w:t>This extreme disrespect interrupts positive self-image even at the corporeal level; studies have found, for example, that torture and rape can result in ‘psychological death’</w:t>
      </w:r>
      <w:r w:rsidR="00767FAF" w:rsidRPr="000F6BCF">
        <w:rPr>
          <w:rFonts w:ascii="Times New Roman" w:hAnsi="Times New Roman"/>
          <w:lang w:val="en-GB"/>
        </w:rPr>
        <w:t xml:space="preserve"> (</w:t>
      </w:r>
      <w:r w:rsidR="007E5207" w:rsidRPr="000F6BCF">
        <w:rPr>
          <w:rFonts w:ascii="Times New Roman" w:hAnsi="Times New Roman"/>
          <w:lang w:val="en-GB"/>
        </w:rPr>
        <w:t xml:space="preserve">Honneth 1992; Elsass 1997).  </w:t>
      </w:r>
    </w:p>
    <w:p w14:paraId="0A3225B0" w14:textId="77777777" w:rsidR="00DB555C" w:rsidRPr="000F6BCF" w:rsidRDefault="00DB555C" w:rsidP="00B251CF">
      <w:pPr>
        <w:pStyle w:val="CommentText"/>
        <w:widowControl w:val="0"/>
        <w:jc w:val="both"/>
        <w:rPr>
          <w:rFonts w:ascii="Times New Roman" w:hAnsi="Times New Roman"/>
          <w:sz w:val="24"/>
          <w:szCs w:val="24"/>
        </w:rPr>
      </w:pPr>
    </w:p>
    <w:p w14:paraId="40DC85E9" w14:textId="7F531F91" w:rsidR="008B47FD" w:rsidRPr="000F6BCF" w:rsidRDefault="00DB555C" w:rsidP="00B251CF">
      <w:pPr>
        <w:pStyle w:val="CommentText"/>
        <w:widowControl w:val="0"/>
        <w:jc w:val="both"/>
        <w:rPr>
          <w:rFonts w:ascii="Times New Roman" w:hAnsi="Times New Roman"/>
          <w:sz w:val="24"/>
          <w:szCs w:val="24"/>
          <w:lang w:val="en-GB"/>
        </w:rPr>
      </w:pPr>
      <w:r w:rsidRPr="000F6BCF">
        <w:rPr>
          <w:rFonts w:ascii="Times New Roman" w:hAnsi="Times New Roman"/>
          <w:sz w:val="24"/>
          <w:szCs w:val="24"/>
        </w:rPr>
        <w:t>The above demonstrates strong arguments</w:t>
      </w:r>
      <w:r w:rsidR="00E44B97" w:rsidRPr="000F6BCF">
        <w:rPr>
          <w:rFonts w:ascii="Times New Roman" w:hAnsi="Times New Roman"/>
          <w:sz w:val="24"/>
          <w:szCs w:val="24"/>
        </w:rPr>
        <w:t xml:space="preserve"> for the </w:t>
      </w:r>
      <w:r w:rsidRPr="000F6BCF">
        <w:rPr>
          <w:rFonts w:ascii="Times New Roman" w:hAnsi="Times New Roman"/>
          <w:sz w:val="24"/>
          <w:szCs w:val="24"/>
        </w:rPr>
        <w:t xml:space="preserve">theoretical bases for integrity to have a moral and readily definable meaning. Our research in the InVisible Difference Project supports the validity of this meaning and also demonstrated that our </w:t>
      </w:r>
      <w:r w:rsidR="00E44B97" w:rsidRPr="000F6BCF">
        <w:rPr>
          <w:rFonts w:ascii="Times New Roman" w:hAnsi="Times New Roman"/>
          <w:sz w:val="24"/>
          <w:szCs w:val="24"/>
        </w:rPr>
        <w:t xml:space="preserve">participating </w:t>
      </w:r>
      <w:r w:rsidRPr="000F6BCF">
        <w:rPr>
          <w:rFonts w:ascii="Times New Roman" w:hAnsi="Times New Roman"/>
          <w:sz w:val="24"/>
          <w:szCs w:val="24"/>
          <w:lang w:val="en-GB"/>
        </w:rPr>
        <w:t xml:space="preserve">dance </w:t>
      </w:r>
      <w:r w:rsidR="00E44B97" w:rsidRPr="000F6BCF">
        <w:rPr>
          <w:rFonts w:ascii="Times New Roman" w:hAnsi="Times New Roman"/>
          <w:sz w:val="24"/>
          <w:szCs w:val="24"/>
          <w:lang w:val="en-GB"/>
        </w:rPr>
        <w:t xml:space="preserve">artists </w:t>
      </w:r>
      <w:r w:rsidRPr="000F6BCF">
        <w:rPr>
          <w:rFonts w:ascii="Times New Roman" w:hAnsi="Times New Roman"/>
          <w:sz w:val="24"/>
          <w:szCs w:val="24"/>
          <w:lang w:val="en-GB"/>
        </w:rPr>
        <w:t>have been the subject of all three levels of disrespect. In relation to the first level of disrespect – that of social devaluation when their work is judged by social norms – our YouTube analysis has shown how the qualities of disabled dance are judged by the audience according to the standard expected of the dancing body by the majority of society</w:t>
      </w:r>
      <w:r w:rsidR="007E5207" w:rsidRPr="000F6BCF">
        <w:rPr>
          <w:rFonts w:ascii="Times New Roman" w:hAnsi="Times New Roman"/>
          <w:sz w:val="24"/>
          <w:szCs w:val="24"/>
          <w:lang w:val="en-GB"/>
        </w:rPr>
        <w:t xml:space="preserve">. </w:t>
      </w:r>
      <w:r w:rsidRPr="000F6BCF">
        <w:rPr>
          <w:rFonts w:ascii="Times New Roman" w:hAnsi="Times New Roman"/>
          <w:sz w:val="24"/>
          <w:szCs w:val="24"/>
          <w:lang w:val="en-GB"/>
        </w:rPr>
        <w:t>In relation to the second level of disrespect – the structured and systemic nature of exclusion from society – the general discrimination against and exclusion of those with a disability from our cultural milieu is indicative of a denial of rights and erosion of integrity</w:t>
      </w:r>
      <w:r w:rsidR="007E5207" w:rsidRPr="000F6BCF">
        <w:rPr>
          <w:rFonts w:ascii="Times New Roman" w:hAnsi="Times New Roman"/>
          <w:sz w:val="24"/>
          <w:szCs w:val="24"/>
          <w:lang w:val="en-GB"/>
        </w:rPr>
        <w:t xml:space="preserve">. </w:t>
      </w:r>
      <w:r w:rsidRPr="000F6BCF">
        <w:rPr>
          <w:rFonts w:ascii="Times New Roman" w:hAnsi="Times New Roman"/>
          <w:sz w:val="24"/>
          <w:szCs w:val="24"/>
          <w:lang w:val="en-GB"/>
        </w:rPr>
        <w:t>In relation to the third level of disrespect – where an individual is forcibly deprived of physical integrity – the on-going prominence given to the medical model of disability within society and the subjection of persons with disabilities to the outcomes of its teachings illustrates this form of disrespect in action</w:t>
      </w:r>
      <w:r w:rsidR="007E5207" w:rsidRPr="000F6BCF">
        <w:rPr>
          <w:rFonts w:ascii="Times New Roman" w:hAnsi="Times New Roman"/>
          <w:sz w:val="24"/>
          <w:szCs w:val="24"/>
          <w:lang w:val="en-GB"/>
        </w:rPr>
        <w:t xml:space="preserve">. </w:t>
      </w:r>
    </w:p>
    <w:p w14:paraId="670A2597" w14:textId="77777777" w:rsidR="008B47FD" w:rsidRPr="000F6BCF" w:rsidRDefault="008B47FD" w:rsidP="00B251CF">
      <w:pPr>
        <w:pStyle w:val="CommentText"/>
        <w:widowControl w:val="0"/>
        <w:jc w:val="both"/>
        <w:rPr>
          <w:rFonts w:ascii="Times New Roman" w:hAnsi="Times New Roman"/>
          <w:sz w:val="24"/>
          <w:szCs w:val="24"/>
          <w:lang w:val="en-GB"/>
        </w:rPr>
      </w:pPr>
    </w:p>
    <w:p w14:paraId="0B510BEB" w14:textId="77777777" w:rsidR="00DB555C" w:rsidRPr="000F6BCF" w:rsidRDefault="008B47FD" w:rsidP="008B47FD">
      <w:pPr>
        <w:pStyle w:val="CommentText"/>
        <w:widowControl w:val="0"/>
        <w:jc w:val="both"/>
        <w:rPr>
          <w:rFonts w:ascii="Times New Roman" w:hAnsi="Times New Roman"/>
          <w:sz w:val="24"/>
          <w:szCs w:val="24"/>
          <w:lang w:val="en-GB"/>
        </w:rPr>
      </w:pPr>
      <w:r w:rsidRPr="000F6BCF">
        <w:rPr>
          <w:rFonts w:ascii="Times New Roman" w:hAnsi="Times New Roman"/>
          <w:sz w:val="24"/>
          <w:szCs w:val="24"/>
          <w:lang w:val="en-GB"/>
        </w:rPr>
        <w:t>O</w:t>
      </w:r>
      <w:r w:rsidR="00DB555C" w:rsidRPr="000F6BCF">
        <w:rPr>
          <w:rFonts w:ascii="Times New Roman" w:hAnsi="Times New Roman"/>
          <w:sz w:val="24"/>
          <w:szCs w:val="24"/>
          <w:lang w:val="en-GB"/>
        </w:rPr>
        <w:t xml:space="preserve">ur understanding of integrity also has strong traction within the law.  In the </w:t>
      </w:r>
      <w:r w:rsidR="00DB555C" w:rsidRPr="000F6BCF">
        <w:rPr>
          <w:rFonts w:ascii="Times New Roman" w:hAnsi="Times New Roman"/>
          <w:sz w:val="24"/>
          <w:szCs w:val="24"/>
        </w:rPr>
        <w:t>human rights context of which cultural heritage has been seen to form part, two interrelated moral interests have been argued to underlie all true claims to rights – autonomy and physical integrity</w:t>
      </w:r>
      <w:r w:rsidR="00767FAF" w:rsidRPr="000F6BCF">
        <w:rPr>
          <w:rFonts w:ascii="Times New Roman" w:hAnsi="Times New Roman"/>
          <w:sz w:val="24"/>
          <w:szCs w:val="24"/>
        </w:rPr>
        <w:t xml:space="preserve"> (Allam 2011: 24)</w:t>
      </w:r>
      <w:r w:rsidR="00DB555C" w:rsidRPr="000F6BCF">
        <w:rPr>
          <w:rFonts w:ascii="Times New Roman" w:hAnsi="Times New Roman"/>
          <w:sz w:val="24"/>
          <w:szCs w:val="24"/>
        </w:rPr>
        <w:t>. These two interests are argued to speak to our welfare, to reflect what we innately value in humanity, and to apply to all people equally. At an instrumental level, Article 8 of the European Convention on Human Rights, which protects the right to private life</w:t>
      </w:r>
      <w:r w:rsidR="00767FAF" w:rsidRPr="000F6BCF">
        <w:rPr>
          <w:rFonts w:ascii="Times New Roman" w:hAnsi="Times New Roman"/>
          <w:sz w:val="24"/>
          <w:szCs w:val="24"/>
        </w:rPr>
        <w:t xml:space="preserve"> (Human Rights Act 1998, Section 3 and 6)</w:t>
      </w:r>
      <w:r w:rsidR="00DB555C" w:rsidRPr="000F6BCF">
        <w:rPr>
          <w:rFonts w:ascii="Times New Roman" w:hAnsi="Times New Roman"/>
          <w:sz w:val="24"/>
          <w:szCs w:val="24"/>
        </w:rPr>
        <w:t>, has been held by a court to encompass moral and physical integrity and to extend to situations of deprivation of liberty.</w:t>
      </w:r>
      <w:r w:rsidR="00DB555C" w:rsidRPr="000F6BCF">
        <w:rPr>
          <w:rStyle w:val="FootnoteReference"/>
          <w:rFonts w:ascii="Times New Roman" w:hAnsi="Times New Roman"/>
          <w:sz w:val="24"/>
          <w:szCs w:val="24"/>
        </w:rPr>
        <w:footnoteReference w:id="16"/>
      </w:r>
      <w:r w:rsidR="00DB555C" w:rsidRPr="000F6BCF">
        <w:rPr>
          <w:rFonts w:ascii="Times New Roman" w:hAnsi="Times New Roman"/>
          <w:sz w:val="24"/>
          <w:szCs w:val="24"/>
        </w:rPr>
        <w:t xml:space="preserve"> Integrity becomes even more important when one is not in a position to exercise autonomy. For example, the UK’s </w:t>
      </w:r>
      <w:r w:rsidR="00DB555C" w:rsidRPr="000F6BCF">
        <w:rPr>
          <w:rFonts w:ascii="Times New Roman" w:hAnsi="Times New Roman"/>
          <w:i/>
          <w:sz w:val="24"/>
          <w:szCs w:val="24"/>
        </w:rPr>
        <w:t>Mental Capacity Act 2005</w:t>
      </w:r>
      <w:r w:rsidR="00DB555C" w:rsidRPr="000F6BCF">
        <w:rPr>
          <w:rFonts w:ascii="Times New Roman" w:hAnsi="Times New Roman"/>
          <w:sz w:val="24"/>
          <w:szCs w:val="24"/>
        </w:rPr>
        <w:t xml:space="preserve"> articulates the idea of ‘best interests’</w:t>
      </w:r>
      <w:r w:rsidR="00767FAF" w:rsidRPr="000F6BCF">
        <w:rPr>
          <w:rFonts w:ascii="Times New Roman" w:hAnsi="Times New Roman"/>
          <w:sz w:val="24"/>
          <w:szCs w:val="24"/>
        </w:rPr>
        <w:t xml:space="preserve"> (section 1)</w:t>
      </w:r>
      <w:r w:rsidR="00DB555C" w:rsidRPr="000F6BCF">
        <w:rPr>
          <w:rFonts w:ascii="Times New Roman" w:hAnsi="Times New Roman"/>
          <w:sz w:val="24"/>
          <w:szCs w:val="24"/>
        </w:rPr>
        <w:t>; when decision-makers take decisions on someone’s behalf, they must do so in that person’s best interest as understood from the perspective of that person, and where a decision is taken that interferes with the person’s physical integrity, the option that represents the least restrictive means must be adopted</w:t>
      </w:r>
      <w:r w:rsidRPr="000F6BCF">
        <w:rPr>
          <w:rFonts w:ascii="Times New Roman" w:hAnsi="Times New Roman"/>
          <w:sz w:val="24"/>
          <w:szCs w:val="24"/>
        </w:rPr>
        <w:t>.</w:t>
      </w:r>
      <w:r w:rsidR="00DB555C" w:rsidRPr="000F6BCF">
        <w:rPr>
          <w:rStyle w:val="FootnoteReference"/>
          <w:rFonts w:ascii="Times New Roman" w:hAnsi="Times New Roman"/>
          <w:sz w:val="24"/>
          <w:szCs w:val="24"/>
        </w:rPr>
        <w:footnoteReference w:id="17"/>
      </w:r>
    </w:p>
    <w:p w14:paraId="3F42E5BA" w14:textId="77777777" w:rsidR="00DB555C" w:rsidRPr="000F6BCF" w:rsidRDefault="00DB555C" w:rsidP="00B251CF">
      <w:pPr>
        <w:widowControl w:val="0"/>
        <w:jc w:val="both"/>
        <w:rPr>
          <w:rFonts w:ascii="Times New Roman" w:hAnsi="Times New Roman"/>
        </w:rPr>
      </w:pPr>
    </w:p>
    <w:p w14:paraId="0473E29F" w14:textId="77777777" w:rsidR="00DB555C" w:rsidRPr="000F6BCF" w:rsidRDefault="00DB555C" w:rsidP="00B251CF">
      <w:pPr>
        <w:widowControl w:val="0"/>
        <w:jc w:val="both"/>
        <w:rPr>
          <w:rFonts w:ascii="Times New Roman" w:hAnsi="Times New Roman"/>
          <w:lang w:val="en-GB"/>
        </w:rPr>
      </w:pPr>
      <w:r w:rsidRPr="000F6BCF">
        <w:rPr>
          <w:rFonts w:ascii="Times New Roman" w:hAnsi="Times New Roman"/>
        </w:rPr>
        <w:t>Integrity has</w:t>
      </w:r>
      <w:r w:rsidRPr="000F6BCF">
        <w:rPr>
          <w:rFonts w:ascii="Times New Roman" w:hAnsi="Times New Roman"/>
          <w:lang w:val="en-GB"/>
        </w:rPr>
        <w:t xml:space="preserve"> also informed an important category of human rights which aim at protecting individuals and groups from arbitrary physical harm at the hands of governments and other official organs</w:t>
      </w:r>
      <w:r w:rsidR="00767FAF" w:rsidRPr="000F6BCF">
        <w:rPr>
          <w:rFonts w:ascii="Times New Roman" w:hAnsi="Times New Roman"/>
          <w:lang w:val="en-GB"/>
        </w:rPr>
        <w:t xml:space="preserve"> (Humana 1992; Walsh and Piazza 2010:551-77)</w:t>
      </w:r>
      <w:r w:rsidRPr="000F6BCF">
        <w:rPr>
          <w:rFonts w:ascii="Times New Roman" w:hAnsi="Times New Roman"/>
          <w:lang w:val="en-GB"/>
        </w:rPr>
        <w:t>.  These rights, enumerated in multiple instruments, direct authorities to refrain from committing such acts as extrajudicial murder, disappearance, torture, and political imprisonment by authorities, and declare illegal all such actions</w:t>
      </w:r>
      <w:r w:rsidR="00767FAF" w:rsidRPr="000F6BCF">
        <w:rPr>
          <w:rFonts w:ascii="Times New Roman" w:hAnsi="Times New Roman"/>
          <w:lang w:val="en-GB"/>
        </w:rPr>
        <w:t xml:space="preserve"> (Cingr</w:t>
      </w:r>
      <w:r w:rsidR="004969A9" w:rsidRPr="000F6BCF">
        <w:rPr>
          <w:rFonts w:ascii="Times New Roman" w:hAnsi="Times New Roman"/>
          <w:lang w:val="en-GB"/>
        </w:rPr>
        <w:t xml:space="preserve">anelli and Richards 1999:407-17). </w:t>
      </w:r>
      <w:r w:rsidRPr="000F6BCF">
        <w:rPr>
          <w:rFonts w:ascii="Times New Roman" w:hAnsi="Times New Roman"/>
          <w:lang w:val="en-GB"/>
        </w:rPr>
        <w:t xml:space="preserve">Integrity is also explicitly protected under the Convention on the Rights of Persons with Disabilities 2006 (CRPD), to which the UK is a party, </w:t>
      </w:r>
      <w:r w:rsidR="008B47FD" w:rsidRPr="000F6BCF">
        <w:rPr>
          <w:rFonts w:ascii="Times New Roman" w:hAnsi="Times New Roman"/>
          <w:lang w:val="en-GB"/>
        </w:rPr>
        <w:t xml:space="preserve">and </w:t>
      </w:r>
      <w:r w:rsidRPr="000F6BCF">
        <w:rPr>
          <w:rFonts w:ascii="Times New Roman" w:hAnsi="Times New Roman"/>
          <w:lang w:val="en-GB"/>
        </w:rPr>
        <w:t>which stipulates that every person with disabilities has a right to respect for his or her physical and mental integrity on an equal basis with others</w:t>
      </w:r>
      <w:r w:rsidR="00767FAF" w:rsidRPr="000F6BCF">
        <w:rPr>
          <w:rFonts w:ascii="Times New Roman" w:hAnsi="Times New Roman"/>
          <w:lang w:val="en-GB"/>
        </w:rPr>
        <w:t xml:space="preserve"> (</w:t>
      </w:r>
      <w:r w:rsidR="00767FAF" w:rsidRPr="000F6BCF">
        <w:rPr>
          <w:rFonts w:ascii="Times New Roman" w:hAnsi="Times New Roman"/>
        </w:rPr>
        <w:t>CRPD, Art</w:t>
      </w:r>
      <w:r w:rsidR="004969A9" w:rsidRPr="000F6BCF">
        <w:rPr>
          <w:rFonts w:ascii="Times New Roman" w:hAnsi="Times New Roman"/>
        </w:rPr>
        <w:t>icle</w:t>
      </w:r>
      <w:r w:rsidR="00767FAF" w:rsidRPr="000F6BCF">
        <w:rPr>
          <w:rFonts w:ascii="Times New Roman" w:hAnsi="Times New Roman"/>
        </w:rPr>
        <w:t xml:space="preserve"> 17)</w:t>
      </w:r>
      <w:r w:rsidRPr="000F6BCF">
        <w:rPr>
          <w:rFonts w:ascii="Times New Roman" w:hAnsi="Times New Roman"/>
          <w:lang w:val="en-GB"/>
        </w:rPr>
        <w:t>.</w:t>
      </w:r>
    </w:p>
    <w:p w14:paraId="6CC99D44" w14:textId="77777777" w:rsidR="00DB555C" w:rsidRPr="000F6BCF" w:rsidRDefault="00DB555C" w:rsidP="00B251CF">
      <w:pPr>
        <w:widowControl w:val="0"/>
        <w:jc w:val="both"/>
        <w:rPr>
          <w:rFonts w:ascii="Times New Roman" w:hAnsi="Times New Roman"/>
          <w:lang w:val="en-GB"/>
        </w:rPr>
      </w:pPr>
    </w:p>
    <w:p w14:paraId="0DA319B1" w14:textId="32EEF051" w:rsidR="00DB555C" w:rsidRPr="000F6BCF" w:rsidRDefault="00DB555C" w:rsidP="00B251CF">
      <w:pPr>
        <w:widowControl w:val="0"/>
        <w:jc w:val="both"/>
        <w:rPr>
          <w:rFonts w:ascii="Times New Roman" w:hAnsi="Times New Roman"/>
          <w:lang w:val="en-GB"/>
        </w:rPr>
      </w:pPr>
      <w:r w:rsidRPr="000F6BCF">
        <w:rPr>
          <w:rFonts w:ascii="Times New Roman" w:hAnsi="Times New Roman"/>
          <w:lang w:val="en-GB"/>
        </w:rPr>
        <w:t xml:space="preserve">The notion of integrity can also be found, perhaps more indirectly, in the cultural human rights treaties (to which the UK is again a party) </w:t>
      </w:r>
      <w:r w:rsidR="009C525A" w:rsidRPr="000F6BCF">
        <w:rPr>
          <w:rFonts w:ascii="Times New Roman" w:hAnsi="Times New Roman"/>
          <w:lang w:val="en-GB"/>
        </w:rPr>
        <w:t>where</w:t>
      </w:r>
      <w:r w:rsidRPr="000F6BCF">
        <w:rPr>
          <w:rFonts w:ascii="Times New Roman" w:hAnsi="Times New Roman"/>
          <w:lang w:val="en-GB"/>
        </w:rPr>
        <w:t xml:space="preserve"> those rights are aimed at preserving and making accessible cultural phenomena such as language, ethnic history, and artistic productions and interpretations of heritage.</w:t>
      </w:r>
      <w:r w:rsidRPr="000F6BCF">
        <w:rPr>
          <w:rStyle w:val="FootnoteReference"/>
          <w:rFonts w:ascii="Times New Roman" w:hAnsi="Times New Roman"/>
          <w:lang w:val="en-GB"/>
        </w:rPr>
        <w:footnoteReference w:id="18"/>
      </w:r>
      <w:r w:rsidRPr="000F6BCF">
        <w:rPr>
          <w:rFonts w:ascii="Times New Roman" w:hAnsi="Times New Roman"/>
          <w:lang w:val="en-GB"/>
        </w:rPr>
        <w:t xml:space="preserve"> These are outward looking rights aiming to open avenues for the individual to engage in the cultural milieu.</w:t>
      </w:r>
      <w:r w:rsidR="0095297F" w:rsidRPr="000F6BCF">
        <w:rPr>
          <w:rFonts w:ascii="Times New Roman" w:hAnsi="Times New Roman"/>
          <w:lang w:val="en-GB"/>
        </w:rPr>
        <w:t xml:space="preserve"> </w:t>
      </w:r>
      <w:r w:rsidRPr="000F6BCF">
        <w:rPr>
          <w:rFonts w:ascii="Times New Roman" w:hAnsi="Times New Roman"/>
          <w:lang w:val="en-GB"/>
        </w:rPr>
        <w:t>And once again, the CRPD also speaks to this right, requiring States to ensure that persons with disabilities enjoy access to cultural materials and venues, and have the opportunity to develop and use their creative artistic and intellectual potential for the enrichment of society</w:t>
      </w:r>
      <w:r w:rsidR="00641EA6" w:rsidRPr="000F6BCF">
        <w:rPr>
          <w:rFonts w:ascii="Times New Roman" w:hAnsi="Times New Roman"/>
          <w:lang w:val="en-GB"/>
        </w:rPr>
        <w:t xml:space="preserve"> (CRPD, Article 30</w:t>
      </w:r>
      <w:r w:rsidR="001E18A1" w:rsidRPr="000F6BCF">
        <w:rPr>
          <w:rFonts w:ascii="Times New Roman" w:hAnsi="Times New Roman"/>
          <w:lang w:val="en-GB"/>
        </w:rPr>
        <w:t>)</w:t>
      </w:r>
      <w:r w:rsidR="008C4F5B" w:rsidRPr="000F6BCF">
        <w:rPr>
          <w:rFonts w:ascii="Times New Roman" w:hAnsi="Times New Roman"/>
          <w:lang w:val="en-GB"/>
        </w:rPr>
        <w:t>.</w:t>
      </w:r>
    </w:p>
    <w:p w14:paraId="451D42A3" w14:textId="77777777" w:rsidR="00DB555C" w:rsidRPr="000F6BCF" w:rsidRDefault="00DB555C" w:rsidP="00B251CF">
      <w:pPr>
        <w:widowControl w:val="0"/>
        <w:jc w:val="both"/>
        <w:rPr>
          <w:rFonts w:ascii="Times New Roman" w:hAnsi="Times New Roman"/>
          <w:lang w:val="en-GB"/>
        </w:rPr>
      </w:pPr>
    </w:p>
    <w:p w14:paraId="0E924EEB" w14:textId="77777777" w:rsidR="00DB555C" w:rsidRPr="000F6BCF" w:rsidRDefault="00DB555C" w:rsidP="00B251CF">
      <w:pPr>
        <w:widowControl w:val="0"/>
        <w:jc w:val="both"/>
        <w:rPr>
          <w:rFonts w:ascii="Times New Roman" w:hAnsi="Times New Roman"/>
        </w:rPr>
      </w:pPr>
      <w:r w:rsidRPr="000F6BCF">
        <w:rPr>
          <w:rFonts w:ascii="Times New Roman" w:hAnsi="Times New Roman"/>
          <w:lang w:val="en-GB"/>
        </w:rPr>
        <w:t xml:space="preserve">Accordingly, the law has placed, sometimes explicitly and sometimes </w:t>
      </w:r>
      <w:r w:rsidR="006652D7" w:rsidRPr="000F6BCF">
        <w:rPr>
          <w:rFonts w:ascii="Times New Roman" w:hAnsi="Times New Roman"/>
          <w:lang w:val="en-GB"/>
        </w:rPr>
        <w:t>implicitly</w:t>
      </w:r>
      <w:r w:rsidRPr="000F6BCF">
        <w:rPr>
          <w:rFonts w:ascii="Times New Roman" w:hAnsi="Times New Roman"/>
          <w:lang w:val="en-GB"/>
        </w:rPr>
        <w:t xml:space="preserve">, </w:t>
      </w:r>
      <w:r w:rsidRPr="000F6BCF">
        <w:rPr>
          <w:rFonts w:ascii="Times New Roman" w:hAnsi="Times New Roman"/>
        </w:rPr>
        <w:t xml:space="preserve">the notion of integrity at the centre of principles and mechanisms </w:t>
      </w:r>
      <w:r w:rsidR="009C525A" w:rsidRPr="000F6BCF">
        <w:rPr>
          <w:rFonts w:ascii="Times New Roman" w:hAnsi="Times New Roman"/>
        </w:rPr>
        <w:t xml:space="preserve">that </w:t>
      </w:r>
      <w:r w:rsidRPr="000F6BCF">
        <w:rPr>
          <w:rFonts w:ascii="Times New Roman" w:hAnsi="Times New Roman"/>
        </w:rPr>
        <w:t>seek to address integrity-eroding conduct</w:t>
      </w:r>
      <w:r w:rsidR="009C525A" w:rsidRPr="000F6BCF">
        <w:rPr>
          <w:rFonts w:ascii="Times New Roman" w:hAnsi="Times New Roman"/>
        </w:rPr>
        <w:t xml:space="preserve"> </w:t>
      </w:r>
      <w:r w:rsidRPr="000F6BCF">
        <w:rPr>
          <w:rFonts w:ascii="Times New Roman" w:hAnsi="Times New Roman"/>
        </w:rPr>
        <w:t>such as that discussed above.  Integrity appears, therefore</w:t>
      </w:r>
      <w:r w:rsidR="009C525A" w:rsidRPr="000F6BCF">
        <w:rPr>
          <w:rFonts w:ascii="Times New Roman" w:hAnsi="Times New Roman"/>
        </w:rPr>
        <w:t>,</w:t>
      </w:r>
      <w:r w:rsidRPr="000F6BCF">
        <w:rPr>
          <w:rFonts w:ascii="Times New Roman" w:hAnsi="Times New Roman"/>
        </w:rPr>
        <w:t xml:space="preserve"> to be a possible foundation for disabled dance</w:t>
      </w:r>
      <w:r w:rsidR="00E44B97" w:rsidRPr="000F6BCF">
        <w:rPr>
          <w:rFonts w:ascii="Times New Roman" w:hAnsi="Times New Roman"/>
        </w:rPr>
        <w:t xml:space="preserve">, </w:t>
      </w:r>
      <w:r w:rsidRPr="000F6BCF">
        <w:rPr>
          <w:rFonts w:ascii="Times New Roman" w:hAnsi="Times New Roman"/>
        </w:rPr>
        <w:t xml:space="preserve">which acknowledges the wholeness or undividedness of the (disabled) body. </w:t>
      </w:r>
    </w:p>
    <w:p w14:paraId="1DEA4FD6" w14:textId="77777777" w:rsidR="00DB555C" w:rsidRPr="000F6BCF" w:rsidRDefault="00DB555C" w:rsidP="00B251CF">
      <w:pPr>
        <w:widowControl w:val="0"/>
        <w:jc w:val="both"/>
        <w:rPr>
          <w:rFonts w:ascii="Times New Roman" w:hAnsi="Times New Roman"/>
          <w:lang w:val="en-GB"/>
        </w:rPr>
      </w:pPr>
    </w:p>
    <w:p w14:paraId="41057CA4" w14:textId="77777777" w:rsidR="00DB555C" w:rsidRPr="000F6BCF" w:rsidRDefault="00DB555C" w:rsidP="00B251CF">
      <w:pPr>
        <w:widowControl w:val="0"/>
        <w:jc w:val="both"/>
        <w:rPr>
          <w:rFonts w:ascii="Times New Roman" w:hAnsi="Times New Roman"/>
          <w:lang w:val="en-GB"/>
        </w:rPr>
      </w:pPr>
      <w:r w:rsidRPr="000F6BCF">
        <w:rPr>
          <w:rFonts w:ascii="Times New Roman" w:hAnsi="Times New Roman"/>
        </w:rPr>
        <w:t xml:space="preserve">This discussion so far has led to the </w:t>
      </w:r>
      <w:r w:rsidRPr="000F6BCF">
        <w:rPr>
          <w:rFonts w:ascii="Times New Roman" w:hAnsi="Times New Roman"/>
          <w:lang w:val="en-GB"/>
        </w:rPr>
        <w:t xml:space="preserve">premise that the values encompassed by integrity are a fine starting point for an organising philosophy facilitative of identity- and community-formation for disabled dance; but we wish to shape it further, to reflect the </w:t>
      </w:r>
      <w:r w:rsidR="00E44B97" w:rsidRPr="000F6BCF">
        <w:rPr>
          <w:rFonts w:ascii="Times New Roman" w:hAnsi="Times New Roman"/>
          <w:lang w:val="en-GB"/>
        </w:rPr>
        <w:t xml:space="preserve">core </w:t>
      </w:r>
      <w:r w:rsidRPr="000F6BCF">
        <w:rPr>
          <w:rFonts w:ascii="Times New Roman" w:hAnsi="Times New Roman"/>
          <w:lang w:val="en-GB"/>
        </w:rPr>
        <w:t>of disabled dance through the concept of physical integrity.</w:t>
      </w:r>
    </w:p>
    <w:p w14:paraId="0A8B6664" w14:textId="77777777" w:rsidR="00DB555C" w:rsidRPr="000F6BCF" w:rsidRDefault="00DB555C" w:rsidP="00B251CF">
      <w:pPr>
        <w:widowControl w:val="0"/>
        <w:jc w:val="both"/>
        <w:rPr>
          <w:rFonts w:ascii="Times New Roman" w:hAnsi="Times New Roman"/>
          <w:lang w:val="en-GB"/>
        </w:rPr>
      </w:pPr>
    </w:p>
    <w:p w14:paraId="20E3B065" w14:textId="77777777" w:rsidR="00DB555C" w:rsidRPr="000F6BCF" w:rsidRDefault="00DB555C" w:rsidP="00B251CF">
      <w:pPr>
        <w:widowControl w:val="0"/>
        <w:jc w:val="both"/>
        <w:rPr>
          <w:rFonts w:ascii="Times New Roman" w:hAnsi="Times New Roman"/>
          <w:b/>
        </w:rPr>
      </w:pPr>
    </w:p>
    <w:p w14:paraId="59F2D0A8" w14:textId="77777777" w:rsidR="00DB555C" w:rsidRPr="000F6BCF" w:rsidRDefault="00DB555C" w:rsidP="00B251CF">
      <w:pPr>
        <w:widowControl w:val="0"/>
        <w:jc w:val="both"/>
        <w:rPr>
          <w:rFonts w:ascii="Times New Roman" w:hAnsi="Times New Roman"/>
          <w:b/>
        </w:rPr>
      </w:pPr>
      <w:r w:rsidRPr="000F6BCF">
        <w:rPr>
          <w:rFonts w:ascii="Times New Roman" w:hAnsi="Times New Roman"/>
          <w:b/>
        </w:rPr>
        <w:t xml:space="preserve">Physical Integrity: a foundation for disabled dance </w:t>
      </w:r>
    </w:p>
    <w:p w14:paraId="533B9F30" w14:textId="77777777" w:rsidR="00DB555C" w:rsidRPr="000F6BCF" w:rsidRDefault="00DB555C" w:rsidP="00B251CF">
      <w:pPr>
        <w:widowControl w:val="0"/>
        <w:jc w:val="both"/>
        <w:rPr>
          <w:rFonts w:ascii="Times New Roman" w:hAnsi="Times New Roman"/>
          <w:lang w:val="en-GB"/>
        </w:rPr>
      </w:pPr>
    </w:p>
    <w:p w14:paraId="3156CC54" w14:textId="138629F9" w:rsidR="00DB555C" w:rsidRPr="000F6BCF" w:rsidRDefault="00DB555C" w:rsidP="00B251CF">
      <w:pPr>
        <w:widowControl w:val="0"/>
        <w:jc w:val="both"/>
        <w:rPr>
          <w:rFonts w:ascii="Times New Roman" w:hAnsi="Times New Roman"/>
          <w:lang w:val="en-GB"/>
        </w:rPr>
      </w:pPr>
      <w:r w:rsidRPr="000F6BCF">
        <w:rPr>
          <w:rFonts w:ascii="Times New Roman" w:hAnsi="Times New Roman"/>
          <w:lang w:val="en-GB"/>
        </w:rPr>
        <w:t>The conjunction of ‘physical’ with any other term suggests a prioritising of the corporeal and the somatic over the mental or spiritual, which may suggest a separation of mind from body. Our conjunction of them is not meant to do so; dancers and dance theorists have rejected such dualism, asserting the importance of the ‘minded body’</w:t>
      </w:r>
      <w:r w:rsidR="00021EC7" w:rsidRPr="000F6BCF">
        <w:rPr>
          <w:rFonts w:ascii="Times New Roman" w:hAnsi="Times New Roman"/>
          <w:lang w:val="en-GB"/>
        </w:rPr>
        <w:t xml:space="preserve"> (Fraleigh 1987:9; Brown and Waelde 2015:580-2)</w:t>
      </w:r>
      <w:r w:rsidRPr="000F6BCF">
        <w:rPr>
          <w:rFonts w:ascii="Times New Roman" w:hAnsi="Times New Roman"/>
          <w:lang w:val="en-GB"/>
        </w:rPr>
        <w:t xml:space="preserve">, and the intelligent body of the dancer, and we are minded of this scholarship. Rather, through </w:t>
      </w:r>
      <w:r w:rsidRPr="000F6BCF">
        <w:rPr>
          <w:rFonts w:ascii="Times New Roman" w:hAnsi="Times New Roman"/>
        </w:rPr>
        <w:t>its close connection to dignity, and to a sense of personal wholeness, we view physical integrity as reflective of Spinoza’s position that the mind and the body are one thing, expressed in two different ways</w:t>
      </w:r>
      <w:r w:rsidR="00B40842" w:rsidRPr="000F6BCF">
        <w:rPr>
          <w:rFonts w:ascii="Times New Roman" w:hAnsi="Times New Roman"/>
        </w:rPr>
        <w:t xml:space="preserve"> (Lord 2015: 2-3,8; </w:t>
      </w:r>
      <w:r w:rsidR="000D31B0" w:rsidRPr="000F6BCF">
        <w:rPr>
          <w:rFonts w:ascii="Times New Roman" w:hAnsi="Times New Roman"/>
        </w:rPr>
        <w:t>Williams 2015</w:t>
      </w:r>
      <w:r w:rsidR="00B40842" w:rsidRPr="000F6BCF">
        <w:rPr>
          <w:rFonts w:ascii="Times New Roman" w:hAnsi="Times New Roman"/>
        </w:rPr>
        <w:t xml:space="preserve">: 17; Mack </w:t>
      </w:r>
      <w:r w:rsidR="000D31B0" w:rsidRPr="000F6BCF">
        <w:rPr>
          <w:rFonts w:ascii="Times New Roman" w:hAnsi="Times New Roman"/>
        </w:rPr>
        <w:t>2015</w:t>
      </w:r>
      <w:r w:rsidR="00B40842" w:rsidRPr="000F6BCF">
        <w:rPr>
          <w:rFonts w:ascii="Times New Roman" w:hAnsi="Times New Roman"/>
        </w:rPr>
        <w:t>: 2</w:t>
      </w:r>
      <w:r w:rsidR="008C4F5B" w:rsidRPr="000F6BCF">
        <w:rPr>
          <w:rFonts w:ascii="Times New Roman" w:hAnsi="Times New Roman"/>
        </w:rPr>
        <w:t>8, 29</w:t>
      </w:r>
      <w:r w:rsidR="004969A9" w:rsidRPr="000F6BCF">
        <w:rPr>
          <w:rFonts w:ascii="Times New Roman" w:hAnsi="Times New Roman"/>
        </w:rPr>
        <w:t>).</w:t>
      </w:r>
      <w:r w:rsidRPr="000F6BCF">
        <w:rPr>
          <w:rFonts w:ascii="Times New Roman" w:hAnsi="Times New Roman"/>
          <w:vertAlign w:val="superscript"/>
        </w:rPr>
        <w:footnoteReference w:id="19"/>
      </w:r>
    </w:p>
    <w:p w14:paraId="69E98ED3" w14:textId="1D04E111" w:rsidR="00DB555C" w:rsidRPr="000F6BCF" w:rsidRDefault="008B47FD" w:rsidP="00B251CF">
      <w:pPr>
        <w:pStyle w:val="CommentText"/>
        <w:widowControl w:val="0"/>
        <w:jc w:val="both"/>
        <w:rPr>
          <w:rFonts w:ascii="Times New Roman" w:hAnsi="Times New Roman"/>
          <w:sz w:val="24"/>
          <w:szCs w:val="24"/>
          <w:lang w:val="en-GB"/>
        </w:rPr>
      </w:pPr>
      <w:r w:rsidRPr="000F6BCF">
        <w:rPr>
          <w:rFonts w:ascii="Times New Roman" w:hAnsi="Times New Roman"/>
          <w:sz w:val="24"/>
          <w:szCs w:val="24"/>
          <w:lang w:val="en-GB"/>
        </w:rPr>
        <w:t>P</w:t>
      </w:r>
      <w:r w:rsidR="00DB555C" w:rsidRPr="000F6BCF">
        <w:rPr>
          <w:rFonts w:ascii="Times New Roman" w:hAnsi="Times New Roman"/>
          <w:sz w:val="24"/>
          <w:szCs w:val="24"/>
          <w:lang w:val="en-GB"/>
        </w:rPr>
        <w:t>ut positively, physical integrity is concerned with the flourishing of the individual and it signals, through its concern with the relationship to self, that integrity can be achieved in the absence of conformity to the social norm. And the absence of conformity to the social norm is exactly where disabled dancers have been shown to be situated. Alternatively, claiming (or re-claiming) integrity is a way to emphasise that though the dancer may not have the taken-for-granted or normative ‘physical integrity’, she is nonetheless not ‘compromised’. Whatever the configuration of the dancer’s body, and whether or not the dancer performs with a prosthetic or some other aid, the dancer performs her own individual identity, and exemplifies her own unique and valuable physical integrity. The dancer’s body may be fragile, or it may be circumscribed, extended, or scattered, but all bodies are fragile and in some ways broken or breaking, and the dancer in all cases exercises her agency, finding integrity in her performing body (her physicality), whether a ‘whole’ or ‘repaired/enhanced’ body.</w:t>
      </w:r>
      <w:r w:rsidR="00DB555C" w:rsidRPr="000F6BCF">
        <w:rPr>
          <w:rStyle w:val="FootnoteReference"/>
          <w:rFonts w:ascii="Times New Roman" w:hAnsi="Times New Roman"/>
          <w:sz w:val="24"/>
          <w:szCs w:val="24"/>
          <w:lang w:val="en-GB"/>
        </w:rPr>
        <w:footnoteReference w:id="20"/>
      </w:r>
      <w:r w:rsidR="00DB555C" w:rsidRPr="000F6BCF">
        <w:rPr>
          <w:rFonts w:ascii="Times New Roman" w:hAnsi="Times New Roman"/>
          <w:sz w:val="24"/>
          <w:szCs w:val="24"/>
          <w:lang w:val="en-GB"/>
        </w:rPr>
        <w:t xml:space="preserve"> Further, whatever prostheses the dancer may use cannot be said to erode her integrity; for some, the prosthesis will ‘complete’ the dancer and integrate seamlessly into the dance, whereas for others, the prosthesis is but an aid, purely functional, used to get her where she needs to be.</w:t>
      </w:r>
      <w:r w:rsidR="00DB555C" w:rsidRPr="000F6BCF">
        <w:rPr>
          <w:rStyle w:val="FootnoteReference"/>
          <w:rFonts w:ascii="Times New Roman" w:hAnsi="Times New Roman"/>
          <w:sz w:val="24"/>
          <w:szCs w:val="24"/>
          <w:lang w:val="en-GB"/>
        </w:rPr>
        <w:footnoteReference w:id="21"/>
      </w:r>
      <w:r w:rsidR="0049175B" w:rsidRPr="000F6BCF">
        <w:rPr>
          <w:rFonts w:ascii="Times New Roman" w:hAnsi="Times New Roman"/>
          <w:sz w:val="24"/>
          <w:szCs w:val="24"/>
          <w:lang w:val="en-GB"/>
        </w:rPr>
        <w:t xml:space="preserve"> </w:t>
      </w:r>
      <w:r w:rsidR="00DB555C" w:rsidRPr="000F6BCF">
        <w:rPr>
          <w:rFonts w:ascii="Times New Roman" w:hAnsi="Times New Roman"/>
          <w:sz w:val="24"/>
          <w:szCs w:val="24"/>
          <w:lang w:val="en-GB"/>
        </w:rPr>
        <w:t xml:space="preserve">Either way, the prosthesis is no bar to achieving or exemplifying integrity. </w:t>
      </w:r>
    </w:p>
    <w:p w14:paraId="40192C77" w14:textId="77777777" w:rsidR="00DB555C" w:rsidRPr="000F6BCF" w:rsidRDefault="00DB555C" w:rsidP="00B251CF">
      <w:pPr>
        <w:pStyle w:val="CommentText"/>
        <w:widowControl w:val="0"/>
        <w:ind w:firstLine="720"/>
        <w:jc w:val="both"/>
        <w:rPr>
          <w:rFonts w:ascii="Times New Roman" w:hAnsi="Times New Roman"/>
          <w:sz w:val="24"/>
          <w:szCs w:val="24"/>
          <w:lang w:val="en-GB"/>
        </w:rPr>
      </w:pPr>
    </w:p>
    <w:p w14:paraId="20CB95B8" w14:textId="77777777" w:rsidR="00DB555C" w:rsidRPr="000F6BCF" w:rsidRDefault="00DB555C" w:rsidP="00B251CF">
      <w:pPr>
        <w:widowControl w:val="0"/>
        <w:jc w:val="both"/>
        <w:rPr>
          <w:rFonts w:ascii="Times New Roman" w:hAnsi="Times New Roman"/>
          <w:lang w:val="en-GB"/>
        </w:rPr>
      </w:pPr>
      <w:r w:rsidRPr="000F6BCF">
        <w:rPr>
          <w:rFonts w:ascii="Times New Roman" w:hAnsi="Times New Roman"/>
          <w:lang w:val="en-GB"/>
        </w:rPr>
        <w:t>Physical integrity reflects, therefore, practices and perspectives in disabled dance</w:t>
      </w:r>
      <w:r w:rsidR="00BF33DA" w:rsidRPr="000F6BCF">
        <w:rPr>
          <w:rFonts w:ascii="Times New Roman" w:hAnsi="Times New Roman"/>
          <w:lang w:val="en-GB"/>
        </w:rPr>
        <w:t xml:space="preserve">: </w:t>
      </w:r>
      <w:r w:rsidRPr="000F6BCF">
        <w:rPr>
          <w:rFonts w:ascii="Times New Roman" w:hAnsi="Times New Roman"/>
          <w:lang w:val="en-GB"/>
        </w:rPr>
        <w:t>it can be a foundational theory around which a community could coalesce such that disabled dance, either genera</w:t>
      </w:r>
      <w:r w:rsidR="00F96074" w:rsidRPr="000F6BCF">
        <w:rPr>
          <w:rFonts w:ascii="Times New Roman" w:hAnsi="Times New Roman"/>
          <w:lang w:val="en-GB"/>
        </w:rPr>
        <w:t xml:space="preserve">lly or in a particular locality, </w:t>
      </w:r>
      <w:r w:rsidRPr="000F6BCF">
        <w:rPr>
          <w:rFonts w:ascii="Times New Roman" w:hAnsi="Times New Roman"/>
          <w:lang w:val="en-GB"/>
        </w:rPr>
        <w:t xml:space="preserve">could be accepted </w:t>
      </w:r>
      <w:r w:rsidR="00F96074" w:rsidRPr="000F6BCF">
        <w:rPr>
          <w:rFonts w:ascii="Times New Roman" w:hAnsi="Times New Roman"/>
          <w:lang w:val="en-GB"/>
        </w:rPr>
        <w:t>as</w:t>
      </w:r>
      <w:r w:rsidRPr="000F6BCF">
        <w:rPr>
          <w:rFonts w:ascii="Times New Roman" w:hAnsi="Times New Roman"/>
          <w:lang w:val="en-GB"/>
        </w:rPr>
        <w:t xml:space="preserve"> ICH and be safeguarded by its comm</w:t>
      </w:r>
      <w:r w:rsidR="00F96074" w:rsidRPr="000F6BCF">
        <w:rPr>
          <w:rFonts w:ascii="Times New Roman" w:hAnsi="Times New Roman"/>
          <w:lang w:val="en-GB"/>
        </w:rPr>
        <w:t>unity and by the relevant state</w:t>
      </w:r>
      <w:r w:rsidRPr="000F6BCF">
        <w:rPr>
          <w:rFonts w:ascii="Times New Roman" w:hAnsi="Times New Roman"/>
          <w:lang w:val="en-GB"/>
        </w:rPr>
        <w:t xml:space="preserve">.   </w:t>
      </w:r>
    </w:p>
    <w:p w14:paraId="3D3B6812" w14:textId="77777777" w:rsidR="00DB555C" w:rsidRPr="000F6BCF" w:rsidRDefault="00DB555C" w:rsidP="00B251CF">
      <w:pPr>
        <w:widowControl w:val="0"/>
        <w:ind w:firstLine="720"/>
        <w:jc w:val="both"/>
        <w:rPr>
          <w:rFonts w:ascii="Times New Roman" w:hAnsi="Times New Roman"/>
          <w:lang w:val="en-GB"/>
        </w:rPr>
      </w:pPr>
    </w:p>
    <w:p w14:paraId="2B14452B" w14:textId="77777777" w:rsidR="00DB555C" w:rsidRPr="000F6BCF" w:rsidRDefault="00BF33DA" w:rsidP="00B251CF">
      <w:pPr>
        <w:widowControl w:val="0"/>
        <w:jc w:val="both"/>
        <w:rPr>
          <w:rFonts w:ascii="Times New Roman" w:hAnsi="Times New Roman"/>
        </w:rPr>
      </w:pPr>
      <w:r w:rsidRPr="000F6BCF">
        <w:rPr>
          <w:rFonts w:ascii="Times New Roman" w:hAnsi="Times New Roman"/>
        </w:rPr>
        <w:t>Importantly, p</w:t>
      </w:r>
      <w:r w:rsidR="00DB555C" w:rsidRPr="000F6BCF">
        <w:rPr>
          <w:rFonts w:ascii="Times New Roman" w:hAnsi="Times New Roman"/>
        </w:rPr>
        <w:t>hysical integrity could help to signal to audiences that the disabled dancer is not broken or un-whole; she has physical integrity unique to her being, and that integrity is manifested in the dance, whatever form it takes.</w:t>
      </w:r>
      <w:r w:rsidR="00DB555C" w:rsidRPr="000F6BCF">
        <w:rPr>
          <w:rStyle w:val="FootnoteReference"/>
          <w:rFonts w:ascii="Times New Roman" w:hAnsi="Times New Roman"/>
          <w:lang w:val="en-GB"/>
        </w:rPr>
        <w:footnoteReference w:id="22"/>
      </w:r>
      <w:r w:rsidR="00DB555C" w:rsidRPr="000F6BCF">
        <w:rPr>
          <w:rFonts w:ascii="Times New Roman" w:hAnsi="Times New Roman"/>
        </w:rPr>
        <w:t xml:space="preserve"> </w:t>
      </w:r>
      <w:r w:rsidR="00F96074" w:rsidRPr="000F6BCF">
        <w:rPr>
          <w:rFonts w:ascii="Times New Roman" w:hAnsi="Times New Roman"/>
        </w:rPr>
        <w:t xml:space="preserve"> P</w:t>
      </w:r>
      <w:r w:rsidR="00DB555C" w:rsidRPr="000F6BCF">
        <w:rPr>
          <w:rFonts w:ascii="Times New Roman" w:hAnsi="Times New Roman"/>
        </w:rPr>
        <w:t xml:space="preserve">hysical integrity could be explored in audience tools and pre-performance publicity material. </w:t>
      </w:r>
      <w:r w:rsidR="00DB555C" w:rsidRPr="000F6BCF">
        <w:rPr>
          <w:rFonts w:ascii="Times New Roman" w:hAnsi="Times New Roman"/>
          <w:lang w:val="en-GB"/>
        </w:rPr>
        <w:t>Gaining experience of how to attend to a performance, of how to look, witness and read a performance is built over time and any reading is always contingent on the position of the viewer.  By starting from a physical integrity base, the viewer may be in a more open position to engage seriously with the dance, its subject matter and be active in ensuring that the dance is judged openly and fairly.</w:t>
      </w:r>
      <w:r w:rsidR="00DB555C" w:rsidRPr="000F6BCF">
        <w:rPr>
          <w:rStyle w:val="FootnoteReference"/>
          <w:rFonts w:ascii="Times New Roman" w:hAnsi="Times New Roman"/>
          <w:lang w:val="en-GB"/>
        </w:rPr>
        <w:footnoteReference w:id="23"/>
      </w:r>
      <w:r w:rsidR="00790DBE" w:rsidRPr="000F6BCF" w:rsidDel="00790DBE">
        <w:rPr>
          <w:rStyle w:val="FootnoteReference"/>
          <w:rFonts w:ascii="Times New Roman" w:hAnsi="Times New Roman"/>
          <w:lang w:val="en-GB"/>
        </w:rPr>
        <w:t xml:space="preserve"> </w:t>
      </w:r>
      <w:r w:rsidR="00DB555C" w:rsidRPr="000F6BCF">
        <w:rPr>
          <w:rFonts w:ascii="Times New Roman" w:hAnsi="Times New Roman"/>
          <w:lang w:val="en-GB"/>
        </w:rPr>
        <w:t xml:space="preserve"> </w:t>
      </w:r>
    </w:p>
    <w:p w14:paraId="43AE592A" w14:textId="77777777" w:rsidR="00DB555C" w:rsidRPr="000F6BCF" w:rsidRDefault="00DB555C" w:rsidP="00B251CF">
      <w:pPr>
        <w:pStyle w:val="CommentText"/>
        <w:widowControl w:val="0"/>
        <w:jc w:val="both"/>
        <w:rPr>
          <w:rFonts w:ascii="Times New Roman" w:hAnsi="Times New Roman"/>
          <w:sz w:val="24"/>
          <w:szCs w:val="24"/>
          <w:lang w:val="en-GB"/>
        </w:rPr>
      </w:pPr>
    </w:p>
    <w:p w14:paraId="129F723C" w14:textId="77777777" w:rsidR="00DB555C" w:rsidRPr="000F6BCF" w:rsidRDefault="00DB555C" w:rsidP="00B251CF">
      <w:pPr>
        <w:pStyle w:val="CommentText"/>
        <w:widowControl w:val="0"/>
        <w:jc w:val="both"/>
        <w:rPr>
          <w:rFonts w:ascii="Times New Roman" w:hAnsi="Times New Roman"/>
          <w:b/>
          <w:sz w:val="24"/>
          <w:szCs w:val="24"/>
          <w:lang w:val="en-GB"/>
        </w:rPr>
      </w:pPr>
      <w:r w:rsidRPr="000F6BCF">
        <w:rPr>
          <w:rFonts w:ascii="Times New Roman" w:hAnsi="Times New Roman"/>
          <w:b/>
          <w:sz w:val="24"/>
          <w:szCs w:val="24"/>
          <w:lang w:val="en-GB"/>
        </w:rPr>
        <w:t xml:space="preserve"> Conclusion</w:t>
      </w:r>
    </w:p>
    <w:p w14:paraId="09EE1056" w14:textId="77777777" w:rsidR="00DB555C" w:rsidRPr="000F6BCF" w:rsidRDefault="00DB555C" w:rsidP="00B251CF">
      <w:pPr>
        <w:pStyle w:val="CommentText"/>
        <w:widowControl w:val="0"/>
        <w:jc w:val="both"/>
        <w:rPr>
          <w:rFonts w:ascii="Times New Roman" w:hAnsi="Times New Roman"/>
          <w:sz w:val="24"/>
          <w:szCs w:val="24"/>
          <w:lang w:val="en-GB"/>
        </w:rPr>
      </w:pPr>
    </w:p>
    <w:p w14:paraId="0CF570FD" w14:textId="77777777" w:rsidR="00BF71E0" w:rsidRPr="000F6BCF" w:rsidRDefault="00DB555C" w:rsidP="00B251CF">
      <w:pPr>
        <w:pStyle w:val="CommentText"/>
        <w:widowControl w:val="0"/>
        <w:jc w:val="both"/>
        <w:rPr>
          <w:rFonts w:ascii="Times New Roman" w:hAnsi="Times New Roman"/>
          <w:sz w:val="24"/>
          <w:szCs w:val="24"/>
          <w:lang w:val="en-GB"/>
        </w:rPr>
      </w:pPr>
      <w:r w:rsidRPr="000F6BCF">
        <w:rPr>
          <w:rFonts w:ascii="Times New Roman" w:hAnsi="Times New Roman"/>
          <w:sz w:val="24"/>
          <w:szCs w:val="24"/>
          <w:lang w:val="en-GB"/>
        </w:rPr>
        <w:t xml:space="preserve">This chapter </w:t>
      </w:r>
      <w:r w:rsidR="004C5F24" w:rsidRPr="000F6BCF">
        <w:rPr>
          <w:rFonts w:ascii="Times New Roman" w:hAnsi="Times New Roman"/>
          <w:sz w:val="24"/>
          <w:szCs w:val="24"/>
          <w:lang w:val="en-GB"/>
        </w:rPr>
        <w:t>has sought</w:t>
      </w:r>
      <w:r w:rsidRPr="000F6BCF">
        <w:rPr>
          <w:rFonts w:ascii="Times New Roman" w:hAnsi="Times New Roman"/>
          <w:sz w:val="24"/>
          <w:szCs w:val="24"/>
          <w:lang w:val="en-GB"/>
        </w:rPr>
        <w:t xml:space="preserve"> to bring about greater theorisation of disabled dance and to challenge its marginalisation from an interdisciplinary perspective. It </w:t>
      </w:r>
      <w:r w:rsidR="004C5F24" w:rsidRPr="000F6BCF">
        <w:rPr>
          <w:rFonts w:ascii="Times New Roman" w:hAnsi="Times New Roman"/>
          <w:sz w:val="24"/>
          <w:szCs w:val="24"/>
          <w:lang w:val="en-GB"/>
        </w:rPr>
        <w:t>has done</w:t>
      </w:r>
      <w:r w:rsidRPr="000F6BCF">
        <w:rPr>
          <w:rFonts w:ascii="Times New Roman" w:hAnsi="Times New Roman"/>
          <w:sz w:val="24"/>
          <w:szCs w:val="24"/>
          <w:lang w:val="en-GB"/>
        </w:rPr>
        <w:t xml:space="preserve"> so by exploring the benefits (for all, and for disabled dance and its immediate supporters) which can arise from disabled dance being part of ICH </w:t>
      </w:r>
      <w:r w:rsidR="00BF33DA" w:rsidRPr="000F6BCF">
        <w:rPr>
          <w:rFonts w:ascii="Times New Roman" w:hAnsi="Times New Roman"/>
          <w:sz w:val="24"/>
          <w:szCs w:val="24"/>
          <w:lang w:val="en-GB"/>
        </w:rPr>
        <w:t xml:space="preserve">- </w:t>
      </w:r>
      <w:r w:rsidRPr="000F6BCF">
        <w:rPr>
          <w:rFonts w:ascii="Times New Roman" w:hAnsi="Times New Roman"/>
          <w:sz w:val="24"/>
          <w:szCs w:val="24"/>
          <w:lang w:val="en-GB"/>
        </w:rPr>
        <w:t xml:space="preserve">an international </w:t>
      </w:r>
      <w:r w:rsidR="00BF33DA" w:rsidRPr="000F6BCF">
        <w:rPr>
          <w:rFonts w:ascii="Times New Roman" w:hAnsi="Times New Roman"/>
          <w:sz w:val="24"/>
          <w:szCs w:val="24"/>
          <w:lang w:val="en-GB"/>
        </w:rPr>
        <w:t xml:space="preserve">legal </w:t>
      </w:r>
      <w:r w:rsidRPr="000F6BCF">
        <w:rPr>
          <w:rFonts w:ascii="Times New Roman" w:hAnsi="Times New Roman"/>
          <w:sz w:val="24"/>
          <w:szCs w:val="24"/>
          <w:lang w:val="en-GB"/>
        </w:rPr>
        <w:t>framework of support with str</w:t>
      </w:r>
      <w:r w:rsidR="00F96074" w:rsidRPr="000F6BCF">
        <w:rPr>
          <w:rFonts w:ascii="Times New Roman" w:hAnsi="Times New Roman"/>
          <w:sz w:val="24"/>
          <w:szCs w:val="24"/>
          <w:lang w:val="en-GB"/>
        </w:rPr>
        <w:t xml:space="preserve">ong roots in human rights.  We </w:t>
      </w:r>
      <w:r w:rsidR="004C5F24" w:rsidRPr="000F6BCF">
        <w:rPr>
          <w:rFonts w:ascii="Times New Roman" w:hAnsi="Times New Roman"/>
          <w:sz w:val="24"/>
          <w:szCs w:val="24"/>
          <w:lang w:val="en-GB"/>
        </w:rPr>
        <w:t>have developed</w:t>
      </w:r>
      <w:r w:rsidR="00F96074" w:rsidRPr="000F6BCF">
        <w:rPr>
          <w:rFonts w:ascii="Times New Roman" w:hAnsi="Times New Roman"/>
          <w:sz w:val="24"/>
          <w:szCs w:val="24"/>
          <w:lang w:val="en-GB"/>
        </w:rPr>
        <w:t xml:space="preserve"> </w:t>
      </w:r>
      <w:r w:rsidRPr="000F6BCF">
        <w:rPr>
          <w:rFonts w:ascii="Times New Roman" w:hAnsi="Times New Roman"/>
          <w:sz w:val="24"/>
          <w:szCs w:val="24"/>
          <w:lang w:val="en-GB"/>
        </w:rPr>
        <w:t xml:space="preserve">an underpinning foundation or theory </w:t>
      </w:r>
      <w:r w:rsidR="004C5F24" w:rsidRPr="000F6BCF">
        <w:rPr>
          <w:rFonts w:ascii="Times New Roman" w:hAnsi="Times New Roman"/>
          <w:sz w:val="24"/>
          <w:szCs w:val="24"/>
          <w:lang w:val="en-GB"/>
        </w:rPr>
        <w:t xml:space="preserve">– physical integrity - </w:t>
      </w:r>
      <w:r w:rsidRPr="000F6BCF">
        <w:rPr>
          <w:rFonts w:ascii="Times New Roman" w:hAnsi="Times New Roman"/>
          <w:sz w:val="24"/>
          <w:szCs w:val="24"/>
          <w:lang w:val="en-GB"/>
        </w:rPr>
        <w:t xml:space="preserve">for a disabled dance community (whichever or wherever that may be) </w:t>
      </w:r>
      <w:r w:rsidR="00F96074" w:rsidRPr="000F6BCF">
        <w:rPr>
          <w:rFonts w:ascii="Times New Roman" w:hAnsi="Times New Roman"/>
          <w:sz w:val="24"/>
          <w:szCs w:val="24"/>
          <w:lang w:val="en-GB"/>
        </w:rPr>
        <w:t xml:space="preserve">which can be </w:t>
      </w:r>
      <w:r w:rsidRPr="000F6BCF">
        <w:rPr>
          <w:rFonts w:ascii="Times New Roman" w:hAnsi="Times New Roman"/>
          <w:sz w:val="24"/>
          <w:szCs w:val="24"/>
          <w:lang w:val="en-GB"/>
        </w:rPr>
        <w:t>use</w:t>
      </w:r>
      <w:r w:rsidR="00F96074" w:rsidRPr="000F6BCF">
        <w:rPr>
          <w:rFonts w:ascii="Times New Roman" w:hAnsi="Times New Roman"/>
          <w:sz w:val="24"/>
          <w:szCs w:val="24"/>
          <w:lang w:val="en-GB"/>
        </w:rPr>
        <w:t>d</w:t>
      </w:r>
      <w:r w:rsidR="004C5F24" w:rsidRPr="000F6BCF">
        <w:rPr>
          <w:rFonts w:ascii="Times New Roman" w:hAnsi="Times New Roman"/>
          <w:sz w:val="24"/>
          <w:szCs w:val="24"/>
          <w:lang w:val="en-GB"/>
        </w:rPr>
        <w:t xml:space="preserve"> as a base for</w:t>
      </w:r>
      <w:r w:rsidRPr="000F6BCF">
        <w:rPr>
          <w:rFonts w:ascii="Times New Roman" w:hAnsi="Times New Roman"/>
          <w:sz w:val="24"/>
          <w:szCs w:val="24"/>
          <w:lang w:val="en-GB"/>
        </w:rPr>
        <w:t xml:space="preserve"> engagement with the relevant authorities within a state </w:t>
      </w:r>
      <w:r w:rsidR="004C5F24" w:rsidRPr="000F6BCF">
        <w:rPr>
          <w:rFonts w:ascii="Times New Roman" w:hAnsi="Times New Roman"/>
          <w:sz w:val="24"/>
          <w:szCs w:val="24"/>
          <w:lang w:val="en-GB"/>
        </w:rPr>
        <w:t>to show why</w:t>
      </w:r>
      <w:r w:rsidRPr="000F6BCF">
        <w:rPr>
          <w:rFonts w:ascii="Times New Roman" w:hAnsi="Times New Roman"/>
          <w:sz w:val="24"/>
          <w:szCs w:val="24"/>
          <w:lang w:val="en-GB"/>
        </w:rPr>
        <w:t xml:space="preserve"> disabled dance </w:t>
      </w:r>
      <w:r w:rsidR="004C5F24" w:rsidRPr="000F6BCF">
        <w:rPr>
          <w:rFonts w:ascii="Times New Roman" w:hAnsi="Times New Roman"/>
          <w:sz w:val="24"/>
          <w:szCs w:val="24"/>
          <w:lang w:val="en-GB"/>
        </w:rPr>
        <w:t>should be considered a</w:t>
      </w:r>
      <w:r w:rsidRPr="000F6BCF">
        <w:rPr>
          <w:rFonts w:ascii="Times New Roman" w:hAnsi="Times New Roman"/>
          <w:sz w:val="24"/>
          <w:szCs w:val="24"/>
          <w:lang w:val="en-GB"/>
        </w:rPr>
        <w:t xml:space="preserve"> part of ICH. </w:t>
      </w:r>
      <w:r w:rsidR="004C5F24" w:rsidRPr="000F6BCF">
        <w:rPr>
          <w:rFonts w:ascii="Times New Roman" w:hAnsi="Times New Roman"/>
          <w:sz w:val="24"/>
          <w:szCs w:val="24"/>
          <w:lang w:val="en-GB"/>
        </w:rPr>
        <w:t>As</w:t>
      </w:r>
      <w:r w:rsidRPr="000F6BCF">
        <w:rPr>
          <w:rFonts w:ascii="Times New Roman" w:hAnsi="Times New Roman"/>
          <w:sz w:val="24"/>
          <w:szCs w:val="24"/>
          <w:lang w:val="en-GB"/>
        </w:rPr>
        <w:t xml:space="preserve"> part of ICH, the safeguarding responsibilities</w:t>
      </w:r>
      <w:r w:rsidR="004C5F24" w:rsidRPr="000F6BCF">
        <w:rPr>
          <w:rFonts w:ascii="Times New Roman" w:hAnsi="Times New Roman"/>
          <w:sz w:val="24"/>
          <w:szCs w:val="24"/>
          <w:lang w:val="en-GB"/>
        </w:rPr>
        <w:t xml:space="preserve"> </w:t>
      </w:r>
      <w:r w:rsidRPr="000F6BCF">
        <w:rPr>
          <w:rFonts w:ascii="Times New Roman" w:hAnsi="Times New Roman"/>
          <w:sz w:val="24"/>
          <w:szCs w:val="24"/>
          <w:lang w:val="en-GB"/>
        </w:rPr>
        <w:t>imposed on states</w:t>
      </w:r>
      <w:r w:rsidR="004C5F24" w:rsidRPr="000F6BCF">
        <w:rPr>
          <w:rFonts w:ascii="Times New Roman" w:hAnsi="Times New Roman"/>
          <w:sz w:val="24"/>
          <w:szCs w:val="24"/>
          <w:lang w:val="en-GB"/>
        </w:rPr>
        <w:t>,</w:t>
      </w:r>
      <w:r w:rsidRPr="000F6BCF">
        <w:rPr>
          <w:rFonts w:ascii="Times New Roman" w:hAnsi="Times New Roman"/>
          <w:sz w:val="24"/>
          <w:szCs w:val="24"/>
          <w:lang w:val="en-GB"/>
        </w:rPr>
        <w:t xml:space="preserve"> and the opportun</w:t>
      </w:r>
      <w:r w:rsidR="004C5F24" w:rsidRPr="000F6BCF">
        <w:rPr>
          <w:rFonts w:ascii="Times New Roman" w:hAnsi="Times New Roman"/>
          <w:sz w:val="24"/>
          <w:szCs w:val="24"/>
          <w:lang w:val="en-GB"/>
        </w:rPr>
        <w:t>ities these</w:t>
      </w:r>
      <w:r w:rsidRPr="000F6BCF">
        <w:rPr>
          <w:rFonts w:ascii="Times New Roman" w:hAnsi="Times New Roman"/>
          <w:sz w:val="24"/>
          <w:szCs w:val="24"/>
          <w:lang w:val="en-GB"/>
        </w:rPr>
        <w:t xml:space="preserve"> would bring for community involvement, could be a fluid and effective means of influencing new act</w:t>
      </w:r>
      <w:r w:rsidR="00F7284E" w:rsidRPr="000F6BCF">
        <w:rPr>
          <w:rFonts w:ascii="Times New Roman" w:hAnsi="Times New Roman"/>
          <w:sz w:val="24"/>
          <w:szCs w:val="24"/>
          <w:lang w:val="en-GB"/>
        </w:rPr>
        <w:t>ivities on the part</w:t>
      </w:r>
      <w:r w:rsidR="004C5F24" w:rsidRPr="000F6BCF">
        <w:rPr>
          <w:rFonts w:ascii="Times New Roman" w:hAnsi="Times New Roman"/>
          <w:sz w:val="24"/>
          <w:szCs w:val="24"/>
          <w:lang w:val="en-GB"/>
        </w:rPr>
        <w:t xml:space="preserve"> of states and others to ensure </w:t>
      </w:r>
      <w:r w:rsidRPr="000F6BCF">
        <w:rPr>
          <w:rFonts w:ascii="Times New Roman" w:hAnsi="Times New Roman"/>
          <w:sz w:val="24"/>
          <w:szCs w:val="24"/>
          <w:lang w:val="en-GB"/>
        </w:rPr>
        <w:t>wider respect for</w:t>
      </w:r>
      <w:r w:rsidR="00F7284E" w:rsidRPr="000F6BCF">
        <w:rPr>
          <w:rFonts w:ascii="Times New Roman" w:hAnsi="Times New Roman"/>
          <w:sz w:val="24"/>
          <w:szCs w:val="24"/>
          <w:lang w:val="en-GB"/>
        </w:rPr>
        <w:t>,</w:t>
      </w:r>
      <w:r w:rsidRPr="000F6BCF">
        <w:rPr>
          <w:rFonts w:ascii="Times New Roman" w:hAnsi="Times New Roman"/>
          <w:sz w:val="24"/>
          <w:szCs w:val="24"/>
          <w:lang w:val="en-GB"/>
        </w:rPr>
        <w:t xml:space="preserve"> and delivery of</w:t>
      </w:r>
      <w:r w:rsidR="00F7284E" w:rsidRPr="000F6BCF">
        <w:rPr>
          <w:rFonts w:ascii="Times New Roman" w:hAnsi="Times New Roman"/>
          <w:sz w:val="24"/>
          <w:szCs w:val="24"/>
          <w:lang w:val="en-GB"/>
        </w:rPr>
        <w:t>,</w:t>
      </w:r>
      <w:r w:rsidRPr="000F6BCF">
        <w:rPr>
          <w:rFonts w:ascii="Times New Roman" w:hAnsi="Times New Roman"/>
          <w:sz w:val="24"/>
          <w:szCs w:val="24"/>
          <w:lang w:val="en-GB"/>
        </w:rPr>
        <w:t xml:space="preserve"> relevant cultural human rights</w:t>
      </w:r>
      <w:r w:rsidR="004C5F24" w:rsidRPr="000F6BCF">
        <w:rPr>
          <w:rFonts w:ascii="Times New Roman" w:hAnsi="Times New Roman"/>
          <w:sz w:val="24"/>
          <w:szCs w:val="24"/>
          <w:lang w:val="en-GB"/>
        </w:rPr>
        <w:t xml:space="preserve"> for the disabled dance community</w:t>
      </w:r>
      <w:r w:rsidRPr="000F6BCF">
        <w:rPr>
          <w:rFonts w:ascii="Times New Roman" w:hAnsi="Times New Roman"/>
          <w:sz w:val="24"/>
          <w:szCs w:val="24"/>
          <w:lang w:val="en-GB"/>
        </w:rPr>
        <w:t xml:space="preserve">.  Future questions are how to </w:t>
      </w:r>
      <w:r w:rsidR="00F7284E" w:rsidRPr="000F6BCF">
        <w:rPr>
          <w:rFonts w:ascii="Times New Roman" w:hAnsi="Times New Roman"/>
          <w:sz w:val="24"/>
          <w:szCs w:val="24"/>
          <w:lang w:val="en-GB"/>
        </w:rPr>
        <w:t xml:space="preserve">develop this theory such that it can </w:t>
      </w:r>
      <w:r w:rsidRPr="000F6BCF">
        <w:rPr>
          <w:rFonts w:ascii="Times New Roman" w:hAnsi="Times New Roman"/>
          <w:sz w:val="24"/>
          <w:szCs w:val="24"/>
          <w:lang w:val="en-GB"/>
        </w:rPr>
        <w:t>effectively create</w:t>
      </w:r>
      <w:r w:rsidR="00F7284E" w:rsidRPr="000F6BCF">
        <w:rPr>
          <w:rFonts w:ascii="Times New Roman" w:hAnsi="Times New Roman"/>
          <w:sz w:val="24"/>
          <w:szCs w:val="24"/>
          <w:lang w:val="en-GB"/>
        </w:rPr>
        <w:t xml:space="preserve"> a clear base for leveraging a</w:t>
      </w:r>
      <w:r w:rsidRPr="000F6BCF">
        <w:rPr>
          <w:rFonts w:ascii="Times New Roman" w:hAnsi="Times New Roman"/>
          <w:sz w:val="24"/>
          <w:szCs w:val="24"/>
          <w:lang w:val="en-GB"/>
        </w:rPr>
        <w:t xml:space="preserve"> more visible and central place for disabled dance with</w:t>
      </w:r>
      <w:r w:rsidR="00704CEF" w:rsidRPr="000F6BCF">
        <w:rPr>
          <w:rFonts w:ascii="Times New Roman" w:hAnsi="Times New Roman"/>
          <w:sz w:val="24"/>
          <w:szCs w:val="24"/>
          <w:lang w:val="en-GB"/>
        </w:rPr>
        <w:t>in local and universal cultura</w:t>
      </w:r>
      <w:r w:rsidR="005A2B11" w:rsidRPr="000F6BCF">
        <w:rPr>
          <w:rFonts w:ascii="Times New Roman" w:hAnsi="Times New Roman"/>
          <w:sz w:val="24"/>
          <w:szCs w:val="24"/>
          <w:lang w:val="en-GB"/>
        </w:rPr>
        <w:t>l</w:t>
      </w:r>
      <w:r w:rsidR="00704CEF" w:rsidRPr="000F6BCF">
        <w:rPr>
          <w:rFonts w:ascii="Times New Roman" w:hAnsi="Times New Roman"/>
          <w:sz w:val="24"/>
          <w:szCs w:val="24"/>
          <w:lang w:val="en-GB"/>
        </w:rPr>
        <w:t xml:space="preserve"> </w:t>
      </w:r>
      <w:r w:rsidRPr="000F6BCF">
        <w:rPr>
          <w:rFonts w:ascii="Times New Roman" w:hAnsi="Times New Roman"/>
          <w:sz w:val="24"/>
          <w:szCs w:val="24"/>
          <w:lang w:val="en-GB"/>
        </w:rPr>
        <w:t xml:space="preserve">life and scholarship. </w:t>
      </w:r>
    </w:p>
    <w:p w14:paraId="3EFC40CC" w14:textId="77777777" w:rsidR="00145CAD" w:rsidRPr="000F6BCF" w:rsidRDefault="00145CAD" w:rsidP="00B251CF">
      <w:pPr>
        <w:pStyle w:val="CommentText"/>
        <w:widowControl w:val="0"/>
        <w:jc w:val="both"/>
        <w:rPr>
          <w:rFonts w:ascii="Times New Roman" w:hAnsi="Times New Roman"/>
          <w:sz w:val="24"/>
          <w:szCs w:val="24"/>
          <w:lang w:val="en-GB"/>
        </w:rPr>
      </w:pPr>
    </w:p>
    <w:p w14:paraId="6E4EB65C" w14:textId="77777777" w:rsidR="00145CAD" w:rsidRPr="000F6BCF" w:rsidRDefault="00145CAD" w:rsidP="00B251CF">
      <w:pPr>
        <w:pStyle w:val="CommentText"/>
        <w:widowControl w:val="0"/>
        <w:jc w:val="both"/>
        <w:rPr>
          <w:rFonts w:ascii="Times New Roman" w:hAnsi="Times New Roman"/>
          <w:sz w:val="24"/>
          <w:szCs w:val="24"/>
          <w:lang w:val="en-GB"/>
        </w:rPr>
      </w:pPr>
    </w:p>
    <w:p w14:paraId="5CB6E8F9" w14:textId="77777777" w:rsidR="00880380" w:rsidRPr="000F6BCF" w:rsidRDefault="00880380">
      <w:pPr>
        <w:rPr>
          <w:rFonts w:ascii="Times New Roman" w:hAnsi="Times New Roman"/>
          <w:lang w:val="en-GB"/>
        </w:rPr>
      </w:pPr>
      <w:r w:rsidRPr="000F6BCF">
        <w:rPr>
          <w:rFonts w:ascii="Times New Roman" w:hAnsi="Times New Roman"/>
          <w:lang w:val="en-GB"/>
        </w:rPr>
        <w:br w:type="page"/>
      </w:r>
    </w:p>
    <w:p w14:paraId="7014748B" w14:textId="77777777" w:rsidR="00704CEF" w:rsidRPr="000F6BCF" w:rsidRDefault="00704CEF" w:rsidP="00B251CF">
      <w:pPr>
        <w:pStyle w:val="CommentText"/>
        <w:widowControl w:val="0"/>
        <w:jc w:val="both"/>
        <w:rPr>
          <w:rFonts w:ascii="Times New Roman" w:hAnsi="Times New Roman"/>
          <w:b/>
          <w:sz w:val="24"/>
          <w:szCs w:val="24"/>
          <w:lang w:val="en-GB"/>
        </w:rPr>
      </w:pPr>
      <w:r w:rsidRPr="000F6BCF">
        <w:rPr>
          <w:rFonts w:ascii="Times New Roman" w:hAnsi="Times New Roman"/>
          <w:b/>
          <w:sz w:val="24"/>
          <w:szCs w:val="24"/>
          <w:lang w:val="en-GB"/>
        </w:rPr>
        <w:t>References</w:t>
      </w:r>
    </w:p>
    <w:p w14:paraId="5BC7DB66" w14:textId="77777777" w:rsidR="00704CEF" w:rsidRPr="000F6BCF" w:rsidRDefault="00704CEF" w:rsidP="00B251CF">
      <w:pPr>
        <w:pStyle w:val="CommentText"/>
        <w:widowControl w:val="0"/>
        <w:jc w:val="both"/>
        <w:rPr>
          <w:rFonts w:ascii="Times New Roman" w:hAnsi="Times New Roman"/>
          <w:sz w:val="24"/>
          <w:szCs w:val="24"/>
          <w:lang w:val="en-GB"/>
        </w:rPr>
      </w:pPr>
    </w:p>
    <w:p w14:paraId="00C97B9E" w14:textId="77777777" w:rsidR="00527C41" w:rsidRPr="000F6BCF" w:rsidRDefault="00527C41">
      <w:pPr>
        <w:pStyle w:val="CommentText"/>
        <w:widowControl w:val="0"/>
        <w:spacing w:before="120" w:after="120"/>
        <w:ind w:left="720" w:hanging="720"/>
        <w:jc w:val="both"/>
        <w:rPr>
          <w:rFonts w:ascii="Times New Roman" w:hAnsi="Times New Roman"/>
          <w:sz w:val="22"/>
          <w:szCs w:val="22"/>
        </w:rPr>
      </w:pPr>
      <w:r w:rsidRPr="000F6BCF">
        <w:rPr>
          <w:rFonts w:ascii="Times New Roman" w:hAnsi="Times New Roman"/>
          <w:sz w:val="22"/>
          <w:szCs w:val="22"/>
          <w:shd w:val="clear" w:color="auto" w:fill="FFFFFF"/>
        </w:rPr>
        <w:t xml:space="preserve">Albright, A.C. and Brandstetter, G. (2015) The politics of a prefix. </w:t>
      </w:r>
      <w:r w:rsidRPr="000F6BCF">
        <w:rPr>
          <w:rFonts w:ascii="Times New Roman" w:hAnsi="Times New Roman"/>
          <w:i/>
          <w:iCs/>
          <w:sz w:val="22"/>
          <w:szCs w:val="22"/>
          <w:shd w:val="clear" w:color="auto" w:fill="FFFFFF"/>
        </w:rPr>
        <w:t>Choreographic Practices</w:t>
      </w:r>
      <w:r w:rsidRPr="000F6BCF">
        <w:rPr>
          <w:rFonts w:ascii="Times New Roman" w:hAnsi="Times New Roman"/>
          <w:sz w:val="22"/>
          <w:szCs w:val="22"/>
          <w:shd w:val="clear" w:color="auto" w:fill="FFFFFF"/>
        </w:rPr>
        <w:t>. 6(3) 3-8.</w:t>
      </w:r>
    </w:p>
    <w:p w14:paraId="4C980622" w14:textId="714A8ED5" w:rsidR="00527C41" w:rsidRPr="000F6BCF" w:rsidRDefault="00527C41">
      <w:pPr>
        <w:pStyle w:val="CommentText"/>
        <w:widowControl w:val="0"/>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Allam, P. (2011) A Conception of Rights.  </w:t>
      </w:r>
      <w:r w:rsidRPr="000F6BCF">
        <w:rPr>
          <w:rFonts w:ascii="Times New Roman" w:hAnsi="Times New Roman"/>
          <w:i/>
          <w:sz w:val="22"/>
          <w:szCs w:val="22"/>
        </w:rPr>
        <w:t>UCL Jurisprudence Review</w:t>
      </w:r>
      <w:r w:rsidRPr="000F6BCF">
        <w:rPr>
          <w:rFonts w:ascii="Times New Roman" w:hAnsi="Times New Roman"/>
          <w:sz w:val="22"/>
          <w:szCs w:val="22"/>
        </w:rPr>
        <w:t xml:space="preserve"> 17, 19-33</w:t>
      </w:r>
      <w:r w:rsidR="00F44937" w:rsidRPr="000F6BCF">
        <w:rPr>
          <w:rFonts w:ascii="Times New Roman" w:hAnsi="Times New Roman"/>
          <w:sz w:val="22"/>
          <w:szCs w:val="22"/>
        </w:rPr>
        <w:t>.</w:t>
      </w:r>
    </w:p>
    <w:p w14:paraId="7F3026DB" w14:textId="545680FB" w:rsidR="00527C41" w:rsidRPr="000F6BCF" w:rsidRDefault="00527C41">
      <w:pPr>
        <w:pStyle w:val="FootnoteText"/>
        <w:spacing w:before="120" w:after="120"/>
        <w:ind w:left="720" w:hanging="720"/>
        <w:jc w:val="both"/>
        <w:rPr>
          <w:rFonts w:ascii="Times New Roman" w:hAnsi="Times New Roman"/>
          <w:sz w:val="22"/>
          <w:szCs w:val="22"/>
          <w:shd w:val="clear" w:color="auto" w:fill="FFFFFF"/>
        </w:rPr>
      </w:pPr>
      <w:r w:rsidRPr="000F6BCF">
        <w:rPr>
          <w:rFonts w:ascii="Times New Roman" w:hAnsi="Times New Roman"/>
          <w:sz w:val="22"/>
          <w:szCs w:val="22"/>
        </w:rPr>
        <w:t xml:space="preserve">Berger, P. (1970) On the Obsolescence of the Concept of Honor. </w:t>
      </w:r>
      <w:r w:rsidRPr="000F6BCF">
        <w:rPr>
          <w:rFonts w:ascii="Times New Roman" w:hAnsi="Times New Roman"/>
          <w:i/>
          <w:sz w:val="22"/>
          <w:szCs w:val="22"/>
        </w:rPr>
        <w:t>European J Sociology</w:t>
      </w:r>
      <w:r w:rsidRPr="000F6BCF">
        <w:rPr>
          <w:rFonts w:ascii="Times New Roman" w:hAnsi="Times New Roman"/>
          <w:sz w:val="22"/>
          <w:szCs w:val="22"/>
        </w:rPr>
        <w:t xml:space="preserve">. 11(2) </w:t>
      </w:r>
      <w:r w:rsidRPr="000F6BCF">
        <w:rPr>
          <w:rFonts w:ascii="Times New Roman" w:hAnsi="Times New Roman"/>
          <w:sz w:val="22"/>
          <w:szCs w:val="22"/>
          <w:shd w:val="clear" w:color="auto" w:fill="FFFFFF"/>
        </w:rPr>
        <w:t>338-347</w:t>
      </w:r>
      <w:r w:rsidR="00F44937" w:rsidRPr="000F6BCF">
        <w:rPr>
          <w:rFonts w:ascii="Times New Roman" w:hAnsi="Times New Roman"/>
          <w:sz w:val="22"/>
          <w:szCs w:val="22"/>
          <w:shd w:val="clear" w:color="auto" w:fill="FFFFFF"/>
        </w:rPr>
        <w:t>.</w:t>
      </w:r>
    </w:p>
    <w:p w14:paraId="754FA96C" w14:textId="77777777" w:rsidR="00527C41" w:rsidRPr="000F6BCF" w:rsidRDefault="00527C41">
      <w:pPr>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Bixler, L. (1999) Zebra Talk: the Absurd World of Philippe Decoufle. In:Adshead-Lansdale J. (ed.) </w:t>
      </w:r>
      <w:r w:rsidRPr="000F6BCF">
        <w:rPr>
          <w:rFonts w:ascii="Times New Roman" w:hAnsi="Times New Roman"/>
          <w:i/>
          <w:sz w:val="22"/>
          <w:szCs w:val="22"/>
        </w:rPr>
        <w:t>Dancing Texts: intertextuality in interpre</w:t>
      </w:r>
      <w:r w:rsidRPr="000F6BCF">
        <w:rPr>
          <w:rFonts w:ascii="Times New Roman" w:hAnsi="Times New Roman"/>
          <w:sz w:val="22"/>
          <w:szCs w:val="22"/>
        </w:rPr>
        <w:t xml:space="preserve">tation. London, Dance Books. pp 231-252. </w:t>
      </w:r>
    </w:p>
    <w:p w14:paraId="0C239CD5" w14:textId="159F03EA" w:rsidR="00527C41" w:rsidRPr="000F6BCF" w:rsidRDefault="00527C41">
      <w:pPr>
        <w:pStyle w:val="FootnoteText"/>
        <w:spacing w:before="120" w:after="120"/>
        <w:ind w:left="720" w:hanging="720"/>
        <w:jc w:val="both"/>
        <w:rPr>
          <w:rFonts w:ascii="Times New Roman" w:hAnsi="Times New Roman"/>
          <w:sz w:val="22"/>
          <w:szCs w:val="22"/>
          <w:shd w:val="clear" w:color="auto" w:fill="FFFFFF"/>
        </w:rPr>
      </w:pPr>
      <w:r w:rsidRPr="000F6BCF">
        <w:rPr>
          <w:rFonts w:ascii="Times New Roman" w:hAnsi="Times New Roman"/>
          <w:sz w:val="22"/>
          <w:szCs w:val="22"/>
          <w:shd w:val="clear" w:color="auto" w:fill="FFFFFF"/>
        </w:rPr>
        <w:t>Blake, J. (2000) On defining the cultural heritage.</w:t>
      </w:r>
      <w:r w:rsidRPr="000F6BCF">
        <w:rPr>
          <w:rStyle w:val="apple-converted-space"/>
          <w:rFonts w:ascii="Times New Roman" w:hAnsi="Times New Roman"/>
          <w:sz w:val="22"/>
          <w:szCs w:val="22"/>
          <w:shd w:val="clear" w:color="auto" w:fill="FFFFFF"/>
        </w:rPr>
        <w:t> </w:t>
      </w:r>
      <w:r w:rsidRPr="000F6BCF">
        <w:rPr>
          <w:rFonts w:ascii="Times New Roman" w:hAnsi="Times New Roman"/>
          <w:i/>
          <w:iCs/>
          <w:sz w:val="22"/>
          <w:szCs w:val="22"/>
          <w:shd w:val="clear" w:color="auto" w:fill="FFFFFF"/>
        </w:rPr>
        <w:t>International and Comparative Law Quarterly</w:t>
      </w:r>
      <w:r w:rsidRPr="000F6BCF">
        <w:rPr>
          <w:rFonts w:ascii="Times New Roman" w:hAnsi="Times New Roman"/>
          <w:sz w:val="22"/>
          <w:szCs w:val="22"/>
          <w:shd w:val="clear" w:color="auto" w:fill="FFFFFF"/>
        </w:rPr>
        <w:t>,</w:t>
      </w:r>
      <w:r w:rsidRPr="000F6BCF">
        <w:rPr>
          <w:rStyle w:val="apple-converted-space"/>
          <w:rFonts w:ascii="Times New Roman" w:hAnsi="Times New Roman"/>
          <w:sz w:val="22"/>
          <w:szCs w:val="22"/>
          <w:shd w:val="clear" w:color="auto" w:fill="FFFFFF"/>
        </w:rPr>
        <w:t> </w:t>
      </w:r>
      <w:r w:rsidRPr="000F6BCF">
        <w:rPr>
          <w:rFonts w:ascii="Times New Roman" w:hAnsi="Times New Roman"/>
          <w:i/>
          <w:iCs/>
          <w:sz w:val="22"/>
          <w:szCs w:val="22"/>
          <w:shd w:val="clear" w:color="auto" w:fill="FFFFFF"/>
        </w:rPr>
        <w:t>49</w:t>
      </w:r>
      <w:r w:rsidRPr="000F6BCF">
        <w:rPr>
          <w:rFonts w:ascii="Times New Roman" w:hAnsi="Times New Roman"/>
          <w:sz w:val="22"/>
          <w:szCs w:val="22"/>
          <w:shd w:val="clear" w:color="auto" w:fill="FFFFFF"/>
        </w:rPr>
        <w:t>(01), 61-85</w:t>
      </w:r>
      <w:r w:rsidR="00F44937" w:rsidRPr="000F6BCF">
        <w:rPr>
          <w:rFonts w:ascii="Times New Roman" w:hAnsi="Times New Roman"/>
          <w:sz w:val="22"/>
          <w:szCs w:val="22"/>
          <w:shd w:val="clear" w:color="auto" w:fill="FFFFFF"/>
        </w:rPr>
        <w:t>.</w:t>
      </w:r>
    </w:p>
    <w:p w14:paraId="4D444FF3" w14:textId="77777777" w:rsidR="00527C41" w:rsidRPr="000F6BCF" w:rsidRDefault="00527C41">
      <w:pPr>
        <w:pStyle w:val="FootnoteText"/>
        <w:spacing w:before="120" w:after="120"/>
        <w:ind w:left="720" w:hanging="720"/>
        <w:jc w:val="both"/>
        <w:rPr>
          <w:rFonts w:ascii="Times New Roman" w:hAnsi="Times New Roman"/>
          <w:sz w:val="22"/>
          <w:szCs w:val="22"/>
          <w:highlight w:val="green"/>
        </w:rPr>
      </w:pPr>
      <w:r w:rsidRPr="000F6BCF">
        <w:rPr>
          <w:rFonts w:ascii="Times New Roman" w:hAnsi="Times New Roman"/>
          <w:sz w:val="22"/>
          <w:szCs w:val="22"/>
        </w:rPr>
        <w:t>BookSprints [n.d.] What is a book sprint? Available from: &lt;</w:t>
      </w:r>
      <w:hyperlink r:id="rId9" w:history="1">
        <w:r w:rsidRPr="000F6BCF">
          <w:rPr>
            <w:rStyle w:val="Hyperlink"/>
            <w:rFonts w:ascii="Times New Roman" w:hAnsi="Times New Roman"/>
            <w:color w:val="auto"/>
            <w:sz w:val="22"/>
            <w:szCs w:val="22"/>
          </w:rPr>
          <w:t>http://www.booksprints.net/about/</w:t>
        </w:r>
      </w:hyperlink>
      <w:r w:rsidRPr="000F6BCF">
        <w:rPr>
          <w:rFonts w:ascii="Times New Roman" w:hAnsi="Times New Roman"/>
          <w:sz w:val="22"/>
          <w:szCs w:val="22"/>
        </w:rPr>
        <w:t>&gt; [Accessed 28 April 2016].</w:t>
      </w:r>
    </w:p>
    <w:p w14:paraId="50BBFC70" w14:textId="7510F193"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Bordo, S. (1993) Feminism, Foucault and the Politics of the Body. In: Ramazanoglu, C. (ed.) </w:t>
      </w:r>
      <w:r w:rsidRPr="000F6BCF">
        <w:rPr>
          <w:rFonts w:ascii="Times New Roman" w:hAnsi="Times New Roman"/>
          <w:i/>
          <w:sz w:val="22"/>
          <w:szCs w:val="22"/>
        </w:rPr>
        <w:t>Up Against Foucault</w:t>
      </w:r>
      <w:r w:rsidRPr="000F6BCF">
        <w:rPr>
          <w:rFonts w:ascii="Times New Roman" w:hAnsi="Times New Roman"/>
          <w:sz w:val="22"/>
          <w:szCs w:val="22"/>
        </w:rPr>
        <w:t xml:space="preserve">. London. Routledge. </w:t>
      </w:r>
      <w:r w:rsidR="0079183C" w:rsidRPr="000F6BCF">
        <w:rPr>
          <w:rFonts w:ascii="Times New Roman" w:hAnsi="Times New Roman"/>
          <w:sz w:val="22"/>
          <w:szCs w:val="22"/>
        </w:rPr>
        <w:t>p</w:t>
      </w:r>
      <w:r w:rsidRPr="000F6BCF">
        <w:rPr>
          <w:rFonts w:ascii="Times New Roman" w:hAnsi="Times New Roman"/>
          <w:sz w:val="22"/>
          <w:szCs w:val="22"/>
        </w:rPr>
        <w:t>p</w:t>
      </w:r>
      <w:r w:rsidR="0079183C" w:rsidRPr="000F6BCF">
        <w:rPr>
          <w:rFonts w:ascii="Times New Roman" w:hAnsi="Times New Roman"/>
          <w:sz w:val="22"/>
          <w:szCs w:val="22"/>
        </w:rPr>
        <w:t xml:space="preserve">. 179-202. </w:t>
      </w:r>
    </w:p>
    <w:p w14:paraId="56D02263" w14:textId="7929DF40" w:rsidR="00527C41" w:rsidRPr="000F6BCF" w:rsidRDefault="0079183C">
      <w:pPr>
        <w:pStyle w:val="FootnoteText"/>
        <w:spacing w:before="120" w:after="120"/>
        <w:ind w:left="720" w:hanging="720"/>
        <w:jc w:val="both"/>
        <w:rPr>
          <w:rFonts w:ascii="Times New Roman" w:hAnsi="Times New Roman"/>
          <w:sz w:val="22"/>
          <w:szCs w:val="22"/>
          <w:highlight w:val="yellow"/>
        </w:rPr>
      </w:pPr>
      <w:r w:rsidRPr="000F6BCF">
        <w:rPr>
          <w:rFonts w:ascii="Times New Roman" w:hAnsi="Times New Roman"/>
          <w:sz w:val="22"/>
          <w:szCs w:val="22"/>
        </w:rPr>
        <w:t xml:space="preserve">Boyce, K. (2013) </w:t>
      </w:r>
      <w:r w:rsidRPr="000F6BCF">
        <w:rPr>
          <w:rFonts w:ascii="Times New Roman" w:hAnsi="Times New Roman"/>
        </w:rPr>
        <w:t xml:space="preserve">The Thinking Body: Philosophy, Dance and Modernism. In: </w:t>
      </w:r>
      <w:r w:rsidRPr="000F6BCF">
        <w:rPr>
          <w:rFonts w:ascii="Times New Roman" w:hAnsi="Times New Roman"/>
          <w:sz w:val="22"/>
          <w:szCs w:val="22"/>
        </w:rPr>
        <w:t xml:space="preserve">Bunker, J., Pakes, A. &amp; Rowell, B. (eds.) </w:t>
      </w:r>
      <w:r w:rsidRPr="000F6BCF">
        <w:rPr>
          <w:rFonts w:ascii="Times New Roman" w:hAnsi="Times New Roman"/>
          <w:i/>
          <w:sz w:val="22"/>
          <w:szCs w:val="22"/>
        </w:rPr>
        <w:t xml:space="preserve">Thinking through dance: The Philosophy of Dance Performance and Practices. </w:t>
      </w:r>
      <w:r w:rsidRPr="000F6BCF">
        <w:rPr>
          <w:rFonts w:ascii="Times New Roman" w:hAnsi="Times New Roman"/>
          <w:sz w:val="22"/>
          <w:szCs w:val="22"/>
        </w:rPr>
        <w:t xml:space="preserve">Hampshire, Dance Books. </w:t>
      </w:r>
    </w:p>
    <w:p w14:paraId="09C417AB" w14:textId="77777777" w:rsidR="00527C41" w:rsidRPr="000F6BCF" w:rsidRDefault="00527C41">
      <w:pPr>
        <w:pStyle w:val="FootnoteText"/>
        <w:spacing w:before="120" w:after="120"/>
        <w:ind w:left="720" w:hanging="720"/>
        <w:jc w:val="both"/>
        <w:rPr>
          <w:rFonts w:ascii="Times New Roman" w:hAnsi="Times New Roman"/>
          <w:sz w:val="22"/>
          <w:szCs w:val="22"/>
          <w:highlight w:val="yellow"/>
        </w:rPr>
      </w:pPr>
      <w:r w:rsidRPr="000F6BCF">
        <w:rPr>
          <w:rFonts w:ascii="Times New Roman" w:hAnsi="Times New Roman"/>
          <w:sz w:val="22"/>
          <w:szCs w:val="22"/>
          <w:shd w:val="clear" w:color="auto" w:fill="FFFFFF"/>
        </w:rPr>
        <w:t>Bragg, M. (2007) The last remaining avant-garde movement.</w:t>
      </w:r>
      <w:r w:rsidRPr="000F6BCF">
        <w:rPr>
          <w:rStyle w:val="apple-converted-space"/>
          <w:rFonts w:ascii="Times New Roman" w:hAnsi="Times New Roman"/>
          <w:sz w:val="22"/>
          <w:szCs w:val="22"/>
          <w:shd w:val="clear" w:color="auto" w:fill="FFFFFF"/>
        </w:rPr>
        <w:t> </w:t>
      </w:r>
      <w:r w:rsidRPr="000F6BCF">
        <w:rPr>
          <w:rFonts w:ascii="Times New Roman" w:hAnsi="Times New Roman"/>
          <w:i/>
          <w:iCs/>
          <w:sz w:val="22"/>
          <w:szCs w:val="22"/>
          <w:shd w:val="clear" w:color="auto" w:fill="FFFFFF"/>
        </w:rPr>
        <w:t>Society Guardian</w:t>
      </w:r>
      <w:r w:rsidRPr="000F6BCF">
        <w:rPr>
          <w:rFonts w:ascii="Times New Roman" w:hAnsi="Times New Roman"/>
          <w:sz w:val="22"/>
          <w:szCs w:val="22"/>
          <w:shd w:val="clear" w:color="auto" w:fill="FFFFFF"/>
        </w:rPr>
        <w:t xml:space="preserve">. Available from: </w:t>
      </w:r>
      <w:hyperlink r:id="rId10" w:history="1">
        <w:r w:rsidRPr="000F6BCF">
          <w:rPr>
            <w:rStyle w:val="Hyperlink"/>
            <w:rFonts w:ascii="Times New Roman" w:hAnsi="Times New Roman"/>
            <w:color w:val="auto"/>
            <w:sz w:val="22"/>
            <w:szCs w:val="22"/>
            <w:shd w:val="clear" w:color="auto" w:fill="FFFFFF"/>
          </w:rPr>
          <w:t>http://www.theguardian.com/society/2007/dec/11/disability.arts</w:t>
        </w:r>
      </w:hyperlink>
      <w:r w:rsidRPr="000F6BCF">
        <w:rPr>
          <w:rFonts w:ascii="Times New Roman" w:hAnsi="Times New Roman"/>
          <w:sz w:val="22"/>
          <w:szCs w:val="22"/>
          <w:shd w:val="clear" w:color="auto" w:fill="FFFFFF"/>
        </w:rPr>
        <w:t xml:space="preserve"> [Accessed 27 April 2016] </w:t>
      </w:r>
    </w:p>
    <w:p w14:paraId="42CCBD95" w14:textId="77777777" w:rsidR="00527C41" w:rsidRPr="000F6BCF" w:rsidRDefault="00527C41">
      <w:pPr>
        <w:pStyle w:val="FootnoteText"/>
        <w:spacing w:before="120" w:after="120"/>
        <w:ind w:left="720" w:hanging="720"/>
        <w:jc w:val="both"/>
        <w:rPr>
          <w:rFonts w:ascii="Times New Roman" w:hAnsi="Times New Roman"/>
          <w:sz w:val="22"/>
          <w:szCs w:val="22"/>
          <w:shd w:val="clear" w:color="auto" w:fill="FFFFFF"/>
        </w:rPr>
      </w:pPr>
      <w:r w:rsidRPr="000F6BCF">
        <w:rPr>
          <w:rFonts w:ascii="Times New Roman" w:hAnsi="Times New Roman"/>
          <w:sz w:val="22"/>
          <w:szCs w:val="22"/>
          <w:shd w:val="clear" w:color="auto" w:fill="FFFFFF"/>
        </w:rPr>
        <w:t>Briginshaw, V. (2001)</w:t>
      </w:r>
      <w:r w:rsidRPr="000F6BCF">
        <w:rPr>
          <w:rStyle w:val="apple-converted-space"/>
          <w:rFonts w:ascii="Times New Roman" w:hAnsi="Times New Roman"/>
          <w:sz w:val="22"/>
          <w:szCs w:val="22"/>
          <w:shd w:val="clear" w:color="auto" w:fill="FFFFFF"/>
        </w:rPr>
        <w:t> </w:t>
      </w:r>
      <w:r w:rsidRPr="000F6BCF">
        <w:rPr>
          <w:rFonts w:ascii="Times New Roman" w:hAnsi="Times New Roman"/>
          <w:i/>
          <w:iCs/>
          <w:sz w:val="22"/>
          <w:szCs w:val="22"/>
          <w:shd w:val="clear" w:color="auto" w:fill="FFFFFF"/>
        </w:rPr>
        <w:t>Dance, space and subjectivity</w:t>
      </w:r>
      <w:r w:rsidRPr="000F6BCF">
        <w:rPr>
          <w:rFonts w:ascii="Times New Roman" w:hAnsi="Times New Roman"/>
          <w:sz w:val="22"/>
          <w:szCs w:val="22"/>
          <w:shd w:val="clear" w:color="auto" w:fill="FFFFFF"/>
        </w:rPr>
        <w:t>. Springer.</w:t>
      </w:r>
    </w:p>
    <w:p w14:paraId="4391DB64" w14:textId="77777777" w:rsidR="00527C41" w:rsidRPr="000F6BCF" w:rsidRDefault="00527C41">
      <w:pPr>
        <w:pStyle w:val="FootnoteText"/>
        <w:spacing w:before="120" w:after="120"/>
        <w:ind w:left="720" w:hanging="720"/>
        <w:jc w:val="both"/>
        <w:rPr>
          <w:rFonts w:ascii="Times New Roman" w:hAnsi="Times New Roman"/>
          <w:sz w:val="22"/>
          <w:szCs w:val="22"/>
          <w:shd w:val="clear" w:color="auto" w:fill="FFFFFF"/>
        </w:rPr>
      </w:pPr>
      <w:r w:rsidRPr="000F6BCF">
        <w:rPr>
          <w:rFonts w:ascii="Times New Roman" w:hAnsi="Times New Roman"/>
          <w:sz w:val="22"/>
          <w:szCs w:val="22"/>
          <w:shd w:val="clear" w:color="auto" w:fill="FFFFFF"/>
        </w:rPr>
        <w:t>Brisenden, S. (1990) Disability Culture.</w:t>
      </w:r>
      <w:r w:rsidRPr="000F6BCF">
        <w:rPr>
          <w:rStyle w:val="apple-converted-space"/>
          <w:rFonts w:ascii="Times New Roman" w:hAnsi="Times New Roman"/>
          <w:sz w:val="22"/>
          <w:szCs w:val="22"/>
          <w:shd w:val="clear" w:color="auto" w:fill="FFFFFF"/>
        </w:rPr>
        <w:t> </w:t>
      </w:r>
      <w:r w:rsidRPr="000F6BCF">
        <w:rPr>
          <w:rFonts w:ascii="Times New Roman" w:hAnsi="Times New Roman"/>
          <w:i/>
          <w:iCs/>
          <w:sz w:val="22"/>
          <w:szCs w:val="22"/>
          <w:shd w:val="clear" w:color="auto" w:fill="FFFFFF"/>
        </w:rPr>
        <w:t>Adults Learning (England)</w:t>
      </w:r>
      <w:r w:rsidRPr="000F6BCF">
        <w:rPr>
          <w:rFonts w:ascii="Times New Roman" w:hAnsi="Times New Roman"/>
          <w:sz w:val="22"/>
          <w:szCs w:val="22"/>
          <w:shd w:val="clear" w:color="auto" w:fill="FFFFFF"/>
        </w:rPr>
        <w:t>,</w:t>
      </w:r>
      <w:r w:rsidRPr="000F6BCF">
        <w:rPr>
          <w:rStyle w:val="apple-converted-space"/>
          <w:rFonts w:ascii="Times New Roman" w:hAnsi="Times New Roman"/>
          <w:sz w:val="22"/>
          <w:szCs w:val="22"/>
          <w:shd w:val="clear" w:color="auto" w:fill="FFFFFF"/>
        </w:rPr>
        <w:t> </w:t>
      </w:r>
      <w:r w:rsidRPr="000F6BCF">
        <w:rPr>
          <w:rFonts w:ascii="Times New Roman" w:hAnsi="Times New Roman"/>
          <w:i/>
          <w:iCs/>
          <w:sz w:val="22"/>
          <w:szCs w:val="22"/>
          <w:shd w:val="clear" w:color="auto" w:fill="FFFFFF"/>
        </w:rPr>
        <w:t>2</w:t>
      </w:r>
      <w:r w:rsidRPr="000F6BCF">
        <w:rPr>
          <w:rFonts w:ascii="Times New Roman" w:hAnsi="Times New Roman"/>
          <w:sz w:val="22"/>
          <w:szCs w:val="22"/>
          <w:shd w:val="clear" w:color="auto" w:fill="FFFFFF"/>
        </w:rPr>
        <w:t>(1) 13-14.</w:t>
      </w:r>
    </w:p>
    <w:p w14:paraId="4D9A5223" w14:textId="77777777" w:rsidR="00527C41" w:rsidRPr="000F6BCF" w:rsidRDefault="00527C41">
      <w:pPr>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Brown, A. &amp; Waelde, C. (2015) Human rights, persons with disabilities and copyright. In: </w:t>
      </w:r>
      <w:r w:rsidRPr="000F6BCF">
        <w:rPr>
          <w:rFonts w:ascii="Times New Roman" w:hAnsi="Times New Roman"/>
          <w:sz w:val="22"/>
          <w:szCs w:val="22"/>
          <w:shd w:val="clear" w:color="auto" w:fill="FFFFFF"/>
        </w:rPr>
        <w:t>Geiger, C. (ed.)</w:t>
      </w:r>
      <w:r w:rsidRPr="000F6BCF">
        <w:rPr>
          <w:rStyle w:val="apple-converted-space"/>
          <w:rFonts w:ascii="Times New Roman" w:hAnsi="Times New Roman"/>
          <w:sz w:val="22"/>
          <w:szCs w:val="22"/>
          <w:shd w:val="clear" w:color="auto" w:fill="FFFFFF"/>
        </w:rPr>
        <w:t> </w:t>
      </w:r>
      <w:r w:rsidRPr="000F6BCF">
        <w:rPr>
          <w:rFonts w:ascii="Times New Roman" w:hAnsi="Times New Roman"/>
          <w:i/>
          <w:iCs/>
          <w:sz w:val="22"/>
          <w:szCs w:val="22"/>
          <w:shd w:val="clear" w:color="auto" w:fill="FFFFFF"/>
        </w:rPr>
        <w:t>Research Handbook on Human Rights and Intellectual Property</w:t>
      </w:r>
      <w:r w:rsidRPr="000F6BCF">
        <w:rPr>
          <w:rFonts w:ascii="Times New Roman" w:hAnsi="Times New Roman"/>
          <w:sz w:val="22"/>
          <w:szCs w:val="22"/>
          <w:shd w:val="clear" w:color="auto" w:fill="FFFFFF"/>
        </w:rPr>
        <w:t>. Cheltenham. Edward Elgar Publishing.</w:t>
      </w:r>
      <w:r w:rsidRPr="000F6BCF">
        <w:rPr>
          <w:rFonts w:ascii="Times New Roman" w:hAnsi="Times New Roman"/>
          <w:sz w:val="22"/>
          <w:szCs w:val="22"/>
        </w:rPr>
        <w:t xml:space="preserve"> </w:t>
      </w:r>
    </w:p>
    <w:p w14:paraId="344DD525" w14:textId="2FB80178"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Bunker, J., Pakes, A. &amp; Rowell, B. (eds.) (2013) </w:t>
      </w:r>
      <w:r w:rsidRPr="000F6BCF">
        <w:rPr>
          <w:rFonts w:ascii="Times New Roman" w:hAnsi="Times New Roman"/>
          <w:i/>
          <w:sz w:val="22"/>
          <w:szCs w:val="22"/>
        </w:rPr>
        <w:t xml:space="preserve">Thinking through dance: The Philosophy of Dance Performance and Practices. </w:t>
      </w:r>
      <w:r w:rsidR="00F44937" w:rsidRPr="000F6BCF">
        <w:rPr>
          <w:rFonts w:ascii="Times New Roman" w:hAnsi="Times New Roman"/>
          <w:sz w:val="22"/>
          <w:szCs w:val="22"/>
        </w:rPr>
        <w:t>Hampshire, Dance Books.</w:t>
      </w:r>
    </w:p>
    <w:p w14:paraId="28F6AA69" w14:textId="0C7CA199" w:rsidR="00527C41" w:rsidRPr="000F6BCF" w:rsidRDefault="00527C41" w:rsidP="00705B83">
      <w:pPr>
        <w:pStyle w:val="FootnoteText"/>
        <w:spacing w:before="120" w:after="120"/>
        <w:ind w:left="709" w:hanging="709"/>
        <w:jc w:val="both"/>
        <w:rPr>
          <w:rFonts w:ascii="Times New Roman" w:hAnsi="Times New Roman"/>
          <w:sz w:val="22"/>
          <w:szCs w:val="22"/>
          <w:lang w:val="en-US"/>
        </w:rPr>
      </w:pPr>
      <w:r w:rsidRPr="000F6BCF">
        <w:rPr>
          <w:rFonts w:ascii="Times New Roman" w:hAnsi="Times New Roman"/>
          <w:sz w:val="22"/>
          <w:szCs w:val="22"/>
        </w:rPr>
        <w:t xml:space="preserve">Burt, R. (2001) The Trouble with the Male Dancer. </w:t>
      </w:r>
      <w:r w:rsidRPr="000F6BCF">
        <w:rPr>
          <w:rFonts w:ascii="Times New Roman" w:hAnsi="Times New Roman"/>
          <w:sz w:val="22"/>
          <w:szCs w:val="22"/>
          <w:lang w:val="en-US"/>
        </w:rPr>
        <w:t xml:space="preserve">In: in Dils, A. and Cooper Albright E. (eds.) </w:t>
      </w:r>
      <w:r w:rsidRPr="000F6BCF">
        <w:rPr>
          <w:rFonts w:ascii="Times New Roman" w:hAnsi="Times New Roman"/>
          <w:i/>
          <w:sz w:val="22"/>
          <w:szCs w:val="22"/>
          <w:lang w:val="en-US"/>
        </w:rPr>
        <w:t>Moving history/dancing cultures: A Dance History Reader</w:t>
      </w:r>
      <w:r w:rsidRPr="000F6BCF">
        <w:rPr>
          <w:rFonts w:ascii="Times New Roman" w:hAnsi="Times New Roman"/>
          <w:sz w:val="22"/>
          <w:szCs w:val="22"/>
          <w:lang w:val="en-US"/>
        </w:rPr>
        <w:t>. Middeltown, CT. Wesleyan University Press. pp 44-55</w:t>
      </w:r>
      <w:r w:rsidR="00F44937" w:rsidRPr="000F6BCF">
        <w:rPr>
          <w:rFonts w:ascii="Times New Roman" w:hAnsi="Times New Roman"/>
          <w:sz w:val="22"/>
          <w:szCs w:val="22"/>
          <w:lang w:val="en-US"/>
        </w:rPr>
        <w:t>.</w:t>
      </w:r>
    </w:p>
    <w:p w14:paraId="19F439F1" w14:textId="2ECD13C8" w:rsidR="00527C41" w:rsidRPr="000F6BCF" w:rsidRDefault="00527C41" w:rsidP="00705B83">
      <w:pPr>
        <w:pStyle w:val="FootnoteText"/>
        <w:ind w:left="709" w:hanging="709"/>
        <w:jc w:val="both"/>
        <w:rPr>
          <w:rFonts w:ascii="Times New Roman" w:hAnsi="Times New Roman"/>
          <w:sz w:val="22"/>
          <w:szCs w:val="22"/>
        </w:rPr>
      </w:pPr>
      <w:r w:rsidRPr="000F6BCF">
        <w:rPr>
          <w:rFonts w:ascii="Times New Roman" w:hAnsi="Times New Roman"/>
          <w:sz w:val="22"/>
          <w:szCs w:val="22"/>
        </w:rPr>
        <w:t xml:space="preserve">Calder, S. George Eliot, Spinoza and the Ethics of Literature (2015) In:  </w:t>
      </w:r>
      <w:r w:rsidRPr="000F6BCF">
        <w:rPr>
          <w:rFonts w:ascii="Times New Roman" w:hAnsi="Times New Roman"/>
          <w:iCs/>
          <w:sz w:val="22"/>
          <w:szCs w:val="22"/>
          <w:shd w:val="clear" w:color="auto" w:fill="FFFFFF"/>
        </w:rPr>
        <w:t xml:space="preserve">Lord, B. (ed.) </w:t>
      </w:r>
      <w:r w:rsidRPr="000F6BCF">
        <w:rPr>
          <w:rFonts w:ascii="Times New Roman" w:hAnsi="Times New Roman"/>
          <w:i/>
          <w:sz w:val="22"/>
          <w:szCs w:val="22"/>
        </w:rPr>
        <w:t>Spinoza Beyond Philosophy</w:t>
      </w:r>
      <w:r w:rsidRPr="000F6BCF">
        <w:rPr>
          <w:rFonts w:ascii="Times New Roman" w:hAnsi="Times New Roman"/>
          <w:sz w:val="22"/>
          <w:szCs w:val="22"/>
        </w:rPr>
        <w:t>. Edinburgh. Edinburgh University Press. pp. 168-187</w:t>
      </w:r>
      <w:r w:rsidR="00F44937" w:rsidRPr="000F6BCF">
        <w:rPr>
          <w:rFonts w:ascii="Times New Roman" w:hAnsi="Times New Roman"/>
          <w:sz w:val="22"/>
          <w:szCs w:val="22"/>
        </w:rPr>
        <w:t>.</w:t>
      </w:r>
    </w:p>
    <w:p w14:paraId="495F8414" w14:textId="1065DC9C" w:rsidR="00527C41" w:rsidRPr="000F6BCF" w:rsidRDefault="00527C41" w:rsidP="00705B83">
      <w:pPr>
        <w:spacing w:before="120" w:after="120"/>
        <w:ind w:left="709" w:hanging="709"/>
        <w:jc w:val="both"/>
        <w:rPr>
          <w:rFonts w:ascii="Times New Roman" w:hAnsi="Times New Roman"/>
          <w:sz w:val="22"/>
          <w:szCs w:val="22"/>
        </w:rPr>
      </w:pPr>
      <w:r w:rsidRPr="000F6BCF">
        <w:rPr>
          <w:rFonts w:ascii="Times New Roman" w:hAnsi="Times New Roman"/>
          <w:sz w:val="22"/>
          <w:szCs w:val="22"/>
        </w:rPr>
        <w:t xml:space="preserve">Campbell, A. (2009) </w:t>
      </w:r>
      <w:r w:rsidRPr="000F6BCF">
        <w:rPr>
          <w:rFonts w:ascii="Times New Roman" w:hAnsi="Times New Roman"/>
          <w:i/>
          <w:sz w:val="22"/>
          <w:szCs w:val="22"/>
        </w:rPr>
        <w:t>The body in bioethics</w:t>
      </w:r>
      <w:r w:rsidRPr="000F6BCF">
        <w:rPr>
          <w:rFonts w:ascii="Times New Roman" w:hAnsi="Times New Roman"/>
          <w:sz w:val="22"/>
          <w:szCs w:val="22"/>
        </w:rPr>
        <w:t>. Cavendish, Abingdon. Routledge</w:t>
      </w:r>
      <w:r w:rsidR="00F44937" w:rsidRPr="000F6BCF">
        <w:rPr>
          <w:rFonts w:ascii="Times New Roman" w:hAnsi="Times New Roman"/>
          <w:sz w:val="22"/>
          <w:szCs w:val="22"/>
        </w:rPr>
        <w:t>.</w:t>
      </w:r>
    </w:p>
    <w:p w14:paraId="705ACF93" w14:textId="517B9ABE" w:rsidR="00527C41" w:rsidRPr="000F6BCF" w:rsidRDefault="00527C41" w:rsidP="00705B83">
      <w:pPr>
        <w:pStyle w:val="CommentText"/>
        <w:widowControl w:val="0"/>
        <w:spacing w:before="120" w:after="120"/>
        <w:ind w:left="709" w:hanging="709"/>
        <w:jc w:val="both"/>
        <w:rPr>
          <w:rFonts w:ascii="Times New Roman" w:hAnsi="Times New Roman"/>
          <w:sz w:val="22"/>
          <w:szCs w:val="22"/>
        </w:rPr>
      </w:pPr>
      <w:r w:rsidRPr="000F6BCF">
        <w:rPr>
          <w:rFonts w:ascii="Times New Roman" w:hAnsi="Times New Roman"/>
          <w:sz w:val="22"/>
          <w:szCs w:val="22"/>
        </w:rPr>
        <w:t xml:space="preserve">Carr, J. (2013) Embodiment and dance: puzzles of consciousness and agency. In: Bunker, J., Pakes, A. &amp; Rowell, B. (eds.) </w:t>
      </w:r>
      <w:r w:rsidRPr="000F6BCF">
        <w:rPr>
          <w:rFonts w:ascii="Times New Roman" w:hAnsi="Times New Roman"/>
          <w:i/>
          <w:sz w:val="22"/>
          <w:szCs w:val="22"/>
        </w:rPr>
        <w:t xml:space="preserve">Thinking through dance: The Philosophy of Dance Performance and Practices. </w:t>
      </w:r>
      <w:r w:rsidRPr="000F6BCF">
        <w:rPr>
          <w:rFonts w:ascii="Times New Roman" w:hAnsi="Times New Roman"/>
          <w:sz w:val="22"/>
          <w:szCs w:val="22"/>
        </w:rPr>
        <w:t xml:space="preserve">Hampshire, Dance Books. pp 63-81. </w:t>
      </w:r>
    </w:p>
    <w:p w14:paraId="66DA3236" w14:textId="411D2266" w:rsidR="00527C41" w:rsidRPr="000F6BCF" w:rsidRDefault="00527C41" w:rsidP="00705B83">
      <w:pPr>
        <w:pStyle w:val="FootnoteText"/>
        <w:ind w:left="709" w:hanging="709"/>
        <w:jc w:val="both"/>
        <w:rPr>
          <w:rFonts w:ascii="Times New Roman" w:hAnsi="Times New Roman"/>
          <w:sz w:val="22"/>
          <w:szCs w:val="22"/>
        </w:rPr>
      </w:pPr>
      <w:r w:rsidRPr="000F6BCF">
        <w:rPr>
          <w:rFonts w:ascii="Times New Roman" w:hAnsi="Times New Roman"/>
          <w:sz w:val="22"/>
          <w:szCs w:val="22"/>
        </w:rPr>
        <w:t xml:space="preserve">Cimini A (2015) The Secret History of the Musical Spinozism. In:  </w:t>
      </w:r>
      <w:r w:rsidRPr="000F6BCF">
        <w:rPr>
          <w:rFonts w:ascii="Times New Roman" w:hAnsi="Times New Roman"/>
          <w:iCs/>
          <w:sz w:val="22"/>
          <w:szCs w:val="22"/>
          <w:shd w:val="clear" w:color="auto" w:fill="FFFFFF"/>
        </w:rPr>
        <w:t xml:space="preserve">Lord, B. (ed.) </w:t>
      </w:r>
      <w:r w:rsidRPr="000F6BCF">
        <w:rPr>
          <w:rFonts w:ascii="Times New Roman" w:hAnsi="Times New Roman"/>
          <w:i/>
          <w:sz w:val="22"/>
          <w:szCs w:val="22"/>
        </w:rPr>
        <w:t>Spinoza Beyond Philosophy</w:t>
      </w:r>
      <w:r w:rsidRPr="000F6BCF">
        <w:rPr>
          <w:rFonts w:ascii="Times New Roman" w:hAnsi="Times New Roman"/>
          <w:sz w:val="22"/>
          <w:szCs w:val="22"/>
        </w:rPr>
        <w:t>. Edinburgh. Edinburgh University Press. pp. 87-107</w:t>
      </w:r>
      <w:r w:rsidR="00F44937" w:rsidRPr="000F6BCF">
        <w:rPr>
          <w:rFonts w:ascii="Times New Roman" w:hAnsi="Times New Roman"/>
          <w:sz w:val="22"/>
          <w:szCs w:val="22"/>
        </w:rPr>
        <w:t>.</w:t>
      </w:r>
    </w:p>
    <w:p w14:paraId="364A8BB1" w14:textId="77777777"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Cingranelli D. &amp; Richards, D. (1999) Measuring the Level, Pattern and Sequence of Government Respect for Physical Integrity Rights</w:t>
      </w:r>
      <w:r w:rsidRPr="000F6BCF">
        <w:rPr>
          <w:rFonts w:ascii="Times New Roman" w:hAnsi="Times New Roman"/>
          <w:i/>
          <w:sz w:val="22"/>
          <w:szCs w:val="22"/>
        </w:rPr>
        <w:t>. International Studies Quaterly</w:t>
      </w:r>
      <w:r w:rsidRPr="000F6BCF">
        <w:rPr>
          <w:rFonts w:ascii="Times New Roman" w:hAnsi="Times New Roman"/>
          <w:sz w:val="22"/>
          <w:szCs w:val="22"/>
        </w:rPr>
        <w:t xml:space="preserve">. 43, 407-417.  </w:t>
      </w:r>
    </w:p>
    <w:p w14:paraId="64DDCBCE" w14:textId="6ED7E460" w:rsidR="00527C41" w:rsidRPr="000F6BCF" w:rsidRDefault="00527C41">
      <w:pPr>
        <w:widowControl w:val="0"/>
        <w:autoSpaceDE w:val="0"/>
        <w:autoSpaceDN w:val="0"/>
        <w:adjustRightInd w:val="0"/>
        <w:spacing w:before="120" w:after="120"/>
        <w:ind w:left="720" w:hanging="720"/>
        <w:jc w:val="both"/>
        <w:rPr>
          <w:rFonts w:ascii="Times New Roman" w:hAnsi="Times New Roman"/>
          <w:i/>
          <w:sz w:val="22"/>
          <w:szCs w:val="22"/>
        </w:rPr>
      </w:pPr>
      <w:r w:rsidRPr="000F6BCF">
        <w:rPr>
          <w:rFonts w:ascii="Times New Roman" w:hAnsi="Times New Roman"/>
          <w:sz w:val="22"/>
          <w:szCs w:val="22"/>
        </w:rPr>
        <w:t xml:space="preserve">Copland, R. (2004) </w:t>
      </w:r>
      <w:r w:rsidRPr="000F6BCF">
        <w:rPr>
          <w:rFonts w:ascii="Times New Roman" w:hAnsi="Times New Roman"/>
          <w:i/>
          <w:sz w:val="22"/>
          <w:szCs w:val="22"/>
        </w:rPr>
        <w:t>Merce Cunningham:</w:t>
      </w:r>
      <w:r w:rsidRPr="000F6BCF" w:rsidDel="0049175B">
        <w:rPr>
          <w:rFonts w:ascii="Times New Roman" w:hAnsi="Times New Roman"/>
          <w:i/>
          <w:sz w:val="22"/>
          <w:szCs w:val="22"/>
        </w:rPr>
        <w:t xml:space="preserve"> </w:t>
      </w:r>
      <w:r w:rsidRPr="000F6BCF">
        <w:rPr>
          <w:rFonts w:ascii="Times New Roman" w:hAnsi="Times New Roman"/>
          <w:i/>
          <w:sz w:val="22"/>
          <w:szCs w:val="22"/>
        </w:rPr>
        <w:t>The Modernizing of Modern Dance</w:t>
      </w:r>
      <w:r w:rsidRPr="000F6BCF">
        <w:rPr>
          <w:rFonts w:ascii="Times New Roman" w:hAnsi="Times New Roman"/>
          <w:sz w:val="22"/>
          <w:szCs w:val="22"/>
        </w:rPr>
        <w:t xml:space="preserve">. </w:t>
      </w:r>
      <w:r w:rsidRPr="000F6BCF" w:rsidDel="0049175B">
        <w:rPr>
          <w:rFonts w:ascii="Times New Roman" w:hAnsi="Times New Roman"/>
          <w:sz w:val="22"/>
          <w:szCs w:val="22"/>
        </w:rPr>
        <w:t xml:space="preserve"> (2004) </w:t>
      </w:r>
      <w:r w:rsidR="00F44937" w:rsidRPr="000F6BCF">
        <w:rPr>
          <w:rFonts w:ascii="Times New Roman" w:hAnsi="Times New Roman"/>
          <w:sz w:val="22"/>
          <w:szCs w:val="22"/>
        </w:rPr>
        <w:t>London. Routledge.</w:t>
      </w:r>
    </w:p>
    <w:p w14:paraId="2BE09B1E" w14:textId="3C89DA14"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Darke, PA (2003) Now I Know Why Disability Art is Drowning in the River Lethe (with thanks to Pierre Bourdieu).  In:</w:t>
      </w:r>
      <w:r w:rsidRPr="000F6BCF" w:rsidDel="0049175B">
        <w:rPr>
          <w:rFonts w:ascii="Times New Roman" w:hAnsi="Times New Roman"/>
          <w:sz w:val="22"/>
          <w:szCs w:val="22"/>
        </w:rPr>
        <w:t xml:space="preserve"> S</w:t>
      </w:r>
      <w:r w:rsidRPr="000F6BCF">
        <w:rPr>
          <w:rFonts w:ascii="Times New Roman" w:hAnsi="Times New Roman"/>
          <w:sz w:val="22"/>
          <w:szCs w:val="22"/>
        </w:rPr>
        <w:t xml:space="preserve"> Riddell, S. and </w:t>
      </w:r>
      <w:r w:rsidRPr="000F6BCF" w:rsidDel="0049175B">
        <w:rPr>
          <w:rFonts w:ascii="Times New Roman" w:hAnsi="Times New Roman"/>
          <w:sz w:val="22"/>
          <w:szCs w:val="22"/>
        </w:rPr>
        <w:t xml:space="preserve"> N </w:t>
      </w:r>
      <w:r w:rsidRPr="000F6BCF">
        <w:rPr>
          <w:rFonts w:ascii="Times New Roman" w:hAnsi="Times New Roman"/>
          <w:sz w:val="22"/>
          <w:szCs w:val="22"/>
        </w:rPr>
        <w:t xml:space="preserve">Watson, N. (eds.) </w:t>
      </w:r>
      <w:r w:rsidRPr="000F6BCF">
        <w:rPr>
          <w:rFonts w:ascii="Times New Roman" w:hAnsi="Times New Roman"/>
          <w:i/>
          <w:sz w:val="22"/>
          <w:szCs w:val="22"/>
        </w:rPr>
        <w:t>Disability, Culture and Identity,</w:t>
      </w:r>
      <w:r w:rsidRPr="000F6BCF">
        <w:rPr>
          <w:rFonts w:ascii="Times New Roman" w:hAnsi="Times New Roman"/>
          <w:sz w:val="22"/>
          <w:szCs w:val="22"/>
        </w:rPr>
        <w:t xml:space="preserve"> Essex, Pearson Education Ltd. pp. 130-142. </w:t>
      </w:r>
    </w:p>
    <w:p w14:paraId="62AB9C59" w14:textId="04FC63FB" w:rsidR="00527C41" w:rsidRPr="000F6BCF" w:rsidRDefault="00527C41">
      <w:pPr>
        <w:pStyle w:val="FootnoteText"/>
        <w:spacing w:before="120" w:after="120"/>
        <w:ind w:left="720" w:hanging="720"/>
        <w:jc w:val="both"/>
        <w:rPr>
          <w:rFonts w:ascii="Times New Roman" w:hAnsi="Times New Roman"/>
          <w:bCs/>
          <w:sz w:val="22"/>
          <w:szCs w:val="22"/>
          <w:shd w:val="clear" w:color="auto" w:fill="FFFFFF"/>
        </w:rPr>
      </w:pPr>
      <w:r w:rsidRPr="000F6BCF">
        <w:rPr>
          <w:rFonts w:ascii="Times New Roman" w:hAnsi="Times New Roman"/>
          <w:bCs/>
          <w:sz w:val="22"/>
          <w:szCs w:val="22"/>
          <w:shd w:val="clear" w:color="auto" w:fill="FFFFFF"/>
        </w:rPr>
        <w:t>Diderot</w:t>
      </w:r>
      <w:r w:rsidRPr="000F6BCF">
        <w:rPr>
          <w:rFonts w:ascii="Times New Roman" w:hAnsi="Times New Roman"/>
          <w:sz w:val="22"/>
          <w:szCs w:val="22"/>
          <w:shd w:val="clear" w:color="auto" w:fill="FFFFFF"/>
        </w:rPr>
        <w:t>,</w:t>
      </w:r>
      <w:r w:rsidRPr="000F6BCF">
        <w:rPr>
          <w:rStyle w:val="apple-converted-space"/>
          <w:rFonts w:ascii="Times New Roman" w:hAnsi="Times New Roman"/>
          <w:sz w:val="22"/>
          <w:szCs w:val="22"/>
          <w:shd w:val="clear" w:color="auto" w:fill="FFFFFF"/>
        </w:rPr>
        <w:t> </w:t>
      </w:r>
      <w:r w:rsidRPr="000F6BCF">
        <w:rPr>
          <w:rFonts w:ascii="Times New Roman" w:hAnsi="Times New Roman"/>
          <w:bCs/>
          <w:sz w:val="22"/>
          <w:szCs w:val="22"/>
          <w:shd w:val="clear" w:color="auto" w:fill="FFFFFF"/>
        </w:rPr>
        <w:t>D &amp; Pollock, W. (trans.)</w:t>
      </w:r>
      <w:r w:rsidRPr="000F6BCF">
        <w:rPr>
          <w:rFonts w:ascii="Times New Roman" w:hAnsi="Times New Roman"/>
          <w:sz w:val="22"/>
          <w:szCs w:val="22"/>
          <w:shd w:val="clear" w:color="auto" w:fill="FFFFFF"/>
        </w:rPr>
        <w:t xml:space="preserve"> (2007) The</w:t>
      </w:r>
      <w:r w:rsidRPr="000F6BCF">
        <w:rPr>
          <w:rStyle w:val="apple-converted-space"/>
          <w:rFonts w:ascii="Times New Roman" w:hAnsi="Times New Roman"/>
          <w:sz w:val="22"/>
          <w:szCs w:val="22"/>
          <w:shd w:val="clear" w:color="auto" w:fill="FFFFFF"/>
        </w:rPr>
        <w:t> </w:t>
      </w:r>
      <w:r w:rsidRPr="000F6BCF">
        <w:rPr>
          <w:rFonts w:ascii="Times New Roman" w:hAnsi="Times New Roman"/>
          <w:bCs/>
          <w:sz w:val="22"/>
          <w:szCs w:val="22"/>
          <w:shd w:val="clear" w:color="auto" w:fill="FFFFFF"/>
        </w:rPr>
        <w:t>Paradox</w:t>
      </w:r>
      <w:r w:rsidRPr="000F6BCF">
        <w:rPr>
          <w:rStyle w:val="apple-converted-space"/>
          <w:rFonts w:ascii="Times New Roman" w:hAnsi="Times New Roman"/>
          <w:sz w:val="22"/>
          <w:szCs w:val="22"/>
          <w:shd w:val="clear" w:color="auto" w:fill="FFFFFF"/>
        </w:rPr>
        <w:t> </w:t>
      </w:r>
      <w:r w:rsidRPr="000F6BCF">
        <w:rPr>
          <w:rFonts w:ascii="Times New Roman" w:hAnsi="Times New Roman"/>
          <w:sz w:val="22"/>
          <w:szCs w:val="22"/>
          <w:shd w:val="clear" w:color="auto" w:fill="FFFFFF"/>
        </w:rPr>
        <w:t>of</w:t>
      </w:r>
      <w:r w:rsidRPr="000F6BCF">
        <w:rPr>
          <w:rStyle w:val="apple-converted-space"/>
          <w:rFonts w:ascii="Times New Roman" w:hAnsi="Times New Roman"/>
          <w:sz w:val="22"/>
          <w:szCs w:val="22"/>
          <w:shd w:val="clear" w:color="auto" w:fill="FFFFFF"/>
        </w:rPr>
        <w:t> </w:t>
      </w:r>
      <w:r w:rsidRPr="000F6BCF">
        <w:rPr>
          <w:rFonts w:ascii="Times New Roman" w:hAnsi="Times New Roman"/>
          <w:bCs/>
          <w:sz w:val="22"/>
          <w:szCs w:val="22"/>
          <w:shd w:val="clear" w:color="auto" w:fill="FFFFFF"/>
        </w:rPr>
        <w:t>Acting</w:t>
      </w:r>
      <w:r w:rsidRPr="000F6BCF">
        <w:rPr>
          <w:rFonts w:ascii="Times New Roman" w:hAnsi="Times New Roman"/>
          <w:sz w:val="22"/>
          <w:szCs w:val="22"/>
          <w:shd w:val="clear" w:color="auto" w:fill="FFFFFF"/>
        </w:rPr>
        <w:t xml:space="preserve"> [1883] London. </w:t>
      </w:r>
      <w:r w:rsidRPr="000F6BCF">
        <w:rPr>
          <w:rStyle w:val="apple-converted-space"/>
          <w:rFonts w:ascii="Times New Roman" w:hAnsi="Times New Roman"/>
          <w:sz w:val="22"/>
          <w:szCs w:val="22"/>
          <w:shd w:val="clear" w:color="auto" w:fill="FFFFFF"/>
        </w:rPr>
        <w:t> </w:t>
      </w:r>
      <w:r w:rsidRPr="000F6BCF">
        <w:rPr>
          <w:rFonts w:ascii="Times New Roman" w:hAnsi="Times New Roman"/>
          <w:bCs/>
          <w:sz w:val="22"/>
          <w:szCs w:val="22"/>
          <w:shd w:val="clear" w:color="auto" w:fill="FFFFFF"/>
        </w:rPr>
        <w:t>Kessinger</w:t>
      </w:r>
      <w:r w:rsidRPr="000F6BCF">
        <w:rPr>
          <w:rStyle w:val="apple-converted-space"/>
          <w:rFonts w:ascii="Times New Roman" w:hAnsi="Times New Roman"/>
          <w:sz w:val="22"/>
          <w:szCs w:val="22"/>
          <w:shd w:val="clear" w:color="auto" w:fill="FFFFFF"/>
        </w:rPr>
        <w:t> </w:t>
      </w:r>
      <w:r w:rsidRPr="000F6BCF">
        <w:rPr>
          <w:rFonts w:ascii="Times New Roman" w:hAnsi="Times New Roman"/>
          <w:bCs/>
          <w:sz w:val="22"/>
          <w:szCs w:val="22"/>
          <w:shd w:val="clear" w:color="auto" w:fill="FFFFFF"/>
        </w:rPr>
        <w:t>Publishing</w:t>
      </w:r>
      <w:r w:rsidR="00F44937" w:rsidRPr="000F6BCF">
        <w:rPr>
          <w:rFonts w:ascii="Times New Roman" w:hAnsi="Times New Roman"/>
          <w:bCs/>
          <w:sz w:val="22"/>
          <w:szCs w:val="22"/>
          <w:shd w:val="clear" w:color="auto" w:fill="FFFFFF"/>
        </w:rPr>
        <w:t>.</w:t>
      </w:r>
    </w:p>
    <w:p w14:paraId="6C99E2FD" w14:textId="07633BDE" w:rsidR="00527C41" w:rsidRPr="000F6BCF" w:rsidRDefault="00527C41" w:rsidP="00705B83">
      <w:pPr>
        <w:pStyle w:val="FootnoteText"/>
        <w:spacing w:before="120" w:after="120"/>
        <w:ind w:left="709" w:hanging="709"/>
        <w:jc w:val="both"/>
        <w:rPr>
          <w:rFonts w:ascii="Times New Roman" w:hAnsi="Times New Roman"/>
          <w:sz w:val="22"/>
          <w:szCs w:val="22"/>
          <w:lang w:val="en-US"/>
        </w:rPr>
      </w:pPr>
      <w:r w:rsidRPr="000F6BCF">
        <w:rPr>
          <w:rFonts w:ascii="Times New Roman" w:hAnsi="Times New Roman"/>
          <w:sz w:val="22"/>
          <w:szCs w:val="22"/>
        </w:rPr>
        <w:t xml:space="preserve">Dils, A. &amp; Cooper Albright, A. (2001) Historical Moments: Rethinking the Past. </w:t>
      </w:r>
      <w:r w:rsidRPr="000F6BCF">
        <w:rPr>
          <w:rFonts w:ascii="Times New Roman" w:hAnsi="Times New Roman"/>
          <w:sz w:val="22"/>
          <w:szCs w:val="22"/>
          <w:lang w:val="en-US"/>
        </w:rPr>
        <w:t xml:space="preserve">In: in Dils, A. &amp; Cooper Albright E. (eds.) </w:t>
      </w:r>
      <w:r w:rsidRPr="000F6BCF">
        <w:rPr>
          <w:rFonts w:ascii="Times New Roman" w:hAnsi="Times New Roman"/>
          <w:i/>
          <w:sz w:val="22"/>
          <w:szCs w:val="22"/>
          <w:lang w:val="en-US"/>
        </w:rPr>
        <w:t>Moving history/dancing cultures: A Dance History Reader</w:t>
      </w:r>
      <w:r w:rsidRPr="000F6BCF">
        <w:rPr>
          <w:rFonts w:ascii="Times New Roman" w:hAnsi="Times New Roman"/>
          <w:sz w:val="22"/>
          <w:szCs w:val="22"/>
          <w:lang w:val="en-US"/>
        </w:rPr>
        <w:t xml:space="preserve">. Middeltown, CT. Wesleyan University Press. pp. </w:t>
      </w:r>
      <w:r w:rsidR="0079183C" w:rsidRPr="000F6BCF">
        <w:rPr>
          <w:rFonts w:ascii="Times New Roman" w:hAnsi="Times New Roman"/>
          <w:sz w:val="22"/>
          <w:szCs w:val="22"/>
          <w:lang w:val="en-US"/>
        </w:rPr>
        <w:t>232-237</w:t>
      </w:r>
      <w:r w:rsidR="00F44937" w:rsidRPr="000F6BCF">
        <w:rPr>
          <w:rFonts w:ascii="Times New Roman" w:hAnsi="Times New Roman"/>
          <w:sz w:val="22"/>
          <w:szCs w:val="22"/>
          <w:lang w:val="en-US"/>
        </w:rPr>
        <w:t>.</w:t>
      </w:r>
    </w:p>
    <w:p w14:paraId="66A5E9E3" w14:textId="196C875D"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Dodds, </w:t>
      </w:r>
      <w:r w:rsidRPr="000F6BCF" w:rsidDel="009D4ED3">
        <w:rPr>
          <w:rFonts w:ascii="Times New Roman" w:hAnsi="Times New Roman"/>
          <w:sz w:val="22"/>
          <w:szCs w:val="22"/>
        </w:rPr>
        <w:t>, x. &amp;  Bixler, L</w:t>
      </w:r>
      <w:r w:rsidRPr="000F6BCF">
        <w:rPr>
          <w:rFonts w:ascii="Times New Roman" w:hAnsi="Times New Roman"/>
          <w:sz w:val="22"/>
          <w:szCs w:val="22"/>
        </w:rPr>
        <w:t xml:space="preserve">S. (1999) ‘Streetwise, Urban Chic’ Popular Culture and Intertextuality in the Work of Lea Anderson In: Adshead-Lansdale J. (ed.) </w:t>
      </w:r>
      <w:r w:rsidRPr="000F6BCF">
        <w:rPr>
          <w:rFonts w:ascii="Times New Roman" w:hAnsi="Times New Roman"/>
          <w:i/>
          <w:sz w:val="22"/>
          <w:szCs w:val="22"/>
        </w:rPr>
        <w:t>Dancing Texts: intertextuality in interpre</w:t>
      </w:r>
      <w:r w:rsidRPr="000F6BCF">
        <w:rPr>
          <w:rFonts w:ascii="Times New Roman" w:hAnsi="Times New Roman"/>
          <w:sz w:val="22"/>
          <w:szCs w:val="22"/>
        </w:rPr>
        <w:t xml:space="preserve">tation. London, Dance Books. pp. </w:t>
      </w:r>
      <w:r w:rsidRPr="000F6BCF" w:rsidDel="009D4ED3">
        <w:rPr>
          <w:rFonts w:ascii="Times New Roman" w:hAnsi="Times New Roman"/>
          <w:sz w:val="22"/>
          <w:szCs w:val="22"/>
        </w:rPr>
        <w:t xml:space="preserve"> </w:t>
      </w:r>
      <w:r w:rsidRPr="000F6BCF">
        <w:rPr>
          <w:rFonts w:ascii="Times New Roman" w:hAnsi="Times New Roman"/>
          <w:sz w:val="22"/>
          <w:szCs w:val="22"/>
        </w:rPr>
        <w:t xml:space="preserve">208-230. </w:t>
      </w:r>
    </w:p>
    <w:p w14:paraId="060A8B8D" w14:textId="77777777"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Eliot, G. (2015) Spinoza and the Ethics of Literature. In:  </w:t>
      </w:r>
      <w:r w:rsidRPr="000F6BCF">
        <w:rPr>
          <w:rFonts w:ascii="Times New Roman" w:hAnsi="Times New Roman"/>
          <w:iCs/>
          <w:sz w:val="22"/>
          <w:szCs w:val="22"/>
          <w:shd w:val="clear" w:color="auto" w:fill="FFFFFF"/>
        </w:rPr>
        <w:t xml:space="preserve">Lord, B. (ed.) </w:t>
      </w:r>
      <w:r w:rsidRPr="000F6BCF">
        <w:rPr>
          <w:rFonts w:ascii="Times New Roman" w:hAnsi="Times New Roman"/>
          <w:i/>
          <w:sz w:val="22"/>
          <w:szCs w:val="22"/>
        </w:rPr>
        <w:t>Spinoza Beyond Philosophy</w:t>
      </w:r>
      <w:r w:rsidRPr="000F6BCF">
        <w:rPr>
          <w:rFonts w:ascii="Times New Roman" w:hAnsi="Times New Roman"/>
          <w:sz w:val="22"/>
          <w:szCs w:val="22"/>
        </w:rPr>
        <w:t>. Edinburgh. Edinburgh University Press.</w:t>
      </w:r>
    </w:p>
    <w:p w14:paraId="5D984AC8" w14:textId="77777777"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Elsass, P. (1997) </w:t>
      </w:r>
      <w:r w:rsidRPr="000F6BCF">
        <w:rPr>
          <w:rFonts w:ascii="Times New Roman" w:hAnsi="Times New Roman"/>
          <w:i/>
          <w:sz w:val="22"/>
          <w:szCs w:val="22"/>
        </w:rPr>
        <w:t>Treating Victims of Torture and Violence</w:t>
      </w:r>
      <w:r w:rsidRPr="000F6BCF">
        <w:rPr>
          <w:rFonts w:ascii="Times New Roman" w:hAnsi="Times New Roman"/>
          <w:sz w:val="22"/>
          <w:szCs w:val="22"/>
        </w:rPr>
        <w:t xml:space="preserve">. New York. New York University Press. </w:t>
      </w:r>
    </w:p>
    <w:p w14:paraId="3679BB17" w14:textId="61944DBA"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Feinberg, J. (1980) The Nature and Value of Rights. In: Feinberg, J. (ed.) </w:t>
      </w:r>
      <w:r w:rsidRPr="000F6BCF">
        <w:rPr>
          <w:rFonts w:ascii="Times New Roman" w:hAnsi="Times New Roman"/>
          <w:i/>
          <w:sz w:val="22"/>
          <w:szCs w:val="22"/>
        </w:rPr>
        <w:t>Rights, Justice and the Bounds of Liberty: Essays in Social Philosophy</w:t>
      </w:r>
      <w:r w:rsidRPr="000F6BCF">
        <w:rPr>
          <w:rFonts w:ascii="Times New Roman" w:hAnsi="Times New Roman"/>
          <w:sz w:val="22"/>
          <w:szCs w:val="22"/>
        </w:rPr>
        <w:t>. New Jersay. Princeton University Press. Pp.143-158</w:t>
      </w:r>
      <w:r w:rsidR="00F44937" w:rsidRPr="000F6BCF">
        <w:rPr>
          <w:rFonts w:ascii="Times New Roman" w:hAnsi="Times New Roman"/>
          <w:sz w:val="22"/>
          <w:szCs w:val="22"/>
        </w:rPr>
        <w:t>.</w:t>
      </w:r>
    </w:p>
    <w:p w14:paraId="770B326D" w14:textId="148716B6" w:rsidR="00527C41" w:rsidRPr="000F6BCF" w:rsidRDefault="00527C41">
      <w:pPr>
        <w:pStyle w:val="CommentText"/>
        <w:rPr>
          <w:rFonts w:ascii="Times New Roman" w:hAnsi="Times New Roman"/>
          <w:sz w:val="22"/>
          <w:szCs w:val="22"/>
        </w:rPr>
      </w:pPr>
      <w:r w:rsidRPr="000F6BCF">
        <w:rPr>
          <w:rFonts w:ascii="Times New Roman" w:hAnsi="Times New Roman"/>
          <w:sz w:val="22"/>
          <w:szCs w:val="22"/>
        </w:rPr>
        <w:t xml:space="preserve">Foster, C. (2011) </w:t>
      </w:r>
      <w:r w:rsidRPr="000F6BCF">
        <w:rPr>
          <w:rFonts w:ascii="Times New Roman" w:hAnsi="Times New Roman"/>
          <w:i/>
          <w:sz w:val="22"/>
          <w:szCs w:val="22"/>
        </w:rPr>
        <w:t>Human Dignity in Bioethics and Law</w:t>
      </w:r>
      <w:r w:rsidRPr="000F6BCF">
        <w:rPr>
          <w:rFonts w:ascii="Times New Roman" w:hAnsi="Times New Roman"/>
          <w:sz w:val="22"/>
          <w:szCs w:val="22"/>
        </w:rPr>
        <w:t>. Oxfor</w:t>
      </w:r>
      <w:r w:rsidR="00F44937" w:rsidRPr="000F6BCF">
        <w:rPr>
          <w:rFonts w:ascii="Times New Roman" w:hAnsi="Times New Roman"/>
          <w:sz w:val="22"/>
          <w:szCs w:val="22"/>
        </w:rPr>
        <w:t>d. Hart.</w:t>
      </w:r>
    </w:p>
    <w:p w14:paraId="039A6DF9" w14:textId="2C143052"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Foucault, M. (1965) </w:t>
      </w:r>
      <w:r w:rsidRPr="000F6BCF">
        <w:rPr>
          <w:rFonts w:ascii="Times New Roman" w:hAnsi="Times New Roman"/>
          <w:i/>
          <w:sz w:val="22"/>
          <w:szCs w:val="22"/>
        </w:rPr>
        <w:t>Madness and Civilization</w:t>
      </w:r>
      <w:r w:rsidRPr="000F6BCF">
        <w:rPr>
          <w:rFonts w:ascii="Times New Roman" w:hAnsi="Times New Roman"/>
          <w:sz w:val="22"/>
          <w:szCs w:val="22"/>
        </w:rPr>
        <w:t xml:space="preserve">. </w:t>
      </w:r>
      <w:r w:rsidR="00F44937" w:rsidRPr="000F6BCF">
        <w:rPr>
          <w:rFonts w:ascii="Times New Roman" w:hAnsi="Times New Roman"/>
          <w:sz w:val="22"/>
          <w:szCs w:val="22"/>
        </w:rPr>
        <w:t xml:space="preserve">New York. Pantheon Books.  </w:t>
      </w:r>
    </w:p>
    <w:p w14:paraId="56798BFF" w14:textId="2DBBF390" w:rsidR="00527C41" w:rsidRPr="000F6BCF" w:rsidRDefault="00527C41">
      <w:pPr>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Fraleigh, S. (1987) </w:t>
      </w:r>
      <w:r w:rsidRPr="000F6BCF">
        <w:rPr>
          <w:rFonts w:ascii="Times New Roman" w:hAnsi="Times New Roman"/>
          <w:i/>
          <w:sz w:val="22"/>
          <w:szCs w:val="22"/>
        </w:rPr>
        <w:t>Dance and the Lived Body.</w:t>
      </w:r>
      <w:r w:rsidR="00F44937" w:rsidRPr="000F6BCF">
        <w:rPr>
          <w:rFonts w:ascii="Times New Roman" w:hAnsi="Times New Roman"/>
          <w:sz w:val="22"/>
          <w:szCs w:val="22"/>
        </w:rPr>
        <w:t xml:space="preserve"> University of Pittsburgh Press.</w:t>
      </w:r>
    </w:p>
    <w:p w14:paraId="0FFCABBA" w14:textId="1C1C2FF3" w:rsidR="00527C41" w:rsidRPr="000F6BCF" w:rsidRDefault="00527C41">
      <w:pPr>
        <w:pStyle w:val="FootnoteText"/>
        <w:spacing w:before="120" w:after="120"/>
        <w:ind w:left="720" w:hanging="720"/>
        <w:jc w:val="both"/>
        <w:rPr>
          <w:rFonts w:ascii="Times New Roman" w:hAnsi="Times New Roman"/>
          <w:sz w:val="22"/>
          <w:szCs w:val="22"/>
          <w:shd w:val="clear" w:color="auto" w:fill="FFFFFF"/>
        </w:rPr>
      </w:pPr>
      <w:r w:rsidRPr="000F6BCF">
        <w:rPr>
          <w:rFonts w:ascii="Times New Roman" w:hAnsi="Times New Roman"/>
          <w:sz w:val="22"/>
          <w:szCs w:val="22"/>
          <w:shd w:val="clear" w:color="auto" w:fill="FFFFFF"/>
        </w:rPr>
        <w:t>Harmon, S., Donaldson, H., Brown, A., Waelde, C., Whatley, S. and Wood, K. (2015) Disability and the Dancing Body: A Symposium on Ownership, Identity and Difference in Dance.</w:t>
      </w:r>
      <w:r w:rsidRPr="000F6BCF">
        <w:rPr>
          <w:rStyle w:val="apple-converted-space"/>
          <w:rFonts w:ascii="Times New Roman" w:hAnsi="Times New Roman"/>
          <w:sz w:val="22"/>
          <w:szCs w:val="22"/>
          <w:shd w:val="clear" w:color="auto" w:fill="FFFFFF"/>
        </w:rPr>
        <w:t> </w:t>
      </w:r>
      <w:r w:rsidRPr="000F6BCF">
        <w:rPr>
          <w:rFonts w:ascii="Times New Roman" w:hAnsi="Times New Roman"/>
          <w:i/>
          <w:iCs/>
          <w:sz w:val="22"/>
          <w:szCs w:val="22"/>
          <w:shd w:val="clear" w:color="auto" w:fill="FFFFFF"/>
        </w:rPr>
        <w:t>SCRIPT-ed</w:t>
      </w:r>
      <w:r w:rsidRPr="000F6BCF">
        <w:rPr>
          <w:rFonts w:ascii="Times New Roman" w:hAnsi="Times New Roman"/>
          <w:sz w:val="22"/>
          <w:szCs w:val="22"/>
          <w:shd w:val="clear" w:color="auto" w:fill="FFFFFF"/>
        </w:rPr>
        <w:t>. 12(1) 59-69</w:t>
      </w:r>
      <w:r w:rsidR="002D339F" w:rsidRPr="000F6BCF">
        <w:rPr>
          <w:rFonts w:ascii="Times New Roman" w:hAnsi="Times New Roman"/>
          <w:sz w:val="22"/>
          <w:szCs w:val="22"/>
          <w:shd w:val="clear" w:color="auto" w:fill="FFFFFF"/>
        </w:rPr>
        <w:t>.</w:t>
      </w:r>
    </w:p>
    <w:p w14:paraId="6B54BC3C" w14:textId="77777777"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Hegel, G. &amp; Petry M. (trans.) (1978) </w:t>
      </w:r>
      <w:r w:rsidRPr="000F6BCF">
        <w:rPr>
          <w:rFonts w:ascii="Times New Roman" w:hAnsi="Times New Roman"/>
          <w:i/>
          <w:sz w:val="22"/>
          <w:szCs w:val="22"/>
        </w:rPr>
        <w:t>Hegel’s Philosophy of Subjective Spirit</w:t>
      </w:r>
      <w:r w:rsidRPr="000F6BCF">
        <w:rPr>
          <w:rFonts w:ascii="Times New Roman" w:hAnsi="Times New Roman"/>
          <w:sz w:val="22"/>
          <w:szCs w:val="22"/>
        </w:rPr>
        <w:t>. Dordrecht. Reidel</w:t>
      </w:r>
    </w:p>
    <w:p w14:paraId="2CC63672" w14:textId="77777777" w:rsidR="00527C41" w:rsidRPr="000F6BCF" w:rsidRDefault="00527C41">
      <w:pPr>
        <w:pStyle w:val="FootnoteText"/>
        <w:spacing w:before="120" w:after="120"/>
        <w:ind w:left="720" w:hanging="720"/>
        <w:jc w:val="both"/>
        <w:rPr>
          <w:rFonts w:ascii="Times New Roman" w:hAnsi="Times New Roman"/>
          <w:sz w:val="22"/>
          <w:szCs w:val="22"/>
          <w:highlight w:val="green"/>
        </w:rPr>
      </w:pPr>
      <w:r w:rsidRPr="000F6BCF">
        <w:rPr>
          <w:rFonts w:ascii="Times New Roman" w:hAnsi="Times New Roman"/>
          <w:sz w:val="22"/>
          <w:szCs w:val="22"/>
        </w:rPr>
        <w:t xml:space="preserve">Honneth, A. (1992) Integrity and Disrespect: Principles of a Conception of Morality on the Theory of Recognition. </w:t>
      </w:r>
      <w:r w:rsidRPr="000F6BCF">
        <w:rPr>
          <w:rFonts w:ascii="Times New Roman" w:hAnsi="Times New Roman"/>
          <w:i/>
          <w:sz w:val="22"/>
          <w:szCs w:val="22"/>
        </w:rPr>
        <w:t>Political Theory</w:t>
      </w:r>
      <w:r w:rsidRPr="000F6BCF">
        <w:rPr>
          <w:rFonts w:ascii="Times New Roman" w:hAnsi="Times New Roman"/>
          <w:sz w:val="22"/>
          <w:szCs w:val="22"/>
        </w:rPr>
        <w:t>. 20, 187-201.</w:t>
      </w:r>
    </w:p>
    <w:p w14:paraId="4B237593" w14:textId="77777777" w:rsidR="00527C41" w:rsidRPr="000F6BCF" w:rsidRDefault="00527C41">
      <w:pPr>
        <w:pStyle w:val="FootnoteText"/>
        <w:spacing w:before="120" w:after="120"/>
        <w:ind w:left="720" w:hanging="720"/>
        <w:jc w:val="both"/>
        <w:rPr>
          <w:rFonts w:ascii="Times New Roman" w:hAnsi="Times New Roman"/>
          <w:sz w:val="22"/>
          <w:szCs w:val="22"/>
          <w:highlight w:val="green"/>
        </w:rPr>
      </w:pPr>
      <w:r w:rsidRPr="000F6BCF">
        <w:rPr>
          <w:rFonts w:ascii="Times New Roman" w:hAnsi="Times New Roman"/>
          <w:sz w:val="22"/>
          <w:szCs w:val="22"/>
          <w:shd w:val="clear" w:color="auto" w:fill="FFFFFF"/>
        </w:rPr>
        <w:t xml:space="preserve">Humana, C. (1992) </w:t>
      </w:r>
      <w:r w:rsidRPr="000F6BCF">
        <w:rPr>
          <w:rFonts w:ascii="Times New Roman" w:hAnsi="Times New Roman"/>
          <w:i/>
          <w:iCs/>
          <w:sz w:val="22"/>
          <w:szCs w:val="22"/>
          <w:shd w:val="clear" w:color="auto" w:fill="FFFFFF"/>
        </w:rPr>
        <w:t>World human rights guide</w:t>
      </w:r>
      <w:r w:rsidRPr="000F6BCF">
        <w:rPr>
          <w:rFonts w:ascii="Times New Roman" w:hAnsi="Times New Roman"/>
          <w:sz w:val="22"/>
          <w:szCs w:val="22"/>
          <w:shd w:val="clear" w:color="auto" w:fill="FFFFFF"/>
        </w:rPr>
        <w:t>. USA. Oxford University Press.</w:t>
      </w:r>
      <w:r w:rsidRPr="000F6BCF">
        <w:rPr>
          <w:rFonts w:ascii="Times New Roman" w:hAnsi="Times New Roman"/>
          <w:sz w:val="22"/>
          <w:szCs w:val="22"/>
          <w:highlight w:val="green"/>
        </w:rPr>
        <w:t xml:space="preserve"> </w:t>
      </w:r>
    </w:p>
    <w:p w14:paraId="2A627127" w14:textId="006841B1" w:rsidR="00527C41" w:rsidRPr="000F6BCF" w:rsidRDefault="00527C41">
      <w:pPr>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Hunter, L., Smith, W. &amp; Emerald, E. (2015) </w:t>
      </w:r>
      <w:r w:rsidRPr="000F6BCF">
        <w:rPr>
          <w:rFonts w:ascii="Times New Roman" w:hAnsi="Times New Roman"/>
          <w:i/>
          <w:sz w:val="22"/>
          <w:szCs w:val="22"/>
        </w:rPr>
        <w:t>Pierre Bourdieu and Physical Culture</w:t>
      </w:r>
      <w:r w:rsidRPr="000F6BCF">
        <w:rPr>
          <w:rFonts w:ascii="Times New Roman" w:hAnsi="Times New Roman"/>
          <w:sz w:val="22"/>
          <w:szCs w:val="22"/>
        </w:rPr>
        <w:t xml:space="preserve"> (Abingdon, Routledge)</w:t>
      </w:r>
      <w:r w:rsidR="002D339F" w:rsidRPr="000F6BCF">
        <w:rPr>
          <w:rFonts w:ascii="Times New Roman" w:hAnsi="Times New Roman"/>
          <w:sz w:val="22"/>
          <w:szCs w:val="22"/>
        </w:rPr>
        <w:t>.</w:t>
      </w:r>
    </w:p>
    <w:p w14:paraId="1D9BBC76" w14:textId="3AACD08F" w:rsidR="00527C41" w:rsidRPr="000F6BCF" w:rsidRDefault="00527C41">
      <w:pPr>
        <w:pStyle w:val="FootnoteText"/>
        <w:spacing w:before="120" w:after="120"/>
        <w:ind w:left="720" w:hanging="720"/>
        <w:jc w:val="both"/>
        <w:rPr>
          <w:rFonts w:ascii="Times New Roman" w:hAnsi="Times New Roman"/>
          <w:sz w:val="22"/>
          <w:szCs w:val="22"/>
          <w:lang w:eastAsia="en-GB"/>
        </w:rPr>
      </w:pPr>
      <w:r w:rsidRPr="000F6BCF">
        <w:rPr>
          <w:rFonts w:ascii="Times New Roman" w:hAnsi="Times New Roman"/>
          <w:sz w:val="22"/>
          <w:szCs w:val="22"/>
          <w:lang w:eastAsia="en-GB"/>
        </w:rPr>
        <w:t>International Covenant on Economic, Social and Cultural Right, adopted and opened for signature, ratification and accession by General Assembly resolution 2200A (XXI) of 16 December 1966</w:t>
      </w:r>
      <w:r w:rsidR="002D339F" w:rsidRPr="000F6BCF">
        <w:rPr>
          <w:rFonts w:ascii="Times New Roman" w:hAnsi="Times New Roman"/>
          <w:sz w:val="22"/>
          <w:szCs w:val="22"/>
          <w:lang w:eastAsia="en-GB"/>
        </w:rPr>
        <w:t>.</w:t>
      </w:r>
    </w:p>
    <w:p w14:paraId="7A99C5CB" w14:textId="77777777" w:rsidR="00527C41" w:rsidRPr="000F6BCF" w:rsidRDefault="00527C41">
      <w:pPr>
        <w:pStyle w:val="FootnoteText"/>
        <w:spacing w:before="120" w:after="120"/>
        <w:ind w:left="720" w:hanging="720"/>
        <w:jc w:val="both"/>
        <w:rPr>
          <w:rFonts w:ascii="Times New Roman" w:hAnsi="Times New Roman"/>
          <w:sz w:val="22"/>
          <w:szCs w:val="22"/>
          <w:shd w:val="clear" w:color="auto" w:fill="FFFFFF"/>
        </w:rPr>
      </w:pPr>
      <w:r w:rsidRPr="000F6BCF">
        <w:rPr>
          <w:rFonts w:ascii="Times New Roman" w:hAnsi="Times New Roman"/>
          <w:sz w:val="22"/>
          <w:szCs w:val="22"/>
          <w:shd w:val="clear" w:color="auto" w:fill="FFFFFF"/>
        </w:rPr>
        <w:t>InVisible Difference. (2014). </w:t>
      </w:r>
      <w:r w:rsidRPr="000F6BCF">
        <w:rPr>
          <w:rFonts w:ascii="Times New Roman" w:hAnsi="Times New Roman"/>
          <w:i/>
          <w:iCs/>
          <w:sz w:val="22"/>
          <w:szCs w:val="22"/>
          <w:shd w:val="clear" w:color="auto" w:fill="FFFFFF"/>
        </w:rPr>
        <w:t>InVisible Difference Symposium</w:t>
      </w:r>
      <w:r w:rsidRPr="000F6BCF">
        <w:rPr>
          <w:rFonts w:ascii="Times New Roman" w:hAnsi="Times New Roman"/>
          <w:sz w:val="22"/>
          <w:szCs w:val="22"/>
          <w:shd w:val="clear" w:color="auto" w:fill="FFFFFF"/>
        </w:rPr>
        <w:t>. [Online Video]. 26 November 2014. Available from: </w:t>
      </w:r>
      <w:hyperlink r:id="rId11" w:tgtFrame="_blank" w:history="1">
        <w:r w:rsidRPr="000F6BCF">
          <w:rPr>
            <w:rFonts w:ascii="Times New Roman" w:hAnsi="Times New Roman"/>
            <w:sz w:val="22"/>
            <w:szCs w:val="22"/>
            <w:shd w:val="clear" w:color="auto" w:fill="FFFFFF"/>
          </w:rPr>
          <w:t>https://www.youtube.com/watch?v=5cRMvs91kRU</w:t>
        </w:r>
      </w:hyperlink>
      <w:r w:rsidRPr="000F6BCF">
        <w:rPr>
          <w:rFonts w:ascii="Times New Roman" w:hAnsi="Times New Roman"/>
          <w:sz w:val="22"/>
          <w:szCs w:val="22"/>
          <w:shd w:val="clear" w:color="auto" w:fill="FFFFFF"/>
        </w:rPr>
        <w:t>. [Accessed: 27 April 2016]</w:t>
      </w:r>
    </w:p>
    <w:p w14:paraId="7845EF29" w14:textId="77777777"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Keck, M. &amp; Sikkink, K. (1998) </w:t>
      </w:r>
      <w:r w:rsidRPr="000F6BCF">
        <w:rPr>
          <w:rFonts w:ascii="Times New Roman" w:hAnsi="Times New Roman"/>
          <w:i/>
          <w:sz w:val="22"/>
          <w:szCs w:val="22"/>
        </w:rPr>
        <w:t>Activists Beyond Borders: Advocacy Networks in International Politics</w:t>
      </w:r>
      <w:r w:rsidRPr="000F6BCF">
        <w:rPr>
          <w:rFonts w:ascii="Times New Roman" w:hAnsi="Times New Roman"/>
          <w:sz w:val="22"/>
          <w:szCs w:val="22"/>
        </w:rPr>
        <w:t xml:space="preserve">. New York. Cornelle University Press.  </w:t>
      </w:r>
    </w:p>
    <w:p w14:paraId="2DF4DFD2" w14:textId="0F7FEBB6" w:rsidR="00527C41" w:rsidRPr="000F6BCF" w:rsidRDefault="00527C41">
      <w:pPr>
        <w:pStyle w:val="FootnoteText"/>
        <w:spacing w:before="120" w:after="120"/>
        <w:ind w:left="720" w:hanging="720"/>
        <w:jc w:val="both"/>
        <w:rPr>
          <w:rFonts w:ascii="Times New Roman" w:hAnsi="Times New Roman"/>
          <w:sz w:val="22"/>
          <w:szCs w:val="22"/>
          <w:shd w:val="clear" w:color="auto" w:fill="FFFFFF"/>
        </w:rPr>
      </w:pPr>
      <w:r w:rsidRPr="000F6BCF">
        <w:rPr>
          <w:rFonts w:ascii="Times New Roman" w:hAnsi="Times New Roman"/>
          <w:sz w:val="22"/>
          <w:szCs w:val="22"/>
          <w:shd w:val="clear" w:color="auto" w:fill="FFFFFF"/>
        </w:rPr>
        <w:t>Kurin, R. (2007) Safeguarding intangible cultural heritage: Key factors in implementing the 2003 Convention.</w:t>
      </w:r>
      <w:r w:rsidRPr="000F6BCF">
        <w:rPr>
          <w:rStyle w:val="apple-converted-space"/>
          <w:rFonts w:ascii="Times New Roman" w:hAnsi="Times New Roman"/>
          <w:sz w:val="22"/>
          <w:szCs w:val="22"/>
          <w:shd w:val="clear" w:color="auto" w:fill="FFFFFF"/>
        </w:rPr>
        <w:t> </w:t>
      </w:r>
      <w:r w:rsidRPr="000F6BCF">
        <w:rPr>
          <w:rFonts w:ascii="Times New Roman" w:hAnsi="Times New Roman"/>
          <w:i/>
          <w:iCs/>
          <w:sz w:val="22"/>
          <w:szCs w:val="22"/>
          <w:shd w:val="clear" w:color="auto" w:fill="FFFFFF"/>
        </w:rPr>
        <w:t>International Journal of Intangible Heritage</w:t>
      </w:r>
      <w:r w:rsidRPr="000F6BCF">
        <w:rPr>
          <w:rFonts w:ascii="Times New Roman" w:hAnsi="Times New Roman"/>
          <w:sz w:val="22"/>
          <w:szCs w:val="22"/>
          <w:shd w:val="clear" w:color="auto" w:fill="FFFFFF"/>
        </w:rPr>
        <w:t>,</w:t>
      </w:r>
      <w:r w:rsidRPr="000F6BCF">
        <w:rPr>
          <w:rStyle w:val="apple-converted-space"/>
          <w:rFonts w:ascii="Times New Roman" w:hAnsi="Times New Roman"/>
          <w:sz w:val="22"/>
          <w:szCs w:val="22"/>
          <w:shd w:val="clear" w:color="auto" w:fill="FFFFFF"/>
        </w:rPr>
        <w:t> </w:t>
      </w:r>
      <w:r w:rsidRPr="000F6BCF">
        <w:rPr>
          <w:rFonts w:ascii="Times New Roman" w:hAnsi="Times New Roman"/>
          <w:i/>
          <w:iCs/>
          <w:sz w:val="22"/>
          <w:szCs w:val="22"/>
          <w:shd w:val="clear" w:color="auto" w:fill="FFFFFF"/>
        </w:rPr>
        <w:t>2</w:t>
      </w:r>
      <w:r w:rsidRPr="000F6BCF">
        <w:rPr>
          <w:rFonts w:ascii="Times New Roman" w:hAnsi="Times New Roman"/>
          <w:sz w:val="22"/>
          <w:szCs w:val="22"/>
          <w:shd w:val="clear" w:color="auto" w:fill="FFFFFF"/>
        </w:rPr>
        <w:t>,</w:t>
      </w:r>
      <w:r w:rsidR="002D339F" w:rsidRPr="000F6BCF">
        <w:rPr>
          <w:rFonts w:ascii="Times New Roman" w:hAnsi="Times New Roman"/>
          <w:sz w:val="22"/>
          <w:szCs w:val="22"/>
          <w:shd w:val="clear" w:color="auto" w:fill="FFFFFF"/>
        </w:rPr>
        <w:t xml:space="preserve"> </w:t>
      </w:r>
      <w:r w:rsidRPr="000F6BCF">
        <w:rPr>
          <w:rFonts w:ascii="Times New Roman" w:hAnsi="Times New Roman"/>
          <w:sz w:val="22"/>
          <w:szCs w:val="22"/>
          <w:shd w:val="clear" w:color="auto" w:fill="FFFFFF"/>
        </w:rPr>
        <w:t>9-20</w:t>
      </w:r>
      <w:r w:rsidR="002D339F" w:rsidRPr="000F6BCF">
        <w:rPr>
          <w:rFonts w:ascii="Times New Roman" w:hAnsi="Times New Roman"/>
          <w:sz w:val="22"/>
          <w:szCs w:val="22"/>
          <w:shd w:val="clear" w:color="auto" w:fill="FFFFFF"/>
        </w:rPr>
        <w:t>.</w:t>
      </w:r>
    </w:p>
    <w:p w14:paraId="263B52BB" w14:textId="5494C521" w:rsidR="00527C41" w:rsidRPr="000F6BCF" w:rsidRDefault="00527C41">
      <w:pPr>
        <w:pStyle w:val="FootnoteText"/>
        <w:spacing w:before="120" w:after="120"/>
        <w:ind w:left="720" w:hanging="720"/>
        <w:jc w:val="both"/>
        <w:rPr>
          <w:rFonts w:ascii="Times New Roman" w:hAnsi="Times New Roman"/>
          <w:sz w:val="22"/>
          <w:szCs w:val="22"/>
          <w:highlight w:val="green"/>
          <w:lang w:val="en-US"/>
        </w:rPr>
      </w:pPr>
      <w:r w:rsidRPr="000F6BCF">
        <w:rPr>
          <w:rFonts w:ascii="Times New Roman" w:hAnsi="Times New Roman"/>
          <w:sz w:val="22"/>
          <w:szCs w:val="22"/>
          <w:shd w:val="clear" w:color="auto" w:fill="FFFFFF"/>
        </w:rPr>
        <w:t>Lenzerini, F. (2011). Intangible cultural heritage: The living culture of peoples.</w:t>
      </w:r>
      <w:r w:rsidR="002D339F" w:rsidRPr="000F6BCF">
        <w:rPr>
          <w:rFonts w:ascii="Times New Roman" w:hAnsi="Times New Roman"/>
          <w:sz w:val="22"/>
          <w:szCs w:val="22"/>
          <w:shd w:val="clear" w:color="auto" w:fill="FFFFFF"/>
        </w:rPr>
        <w:t xml:space="preserve"> </w:t>
      </w:r>
      <w:r w:rsidRPr="000F6BCF">
        <w:rPr>
          <w:rFonts w:ascii="Times New Roman" w:hAnsi="Times New Roman"/>
          <w:i/>
          <w:iCs/>
          <w:sz w:val="22"/>
          <w:szCs w:val="22"/>
          <w:shd w:val="clear" w:color="auto" w:fill="FFFFFF"/>
        </w:rPr>
        <w:t>European Journal of International Law</w:t>
      </w:r>
      <w:r w:rsidRPr="000F6BCF">
        <w:rPr>
          <w:rFonts w:ascii="Times New Roman" w:hAnsi="Times New Roman"/>
          <w:sz w:val="22"/>
          <w:szCs w:val="22"/>
          <w:shd w:val="clear" w:color="auto" w:fill="FFFFFF"/>
        </w:rPr>
        <w:t>,</w:t>
      </w:r>
      <w:r w:rsidRPr="000F6BCF">
        <w:rPr>
          <w:rStyle w:val="apple-converted-space"/>
          <w:rFonts w:ascii="Times New Roman" w:hAnsi="Times New Roman"/>
          <w:sz w:val="22"/>
          <w:szCs w:val="22"/>
          <w:shd w:val="clear" w:color="auto" w:fill="FFFFFF"/>
        </w:rPr>
        <w:t> </w:t>
      </w:r>
      <w:r w:rsidRPr="000F6BCF">
        <w:rPr>
          <w:rFonts w:ascii="Times New Roman" w:hAnsi="Times New Roman"/>
          <w:iCs/>
          <w:sz w:val="22"/>
          <w:szCs w:val="22"/>
          <w:shd w:val="clear" w:color="auto" w:fill="FFFFFF"/>
        </w:rPr>
        <w:t>22</w:t>
      </w:r>
      <w:r w:rsidRPr="000F6BCF">
        <w:rPr>
          <w:rFonts w:ascii="Times New Roman" w:hAnsi="Times New Roman"/>
          <w:sz w:val="22"/>
          <w:szCs w:val="22"/>
          <w:shd w:val="clear" w:color="auto" w:fill="FFFFFF"/>
        </w:rPr>
        <w:t>(1) 101-120</w:t>
      </w:r>
      <w:r w:rsidR="002D339F" w:rsidRPr="000F6BCF">
        <w:rPr>
          <w:rFonts w:ascii="Times New Roman" w:hAnsi="Times New Roman"/>
          <w:sz w:val="22"/>
          <w:szCs w:val="22"/>
          <w:shd w:val="clear" w:color="auto" w:fill="FFFFFF"/>
        </w:rPr>
        <w:t>.</w:t>
      </w:r>
    </w:p>
    <w:p w14:paraId="4CE1A8CC" w14:textId="3E54C19F"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Lord, B. (ed.) (2015) </w:t>
      </w:r>
      <w:r w:rsidRPr="000F6BCF">
        <w:rPr>
          <w:rFonts w:ascii="Times New Roman" w:hAnsi="Times New Roman"/>
          <w:i/>
          <w:sz w:val="22"/>
          <w:szCs w:val="22"/>
        </w:rPr>
        <w:t>Spinoza Beyond Philosophy</w:t>
      </w:r>
      <w:r w:rsidRPr="000F6BCF">
        <w:rPr>
          <w:rFonts w:ascii="Times New Roman" w:hAnsi="Times New Roman"/>
          <w:sz w:val="22"/>
          <w:szCs w:val="22"/>
        </w:rPr>
        <w:t>. Edinburgh. Edinburgh University Press</w:t>
      </w:r>
      <w:r w:rsidR="002D339F" w:rsidRPr="000F6BCF">
        <w:rPr>
          <w:rFonts w:ascii="Times New Roman" w:hAnsi="Times New Roman"/>
          <w:sz w:val="22"/>
          <w:szCs w:val="22"/>
        </w:rPr>
        <w:t>.</w:t>
      </w:r>
    </w:p>
    <w:p w14:paraId="08158449" w14:textId="57965C03" w:rsidR="00527C41" w:rsidRPr="000F6BCF" w:rsidRDefault="00527C41">
      <w:pPr>
        <w:pStyle w:val="FootnoteText"/>
        <w:spacing w:before="120" w:after="120"/>
        <w:ind w:left="720" w:hanging="720"/>
        <w:jc w:val="both"/>
        <w:rPr>
          <w:rFonts w:ascii="Times New Roman" w:hAnsi="Times New Roman"/>
          <w:sz w:val="22"/>
          <w:szCs w:val="22"/>
          <w:highlight w:val="yellow"/>
        </w:rPr>
      </w:pPr>
      <w:r w:rsidRPr="000F6BCF">
        <w:rPr>
          <w:rFonts w:ascii="Times New Roman" w:hAnsi="Times New Roman"/>
          <w:sz w:val="22"/>
          <w:szCs w:val="22"/>
        </w:rPr>
        <w:t xml:space="preserve">Mack, M. (2015) Spinoza’s Non-Humanist Humanism. In:  </w:t>
      </w:r>
      <w:r w:rsidRPr="000F6BCF">
        <w:rPr>
          <w:rFonts w:ascii="Times New Roman" w:hAnsi="Times New Roman"/>
          <w:iCs/>
          <w:sz w:val="22"/>
          <w:szCs w:val="22"/>
          <w:shd w:val="clear" w:color="auto" w:fill="FFFFFF"/>
        </w:rPr>
        <w:t xml:space="preserve">Lord, B. (ed.) </w:t>
      </w:r>
      <w:r w:rsidRPr="000F6BCF">
        <w:rPr>
          <w:rFonts w:ascii="Times New Roman" w:hAnsi="Times New Roman"/>
          <w:i/>
          <w:sz w:val="22"/>
          <w:szCs w:val="22"/>
        </w:rPr>
        <w:t>Spinoza Beyond Philosophy</w:t>
      </w:r>
      <w:r w:rsidRPr="000F6BCF">
        <w:rPr>
          <w:rFonts w:ascii="Times New Roman" w:hAnsi="Times New Roman"/>
          <w:sz w:val="22"/>
          <w:szCs w:val="22"/>
        </w:rPr>
        <w:t>. Edinburgh. Edinburgh University Press. pp 28-47.</w:t>
      </w:r>
    </w:p>
    <w:p w14:paraId="50512236" w14:textId="57FE3C36" w:rsidR="005374C2" w:rsidRPr="000F6BCF" w:rsidRDefault="005374C2">
      <w:pPr>
        <w:pStyle w:val="FootnoteText"/>
        <w:spacing w:before="120" w:after="120"/>
        <w:ind w:left="720" w:hanging="720"/>
        <w:jc w:val="both"/>
        <w:rPr>
          <w:rFonts w:ascii="Times New Roman" w:hAnsi="Times New Roman"/>
          <w:sz w:val="22"/>
          <w:szCs w:val="22"/>
          <w:lang w:val="en-US"/>
        </w:rPr>
      </w:pPr>
      <w:r w:rsidRPr="000F6BCF">
        <w:rPr>
          <w:rFonts w:ascii="Times New Roman" w:hAnsi="Times New Roman"/>
          <w:sz w:val="22"/>
          <w:szCs w:val="22"/>
          <w:lang w:val="en-US"/>
        </w:rPr>
        <w:t xml:space="preserve">Marsh, K. [2015] </w:t>
      </w:r>
      <w:r w:rsidRPr="000F6BCF">
        <w:rPr>
          <w:rFonts w:ascii="Times New Roman" w:hAnsi="Times New Roman"/>
          <w:color w:val="000000"/>
          <w:sz w:val="22"/>
          <w:szCs w:val="22"/>
          <w:shd w:val="clear" w:color="auto" w:fill="FFFFFF"/>
        </w:rPr>
        <w:t>Examining Embodiment'. Unpublished.</w:t>
      </w:r>
      <w:r w:rsidRPr="000F6BCF">
        <w:rPr>
          <w:rFonts w:ascii="Times New Roman" w:hAnsi="Times New Roman"/>
          <w:color w:val="000000"/>
          <w:shd w:val="clear" w:color="auto" w:fill="FFFFFF"/>
        </w:rPr>
        <w:t xml:space="preserve"> </w:t>
      </w:r>
    </w:p>
    <w:p w14:paraId="3EB67A62" w14:textId="03B8016F" w:rsidR="00F44937" w:rsidRPr="000F6BCF" w:rsidRDefault="00527C41">
      <w:pPr>
        <w:pStyle w:val="FootnoteText"/>
        <w:spacing w:before="120" w:after="120"/>
        <w:ind w:left="720" w:hanging="720"/>
        <w:jc w:val="both"/>
        <w:rPr>
          <w:rFonts w:ascii="Times New Roman" w:hAnsi="Times New Roman"/>
          <w:sz w:val="22"/>
          <w:szCs w:val="22"/>
          <w:lang w:val="en-US"/>
        </w:rPr>
      </w:pPr>
      <w:r w:rsidRPr="000F6BCF">
        <w:rPr>
          <w:rFonts w:ascii="Times New Roman" w:hAnsi="Times New Roman"/>
          <w:sz w:val="22"/>
          <w:szCs w:val="22"/>
          <w:lang w:val="en-US"/>
        </w:rPr>
        <w:t>Merleau-Ponty</w:t>
      </w:r>
      <w:r w:rsidR="00F44937" w:rsidRPr="000F6BCF">
        <w:rPr>
          <w:rFonts w:ascii="Times New Roman" w:hAnsi="Times New Roman"/>
          <w:sz w:val="22"/>
          <w:szCs w:val="22"/>
          <w:lang w:val="en-US"/>
        </w:rPr>
        <w:t xml:space="preserve">, M. (2002). </w:t>
      </w:r>
      <w:r w:rsidR="00F44937" w:rsidRPr="000F6BCF">
        <w:rPr>
          <w:rFonts w:ascii="Times New Roman" w:hAnsi="Times New Roman"/>
          <w:i/>
          <w:sz w:val="22"/>
          <w:szCs w:val="22"/>
          <w:lang w:val="en-US"/>
        </w:rPr>
        <w:t>Phenomenology of Perception</w:t>
      </w:r>
      <w:r w:rsidR="00F44937" w:rsidRPr="000F6BCF">
        <w:rPr>
          <w:rFonts w:ascii="Times New Roman" w:hAnsi="Times New Roman"/>
          <w:sz w:val="22"/>
          <w:szCs w:val="22"/>
          <w:lang w:val="en-US"/>
        </w:rPr>
        <w:t>. London and New York. Routledge.</w:t>
      </w:r>
    </w:p>
    <w:p w14:paraId="2E8A29D5" w14:textId="7F88A1CD" w:rsidR="00527C41" w:rsidRPr="000F6BCF" w:rsidRDefault="00527C41">
      <w:pPr>
        <w:pStyle w:val="FootnoteText"/>
        <w:spacing w:before="120" w:after="120"/>
        <w:ind w:left="720" w:hanging="720"/>
        <w:jc w:val="both"/>
        <w:rPr>
          <w:rFonts w:ascii="Times New Roman" w:hAnsi="Times New Roman"/>
          <w:sz w:val="22"/>
          <w:szCs w:val="22"/>
          <w:shd w:val="clear" w:color="auto" w:fill="FFFFFF"/>
        </w:rPr>
      </w:pPr>
      <w:r w:rsidRPr="000F6BCF">
        <w:rPr>
          <w:rFonts w:ascii="Times New Roman" w:hAnsi="Times New Roman"/>
          <w:sz w:val="22"/>
          <w:szCs w:val="22"/>
          <w:shd w:val="clear" w:color="auto" w:fill="FFFFFF"/>
        </w:rPr>
        <w:t>Nafziger, J.A.R. and Telesetsky, A. (2014). Toward a Broader Concept of the Intangible Cultural Heritage.</w:t>
      </w:r>
      <w:r w:rsidRPr="000F6BCF">
        <w:rPr>
          <w:rStyle w:val="apple-converted-space"/>
          <w:rFonts w:ascii="Times New Roman" w:hAnsi="Times New Roman"/>
          <w:sz w:val="22"/>
          <w:szCs w:val="22"/>
          <w:shd w:val="clear" w:color="auto" w:fill="FFFFFF"/>
        </w:rPr>
        <w:t> </w:t>
      </w:r>
      <w:r w:rsidRPr="000F6BCF">
        <w:rPr>
          <w:rFonts w:ascii="Times New Roman" w:hAnsi="Times New Roman"/>
          <w:i/>
          <w:iCs/>
          <w:sz w:val="22"/>
          <w:szCs w:val="22"/>
          <w:shd w:val="clear" w:color="auto" w:fill="FFFFFF"/>
        </w:rPr>
        <w:t>Transnational Dispute Management (TDM)</w:t>
      </w:r>
      <w:r w:rsidRPr="000F6BCF">
        <w:rPr>
          <w:rFonts w:ascii="Times New Roman" w:hAnsi="Times New Roman"/>
          <w:sz w:val="22"/>
          <w:szCs w:val="22"/>
          <w:shd w:val="clear" w:color="auto" w:fill="FFFFFF"/>
        </w:rPr>
        <w:t>,</w:t>
      </w:r>
      <w:r w:rsidR="002D339F" w:rsidRPr="000F6BCF">
        <w:rPr>
          <w:rFonts w:ascii="Times New Roman" w:hAnsi="Times New Roman"/>
          <w:sz w:val="22"/>
          <w:szCs w:val="22"/>
          <w:shd w:val="clear" w:color="auto" w:fill="FFFFFF"/>
        </w:rPr>
        <w:t xml:space="preserve"> </w:t>
      </w:r>
      <w:r w:rsidRPr="000F6BCF">
        <w:rPr>
          <w:rFonts w:ascii="Times New Roman" w:hAnsi="Times New Roman"/>
          <w:iCs/>
          <w:sz w:val="22"/>
          <w:szCs w:val="22"/>
          <w:shd w:val="clear" w:color="auto" w:fill="FFFFFF"/>
        </w:rPr>
        <w:t>11</w:t>
      </w:r>
      <w:r w:rsidR="002D339F" w:rsidRPr="000F6BCF">
        <w:rPr>
          <w:rFonts w:ascii="Times New Roman" w:hAnsi="Times New Roman"/>
          <w:iCs/>
          <w:sz w:val="22"/>
          <w:szCs w:val="22"/>
          <w:shd w:val="clear" w:color="auto" w:fill="FFFFFF"/>
        </w:rPr>
        <w:t xml:space="preserve"> </w:t>
      </w:r>
      <w:r w:rsidRPr="000F6BCF">
        <w:rPr>
          <w:rFonts w:ascii="Times New Roman" w:hAnsi="Times New Roman"/>
          <w:sz w:val="22"/>
          <w:szCs w:val="22"/>
          <w:shd w:val="clear" w:color="auto" w:fill="FFFFFF"/>
        </w:rPr>
        <w:t>(2)</w:t>
      </w:r>
      <w:r w:rsidR="002D339F" w:rsidRPr="000F6BCF">
        <w:rPr>
          <w:rFonts w:ascii="Times New Roman" w:hAnsi="Times New Roman"/>
          <w:sz w:val="22"/>
          <w:szCs w:val="22"/>
          <w:shd w:val="clear" w:color="auto" w:fill="FFFFFF"/>
        </w:rPr>
        <w:t xml:space="preserve">. </w:t>
      </w:r>
    </w:p>
    <w:p w14:paraId="0573A38E" w14:textId="77777777" w:rsidR="00527C41" w:rsidRPr="000F6BCF" w:rsidRDefault="00527C41">
      <w:pPr>
        <w:pStyle w:val="FootnoteText"/>
        <w:spacing w:before="120" w:after="120"/>
        <w:ind w:left="720" w:hanging="720"/>
        <w:jc w:val="both"/>
        <w:rPr>
          <w:rFonts w:ascii="Times New Roman" w:hAnsi="Times New Roman"/>
          <w:sz w:val="22"/>
          <w:szCs w:val="22"/>
          <w:lang w:val="en-US"/>
        </w:rPr>
      </w:pPr>
      <w:r w:rsidRPr="000F6BCF">
        <w:rPr>
          <w:rFonts w:ascii="Times New Roman" w:hAnsi="Times New Roman"/>
          <w:sz w:val="22"/>
          <w:szCs w:val="22"/>
          <w:lang w:val="en-US"/>
        </w:rPr>
        <w:t xml:space="preserve">National Disability Arts Collection and Archive [n.d.] Available from: </w:t>
      </w:r>
      <w:hyperlink r:id="rId12" w:history="1">
        <w:r w:rsidRPr="000F6BCF">
          <w:rPr>
            <w:rStyle w:val="Hyperlink"/>
            <w:rFonts w:ascii="Times New Roman" w:hAnsi="Times New Roman"/>
            <w:sz w:val="22"/>
            <w:szCs w:val="22"/>
            <w:lang w:val="en-US"/>
          </w:rPr>
          <w:t>http://www.ndaca.org.uk/</w:t>
        </w:r>
      </w:hyperlink>
      <w:r w:rsidRPr="000F6BCF">
        <w:rPr>
          <w:rFonts w:ascii="Times New Roman" w:hAnsi="Times New Roman"/>
          <w:sz w:val="22"/>
          <w:szCs w:val="22"/>
          <w:lang w:val="en-US"/>
        </w:rPr>
        <w:t xml:space="preserve"> [Accessed 27 April 2016] </w:t>
      </w:r>
    </w:p>
    <w:p w14:paraId="40562387" w14:textId="3414E5C0" w:rsidR="00527C41" w:rsidRPr="000F6BCF" w:rsidRDefault="00527C41">
      <w:pPr>
        <w:pStyle w:val="FootnoteText"/>
        <w:spacing w:before="120" w:after="120"/>
        <w:ind w:left="720" w:hanging="720"/>
        <w:jc w:val="both"/>
        <w:rPr>
          <w:rFonts w:ascii="Times New Roman" w:hAnsi="Times New Roman"/>
          <w:sz w:val="22"/>
          <w:szCs w:val="22"/>
          <w:lang w:val="en-US"/>
        </w:rPr>
      </w:pPr>
      <w:r w:rsidRPr="000F6BCF">
        <w:rPr>
          <w:rFonts w:ascii="Times New Roman" w:hAnsi="Times New Roman"/>
          <w:sz w:val="22"/>
          <w:szCs w:val="22"/>
          <w:lang w:val="en-US"/>
        </w:rPr>
        <w:t xml:space="preserve">Ness , SA. (2001) Dancing in the Field: Notes from Memory. In: in Dils, A. and Cooper Albright A. (eds.) </w:t>
      </w:r>
      <w:r w:rsidRPr="000F6BCF">
        <w:rPr>
          <w:rFonts w:ascii="Times New Roman" w:hAnsi="Times New Roman"/>
          <w:i/>
          <w:sz w:val="22"/>
          <w:szCs w:val="22"/>
          <w:lang w:val="en-US"/>
        </w:rPr>
        <w:t>Moving history/dancing cultures: A Dance History Reader</w:t>
      </w:r>
      <w:r w:rsidRPr="000F6BCF">
        <w:rPr>
          <w:rFonts w:ascii="Times New Roman" w:hAnsi="Times New Roman"/>
          <w:sz w:val="22"/>
          <w:szCs w:val="22"/>
          <w:lang w:val="en-US"/>
        </w:rPr>
        <w:t>. Middeltown, CT. Wesleyan University Press. pp. 67-86</w:t>
      </w:r>
      <w:r w:rsidR="002D339F" w:rsidRPr="000F6BCF">
        <w:rPr>
          <w:rFonts w:ascii="Times New Roman" w:hAnsi="Times New Roman"/>
          <w:sz w:val="22"/>
          <w:szCs w:val="22"/>
          <w:lang w:val="en-US"/>
        </w:rPr>
        <w:t>.</w:t>
      </w:r>
    </w:p>
    <w:p w14:paraId="439DBA93" w14:textId="77777777"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OHCHR [n.d.] Cultural Rights. Available from: </w:t>
      </w:r>
      <w:hyperlink r:id="rId13" w:history="1">
        <w:r w:rsidRPr="000F6BCF">
          <w:rPr>
            <w:rStyle w:val="Hyperlink"/>
            <w:rFonts w:ascii="Times New Roman" w:hAnsi="Times New Roman"/>
            <w:color w:val="auto"/>
            <w:sz w:val="22"/>
            <w:szCs w:val="22"/>
          </w:rPr>
          <w:t>http://www.ohchr.org/EN/Issues/CulturalRights/Pages/SRCulturalRightsIndex.aspx</w:t>
        </w:r>
      </w:hyperlink>
      <w:r w:rsidRPr="000F6BCF">
        <w:rPr>
          <w:rFonts w:ascii="Times New Roman" w:hAnsi="Times New Roman"/>
          <w:sz w:val="22"/>
          <w:szCs w:val="22"/>
        </w:rPr>
        <w:t xml:space="preserve"> [Accessed 27 April 2016]</w:t>
      </w:r>
    </w:p>
    <w:p w14:paraId="150B6CA7" w14:textId="20BED670"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Pavis, M. (2014) Is There Any-Body on Stage? A Legal (mis)Understanding of Performances.  </w:t>
      </w:r>
      <w:r w:rsidRPr="000F6BCF">
        <w:rPr>
          <w:rFonts w:ascii="Times New Roman" w:hAnsi="Times New Roman"/>
          <w:i/>
          <w:sz w:val="22"/>
          <w:szCs w:val="22"/>
        </w:rPr>
        <w:t>Platform : Journal of Theatre and Performing Arts</w:t>
      </w:r>
      <w:r w:rsidRPr="000F6BCF">
        <w:rPr>
          <w:rFonts w:ascii="Times New Roman" w:hAnsi="Times New Roman"/>
          <w:sz w:val="22"/>
          <w:szCs w:val="22"/>
        </w:rPr>
        <w:t>. 8(2) 12- 41</w:t>
      </w:r>
      <w:r w:rsidR="002D339F" w:rsidRPr="000F6BCF">
        <w:rPr>
          <w:rFonts w:ascii="Times New Roman" w:hAnsi="Times New Roman"/>
          <w:sz w:val="22"/>
          <w:szCs w:val="22"/>
        </w:rPr>
        <w:t>.</w:t>
      </w:r>
    </w:p>
    <w:p w14:paraId="7253EE93" w14:textId="77777777" w:rsidR="00527C41" w:rsidRPr="000F6BCF" w:rsidRDefault="00527C41">
      <w:pPr>
        <w:pStyle w:val="FootnoteText"/>
        <w:spacing w:before="120" w:after="120"/>
        <w:ind w:left="720" w:hanging="720"/>
        <w:jc w:val="both"/>
        <w:rPr>
          <w:rFonts w:ascii="Times New Roman" w:hAnsi="Times New Roman"/>
          <w:sz w:val="22"/>
          <w:szCs w:val="22"/>
          <w:lang w:val="fr-FR"/>
        </w:rPr>
      </w:pPr>
      <w:r w:rsidRPr="000F6BCF">
        <w:rPr>
          <w:rFonts w:ascii="Times New Roman" w:hAnsi="Times New Roman"/>
          <w:sz w:val="22"/>
          <w:szCs w:val="22"/>
          <w:lang w:val="en-US"/>
        </w:rPr>
        <w:t>P</w:t>
      </w:r>
      <w:r w:rsidRPr="000F6BCF">
        <w:rPr>
          <w:rFonts w:ascii="Times New Roman" w:hAnsi="Times New Roman"/>
          <w:sz w:val="22"/>
          <w:szCs w:val="22"/>
        </w:rPr>
        <w:t xml:space="preserve">earsall, J. &amp; Hanks, P. (eds) (1999) </w:t>
      </w:r>
      <w:r w:rsidRPr="000F6BCF">
        <w:rPr>
          <w:rFonts w:ascii="Times New Roman" w:hAnsi="Times New Roman"/>
          <w:i/>
          <w:iCs/>
          <w:sz w:val="22"/>
          <w:szCs w:val="22"/>
        </w:rPr>
        <w:t>The New Oxford Dictionary</w:t>
      </w:r>
      <w:r w:rsidRPr="000F6BCF">
        <w:rPr>
          <w:rFonts w:ascii="Times New Roman" w:hAnsi="Times New Roman"/>
          <w:sz w:val="22"/>
          <w:szCs w:val="22"/>
        </w:rPr>
        <w:t xml:space="preserve">. </w:t>
      </w:r>
      <w:r w:rsidRPr="000F6BCF">
        <w:rPr>
          <w:rFonts w:ascii="Times New Roman" w:hAnsi="Times New Roman"/>
          <w:sz w:val="22"/>
          <w:szCs w:val="22"/>
          <w:lang w:val="fr-FR"/>
        </w:rPr>
        <w:t>Oxford University Press</w:t>
      </w:r>
    </w:p>
    <w:p w14:paraId="18F4682E" w14:textId="77777777"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lang w:val="fr-FR"/>
        </w:rPr>
        <w:t xml:space="preserve">Roudinesco, E. et al., (1992) </w:t>
      </w:r>
      <w:r w:rsidRPr="000F6BCF">
        <w:rPr>
          <w:rFonts w:ascii="Times New Roman" w:hAnsi="Times New Roman"/>
          <w:i/>
          <w:iCs/>
          <w:sz w:val="22"/>
          <w:szCs w:val="22"/>
          <w:lang w:val="fr-FR"/>
        </w:rPr>
        <w:t>Penser la folie, Essais sur Michel Foucault</w:t>
      </w:r>
      <w:r w:rsidRPr="000F6BCF">
        <w:rPr>
          <w:rFonts w:ascii="Times New Roman" w:hAnsi="Times New Roman"/>
          <w:sz w:val="22"/>
          <w:szCs w:val="22"/>
          <w:lang w:val="fr-FR"/>
        </w:rPr>
        <w:t xml:space="preserve">, Paris. </w:t>
      </w:r>
      <w:r w:rsidRPr="000F6BCF">
        <w:rPr>
          <w:rFonts w:ascii="Times New Roman" w:hAnsi="Times New Roman"/>
          <w:sz w:val="22"/>
          <w:szCs w:val="22"/>
        </w:rPr>
        <w:t>Galilée.</w:t>
      </w:r>
    </w:p>
    <w:p w14:paraId="734D5A0A" w14:textId="77777777"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Speier, H. (1952) </w:t>
      </w:r>
      <w:r w:rsidRPr="000F6BCF">
        <w:rPr>
          <w:rFonts w:ascii="Times New Roman" w:hAnsi="Times New Roman"/>
          <w:i/>
          <w:sz w:val="22"/>
          <w:szCs w:val="22"/>
        </w:rPr>
        <w:t>Social Order and the Risks of War: Papers in Political Sociology</w:t>
      </w:r>
      <w:r w:rsidRPr="000F6BCF">
        <w:rPr>
          <w:rFonts w:ascii="Times New Roman" w:hAnsi="Times New Roman"/>
          <w:sz w:val="22"/>
          <w:szCs w:val="22"/>
        </w:rPr>
        <w:t xml:space="preserve">. Massachusetts. MIT Press. </w:t>
      </w:r>
    </w:p>
    <w:p w14:paraId="79842DB6" w14:textId="54353870"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Stefano, M. (2012) Reconfiguring the framework: adopting an ecomuseological approach for safeguarding intangible cultural heritage. In: Stefano, M., Davis, P., Corsane, G. (eds) Safeguarding intangible cultural heritage. Newcastle, Newcastle University, Boydell Press, pp. 223- 238</w:t>
      </w:r>
      <w:r w:rsidR="002D339F" w:rsidRPr="000F6BCF">
        <w:rPr>
          <w:rFonts w:ascii="Times New Roman" w:hAnsi="Times New Roman"/>
          <w:sz w:val="22"/>
          <w:szCs w:val="22"/>
        </w:rPr>
        <w:t>.</w:t>
      </w:r>
    </w:p>
    <w:p w14:paraId="5EDA9787" w14:textId="77777777"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Still, A. and Velody, I. (eds.) (1992) </w:t>
      </w:r>
      <w:r w:rsidRPr="000F6BCF">
        <w:rPr>
          <w:rFonts w:ascii="Times New Roman" w:hAnsi="Times New Roman"/>
          <w:i/>
          <w:iCs/>
          <w:sz w:val="22"/>
          <w:szCs w:val="22"/>
        </w:rPr>
        <w:t>Rewriting the History of Madness: Studies in Foucault’s Histoire de La Folie</w:t>
      </w:r>
      <w:r w:rsidRPr="000F6BCF">
        <w:rPr>
          <w:rFonts w:ascii="Times New Roman" w:hAnsi="Times New Roman"/>
          <w:sz w:val="22"/>
          <w:szCs w:val="22"/>
        </w:rPr>
        <w:t>. Routeledge</w:t>
      </w:r>
    </w:p>
    <w:p w14:paraId="02F3EBFD" w14:textId="18C311E8" w:rsidR="00527C41" w:rsidRPr="000F6BCF" w:rsidRDefault="00527C41">
      <w:pPr>
        <w:pStyle w:val="FootnoteText"/>
        <w:spacing w:before="120" w:after="120"/>
        <w:ind w:left="720" w:hanging="720"/>
        <w:jc w:val="both"/>
        <w:rPr>
          <w:rFonts w:ascii="Times New Roman" w:hAnsi="Times New Roman"/>
          <w:sz w:val="22"/>
          <w:szCs w:val="22"/>
          <w:shd w:val="clear" w:color="auto" w:fill="FFFFFF"/>
        </w:rPr>
      </w:pPr>
      <w:r w:rsidRPr="000F6BCF">
        <w:rPr>
          <w:rFonts w:ascii="Times New Roman" w:hAnsi="Times New Roman"/>
          <w:sz w:val="22"/>
          <w:szCs w:val="22"/>
          <w:lang w:val="en-US"/>
        </w:rPr>
        <w:t xml:space="preserve">Sutherland, A. (1989) ‘Disability Arts, Disability Politics’, DAIL Magazine, September 1989, reprinted in </w:t>
      </w:r>
      <w:r w:rsidRPr="000F6BCF" w:rsidDel="0049175B">
        <w:rPr>
          <w:rFonts w:ascii="Times New Roman" w:hAnsi="Times New Roman"/>
          <w:sz w:val="22"/>
          <w:szCs w:val="22"/>
          <w:lang w:val="en-US"/>
        </w:rPr>
        <w:t xml:space="preserve">A. </w:t>
      </w:r>
      <w:r w:rsidRPr="000F6BCF">
        <w:rPr>
          <w:rFonts w:ascii="Times New Roman" w:hAnsi="Times New Roman"/>
          <w:sz w:val="22"/>
          <w:szCs w:val="22"/>
          <w:lang w:val="en-US"/>
        </w:rPr>
        <w:t xml:space="preserve">Pointon, A. and </w:t>
      </w:r>
      <w:r w:rsidRPr="000F6BCF" w:rsidDel="0049175B">
        <w:rPr>
          <w:rFonts w:ascii="Times New Roman" w:hAnsi="Times New Roman"/>
          <w:sz w:val="22"/>
          <w:szCs w:val="22"/>
          <w:lang w:val="en-US"/>
        </w:rPr>
        <w:t xml:space="preserve">C. </w:t>
      </w:r>
      <w:r w:rsidRPr="000F6BCF">
        <w:rPr>
          <w:rFonts w:ascii="Times New Roman" w:hAnsi="Times New Roman"/>
          <w:sz w:val="22"/>
          <w:szCs w:val="22"/>
          <w:lang w:val="en-US"/>
        </w:rPr>
        <w:t>Davies, C. (eds.) Framed: Interrogating Disability in the Mediam London: BFI, p.159</w:t>
      </w:r>
      <w:r w:rsidR="002D339F" w:rsidRPr="000F6BCF">
        <w:rPr>
          <w:rFonts w:ascii="Times New Roman" w:hAnsi="Times New Roman"/>
          <w:sz w:val="22"/>
          <w:szCs w:val="22"/>
          <w:lang w:val="en-US"/>
        </w:rPr>
        <w:t>.</w:t>
      </w:r>
    </w:p>
    <w:p w14:paraId="62B1097F" w14:textId="0E92B65E" w:rsidR="00527C41" w:rsidRPr="000F6BCF" w:rsidRDefault="00527C41">
      <w:pPr>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Swain, J. &amp;  French, S. (2000) Towards an Affirmation Model. </w:t>
      </w:r>
      <w:r w:rsidRPr="000F6BCF">
        <w:rPr>
          <w:rFonts w:ascii="Times New Roman" w:hAnsi="Times New Roman"/>
          <w:i/>
          <w:sz w:val="22"/>
          <w:szCs w:val="22"/>
        </w:rPr>
        <w:t xml:space="preserve">Disability and Society </w:t>
      </w:r>
      <w:r w:rsidRPr="000F6BCF">
        <w:rPr>
          <w:rFonts w:ascii="Times New Roman" w:hAnsi="Times New Roman"/>
          <w:sz w:val="22"/>
          <w:szCs w:val="22"/>
        </w:rPr>
        <w:t>15(4) 569-82</w:t>
      </w:r>
      <w:r w:rsidR="002D339F" w:rsidRPr="000F6BCF">
        <w:rPr>
          <w:rFonts w:ascii="Times New Roman" w:hAnsi="Times New Roman"/>
          <w:sz w:val="22"/>
          <w:szCs w:val="22"/>
        </w:rPr>
        <w:t>.</w:t>
      </w:r>
    </w:p>
    <w:p w14:paraId="3CC63D02" w14:textId="18417DD7" w:rsidR="00527C41" w:rsidRPr="000F6BCF" w:rsidRDefault="00527C41">
      <w:pPr>
        <w:spacing w:before="120" w:after="120"/>
        <w:ind w:left="720" w:hanging="720"/>
        <w:jc w:val="both"/>
        <w:rPr>
          <w:rFonts w:ascii="Times New Roman" w:hAnsi="Times New Roman"/>
          <w:sz w:val="22"/>
          <w:szCs w:val="22"/>
          <w:highlight w:val="green"/>
        </w:rPr>
      </w:pPr>
      <w:r w:rsidRPr="000F6BCF">
        <w:rPr>
          <w:rFonts w:ascii="Times New Roman" w:hAnsi="Times New Roman"/>
          <w:sz w:val="22"/>
          <w:szCs w:val="22"/>
        </w:rPr>
        <w:t xml:space="preserve">Swain, J. &amp;  French, S. (2008) Conclusions: Some Reflections on Key Questions.In: in Swain, J. &amp;  French, S.  (eds.) </w:t>
      </w:r>
      <w:r w:rsidRPr="000F6BCF">
        <w:rPr>
          <w:rFonts w:ascii="Times New Roman" w:hAnsi="Times New Roman"/>
          <w:i/>
          <w:sz w:val="22"/>
          <w:szCs w:val="22"/>
        </w:rPr>
        <w:t>Disability on Equal Terms</w:t>
      </w:r>
      <w:r w:rsidR="00F80288" w:rsidRPr="000F6BCF">
        <w:rPr>
          <w:rFonts w:ascii="Times New Roman" w:hAnsi="Times New Roman"/>
          <w:sz w:val="22"/>
          <w:szCs w:val="22"/>
        </w:rPr>
        <w:t>. London. Sage.</w:t>
      </w:r>
    </w:p>
    <w:p w14:paraId="1C1F477A" w14:textId="77777777"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Torrey, E.F. &amp; Miller, J. (2001) </w:t>
      </w:r>
      <w:r w:rsidRPr="000F6BCF">
        <w:rPr>
          <w:rFonts w:ascii="Times New Roman" w:hAnsi="Times New Roman"/>
          <w:i/>
          <w:iCs/>
          <w:sz w:val="22"/>
          <w:szCs w:val="22"/>
        </w:rPr>
        <w:t>The Invisible Plague: The Rise of Mental Illness from 1750 to the Present</w:t>
      </w:r>
      <w:r w:rsidRPr="000F6BCF">
        <w:rPr>
          <w:rFonts w:ascii="Times New Roman" w:hAnsi="Times New Roman"/>
          <w:sz w:val="22"/>
          <w:szCs w:val="22"/>
        </w:rPr>
        <w:t xml:space="preserve">. </w:t>
      </w:r>
      <w:r w:rsidRPr="000F6BCF" w:rsidDel="0049175B">
        <w:rPr>
          <w:rFonts w:ascii="Times New Roman" w:hAnsi="Times New Roman"/>
          <w:sz w:val="22"/>
          <w:szCs w:val="22"/>
        </w:rPr>
        <w:t xml:space="preserve"> 200</w:t>
      </w:r>
      <w:r w:rsidRPr="000F6BCF">
        <w:rPr>
          <w:rFonts w:ascii="Times New Roman" w:hAnsi="Times New Roman"/>
          <w:sz w:val="22"/>
          <w:szCs w:val="22"/>
        </w:rPr>
        <w:t>1st ed.</w:t>
      </w:r>
      <w:r w:rsidRPr="000F6BCF" w:rsidDel="0049175B">
        <w:rPr>
          <w:rFonts w:ascii="Times New Roman" w:hAnsi="Times New Roman"/>
          <w:sz w:val="22"/>
          <w:szCs w:val="22"/>
        </w:rPr>
        <w:t>,</w:t>
      </w:r>
      <w:r w:rsidRPr="000F6BCF">
        <w:rPr>
          <w:rFonts w:ascii="Times New Roman" w:hAnsi="Times New Roman"/>
          <w:sz w:val="22"/>
          <w:szCs w:val="22"/>
        </w:rPr>
        <w:t xml:space="preserve"> Rutger University Press. </w:t>
      </w:r>
    </w:p>
    <w:p w14:paraId="7705CD50" w14:textId="7BFC577F" w:rsidR="00527C41" w:rsidRPr="000F6BCF" w:rsidRDefault="00527C41">
      <w:pPr>
        <w:pStyle w:val="FootnoteText"/>
        <w:spacing w:before="120" w:after="120"/>
        <w:ind w:left="720" w:hanging="720"/>
        <w:jc w:val="both"/>
        <w:rPr>
          <w:rFonts w:ascii="Times New Roman" w:hAnsi="Times New Roman"/>
          <w:sz w:val="22"/>
          <w:szCs w:val="22"/>
          <w:shd w:val="clear" w:color="auto" w:fill="FFFFFF"/>
        </w:rPr>
      </w:pPr>
      <w:r w:rsidRPr="000F6BCF">
        <w:rPr>
          <w:rFonts w:ascii="Times New Roman" w:hAnsi="Times New Roman"/>
          <w:bCs/>
          <w:sz w:val="22"/>
          <w:szCs w:val="22"/>
          <w:shd w:val="clear" w:color="auto" w:fill="FFFFFF"/>
        </w:rPr>
        <w:t>UN General Assembly, Universal Declaration of Human Rights</w:t>
      </w:r>
      <w:r w:rsidRPr="000F6BCF">
        <w:rPr>
          <w:rStyle w:val="apple-converted-space"/>
          <w:rFonts w:ascii="Times New Roman" w:hAnsi="Times New Roman"/>
          <w:sz w:val="22"/>
          <w:szCs w:val="22"/>
          <w:shd w:val="clear" w:color="auto" w:fill="FFFFFF"/>
        </w:rPr>
        <w:t>,</w:t>
      </w:r>
      <w:r w:rsidRPr="000F6BCF">
        <w:rPr>
          <w:rFonts w:ascii="Times New Roman" w:hAnsi="Times New Roman"/>
          <w:sz w:val="22"/>
          <w:szCs w:val="22"/>
          <w:shd w:val="clear" w:color="auto" w:fill="FFFFFF"/>
        </w:rPr>
        <w:t xml:space="preserve"> 10 December 1948 at the Palais de Chaillot</w:t>
      </w:r>
      <w:r w:rsidRPr="000F6BCF" w:rsidDel="0049175B">
        <w:rPr>
          <w:rFonts w:ascii="Times New Roman" w:hAnsi="Times New Roman"/>
          <w:sz w:val="22"/>
          <w:szCs w:val="22"/>
          <w:shd w:val="clear" w:color="auto" w:fill="FFFFFF"/>
        </w:rPr>
        <w:t>,</w:t>
      </w:r>
      <w:r w:rsidRPr="000F6BCF">
        <w:rPr>
          <w:rFonts w:ascii="Times New Roman" w:hAnsi="Times New Roman"/>
          <w:sz w:val="22"/>
          <w:szCs w:val="22"/>
          <w:shd w:val="clear" w:color="auto" w:fill="FFFFFF"/>
        </w:rPr>
        <w:t xml:space="preserve"> Paris</w:t>
      </w:r>
      <w:r w:rsidR="002D339F" w:rsidRPr="000F6BCF">
        <w:rPr>
          <w:rFonts w:ascii="Times New Roman" w:hAnsi="Times New Roman"/>
          <w:sz w:val="22"/>
          <w:szCs w:val="22"/>
          <w:shd w:val="clear" w:color="auto" w:fill="FFFFFF"/>
        </w:rPr>
        <w:t>.</w:t>
      </w:r>
    </w:p>
    <w:p w14:paraId="34A26688" w14:textId="77777777" w:rsidR="00527C41" w:rsidRPr="000F6BCF" w:rsidRDefault="00527C41">
      <w:pPr>
        <w:spacing w:before="120" w:after="120"/>
        <w:ind w:left="720" w:hanging="720"/>
        <w:jc w:val="both"/>
        <w:rPr>
          <w:rFonts w:ascii="Times New Roman" w:eastAsia="Cambria" w:hAnsi="Times New Roman"/>
          <w:sz w:val="22"/>
          <w:szCs w:val="22"/>
          <w:lang w:val="en-GB"/>
        </w:rPr>
      </w:pPr>
      <w:r w:rsidRPr="000F6BCF">
        <w:rPr>
          <w:rFonts w:ascii="Times New Roman" w:eastAsia="Cambria" w:hAnsi="Times New Roman"/>
          <w:sz w:val="22"/>
          <w:szCs w:val="22"/>
          <w:lang w:val="en-GB"/>
        </w:rPr>
        <w:t>UN General Assembly, Convention on the Rights of Persons with Disabilities, 13 December 2006, A/RES/61/106, Annex I, available at: http://www.refworld.org/docid/4680cd212.html [accessed 29 April 2016]</w:t>
      </w:r>
    </w:p>
    <w:p w14:paraId="55443B9B" w14:textId="77777777"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UNESCO [n.d.] </w:t>
      </w:r>
      <w:r w:rsidRPr="000F6BCF">
        <w:rPr>
          <w:rFonts w:ascii="Times New Roman" w:hAnsi="Times New Roman"/>
          <w:i/>
          <w:sz w:val="22"/>
          <w:szCs w:val="22"/>
        </w:rPr>
        <w:t>Introducing UNESCO</w:t>
      </w:r>
      <w:r w:rsidRPr="000F6BCF">
        <w:rPr>
          <w:rFonts w:ascii="Times New Roman" w:hAnsi="Times New Roman"/>
          <w:sz w:val="22"/>
          <w:szCs w:val="22"/>
        </w:rPr>
        <w:t xml:space="preserve">. Available from: </w:t>
      </w:r>
      <w:hyperlink r:id="rId14" w:history="1">
        <w:r w:rsidRPr="000F6BCF">
          <w:rPr>
            <w:rStyle w:val="Hyperlink"/>
            <w:rFonts w:ascii="Times New Roman" w:hAnsi="Times New Roman"/>
            <w:color w:val="auto"/>
            <w:sz w:val="22"/>
            <w:szCs w:val="22"/>
          </w:rPr>
          <w:t>http://en.unesco.org/about-us/introducing-unesco</w:t>
        </w:r>
      </w:hyperlink>
      <w:r w:rsidRPr="000F6BCF">
        <w:rPr>
          <w:rFonts w:ascii="Times New Roman" w:hAnsi="Times New Roman"/>
          <w:sz w:val="22"/>
          <w:szCs w:val="22"/>
        </w:rPr>
        <w:t>. [Accessed 27 April 2016].</w:t>
      </w:r>
    </w:p>
    <w:p w14:paraId="35AF9F19" w14:textId="1AB5A30B"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bCs/>
          <w:sz w:val="22"/>
          <w:szCs w:val="22"/>
          <w:shd w:val="clear" w:color="auto" w:fill="FFFFFF"/>
        </w:rPr>
        <w:t>UNESCO General Conference, Convention for the Safeguarding of the Intangible Cultural Heritage</w:t>
      </w:r>
      <w:r w:rsidRPr="000F6BCF">
        <w:rPr>
          <w:rFonts w:ascii="Times New Roman" w:hAnsi="Times New Roman"/>
          <w:sz w:val="22"/>
          <w:szCs w:val="22"/>
          <w:shd w:val="clear" w:color="auto" w:fill="FFFFFF"/>
        </w:rPr>
        <w:t>, 17 October 2003, 32</w:t>
      </w:r>
      <w:r w:rsidRPr="000F6BCF">
        <w:rPr>
          <w:rFonts w:ascii="Times New Roman" w:hAnsi="Times New Roman"/>
          <w:sz w:val="22"/>
          <w:szCs w:val="22"/>
          <w:shd w:val="clear" w:color="auto" w:fill="FFFFFF"/>
          <w:vertAlign w:val="superscript"/>
        </w:rPr>
        <w:t>nd</w:t>
      </w:r>
      <w:r w:rsidRPr="000F6BCF">
        <w:rPr>
          <w:rFonts w:ascii="Times New Roman" w:hAnsi="Times New Roman"/>
          <w:sz w:val="22"/>
          <w:szCs w:val="22"/>
          <w:shd w:val="clear" w:color="auto" w:fill="FFFFFF"/>
        </w:rPr>
        <w:t xml:space="preserve"> session, Paris</w:t>
      </w:r>
      <w:r w:rsidR="002D339F" w:rsidRPr="000F6BCF">
        <w:rPr>
          <w:rFonts w:ascii="Times New Roman" w:hAnsi="Times New Roman"/>
          <w:sz w:val="22"/>
          <w:szCs w:val="22"/>
          <w:shd w:val="clear" w:color="auto" w:fill="FFFFFF"/>
        </w:rPr>
        <w:t>.</w:t>
      </w:r>
    </w:p>
    <w:p w14:paraId="2D774A3D" w14:textId="77777777" w:rsidR="00527C41" w:rsidRPr="000F6BCF" w:rsidRDefault="00527C41" w:rsidP="00705B83">
      <w:pPr>
        <w:ind w:left="709" w:hanging="709"/>
        <w:jc w:val="both"/>
        <w:rPr>
          <w:rFonts w:ascii="Times New Roman" w:eastAsia="Times New Roman" w:hAnsi="Times New Roman"/>
          <w:sz w:val="22"/>
          <w:szCs w:val="22"/>
          <w:lang w:val="en-GB" w:eastAsia="en-GB"/>
        </w:rPr>
      </w:pPr>
      <w:r w:rsidRPr="000F6BCF">
        <w:rPr>
          <w:rFonts w:ascii="Times New Roman" w:hAnsi="Times New Roman"/>
          <w:sz w:val="22"/>
          <w:szCs w:val="22"/>
        </w:rPr>
        <w:t xml:space="preserve">UNESCO Universal Declaration on Bioethics and Human Rights, adopted on 19 October 2005. Available from: </w:t>
      </w:r>
      <w:hyperlink r:id="rId15" w:history="1">
        <w:r w:rsidRPr="000F6BCF">
          <w:rPr>
            <w:rStyle w:val="Hyperlink"/>
            <w:rFonts w:ascii="Times New Roman" w:hAnsi="Times New Roman"/>
            <w:sz w:val="22"/>
            <w:szCs w:val="22"/>
          </w:rPr>
          <w:t>http://portal.unesco.org/en/ev.php-URL_ID=31058&amp;URL_DO=DO_TOPIC&amp;URL_SECTION=201.html</w:t>
        </w:r>
      </w:hyperlink>
      <w:r w:rsidRPr="000F6BCF">
        <w:rPr>
          <w:rFonts w:ascii="Times New Roman" w:hAnsi="Times New Roman"/>
          <w:sz w:val="22"/>
          <w:szCs w:val="22"/>
        </w:rPr>
        <w:t>. [Accessed 27 April 2015]</w:t>
      </w:r>
    </w:p>
    <w:p w14:paraId="5467DCED" w14:textId="77777777"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United Nations, Devandas-Aguilar, C. (ed.) (2015) </w:t>
      </w:r>
      <w:r w:rsidRPr="000F6BCF">
        <w:rPr>
          <w:rStyle w:val="HChGChar"/>
          <w:rFonts w:eastAsia="MS Mincho"/>
          <w:b w:val="0"/>
          <w:sz w:val="22"/>
          <w:szCs w:val="22"/>
        </w:rPr>
        <w:t xml:space="preserve">Report of the Special Rapporteur </w:t>
      </w:r>
      <w:r w:rsidRPr="000F6BCF">
        <w:rPr>
          <w:rFonts w:ascii="Times New Roman" w:hAnsi="Times New Roman"/>
          <w:sz w:val="22"/>
          <w:szCs w:val="22"/>
        </w:rPr>
        <w:t>on the rights of persons with disabilities. UN General Assembly. Human Rights Council. 28</w:t>
      </w:r>
      <w:r w:rsidRPr="000F6BCF">
        <w:rPr>
          <w:rFonts w:ascii="Times New Roman" w:hAnsi="Times New Roman"/>
          <w:sz w:val="22"/>
          <w:szCs w:val="22"/>
          <w:vertAlign w:val="superscript"/>
        </w:rPr>
        <w:t>th</w:t>
      </w:r>
      <w:r w:rsidRPr="000F6BCF">
        <w:rPr>
          <w:rFonts w:ascii="Times New Roman" w:hAnsi="Times New Roman"/>
          <w:sz w:val="22"/>
          <w:szCs w:val="22"/>
        </w:rPr>
        <w:t xml:space="preserve"> session. A/HRC/28/58. Available from: &lt;</w:t>
      </w:r>
      <w:r w:rsidRPr="000F6BCF">
        <w:rPr>
          <w:rStyle w:val="HTMLCite"/>
          <w:rFonts w:ascii="Times New Roman" w:hAnsi="Times New Roman"/>
          <w:i w:val="0"/>
          <w:iCs w:val="0"/>
          <w:sz w:val="22"/>
          <w:szCs w:val="22"/>
        </w:rPr>
        <w:t xml:space="preserve"> </w:t>
      </w:r>
      <w:hyperlink r:id="rId16" w:history="1">
        <w:r w:rsidRPr="000F6BCF">
          <w:rPr>
            <w:rStyle w:val="Hyperlink"/>
            <w:rFonts w:ascii="Times New Roman" w:eastAsia="Times New Roman" w:hAnsi="Times New Roman"/>
            <w:color w:val="auto"/>
            <w:sz w:val="22"/>
            <w:szCs w:val="22"/>
            <w:lang w:eastAsia="en-GB"/>
          </w:rPr>
          <w:t>www.ohchr.org/EN/HRBodies/</w:t>
        </w:r>
        <w:r w:rsidRPr="000F6BCF">
          <w:rPr>
            <w:rStyle w:val="Hyperlink"/>
            <w:rFonts w:ascii="Times New Roman" w:eastAsia="Times New Roman" w:hAnsi="Times New Roman"/>
            <w:bCs/>
            <w:color w:val="auto"/>
            <w:sz w:val="22"/>
            <w:szCs w:val="22"/>
            <w:lang w:eastAsia="en-GB"/>
          </w:rPr>
          <w:t>HRC</w:t>
        </w:r>
        <w:r w:rsidRPr="000F6BCF">
          <w:rPr>
            <w:rStyle w:val="Hyperlink"/>
            <w:rFonts w:ascii="Times New Roman" w:eastAsia="Times New Roman" w:hAnsi="Times New Roman"/>
            <w:color w:val="auto"/>
            <w:sz w:val="22"/>
            <w:szCs w:val="22"/>
            <w:lang w:eastAsia="en-GB"/>
          </w:rPr>
          <w:t>/.../A_</w:t>
        </w:r>
        <w:r w:rsidRPr="000F6BCF">
          <w:rPr>
            <w:rStyle w:val="Hyperlink"/>
            <w:rFonts w:ascii="Times New Roman" w:eastAsia="Times New Roman" w:hAnsi="Times New Roman"/>
            <w:bCs/>
            <w:color w:val="auto"/>
            <w:sz w:val="22"/>
            <w:szCs w:val="22"/>
            <w:lang w:eastAsia="en-GB"/>
          </w:rPr>
          <w:t>HRC</w:t>
        </w:r>
        <w:r w:rsidRPr="000F6BCF">
          <w:rPr>
            <w:rStyle w:val="Hyperlink"/>
            <w:rFonts w:ascii="Times New Roman" w:eastAsia="Times New Roman" w:hAnsi="Times New Roman"/>
            <w:color w:val="auto"/>
            <w:sz w:val="22"/>
            <w:szCs w:val="22"/>
            <w:lang w:eastAsia="en-GB"/>
          </w:rPr>
          <w:t>_</w:t>
        </w:r>
        <w:r w:rsidRPr="000F6BCF">
          <w:rPr>
            <w:rStyle w:val="Hyperlink"/>
            <w:rFonts w:ascii="Times New Roman" w:eastAsia="Times New Roman" w:hAnsi="Times New Roman"/>
            <w:bCs/>
            <w:color w:val="auto"/>
            <w:sz w:val="22"/>
            <w:szCs w:val="22"/>
            <w:lang w:eastAsia="en-GB"/>
          </w:rPr>
          <w:t>28_58</w:t>
        </w:r>
        <w:r w:rsidRPr="000F6BCF">
          <w:rPr>
            <w:rStyle w:val="Hyperlink"/>
            <w:rFonts w:ascii="Times New Roman" w:eastAsia="Times New Roman" w:hAnsi="Times New Roman"/>
            <w:color w:val="auto"/>
            <w:sz w:val="22"/>
            <w:szCs w:val="22"/>
            <w:lang w:eastAsia="en-GB"/>
          </w:rPr>
          <w:t>_E.doc</w:t>
        </w:r>
      </w:hyperlink>
      <w:r w:rsidRPr="000F6BCF">
        <w:rPr>
          <w:rFonts w:ascii="Times New Roman" w:eastAsia="Times New Roman" w:hAnsi="Times New Roman"/>
          <w:sz w:val="22"/>
          <w:szCs w:val="22"/>
          <w:lang w:eastAsia="en-GB"/>
        </w:rPr>
        <w:t>&gt; [Accessed 27 April 2016].</w:t>
      </w:r>
    </w:p>
    <w:p w14:paraId="2F9356FA" w14:textId="77777777" w:rsidR="00527C41" w:rsidRPr="000F6BCF" w:rsidRDefault="00527C41">
      <w:pPr>
        <w:spacing w:before="120" w:after="120"/>
        <w:ind w:left="720" w:hanging="720"/>
        <w:jc w:val="both"/>
        <w:rPr>
          <w:rFonts w:ascii="Times New Roman" w:hAnsi="Times New Roman"/>
          <w:sz w:val="22"/>
          <w:szCs w:val="22"/>
          <w:highlight w:val="green"/>
        </w:rPr>
      </w:pPr>
      <w:r w:rsidRPr="000F6BCF">
        <w:rPr>
          <w:rFonts w:ascii="Times New Roman" w:hAnsi="Times New Roman"/>
          <w:sz w:val="22"/>
          <w:szCs w:val="22"/>
        </w:rPr>
        <w:t xml:space="preserve">UPIAS (1976) </w:t>
      </w:r>
      <w:r w:rsidRPr="000F6BCF">
        <w:rPr>
          <w:rFonts w:ascii="Times New Roman" w:hAnsi="Times New Roman"/>
          <w:i/>
          <w:sz w:val="22"/>
          <w:szCs w:val="22"/>
        </w:rPr>
        <w:t xml:space="preserve">Fundamental principles of disability </w:t>
      </w:r>
      <w:r w:rsidRPr="000F6BCF">
        <w:rPr>
          <w:rFonts w:ascii="Times New Roman" w:hAnsi="Times New Roman"/>
          <w:sz w:val="22"/>
          <w:szCs w:val="22"/>
        </w:rPr>
        <w:t xml:space="preserve">(London Union of the Physically Impaired, London) </w:t>
      </w:r>
      <w:r w:rsidRPr="000F6BCF">
        <w:rPr>
          <w:rFonts w:ascii="Times New Roman" w:hAnsi="Times New Roman"/>
          <w:i/>
          <w:iCs/>
          <w:sz w:val="22"/>
          <w:szCs w:val="22"/>
          <w:shd w:val="clear" w:color="auto" w:fill="FFFFFF"/>
        </w:rPr>
        <w:t>Reprinted in edited form in M. Oliver, Understanding Disability: From Theory to Practice</w:t>
      </w:r>
      <w:r w:rsidRPr="000F6BCF">
        <w:rPr>
          <w:rFonts w:ascii="Times New Roman" w:hAnsi="Times New Roman"/>
          <w:sz w:val="22"/>
          <w:szCs w:val="22"/>
          <w:shd w:val="clear" w:color="auto" w:fill="FFFFFF"/>
        </w:rPr>
        <w:t>, pp.19-29.</w:t>
      </w:r>
    </w:p>
    <w:p w14:paraId="427C775B" w14:textId="2A7F9C74"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shd w:val="clear" w:color="auto" w:fill="FFFFFF"/>
        </w:rPr>
        <w:t>Vadi, V.S. and Schneider, H. (2014) The New Frontiers of Cultural Law: Intangible Heritage Disputes.</w:t>
      </w:r>
      <w:r w:rsidRPr="000F6BCF">
        <w:rPr>
          <w:rStyle w:val="apple-converted-space"/>
          <w:rFonts w:ascii="Times New Roman" w:hAnsi="Times New Roman"/>
          <w:sz w:val="22"/>
          <w:szCs w:val="22"/>
          <w:shd w:val="clear" w:color="auto" w:fill="FFFFFF"/>
        </w:rPr>
        <w:t> </w:t>
      </w:r>
      <w:r w:rsidRPr="000F6BCF">
        <w:rPr>
          <w:rFonts w:ascii="Times New Roman" w:hAnsi="Times New Roman"/>
          <w:i/>
          <w:iCs/>
          <w:sz w:val="22"/>
          <w:szCs w:val="22"/>
          <w:shd w:val="clear" w:color="auto" w:fill="FFFFFF"/>
        </w:rPr>
        <w:t>Transnational Dispute Management (TDM)</w:t>
      </w:r>
      <w:r w:rsidRPr="000F6BCF">
        <w:rPr>
          <w:rFonts w:ascii="Times New Roman" w:hAnsi="Times New Roman"/>
          <w:sz w:val="22"/>
          <w:szCs w:val="22"/>
          <w:shd w:val="clear" w:color="auto" w:fill="FFFFFF"/>
        </w:rPr>
        <w:t>,</w:t>
      </w:r>
      <w:r w:rsidR="002D339F" w:rsidRPr="000F6BCF">
        <w:rPr>
          <w:rFonts w:ascii="Times New Roman" w:hAnsi="Times New Roman"/>
          <w:sz w:val="22"/>
          <w:szCs w:val="22"/>
          <w:shd w:val="clear" w:color="auto" w:fill="FFFFFF"/>
        </w:rPr>
        <w:t xml:space="preserve"> </w:t>
      </w:r>
      <w:r w:rsidRPr="000F6BCF">
        <w:rPr>
          <w:rFonts w:ascii="Times New Roman" w:hAnsi="Times New Roman"/>
          <w:iCs/>
          <w:sz w:val="22"/>
          <w:szCs w:val="22"/>
          <w:shd w:val="clear" w:color="auto" w:fill="FFFFFF"/>
        </w:rPr>
        <w:t>11</w:t>
      </w:r>
      <w:r w:rsidR="002D339F" w:rsidRPr="000F6BCF">
        <w:rPr>
          <w:rFonts w:ascii="Times New Roman" w:hAnsi="Times New Roman"/>
          <w:i/>
          <w:iCs/>
          <w:sz w:val="22"/>
          <w:szCs w:val="22"/>
          <w:shd w:val="clear" w:color="auto" w:fill="FFFFFF"/>
        </w:rPr>
        <w:t xml:space="preserve"> </w:t>
      </w:r>
      <w:r w:rsidR="002D339F" w:rsidRPr="000F6BCF">
        <w:rPr>
          <w:rFonts w:ascii="Times New Roman" w:hAnsi="Times New Roman"/>
          <w:sz w:val="22"/>
          <w:szCs w:val="22"/>
          <w:shd w:val="clear" w:color="auto" w:fill="FFFFFF"/>
        </w:rPr>
        <w:t>(2).</w:t>
      </w:r>
    </w:p>
    <w:p w14:paraId="3BFBC34A" w14:textId="7CA1DC4A"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shd w:val="clear" w:color="auto" w:fill="FFFFFF"/>
        </w:rPr>
        <w:t xml:space="preserve">Waelde, C., Harmon, S. and Brown, A. (2015) SCRIPT: A legacy of vitality. </w:t>
      </w:r>
      <w:r w:rsidRPr="000F6BCF">
        <w:rPr>
          <w:rFonts w:ascii="Times New Roman" w:hAnsi="Times New Roman"/>
          <w:i/>
          <w:iCs/>
          <w:sz w:val="22"/>
          <w:szCs w:val="22"/>
          <w:shd w:val="clear" w:color="auto" w:fill="FFFFFF"/>
        </w:rPr>
        <w:t>SCRIPT-ed</w:t>
      </w:r>
      <w:r w:rsidRPr="000F6BCF">
        <w:rPr>
          <w:rFonts w:ascii="Times New Roman" w:hAnsi="Times New Roman"/>
          <w:sz w:val="22"/>
          <w:szCs w:val="22"/>
          <w:shd w:val="clear" w:color="auto" w:fill="FFFFFF"/>
        </w:rPr>
        <w:t>. 12(1) 51-58</w:t>
      </w:r>
      <w:r w:rsidR="002D339F" w:rsidRPr="000F6BCF">
        <w:rPr>
          <w:rFonts w:ascii="Times New Roman" w:hAnsi="Times New Roman"/>
          <w:sz w:val="22"/>
          <w:szCs w:val="22"/>
          <w:shd w:val="clear" w:color="auto" w:fill="FFFFFF"/>
        </w:rPr>
        <w:t>.</w:t>
      </w:r>
    </w:p>
    <w:p w14:paraId="447FB092" w14:textId="77777777" w:rsidR="00527C41" w:rsidRPr="000F6BCF" w:rsidRDefault="00527C41">
      <w:pPr>
        <w:pStyle w:val="FootnoteText"/>
        <w:spacing w:before="120" w:after="120"/>
        <w:ind w:left="720" w:hanging="720"/>
        <w:jc w:val="both"/>
        <w:rPr>
          <w:rFonts w:ascii="Times New Roman" w:hAnsi="Times New Roman"/>
          <w:sz w:val="22"/>
          <w:szCs w:val="22"/>
        </w:rPr>
      </w:pPr>
      <w:r w:rsidRPr="000F6BCF">
        <w:rPr>
          <w:rFonts w:ascii="Times New Roman" w:hAnsi="Times New Roman"/>
          <w:sz w:val="22"/>
          <w:szCs w:val="22"/>
        </w:rPr>
        <w:t xml:space="preserve">Walsh, J. &amp; Piazza, J. (2010) Why Respecting Physical Integrity Rights Reduces Terrorism. </w:t>
      </w:r>
      <w:r w:rsidRPr="000F6BCF">
        <w:rPr>
          <w:rFonts w:ascii="Times New Roman" w:hAnsi="Times New Roman"/>
          <w:i/>
          <w:sz w:val="22"/>
          <w:szCs w:val="22"/>
        </w:rPr>
        <w:t>Comparative Political Studies</w:t>
      </w:r>
      <w:r w:rsidRPr="000F6BCF">
        <w:rPr>
          <w:rFonts w:ascii="Times New Roman" w:hAnsi="Times New Roman"/>
          <w:sz w:val="22"/>
          <w:szCs w:val="22"/>
        </w:rPr>
        <w:t>. 43, 551-577.</w:t>
      </w:r>
    </w:p>
    <w:p w14:paraId="71A59DD6" w14:textId="01947929" w:rsidR="00527C41" w:rsidRPr="000F6BCF" w:rsidRDefault="00527C41" w:rsidP="00705B83">
      <w:pPr>
        <w:pStyle w:val="FootnoteText"/>
        <w:spacing w:before="120" w:after="120"/>
        <w:ind w:left="709" w:hanging="709"/>
        <w:jc w:val="both"/>
        <w:rPr>
          <w:rFonts w:ascii="Times New Roman" w:hAnsi="Times New Roman"/>
          <w:sz w:val="22"/>
          <w:szCs w:val="22"/>
        </w:rPr>
      </w:pPr>
      <w:r w:rsidRPr="000F6BCF">
        <w:rPr>
          <w:rFonts w:ascii="Times New Roman" w:hAnsi="Times New Roman"/>
          <w:sz w:val="22"/>
          <w:szCs w:val="22"/>
          <w:shd w:val="clear" w:color="auto" w:fill="FFFFFF"/>
        </w:rPr>
        <w:t>Williams, C. (2015) Subjectivity Without the Subject: Thinking Beyond the Subject with/through Spinoza.</w:t>
      </w:r>
      <w:r w:rsidRPr="000F6BCF">
        <w:rPr>
          <w:rStyle w:val="apple-converted-space"/>
          <w:rFonts w:ascii="Times New Roman" w:hAnsi="Times New Roman"/>
          <w:sz w:val="22"/>
          <w:szCs w:val="22"/>
          <w:shd w:val="clear" w:color="auto" w:fill="FFFFFF"/>
        </w:rPr>
        <w:t> </w:t>
      </w:r>
      <w:r w:rsidRPr="000F6BCF">
        <w:rPr>
          <w:rFonts w:ascii="Times New Roman" w:hAnsi="Times New Roman"/>
          <w:iCs/>
          <w:sz w:val="22"/>
          <w:szCs w:val="22"/>
          <w:shd w:val="clear" w:color="auto" w:fill="FFFFFF"/>
        </w:rPr>
        <w:t xml:space="preserve">In: Lord, B. (ed.) </w:t>
      </w:r>
      <w:r w:rsidRPr="000F6BCF">
        <w:rPr>
          <w:rFonts w:ascii="Times New Roman" w:hAnsi="Times New Roman"/>
          <w:i/>
          <w:sz w:val="22"/>
          <w:szCs w:val="22"/>
        </w:rPr>
        <w:t>Spinoza Beyond Philosophy</w:t>
      </w:r>
      <w:r w:rsidRPr="000F6BCF">
        <w:rPr>
          <w:rFonts w:ascii="Times New Roman" w:hAnsi="Times New Roman"/>
          <w:sz w:val="22"/>
          <w:szCs w:val="22"/>
        </w:rPr>
        <w:t>. Edinburgh. Edinburgh University Press. pp 11-</w:t>
      </w:r>
      <w:r w:rsidR="00F80288" w:rsidRPr="000F6BCF">
        <w:rPr>
          <w:rFonts w:ascii="Times New Roman" w:hAnsi="Times New Roman"/>
          <w:sz w:val="22"/>
          <w:szCs w:val="22"/>
        </w:rPr>
        <w:t>27</w:t>
      </w:r>
      <w:r w:rsidR="002D339F" w:rsidRPr="000F6BCF">
        <w:rPr>
          <w:rFonts w:ascii="Times New Roman" w:hAnsi="Times New Roman"/>
          <w:sz w:val="22"/>
          <w:szCs w:val="22"/>
        </w:rPr>
        <w:t>.</w:t>
      </w:r>
    </w:p>
    <w:p w14:paraId="79A521E9" w14:textId="77777777" w:rsidR="00527C41" w:rsidRPr="000F6BCF" w:rsidRDefault="00527C41">
      <w:pPr>
        <w:pStyle w:val="FootnoteText"/>
        <w:spacing w:before="120" w:after="120"/>
        <w:ind w:left="720" w:hanging="720"/>
        <w:jc w:val="both"/>
        <w:rPr>
          <w:rFonts w:ascii="Times New Roman" w:hAnsi="Times New Roman"/>
          <w:b/>
          <w:sz w:val="22"/>
          <w:szCs w:val="22"/>
        </w:rPr>
      </w:pPr>
      <w:r w:rsidRPr="000F6BCF">
        <w:rPr>
          <w:rFonts w:ascii="Times New Roman" w:hAnsi="Times New Roman"/>
          <w:sz w:val="22"/>
          <w:szCs w:val="22"/>
          <w:lang w:val="en-US"/>
        </w:rPr>
        <w:t>Williamson, J.</w:t>
      </w:r>
      <w:r w:rsidRPr="000F6BCF" w:rsidDel="00527C41">
        <w:rPr>
          <w:rFonts w:ascii="Times New Roman" w:hAnsi="Times New Roman"/>
          <w:sz w:val="22"/>
          <w:szCs w:val="22"/>
          <w:lang w:val="en-US"/>
        </w:rPr>
        <w:t xml:space="preserve"> </w:t>
      </w:r>
      <w:r w:rsidRPr="000F6BCF">
        <w:rPr>
          <w:rFonts w:ascii="Times New Roman" w:hAnsi="Times New Roman"/>
          <w:sz w:val="22"/>
          <w:szCs w:val="22"/>
          <w:lang w:val="en-US"/>
        </w:rPr>
        <w:t xml:space="preserve"> (2004) An Act of Embodiment. Online edition. The Guardian. </w:t>
      </w:r>
      <w:r w:rsidRPr="000F6BCF">
        <w:rPr>
          <w:rFonts w:ascii="Times New Roman" w:hAnsi="Times New Roman"/>
          <w:sz w:val="22"/>
          <w:szCs w:val="22"/>
        </w:rPr>
        <w:t xml:space="preserve">22 avril 2004. Available from: </w:t>
      </w:r>
      <w:hyperlink r:id="rId17" w:history="1">
        <w:r w:rsidRPr="000F6BCF">
          <w:rPr>
            <w:rStyle w:val="Hyperlink"/>
            <w:rFonts w:ascii="Times New Roman" w:hAnsi="Times New Roman"/>
          </w:rPr>
          <w:t>http://www.theguardian.com/culture/2004/apr/22/guesteditors</w:t>
        </w:r>
      </w:hyperlink>
      <w:r w:rsidRPr="000F6BCF">
        <w:rPr>
          <w:rFonts w:ascii="Times New Roman" w:hAnsi="Times New Roman"/>
          <w:sz w:val="22"/>
          <w:szCs w:val="22"/>
        </w:rPr>
        <w:t xml:space="preserve"> [Accessed 27 April 2016] </w:t>
      </w:r>
    </w:p>
    <w:p w14:paraId="5B19EB66" w14:textId="6453E86E" w:rsidR="007E5207" w:rsidRPr="00527C41" w:rsidRDefault="007E5207">
      <w:pPr>
        <w:pStyle w:val="FootnoteText"/>
        <w:spacing w:before="120" w:after="120"/>
        <w:ind w:left="720" w:hanging="720"/>
        <w:jc w:val="both"/>
        <w:rPr>
          <w:rFonts w:asciiTheme="majorHAnsi" w:hAnsiTheme="majorHAnsi" w:cs="Arial"/>
          <w:sz w:val="22"/>
          <w:szCs w:val="22"/>
          <w:shd w:val="clear" w:color="auto" w:fill="FFFFFF"/>
        </w:rPr>
      </w:pPr>
    </w:p>
    <w:sectPr w:rsidR="007E5207" w:rsidRPr="00527C41" w:rsidSect="00B23F90">
      <w:footerReference w:type="even" r:id="rId18"/>
      <w:footerReference w:type="default" r:id="rId19"/>
      <w:pgSz w:w="11900" w:h="16840"/>
      <w:pgMar w:top="1440" w:right="183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87B8F" w14:textId="77777777" w:rsidR="0010559D" w:rsidRDefault="0010559D" w:rsidP="00DB555C">
      <w:r>
        <w:separator/>
      </w:r>
    </w:p>
  </w:endnote>
  <w:endnote w:type="continuationSeparator" w:id="0">
    <w:p w14:paraId="1DF61598" w14:textId="77777777" w:rsidR="0010559D" w:rsidRDefault="0010559D" w:rsidP="00DB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E2CB" w14:textId="77777777" w:rsidR="00527C41" w:rsidRDefault="00527C41" w:rsidP="00B23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D5193" w14:textId="77777777" w:rsidR="00527C41" w:rsidRDefault="00527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0FE18" w14:textId="77777777" w:rsidR="00527C41" w:rsidRDefault="00527C41" w:rsidP="00B23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1199">
      <w:rPr>
        <w:rStyle w:val="PageNumber"/>
        <w:noProof/>
      </w:rPr>
      <w:t>1</w:t>
    </w:r>
    <w:r>
      <w:rPr>
        <w:rStyle w:val="PageNumber"/>
      </w:rPr>
      <w:fldChar w:fldCharType="end"/>
    </w:r>
  </w:p>
  <w:p w14:paraId="71C0B39C" w14:textId="77777777" w:rsidR="00527C41" w:rsidRDefault="00527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32951" w14:textId="77777777" w:rsidR="0010559D" w:rsidRDefault="0010559D" w:rsidP="00DB555C">
      <w:r>
        <w:separator/>
      </w:r>
    </w:p>
  </w:footnote>
  <w:footnote w:type="continuationSeparator" w:id="0">
    <w:p w14:paraId="48850DD5" w14:textId="77777777" w:rsidR="0010559D" w:rsidRDefault="0010559D" w:rsidP="00DB555C">
      <w:r>
        <w:continuationSeparator/>
      </w:r>
    </w:p>
  </w:footnote>
  <w:footnote w:id="1">
    <w:p w14:paraId="1750E103" w14:textId="77777777" w:rsidR="00527C41" w:rsidRPr="007B21EE" w:rsidRDefault="00527C41" w:rsidP="007B21EE">
      <w:pPr>
        <w:pStyle w:val="FootnoteText"/>
        <w:jc w:val="both"/>
        <w:rPr>
          <w:rFonts w:asciiTheme="majorHAnsi" w:hAnsiTheme="majorHAnsi"/>
          <w:sz w:val="22"/>
          <w:szCs w:val="22"/>
          <w:lang w:val="en-CA"/>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Our research has been informed by our work with dancers with disabilities during the InVisible Difference: Disability, Dance and Law project and more generally.  Neither we, nor those dancers, see disability dance as a separate art-form or genre from dance.  Dancers with disabilities wish to be viewed and evaluated as dance artists equal to other professional dance artists – a point to which we will return in the chapter.  Use of the term ‘disability’ </w:t>
      </w:r>
      <w:r w:rsidRPr="007B21EE">
        <w:rPr>
          <w:rFonts w:asciiTheme="majorHAnsi" w:hAnsiTheme="majorHAnsi"/>
          <w:i/>
          <w:sz w:val="22"/>
          <w:szCs w:val="22"/>
        </w:rPr>
        <w:t>can</w:t>
      </w:r>
      <w:r w:rsidRPr="007B21EE">
        <w:rPr>
          <w:rFonts w:asciiTheme="majorHAnsi" w:hAnsiTheme="majorHAnsi"/>
          <w:sz w:val="22"/>
          <w:szCs w:val="22"/>
        </w:rPr>
        <w:t xml:space="preserve"> permit discounting of the work because the dancer is seen as ‘other’ than the non-disabled performer; when placed within the frame of disability, neither the dance, nor the dancer tends to be taken as seriously as dance by the non-disabled.  The outcome is that the dancer (and the dance) disappears.  </w:t>
      </w:r>
    </w:p>
  </w:footnote>
  <w:footnote w:id="2">
    <w:p w14:paraId="14D4FE3E" w14:textId="77777777" w:rsidR="00527C41" w:rsidRPr="007B21EE" w:rsidRDefault="00527C41" w:rsidP="007B21EE">
      <w:pPr>
        <w:pStyle w:val="FootnoteText"/>
        <w:jc w:val="both"/>
        <w:rPr>
          <w:rFonts w:asciiTheme="majorHAnsi" w:hAnsiTheme="majorHAnsi"/>
          <w:sz w:val="22"/>
          <w:szCs w:val="22"/>
          <w:lang w:val="en-US"/>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w:t>
      </w:r>
      <w:r w:rsidRPr="007B21EE">
        <w:rPr>
          <w:rFonts w:asciiTheme="majorHAnsi" w:hAnsiTheme="majorHAnsi" w:cs="Garamond"/>
          <w:sz w:val="22"/>
          <w:szCs w:val="22"/>
        </w:rPr>
        <w:t xml:space="preserve">We authored, both separately and together, over fifty publications in a variety of outlets. For a detail lists of our publications please visit the project’s official website at: &lt; </w:t>
      </w:r>
      <w:hyperlink r:id="rId1" w:history="1">
        <w:r w:rsidRPr="007B21EE">
          <w:rPr>
            <w:rStyle w:val="Hyperlink"/>
            <w:rFonts w:asciiTheme="majorHAnsi" w:hAnsiTheme="majorHAnsi" w:cs="Garamond"/>
            <w:color w:val="auto"/>
            <w:sz w:val="22"/>
            <w:szCs w:val="22"/>
          </w:rPr>
          <w:t>http://www.invisibledifference.org.uk</w:t>
        </w:r>
      </w:hyperlink>
      <w:r w:rsidRPr="007B21EE">
        <w:rPr>
          <w:rFonts w:asciiTheme="majorHAnsi" w:hAnsiTheme="majorHAnsi" w:cs="Garamond"/>
          <w:sz w:val="22"/>
          <w:szCs w:val="22"/>
        </w:rPr>
        <w:t xml:space="preserve">&gt; accessed 28 April 2016. </w:t>
      </w:r>
    </w:p>
  </w:footnote>
  <w:footnote w:id="3">
    <w:p w14:paraId="4A2A554F" w14:textId="77777777" w:rsidR="00527C41" w:rsidRPr="007B21EE" w:rsidRDefault="00527C41" w:rsidP="007B21EE">
      <w:pPr>
        <w:pStyle w:val="FootnoteText"/>
        <w:jc w:val="both"/>
        <w:rPr>
          <w:rFonts w:asciiTheme="majorHAnsi" w:hAnsiTheme="majorHAnsi"/>
          <w:sz w:val="22"/>
          <w:szCs w:val="22"/>
          <w:lang w:val="en-US"/>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For more on the notion of ‘book sprint’ see BookSprints [n.d.] </w:t>
      </w:r>
      <w:r w:rsidRPr="007B21EE">
        <w:rPr>
          <w:rFonts w:asciiTheme="majorHAnsi" w:hAnsiTheme="majorHAnsi"/>
          <w:i/>
          <w:sz w:val="22"/>
          <w:szCs w:val="22"/>
        </w:rPr>
        <w:t>What is a book sprint?.</w:t>
      </w:r>
      <w:r w:rsidRPr="007B21EE">
        <w:rPr>
          <w:rFonts w:asciiTheme="majorHAnsi" w:hAnsiTheme="majorHAnsi"/>
          <w:sz w:val="22"/>
          <w:szCs w:val="22"/>
        </w:rPr>
        <w:t xml:space="preserve"> Available from: &lt;</w:t>
      </w:r>
      <w:hyperlink r:id="rId2" w:history="1">
        <w:r w:rsidRPr="007B21EE">
          <w:rPr>
            <w:rStyle w:val="Hyperlink"/>
            <w:rFonts w:asciiTheme="majorHAnsi" w:hAnsiTheme="majorHAnsi"/>
            <w:color w:val="auto"/>
            <w:sz w:val="22"/>
            <w:szCs w:val="22"/>
          </w:rPr>
          <w:t>http://www.booksprints.net/about/</w:t>
        </w:r>
      </w:hyperlink>
      <w:r w:rsidRPr="007B21EE">
        <w:rPr>
          <w:rFonts w:asciiTheme="majorHAnsi" w:hAnsiTheme="majorHAnsi"/>
          <w:sz w:val="22"/>
          <w:szCs w:val="22"/>
        </w:rPr>
        <w:t>&gt; [Accessed 28 April 2016].</w:t>
      </w:r>
    </w:p>
  </w:footnote>
  <w:footnote w:id="4">
    <w:p w14:paraId="551787CC" w14:textId="77777777" w:rsidR="00527C41" w:rsidRPr="007B21EE" w:rsidRDefault="00527C41" w:rsidP="007B21EE">
      <w:pPr>
        <w:widowControl w:val="0"/>
        <w:autoSpaceDE w:val="0"/>
        <w:autoSpaceDN w:val="0"/>
        <w:adjustRightInd w:val="0"/>
        <w:jc w:val="both"/>
        <w:rPr>
          <w:rFonts w:asciiTheme="majorHAnsi" w:eastAsiaTheme="minorEastAsia" w:hAnsiTheme="majorHAnsi"/>
          <w:sz w:val="22"/>
          <w:szCs w:val="22"/>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For example, </w:t>
      </w:r>
      <w:r w:rsidRPr="007B21EE">
        <w:rPr>
          <w:rFonts w:asciiTheme="majorHAnsi" w:eastAsiaTheme="minorEastAsia" w:hAnsiTheme="majorHAnsi"/>
          <w:sz w:val="22"/>
          <w:szCs w:val="22"/>
        </w:rPr>
        <w:t>Cleveland Ballet Dancing Wheels (Dancing Wheels) in the USA in 1980 and CandoCo in the UK in 1991.</w:t>
      </w:r>
    </w:p>
  </w:footnote>
  <w:footnote w:id="5">
    <w:p w14:paraId="02C17D9F" w14:textId="77777777" w:rsidR="00527C41" w:rsidRPr="007B21EE" w:rsidRDefault="00527C41" w:rsidP="007B21EE">
      <w:pPr>
        <w:pStyle w:val="FootnoteText"/>
        <w:jc w:val="both"/>
        <w:rPr>
          <w:rFonts w:asciiTheme="majorHAnsi" w:hAnsiTheme="majorHAnsi"/>
          <w:sz w:val="22"/>
          <w:szCs w:val="22"/>
          <w:lang w:val="en-US"/>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w:t>
      </w:r>
      <w:r w:rsidRPr="007B21EE">
        <w:rPr>
          <w:rFonts w:asciiTheme="majorHAnsi" w:hAnsiTheme="majorHAnsi"/>
          <w:sz w:val="22"/>
          <w:szCs w:val="22"/>
          <w:lang w:val="en-US"/>
        </w:rPr>
        <w:t xml:space="preserve"> </w:t>
      </w:r>
      <w:r w:rsidRPr="007B21EE">
        <w:rPr>
          <w:rFonts w:asciiTheme="majorHAnsi" w:hAnsiTheme="majorHAnsi"/>
          <w:sz w:val="22"/>
          <w:szCs w:val="22"/>
        </w:rPr>
        <w:t xml:space="preserve">Including Dan Daw’s </w:t>
      </w:r>
      <w:r w:rsidRPr="007B21EE">
        <w:rPr>
          <w:rFonts w:asciiTheme="majorHAnsi" w:hAnsiTheme="majorHAnsi"/>
          <w:i/>
          <w:sz w:val="22"/>
          <w:szCs w:val="22"/>
        </w:rPr>
        <w:t>BEAST</w:t>
      </w:r>
      <w:r w:rsidRPr="007B21EE">
        <w:rPr>
          <w:rFonts w:asciiTheme="majorHAnsi" w:hAnsiTheme="majorHAnsi"/>
          <w:sz w:val="22"/>
          <w:szCs w:val="22"/>
        </w:rPr>
        <w:t xml:space="preserve">, Chisato Minamimura’s App, Bowditch’s </w:t>
      </w:r>
      <w:r w:rsidRPr="007B21EE">
        <w:rPr>
          <w:rFonts w:asciiTheme="majorHAnsi" w:hAnsiTheme="majorHAnsi"/>
          <w:i/>
          <w:sz w:val="22"/>
          <w:szCs w:val="22"/>
        </w:rPr>
        <w:t xml:space="preserve">Falling in Love with Frida </w:t>
      </w:r>
      <w:r w:rsidRPr="007B21EE">
        <w:rPr>
          <w:rFonts w:asciiTheme="majorHAnsi" w:hAnsiTheme="majorHAnsi"/>
          <w:sz w:val="22"/>
          <w:szCs w:val="22"/>
        </w:rPr>
        <w:t>and Claire Cunningham’s</w:t>
      </w:r>
      <w:r w:rsidRPr="007B21EE">
        <w:rPr>
          <w:rFonts w:asciiTheme="majorHAnsi" w:hAnsiTheme="majorHAnsi"/>
          <w:i/>
          <w:sz w:val="22"/>
          <w:szCs w:val="22"/>
        </w:rPr>
        <w:t xml:space="preserve"> Guide Gods </w:t>
      </w:r>
      <w:r w:rsidRPr="007B21EE">
        <w:rPr>
          <w:rFonts w:asciiTheme="majorHAnsi" w:hAnsiTheme="majorHAnsi"/>
          <w:sz w:val="22"/>
          <w:szCs w:val="22"/>
        </w:rPr>
        <w:t>– both winners of the Herald Angel Award at the Edinburgh Fringe Festivals.</w:t>
      </w:r>
    </w:p>
  </w:footnote>
  <w:footnote w:id="6">
    <w:p w14:paraId="53FCEE70" w14:textId="77777777" w:rsidR="00527C41" w:rsidRPr="007B21EE" w:rsidRDefault="00527C41" w:rsidP="007B21EE">
      <w:pPr>
        <w:pStyle w:val="FootnoteText"/>
        <w:jc w:val="both"/>
        <w:rPr>
          <w:rFonts w:asciiTheme="majorHAnsi" w:hAnsiTheme="majorHAnsi"/>
          <w:sz w:val="22"/>
          <w:szCs w:val="22"/>
          <w:lang w:val="en-US"/>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w:t>
      </w:r>
      <w:r w:rsidRPr="007B21EE">
        <w:rPr>
          <w:rFonts w:asciiTheme="majorHAnsi" w:hAnsiTheme="majorHAnsi" w:cs="Calibri"/>
          <w:sz w:val="22"/>
          <w:szCs w:val="22"/>
          <w:u w:color="0000E9"/>
        </w:rPr>
        <w:t xml:space="preserve">Jane Pritchard, Curator of Dance at the V&amp;A (Victoria and Albert Museum), London, has discussed the concept of disability and dance as being part of the ‘invisible material’ that exists (InVisible Difference Symposium video 2014:1:04:30). Pritchard highlighted an event some years prior where a “mystery dancer” in Come Dance with Me was identified following an assessment of a donation to the Museum. A remark was made in the materials dismissing a dancer who was referred to as a “girl had a wooden hand”. The author was however informed that “an excellent glove was preserved for her special use”. </w:t>
      </w:r>
    </w:p>
  </w:footnote>
  <w:footnote w:id="7">
    <w:p w14:paraId="295428F1" w14:textId="77777777" w:rsidR="00527C41" w:rsidRPr="007B21EE" w:rsidRDefault="00527C41" w:rsidP="007B21EE">
      <w:pPr>
        <w:pStyle w:val="FootnoteText"/>
        <w:jc w:val="both"/>
        <w:rPr>
          <w:rFonts w:asciiTheme="majorHAnsi" w:hAnsiTheme="majorHAnsi"/>
          <w:sz w:val="22"/>
          <w:szCs w:val="22"/>
          <w:lang w:val="en-US"/>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ICHC, </w:t>
      </w:r>
      <w:r w:rsidRPr="007B21EE">
        <w:rPr>
          <w:rFonts w:asciiTheme="majorHAnsi" w:hAnsiTheme="majorHAnsi"/>
          <w:sz w:val="22"/>
          <w:szCs w:val="22"/>
          <w:lang w:val="en-US"/>
        </w:rPr>
        <w:t>Article 15 reads: “Within the framework of its safeguarding activities of the intangible cultural heritage, each State Party shall endeavor to ensure the widest possible participation of communities, groups and, where appropriate, individuals that create, maintain and transmit such heritage, and to involve them actively in its management.”</w:t>
      </w:r>
    </w:p>
  </w:footnote>
  <w:footnote w:id="8">
    <w:p w14:paraId="1CB35F66" w14:textId="77777777" w:rsidR="00527C41" w:rsidRPr="007B21EE" w:rsidRDefault="00527C41" w:rsidP="007B21EE">
      <w:pPr>
        <w:widowControl w:val="0"/>
        <w:autoSpaceDE w:val="0"/>
        <w:autoSpaceDN w:val="0"/>
        <w:adjustRightInd w:val="0"/>
        <w:jc w:val="both"/>
        <w:rPr>
          <w:rFonts w:asciiTheme="majorHAnsi" w:hAnsiTheme="majorHAnsi"/>
          <w:sz w:val="22"/>
          <w:szCs w:val="22"/>
          <w:lang w:val="en-GB"/>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w:t>
      </w:r>
      <w:r w:rsidRPr="007B21EE">
        <w:rPr>
          <w:rFonts w:asciiTheme="majorHAnsi" w:hAnsiTheme="majorHAnsi" w:cs="Georgia"/>
          <w:sz w:val="22"/>
          <w:szCs w:val="22"/>
        </w:rPr>
        <w:t xml:space="preserve">A quest for a philosophy should not, however, be a sop for an intellectual inferiority complex, reminiscent of the fears of Duchamp who, Copeland (2004:226) reports, "seemed to suffer from an intellectual inferiority complex – or at least a fear that the visual arts were perceived as less ‘mentally demanding’ than the verbal arts. In a remarkable burst of candor, he once admitted, ‘the painter was considered stupid, but the poet and writer were intelligent. I wanted to be intelligent”. </w:t>
      </w:r>
    </w:p>
  </w:footnote>
  <w:footnote w:id="9">
    <w:p w14:paraId="73F9C713" w14:textId="17910B53" w:rsidR="00527C41" w:rsidRPr="00584DDC" w:rsidRDefault="00527C41">
      <w:pPr>
        <w:pStyle w:val="FootnoteText"/>
        <w:rPr>
          <w:lang w:val="en-US"/>
        </w:rPr>
      </w:pPr>
      <w:r>
        <w:rPr>
          <w:rStyle w:val="FootnoteReference"/>
        </w:rPr>
        <w:footnoteRef/>
      </w:r>
      <w:r>
        <w:t xml:space="preserve"> </w:t>
      </w:r>
      <w:r w:rsidRPr="00584DDC">
        <w:rPr>
          <w:lang w:val="en-US"/>
        </w:rPr>
        <w:t>See for example the contribution to this collection</w:t>
      </w:r>
      <w:r w:rsidRPr="00584DDC">
        <w:rPr>
          <w:i/>
          <w:lang w:val="en-US"/>
        </w:rPr>
        <w:t xml:space="preserve"> Disabled Dance: Barriers to Proper Inclusion within our Cultural Milieu</w:t>
      </w:r>
      <w:r>
        <w:rPr>
          <w:i/>
          <w:lang w:val="en-US"/>
        </w:rPr>
        <w:t xml:space="preserve">. </w:t>
      </w:r>
    </w:p>
  </w:footnote>
  <w:footnote w:id="10">
    <w:p w14:paraId="787F9B66" w14:textId="77777777" w:rsidR="00527C41" w:rsidRPr="007B21EE" w:rsidRDefault="00527C41" w:rsidP="007B21EE">
      <w:pPr>
        <w:jc w:val="both"/>
        <w:rPr>
          <w:rFonts w:asciiTheme="majorHAnsi" w:hAnsiTheme="majorHAnsi"/>
          <w:sz w:val="22"/>
          <w:szCs w:val="22"/>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w:t>
      </w:r>
      <w:r w:rsidRPr="007B21EE">
        <w:rPr>
          <w:rFonts w:asciiTheme="majorHAnsi" w:hAnsiTheme="majorHAnsi"/>
          <w:sz w:val="22"/>
          <w:szCs w:val="22"/>
          <w:lang w:val="en-GB"/>
        </w:rPr>
        <w:t>We have noted elsewhere the risk that overly focussing on models could lead to potentially practical useful initiatives being discounted. See Brown and Waelde 2015: 580, 596-8, 602.</w:t>
      </w:r>
    </w:p>
  </w:footnote>
  <w:footnote w:id="11">
    <w:p w14:paraId="5279A0F3" w14:textId="77777777" w:rsidR="00527C41" w:rsidRPr="007B21EE" w:rsidRDefault="00527C41" w:rsidP="007B21EE">
      <w:pPr>
        <w:pStyle w:val="FootnoteText"/>
        <w:jc w:val="both"/>
        <w:rPr>
          <w:rFonts w:asciiTheme="majorHAnsi" w:hAnsiTheme="majorHAnsi" w:cstheme="majorBidi"/>
          <w:sz w:val="22"/>
          <w:szCs w:val="22"/>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w:t>
      </w:r>
      <w:r w:rsidRPr="007B21EE">
        <w:rPr>
          <w:rFonts w:asciiTheme="majorHAnsi" w:hAnsiTheme="majorHAnsi" w:cstheme="majorBidi"/>
          <w:i/>
          <w:iCs/>
          <w:sz w:val="22"/>
          <w:szCs w:val="22"/>
        </w:rPr>
        <w:t>Hadley v Kemp</w:t>
      </w:r>
      <w:r w:rsidRPr="007B21EE">
        <w:rPr>
          <w:rFonts w:asciiTheme="majorHAnsi" w:hAnsiTheme="majorHAnsi" w:cstheme="majorBidi"/>
          <w:sz w:val="22"/>
          <w:szCs w:val="22"/>
        </w:rPr>
        <w:t xml:space="preserve"> [1999] All ER (D) 450, para N5.</w:t>
      </w:r>
    </w:p>
  </w:footnote>
  <w:footnote w:id="12">
    <w:p w14:paraId="1F205EB9" w14:textId="77777777" w:rsidR="00527C41" w:rsidRPr="007B21EE" w:rsidRDefault="00527C41" w:rsidP="007B21EE">
      <w:pPr>
        <w:pStyle w:val="ColorfulList-Accent11"/>
        <w:widowControl w:val="0"/>
        <w:ind w:left="0"/>
        <w:jc w:val="both"/>
        <w:rPr>
          <w:rFonts w:asciiTheme="majorHAnsi" w:hAnsiTheme="majorHAnsi"/>
          <w:sz w:val="22"/>
          <w:szCs w:val="22"/>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The </w:t>
      </w:r>
      <w:r w:rsidRPr="007B21EE">
        <w:rPr>
          <w:rFonts w:asciiTheme="majorHAnsi" w:hAnsiTheme="majorHAnsi"/>
          <w:i/>
          <w:sz w:val="22"/>
          <w:szCs w:val="22"/>
        </w:rPr>
        <w:t>Garcia v Google</w:t>
      </w:r>
      <w:r w:rsidRPr="007B21EE">
        <w:rPr>
          <w:rFonts w:asciiTheme="majorHAnsi" w:hAnsiTheme="majorHAnsi"/>
          <w:sz w:val="22"/>
          <w:szCs w:val="22"/>
        </w:rPr>
        <w:t xml:space="preserve"> case is a dispute tried before the ninth circuit court of appeal of the United States. Unlike </w:t>
      </w:r>
      <w:r w:rsidRPr="007B21EE">
        <w:rPr>
          <w:rFonts w:asciiTheme="majorHAnsi" w:hAnsiTheme="majorHAnsi"/>
          <w:i/>
          <w:sz w:val="22"/>
          <w:szCs w:val="22"/>
        </w:rPr>
        <w:t>Hadley v Kemp</w:t>
      </w:r>
      <w:r w:rsidRPr="007B21EE">
        <w:rPr>
          <w:rFonts w:asciiTheme="majorHAnsi" w:hAnsiTheme="majorHAnsi"/>
          <w:sz w:val="22"/>
          <w:szCs w:val="22"/>
        </w:rPr>
        <w:t xml:space="preserve">, it is not a case ruled under British law and as such is not a binding precedent for British judges. However, the </w:t>
      </w:r>
      <w:r w:rsidRPr="007B21EE">
        <w:rPr>
          <w:rFonts w:asciiTheme="majorHAnsi" w:hAnsiTheme="majorHAnsi"/>
          <w:i/>
          <w:sz w:val="22"/>
          <w:szCs w:val="22"/>
        </w:rPr>
        <w:t xml:space="preserve">Garcia </w:t>
      </w:r>
      <w:r w:rsidRPr="007B21EE">
        <w:rPr>
          <w:rFonts w:asciiTheme="majorHAnsi" w:hAnsiTheme="majorHAnsi"/>
          <w:sz w:val="22"/>
          <w:szCs w:val="22"/>
        </w:rPr>
        <w:t>dispute</w:t>
      </w:r>
      <w:r w:rsidRPr="007B21EE">
        <w:rPr>
          <w:rFonts w:asciiTheme="majorHAnsi" w:hAnsiTheme="majorHAnsi"/>
          <w:sz w:val="22"/>
          <w:szCs w:val="22"/>
          <w:lang w:val="en-GB"/>
        </w:rPr>
        <w:t xml:space="preserve"> remains relevant to our conversation insomuch as it reveals the conceptualisation of performances afforded by a legal system neighbour to that of the United Kingdom, with which it shares a common historical and cultural background as well as the same international influences in intellectual property law. See, </w:t>
      </w:r>
      <w:r w:rsidRPr="007B21EE">
        <w:rPr>
          <w:rFonts w:asciiTheme="majorHAnsi" w:hAnsiTheme="majorHAnsi"/>
          <w:i/>
          <w:sz w:val="22"/>
          <w:szCs w:val="22"/>
        </w:rPr>
        <w:t xml:space="preserve">Hadley v Kemp </w:t>
      </w:r>
      <w:r w:rsidRPr="007B21EE">
        <w:rPr>
          <w:rFonts w:asciiTheme="majorHAnsi" w:hAnsiTheme="majorHAnsi" w:cstheme="majorBidi"/>
          <w:sz w:val="22"/>
          <w:szCs w:val="22"/>
        </w:rPr>
        <w:t xml:space="preserve">[1999] All ER (D) 450. </w:t>
      </w:r>
    </w:p>
  </w:footnote>
  <w:footnote w:id="13">
    <w:p w14:paraId="37DEADE2" w14:textId="77777777" w:rsidR="00527C41" w:rsidRPr="007B21EE" w:rsidRDefault="00527C41" w:rsidP="007B21EE">
      <w:pPr>
        <w:pStyle w:val="FootnoteText"/>
        <w:jc w:val="both"/>
        <w:rPr>
          <w:rFonts w:asciiTheme="majorHAnsi" w:hAnsiTheme="majorHAnsi" w:cstheme="majorBidi"/>
          <w:sz w:val="22"/>
          <w:szCs w:val="22"/>
        </w:rPr>
      </w:pPr>
      <w:r w:rsidRPr="007B21EE">
        <w:rPr>
          <w:rStyle w:val="FootnoteReference"/>
          <w:rFonts w:asciiTheme="majorHAnsi" w:hAnsiTheme="majorHAnsi" w:cstheme="majorBidi"/>
          <w:sz w:val="22"/>
          <w:szCs w:val="22"/>
        </w:rPr>
        <w:footnoteRef/>
      </w:r>
      <w:r w:rsidRPr="007B21EE">
        <w:rPr>
          <w:rFonts w:asciiTheme="majorHAnsi" w:hAnsiTheme="majorHAnsi" w:cstheme="majorBidi"/>
          <w:sz w:val="22"/>
          <w:szCs w:val="22"/>
        </w:rPr>
        <w:t xml:space="preserve"> </w:t>
      </w:r>
      <w:r w:rsidRPr="007B21EE">
        <w:rPr>
          <w:rFonts w:asciiTheme="majorHAnsi" w:hAnsiTheme="majorHAnsi" w:cstheme="majorBidi"/>
          <w:i/>
          <w:iCs/>
          <w:sz w:val="22"/>
          <w:szCs w:val="22"/>
        </w:rPr>
        <w:t>Garcia v Google Inc</w:t>
      </w:r>
      <w:r w:rsidRPr="007B21EE">
        <w:rPr>
          <w:rFonts w:asciiTheme="majorHAnsi" w:hAnsiTheme="majorHAnsi" w:cstheme="majorBidi"/>
          <w:sz w:val="22"/>
          <w:szCs w:val="22"/>
        </w:rPr>
        <w:t>, 743 F. 3d 1258 (9</w:t>
      </w:r>
      <w:r w:rsidRPr="007B21EE">
        <w:rPr>
          <w:rFonts w:asciiTheme="majorHAnsi" w:hAnsiTheme="majorHAnsi" w:cstheme="majorBidi"/>
          <w:sz w:val="22"/>
          <w:szCs w:val="22"/>
          <w:vertAlign w:val="superscript"/>
        </w:rPr>
        <w:t>th</w:t>
      </w:r>
      <w:r w:rsidRPr="007B21EE">
        <w:rPr>
          <w:rFonts w:asciiTheme="majorHAnsi" w:hAnsiTheme="majorHAnsi" w:cstheme="majorBidi"/>
          <w:sz w:val="22"/>
          <w:szCs w:val="22"/>
        </w:rPr>
        <w:t xml:space="preserve"> Cir 2014) 1274. Those comments were made as part of Justice Smith’s dissent in the first instance decision, dissent which became the majority decision when the 2014 Garcia decision was overturned in appeal. See, </w:t>
      </w:r>
      <w:r w:rsidRPr="007B21EE">
        <w:rPr>
          <w:rFonts w:asciiTheme="majorHAnsi" w:hAnsiTheme="majorHAnsi"/>
          <w:i/>
          <w:sz w:val="22"/>
          <w:szCs w:val="22"/>
        </w:rPr>
        <w:t>Garcia v Google Inc, 786 F. 3d 733</w:t>
      </w:r>
      <w:r w:rsidRPr="007B21EE">
        <w:rPr>
          <w:rFonts w:asciiTheme="majorHAnsi" w:hAnsiTheme="majorHAnsi"/>
          <w:sz w:val="22"/>
          <w:szCs w:val="22"/>
        </w:rPr>
        <w:t xml:space="preserve"> (9</w:t>
      </w:r>
      <w:r w:rsidRPr="007B21EE">
        <w:rPr>
          <w:rFonts w:asciiTheme="majorHAnsi" w:hAnsiTheme="majorHAnsi"/>
          <w:sz w:val="22"/>
          <w:szCs w:val="22"/>
          <w:vertAlign w:val="superscript"/>
        </w:rPr>
        <w:t>th</w:t>
      </w:r>
      <w:r w:rsidRPr="007B21EE">
        <w:rPr>
          <w:rFonts w:asciiTheme="majorHAnsi" w:hAnsiTheme="majorHAnsi"/>
          <w:sz w:val="22"/>
          <w:szCs w:val="22"/>
        </w:rPr>
        <w:t xml:space="preserve"> Cirt 2015). </w:t>
      </w:r>
    </w:p>
  </w:footnote>
  <w:footnote w:id="14">
    <w:p w14:paraId="74C1864C" w14:textId="77777777" w:rsidR="00527C41" w:rsidRPr="007B21EE" w:rsidRDefault="00527C41" w:rsidP="007B21EE">
      <w:pPr>
        <w:pStyle w:val="FootnoteText"/>
        <w:jc w:val="both"/>
        <w:rPr>
          <w:rFonts w:asciiTheme="majorHAnsi" w:hAnsiTheme="majorHAnsi"/>
          <w:sz w:val="22"/>
          <w:szCs w:val="22"/>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This analogy between the role of performers and the input of puppets was first articulated in 1883 by the French philosopher Denis Diderot (1883) with respect to acting. </w:t>
      </w:r>
    </w:p>
  </w:footnote>
  <w:footnote w:id="15">
    <w:p w14:paraId="3F4A1196" w14:textId="77777777" w:rsidR="00527C41" w:rsidRPr="007B21EE" w:rsidRDefault="00527C41" w:rsidP="007B21EE">
      <w:pPr>
        <w:pStyle w:val="FootnoteText"/>
        <w:jc w:val="both"/>
        <w:rPr>
          <w:rFonts w:asciiTheme="majorHAnsi" w:hAnsiTheme="majorHAnsi"/>
          <w:sz w:val="22"/>
          <w:szCs w:val="22"/>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Foucault noted that leprosy was both a manifestation of God’s anger and mercy; the leper has been ‘afflicted’, but, through God, he can be healed (a theme picked up by Cunningham in Guide Gods, a performance exploring power, punishment and how world faiths view deafness and disability). It may be worth noting that Foucault’s work in </w:t>
      </w:r>
      <w:r w:rsidRPr="007B21EE">
        <w:rPr>
          <w:rFonts w:asciiTheme="majorHAnsi" w:hAnsiTheme="majorHAnsi"/>
          <w:i/>
          <w:sz w:val="22"/>
          <w:szCs w:val="22"/>
        </w:rPr>
        <w:t xml:space="preserve">Madness and Civilization </w:t>
      </w:r>
      <w:r w:rsidRPr="007B21EE">
        <w:rPr>
          <w:rFonts w:asciiTheme="majorHAnsi" w:hAnsiTheme="majorHAnsi"/>
          <w:sz w:val="22"/>
          <w:szCs w:val="22"/>
        </w:rPr>
        <w:t>knows as many supporters as it has detractors. Indeed, his work on mental illness and disability has been the subject of great controversies for many considered that his thesis, though compelling, suffered from many historical inaccuracies (Still and Velody 1992; Roudinesco et al. 1992; Torrey and Miller 2001:303).</w:t>
      </w:r>
    </w:p>
  </w:footnote>
  <w:footnote w:id="16">
    <w:p w14:paraId="17918AA0" w14:textId="77777777" w:rsidR="00527C41" w:rsidRPr="007B21EE" w:rsidRDefault="00527C41" w:rsidP="007B21EE">
      <w:pPr>
        <w:pStyle w:val="ColorfulList-Accent11"/>
        <w:ind w:left="0"/>
        <w:jc w:val="both"/>
        <w:rPr>
          <w:rFonts w:asciiTheme="majorHAnsi" w:hAnsiTheme="majorHAnsi"/>
          <w:sz w:val="22"/>
          <w:szCs w:val="22"/>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w:t>
      </w:r>
      <w:r w:rsidRPr="007B21EE">
        <w:rPr>
          <w:rFonts w:asciiTheme="majorHAnsi" w:hAnsiTheme="majorHAnsi"/>
          <w:i/>
          <w:sz w:val="22"/>
          <w:szCs w:val="22"/>
        </w:rPr>
        <w:t>Husayn v Poland</w:t>
      </w:r>
      <w:r w:rsidRPr="007B21EE">
        <w:rPr>
          <w:rFonts w:asciiTheme="majorHAnsi" w:hAnsiTheme="majorHAnsi"/>
          <w:sz w:val="22"/>
          <w:szCs w:val="22"/>
        </w:rPr>
        <w:t xml:space="preserve"> (2015) 60 EHRR 16 (ECtHR).  See also </w:t>
      </w:r>
      <w:r w:rsidRPr="007B21EE">
        <w:rPr>
          <w:rFonts w:asciiTheme="majorHAnsi" w:hAnsiTheme="majorHAnsi"/>
          <w:i/>
          <w:sz w:val="22"/>
          <w:szCs w:val="22"/>
        </w:rPr>
        <w:t>Dickson v UK</w:t>
      </w:r>
      <w:r w:rsidRPr="007B21EE">
        <w:rPr>
          <w:rFonts w:asciiTheme="majorHAnsi" w:hAnsiTheme="majorHAnsi"/>
          <w:sz w:val="22"/>
          <w:szCs w:val="22"/>
        </w:rPr>
        <w:t xml:space="preserve"> (2008) 46 EHRR 41 (Grand Chamber).</w:t>
      </w:r>
    </w:p>
  </w:footnote>
  <w:footnote w:id="17">
    <w:p w14:paraId="457FDB84" w14:textId="77777777" w:rsidR="00527C41" w:rsidRPr="007B21EE" w:rsidRDefault="00527C41" w:rsidP="007B21EE">
      <w:pPr>
        <w:pStyle w:val="ColorfulList-Accent11"/>
        <w:ind w:left="0"/>
        <w:jc w:val="both"/>
        <w:rPr>
          <w:rFonts w:asciiTheme="majorHAnsi" w:hAnsiTheme="majorHAnsi"/>
          <w:sz w:val="22"/>
          <w:szCs w:val="22"/>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It must impose on them in a limited way and the idea of proportionality is important. Section 4 of the Act outlines the multiple elements of the best interests test, and an examination of the jurisprudence in this area underlines the importance of physical integrity when applying this test. On this see </w:t>
      </w:r>
      <w:r w:rsidRPr="007B21EE">
        <w:rPr>
          <w:rFonts w:asciiTheme="majorHAnsi" w:hAnsiTheme="majorHAnsi"/>
          <w:i/>
          <w:sz w:val="22"/>
          <w:szCs w:val="22"/>
        </w:rPr>
        <w:t>A Local Authority v K</w:t>
      </w:r>
      <w:r w:rsidRPr="007B21EE">
        <w:rPr>
          <w:rFonts w:asciiTheme="majorHAnsi" w:hAnsiTheme="majorHAnsi"/>
          <w:sz w:val="22"/>
          <w:szCs w:val="22"/>
        </w:rPr>
        <w:t xml:space="preserve"> [2013] EWCOP 242 (Fam), </w:t>
      </w:r>
      <w:r w:rsidRPr="007B21EE">
        <w:rPr>
          <w:rFonts w:asciiTheme="majorHAnsi" w:hAnsiTheme="majorHAnsi"/>
          <w:i/>
          <w:sz w:val="22"/>
          <w:szCs w:val="22"/>
        </w:rPr>
        <w:t>Aintree University Hospital NHS Foundation Trust v James</w:t>
      </w:r>
      <w:r w:rsidRPr="007B21EE">
        <w:rPr>
          <w:rFonts w:asciiTheme="majorHAnsi" w:hAnsiTheme="majorHAnsi"/>
          <w:sz w:val="22"/>
          <w:szCs w:val="22"/>
        </w:rPr>
        <w:t xml:space="preserve"> [2013] 3 WLR 1299 (SC), and </w:t>
      </w:r>
      <w:r w:rsidRPr="007B21EE">
        <w:rPr>
          <w:rFonts w:asciiTheme="majorHAnsi" w:hAnsiTheme="majorHAnsi"/>
          <w:i/>
          <w:sz w:val="22"/>
          <w:szCs w:val="22"/>
        </w:rPr>
        <w:t>Mental Health Trust and others v DD</w:t>
      </w:r>
      <w:r w:rsidRPr="007B21EE">
        <w:rPr>
          <w:rFonts w:asciiTheme="majorHAnsi" w:hAnsiTheme="majorHAnsi"/>
          <w:sz w:val="22"/>
          <w:szCs w:val="22"/>
        </w:rPr>
        <w:t xml:space="preserve"> [2015] EWCOP 4 (Fam).</w:t>
      </w:r>
    </w:p>
  </w:footnote>
  <w:footnote w:id="18">
    <w:p w14:paraId="5515240E" w14:textId="77777777" w:rsidR="00527C41" w:rsidRPr="00D061CE" w:rsidRDefault="00527C41" w:rsidP="007B21EE">
      <w:pPr>
        <w:shd w:val="clear" w:color="auto" w:fill="FFFFFF"/>
        <w:spacing w:line="240" w:lineRule="atLeast"/>
        <w:jc w:val="both"/>
        <w:rPr>
          <w:rFonts w:asciiTheme="majorHAnsi" w:eastAsia="Times New Roman" w:hAnsiTheme="majorHAnsi" w:cs="Arial"/>
          <w:sz w:val="22"/>
          <w:szCs w:val="22"/>
          <w:lang w:val="en-GB" w:eastAsia="en-GB"/>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The Article 15(a) of the ICESCR imposes on states a right for individuals to take part in cultural life; whilst Article 15(2) also requires that they implement measures to develop and diffuse culture. See also the appointment and activities of United Nations Special Rapporteur in the field of cultural rights: OHCHR [n.d.] Cultural Rights. Available from: </w:t>
      </w:r>
      <w:hyperlink r:id="rId3" w:history="1">
        <w:r w:rsidRPr="007B21EE">
          <w:rPr>
            <w:rStyle w:val="Hyperlink"/>
            <w:rFonts w:asciiTheme="majorHAnsi" w:hAnsiTheme="majorHAnsi"/>
            <w:color w:val="auto"/>
            <w:sz w:val="22"/>
            <w:szCs w:val="22"/>
          </w:rPr>
          <w:t>http://www.ohchr.org/EN/Issues/CulturalRights/Pages/SRCulturalRightsIndex.aspx</w:t>
        </w:r>
      </w:hyperlink>
      <w:r w:rsidRPr="007B21EE">
        <w:rPr>
          <w:rFonts w:asciiTheme="majorHAnsi" w:hAnsiTheme="majorHAnsi"/>
          <w:sz w:val="22"/>
          <w:szCs w:val="22"/>
        </w:rPr>
        <w:t xml:space="preserve"> [Accessed 27 April 2016]; and the report of the Special Rapporteur on the rights of persons with disabilities : United Nation</w:t>
      </w:r>
      <w:r>
        <w:rPr>
          <w:rFonts w:asciiTheme="majorHAnsi" w:hAnsiTheme="majorHAnsi"/>
          <w:sz w:val="22"/>
          <w:szCs w:val="22"/>
        </w:rPr>
        <w:t>s</w:t>
      </w:r>
      <w:r w:rsidRPr="007B21EE">
        <w:rPr>
          <w:rFonts w:asciiTheme="majorHAnsi" w:hAnsiTheme="majorHAnsi"/>
          <w:sz w:val="22"/>
          <w:szCs w:val="22"/>
        </w:rPr>
        <w:t xml:space="preserve">, Devandas-Aguilar, C. (ed.) (2015) </w:t>
      </w:r>
      <w:r w:rsidRPr="007B21EE">
        <w:rPr>
          <w:rStyle w:val="HChGChar"/>
          <w:rFonts w:asciiTheme="majorHAnsi" w:eastAsia="MS Mincho" w:hAnsiTheme="majorHAnsi"/>
          <w:b w:val="0"/>
          <w:sz w:val="22"/>
          <w:szCs w:val="22"/>
        </w:rPr>
        <w:t xml:space="preserve">Report of the Special Rapporteur </w:t>
      </w:r>
      <w:r w:rsidRPr="007B21EE">
        <w:rPr>
          <w:rFonts w:asciiTheme="majorHAnsi" w:hAnsiTheme="majorHAnsi"/>
          <w:sz w:val="22"/>
          <w:szCs w:val="22"/>
        </w:rPr>
        <w:t>on the rights of persons with disabilities. UN General Assembly. Human Rights Council. 28</w:t>
      </w:r>
      <w:r w:rsidRPr="007B21EE">
        <w:rPr>
          <w:rFonts w:asciiTheme="majorHAnsi" w:hAnsiTheme="majorHAnsi"/>
          <w:sz w:val="22"/>
          <w:szCs w:val="22"/>
          <w:vertAlign w:val="superscript"/>
        </w:rPr>
        <w:t>th</w:t>
      </w:r>
      <w:r w:rsidRPr="007B21EE">
        <w:rPr>
          <w:rFonts w:asciiTheme="majorHAnsi" w:hAnsiTheme="majorHAnsi"/>
          <w:sz w:val="22"/>
          <w:szCs w:val="22"/>
        </w:rPr>
        <w:t xml:space="preserve"> session. A/HRC/28/58. Available from: &lt;</w:t>
      </w:r>
      <w:r w:rsidRPr="007B21EE">
        <w:rPr>
          <w:rStyle w:val="HTMLCite"/>
          <w:rFonts w:asciiTheme="majorHAnsi" w:hAnsiTheme="majorHAnsi" w:cs="Arial"/>
          <w:i w:val="0"/>
          <w:iCs w:val="0"/>
          <w:sz w:val="22"/>
          <w:szCs w:val="22"/>
        </w:rPr>
        <w:t xml:space="preserve"> </w:t>
      </w:r>
      <w:hyperlink r:id="rId4" w:history="1">
        <w:r w:rsidRPr="007B21EE">
          <w:rPr>
            <w:rStyle w:val="Hyperlink"/>
            <w:rFonts w:asciiTheme="majorHAnsi" w:eastAsia="Times New Roman" w:hAnsiTheme="majorHAnsi" w:cs="Arial"/>
            <w:color w:val="auto"/>
            <w:sz w:val="22"/>
            <w:szCs w:val="22"/>
            <w:lang w:val="en-GB" w:eastAsia="en-GB"/>
          </w:rPr>
          <w:t>www.ohchr.org/EN/HRBodies/</w:t>
        </w:r>
        <w:r w:rsidRPr="007B21EE">
          <w:rPr>
            <w:rStyle w:val="Hyperlink"/>
            <w:rFonts w:asciiTheme="majorHAnsi" w:eastAsia="Times New Roman" w:hAnsiTheme="majorHAnsi" w:cs="Arial"/>
            <w:bCs/>
            <w:color w:val="auto"/>
            <w:sz w:val="22"/>
            <w:szCs w:val="22"/>
            <w:lang w:val="en-GB" w:eastAsia="en-GB"/>
          </w:rPr>
          <w:t>HRC</w:t>
        </w:r>
        <w:r w:rsidRPr="007B21EE">
          <w:rPr>
            <w:rStyle w:val="Hyperlink"/>
            <w:rFonts w:asciiTheme="majorHAnsi" w:eastAsia="Times New Roman" w:hAnsiTheme="majorHAnsi" w:cs="Arial"/>
            <w:color w:val="auto"/>
            <w:sz w:val="22"/>
            <w:szCs w:val="22"/>
            <w:lang w:val="en-GB" w:eastAsia="en-GB"/>
          </w:rPr>
          <w:t>/.../A_</w:t>
        </w:r>
        <w:r w:rsidRPr="007B21EE">
          <w:rPr>
            <w:rStyle w:val="Hyperlink"/>
            <w:rFonts w:asciiTheme="majorHAnsi" w:eastAsia="Times New Roman" w:hAnsiTheme="majorHAnsi" w:cs="Arial"/>
            <w:bCs/>
            <w:color w:val="auto"/>
            <w:sz w:val="22"/>
            <w:szCs w:val="22"/>
            <w:lang w:val="en-GB" w:eastAsia="en-GB"/>
          </w:rPr>
          <w:t>HRC</w:t>
        </w:r>
        <w:r w:rsidRPr="007B21EE">
          <w:rPr>
            <w:rStyle w:val="Hyperlink"/>
            <w:rFonts w:asciiTheme="majorHAnsi" w:eastAsia="Times New Roman" w:hAnsiTheme="majorHAnsi" w:cs="Arial"/>
            <w:color w:val="auto"/>
            <w:sz w:val="22"/>
            <w:szCs w:val="22"/>
            <w:lang w:val="en-GB" w:eastAsia="en-GB"/>
          </w:rPr>
          <w:t>_</w:t>
        </w:r>
        <w:r w:rsidRPr="007B21EE">
          <w:rPr>
            <w:rStyle w:val="Hyperlink"/>
            <w:rFonts w:asciiTheme="majorHAnsi" w:eastAsia="Times New Roman" w:hAnsiTheme="majorHAnsi" w:cs="Arial"/>
            <w:bCs/>
            <w:color w:val="auto"/>
            <w:sz w:val="22"/>
            <w:szCs w:val="22"/>
            <w:lang w:val="en-GB" w:eastAsia="en-GB"/>
          </w:rPr>
          <w:t>28_58</w:t>
        </w:r>
        <w:r w:rsidRPr="007B21EE">
          <w:rPr>
            <w:rStyle w:val="Hyperlink"/>
            <w:rFonts w:asciiTheme="majorHAnsi" w:eastAsia="Times New Roman" w:hAnsiTheme="majorHAnsi" w:cs="Arial"/>
            <w:color w:val="auto"/>
            <w:sz w:val="22"/>
            <w:szCs w:val="22"/>
            <w:lang w:val="en-GB" w:eastAsia="en-GB"/>
          </w:rPr>
          <w:t>_E.doc</w:t>
        </w:r>
      </w:hyperlink>
      <w:r w:rsidRPr="007B21EE">
        <w:rPr>
          <w:rFonts w:asciiTheme="majorHAnsi" w:eastAsia="Times New Roman" w:hAnsiTheme="majorHAnsi" w:cs="Arial"/>
          <w:sz w:val="22"/>
          <w:szCs w:val="22"/>
          <w:lang w:val="en-GB" w:eastAsia="en-GB"/>
        </w:rPr>
        <w:t xml:space="preserve">&gt; [Accessed 27 April 2016]. </w:t>
      </w:r>
    </w:p>
    <w:p w14:paraId="27150368" w14:textId="77777777" w:rsidR="00527C41" w:rsidRPr="007B21EE" w:rsidRDefault="00527C41" w:rsidP="007B21EE">
      <w:pPr>
        <w:jc w:val="both"/>
        <w:rPr>
          <w:rFonts w:asciiTheme="majorHAnsi" w:hAnsiTheme="majorHAnsi"/>
          <w:sz w:val="22"/>
          <w:szCs w:val="22"/>
          <w:lang w:val="en-GB"/>
        </w:rPr>
      </w:pPr>
      <w:r w:rsidRPr="007B21EE">
        <w:rPr>
          <w:rFonts w:asciiTheme="majorHAnsi" w:eastAsia="Times New Roman" w:hAnsiTheme="majorHAnsi" w:cs="Arial"/>
          <w:sz w:val="22"/>
          <w:szCs w:val="22"/>
          <w:shd w:val="clear" w:color="auto" w:fill="FFFFFF"/>
          <w:lang w:val="en-GB" w:eastAsia="en-GB"/>
        </w:rPr>
        <w:br/>
      </w:r>
    </w:p>
  </w:footnote>
  <w:footnote w:id="19">
    <w:p w14:paraId="6C3069D8" w14:textId="6ADC5759" w:rsidR="00527C41" w:rsidRPr="007B21EE" w:rsidRDefault="00527C41" w:rsidP="007B21EE">
      <w:pPr>
        <w:pStyle w:val="FootnoteText"/>
        <w:jc w:val="both"/>
        <w:rPr>
          <w:rFonts w:asciiTheme="majorHAnsi" w:hAnsiTheme="majorHAnsi"/>
          <w:sz w:val="22"/>
          <w:szCs w:val="22"/>
        </w:rPr>
      </w:pPr>
      <w:r w:rsidRPr="0049175B">
        <w:rPr>
          <w:rStyle w:val="FootnoteReference"/>
          <w:rFonts w:asciiTheme="majorHAnsi" w:hAnsiTheme="majorHAnsi"/>
          <w:sz w:val="22"/>
          <w:szCs w:val="22"/>
        </w:rPr>
        <w:footnoteRef/>
      </w:r>
      <w:r w:rsidRPr="0049175B">
        <w:rPr>
          <w:rFonts w:asciiTheme="majorHAnsi" w:hAnsiTheme="majorHAnsi"/>
          <w:sz w:val="22"/>
          <w:szCs w:val="22"/>
        </w:rPr>
        <w:t xml:space="preserve"> </w:t>
      </w:r>
      <w:r w:rsidRPr="00D35AD6">
        <w:rPr>
          <w:rFonts w:asciiTheme="majorHAnsi" w:hAnsiTheme="majorHAnsi"/>
          <w:sz w:val="22"/>
          <w:szCs w:val="22"/>
        </w:rPr>
        <w:t xml:space="preserve">The argument that Spinoza saw little place for the visual arts from the perspective of developing truth, as he considered them to be overly focussed on the mind and words is challenged from the perspective of experiential art (Cimini 2015; Calder 2015). </w:t>
      </w:r>
    </w:p>
  </w:footnote>
  <w:footnote w:id="20">
    <w:p w14:paraId="18598519" w14:textId="456D8462" w:rsidR="00527C41" w:rsidRPr="007B21EE" w:rsidRDefault="00527C41" w:rsidP="007B21EE">
      <w:pPr>
        <w:pStyle w:val="FootnoteText"/>
        <w:jc w:val="both"/>
        <w:rPr>
          <w:rFonts w:asciiTheme="majorHAnsi" w:hAnsiTheme="majorHAnsi"/>
          <w:sz w:val="22"/>
          <w:szCs w:val="22"/>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During the course of our ethnographic observations, Caroline </w:t>
      </w:r>
      <w:r>
        <w:rPr>
          <w:rFonts w:asciiTheme="majorHAnsi" w:hAnsiTheme="majorHAnsi"/>
          <w:sz w:val="22"/>
          <w:szCs w:val="22"/>
        </w:rPr>
        <w:t xml:space="preserve">Bowditch </w:t>
      </w:r>
      <w:r w:rsidRPr="007B21EE">
        <w:rPr>
          <w:rFonts w:asciiTheme="majorHAnsi" w:hAnsiTheme="majorHAnsi"/>
          <w:sz w:val="22"/>
          <w:szCs w:val="22"/>
        </w:rPr>
        <w:t>asked all present, including the researchers, to write a letter to our bodies. It was a powerful and emotional exercise, and we all clearly felt that we had some broken aspects of our body. This undermines the normative and the whole/broken dichotomy. Feeling whole is more about having a feeling of physical integrity, which encompasses a sense that one is able to ‘flourish and find identity as an individual’.</w:t>
      </w:r>
    </w:p>
  </w:footnote>
  <w:footnote w:id="21">
    <w:p w14:paraId="3D53CCD9" w14:textId="157C6DB5" w:rsidR="00527C41" w:rsidRPr="007B21EE" w:rsidRDefault="00527C41" w:rsidP="007B21EE">
      <w:pPr>
        <w:pStyle w:val="FootnoteText"/>
        <w:jc w:val="both"/>
        <w:rPr>
          <w:rFonts w:asciiTheme="majorHAnsi" w:hAnsiTheme="majorHAnsi"/>
          <w:sz w:val="22"/>
          <w:szCs w:val="22"/>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For example, Caroline</w:t>
      </w:r>
      <w:r>
        <w:rPr>
          <w:rFonts w:asciiTheme="majorHAnsi" w:hAnsiTheme="majorHAnsi"/>
          <w:sz w:val="22"/>
          <w:szCs w:val="22"/>
        </w:rPr>
        <w:t xml:space="preserve"> Bowditch</w:t>
      </w:r>
      <w:r w:rsidRPr="007B21EE">
        <w:rPr>
          <w:rFonts w:asciiTheme="majorHAnsi" w:hAnsiTheme="majorHAnsi"/>
          <w:sz w:val="22"/>
          <w:szCs w:val="22"/>
        </w:rPr>
        <w:t>, one of our dance collaborators, reported that she feels ‘whole’ without the mechanized chair that she uses to get around. Similarly, Welly, another collaborator, reported using her leg for purely functional purposes, and setting it aside when she danced.</w:t>
      </w:r>
    </w:p>
  </w:footnote>
  <w:footnote w:id="22">
    <w:p w14:paraId="52E68695" w14:textId="77777777" w:rsidR="00527C41" w:rsidRPr="007B21EE" w:rsidRDefault="00527C41" w:rsidP="007B21EE">
      <w:pPr>
        <w:pStyle w:val="FootnoteText"/>
        <w:jc w:val="both"/>
        <w:rPr>
          <w:rFonts w:asciiTheme="majorHAnsi" w:hAnsiTheme="majorHAnsi"/>
          <w:sz w:val="22"/>
          <w:szCs w:val="22"/>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w:t>
      </w:r>
      <w:r w:rsidRPr="007B21EE">
        <w:rPr>
          <w:rFonts w:asciiTheme="majorHAnsi" w:hAnsiTheme="majorHAnsi" w:cs="Georgia"/>
          <w:sz w:val="22"/>
          <w:szCs w:val="22"/>
        </w:rPr>
        <w:t>It is also about broadening the general understanding of ‘dance’. For some the word ‘dance’ signals a ballet aesthetic. Acknowledging and honouring the difference in bodies and that each have physical integrity. An emphasis on integrity, and the foregrounding of the dancer’s physical integrity, will encourage this shift in attitude and environment. The artists that we worked with already embrace the idea of physical integrity, dismissing disability as something that ‘simply exists’, not hidden or accentuated.</w:t>
      </w:r>
    </w:p>
  </w:footnote>
  <w:footnote w:id="23">
    <w:p w14:paraId="70C5F597" w14:textId="77777777" w:rsidR="00527C41" w:rsidRPr="007B21EE" w:rsidRDefault="00527C41" w:rsidP="007B21EE">
      <w:pPr>
        <w:pStyle w:val="FootnoteText"/>
        <w:widowControl w:val="0"/>
        <w:jc w:val="both"/>
        <w:rPr>
          <w:rFonts w:asciiTheme="majorHAnsi" w:hAnsiTheme="majorHAnsi"/>
          <w:sz w:val="22"/>
          <w:szCs w:val="22"/>
        </w:rPr>
      </w:pPr>
      <w:r w:rsidRPr="007B21EE">
        <w:rPr>
          <w:rStyle w:val="FootnoteReference"/>
          <w:rFonts w:asciiTheme="majorHAnsi" w:hAnsiTheme="majorHAnsi"/>
          <w:sz w:val="22"/>
          <w:szCs w:val="22"/>
        </w:rPr>
        <w:footnoteRef/>
      </w:r>
      <w:r w:rsidRPr="007B21EE">
        <w:rPr>
          <w:rFonts w:asciiTheme="majorHAnsi" w:hAnsiTheme="majorHAnsi"/>
          <w:sz w:val="22"/>
          <w:szCs w:val="22"/>
        </w:rPr>
        <w:t xml:space="preserve"> </w:t>
      </w:r>
      <w:r w:rsidRPr="007B21EE">
        <w:rPr>
          <w:rFonts w:asciiTheme="majorHAnsi" w:hAnsiTheme="majorHAnsi"/>
          <w:sz w:val="22"/>
          <w:szCs w:val="22"/>
        </w:rPr>
        <w:tab/>
        <w:t>Funders should also encourage the adoption of such steps. There are already a number of innovative research projects in the UK that seek to understand audience engagement with dance &lt;</w:t>
      </w:r>
      <w:hyperlink r:id="rId5" w:history="1">
        <w:r w:rsidRPr="007B21EE">
          <w:rPr>
            <w:rStyle w:val="Hyperlink"/>
            <w:rFonts w:asciiTheme="majorHAnsi" w:hAnsiTheme="majorHAnsi"/>
            <w:color w:val="auto"/>
            <w:sz w:val="22"/>
            <w:szCs w:val="22"/>
          </w:rPr>
          <w:t>http://www.watchingdance.org</w:t>
        </w:r>
      </w:hyperlink>
      <w:r w:rsidRPr="007B21EE">
        <w:rPr>
          <w:rFonts w:asciiTheme="majorHAnsi" w:hAnsiTheme="majorHAnsi"/>
          <w:sz w:val="22"/>
          <w:szCs w:val="22"/>
        </w:rPr>
        <w:t>&gt; (accessed 27 April 2016)); &lt;</w:t>
      </w:r>
      <w:hyperlink r:id="rId6" w:history="1">
        <w:r w:rsidRPr="007B21EE">
          <w:rPr>
            <w:rStyle w:val="Hyperlink"/>
            <w:rFonts w:asciiTheme="majorHAnsi" w:hAnsiTheme="majorHAnsi"/>
            <w:color w:val="auto"/>
            <w:sz w:val="22"/>
            <w:szCs w:val="22"/>
          </w:rPr>
          <w:t>http://culturehive.co.uk</w:t>
        </w:r>
      </w:hyperlink>
      <w:r w:rsidRPr="007B21EE">
        <w:rPr>
          <w:rFonts w:asciiTheme="majorHAnsi" w:hAnsiTheme="majorHAnsi"/>
          <w:sz w:val="22"/>
          <w:szCs w:val="22"/>
        </w:rPr>
        <w:t>&gt; (accessed 27 April 2016); &lt;</w:t>
      </w:r>
      <w:hyperlink r:id="rId7" w:history="1">
        <w:r w:rsidRPr="007B21EE">
          <w:rPr>
            <w:rStyle w:val="Hyperlink"/>
            <w:rFonts w:asciiTheme="majorHAnsi" w:hAnsiTheme="majorHAnsi"/>
            <w:color w:val="auto"/>
            <w:sz w:val="22"/>
            <w:szCs w:val="22"/>
          </w:rPr>
          <w:t>http://www.respondto.org</w:t>
        </w:r>
      </w:hyperlink>
      <w:r w:rsidRPr="007B21EE">
        <w:rPr>
          <w:rFonts w:asciiTheme="majorHAnsi" w:hAnsiTheme="majorHAnsi"/>
          <w:sz w:val="22"/>
          <w:szCs w:val="22"/>
        </w:rPr>
        <w:t xml:space="preserve">&gt; [accessed 25 July 2014]. There are signs that the Arts Council is starting to take this seriously as was made clear by Peter Bazalgette, chairman on the Arts Council England who wants arts organisation to make more progress with audience, programme and workforce diversity or risk having their funding axed.  See </w:t>
      </w:r>
      <w:hyperlink r:id="rId8" w:history="1">
        <w:r w:rsidRPr="007B21EE">
          <w:rPr>
            <w:rStyle w:val="Hyperlink"/>
            <w:rFonts w:asciiTheme="majorHAnsi" w:hAnsiTheme="majorHAnsi"/>
            <w:color w:val="auto"/>
            <w:sz w:val="22"/>
            <w:szCs w:val="22"/>
          </w:rPr>
          <w:t>http://www.theguardian.com/uk-news/2014/dec/08/arts-council-england-make-progress-diversity-funding-axed-bazalgette?CMP=share_btn_fb</w:t>
        </w:r>
      </w:hyperlink>
      <w:r w:rsidRPr="007B21EE">
        <w:rPr>
          <w:rFonts w:asciiTheme="majorHAnsi" w:hAnsiTheme="majorHAnsi"/>
          <w:sz w:val="22"/>
          <w:szCs w:val="22"/>
        </w:rPr>
        <w:t xml:space="preserve"> (accessed 27 April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B84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16949"/>
    <w:multiLevelType w:val="hybridMultilevel"/>
    <w:tmpl w:val="EA8EDD54"/>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 w15:restartNumberingAfterBreak="0">
    <w:nsid w:val="0632695A"/>
    <w:multiLevelType w:val="hybridMultilevel"/>
    <w:tmpl w:val="BDEE0BB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96BE1"/>
    <w:multiLevelType w:val="hybridMultilevel"/>
    <w:tmpl w:val="606A3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95CEF"/>
    <w:multiLevelType w:val="hybridMultilevel"/>
    <w:tmpl w:val="EE9EC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1733EC"/>
    <w:multiLevelType w:val="hybridMultilevel"/>
    <w:tmpl w:val="40321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CC5692"/>
    <w:multiLevelType w:val="hybridMultilevel"/>
    <w:tmpl w:val="3F5A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A66B6"/>
    <w:multiLevelType w:val="hybridMultilevel"/>
    <w:tmpl w:val="32E6E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AD3A33"/>
    <w:multiLevelType w:val="hybridMultilevel"/>
    <w:tmpl w:val="0F96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A0F59"/>
    <w:multiLevelType w:val="multilevel"/>
    <w:tmpl w:val="DABC0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2A5321"/>
    <w:multiLevelType w:val="hybridMultilevel"/>
    <w:tmpl w:val="A8A6865A"/>
    <w:lvl w:ilvl="0" w:tplc="F3663BEE">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7A13F4F"/>
    <w:multiLevelType w:val="hybridMultilevel"/>
    <w:tmpl w:val="DBAE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0"/>
  </w:num>
  <w:num w:numId="5">
    <w:abstractNumId w:val="8"/>
  </w:num>
  <w:num w:numId="6">
    <w:abstractNumId w:val="3"/>
  </w:num>
  <w:num w:numId="7">
    <w:abstractNumId w:val="6"/>
  </w:num>
  <w:num w:numId="8">
    <w:abstractNumId w:val="1"/>
  </w:num>
  <w:num w:numId="9">
    <w:abstractNumId w:val="5"/>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5C"/>
    <w:rsid w:val="00006BE7"/>
    <w:rsid w:val="000115BA"/>
    <w:rsid w:val="00021EC7"/>
    <w:rsid w:val="00062079"/>
    <w:rsid w:val="00066860"/>
    <w:rsid w:val="00076071"/>
    <w:rsid w:val="000A5B6C"/>
    <w:rsid w:val="000D0C63"/>
    <w:rsid w:val="000D31B0"/>
    <w:rsid w:val="000D780D"/>
    <w:rsid w:val="000E053C"/>
    <w:rsid w:val="000E6ABE"/>
    <w:rsid w:val="000F6BCF"/>
    <w:rsid w:val="0010144C"/>
    <w:rsid w:val="0010559D"/>
    <w:rsid w:val="00110811"/>
    <w:rsid w:val="00114633"/>
    <w:rsid w:val="00145CAD"/>
    <w:rsid w:val="0015296B"/>
    <w:rsid w:val="00176A73"/>
    <w:rsid w:val="00180579"/>
    <w:rsid w:val="00183F77"/>
    <w:rsid w:val="001D127C"/>
    <w:rsid w:val="001D6A37"/>
    <w:rsid w:val="001E18A1"/>
    <w:rsid w:val="001E4595"/>
    <w:rsid w:val="001E5A04"/>
    <w:rsid w:val="001F27F4"/>
    <w:rsid w:val="00222585"/>
    <w:rsid w:val="00231240"/>
    <w:rsid w:val="00237575"/>
    <w:rsid w:val="00282902"/>
    <w:rsid w:val="002B3BF3"/>
    <w:rsid w:val="002D339F"/>
    <w:rsid w:val="002F00C7"/>
    <w:rsid w:val="00301EDF"/>
    <w:rsid w:val="0031541E"/>
    <w:rsid w:val="00315BCE"/>
    <w:rsid w:val="003239D1"/>
    <w:rsid w:val="00336809"/>
    <w:rsid w:val="00341D59"/>
    <w:rsid w:val="003460CC"/>
    <w:rsid w:val="00363A9E"/>
    <w:rsid w:val="00374879"/>
    <w:rsid w:val="003B28E2"/>
    <w:rsid w:val="003F1248"/>
    <w:rsid w:val="0040118F"/>
    <w:rsid w:val="004045D0"/>
    <w:rsid w:val="0041630D"/>
    <w:rsid w:val="0043081F"/>
    <w:rsid w:val="0044551C"/>
    <w:rsid w:val="00451C49"/>
    <w:rsid w:val="0045272E"/>
    <w:rsid w:val="004916AD"/>
    <w:rsid w:val="0049175B"/>
    <w:rsid w:val="004969A9"/>
    <w:rsid w:val="004B1E28"/>
    <w:rsid w:val="004B5972"/>
    <w:rsid w:val="004B5BFE"/>
    <w:rsid w:val="004C5F24"/>
    <w:rsid w:val="004C7B58"/>
    <w:rsid w:val="004D5993"/>
    <w:rsid w:val="00500520"/>
    <w:rsid w:val="00507165"/>
    <w:rsid w:val="00513D06"/>
    <w:rsid w:val="00517A26"/>
    <w:rsid w:val="00523FA2"/>
    <w:rsid w:val="00527C41"/>
    <w:rsid w:val="005374C2"/>
    <w:rsid w:val="005546C2"/>
    <w:rsid w:val="0056062E"/>
    <w:rsid w:val="00560652"/>
    <w:rsid w:val="0056321B"/>
    <w:rsid w:val="005737D4"/>
    <w:rsid w:val="00584DDC"/>
    <w:rsid w:val="005956C9"/>
    <w:rsid w:val="005A2B11"/>
    <w:rsid w:val="005B5DA1"/>
    <w:rsid w:val="005C4458"/>
    <w:rsid w:val="005C4A44"/>
    <w:rsid w:val="005C664B"/>
    <w:rsid w:val="005F7743"/>
    <w:rsid w:val="005F78F8"/>
    <w:rsid w:val="005F791C"/>
    <w:rsid w:val="00604657"/>
    <w:rsid w:val="00623E81"/>
    <w:rsid w:val="00641EA6"/>
    <w:rsid w:val="00647CF9"/>
    <w:rsid w:val="00663D0B"/>
    <w:rsid w:val="006652D7"/>
    <w:rsid w:val="00673480"/>
    <w:rsid w:val="006D7A80"/>
    <w:rsid w:val="006E1BA6"/>
    <w:rsid w:val="006E6C7D"/>
    <w:rsid w:val="006F012C"/>
    <w:rsid w:val="006F1E3F"/>
    <w:rsid w:val="00704CEF"/>
    <w:rsid w:val="00705B83"/>
    <w:rsid w:val="007111D3"/>
    <w:rsid w:val="0073017F"/>
    <w:rsid w:val="00742F55"/>
    <w:rsid w:val="00767FAF"/>
    <w:rsid w:val="00777CC7"/>
    <w:rsid w:val="00790DBE"/>
    <w:rsid w:val="0079183C"/>
    <w:rsid w:val="007A5638"/>
    <w:rsid w:val="007B21EE"/>
    <w:rsid w:val="007D241C"/>
    <w:rsid w:val="007E5207"/>
    <w:rsid w:val="007E7EB7"/>
    <w:rsid w:val="007F1E2E"/>
    <w:rsid w:val="007F6D8E"/>
    <w:rsid w:val="00811BDE"/>
    <w:rsid w:val="00880380"/>
    <w:rsid w:val="008845A6"/>
    <w:rsid w:val="00885D0A"/>
    <w:rsid w:val="008B47FD"/>
    <w:rsid w:val="008C4F5B"/>
    <w:rsid w:val="008F5D62"/>
    <w:rsid w:val="009136DA"/>
    <w:rsid w:val="0095297F"/>
    <w:rsid w:val="00962493"/>
    <w:rsid w:val="009672F5"/>
    <w:rsid w:val="00974766"/>
    <w:rsid w:val="00980732"/>
    <w:rsid w:val="009C525A"/>
    <w:rsid w:val="009D2FE3"/>
    <w:rsid w:val="009D4AAC"/>
    <w:rsid w:val="009D4ED3"/>
    <w:rsid w:val="009E555F"/>
    <w:rsid w:val="00A239C5"/>
    <w:rsid w:val="00A23E25"/>
    <w:rsid w:val="00A6353A"/>
    <w:rsid w:val="00A730DA"/>
    <w:rsid w:val="00A77D7A"/>
    <w:rsid w:val="00A84E6E"/>
    <w:rsid w:val="00A86178"/>
    <w:rsid w:val="00AD7678"/>
    <w:rsid w:val="00AE636A"/>
    <w:rsid w:val="00B054B2"/>
    <w:rsid w:val="00B222FD"/>
    <w:rsid w:val="00B23F90"/>
    <w:rsid w:val="00B251CF"/>
    <w:rsid w:val="00B31C77"/>
    <w:rsid w:val="00B376D2"/>
    <w:rsid w:val="00B40842"/>
    <w:rsid w:val="00B4538B"/>
    <w:rsid w:val="00B609AB"/>
    <w:rsid w:val="00B756B4"/>
    <w:rsid w:val="00B92940"/>
    <w:rsid w:val="00B929A6"/>
    <w:rsid w:val="00BC0252"/>
    <w:rsid w:val="00BC2488"/>
    <w:rsid w:val="00BC4C74"/>
    <w:rsid w:val="00BE744A"/>
    <w:rsid w:val="00BF33DA"/>
    <w:rsid w:val="00BF71E0"/>
    <w:rsid w:val="00C37BC2"/>
    <w:rsid w:val="00C47CE8"/>
    <w:rsid w:val="00C50729"/>
    <w:rsid w:val="00C64B67"/>
    <w:rsid w:val="00CA72A7"/>
    <w:rsid w:val="00CE1762"/>
    <w:rsid w:val="00CF5753"/>
    <w:rsid w:val="00D061CE"/>
    <w:rsid w:val="00D1626A"/>
    <w:rsid w:val="00D269F6"/>
    <w:rsid w:val="00D35AD6"/>
    <w:rsid w:val="00D51D3F"/>
    <w:rsid w:val="00D71022"/>
    <w:rsid w:val="00D775A5"/>
    <w:rsid w:val="00DA4FB8"/>
    <w:rsid w:val="00DA6934"/>
    <w:rsid w:val="00DB555C"/>
    <w:rsid w:val="00DC09E6"/>
    <w:rsid w:val="00DF1199"/>
    <w:rsid w:val="00E078D9"/>
    <w:rsid w:val="00E365B4"/>
    <w:rsid w:val="00E44B97"/>
    <w:rsid w:val="00E57C49"/>
    <w:rsid w:val="00E62EAC"/>
    <w:rsid w:val="00E74FB6"/>
    <w:rsid w:val="00E94634"/>
    <w:rsid w:val="00EA2B3F"/>
    <w:rsid w:val="00EB0257"/>
    <w:rsid w:val="00EB5DF5"/>
    <w:rsid w:val="00ED1D74"/>
    <w:rsid w:val="00EE3C67"/>
    <w:rsid w:val="00F22EE1"/>
    <w:rsid w:val="00F44937"/>
    <w:rsid w:val="00F45487"/>
    <w:rsid w:val="00F50975"/>
    <w:rsid w:val="00F7284E"/>
    <w:rsid w:val="00F80288"/>
    <w:rsid w:val="00F96074"/>
    <w:rsid w:val="00FA2FFD"/>
    <w:rsid w:val="00FB3ED1"/>
    <w:rsid w:val="00FD2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E0ECE"/>
  <w14:defaultImageDpi w14:val="300"/>
  <w15:docId w15:val="{6BE6AEF2-4367-44C3-A81D-081B8C10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55C"/>
    <w:rPr>
      <w:rFonts w:ascii="Cambria" w:eastAsia="MS Mincho" w:hAnsi="Cambria" w:cs="Times New Roman"/>
    </w:rPr>
  </w:style>
  <w:style w:type="paragraph" w:styleId="Heading2">
    <w:name w:val="heading 2"/>
    <w:basedOn w:val="Normal"/>
    <w:link w:val="Heading2Char"/>
    <w:uiPriority w:val="9"/>
    <w:qFormat/>
    <w:rsid w:val="00D061CE"/>
    <w:pPr>
      <w:spacing w:before="100" w:beforeAutospacing="1" w:after="100" w:afterAutospacing="1"/>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D061CE"/>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B555C"/>
    <w:pPr>
      <w:ind w:left="720"/>
      <w:contextualSpacing/>
    </w:pPr>
  </w:style>
  <w:style w:type="paragraph" w:styleId="FootnoteText">
    <w:name w:val="footnote text"/>
    <w:aliases w:val="ftx,ftx Char Char"/>
    <w:basedOn w:val="Normal"/>
    <w:link w:val="FootnoteTextChar"/>
    <w:uiPriority w:val="99"/>
    <w:unhideWhenUsed/>
    <w:rsid w:val="00DB555C"/>
    <w:rPr>
      <w:rFonts w:eastAsia="Cambria"/>
      <w:sz w:val="20"/>
      <w:szCs w:val="20"/>
      <w:lang w:val="en-GB"/>
    </w:rPr>
  </w:style>
  <w:style w:type="character" w:customStyle="1" w:styleId="FootnoteTextChar">
    <w:name w:val="Footnote Text Char"/>
    <w:aliases w:val="ftx Char,ftx Char Char Char"/>
    <w:basedOn w:val="DefaultParagraphFont"/>
    <w:link w:val="FootnoteText"/>
    <w:uiPriority w:val="99"/>
    <w:rsid w:val="00DB555C"/>
    <w:rPr>
      <w:rFonts w:ascii="Cambria" w:eastAsia="Cambria" w:hAnsi="Cambria" w:cs="Times New Roman"/>
      <w:sz w:val="20"/>
      <w:szCs w:val="20"/>
      <w:lang w:val="en-GB"/>
    </w:rPr>
  </w:style>
  <w:style w:type="character" w:styleId="FootnoteReference">
    <w:name w:val="footnote reference"/>
    <w:aliases w:val="FR"/>
    <w:uiPriority w:val="99"/>
    <w:unhideWhenUsed/>
    <w:rsid w:val="00DB555C"/>
    <w:rPr>
      <w:vertAlign w:val="superscript"/>
    </w:rPr>
  </w:style>
  <w:style w:type="character" w:styleId="CommentReference">
    <w:name w:val="annotation reference"/>
    <w:uiPriority w:val="99"/>
    <w:semiHidden/>
    <w:unhideWhenUsed/>
    <w:rsid w:val="00DB555C"/>
    <w:rPr>
      <w:sz w:val="16"/>
      <w:szCs w:val="16"/>
    </w:rPr>
  </w:style>
  <w:style w:type="paragraph" w:styleId="CommentText">
    <w:name w:val="annotation text"/>
    <w:basedOn w:val="Normal"/>
    <w:link w:val="CommentTextChar"/>
    <w:uiPriority w:val="99"/>
    <w:unhideWhenUsed/>
    <w:rsid w:val="00DB555C"/>
    <w:rPr>
      <w:sz w:val="20"/>
      <w:szCs w:val="20"/>
    </w:rPr>
  </w:style>
  <w:style w:type="character" w:customStyle="1" w:styleId="CommentTextChar">
    <w:name w:val="Comment Text Char"/>
    <w:basedOn w:val="DefaultParagraphFont"/>
    <w:link w:val="CommentText"/>
    <w:uiPriority w:val="99"/>
    <w:rsid w:val="00DB555C"/>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DB55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55C"/>
    <w:rPr>
      <w:rFonts w:ascii="Lucida Grande" w:eastAsia="MS Mincho" w:hAnsi="Lucida Grande" w:cs="Lucida Grande"/>
      <w:sz w:val="18"/>
      <w:szCs w:val="18"/>
    </w:rPr>
  </w:style>
  <w:style w:type="character" w:styleId="Hyperlink">
    <w:name w:val="Hyperlink"/>
    <w:uiPriority w:val="99"/>
    <w:unhideWhenUsed/>
    <w:rsid w:val="00DB555C"/>
    <w:rPr>
      <w:color w:val="0000FF"/>
      <w:u w:val="single"/>
    </w:rPr>
  </w:style>
  <w:style w:type="paragraph" w:styleId="Footer">
    <w:name w:val="footer"/>
    <w:basedOn w:val="Normal"/>
    <w:link w:val="FooterChar"/>
    <w:uiPriority w:val="99"/>
    <w:unhideWhenUsed/>
    <w:rsid w:val="00DB555C"/>
    <w:pPr>
      <w:tabs>
        <w:tab w:val="center" w:pos="4320"/>
        <w:tab w:val="right" w:pos="8640"/>
      </w:tabs>
    </w:pPr>
  </w:style>
  <w:style w:type="character" w:customStyle="1" w:styleId="FooterChar">
    <w:name w:val="Footer Char"/>
    <w:basedOn w:val="DefaultParagraphFont"/>
    <w:link w:val="Footer"/>
    <w:uiPriority w:val="99"/>
    <w:rsid w:val="00DB555C"/>
    <w:rPr>
      <w:rFonts w:ascii="Cambria" w:eastAsia="MS Mincho" w:hAnsi="Cambria" w:cs="Times New Roman"/>
    </w:rPr>
  </w:style>
  <w:style w:type="character" w:styleId="PageNumber">
    <w:name w:val="page number"/>
    <w:basedOn w:val="DefaultParagraphFont"/>
    <w:uiPriority w:val="99"/>
    <w:semiHidden/>
    <w:unhideWhenUsed/>
    <w:rsid w:val="00DB555C"/>
  </w:style>
  <w:style w:type="paragraph" w:styleId="CommentSubject">
    <w:name w:val="annotation subject"/>
    <w:basedOn w:val="CommentText"/>
    <w:next w:val="CommentText"/>
    <w:link w:val="CommentSubjectChar"/>
    <w:uiPriority w:val="99"/>
    <w:semiHidden/>
    <w:unhideWhenUsed/>
    <w:rsid w:val="00DB555C"/>
    <w:rPr>
      <w:b/>
      <w:bCs/>
    </w:rPr>
  </w:style>
  <w:style w:type="character" w:customStyle="1" w:styleId="CommentSubjectChar">
    <w:name w:val="Comment Subject Char"/>
    <w:basedOn w:val="CommentTextChar"/>
    <w:link w:val="CommentSubject"/>
    <w:uiPriority w:val="99"/>
    <w:semiHidden/>
    <w:rsid w:val="00DB555C"/>
    <w:rPr>
      <w:rFonts w:ascii="Cambria" w:eastAsia="MS Mincho" w:hAnsi="Cambria" w:cs="Times New Roman"/>
      <w:b/>
      <w:bCs/>
      <w:sz w:val="20"/>
      <w:szCs w:val="20"/>
    </w:rPr>
  </w:style>
  <w:style w:type="paragraph" w:customStyle="1" w:styleId="ColorfulShading-Accent11">
    <w:name w:val="Colorful Shading - Accent 11"/>
    <w:hidden/>
    <w:uiPriority w:val="99"/>
    <w:semiHidden/>
    <w:rsid w:val="00DB555C"/>
    <w:rPr>
      <w:rFonts w:ascii="Cambria" w:eastAsia="MS Mincho" w:hAnsi="Cambria" w:cs="Times New Roman"/>
    </w:rPr>
  </w:style>
  <w:style w:type="paragraph" w:styleId="ListParagraph">
    <w:name w:val="List Paragraph"/>
    <w:basedOn w:val="Normal"/>
    <w:uiPriority w:val="34"/>
    <w:qFormat/>
    <w:rsid w:val="00DB555C"/>
    <w:pPr>
      <w:ind w:left="720"/>
      <w:contextualSpacing/>
    </w:pPr>
  </w:style>
  <w:style w:type="paragraph" w:styleId="Revision">
    <w:name w:val="Revision"/>
    <w:hidden/>
    <w:uiPriority w:val="99"/>
    <w:semiHidden/>
    <w:rsid w:val="00DB555C"/>
    <w:rPr>
      <w:rFonts w:ascii="Cambria" w:eastAsia="MS Mincho" w:hAnsi="Cambria" w:cs="Times New Roman"/>
    </w:rPr>
  </w:style>
  <w:style w:type="character" w:customStyle="1" w:styleId="apple-converted-space">
    <w:name w:val="apple-converted-space"/>
    <w:basedOn w:val="DefaultParagraphFont"/>
    <w:rsid w:val="00DB555C"/>
  </w:style>
  <w:style w:type="paragraph" w:styleId="Header">
    <w:name w:val="header"/>
    <w:basedOn w:val="Normal"/>
    <w:link w:val="HeaderChar"/>
    <w:uiPriority w:val="99"/>
    <w:unhideWhenUsed/>
    <w:rsid w:val="00DB555C"/>
    <w:pPr>
      <w:tabs>
        <w:tab w:val="center" w:pos="4513"/>
        <w:tab w:val="right" w:pos="9026"/>
      </w:tabs>
    </w:pPr>
  </w:style>
  <w:style w:type="character" w:customStyle="1" w:styleId="HeaderChar">
    <w:name w:val="Header Char"/>
    <w:basedOn w:val="DefaultParagraphFont"/>
    <w:link w:val="Header"/>
    <w:uiPriority w:val="99"/>
    <w:rsid w:val="00DB555C"/>
    <w:rPr>
      <w:rFonts w:ascii="Cambria" w:eastAsia="MS Mincho" w:hAnsi="Cambria" w:cs="Times New Roman"/>
    </w:rPr>
  </w:style>
  <w:style w:type="character" w:styleId="Emphasis">
    <w:name w:val="Emphasis"/>
    <w:basedOn w:val="DefaultParagraphFont"/>
    <w:uiPriority w:val="20"/>
    <w:qFormat/>
    <w:rsid w:val="006E6C7D"/>
    <w:rPr>
      <w:i/>
      <w:iCs/>
    </w:rPr>
  </w:style>
  <w:style w:type="character" w:styleId="FollowedHyperlink">
    <w:name w:val="FollowedHyperlink"/>
    <w:basedOn w:val="DefaultParagraphFont"/>
    <w:uiPriority w:val="99"/>
    <w:semiHidden/>
    <w:unhideWhenUsed/>
    <w:rsid w:val="00C37BC2"/>
    <w:rPr>
      <w:color w:val="800080" w:themeColor="followedHyperlink"/>
      <w:u w:val="single"/>
    </w:rPr>
  </w:style>
  <w:style w:type="character" w:customStyle="1" w:styleId="Heading2Char">
    <w:name w:val="Heading 2 Char"/>
    <w:basedOn w:val="DefaultParagraphFont"/>
    <w:link w:val="Heading2"/>
    <w:uiPriority w:val="9"/>
    <w:rsid w:val="00D061CE"/>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D061CE"/>
    <w:rPr>
      <w:rFonts w:ascii="Times New Roman" w:eastAsia="Times New Roman" w:hAnsi="Times New Roman" w:cs="Times New Roman"/>
      <w:b/>
      <w:bCs/>
      <w:sz w:val="27"/>
      <w:szCs w:val="27"/>
      <w:lang w:val="en-GB" w:eastAsia="en-GB"/>
    </w:rPr>
  </w:style>
  <w:style w:type="paragraph" w:customStyle="1" w:styleId="HChG">
    <w:name w:val="_ H _Ch_G"/>
    <w:basedOn w:val="Normal"/>
    <w:next w:val="Normal"/>
    <w:link w:val="HChGChar"/>
    <w:rsid w:val="00D061CE"/>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D061CE"/>
    <w:rPr>
      <w:rFonts w:ascii="Times New Roman" w:eastAsia="Times New Roman" w:hAnsi="Times New Roman" w:cs="Times New Roman"/>
      <w:b/>
      <w:sz w:val="28"/>
      <w:szCs w:val="20"/>
      <w:lang w:val="en-GB"/>
    </w:rPr>
  </w:style>
  <w:style w:type="character" w:styleId="HTMLCite">
    <w:name w:val="HTML Cite"/>
    <w:basedOn w:val="DefaultParagraphFont"/>
    <w:uiPriority w:val="99"/>
    <w:semiHidden/>
    <w:unhideWhenUsed/>
    <w:rsid w:val="00D061CE"/>
    <w:rPr>
      <w:i/>
      <w:iCs/>
    </w:rPr>
  </w:style>
  <w:style w:type="paragraph" w:styleId="NormalWeb">
    <w:name w:val="Normal (Web)"/>
    <w:basedOn w:val="Normal"/>
    <w:uiPriority w:val="99"/>
    <w:semiHidden/>
    <w:unhideWhenUsed/>
    <w:rsid w:val="00B222FD"/>
    <w:pPr>
      <w:spacing w:before="100" w:beforeAutospacing="1" w:after="100" w:afterAutospacing="1"/>
    </w:pPr>
    <w:rPr>
      <w:rFonts w:ascii="Times New Roman" w:eastAsia="Times New Roman" w:hAnsi="Times New Roman"/>
      <w:lang w:val="en-GB" w:eastAsia="en-GB"/>
    </w:rPr>
  </w:style>
  <w:style w:type="character" w:customStyle="1" w:styleId="shortdesc">
    <w:name w:val="short_desc"/>
    <w:basedOn w:val="DefaultParagraphFont"/>
    <w:rsid w:val="0052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8231">
      <w:bodyDiv w:val="1"/>
      <w:marLeft w:val="0"/>
      <w:marRight w:val="0"/>
      <w:marTop w:val="0"/>
      <w:marBottom w:val="0"/>
      <w:divBdr>
        <w:top w:val="none" w:sz="0" w:space="0" w:color="auto"/>
        <w:left w:val="none" w:sz="0" w:space="0" w:color="auto"/>
        <w:bottom w:val="none" w:sz="0" w:space="0" w:color="auto"/>
        <w:right w:val="none" w:sz="0" w:space="0" w:color="auto"/>
      </w:divBdr>
    </w:div>
    <w:div w:id="313339376">
      <w:bodyDiv w:val="1"/>
      <w:marLeft w:val="0"/>
      <w:marRight w:val="0"/>
      <w:marTop w:val="0"/>
      <w:marBottom w:val="0"/>
      <w:divBdr>
        <w:top w:val="none" w:sz="0" w:space="0" w:color="auto"/>
        <w:left w:val="none" w:sz="0" w:space="0" w:color="auto"/>
        <w:bottom w:val="none" w:sz="0" w:space="0" w:color="auto"/>
        <w:right w:val="none" w:sz="0" w:space="0" w:color="auto"/>
      </w:divBdr>
    </w:div>
    <w:div w:id="788552403">
      <w:bodyDiv w:val="1"/>
      <w:marLeft w:val="0"/>
      <w:marRight w:val="0"/>
      <w:marTop w:val="0"/>
      <w:marBottom w:val="0"/>
      <w:divBdr>
        <w:top w:val="none" w:sz="0" w:space="0" w:color="auto"/>
        <w:left w:val="none" w:sz="0" w:space="0" w:color="auto"/>
        <w:bottom w:val="none" w:sz="0" w:space="0" w:color="auto"/>
        <w:right w:val="none" w:sz="0" w:space="0" w:color="auto"/>
      </w:divBdr>
    </w:div>
    <w:div w:id="824593460">
      <w:bodyDiv w:val="1"/>
      <w:marLeft w:val="0"/>
      <w:marRight w:val="0"/>
      <w:marTop w:val="0"/>
      <w:marBottom w:val="0"/>
      <w:divBdr>
        <w:top w:val="none" w:sz="0" w:space="0" w:color="auto"/>
        <w:left w:val="none" w:sz="0" w:space="0" w:color="auto"/>
        <w:bottom w:val="none" w:sz="0" w:space="0" w:color="auto"/>
        <w:right w:val="none" w:sz="0" w:space="0" w:color="auto"/>
      </w:divBdr>
    </w:div>
    <w:div w:id="1451360611">
      <w:bodyDiv w:val="1"/>
      <w:marLeft w:val="0"/>
      <w:marRight w:val="0"/>
      <w:marTop w:val="0"/>
      <w:marBottom w:val="0"/>
      <w:divBdr>
        <w:top w:val="none" w:sz="0" w:space="0" w:color="auto"/>
        <w:left w:val="none" w:sz="0" w:space="0" w:color="auto"/>
        <w:bottom w:val="none" w:sz="0" w:space="0" w:color="auto"/>
        <w:right w:val="none" w:sz="0" w:space="0" w:color="auto"/>
      </w:divBdr>
      <w:divsChild>
        <w:div w:id="290981847">
          <w:marLeft w:val="45"/>
          <w:marRight w:val="45"/>
          <w:marTop w:val="0"/>
          <w:marBottom w:val="0"/>
          <w:divBdr>
            <w:top w:val="none" w:sz="0" w:space="0" w:color="auto"/>
            <w:left w:val="none" w:sz="0" w:space="0" w:color="auto"/>
            <w:bottom w:val="none" w:sz="0" w:space="0" w:color="auto"/>
            <w:right w:val="none" w:sz="0" w:space="0" w:color="auto"/>
          </w:divBdr>
          <w:divsChild>
            <w:div w:id="2656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8184">
      <w:bodyDiv w:val="1"/>
      <w:marLeft w:val="0"/>
      <w:marRight w:val="0"/>
      <w:marTop w:val="0"/>
      <w:marBottom w:val="0"/>
      <w:divBdr>
        <w:top w:val="none" w:sz="0" w:space="0" w:color="auto"/>
        <w:left w:val="none" w:sz="0" w:space="0" w:color="auto"/>
        <w:bottom w:val="none" w:sz="0" w:space="0" w:color="auto"/>
        <w:right w:val="none" w:sz="0" w:space="0" w:color="auto"/>
      </w:divBdr>
    </w:div>
    <w:div w:id="2011444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artsonline.org.uk/what-is-disability-arts" TargetMode="External"/><Relationship Id="rId13" Type="http://schemas.openxmlformats.org/officeDocument/2006/relationships/hyperlink" Target="http://www.ohchr.org/EN/Issues/CulturalRights/Pages/SRCulturalRightsIndex.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daca.org.uk/" TargetMode="External"/><Relationship Id="rId17" Type="http://schemas.openxmlformats.org/officeDocument/2006/relationships/hyperlink" Target="http://www.theguardian.com/culture/2004/apr/22/guesteditors" TargetMode="External"/><Relationship Id="rId2" Type="http://schemas.openxmlformats.org/officeDocument/2006/relationships/numbering" Target="numbering.xml"/><Relationship Id="rId16" Type="http://schemas.openxmlformats.org/officeDocument/2006/relationships/hyperlink" Target="http://www.ohchr.org/EN/HRBodies/HRC/.../A_HRC_28_58_E.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cRMvs91kRU" TargetMode="External"/><Relationship Id="rId5" Type="http://schemas.openxmlformats.org/officeDocument/2006/relationships/webSettings" Target="webSettings.xml"/><Relationship Id="rId15" Type="http://schemas.openxmlformats.org/officeDocument/2006/relationships/hyperlink" Target="http://portal.unesco.org/en/ev.php-URL_ID=31058&amp;URL_DO=DO_TOPIC&amp;URL_SECTION=201.html" TargetMode="External"/><Relationship Id="rId10" Type="http://schemas.openxmlformats.org/officeDocument/2006/relationships/hyperlink" Target="http://www.theguardian.com/society/2007/dec/11/disability.ar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oksprints.net/about/" TargetMode="External"/><Relationship Id="rId14" Type="http://schemas.openxmlformats.org/officeDocument/2006/relationships/hyperlink" Target="http://en.unesco.org/about-us/introducing-unes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heguardian.com/uk-news/2014/dec/08/arts-council-england-make-progress-diversity-funding-axed-bazalgette?CMP=share_btn_fb" TargetMode="External"/><Relationship Id="rId3" Type="http://schemas.openxmlformats.org/officeDocument/2006/relationships/hyperlink" Target="http://www.ohchr.org/EN/Issues/CulturalRights/Pages/SRCulturalRightsIndex.aspx" TargetMode="External"/><Relationship Id="rId7" Type="http://schemas.openxmlformats.org/officeDocument/2006/relationships/hyperlink" Target="http://www.respondto.org" TargetMode="External"/><Relationship Id="rId2" Type="http://schemas.openxmlformats.org/officeDocument/2006/relationships/hyperlink" Target="http://www.booksprints.net/about/" TargetMode="External"/><Relationship Id="rId1" Type="http://schemas.openxmlformats.org/officeDocument/2006/relationships/hyperlink" Target="http://www.invisibledifference.org.uk" TargetMode="External"/><Relationship Id="rId6" Type="http://schemas.openxmlformats.org/officeDocument/2006/relationships/hyperlink" Target="http://culturehive.co.uk" TargetMode="External"/><Relationship Id="rId5" Type="http://schemas.openxmlformats.org/officeDocument/2006/relationships/hyperlink" Target="http://www.watchingdance.org" TargetMode="External"/><Relationship Id="rId4" Type="http://schemas.openxmlformats.org/officeDocument/2006/relationships/hyperlink" Target="http://www.ohchr.org/EN/HRBodies/HRC/.../A_HRC_28_58_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396D47-F545-4EE9-AC4E-74BB67D3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8834</Words>
  <Characters>50357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59073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Whatley</dc:creator>
  <cp:lastModifiedBy>Pavis, Mathilde</cp:lastModifiedBy>
  <cp:revision>2</cp:revision>
  <dcterms:created xsi:type="dcterms:W3CDTF">2017-06-30T10:18:00Z</dcterms:created>
  <dcterms:modified xsi:type="dcterms:W3CDTF">2017-06-30T10:18:00Z</dcterms:modified>
</cp:coreProperties>
</file>