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83" w:rsidRPr="00120448" w:rsidRDefault="00FE5F22" w:rsidP="00120448">
      <w:pPr>
        <w:pStyle w:val="Title"/>
        <w:spacing w:line="360" w:lineRule="auto"/>
        <w:contextualSpacing w:val="0"/>
        <w:jc w:val="both"/>
        <w:rPr>
          <w:rFonts w:ascii="Times New Roman" w:hAnsi="Times New Roman" w:cs="Times New Roman"/>
          <w:b/>
          <w:sz w:val="23"/>
          <w:szCs w:val="23"/>
        </w:rPr>
      </w:pPr>
      <w:bookmarkStart w:id="0" w:name="_GoBack"/>
      <w:bookmarkEnd w:id="0"/>
      <w:r w:rsidRPr="00120448">
        <w:rPr>
          <w:rStyle w:val="TitleChar"/>
          <w:rFonts w:ascii="Times New Roman" w:hAnsi="Times New Roman" w:cs="Times New Roman"/>
          <w:b/>
          <w:sz w:val="23"/>
          <w:szCs w:val="23"/>
        </w:rPr>
        <w:t xml:space="preserve">Molecular </w:t>
      </w:r>
      <w:r w:rsidR="005D5D83" w:rsidRPr="00120448">
        <w:rPr>
          <w:rStyle w:val="TitleChar"/>
          <w:rFonts w:ascii="Times New Roman" w:hAnsi="Times New Roman" w:cs="Times New Roman"/>
          <w:b/>
          <w:sz w:val="23"/>
          <w:szCs w:val="23"/>
        </w:rPr>
        <w:t xml:space="preserve">epidemiology of </w:t>
      </w:r>
      <w:r w:rsidR="005D5D83" w:rsidRPr="00120448">
        <w:rPr>
          <w:rStyle w:val="TitleChar"/>
          <w:rFonts w:ascii="Times New Roman" w:hAnsi="Times New Roman" w:cs="Times New Roman"/>
          <w:b/>
          <w:i/>
          <w:sz w:val="23"/>
          <w:szCs w:val="23"/>
        </w:rPr>
        <w:t>Pseudomonas aeruginosa</w:t>
      </w:r>
      <w:r w:rsidR="005D5D83" w:rsidRPr="00120448">
        <w:rPr>
          <w:rStyle w:val="TitleChar"/>
          <w:rFonts w:ascii="Times New Roman" w:hAnsi="Times New Roman" w:cs="Times New Roman"/>
          <w:b/>
          <w:sz w:val="23"/>
          <w:szCs w:val="23"/>
        </w:rPr>
        <w:t xml:space="preserve"> in an unsegregated bronchiectasis cohort sharing hospital facilities with a cystic fibrosis cohort</w:t>
      </w:r>
      <w:r w:rsidR="005D5D83" w:rsidRPr="00120448">
        <w:rPr>
          <w:rFonts w:ascii="Times New Roman" w:hAnsi="Times New Roman" w:cs="Times New Roman"/>
          <w:b/>
          <w:sz w:val="23"/>
          <w:szCs w:val="23"/>
        </w:rPr>
        <w:t xml:space="preserve"> </w:t>
      </w:r>
    </w:p>
    <w:p w:rsidR="005D5D83" w:rsidRPr="00120448" w:rsidRDefault="005D5D83" w:rsidP="005D5D83">
      <w:pPr>
        <w:spacing w:after="0" w:line="480" w:lineRule="auto"/>
        <w:jc w:val="both"/>
        <w:rPr>
          <w:rFonts w:ascii="Times New Roman" w:hAnsi="Times New Roman" w:cs="Times New Roman"/>
          <w:sz w:val="23"/>
          <w:szCs w:val="23"/>
        </w:rPr>
      </w:pPr>
    </w:p>
    <w:p w:rsidR="000D6BE7" w:rsidRPr="00120448" w:rsidRDefault="000D6BE7" w:rsidP="00120448">
      <w:pPr>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rPr>
        <w:t>Philip J. Mitchelmore</w:t>
      </w:r>
      <w:r w:rsidRPr="00120448">
        <w:rPr>
          <w:rFonts w:ascii="Times New Roman" w:hAnsi="Times New Roman" w:cs="Times New Roman"/>
          <w:sz w:val="23"/>
          <w:szCs w:val="23"/>
          <w:vertAlign w:val="superscript"/>
        </w:rPr>
        <w:t>1,2</w:t>
      </w:r>
      <w:r w:rsidRPr="00120448">
        <w:rPr>
          <w:rFonts w:ascii="Times New Roman" w:hAnsi="Times New Roman" w:cs="Times New Roman"/>
          <w:sz w:val="23"/>
          <w:szCs w:val="23"/>
        </w:rPr>
        <w:t>, Joanna Randall</w:t>
      </w:r>
      <w:r w:rsidRPr="00120448">
        <w:rPr>
          <w:rFonts w:ascii="Times New Roman" w:hAnsi="Times New Roman" w:cs="Times New Roman"/>
          <w:sz w:val="23"/>
          <w:szCs w:val="23"/>
          <w:vertAlign w:val="superscript"/>
        </w:rPr>
        <w:t>3</w:t>
      </w:r>
      <w:r w:rsidRPr="00120448">
        <w:rPr>
          <w:rFonts w:ascii="Times New Roman" w:hAnsi="Times New Roman" w:cs="Times New Roman"/>
          <w:sz w:val="23"/>
          <w:szCs w:val="23"/>
        </w:rPr>
        <w:t>, Matthew J. Bull</w:t>
      </w:r>
      <w:r w:rsidRPr="00120448">
        <w:rPr>
          <w:rFonts w:ascii="Times New Roman" w:hAnsi="Times New Roman" w:cs="Times New Roman"/>
          <w:sz w:val="23"/>
          <w:szCs w:val="23"/>
          <w:vertAlign w:val="superscript"/>
        </w:rPr>
        <w:t>4</w:t>
      </w:r>
      <w:r w:rsidRPr="00120448">
        <w:rPr>
          <w:rFonts w:ascii="Times New Roman" w:hAnsi="Times New Roman" w:cs="Times New Roman"/>
          <w:sz w:val="23"/>
          <w:szCs w:val="23"/>
        </w:rPr>
        <w:t>, Karen A. Moore</w:t>
      </w:r>
      <w:r w:rsidRPr="00120448">
        <w:rPr>
          <w:rFonts w:ascii="Times New Roman" w:hAnsi="Times New Roman" w:cs="Times New Roman"/>
          <w:sz w:val="23"/>
          <w:szCs w:val="23"/>
          <w:vertAlign w:val="superscript"/>
        </w:rPr>
        <w:t>5</w:t>
      </w:r>
      <w:r w:rsidRPr="00120448">
        <w:rPr>
          <w:rFonts w:ascii="Times New Roman" w:hAnsi="Times New Roman" w:cs="Times New Roman"/>
          <w:sz w:val="23"/>
          <w:szCs w:val="23"/>
        </w:rPr>
        <w:t>, Paul A. O’Neill</w:t>
      </w:r>
      <w:r w:rsidRPr="00120448">
        <w:rPr>
          <w:rFonts w:ascii="Times New Roman" w:hAnsi="Times New Roman" w:cs="Times New Roman"/>
          <w:sz w:val="23"/>
          <w:szCs w:val="23"/>
          <w:vertAlign w:val="superscript"/>
        </w:rPr>
        <w:t>5</w:t>
      </w:r>
      <w:r w:rsidRPr="00120448">
        <w:rPr>
          <w:rFonts w:ascii="Times New Roman" w:hAnsi="Times New Roman" w:cs="Times New Roman"/>
          <w:sz w:val="23"/>
          <w:szCs w:val="23"/>
        </w:rPr>
        <w:t>, Konrad Paszkiewicz</w:t>
      </w:r>
      <w:r w:rsidRPr="00120448">
        <w:rPr>
          <w:rFonts w:ascii="Times New Roman" w:hAnsi="Times New Roman" w:cs="Times New Roman"/>
          <w:sz w:val="23"/>
          <w:szCs w:val="23"/>
          <w:vertAlign w:val="superscript"/>
        </w:rPr>
        <w:t>5</w:t>
      </w:r>
      <w:r w:rsidRPr="00120448">
        <w:rPr>
          <w:rFonts w:ascii="Times New Roman" w:hAnsi="Times New Roman" w:cs="Times New Roman"/>
          <w:sz w:val="23"/>
          <w:szCs w:val="23"/>
        </w:rPr>
        <w:t>, Eshwar Mahenthiralingam</w:t>
      </w:r>
      <w:r w:rsidRPr="00120448">
        <w:rPr>
          <w:rFonts w:ascii="Times New Roman" w:hAnsi="Times New Roman" w:cs="Times New Roman"/>
          <w:sz w:val="23"/>
          <w:szCs w:val="23"/>
          <w:vertAlign w:val="superscript"/>
        </w:rPr>
        <w:t>4</w:t>
      </w:r>
      <w:r w:rsidRPr="00120448">
        <w:rPr>
          <w:rFonts w:ascii="Times New Roman" w:hAnsi="Times New Roman" w:cs="Times New Roman"/>
          <w:sz w:val="23"/>
          <w:szCs w:val="23"/>
        </w:rPr>
        <w:t>, Chris J. Scotton</w:t>
      </w:r>
      <w:r w:rsidRPr="00120448">
        <w:rPr>
          <w:rFonts w:ascii="Times New Roman" w:hAnsi="Times New Roman" w:cs="Times New Roman"/>
          <w:sz w:val="23"/>
          <w:szCs w:val="23"/>
          <w:vertAlign w:val="superscript"/>
        </w:rPr>
        <w:t>1</w:t>
      </w:r>
      <w:r w:rsidRPr="00120448">
        <w:rPr>
          <w:rFonts w:ascii="Times New Roman" w:hAnsi="Times New Roman" w:cs="Times New Roman"/>
          <w:sz w:val="23"/>
          <w:szCs w:val="23"/>
        </w:rPr>
        <w:t>, Christopher D. Sheldon</w:t>
      </w:r>
      <w:r w:rsidRPr="00120448">
        <w:rPr>
          <w:rFonts w:ascii="Times New Roman" w:hAnsi="Times New Roman" w:cs="Times New Roman"/>
          <w:sz w:val="23"/>
          <w:szCs w:val="23"/>
          <w:vertAlign w:val="superscript"/>
        </w:rPr>
        <w:t>2</w:t>
      </w:r>
      <w:r w:rsidRPr="00120448">
        <w:rPr>
          <w:rFonts w:ascii="Times New Roman" w:hAnsi="Times New Roman" w:cs="Times New Roman"/>
          <w:sz w:val="23"/>
          <w:szCs w:val="23"/>
        </w:rPr>
        <w:t>, Nicholas J. Withers</w:t>
      </w:r>
      <w:r w:rsidRPr="00120448">
        <w:rPr>
          <w:rFonts w:ascii="Times New Roman" w:hAnsi="Times New Roman" w:cs="Times New Roman"/>
          <w:sz w:val="23"/>
          <w:szCs w:val="23"/>
          <w:vertAlign w:val="superscript"/>
        </w:rPr>
        <w:t>2</w:t>
      </w:r>
      <w:r w:rsidRPr="00120448">
        <w:rPr>
          <w:rFonts w:ascii="Times New Roman" w:hAnsi="Times New Roman" w:cs="Times New Roman"/>
          <w:sz w:val="23"/>
          <w:szCs w:val="23"/>
        </w:rPr>
        <w:t>, Alan R. Brown</w:t>
      </w:r>
      <w:r w:rsidRPr="00120448">
        <w:rPr>
          <w:rFonts w:ascii="Times New Roman" w:hAnsi="Times New Roman" w:cs="Times New Roman"/>
          <w:sz w:val="23"/>
          <w:szCs w:val="23"/>
          <w:vertAlign w:val="superscript"/>
        </w:rPr>
        <w:t>5</w:t>
      </w:r>
      <w:r w:rsidRPr="00120448">
        <w:rPr>
          <w:rFonts w:ascii="Times New Roman" w:hAnsi="Times New Roman" w:cs="Times New Roman"/>
          <w:sz w:val="23"/>
          <w:szCs w:val="23"/>
        </w:rPr>
        <w:t xml:space="preserve">. </w:t>
      </w:r>
    </w:p>
    <w:p w:rsidR="000D6BE7" w:rsidRPr="00120448" w:rsidRDefault="000D6BE7" w:rsidP="00120448">
      <w:pPr>
        <w:spacing w:after="0" w:line="360" w:lineRule="auto"/>
        <w:jc w:val="both"/>
        <w:rPr>
          <w:rFonts w:ascii="Times New Roman" w:hAnsi="Times New Roman" w:cs="Times New Roman"/>
          <w:color w:val="FF0000"/>
          <w:sz w:val="23"/>
          <w:szCs w:val="23"/>
        </w:rPr>
      </w:pPr>
    </w:p>
    <w:p w:rsidR="000D6BE7" w:rsidRPr="00120448" w:rsidRDefault="000D6BE7" w:rsidP="00120448">
      <w:pPr>
        <w:tabs>
          <w:tab w:val="left" w:pos="8505"/>
        </w:tabs>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vertAlign w:val="superscript"/>
        </w:rPr>
        <w:t>1</w:t>
      </w:r>
      <w:r w:rsidRPr="00120448">
        <w:rPr>
          <w:rFonts w:ascii="Times New Roman" w:hAnsi="Times New Roman" w:cs="Times New Roman"/>
          <w:sz w:val="23"/>
          <w:szCs w:val="23"/>
        </w:rPr>
        <w:t>Institute of Biomedical and Clinical Sciences, University of Exeter Medical School, Exeter, UK.</w:t>
      </w:r>
    </w:p>
    <w:p w:rsidR="000D6BE7" w:rsidRPr="00120448" w:rsidRDefault="000D6BE7" w:rsidP="00120448">
      <w:pPr>
        <w:tabs>
          <w:tab w:val="left" w:pos="8505"/>
        </w:tabs>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vertAlign w:val="superscript"/>
        </w:rPr>
        <w:t>2</w:t>
      </w:r>
      <w:r w:rsidRPr="00120448">
        <w:rPr>
          <w:rFonts w:ascii="Times New Roman" w:hAnsi="Times New Roman" w:cs="Times New Roman"/>
          <w:sz w:val="23"/>
          <w:szCs w:val="23"/>
        </w:rPr>
        <w:t>Department of Respiratory Medicine, Royal Devon and Exeter NHS Foundation Trust, Exeter, UK</w:t>
      </w:r>
    </w:p>
    <w:p w:rsidR="000D6BE7" w:rsidRPr="00120448" w:rsidRDefault="000D6BE7" w:rsidP="00120448">
      <w:pPr>
        <w:tabs>
          <w:tab w:val="left" w:pos="8505"/>
        </w:tabs>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vertAlign w:val="superscript"/>
        </w:rPr>
        <w:t>3</w:t>
      </w:r>
      <w:r w:rsidRPr="00120448">
        <w:rPr>
          <w:rFonts w:ascii="Times New Roman" w:hAnsi="Times New Roman" w:cs="Times New Roman"/>
          <w:sz w:val="23"/>
          <w:szCs w:val="23"/>
        </w:rPr>
        <w:t>Department of Microbiology, Royal Devon and Exeter NHS Foundation Trust, Exeter, UK</w:t>
      </w:r>
    </w:p>
    <w:p w:rsidR="000D6BE7" w:rsidRPr="00120448" w:rsidRDefault="000D6BE7" w:rsidP="00120448">
      <w:pPr>
        <w:tabs>
          <w:tab w:val="left" w:pos="8505"/>
        </w:tabs>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vertAlign w:val="superscript"/>
        </w:rPr>
        <w:t>4</w:t>
      </w:r>
      <w:r w:rsidRPr="00120448">
        <w:rPr>
          <w:rFonts w:ascii="Times New Roman" w:hAnsi="Times New Roman" w:cs="Times New Roman"/>
          <w:sz w:val="23"/>
          <w:szCs w:val="23"/>
        </w:rPr>
        <w:t>Organisms and Environment Research Division, Cardiff School of Biosciences, Cardiff University, Cardiff, UK.</w:t>
      </w:r>
    </w:p>
    <w:p w:rsidR="004D5F1B" w:rsidRPr="00120448" w:rsidRDefault="000D6BE7" w:rsidP="00120448">
      <w:pPr>
        <w:spacing w:after="0" w:line="360" w:lineRule="auto"/>
        <w:jc w:val="both"/>
        <w:rPr>
          <w:rFonts w:ascii="Times New Roman" w:hAnsi="Times New Roman" w:cs="Times New Roman"/>
          <w:sz w:val="23"/>
          <w:szCs w:val="23"/>
        </w:rPr>
      </w:pPr>
      <w:r w:rsidRPr="00120448">
        <w:rPr>
          <w:rFonts w:ascii="Times New Roman" w:hAnsi="Times New Roman" w:cs="Times New Roman"/>
          <w:sz w:val="23"/>
          <w:szCs w:val="23"/>
          <w:vertAlign w:val="superscript"/>
        </w:rPr>
        <w:t>5</w:t>
      </w:r>
      <w:r w:rsidRPr="00120448">
        <w:rPr>
          <w:rFonts w:ascii="Times New Roman" w:hAnsi="Times New Roman" w:cs="Times New Roman"/>
          <w:sz w:val="23"/>
          <w:szCs w:val="23"/>
        </w:rPr>
        <w:t>Biosciences, College of Life and Environmental Sciences, University of Exeter, Exeter, UK.</w:t>
      </w:r>
    </w:p>
    <w:p w:rsidR="004D5F1B" w:rsidRPr="00120448" w:rsidRDefault="004D5F1B" w:rsidP="004D5F1B">
      <w:pPr>
        <w:spacing w:after="0" w:line="480" w:lineRule="auto"/>
        <w:jc w:val="both"/>
        <w:rPr>
          <w:rFonts w:ascii="Times New Roman" w:hAnsi="Times New Roman" w:cs="Times New Roman"/>
          <w:sz w:val="23"/>
          <w:szCs w:val="23"/>
        </w:rPr>
      </w:pPr>
    </w:p>
    <w:p w:rsidR="00D03CAE" w:rsidRPr="00120448" w:rsidRDefault="004D5F1B" w:rsidP="00866A37">
      <w:pPr>
        <w:rPr>
          <w:rFonts w:ascii="Times New Roman" w:hAnsi="Times New Roman" w:cs="Times New Roman"/>
          <w:b/>
          <w:sz w:val="23"/>
          <w:szCs w:val="23"/>
        </w:rPr>
      </w:pPr>
      <w:r w:rsidRPr="00120448">
        <w:rPr>
          <w:rFonts w:ascii="Times New Roman" w:hAnsi="Times New Roman" w:cs="Times New Roman"/>
          <w:b/>
          <w:sz w:val="23"/>
          <w:szCs w:val="23"/>
        </w:rPr>
        <w:t xml:space="preserve">ONLINE </w:t>
      </w:r>
      <w:r w:rsidR="005D5D83" w:rsidRPr="00120448">
        <w:rPr>
          <w:rFonts w:ascii="Times New Roman" w:hAnsi="Times New Roman" w:cs="Times New Roman"/>
          <w:b/>
          <w:sz w:val="23"/>
          <w:szCs w:val="23"/>
        </w:rPr>
        <w:t>SUPPORTING</w:t>
      </w:r>
      <w:r w:rsidRPr="00120448">
        <w:rPr>
          <w:rFonts w:ascii="Times New Roman" w:hAnsi="Times New Roman" w:cs="Times New Roman"/>
          <w:b/>
          <w:sz w:val="23"/>
          <w:szCs w:val="23"/>
        </w:rPr>
        <w:t xml:space="preserve"> INFORMATION</w:t>
      </w:r>
      <w:r w:rsidRPr="00120448">
        <w:rPr>
          <w:rFonts w:ascii="Times New Roman" w:hAnsi="Times New Roman" w:cs="Times New Roman"/>
          <w:b/>
          <w:sz w:val="23"/>
          <w:szCs w:val="23"/>
        </w:rPr>
        <w:br w:type="page"/>
      </w:r>
      <w:r w:rsidR="00D03CAE" w:rsidRPr="00120448">
        <w:rPr>
          <w:rFonts w:ascii="Times New Roman" w:hAnsi="Times New Roman" w:cs="Times New Roman"/>
          <w:b/>
          <w:sz w:val="23"/>
          <w:szCs w:val="23"/>
        </w:rPr>
        <w:lastRenderedPageBreak/>
        <w:t>METHODS</w:t>
      </w:r>
    </w:p>
    <w:p w:rsidR="00FE5F22" w:rsidRPr="00120448" w:rsidRDefault="00FE5F22" w:rsidP="00120448">
      <w:pPr>
        <w:pStyle w:val="NormalWeb"/>
        <w:spacing w:before="240" w:beforeAutospacing="0" w:after="0" w:afterAutospacing="0" w:line="360" w:lineRule="auto"/>
        <w:jc w:val="both"/>
        <w:rPr>
          <w:b/>
          <w:sz w:val="23"/>
          <w:szCs w:val="23"/>
        </w:rPr>
      </w:pPr>
      <w:r w:rsidRPr="00120448">
        <w:rPr>
          <w:b/>
          <w:sz w:val="23"/>
          <w:szCs w:val="23"/>
        </w:rPr>
        <w:t>Recruitment and analysis of NCFB and CF cohorts</w:t>
      </w:r>
    </w:p>
    <w:p w:rsidR="00FE5F22" w:rsidRPr="00120448" w:rsidRDefault="00FE5F22" w:rsidP="00120448">
      <w:pPr>
        <w:pStyle w:val="NormalWeb"/>
        <w:spacing w:before="240" w:beforeAutospacing="0" w:after="0" w:afterAutospacing="0" w:line="360" w:lineRule="auto"/>
        <w:jc w:val="both"/>
        <w:rPr>
          <w:sz w:val="23"/>
          <w:szCs w:val="23"/>
        </w:rPr>
      </w:pPr>
      <w:r w:rsidRPr="00120448">
        <w:rPr>
          <w:sz w:val="23"/>
          <w:szCs w:val="23"/>
        </w:rPr>
        <w:t>All isolates were collected prospectively. The NCFB and CF patients were opportunistically recruited via the submission of samples as part of their routine management. The use of chronic anti-pseudomonal therapy was permitted for inclusion. Informed consent was obtained and samples were sent to the local Microbiology Laboratory for processing according to standard procedures</w:t>
      </w:r>
      <w:r w:rsidRPr="00866A37">
        <w:rPr>
          <w:sz w:val="23"/>
          <w:szCs w:val="23"/>
        </w:rPr>
        <w:t xml:space="preserve">. In brief, sputum samples </w:t>
      </w:r>
      <w:r w:rsidRPr="00120448">
        <w:rPr>
          <w:sz w:val="23"/>
          <w:szCs w:val="23"/>
        </w:rPr>
        <w:t xml:space="preserve">were treated with an equal volume of Mucolyse (Pro-Lab Diagnostics). Neat digested sputum was used to inoculate blood agar, chocolate agar and </w:t>
      </w:r>
      <w:r w:rsidRPr="00120448">
        <w:rPr>
          <w:i/>
          <w:sz w:val="23"/>
          <w:szCs w:val="23"/>
        </w:rPr>
        <w:t>Burkholderia cepacia</w:t>
      </w:r>
      <w:r w:rsidRPr="00120448">
        <w:rPr>
          <w:sz w:val="23"/>
          <w:szCs w:val="23"/>
        </w:rPr>
        <w:t xml:space="preserve"> agar plates for CF patients, and Sabouraud agar plates for both NCFB and CF patients.  Subsequently, 5ml of Maximum Recovery Diluent was added to the digested sputum and inoculated onto blood agar, chocolate Agar, cysteine lactose electrolyte deficient Agar, and mannitol salt agar for both CF and NCFB samples. An initial identification of PA based on colony morphology and a positive oxidase test was subsequently confirmed by VITEK MS Matrix-assisted Laser Desorption/Ionisation-Time of Flight Mass Spectrometry (MALDI-TOF MS) (Biomerieux).  When PA was identified, 10 representative colonies were picked per sputum sample (based on colony morphologies) and stored on Microbank</w:t>
      </w:r>
      <w:r w:rsidRPr="00120448">
        <w:rPr>
          <w:sz w:val="23"/>
          <w:szCs w:val="23"/>
          <w:vertAlign w:val="superscript"/>
        </w:rPr>
        <w:t>TM</w:t>
      </w:r>
      <w:r w:rsidRPr="00120448">
        <w:rPr>
          <w:sz w:val="23"/>
          <w:szCs w:val="23"/>
        </w:rPr>
        <w:t xml:space="preserve"> microbial storage beads (Pro-Lab Diagnostics). If PA was not cultivated from a sample, a future sample from the same patient could be submitted at a subsequent visit. Demographics of recruited PA-positive CF and NCFB patients are detailed in Table S1. </w:t>
      </w:r>
    </w:p>
    <w:p w:rsidR="00FE5F22" w:rsidRPr="00120448" w:rsidRDefault="00FE5F22" w:rsidP="00FE5F22">
      <w:pPr>
        <w:spacing w:after="120" w:line="240" w:lineRule="auto"/>
        <w:rPr>
          <w:rFonts w:ascii="Times New Roman" w:hAnsi="Times New Roman" w:cs="Times New Roman"/>
          <w:b/>
          <w:sz w:val="23"/>
          <w:szCs w:val="23"/>
          <w:shd w:val="clear" w:color="auto" w:fill="FFFFFF"/>
        </w:rPr>
      </w:pPr>
    </w:p>
    <w:tbl>
      <w:tblPr>
        <w:tblStyle w:val="PlainTable2"/>
        <w:tblW w:w="9214" w:type="dxa"/>
        <w:tblLook w:val="04A0" w:firstRow="1" w:lastRow="0" w:firstColumn="1" w:lastColumn="0" w:noHBand="0" w:noVBand="1"/>
      </w:tblPr>
      <w:tblGrid>
        <w:gridCol w:w="6237"/>
        <w:gridCol w:w="1488"/>
        <w:gridCol w:w="1489"/>
      </w:tblGrid>
      <w:tr w:rsidR="00FE5F22" w:rsidRPr="00120448" w:rsidTr="00022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000000" w:themeColor="text1"/>
              <w:bottom w:val="single" w:sz="8" w:space="0" w:color="000000" w:themeColor="text1"/>
            </w:tcBorders>
          </w:tcPr>
          <w:p w:rsidR="00FE5F22" w:rsidRPr="00120448" w:rsidRDefault="00FE5F22" w:rsidP="00022432">
            <w:pPr>
              <w:rPr>
                <w:rFonts w:ascii="Times New Roman" w:hAnsi="Times New Roman" w:cs="Times New Roman"/>
                <w:sz w:val="23"/>
                <w:szCs w:val="23"/>
              </w:rPr>
            </w:pPr>
          </w:p>
        </w:tc>
        <w:tc>
          <w:tcPr>
            <w:tcW w:w="1488" w:type="dxa"/>
            <w:tcBorders>
              <w:top w:val="single" w:sz="8" w:space="0" w:color="000000" w:themeColor="text1"/>
              <w:bottom w:val="single" w:sz="8" w:space="0" w:color="000000" w:themeColor="text1"/>
            </w:tcBorders>
          </w:tcPr>
          <w:p w:rsidR="00FE5F22" w:rsidRPr="00120448" w:rsidRDefault="00FE5F22" w:rsidP="0002243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 xml:space="preserve">NCFB </w:t>
            </w:r>
          </w:p>
        </w:tc>
        <w:tc>
          <w:tcPr>
            <w:tcW w:w="1489" w:type="dxa"/>
            <w:tcBorders>
              <w:top w:val="single" w:sz="8" w:space="0" w:color="000000" w:themeColor="text1"/>
              <w:bottom w:val="single" w:sz="8" w:space="0" w:color="000000" w:themeColor="text1"/>
            </w:tcBorders>
          </w:tcPr>
          <w:p w:rsidR="00FE5F22" w:rsidRPr="00120448" w:rsidRDefault="00FE5F22" w:rsidP="0002243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 xml:space="preserve">CF </w:t>
            </w:r>
          </w:p>
        </w:tc>
      </w:tr>
      <w:tr w:rsidR="00FE5F22" w:rsidRPr="00120448" w:rsidTr="0002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8" w:space="0" w:color="000000" w:themeColor="text1"/>
            </w:tcBorders>
          </w:tcPr>
          <w:p w:rsidR="00FE5F22" w:rsidRPr="00120448" w:rsidRDefault="00FE5F22" w:rsidP="00022432">
            <w:pPr>
              <w:rPr>
                <w:rFonts w:ascii="Times New Roman" w:hAnsi="Times New Roman" w:cs="Times New Roman"/>
                <w:b w:val="0"/>
                <w:sz w:val="23"/>
                <w:szCs w:val="23"/>
              </w:rPr>
            </w:pPr>
            <w:r w:rsidRPr="00120448">
              <w:rPr>
                <w:rFonts w:ascii="Times New Roman" w:hAnsi="Times New Roman" w:cs="Times New Roman"/>
                <w:sz w:val="23"/>
                <w:szCs w:val="23"/>
              </w:rPr>
              <w:t xml:space="preserve">Recruitment Period </w:t>
            </w:r>
            <w:r w:rsidRPr="00120448">
              <w:rPr>
                <w:rFonts w:ascii="Times New Roman" w:hAnsi="Times New Roman" w:cs="Times New Roman"/>
                <w:b w:val="0"/>
                <w:sz w:val="23"/>
                <w:szCs w:val="23"/>
              </w:rPr>
              <w:t>(Month/Year-Month/Year)</w:t>
            </w:r>
          </w:p>
        </w:tc>
        <w:tc>
          <w:tcPr>
            <w:tcW w:w="1488" w:type="dxa"/>
            <w:tcBorders>
              <w:top w:val="single" w:sz="8" w:space="0" w:color="000000" w:themeColor="text1"/>
            </w:tcBorders>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07/14-06/15</w:t>
            </w:r>
          </w:p>
        </w:tc>
        <w:tc>
          <w:tcPr>
            <w:tcW w:w="1489" w:type="dxa"/>
            <w:tcBorders>
              <w:top w:val="single" w:sz="8" w:space="0" w:color="000000" w:themeColor="text1"/>
            </w:tcBorders>
          </w:tcPr>
          <w:p w:rsidR="00FE5F22" w:rsidRPr="00866A37"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866A37">
              <w:rPr>
                <w:rFonts w:ascii="Times New Roman" w:hAnsi="Times New Roman" w:cs="Times New Roman"/>
                <w:sz w:val="23"/>
                <w:szCs w:val="23"/>
              </w:rPr>
              <w:t>09/15-01/16</w:t>
            </w:r>
          </w:p>
        </w:tc>
      </w:tr>
      <w:tr w:rsidR="00FE5F22" w:rsidRPr="00120448" w:rsidTr="00022432">
        <w:tc>
          <w:tcPr>
            <w:cnfStyle w:val="001000000000" w:firstRow="0" w:lastRow="0" w:firstColumn="1" w:lastColumn="0" w:oddVBand="0" w:evenVBand="0" w:oddHBand="0" w:evenHBand="0" w:firstRowFirstColumn="0" w:firstRowLastColumn="0" w:lastRowFirstColumn="0" w:lastRowLastColumn="0"/>
            <w:tcW w:w="6237" w:type="dxa"/>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Subjects</w:t>
            </w:r>
          </w:p>
        </w:tc>
        <w:tc>
          <w:tcPr>
            <w:tcW w:w="1488" w:type="dxa"/>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46</w:t>
            </w:r>
          </w:p>
        </w:tc>
        <w:tc>
          <w:tcPr>
            <w:tcW w:w="1489" w:type="dxa"/>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22</w:t>
            </w:r>
          </w:p>
        </w:tc>
      </w:tr>
      <w:tr w:rsidR="00FE5F22" w:rsidRPr="00120448" w:rsidTr="0002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 xml:space="preserve">Median Age </w:t>
            </w:r>
            <w:r w:rsidRPr="00120448">
              <w:rPr>
                <w:rFonts w:ascii="Times New Roman" w:hAnsi="Times New Roman" w:cs="Times New Roman"/>
                <w:b w:val="0"/>
                <w:sz w:val="23"/>
                <w:szCs w:val="23"/>
              </w:rPr>
              <w:t>(in years)</w:t>
            </w:r>
          </w:p>
        </w:tc>
        <w:tc>
          <w:tcPr>
            <w:tcW w:w="1488" w:type="dxa"/>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69</w:t>
            </w:r>
          </w:p>
        </w:tc>
        <w:tc>
          <w:tcPr>
            <w:tcW w:w="1489" w:type="dxa"/>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27.5</w:t>
            </w:r>
          </w:p>
        </w:tc>
      </w:tr>
      <w:tr w:rsidR="00FE5F22" w:rsidRPr="00120448" w:rsidTr="00022432">
        <w:tc>
          <w:tcPr>
            <w:cnfStyle w:val="001000000000" w:firstRow="0" w:lastRow="0" w:firstColumn="1" w:lastColumn="0" w:oddVBand="0" w:evenVBand="0" w:oddHBand="0" w:evenHBand="0" w:firstRowFirstColumn="0" w:firstRowLastColumn="0" w:lastRowFirstColumn="0" w:lastRowLastColumn="0"/>
            <w:tcW w:w="6237" w:type="dxa"/>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IQR for age</w:t>
            </w:r>
          </w:p>
        </w:tc>
        <w:tc>
          <w:tcPr>
            <w:tcW w:w="1488" w:type="dxa"/>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65.8-76</w:t>
            </w:r>
          </w:p>
        </w:tc>
        <w:tc>
          <w:tcPr>
            <w:tcW w:w="1489" w:type="dxa"/>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24.5-40.3</w:t>
            </w:r>
          </w:p>
        </w:tc>
      </w:tr>
      <w:tr w:rsidR="00FE5F22" w:rsidRPr="00120448" w:rsidTr="0002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Male</w:t>
            </w:r>
          </w:p>
        </w:tc>
        <w:tc>
          <w:tcPr>
            <w:tcW w:w="1488" w:type="dxa"/>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10 (21.7%)</w:t>
            </w:r>
          </w:p>
        </w:tc>
        <w:tc>
          <w:tcPr>
            <w:tcW w:w="1489" w:type="dxa"/>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10 (45.5%)</w:t>
            </w:r>
          </w:p>
        </w:tc>
      </w:tr>
      <w:tr w:rsidR="00FE5F22" w:rsidRPr="00120448" w:rsidTr="00022432">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bottom w:val="single" w:sz="4" w:space="0" w:color="auto"/>
            </w:tcBorders>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Time since 1</w:t>
            </w:r>
            <w:r w:rsidRPr="00120448">
              <w:rPr>
                <w:rFonts w:ascii="Times New Roman" w:hAnsi="Times New Roman" w:cs="Times New Roman"/>
                <w:sz w:val="23"/>
                <w:szCs w:val="23"/>
                <w:vertAlign w:val="superscript"/>
              </w:rPr>
              <w:t>st</w:t>
            </w:r>
            <w:r w:rsidRPr="00120448">
              <w:rPr>
                <w:rFonts w:ascii="Times New Roman" w:hAnsi="Times New Roman" w:cs="Times New Roman"/>
                <w:sz w:val="23"/>
                <w:szCs w:val="23"/>
              </w:rPr>
              <w:t xml:space="preserve"> PA isolate</w:t>
            </w:r>
          </w:p>
          <w:p w:rsidR="00FE5F22" w:rsidRPr="00120448" w:rsidRDefault="00FE5F22" w:rsidP="00FE5F22">
            <w:pPr>
              <w:pStyle w:val="ListParagraph"/>
              <w:numPr>
                <w:ilvl w:val="0"/>
                <w:numId w:val="3"/>
              </w:numPr>
              <w:rPr>
                <w:rFonts w:ascii="Times New Roman" w:hAnsi="Times New Roman" w:cs="Times New Roman"/>
                <w:b w:val="0"/>
                <w:sz w:val="23"/>
                <w:szCs w:val="23"/>
              </w:rPr>
            </w:pPr>
            <w:r w:rsidRPr="00120448">
              <w:rPr>
                <w:rFonts w:ascii="Times New Roman" w:hAnsi="Times New Roman" w:cs="Times New Roman"/>
                <w:b w:val="0"/>
                <w:sz w:val="23"/>
                <w:szCs w:val="23"/>
              </w:rPr>
              <w:t>Less than 1 year</w:t>
            </w:r>
          </w:p>
          <w:p w:rsidR="00FE5F22" w:rsidRPr="00120448" w:rsidRDefault="00FE5F22" w:rsidP="00FE5F22">
            <w:pPr>
              <w:pStyle w:val="ListParagraph"/>
              <w:numPr>
                <w:ilvl w:val="0"/>
                <w:numId w:val="3"/>
              </w:numPr>
              <w:rPr>
                <w:rFonts w:ascii="Times New Roman" w:hAnsi="Times New Roman" w:cs="Times New Roman"/>
                <w:b w:val="0"/>
                <w:sz w:val="23"/>
                <w:szCs w:val="23"/>
              </w:rPr>
            </w:pPr>
            <w:r w:rsidRPr="00120448">
              <w:rPr>
                <w:rFonts w:ascii="Times New Roman" w:hAnsi="Times New Roman" w:cs="Times New Roman"/>
                <w:b w:val="0"/>
                <w:sz w:val="23"/>
                <w:szCs w:val="23"/>
              </w:rPr>
              <w:t>1-5 years</w:t>
            </w:r>
          </w:p>
          <w:p w:rsidR="00FE5F22" w:rsidRPr="00866A37" w:rsidRDefault="00FE5F22" w:rsidP="00FE5F22">
            <w:pPr>
              <w:pStyle w:val="ListParagraph"/>
              <w:numPr>
                <w:ilvl w:val="0"/>
                <w:numId w:val="3"/>
              </w:numPr>
              <w:rPr>
                <w:rFonts w:ascii="Times New Roman" w:hAnsi="Times New Roman" w:cs="Times New Roman"/>
                <w:b w:val="0"/>
                <w:sz w:val="23"/>
                <w:szCs w:val="23"/>
              </w:rPr>
            </w:pPr>
            <w:r w:rsidRPr="00866A37">
              <w:rPr>
                <w:rFonts w:ascii="Times New Roman" w:hAnsi="Times New Roman" w:cs="Times New Roman"/>
                <w:b w:val="0"/>
                <w:sz w:val="23"/>
                <w:szCs w:val="23"/>
              </w:rPr>
              <w:t>5-9 years</w:t>
            </w:r>
          </w:p>
          <w:p w:rsidR="00FE5F22" w:rsidRPr="00866A37" w:rsidRDefault="00FE5F22" w:rsidP="00FE5F22">
            <w:pPr>
              <w:pStyle w:val="ListParagraph"/>
              <w:numPr>
                <w:ilvl w:val="0"/>
                <w:numId w:val="3"/>
              </w:numPr>
              <w:rPr>
                <w:rFonts w:ascii="Times New Roman" w:hAnsi="Times New Roman" w:cs="Times New Roman"/>
                <w:sz w:val="23"/>
                <w:szCs w:val="23"/>
              </w:rPr>
            </w:pPr>
            <w:r w:rsidRPr="00866A37">
              <w:rPr>
                <w:rFonts w:ascii="Times New Roman" w:hAnsi="Times New Roman" w:cs="Times New Roman"/>
                <w:b w:val="0"/>
                <w:sz w:val="23"/>
                <w:szCs w:val="23"/>
              </w:rPr>
              <w:t>More than 9 years</w:t>
            </w:r>
          </w:p>
        </w:tc>
        <w:tc>
          <w:tcPr>
            <w:tcW w:w="1488" w:type="dxa"/>
            <w:tcBorders>
              <w:top w:val="single" w:sz="4" w:space="0" w:color="7F7F7F" w:themeColor="text1" w:themeTint="80"/>
              <w:bottom w:val="single" w:sz="4" w:space="0" w:color="auto"/>
            </w:tcBorders>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12 (26.1%)</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11 (23.9%)</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11 (23.9%)</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12 (26.1%)</w:t>
            </w:r>
          </w:p>
        </w:tc>
        <w:tc>
          <w:tcPr>
            <w:tcW w:w="1489" w:type="dxa"/>
            <w:tcBorders>
              <w:top w:val="single" w:sz="4" w:space="0" w:color="7F7F7F" w:themeColor="text1" w:themeTint="80"/>
              <w:bottom w:val="single" w:sz="4" w:space="0" w:color="auto"/>
            </w:tcBorders>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0</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9 (40.9%)</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4 (18.2%)</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9 (40.9%)</w:t>
            </w:r>
          </w:p>
        </w:tc>
      </w:tr>
      <w:tr w:rsidR="00FE5F22" w:rsidRPr="00120448" w:rsidTr="0002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auto"/>
            </w:tcBorders>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Co-pathogens</w:t>
            </w:r>
          </w:p>
          <w:p w:rsidR="00FE5F22" w:rsidRPr="00120448" w:rsidRDefault="00FE5F22" w:rsidP="00FE5F22">
            <w:pPr>
              <w:pStyle w:val="ListParagraph"/>
              <w:numPr>
                <w:ilvl w:val="0"/>
                <w:numId w:val="2"/>
              </w:numPr>
              <w:rPr>
                <w:rFonts w:ascii="Times New Roman" w:hAnsi="Times New Roman" w:cs="Times New Roman"/>
                <w:b w:val="0"/>
                <w:i/>
                <w:sz w:val="23"/>
                <w:szCs w:val="23"/>
              </w:rPr>
            </w:pPr>
            <w:r w:rsidRPr="00120448">
              <w:rPr>
                <w:rFonts w:ascii="Times New Roman" w:hAnsi="Times New Roman" w:cs="Times New Roman"/>
                <w:b w:val="0"/>
                <w:i/>
                <w:sz w:val="23"/>
                <w:szCs w:val="23"/>
              </w:rPr>
              <w:t>Staphylococcus aureus</w:t>
            </w:r>
          </w:p>
          <w:p w:rsidR="00FE5F22" w:rsidRPr="00120448" w:rsidRDefault="00FE5F22" w:rsidP="00FE5F22">
            <w:pPr>
              <w:pStyle w:val="ListParagraph"/>
              <w:numPr>
                <w:ilvl w:val="0"/>
                <w:numId w:val="2"/>
              </w:numPr>
              <w:rPr>
                <w:rFonts w:ascii="Times New Roman" w:hAnsi="Times New Roman" w:cs="Times New Roman"/>
                <w:b w:val="0"/>
                <w:i/>
                <w:sz w:val="23"/>
                <w:szCs w:val="23"/>
              </w:rPr>
            </w:pPr>
            <w:r w:rsidRPr="00120448">
              <w:rPr>
                <w:rFonts w:ascii="Times New Roman" w:hAnsi="Times New Roman" w:cs="Times New Roman"/>
                <w:b w:val="0"/>
                <w:i/>
                <w:sz w:val="23"/>
                <w:szCs w:val="23"/>
              </w:rPr>
              <w:t>Aspergillus fumigatus</w:t>
            </w:r>
          </w:p>
          <w:p w:rsidR="00FE5F22" w:rsidRPr="00866A37" w:rsidRDefault="00FE5F22" w:rsidP="00FE5F22">
            <w:pPr>
              <w:pStyle w:val="ListParagraph"/>
              <w:numPr>
                <w:ilvl w:val="0"/>
                <w:numId w:val="2"/>
              </w:numPr>
              <w:rPr>
                <w:rFonts w:ascii="Times New Roman" w:hAnsi="Times New Roman" w:cs="Times New Roman"/>
                <w:b w:val="0"/>
                <w:sz w:val="23"/>
                <w:szCs w:val="23"/>
              </w:rPr>
            </w:pPr>
            <w:r w:rsidRPr="00120448">
              <w:rPr>
                <w:rFonts w:ascii="Times New Roman" w:hAnsi="Times New Roman" w:cs="Times New Roman"/>
                <w:b w:val="0"/>
                <w:i/>
                <w:sz w:val="23"/>
                <w:szCs w:val="23"/>
              </w:rPr>
              <w:t>Exophiala</w:t>
            </w:r>
            <w:r w:rsidRPr="00120448">
              <w:rPr>
                <w:rFonts w:ascii="Times New Roman" w:hAnsi="Times New Roman" w:cs="Times New Roman"/>
                <w:b w:val="0"/>
                <w:sz w:val="23"/>
                <w:szCs w:val="23"/>
              </w:rPr>
              <w:t xml:space="preserve"> species</w:t>
            </w:r>
          </w:p>
          <w:p w:rsidR="00FE5F22" w:rsidRPr="00866A37" w:rsidRDefault="00FE5F22" w:rsidP="00FE5F22">
            <w:pPr>
              <w:pStyle w:val="ListParagraph"/>
              <w:numPr>
                <w:ilvl w:val="0"/>
                <w:numId w:val="2"/>
              </w:numPr>
              <w:rPr>
                <w:rFonts w:ascii="Times New Roman" w:hAnsi="Times New Roman" w:cs="Times New Roman"/>
                <w:sz w:val="23"/>
                <w:szCs w:val="23"/>
              </w:rPr>
            </w:pPr>
            <w:r w:rsidRPr="00866A37">
              <w:rPr>
                <w:rFonts w:ascii="Times New Roman" w:hAnsi="Times New Roman" w:cs="Times New Roman"/>
                <w:b w:val="0"/>
                <w:sz w:val="23"/>
                <w:szCs w:val="23"/>
              </w:rPr>
              <w:t>Other</w:t>
            </w:r>
          </w:p>
        </w:tc>
        <w:tc>
          <w:tcPr>
            <w:tcW w:w="1488" w:type="dxa"/>
            <w:tcBorders>
              <w:top w:val="single" w:sz="4" w:space="0" w:color="auto"/>
            </w:tcBorders>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 (2.2%)</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0</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0</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7 (15.2%)</w:t>
            </w:r>
          </w:p>
        </w:tc>
        <w:tc>
          <w:tcPr>
            <w:tcW w:w="1489" w:type="dxa"/>
            <w:tcBorders>
              <w:top w:val="single" w:sz="4" w:space="0" w:color="auto"/>
            </w:tcBorders>
          </w:tcPr>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9 (40.9%)</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 (4.5%)</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2 (9.1%)</w:t>
            </w:r>
          </w:p>
          <w:p w:rsidR="00FE5F22" w:rsidRPr="00120448" w:rsidRDefault="00FE5F22" w:rsidP="000224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3 (13.6%)</w:t>
            </w:r>
          </w:p>
        </w:tc>
      </w:tr>
      <w:tr w:rsidR="00FE5F22" w:rsidRPr="00120448" w:rsidTr="00022432">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bottom w:val="single" w:sz="8" w:space="0" w:color="000000" w:themeColor="text1"/>
            </w:tcBorders>
          </w:tcPr>
          <w:p w:rsidR="00FE5F22" w:rsidRPr="00120448" w:rsidRDefault="00FE5F22" w:rsidP="00022432">
            <w:pPr>
              <w:rPr>
                <w:rFonts w:ascii="Times New Roman" w:hAnsi="Times New Roman" w:cs="Times New Roman"/>
                <w:sz w:val="23"/>
                <w:szCs w:val="23"/>
              </w:rPr>
            </w:pPr>
            <w:r w:rsidRPr="00120448">
              <w:rPr>
                <w:rFonts w:ascii="Times New Roman" w:hAnsi="Times New Roman" w:cs="Times New Roman"/>
                <w:sz w:val="23"/>
                <w:szCs w:val="23"/>
              </w:rPr>
              <w:t>Antibiotic therapy</w:t>
            </w:r>
          </w:p>
          <w:p w:rsidR="00FE5F22" w:rsidRPr="00120448" w:rsidRDefault="00FE5F22" w:rsidP="00FE5F22">
            <w:pPr>
              <w:pStyle w:val="ListParagraph"/>
              <w:numPr>
                <w:ilvl w:val="0"/>
                <w:numId w:val="2"/>
              </w:numPr>
              <w:rPr>
                <w:rFonts w:ascii="Times New Roman" w:hAnsi="Times New Roman" w:cs="Times New Roman"/>
                <w:b w:val="0"/>
                <w:sz w:val="23"/>
                <w:szCs w:val="23"/>
              </w:rPr>
            </w:pPr>
            <w:r w:rsidRPr="00120448">
              <w:rPr>
                <w:rFonts w:ascii="Times New Roman" w:hAnsi="Times New Roman" w:cs="Times New Roman"/>
                <w:b w:val="0"/>
                <w:sz w:val="23"/>
                <w:szCs w:val="23"/>
              </w:rPr>
              <w:t>Current azithromycin use</w:t>
            </w:r>
          </w:p>
          <w:p w:rsidR="00FE5F22" w:rsidRPr="00120448" w:rsidRDefault="00FE5F22" w:rsidP="00FE5F22">
            <w:pPr>
              <w:pStyle w:val="ListParagraph"/>
              <w:numPr>
                <w:ilvl w:val="0"/>
                <w:numId w:val="2"/>
              </w:numPr>
              <w:rPr>
                <w:rFonts w:ascii="Times New Roman" w:hAnsi="Times New Roman" w:cs="Times New Roman"/>
                <w:b w:val="0"/>
                <w:i/>
                <w:sz w:val="23"/>
                <w:szCs w:val="23"/>
              </w:rPr>
            </w:pPr>
            <w:r w:rsidRPr="00120448">
              <w:rPr>
                <w:rFonts w:ascii="Times New Roman" w:hAnsi="Times New Roman" w:cs="Times New Roman"/>
                <w:b w:val="0"/>
                <w:sz w:val="23"/>
                <w:szCs w:val="23"/>
              </w:rPr>
              <w:t>Current inhaled anti-pseudomonal use</w:t>
            </w:r>
          </w:p>
          <w:p w:rsidR="00FE5F22" w:rsidRPr="00866A37" w:rsidRDefault="00FE5F22" w:rsidP="00FE5F22">
            <w:pPr>
              <w:pStyle w:val="ListParagraph"/>
              <w:numPr>
                <w:ilvl w:val="0"/>
                <w:numId w:val="2"/>
              </w:numPr>
              <w:rPr>
                <w:rFonts w:ascii="Times New Roman" w:hAnsi="Times New Roman" w:cs="Times New Roman"/>
                <w:b w:val="0"/>
                <w:sz w:val="23"/>
                <w:szCs w:val="23"/>
              </w:rPr>
            </w:pPr>
            <w:r w:rsidRPr="00120448">
              <w:rPr>
                <w:rFonts w:ascii="Times New Roman" w:hAnsi="Times New Roman" w:cs="Times New Roman"/>
                <w:b w:val="0"/>
                <w:sz w:val="23"/>
                <w:szCs w:val="23"/>
              </w:rPr>
              <w:t>Neither azithromycin n</w:t>
            </w:r>
            <w:r w:rsidRPr="00866A37">
              <w:rPr>
                <w:rFonts w:ascii="Times New Roman" w:hAnsi="Times New Roman" w:cs="Times New Roman"/>
                <w:b w:val="0"/>
                <w:sz w:val="23"/>
                <w:szCs w:val="23"/>
              </w:rPr>
              <w:t>or inhaled anti-pseudomonal use</w:t>
            </w:r>
          </w:p>
        </w:tc>
        <w:tc>
          <w:tcPr>
            <w:tcW w:w="1488" w:type="dxa"/>
            <w:tcBorders>
              <w:top w:val="single" w:sz="4" w:space="0" w:color="7F7F7F" w:themeColor="text1" w:themeTint="80"/>
              <w:bottom w:val="single" w:sz="8" w:space="0" w:color="000000" w:themeColor="text1"/>
            </w:tcBorders>
          </w:tcPr>
          <w:p w:rsidR="00FE5F22" w:rsidRPr="00866A37"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18 (39.1%)</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16 (34.8%)</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17 (37%)</w:t>
            </w:r>
          </w:p>
        </w:tc>
        <w:tc>
          <w:tcPr>
            <w:tcW w:w="1489" w:type="dxa"/>
            <w:tcBorders>
              <w:top w:val="single" w:sz="4" w:space="0" w:color="7F7F7F" w:themeColor="text1" w:themeTint="80"/>
              <w:bottom w:val="single" w:sz="8" w:space="0" w:color="000000" w:themeColor="text1"/>
            </w:tcBorders>
          </w:tcPr>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12 (54.5%)</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18 (81.8%)</w:t>
            </w:r>
          </w:p>
          <w:p w:rsidR="00FE5F22" w:rsidRPr="00120448" w:rsidRDefault="00FE5F22" w:rsidP="00022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120448">
              <w:rPr>
                <w:rFonts w:ascii="Times New Roman" w:hAnsi="Times New Roman" w:cs="Times New Roman"/>
                <w:sz w:val="23"/>
                <w:szCs w:val="23"/>
              </w:rPr>
              <w:t>1 (4.5%)</w:t>
            </w:r>
          </w:p>
        </w:tc>
      </w:tr>
    </w:tbl>
    <w:p w:rsidR="00FE5F22" w:rsidRPr="00120448" w:rsidRDefault="00FE5F22" w:rsidP="00FE5F22">
      <w:pPr>
        <w:pStyle w:val="NormalWeb"/>
        <w:spacing w:before="240" w:beforeAutospacing="0" w:after="0" w:afterAutospacing="0" w:line="360" w:lineRule="auto"/>
        <w:jc w:val="both"/>
        <w:rPr>
          <w:sz w:val="23"/>
          <w:szCs w:val="23"/>
        </w:rPr>
      </w:pPr>
      <w:r w:rsidRPr="00120448">
        <w:rPr>
          <w:b/>
          <w:sz w:val="23"/>
          <w:szCs w:val="23"/>
          <w:shd w:val="clear" w:color="auto" w:fill="FFFFFF"/>
        </w:rPr>
        <w:t xml:space="preserve">Table S1. Patient demographics for </w:t>
      </w:r>
      <w:r w:rsidR="003A0434">
        <w:rPr>
          <w:b/>
          <w:sz w:val="23"/>
          <w:szCs w:val="23"/>
          <w:shd w:val="clear" w:color="auto" w:fill="FFFFFF"/>
        </w:rPr>
        <w:t xml:space="preserve">PA-positive </w:t>
      </w:r>
      <w:r w:rsidRPr="00120448">
        <w:rPr>
          <w:b/>
          <w:sz w:val="23"/>
          <w:szCs w:val="23"/>
          <w:shd w:val="clear" w:color="auto" w:fill="FFFFFF"/>
        </w:rPr>
        <w:t>NCFB and CF cohorts.</w:t>
      </w:r>
    </w:p>
    <w:p w:rsidR="00FE5F22" w:rsidRPr="00120448" w:rsidRDefault="00FE5F22">
      <w:pPr>
        <w:rPr>
          <w:rFonts w:ascii="Times New Roman" w:eastAsia="Times New Roman" w:hAnsi="Times New Roman" w:cs="Times New Roman"/>
          <w:b/>
          <w:sz w:val="23"/>
          <w:szCs w:val="23"/>
          <w:lang w:eastAsia="en-GB"/>
        </w:rPr>
      </w:pPr>
      <w:r w:rsidRPr="00120448">
        <w:rPr>
          <w:rFonts w:ascii="Times New Roman" w:hAnsi="Times New Roman" w:cs="Times New Roman"/>
          <w:b/>
          <w:sz w:val="23"/>
          <w:szCs w:val="23"/>
        </w:rPr>
        <w:br w:type="page"/>
      </w:r>
    </w:p>
    <w:p w:rsidR="00FE5F22" w:rsidRPr="00120448" w:rsidRDefault="00FE5F22" w:rsidP="00120448">
      <w:pPr>
        <w:pStyle w:val="NormalWeb"/>
        <w:spacing w:before="240" w:beforeAutospacing="0" w:after="0" w:afterAutospacing="0" w:line="360" w:lineRule="auto"/>
        <w:jc w:val="both"/>
        <w:rPr>
          <w:b/>
          <w:sz w:val="23"/>
          <w:szCs w:val="23"/>
        </w:rPr>
      </w:pPr>
      <w:r w:rsidRPr="00120448">
        <w:rPr>
          <w:b/>
          <w:sz w:val="23"/>
          <w:szCs w:val="23"/>
        </w:rPr>
        <w:lastRenderedPageBreak/>
        <w:t>Recruitment and analysis of non-respiratory cohort</w:t>
      </w:r>
    </w:p>
    <w:p w:rsidR="00FE5F22" w:rsidRPr="00120448" w:rsidRDefault="00FE5F22" w:rsidP="00120448">
      <w:pPr>
        <w:pStyle w:val="NormalWeb"/>
        <w:spacing w:before="240" w:beforeAutospacing="0" w:after="0" w:afterAutospacing="0" w:line="360" w:lineRule="auto"/>
        <w:jc w:val="both"/>
        <w:rPr>
          <w:sz w:val="23"/>
          <w:szCs w:val="23"/>
        </w:rPr>
      </w:pPr>
      <w:r w:rsidRPr="00866A37">
        <w:rPr>
          <w:sz w:val="23"/>
          <w:szCs w:val="23"/>
        </w:rPr>
        <w:t xml:space="preserve">Recruitment and consent were not required for the prospectively collected non-respiratory isolates. No patient details were known to the investigators beyond the disease site (e.g. wound) and whether the specimens were from the </w:t>
      </w:r>
      <w:r w:rsidRPr="00120448">
        <w:rPr>
          <w:sz w:val="23"/>
          <w:szCs w:val="23"/>
        </w:rPr>
        <w:t xml:space="preserve">community or within the hospital. Confirmation of PA identity was performed as described above. </w:t>
      </w:r>
    </w:p>
    <w:p w:rsidR="00FE5F22" w:rsidRPr="00120448" w:rsidRDefault="00FE5F22" w:rsidP="00120448">
      <w:pPr>
        <w:pStyle w:val="NormalWeb"/>
        <w:spacing w:before="240" w:beforeAutospacing="0" w:after="0" w:afterAutospacing="0" w:line="360" w:lineRule="auto"/>
        <w:jc w:val="both"/>
        <w:rPr>
          <w:sz w:val="23"/>
          <w:szCs w:val="23"/>
        </w:rPr>
      </w:pPr>
    </w:p>
    <w:p w:rsidR="00FE5F22" w:rsidRPr="00120448" w:rsidRDefault="00310587" w:rsidP="00120448">
      <w:pPr>
        <w:pStyle w:val="NormalWeb"/>
        <w:spacing w:before="240" w:beforeAutospacing="0" w:after="0" w:afterAutospacing="0" w:line="360" w:lineRule="auto"/>
        <w:jc w:val="both"/>
        <w:rPr>
          <w:b/>
          <w:sz w:val="23"/>
          <w:szCs w:val="23"/>
        </w:rPr>
      </w:pPr>
      <w:r>
        <w:rPr>
          <w:b/>
          <w:sz w:val="23"/>
          <w:szCs w:val="23"/>
        </w:rPr>
        <w:t>Genotyping pipeline by RAPD and MLST</w:t>
      </w:r>
    </w:p>
    <w:p w:rsidR="00FE5F22" w:rsidRPr="00120448" w:rsidRDefault="00FE5F22" w:rsidP="00120448">
      <w:pPr>
        <w:pStyle w:val="NormalWeb"/>
        <w:spacing w:before="240" w:beforeAutospacing="0" w:after="0" w:afterAutospacing="0" w:line="360" w:lineRule="auto"/>
        <w:jc w:val="both"/>
        <w:rPr>
          <w:sz w:val="23"/>
          <w:szCs w:val="23"/>
        </w:rPr>
      </w:pPr>
      <w:r w:rsidRPr="00120448">
        <w:rPr>
          <w:sz w:val="23"/>
          <w:szCs w:val="23"/>
        </w:rPr>
        <w:t xml:space="preserve">RAPD analysis of PA from NCFB and CF cohorts was initially performed one patient at a time to facilitate the visualisation of all unique RAPD profiles within the 10 isolates per patient. The criteria for visually defining a unique RAPD profile was (a) the presence/absence of a major band, (b) the presence/absence of two minor bands, or (c) a difference in one band being major/minor and the presence/absence of another band. From each patient, a representative of each unique profile </w:t>
      </w:r>
      <w:r w:rsidR="00310587">
        <w:rPr>
          <w:sz w:val="23"/>
          <w:szCs w:val="23"/>
        </w:rPr>
        <w:t xml:space="preserve">(based on visual inspection) </w:t>
      </w:r>
      <w:r w:rsidRPr="00120448">
        <w:rPr>
          <w:sz w:val="23"/>
          <w:szCs w:val="23"/>
        </w:rPr>
        <w:t xml:space="preserve">was taken forward for repeat RAPD </w:t>
      </w:r>
      <w:r w:rsidR="00310587">
        <w:rPr>
          <w:sz w:val="23"/>
          <w:szCs w:val="23"/>
        </w:rPr>
        <w:t xml:space="preserve">analysis within a single batch </w:t>
      </w:r>
      <w:r w:rsidRPr="00120448">
        <w:rPr>
          <w:sz w:val="23"/>
          <w:szCs w:val="23"/>
        </w:rPr>
        <w:t>encompassing repr</w:t>
      </w:r>
      <w:r w:rsidR="00310587">
        <w:rPr>
          <w:sz w:val="23"/>
          <w:szCs w:val="23"/>
        </w:rPr>
        <w:t xml:space="preserve">esentatives from all patients.  </w:t>
      </w:r>
      <w:r w:rsidR="00310587" w:rsidRPr="00120448">
        <w:rPr>
          <w:sz w:val="23"/>
          <w:szCs w:val="23"/>
        </w:rPr>
        <w:t>This same selection of representative isolates was subjected to MLST analysis</w:t>
      </w:r>
      <w:r w:rsidR="00310587">
        <w:rPr>
          <w:sz w:val="23"/>
          <w:szCs w:val="23"/>
        </w:rPr>
        <w:t xml:space="preserve"> to enable strain identification</w:t>
      </w:r>
      <w:r w:rsidR="003E1518">
        <w:rPr>
          <w:sz w:val="23"/>
          <w:szCs w:val="23"/>
        </w:rPr>
        <w:t xml:space="preserve"> in a global context</w:t>
      </w:r>
      <w:r w:rsidR="00310587" w:rsidRPr="00120448">
        <w:rPr>
          <w:sz w:val="23"/>
          <w:szCs w:val="23"/>
        </w:rPr>
        <w:t>.</w:t>
      </w:r>
      <w:r w:rsidR="00310587">
        <w:rPr>
          <w:sz w:val="23"/>
          <w:szCs w:val="23"/>
        </w:rPr>
        <w:t xml:space="preserve"> For the repeat RAPD analysis, RAPD profiles were analysed</w:t>
      </w:r>
      <w:r w:rsidR="00310587" w:rsidRPr="00120448">
        <w:rPr>
          <w:sz w:val="23"/>
          <w:szCs w:val="23"/>
        </w:rPr>
        <w:t xml:space="preserve"> via microfluidic amplicon separation (Agilent 2100 Bioanalyser)</w:t>
      </w:r>
      <w:r w:rsidR="003E1518">
        <w:rPr>
          <w:sz w:val="23"/>
          <w:szCs w:val="23"/>
        </w:rPr>
        <w:t>,</w:t>
      </w:r>
      <w:r w:rsidR="00310587">
        <w:rPr>
          <w:sz w:val="23"/>
          <w:szCs w:val="23"/>
        </w:rPr>
        <w:t xml:space="preserve"> with cluster analysis subsequently performed using Gelcompar II software (Applied Maths)</w:t>
      </w:r>
      <w:r w:rsidR="003E1518">
        <w:rPr>
          <w:sz w:val="23"/>
          <w:szCs w:val="23"/>
        </w:rPr>
        <w:t>, with Pearson’s Method and 2% optimisation. A typical RAPD-derived</w:t>
      </w:r>
      <w:r w:rsidR="00310587" w:rsidRPr="00120448">
        <w:rPr>
          <w:sz w:val="23"/>
          <w:szCs w:val="23"/>
        </w:rPr>
        <w:t xml:space="preserve"> dendrogram </w:t>
      </w:r>
      <w:r w:rsidR="003E1518">
        <w:rPr>
          <w:sz w:val="23"/>
          <w:szCs w:val="23"/>
        </w:rPr>
        <w:t>is shown</w:t>
      </w:r>
      <w:r w:rsidR="00310587" w:rsidRPr="00120448">
        <w:rPr>
          <w:sz w:val="23"/>
          <w:szCs w:val="23"/>
        </w:rPr>
        <w:t xml:space="preserve"> in Fig</w:t>
      </w:r>
      <w:r w:rsidR="00310587">
        <w:rPr>
          <w:sz w:val="23"/>
          <w:szCs w:val="23"/>
        </w:rPr>
        <w:t>.</w:t>
      </w:r>
      <w:r w:rsidR="00310587" w:rsidRPr="00120448">
        <w:rPr>
          <w:sz w:val="23"/>
          <w:szCs w:val="23"/>
        </w:rPr>
        <w:t xml:space="preserve"> S1</w:t>
      </w:r>
      <w:r w:rsidR="003E1518">
        <w:rPr>
          <w:sz w:val="23"/>
          <w:szCs w:val="23"/>
        </w:rPr>
        <w:t>, which depicts all representative NCFB isolates</w:t>
      </w:r>
      <w:r w:rsidR="00310587" w:rsidRPr="00120448">
        <w:rPr>
          <w:sz w:val="23"/>
          <w:szCs w:val="23"/>
        </w:rPr>
        <w:t xml:space="preserve">. </w:t>
      </w:r>
      <w:r w:rsidR="003E1518">
        <w:rPr>
          <w:sz w:val="23"/>
          <w:szCs w:val="23"/>
        </w:rPr>
        <w:t>A 90% similarity</w:t>
      </w:r>
      <w:r w:rsidR="00090C2B" w:rsidRPr="0017660E">
        <w:rPr>
          <w:sz w:val="23"/>
          <w:szCs w:val="23"/>
        </w:rPr>
        <w:t xml:space="preserve"> </w:t>
      </w:r>
      <w:r w:rsidR="003E1518">
        <w:rPr>
          <w:sz w:val="23"/>
          <w:szCs w:val="23"/>
        </w:rPr>
        <w:t>cut-off was used to identify clusters of isolates. All isolates depicted in Fig. S1 were subjected to MLST analysis, regardless of whether they were deemed to be unique (&lt;90 % similarity to other isolates) or part of a cluster (≥90% similarity with other isolates).</w:t>
      </w:r>
    </w:p>
    <w:p w:rsidR="00FE5F22" w:rsidRPr="00120448" w:rsidRDefault="00FE5F22">
      <w:pPr>
        <w:rPr>
          <w:rFonts w:ascii="Times New Roman" w:hAnsi="Times New Roman" w:cs="Times New Roman"/>
          <w:sz w:val="23"/>
          <w:szCs w:val="23"/>
        </w:rPr>
      </w:pPr>
      <w:r w:rsidRPr="00120448">
        <w:rPr>
          <w:rFonts w:ascii="Times New Roman" w:hAnsi="Times New Roman" w:cs="Times New Roman"/>
          <w:sz w:val="23"/>
          <w:szCs w:val="23"/>
        </w:rPr>
        <w:br w:type="page"/>
      </w:r>
    </w:p>
    <w:p w:rsidR="00FE5F22" w:rsidRPr="00120448" w:rsidRDefault="00FE5F22" w:rsidP="00FE5F22">
      <w:pPr>
        <w:pStyle w:val="NormalWeb"/>
        <w:spacing w:before="0" w:beforeAutospacing="0" w:after="0" w:afterAutospacing="0" w:line="480" w:lineRule="auto"/>
        <w:jc w:val="both"/>
        <w:rPr>
          <w:sz w:val="23"/>
          <w:szCs w:val="23"/>
        </w:rPr>
      </w:pPr>
      <w:r w:rsidRPr="00120448">
        <w:rPr>
          <w:noProof/>
          <w:sz w:val="23"/>
          <w:szCs w:val="23"/>
        </w:rPr>
        <w:lastRenderedPageBreak/>
        <w:drawing>
          <wp:inline distT="0" distB="0" distL="0" distR="0" wp14:anchorId="4EF5A0C2" wp14:editId="402517A1">
            <wp:extent cx="6119331" cy="7470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APDDENDRO.tif"/>
                    <pic:cNvPicPr/>
                  </pic:nvPicPr>
                  <pic:blipFill rotWithShape="1">
                    <a:blip r:embed="rId7" cstate="print">
                      <a:extLst>
                        <a:ext uri="{28A0092B-C50C-407E-A947-70E740481C1C}">
                          <a14:useLocalDpi xmlns:a14="http://schemas.microsoft.com/office/drawing/2010/main" val="0"/>
                        </a:ext>
                      </a:extLst>
                    </a:blip>
                    <a:srcRect t="4072" b="11416"/>
                    <a:stretch/>
                  </pic:blipFill>
                  <pic:spPr bwMode="auto">
                    <a:xfrm>
                      <a:off x="0" y="0"/>
                      <a:ext cx="6120130" cy="7471237"/>
                    </a:xfrm>
                    <a:prstGeom prst="rect">
                      <a:avLst/>
                    </a:prstGeom>
                    <a:ln>
                      <a:noFill/>
                    </a:ln>
                    <a:extLst>
                      <a:ext uri="{53640926-AAD7-44D8-BBD7-CCE9431645EC}">
                        <a14:shadowObscured xmlns:a14="http://schemas.microsoft.com/office/drawing/2010/main"/>
                      </a:ext>
                    </a:extLst>
                  </pic:spPr>
                </pic:pic>
              </a:graphicData>
            </a:graphic>
          </wp:inline>
        </w:drawing>
      </w:r>
    </w:p>
    <w:p w:rsidR="00FE5F22" w:rsidRPr="00120448" w:rsidRDefault="00FE5F22" w:rsidP="00FE5F22">
      <w:pPr>
        <w:pStyle w:val="NormalWeb"/>
        <w:spacing w:before="240" w:beforeAutospacing="0" w:after="0" w:afterAutospacing="0" w:line="360" w:lineRule="auto"/>
        <w:jc w:val="both"/>
        <w:rPr>
          <w:b/>
          <w:sz w:val="23"/>
          <w:szCs w:val="23"/>
        </w:rPr>
      </w:pPr>
      <w:r w:rsidRPr="00120448">
        <w:rPr>
          <w:b/>
          <w:sz w:val="23"/>
          <w:szCs w:val="23"/>
        </w:rPr>
        <w:t xml:space="preserve">Fig. S1. Dendrogram of RAPD profiles of NCFB PA isolates, derived using microfluidic amplicon separation (Agilent 2100 Bioanalyser). </w:t>
      </w:r>
      <w:r w:rsidRPr="00120448">
        <w:rPr>
          <w:sz w:val="23"/>
          <w:szCs w:val="23"/>
        </w:rPr>
        <w:t>The d</w:t>
      </w:r>
      <w:r w:rsidRPr="00866A37">
        <w:rPr>
          <w:sz w:val="23"/>
          <w:szCs w:val="23"/>
        </w:rPr>
        <w:t>endrogram was produced using Gelcompar II (Applied Maths) with Pearson’s method and 2% optimisation.</w:t>
      </w:r>
      <w:r w:rsidRPr="00120448">
        <w:rPr>
          <w:sz w:val="23"/>
          <w:szCs w:val="23"/>
        </w:rPr>
        <w:t xml:space="preserve"> A 90% cut-off (denoted by the vertical blue line) was used to identify clusters. </w:t>
      </w:r>
    </w:p>
    <w:p w:rsidR="00FE5F22" w:rsidRPr="00120448" w:rsidRDefault="00FE5F22">
      <w:pPr>
        <w:rPr>
          <w:rFonts w:ascii="Times New Roman" w:eastAsia="Times New Roman" w:hAnsi="Times New Roman" w:cs="Times New Roman"/>
          <w:sz w:val="23"/>
          <w:szCs w:val="23"/>
          <w:lang w:eastAsia="en-GB"/>
        </w:rPr>
      </w:pPr>
      <w:r w:rsidRPr="00120448">
        <w:rPr>
          <w:rFonts w:ascii="Times New Roman" w:hAnsi="Times New Roman" w:cs="Times New Roman"/>
          <w:sz w:val="23"/>
          <w:szCs w:val="23"/>
        </w:rPr>
        <w:br w:type="page"/>
      </w:r>
    </w:p>
    <w:p w:rsidR="004D5F1B" w:rsidRPr="00120448" w:rsidRDefault="004D5F1B" w:rsidP="00120448">
      <w:pPr>
        <w:pStyle w:val="NormalWeb"/>
        <w:spacing w:before="240" w:beforeAutospacing="0" w:after="0" w:afterAutospacing="0" w:line="360" w:lineRule="auto"/>
        <w:jc w:val="both"/>
        <w:rPr>
          <w:b/>
          <w:sz w:val="23"/>
          <w:szCs w:val="23"/>
        </w:rPr>
      </w:pPr>
      <w:r w:rsidRPr="00120448">
        <w:rPr>
          <w:b/>
          <w:sz w:val="23"/>
          <w:szCs w:val="23"/>
        </w:rPr>
        <w:lastRenderedPageBreak/>
        <w:t xml:space="preserve">Whole genome sequencing &amp; SNP </w:t>
      </w:r>
      <w:r w:rsidR="0037033C" w:rsidRPr="00120448">
        <w:rPr>
          <w:b/>
          <w:sz w:val="23"/>
          <w:szCs w:val="23"/>
        </w:rPr>
        <w:t>distance matrices</w:t>
      </w:r>
    </w:p>
    <w:p w:rsidR="004D5F1B" w:rsidRPr="00120448" w:rsidRDefault="004D5F1B" w:rsidP="00120448">
      <w:pPr>
        <w:pStyle w:val="NormalWeb"/>
        <w:spacing w:before="240" w:beforeAutospacing="0" w:after="0" w:afterAutospacing="0" w:line="360" w:lineRule="auto"/>
        <w:jc w:val="both"/>
        <w:rPr>
          <w:sz w:val="23"/>
          <w:szCs w:val="23"/>
        </w:rPr>
      </w:pPr>
      <w:r w:rsidRPr="00120448">
        <w:rPr>
          <w:sz w:val="23"/>
          <w:szCs w:val="23"/>
        </w:rPr>
        <w:t>Data was generated on a single run of an Illumina MiSeq system using 2 x 300bp read lengths. Analysis was carried out using the MRC CLIMB infrastructure [1] using a Virtual Machine pre-installed with the Nullarbor package (</w:t>
      </w:r>
      <w:r w:rsidRPr="00866A37">
        <w:rPr>
          <w:sz w:val="23"/>
          <w:szCs w:val="23"/>
        </w:rPr>
        <w:t>https://github.com/tseemann/nullarbor) to generate core genome variants, characterise MLST profiles, resistome, SNP distance matrices and generate a pan-genome report. Nullarbor trims low quality and adaptors present in reads using Trimmomatic</w:t>
      </w:r>
      <w:r w:rsidR="00B57E5B" w:rsidRPr="00120448">
        <w:rPr>
          <w:sz w:val="23"/>
          <w:szCs w:val="23"/>
        </w:rPr>
        <w:t xml:space="preserve"> [2]</w:t>
      </w:r>
      <w:r w:rsidRPr="00120448">
        <w:rPr>
          <w:sz w:val="23"/>
          <w:szCs w:val="23"/>
        </w:rPr>
        <w:t>, Kraken</w:t>
      </w:r>
      <w:r w:rsidR="00B57E5B" w:rsidRPr="00120448">
        <w:rPr>
          <w:sz w:val="23"/>
          <w:szCs w:val="23"/>
        </w:rPr>
        <w:t xml:space="preserve"> [3]</w:t>
      </w:r>
      <w:r w:rsidRPr="00120448">
        <w:rPr>
          <w:sz w:val="23"/>
          <w:szCs w:val="23"/>
        </w:rPr>
        <w:t xml:space="preserve"> to assign reads to taxonomic groups along with SPAdes [4] to assemble genomes (using the --accurate option). Annotation was performed using Prokka [5] and variants called with Snippy (</w:t>
      </w:r>
      <w:hyperlink r:id="rId8" w:history="1">
        <w:r w:rsidR="00120448" w:rsidRPr="00120448">
          <w:rPr>
            <w:rStyle w:val="Hyperlink"/>
            <w:sz w:val="23"/>
            <w:szCs w:val="23"/>
          </w:rPr>
          <w:t>https://github.com/tseemann/snippy</w:t>
        </w:r>
      </w:hyperlink>
      <w:r w:rsidRPr="00120448">
        <w:rPr>
          <w:sz w:val="23"/>
          <w:szCs w:val="23"/>
        </w:rPr>
        <w:t xml:space="preserve">). </w:t>
      </w:r>
    </w:p>
    <w:p w:rsidR="00120448" w:rsidRPr="00120448" w:rsidRDefault="00E24F52" w:rsidP="00120448">
      <w:pPr>
        <w:pStyle w:val="NormalWeb"/>
        <w:spacing w:before="240" w:beforeAutospacing="0" w:after="0" w:afterAutospacing="0" w:line="360" w:lineRule="auto"/>
        <w:jc w:val="both"/>
        <w:rPr>
          <w:sz w:val="23"/>
          <w:szCs w:val="23"/>
        </w:rPr>
      </w:pPr>
      <w:r>
        <w:rPr>
          <w:sz w:val="23"/>
          <w:szCs w:val="23"/>
        </w:rPr>
        <w:t>R</w:t>
      </w:r>
      <w:r w:rsidR="00120448" w:rsidRPr="00120448">
        <w:rPr>
          <w:sz w:val="23"/>
          <w:szCs w:val="23"/>
        </w:rPr>
        <w:t xml:space="preserve">elevant reference genomes obtained from the </w:t>
      </w:r>
      <w:r w:rsidR="00120448" w:rsidRPr="00120448">
        <w:rPr>
          <w:i/>
          <w:sz w:val="23"/>
          <w:szCs w:val="23"/>
        </w:rPr>
        <w:t>Pseudomonas</w:t>
      </w:r>
      <w:r w:rsidR="00120448" w:rsidRPr="00120448">
        <w:rPr>
          <w:sz w:val="23"/>
          <w:szCs w:val="23"/>
        </w:rPr>
        <w:t xml:space="preserve"> Genome Database [</w:t>
      </w:r>
      <w:r w:rsidR="00120448">
        <w:rPr>
          <w:sz w:val="23"/>
          <w:szCs w:val="23"/>
        </w:rPr>
        <w:t>6</w:t>
      </w:r>
      <w:r w:rsidR="00120448" w:rsidRPr="00120448">
        <w:rPr>
          <w:sz w:val="23"/>
          <w:szCs w:val="23"/>
        </w:rPr>
        <w:t>]</w:t>
      </w:r>
      <w:r>
        <w:rPr>
          <w:sz w:val="23"/>
          <w:szCs w:val="23"/>
        </w:rPr>
        <w:t xml:space="preserve"> were included in our analysis to enable isolates to be compared to clonally-unrelated representatives of the same sequence type</w:t>
      </w:r>
      <w:r w:rsidR="00120448" w:rsidRPr="00120448">
        <w:rPr>
          <w:sz w:val="23"/>
          <w:szCs w:val="23"/>
        </w:rPr>
        <w:t xml:space="preserve">. By cross-reference to the </w:t>
      </w:r>
      <w:r w:rsidR="00120448" w:rsidRPr="00120448">
        <w:rPr>
          <w:i/>
          <w:sz w:val="23"/>
          <w:szCs w:val="23"/>
        </w:rPr>
        <w:t>Pseudomonas aeruginosa</w:t>
      </w:r>
      <w:r w:rsidR="00120448" w:rsidRPr="00120448">
        <w:rPr>
          <w:sz w:val="23"/>
          <w:szCs w:val="23"/>
        </w:rPr>
        <w:t xml:space="preserve"> MLST Database (</w:t>
      </w:r>
      <w:hyperlink r:id="rId9" w:history="1">
        <w:r w:rsidR="00120448" w:rsidRPr="00120448">
          <w:rPr>
            <w:rStyle w:val="Hyperlink"/>
            <w:sz w:val="23"/>
            <w:szCs w:val="23"/>
          </w:rPr>
          <w:t>https://pubmlst.org/paeruginosa/</w:t>
        </w:r>
      </w:hyperlink>
      <w:r w:rsidR="00120448" w:rsidRPr="00120448">
        <w:rPr>
          <w:sz w:val="23"/>
          <w:szCs w:val="23"/>
        </w:rPr>
        <w:t xml:space="preserve">; [7]), three genomes were selected for each Sequence Type (ST) of interest (with the exception of ST564 for which no publicly-available genomes were available). </w:t>
      </w:r>
      <w:r w:rsidR="00120448" w:rsidRPr="00866A37">
        <w:rPr>
          <w:sz w:val="23"/>
          <w:szCs w:val="23"/>
        </w:rPr>
        <w:t>Relevant genomes (Table S2) were selected on the basis of them being either complete or with a high Contig N50.</w:t>
      </w:r>
      <w:r w:rsidR="00120448" w:rsidRPr="00120448">
        <w:rPr>
          <w:sz w:val="23"/>
          <w:szCs w:val="23"/>
        </w:rPr>
        <w:t xml:space="preserve"> In order for these genomes to be incorporated into the Nullarbor package, the genomes were processed using the wgsim package (v 0.3.2) to generate simulated short paired-end reads for re-assembly. The following parameters were used to generate 2x300bp reads with zero changes with respect to the reference genome -e 0.000000 -d 600 -1 300 -2 300 -r 0.000000 –R 0.0000 -X 0.0000 -h -s 0 -N 1100000 -A 0.000.</w:t>
      </w:r>
    </w:p>
    <w:p w:rsidR="00120448" w:rsidRDefault="00120448">
      <w:pPr>
        <w:rPr>
          <w:rFonts w:ascii="Times New Roman" w:eastAsia="Times New Roman" w:hAnsi="Times New Roman" w:cs="Times New Roman"/>
          <w:sz w:val="23"/>
          <w:szCs w:val="23"/>
          <w:lang w:eastAsia="en-GB"/>
        </w:rPr>
      </w:pPr>
      <w:r>
        <w:rPr>
          <w:sz w:val="23"/>
          <w:szCs w:val="23"/>
        </w:rPr>
        <w:br w:type="page"/>
      </w:r>
    </w:p>
    <w:p w:rsidR="00FE5F22" w:rsidRPr="00120448" w:rsidRDefault="00FE5F22" w:rsidP="00120448">
      <w:pPr>
        <w:pStyle w:val="NormalWeb"/>
        <w:spacing w:before="240" w:beforeAutospacing="0" w:after="0" w:afterAutospacing="0" w:line="360" w:lineRule="auto"/>
        <w:jc w:val="both"/>
        <w:rPr>
          <w:sz w:val="23"/>
          <w:szCs w:val="23"/>
        </w:rPr>
      </w:pPr>
    </w:p>
    <w:tbl>
      <w:tblPr>
        <w:tblStyle w:val="PlainTable2"/>
        <w:tblW w:w="9781" w:type="dxa"/>
        <w:jc w:val="center"/>
        <w:tblLook w:val="04A0" w:firstRow="1" w:lastRow="0" w:firstColumn="1" w:lastColumn="0" w:noHBand="0" w:noVBand="1"/>
      </w:tblPr>
      <w:tblGrid>
        <w:gridCol w:w="993"/>
        <w:gridCol w:w="1842"/>
        <w:gridCol w:w="2127"/>
        <w:gridCol w:w="3402"/>
        <w:gridCol w:w="1417"/>
      </w:tblGrid>
      <w:tr w:rsidR="00120448" w:rsidRPr="0017660E" w:rsidTr="00022432">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bottom w:val="single" w:sz="8" w:space="0" w:color="auto"/>
            </w:tcBorders>
            <w:vAlign w:val="center"/>
          </w:tcPr>
          <w:p w:rsidR="00120448" w:rsidRPr="0017660E" w:rsidRDefault="00120448" w:rsidP="00022432">
            <w:pPr>
              <w:pStyle w:val="NormalWeb"/>
              <w:spacing w:before="0" w:beforeAutospacing="0" w:after="0" w:afterAutospacing="0"/>
              <w:rPr>
                <w:sz w:val="23"/>
                <w:szCs w:val="23"/>
              </w:rPr>
            </w:pPr>
            <w:r w:rsidRPr="0017660E">
              <w:rPr>
                <w:sz w:val="23"/>
                <w:szCs w:val="23"/>
              </w:rPr>
              <w:t>ST type</w:t>
            </w:r>
          </w:p>
        </w:tc>
        <w:tc>
          <w:tcPr>
            <w:tcW w:w="1842" w:type="dxa"/>
            <w:tcBorders>
              <w:top w:val="single" w:sz="8" w:space="0" w:color="auto"/>
              <w:bottom w:val="single" w:sz="8" w:space="0" w:color="auto"/>
            </w:tcBorders>
            <w:vAlign w:val="center"/>
          </w:tcPr>
          <w:p w:rsidR="00120448" w:rsidRPr="0017660E" w:rsidRDefault="00120448" w:rsidP="0002243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sz w:val="23"/>
                <w:szCs w:val="23"/>
              </w:rPr>
            </w:pPr>
            <w:r w:rsidRPr="0017660E">
              <w:rPr>
                <w:sz w:val="23"/>
                <w:szCs w:val="23"/>
              </w:rPr>
              <w:t>Isolate identifier</w:t>
            </w:r>
          </w:p>
        </w:tc>
        <w:tc>
          <w:tcPr>
            <w:tcW w:w="2127" w:type="dxa"/>
            <w:tcBorders>
              <w:top w:val="single" w:sz="8" w:space="0" w:color="auto"/>
              <w:bottom w:val="single" w:sz="8" w:space="0" w:color="auto"/>
            </w:tcBorders>
            <w:vAlign w:val="center"/>
          </w:tcPr>
          <w:p w:rsidR="00120448" w:rsidRPr="0017660E" w:rsidRDefault="00120448" w:rsidP="0002243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sz w:val="23"/>
                <w:szCs w:val="23"/>
              </w:rPr>
            </w:pPr>
            <w:r w:rsidRPr="0017660E">
              <w:rPr>
                <w:sz w:val="23"/>
                <w:szCs w:val="23"/>
              </w:rPr>
              <w:t>Accession Number</w:t>
            </w:r>
          </w:p>
        </w:tc>
        <w:tc>
          <w:tcPr>
            <w:tcW w:w="3402" w:type="dxa"/>
            <w:tcBorders>
              <w:top w:val="single" w:sz="8" w:space="0" w:color="auto"/>
              <w:bottom w:val="single" w:sz="8" w:space="0" w:color="auto"/>
            </w:tcBorders>
            <w:vAlign w:val="center"/>
          </w:tcPr>
          <w:p w:rsidR="00120448" w:rsidRPr="0017660E" w:rsidRDefault="00120448" w:rsidP="0002243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sz w:val="23"/>
                <w:szCs w:val="23"/>
              </w:rPr>
            </w:pPr>
            <w:r w:rsidRPr="0017660E">
              <w:rPr>
                <w:sz w:val="23"/>
                <w:szCs w:val="23"/>
              </w:rPr>
              <w:t>Origin</w:t>
            </w:r>
          </w:p>
        </w:tc>
        <w:tc>
          <w:tcPr>
            <w:tcW w:w="1417" w:type="dxa"/>
            <w:tcBorders>
              <w:top w:val="single" w:sz="8" w:space="0" w:color="auto"/>
              <w:bottom w:val="single" w:sz="8" w:space="0" w:color="auto"/>
            </w:tcBorders>
          </w:tcPr>
          <w:p w:rsidR="00120448" w:rsidRPr="0017660E" w:rsidRDefault="00120448" w:rsidP="0002243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sz w:val="23"/>
                <w:szCs w:val="23"/>
              </w:rPr>
            </w:pPr>
            <w:r w:rsidRPr="0017660E">
              <w:rPr>
                <w:sz w:val="23"/>
                <w:szCs w:val="23"/>
              </w:rPr>
              <w:t>Country</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8" w:space="0" w:color="auto"/>
            </w:tcBorders>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17</w:t>
            </w:r>
          </w:p>
        </w:tc>
        <w:tc>
          <w:tcPr>
            <w:tcW w:w="1842" w:type="dxa"/>
            <w:tcBorders>
              <w:top w:val="single" w:sz="8" w:space="0" w:color="auto"/>
            </w:tcBorders>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BL02</w:t>
            </w:r>
          </w:p>
        </w:tc>
        <w:tc>
          <w:tcPr>
            <w:tcW w:w="2127" w:type="dxa"/>
            <w:tcBorders>
              <w:top w:val="single" w:sz="8" w:space="0" w:color="auto"/>
            </w:tcBorders>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SAMN02360715</w:t>
            </w:r>
          </w:p>
        </w:tc>
        <w:tc>
          <w:tcPr>
            <w:tcW w:w="3402" w:type="dxa"/>
            <w:tcBorders>
              <w:top w:val="single" w:sz="8" w:space="0" w:color="auto"/>
            </w:tcBorders>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 (Vitreous fluid)</w:t>
            </w:r>
          </w:p>
        </w:tc>
        <w:tc>
          <w:tcPr>
            <w:tcW w:w="1417" w:type="dxa"/>
            <w:tcBorders>
              <w:top w:val="single" w:sz="8" w:space="0" w:color="auto"/>
            </w:tcBorders>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C20</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SAMN02360744</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ENV</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Unknown</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C23</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SAMN02360745</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ENV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Unknown</w:t>
            </w:r>
          </w:p>
        </w:tc>
      </w:tr>
      <w:tr w:rsidR="00120448" w:rsidRPr="0017660E" w:rsidTr="00022432">
        <w:trPr>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27</w:t>
            </w: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AZPAE14980</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SAMN03105677</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 (Intra-abdominal)</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USA</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BWHPSA011</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SAMN02360683</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 (Tissue middle turbinate)</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BWHPSA022</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SAMN02360694</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 (Sputum)</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USA</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146</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LES431</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SAMN02641592</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 (Parent of CF patient)</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UK</w:t>
            </w:r>
          </w:p>
        </w:tc>
      </w:tr>
      <w:tr w:rsidR="00120448" w:rsidRPr="0017660E" w:rsidTr="00022432">
        <w:trPr>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LESB58</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SAMEA1705916</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 (CF isolate)</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UK</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AZPAE13757</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SAMN03105416</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CLIN (Respiratory Tract)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Canada</w:t>
            </w:r>
          </w:p>
        </w:tc>
      </w:tr>
      <w:tr w:rsidR="00120448" w:rsidRPr="0017660E" w:rsidTr="00022432">
        <w:trPr>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235</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BTP032</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SAMN03787333</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 xml:space="preserve">CLIN </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USA</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JJ692</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SAMN02360667</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CLIN (UTI)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31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NCGM2.S1</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SAMD00061003</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 xml:space="preserve">CLIN (UTI) </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Japan</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252</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AZPAE12420</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SAMN03105411</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CLIN (CF isolate)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AZPAE15012</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SAMN03105709</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 xml:space="preserve">CLIN (Intra-abdominal) </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Germany</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BWHPSA028</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SAMN02360700</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CLIN (Sputum)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253</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BL16</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SAMN02360729</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 xml:space="preserve">CLIN (Corneal scraping) </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USA</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BWH058</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SAMN02402442</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Unknown</w:t>
            </w:r>
          </w:p>
        </w:tc>
      </w:tr>
      <w:tr w:rsidR="00120448" w:rsidRPr="0017660E" w:rsidTr="00022432">
        <w:trPr>
          <w:trHeight w:val="31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UCBPP-PA14</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SAMN02603591</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 (Burn wound)</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Unknown</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274</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AZPAE14926</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SAMN03105624</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 xml:space="preserve">CLIN (UTI) </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Brazil</w:t>
            </w:r>
          </w:p>
        </w:tc>
      </w:tr>
      <w:tr w:rsidR="00120448" w:rsidRPr="0017660E" w:rsidTr="00022432">
        <w:trPr>
          <w:trHeight w:val="30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AZPAE14981</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SAMN03105678</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 xml:space="preserve">CLIN (UTI) </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France</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93" w:type="dxa"/>
            <w:vMerge/>
          </w:tcPr>
          <w:p w:rsidR="00120448" w:rsidRPr="0017660E" w:rsidRDefault="00120448" w:rsidP="00022432">
            <w:pPr>
              <w:pStyle w:val="NormalWeb"/>
              <w:spacing w:before="0" w:beforeAutospacing="0" w:after="0" w:afterAutospacing="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BWHPSA040</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SAMN02360704</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 (Sputum)</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USA</w:t>
            </w:r>
          </w:p>
        </w:tc>
      </w:tr>
      <w:tr w:rsidR="00120448" w:rsidRPr="0017660E" w:rsidTr="00022432">
        <w:trPr>
          <w:trHeight w:val="290"/>
          <w:jc w:val="center"/>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7F7F7F" w:themeColor="text1" w:themeTint="80"/>
              <w:bottom w:val="single" w:sz="8" w:space="0" w:color="auto"/>
            </w:tcBorders>
          </w:tcPr>
          <w:p w:rsidR="00120448" w:rsidRPr="0017660E" w:rsidRDefault="00120448" w:rsidP="00022432">
            <w:pPr>
              <w:pStyle w:val="NormalWeb"/>
              <w:spacing w:before="0" w:beforeAutospacing="0" w:after="0" w:afterAutospacing="0"/>
              <w:rPr>
                <w:bCs w:val="0"/>
                <w:sz w:val="23"/>
                <w:szCs w:val="23"/>
              </w:rPr>
            </w:pPr>
            <w:r w:rsidRPr="0017660E">
              <w:rPr>
                <w:b w:val="0"/>
                <w:sz w:val="23"/>
                <w:szCs w:val="23"/>
              </w:rPr>
              <w:t>395</w:t>
            </w:r>
          </w:p>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3581</w:t>
            </w:r>
          </w:p>
        </w:tc>
        <w:tc>
          <w:tcPr>
            <w:tcW w:w="212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SAMN02584694</w:t>
            </w:r>
          </w:p>
        </w:tc>
        <w:tc>
          <w:tcPr>
            <w:tcW w:w="3402"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w:t>
            </w:r>
          </w:p>
        </w:tc>
        <w:tc>
          <w:tcPr>
            <w:tcW w:w="1417" w:type="dxa"/>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Unknown</w:t>
            </w:r>
          </w:p>
        </w:tc>
      </w:tr>
      <w:tr w:rsidR="00120448" w:rsidRPr="0017660E" w:rsidTr="00022432">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8" w:space="0" w:color="auto"/>
            </w:tcBorders>
            <w:vAlign w:val="center"/>
          </w:tcPr>
          <w:p w:rsidR="00120448" w:rsidRPr="0017660E" w:rsidRDefault="00120448" w:rsidP="00022432">
            <w:pPr>
              <w:pStyle w:val="NormalWeb"/>
              <w:spacing w:before="0" w:after="0"/>
              <w:rPr>
                <w:b w:val="0"/>
                <w:sz w:val="23"/>
                <w:szCs w:val="23"/>
              </w:rPr>
            </w:pPr>
          </w:p>
        </w:tc>
        <w:tc>
          <w:tcPr>
            <w:tcW w:w="184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BWH059</w:t>
            </w:r>
          </w:p>
        </w:tc>
        <w:tc>
          <w:tcPr>
            <w:tcW w:w="212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SAMN02402443</w:t>
            </w:r>
          </w:p>
        </w:tc>
        <w:tc>
          <w:tcPr>
            <w:tcW w:w="3402"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CLIN</w:t>
            </w:r>
          </w:p>
        </w:tc>
        <w:tc>
          <w:tcPr>
            <w:tcW w:w="1417" w:type="dxa"/>
            <w:vAlign w:val="center"/>
          </w:tcPr>
          <w:p w:rsidR="00120448" w:rsidRPr="0017660E" w:rsidRDefault="00120448" w:rsidP="000224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3"/>
                <w:szCs w:val="23"/>
              </w:rPr>
            </w:pPr>
            <w:r w:rsidRPr="0017660E">
              <w:rPr>
                <w:sz w:val="23"/>
                <w:szCs w:val="23"/>
              </w:rPr>
              <w:t>Unknown</w:t>
            </w:r>
          </w:p>
        </w:tc>
      </w:tr>
      <w:tr w:rsidR="00120448" w:rsidRPr="0017660E" w:rsidTr="00022432">
        <w:trPr>
          <w:trHeight w:val="311"/>
          <w:jc w:val="center"/>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7F7F7F" w:themeColor="text1" w:themeTint="80"/>
              <w:bottom w:val="single" w:sz="8" w:space="0" w:color="auto"/>
            </w:tcBorders>
            <w:vAlign w:val="center"/>
          </w:tcPr>
          <w:p w:rsidR="00120448" w:rsidRPr="0017660E" w:rsidRDefault="00120448" w:rsidP="00022432">
            <w:pPr>
              <w:pStyle w:val="NormalWeb"/>
              <w:spacing w:before="0" w:beforeAutospacing="0" w:after="0" w:afterAutospacing="0"/>
              <w:rPr>
                <w:b w:val="0"/>
                <w:sz w:val="23"/>
                <w:szCs w:val="23"/>
              </w:rPr>
            </w:pPr>
          </w:p>
        </w:tc>
        <w:tc>
          <w:tcPr>
            <w:tcW w:w="1842" w:type="dxa"/>
            <w:tcBorders>
              <w:top w:val="single" w:sz="4" w:space="0" w:color="7F7F7F" w:themeColor="text1" w:themeTint="80"/>
              <w:bottom w:val="single" w:sz="8" w:space="0" w:color="auto"/>
            </w:tcBorders>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BWHPSA045</w:t>
            </w:r>
          </w:p>
        </w:tc>
        <w:tc>
          <w:tcPr>
            <w:tcW w:w="2127" w:type="dxa"/>
            <w:tcBorders>
              <w:top w:val="single" w:sz="4" w:space="0" w:color="7F7F7F" w:themeColor="text1" w:themeTint="80"/>
              <w:bottom w:val="single" w:sz="8" w:space="0" w:color="auto"/>
            </w:tcBorders>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SAMN02360709</w:t>
            </w:r>
          </w:p>
        </w:tc>
        <w:tc>
          <w:tcPr>
            <w:tcW w:w="3402" w:type="dxa"/>
            <w:tcBorders>
              <w:top w:val="single" w:sz="4" w:space="0" w:color="7F7F7F" w:themeColor="text1" w:themeTint="80"/>
              <w:bottom w:val="single" w:sz="8" w:space="0" w:color="auto"/>
            </w:tcBorders>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CLIN (Sputum)</w:t>
            </w:r>
          </w:p>
        </w:tc>
        <w:tc>
          <w:tcPr>
            <w:tcW w:w="1417" w:type="dxa"/>
            <w:tcBorders>
              <w:top w:val="single" w:sz="4" w:space="0" w:color="7F7F7F" w:themeColor="text1" w:themeTint="80"/>
              <w:bottom w:val="single" w:sz="8" w:space="0" w:color="auto"/>
            </w:tcBorders>
            <w:vAlign w:val="center"/>
          </w:tcPr>
          <w:p w:rsidR="00120448" w:rsidRPr="0017660E" w:rsidRDefault="00120448" w:rsidP="00022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3"/>
                <w:szCs w:val="23"/>
              </w:rPr>
            </w:pPr>
            <w:r w:rsidRPr="0017660E">
              <w:rPr>
                <w:sz w:val="23"/>
                <w:szCs w:val="23"/>
              </w:rPr>
              <w:t>USA</w:t>
            </w:r>
          </w:p>
        </w:tc>
      </w:tr>
    </w:tbl>
    <w:p w:rsidR="00120448" w:rsidRPr="0017660E" w:rsidRDefault="00120448" w:rsidP="00120448">
      <w:pPr>
        <w:pStyle w:val="NormalWeb"/>
        <w:spacing w:before="240" w:beforeAutospacing="0" w:after="0" w:afterAutospacing="0" w:line="360" w:lineRule="auto"/>
        <w:jc w:val="both"/>
        <w:rPr>
          <w:sz w:val="23"/>
          <w:szCs w:val="23"/>
        </w:rPr>
      </w:pPr>
      <w:r w:rsidRPr="0017660E">
        <w:rPr>
          <w:b/>
          <w:sz w:val="23"/>
          <w:szCs w:val="23"/>
        </w:rPr>
        <w:t xml:space="preserve">Table S2. </w:t>
      </w:r>
      <w:r w:rsidRPr="00C35D73">
        <w:rPr>
          <w:b/>
          <w:sz w:val="23"/>
          <w:szCs w:val="23"/>
        </w:rPr>
        <w:t xml:space="preserve">Publicly-available genomes used for comparison with shared strains from the NCFB and CF cohorts. </w:t>
      </w:r>
      <w:r w:rsidRPr="0017660E">
        <w:rPr>
          <w:sz w:val="23"/>
          <w:szCs w:val="23"/>
        </w:rPr>
        <w:t>Where available, relevant information is provided on the origin of isolates. CLIN, Clinical; ENV, Environmental;</w:t>
      </w:r>
      <w:r w:rsidRPr="0017660E">
        <w:rPr>
          <w:b/>
          <w:sz w:val="23"/>
          <w:szCs w:val="23"/>
        </w:rPr>
        <w:t xml:space="preserve"> </w:t>
      </w:r>
      <w:r w:rsidRPr="0017660E">
        <w:rPr>
          <w:sz w:val="23"/>
          <w:szCs w:val="23"/>
        </w:rPr>
        <w:t>UTI, Urinary Tract Infection. Based on the available information, there is no evidence that any of the isolates above are directly linked to our patient cohorts.</w:t>
      </w:r>
    </w:p>
    <w:p w:rsidR="00120448" w:rsidRDefault="00120448">
      <w:pPr>
        <w:rPr>
          <w:rFonts w:ascii="Times New Roman" w:eastAsia="Times New Roman" w:hAnsi="Times New Roman" w:cs="Times New Roman"/>
          <w:b/>
          <w:i/>
          <w:sz w:val="23"/>
          <w:szCs w:val="23"/>
          <w:lang w:eastAsia="en-GB"/>
        </w:rPr>
      </w:pPr>
      <w:r>
        <w:rPr>
          <w:b/>
          <w:i/>
          <w:sz w:val="23"/>
          <w:szCs w:val="23"/>
        </w:rPr>
        <w:br w:type="page"/>
      </w:r>
    </w:p>
    <w:p w:rsidR="0037033C" w:rsidRPr="00120448" w:rsidRDefault="0037033C" w:rsidP="00120448">
      <w:pPr>
        <w:pStyle w:val="NormalWeb"/>
        <w:spacing w:before="240" w:beforeAutospacing="0" w:after="0" w:afterAutospacing="0" w:line="360" w:lineRule="auto"/>
        <w:jc w:val="both"/>
        <w:rPr>
          <w:b/>
          <w:sz w:val="23"/>
          <w:szCs w:val="23"/>
        </w:rPr>
      </w:pPr>
      <w:r w:rsidRPr="00120448">
        <w:rPr>
          <w:b/>
          <w:i/>
          <w:sz w:val="23"/>
          <w:szCs w:val="23"/>
        </w:rPr>
        <w:lastRenderedPageBreak/>
        <w:t>In silico</w:t>
      </w:r>
      <w:r w:rsidRPr="00120448">
        <w:rPr>
          <w:b/>
          <w:sz w:val="23"/>
          <w:szCs w:val="23"/>
        </w:rPr>
        <w:t xml:space="preserve"> prediction of hypermutators</w:t>
      </w:r>
    </w:p>
    <w:p w:rsidR="00BF5A21" w:rsidRPr="00120448" w:rsidRDefault="00BF5A21" w:rsidP="00120448">
      <w:pPr>
        <w:spacing w:before="240" w:after="0" w:line="360" w:lineRule="auto"/>
        <w:jc w:val="both"/>
        <w:rPr>
          <w:rFonts w:ascii="Times New Roman" w:hAnsi="Times New Roman" w:cs="Times New Roman"/>
          <w:sz w:val="23"/>
          <w:szCs w:val="23"/>
        </w:rPr>
      </w:pPr>
      <w:r w:rsidRPr="00120448">
        <w:rPr>
          <w:rFonts w:ascii="Times New Roman" w:hAnsi="Times New Roman" w:cs="Times New Roman"/>
          <w:sz w:val="23"/>
          <w:szCs w:val="23"/>
        </w:rPr>
        <w:t>Reads were quality and adapter trimmed using fastq-mcf using parameters -q 20 with skew settings switched off. Reads were aligned using bwa mem to the reference genome (</w:t>
      </w:r>
      <w:r w:rsidRPr="00120448">
        <w:rPr>
          <w:rFonts w:ascii="Times New Roman" w:hAnsi="Times New Roman" w:cs="Times New Roman"/>
          <w:i/>
          <w:sz w:val="23"/>
          <w:szCs w:val="23"/>
        </w:rPr>
        <w:t>Pseudomonas aeruginosa</w:t>
      </w:r>
      <w:r w:rsidRPr="00120448">
        <w:rPr>
          <w:rFonts w:ascii="Times New Roman" w:hAnsi="Times New Roman" w:cs="Times New Roman"/>
          <w:sz w:val="23"/>
          <w:szCs w:val="23"/>
        </w:rPr>
        <w:t xml:space="preserve"> PAO1; NC_002516) and sorted and converted to BAM using samtools. The mpileup component of samtools was used to call variants and perform local re-alignment of sequences. The BCF formatted files were converted to VCF format using bcftools and filtered to exclude sites with coverage </w:t>
      </w:r>
      <w:r w:rsidR="002D798F" w:rsidRPr="00120448">
        <w:rPr>
          <w:rFonts w:ascii="Times New Roman" w:hAnsi="Times New Roman" w:cs="Times New Roman"/>
          <w:sz w:val="23"/>
          <w:szCs w:val="23"/>
        </w:rPr>
        <w:t>&lt;</w:t>
      </w:r>
      <w:r w:rsidRPr="00120448">
        <w:rPr>
          <w:rFonts w:ascii="Times New Roman" w:hAnsi="Times New Roman" w:cs="Times New Roman"/>
          <w:sz w:val="23"/>
          <w:szCs w:val="23"/>
        </w:rPr>
        <w:t xml:space="preserve"> 10 or variant quality </w:t>
      </w:r>
      <w:r w:rsidR="002D798F" w:rsidRPr="00120448">
        <w:rPr>
          <w:rFonts w:ascii="Times New Roman" w:hAnsi="Times New Roman" w:cs="Times New Roman"/>
          <w:sz w:val="23"/>
          <w:szCs w:val="23"/>
        </w:rPr>
        <w:t>&lt;</w:t>
      </w:r>
      <w:r w:rsidRPr="00120448">
        <w:rPr>
          <w:rFonts w:ascii="Times New Roman" w:hAnsi="Times New Roman" w:cs="Times New Roman"/>
          <w:sz w:val="23"/>
          <w:szCs w:val="23"/>
        </w:rPr>
        <w:t xml:space="preserve"> 60. The impact of variants was assessed using a custom perl script. Data was analysed using the Zeus computational infrastructure at the University of Exeter</w:t>
      </w:r>
      <w:r w:rsidR="00FA40A9" w:rsidRPr="00120448">
        <w:rPr>
          <w:rFonts w:ascii="Times New Roman" w:hAnsi="Times New Roman" w:cs="Times New Roman"/>
          <w:sz w:val="23"/>
          <w:szCs w:val="23"/>
        </w:rPr>
        <w:t>.</w:t>
      </w:r>
    </w:p>
    <w:p w:rsidR="0037033C" w:rsidRPr="00120448" w:rsidRDefault="00DD41BC" w:rsidP="00120448">
      <w:pPr>
        <w:spacing w:before="240" w:after="0" w:line="360" w:lineRule="auto"/>
        <w:jc w:val="both"/>
        <w:rPr>
          <w:rFonts w:ascii="Times New Roman" w:hAnsi="Times New Roman" w:cs="Times New Roman"/>
          <w:sz w:val="23"/>
          <w:szCs w:val="23"/>
        </w:rPr>
      </w:pPr>
      <w:r w:rsidRPr="00120448">
        <w:rPr>
          <w:rFonts w:ascii="Times New Roman" w:hAnsi="Times New Roman" w:cs="Times New Roman"/>
          <w:sz w:val="23"/>
          <w:szCs w:val="23"/>
        </w:rPr>
        <w:t xml:space="preserve">From the genome-wide list of variants, </w:t>
      </w:r>
      <w:r w:rsidR="0037033C" w:rsidRPr="00120448">
        <w:rPr>
          <w:rFonts w:ascii="Times New Roman" w:hAnsi="Times New Roman" w:cs="Times New Roman"/>
          <w:sz w:val="23"/>
          <w:szCs w:val="23"/>
        </w:rPr>
        <w:t xml:space="preserve">SNPs and insertion-deletion events (Indels) within </w:t>
      </w:r>
      <w:r w:rsidR="00AF32E5" w:rsidRPr="00120448">
        <w:rPr>
          <w:rFonts w:ascii="Times New Roman" w:hAnsi="Times New Roman" w:cs="Times New Roman"/>
          <w:sz w:val="23"/>
          <w:szCs w:val="23"/>
        </w:rPr>
        <w:t xml:space="preserve">seven </w:t>
      </w:r>
      <w:r w:rsidRPr="00120448">
        <w:rPr>
          <w:rFonts w:ascii="Times New Roman" w:hAnsi="Times New Roman" w:cs="Times New Roman"/>
          <w:sz w:val="23"/>
          <w:szCs w:val="23"/>
        </w:rPr>
        <w:t xml:space="preserve">genes implicated in </w:t>
      </w:r>
      <w:r w:rsidR="00AF32E5" w:rsidRPr="00120448">
        <w:rPr>
          <w:rFonts w:ascii="Times New Roman" w:hAnsi="Times New Roman" w:cs="Times New Roman"/>
          <w:sz w:val="23"/>
          <w:szCs w:val="23"/>
        </w:rPr>
        <w:t xml:space="preserve">proofreading and/or </w:t>
      </w:r>
      <w:r w:rsidRPr="00120448">
        <w:rPr>
          <w:rFonts w:ascii="Times New Roman" w:hAnsi="Times New Roman" w:cs="Times New Roman"/>
          <w:sz w:val="23"/>
          <w:szCs w:val="23"/>
        </w:rPr>
        <w:t xml:space="preserve">DNA repair </w:t>
      </w:r>
      <w:r w:rsidR="00AF32E5" w:rsidRPr="00120448">
        <w:rPr>
          <w:rFonts w:ascii="Times New Roman" w:hAnsi="Times New Roman" w:cs="Times New Roman"/>
          <w:sz w:val="23"/>
          <w:szCs w:val="23"/>
        </w:rPr>
        <w:t xml:space="preserve">were identified, namely </w:t>
      </w:r>
      <w:r w:rsidR="0037033C" w:rsidRPr="00120448">
        <w:rPr>
          <w:rFonts w:ascii="Times New Roman" w:hAnsi="Times New Roman" w:cs="Times New Roman"/>
          <w:i/>
          <w:sz w:val="23"/>
          <w:szCs w:val="23"/>
        </w:rPr>
        <w:t>mutS</w:t>
      </w:r>
      <w:r w:rsidR="00AF32E5" w:rsidRPr="00120448">
        <w:rPr>
          <w:rFonts w:ascii="Times New Roman" w:hAnsi="Times New Roman" w:cs="Times New Roman"/>
          <w:i/>
          <w:sz w:val="23"/>
          <w:szCs w:val="23"/>
        </w:rPr>
        <w:t xml:space="preserve"> </w:t>
      </w:r>
      <w:r w:rsidR="00AF32E5" w:rsidRPr="00120448">
        <w:rPr>
          <w:rFonts w:ascii="Times New Roman" w:hAnsi="Times New Roman" w:cs="Times New Roman"/>
          <w:sz w:val="23"/>
          <w:szCs w:val="23"/>
        </w:rPr>
        <w:t>(PA3620),</w:t>
      </w:r>
      <w:r w:rsidRPr="00120448">
        <w:rPr>
          <w:rFonts w:ascii="Times New Roman" w:hAnsi="Times New Roman" w:cs="Times New Roman"/>
          <w:sz w:val="23"/>
          <w:szCs w:val="23"/>
        </w:rPr>
        <w:t xml:space="preserve"> </w:t>
      </w:r>
      <w:r w:rsidR="0037033C" w:rsidRPr="00120448">
        <w:rPr>
          <w:rFonts w:ascii="Times New Roman" w:hAnsi="Times New Roman" w:cs="Times New Roman"/>
          <w:i/>
          <w:sz w:val="23"/>
          <w:szCs w:val="23"/>
        </w:rPr>
        <w:t>mutL</w:t>
      </w:r>
      <w:r w:rsidRPr="00120448">
        <w:rPr>
          <w:rFonts w:ascii="Times New Roman" w:hAnsi="Times New Roman" w:cs="Times New Roman"/>
          <w:i/>
          <w:sz w:val="23"/>
          <w:szCs w:val="23"/>
        </w:rPr>
        <w:t xml:space="preserve"> </w:t>
      </w:r>
      <w:r w:rsidR="00AF32E5" w:rsidRPr="00120448">
        <w:rPr>
          <w:rFonts w:ascii="Times New Roman" w:hAnsi="Times New Roman" w:cs="Times New Roman"/>
          <w:sz w:val="23"/>
          <w:szCs w:val="23"/>
        </w:rPr>
        <w:t xml:space="preserve">(PA4946), </w:t>
      </w:r>
      <w:r w:rsidR="00AF32E5" w:rsidRPr="00120448">
        <w:rPr>
          <w:rFonts w:ascii="Times New Roman" w:hAnsi="Times New Roman" w:cs="Times New Roman"/>
          <w:i/>
          <w:sz w:val="23"/>
          <w:szCs w:val="23"/>
        </w:rPr>
        <w:t xml:space="preserve">mutY </w:t>
      </w:r>
      <w:r w:rsidR="00AF32E5" w:rsidRPr="00120448">
        <w:rPr>
          <w:rFonts w:ascii="Times New Roman" w:hAnsi="Times New Roman" w:cs="Times New Roman"/>
          <w:sz w:val="23"/>
          <w:szCs w:val="23"/>
        </w:rPr>
        <w:t>(PA0357),</w:t>
      </w:r>
      <w:r w:rsidR="0037033C" w:rsidRPr="00120448">
        <w:rPr>
          <w:rFonts w:ascii="Times New Roman" w:hAnsi="Times New Roman" w:cs="Times New Roman"/>
          <w:i/>
          <w:sz w:val="23"/>
          <w:szCs w:val="23"/>
        </w:rPr>
        <w:t xml:space="preserve"> mutM</w:t>
      </w:r>
      <w:r w:rsidR="00AF32E5" w:rsidRPr="00120448">
        <w:rPr>
          <w:rFonts w:ascii="Times New Roman" w:hAnsi="Times New Roman" w:cs="Times New Roman"/>
          <w:i/>
          <w:sz w:val="23"/>
          <w:szCs w:val="23"/>
        </w:rPr>
        <w:t xml:space="preserve"> </w:t>
      </w:r>
      <w:r w:rsidR="00AF32E5" w:rsidRPr="00120448">
        <w:rPr>
          <w:rFonts w:ascii="Times New Roman" w:hAnsi="Times New Roman" w:cs="Times New Roman"/>
          <w:sz w:val="23"/>
          <w:szCs w:val="23"/>
        </w:rPr>
        <w:t>(PA5147),</w:t>
      </w:r>
      <w:r w:rsidR="00AF32E5" w:rsidRPr="00120448">
        <w:rPr>
          <w:rFonts w:ascii="Times New Roman" w:hAnsi="Times New Roman" w:cs="Times New Roman"/>
          <w:i/>
          <w:sz w:val="23"/>
          <w:szCs w:val="23"/>
        </w:rPr>
        <w:t xml:space="preserve"> dnaQ </w:t>
      </w:r>
      <w:r w:rsidR="00AF32E5" w:rsidRPr="00120448">
        <w:rPr>
          <w:rFonts w:ascii="Times New Roman" w:hAnsi="Times New Roman" w:cs="Times New Roman"/>
          <w:sz w:val="23"/>
          <w:szCs w:val="23"/>
        </w:rPr>
        <w:t>(PA1816),</w:t>
      </w:r>
      <w:r w:rsidR="00AF32E5" w:rsidRPr="00120448">
        <w:rPr>
          <w:rFonts w:ascii="Times New Roman" w:hAnsi="Times New Roman" w:cs="Times New Roman"/>
          <w:i/>
          <w:sz w:val="23"/>
          <w:szCs w:val="23"/>
        </w:rPr>
        <w:t xml:space="preserve"> mutT </w:t>
      </w:r>
      <w:r w:rsidR="00AF32E5" w:rsidRPr="00120448">
        <w:rPr>
          <w:rFonts w:ascii="Times New Roman" w:hAnsi="Times New Roman" w:cs="Times New Roman"/>
          <w:sz w:val="23"/>
          <w:szCs w:val="23"/>
        </w:rPr>
        <w:t>(PA4400)</w:t>
      </w:r>
      <w:r w:rsidR="00AF32E5" w:rsidRPr="00120448">
        <w:rPr>
          <w:rFonts w:ascii="Times New Roman" w:hAnsi="Times New Roman" w:cs="Times New Roman"/>
          <w:i/>
          <w:sz w:val="23"/>
          <w:szCs w:val="23"/>
        </w:rPr>
        <w:t xml:space="preserve"> </w:t>
      </w:r>
      <w:r w:rsidR="0037033C" w:rsidRPr="00120448">
        <w:rPr>
          <w:rFonts w:ascii="Times New Roman" w:hAnsi="Times New Roman" w:cs="Times New Roman"/>
          <w:sz w:val="23"/>
          <w:szCs w:val="23"/>
        </w:rPr>
        <w:t>and</w:t>
      </w:r>
      <w:r w:rsidR="0037033C" w:rsidRPr="00120448">
        <w:rPr>
          <w:rFonts w:ascii="Times New Roman" w:hAnsi="Times New Roman" w:cs="Times New Roman"/>
          <w:i/>
          <w:sz w:val="23"/>
          <w:szCs w:val="23"/>
        </w:rPr>
        <w:t xml:space="preserve"> </w:t>
      </w:r>
      <w:r w:rsidR="00AF32E5" w:rsidRPr="00120448">
        <w:rPr>
          <w:rFonts w:ascii="Times New Roman" w:hAnsi="Times New Roman" w:cs="Times New Roman"/>
          <w:i/>
          <w:sz w:val="23"/>
          <w:szCs w:val="23"/>
        </w:rPr>
        <w:t>uvrD</w:t>
      </w:r>
      <w:r w:rsidR="0037033C" w:rsidRPr="00120448">
        <w:rPr>
          <w:rFonts w:ascii="Times New Roman" w:hAnsi="Times New Roman" w:cs="Times New Roman"/>
          <w:i/>
          <w:sz w:val="23"/>
          <w:szCs w:val="23"/>
        </w:rPr>
        <w:t xml:space="preserve"> </w:t>
      </w:r>
      <w:r w:rsidR="0037033C" w:rsidRPr="00120448">
        <w:rPr>
          <w:rFonts w:ascii="Times New Roman" w:hAnsi="Times New Roman" w:cs="Times New Roman"/>
          <w:sz w:val="23"/>
          <w:szCs w:val="23"/>
        </w:rPr>
        <w:t>(</w:t>
      </w:r>
      <w:r w:rsidR="00AF32E5" w:rsidRPr="00120448">
        <w:rPr>
          <w:rFonts w:ascii="Times New Roman" w:hAnsi="Times New Roman" w:cs="Times New Roman"/>
          <w:sz w:val="23"/>
          <w:szCs w:val="23"/>
        </w:rPr>
        <w:t>PA5443)</w:t>
      </w:r>
      <w:r w:rsidR="0037033C" w:rsidRPr="00120448">
        <w:rPr>
          <w:rFonts w:ascii="Times New Roman" w:hAnsi="Times New Roman" w:cs="Times New Roman"/>
          <w:sz w:val="23"/>
          <w:szCs w:val="23"/>
        </w:rPr>
        <w:t>. SNAP2 [</w:t>
      </w:r>
      <w:r w:rsidR="00866A37">
        <w:rPr>
          <w:rFonts w:ascii="Times New Roman" w:hAnsi="Times New Roman" w:cs="Times New Roman"/>
          <w:sz w:val="23"/>
          <w:szCs w:val="23"/>
        </w:rPr>
        <w:t>8</w:t>
      </w:r>
      <w:r w:rsidR="0037033C" w:rsidRPr="00120448">
        <w:rPr>
          <w:rFonts w:ascii="Times New Roman" w:hAnsi="Times New Roman" w:cs="Times New Roman"/>
          <w:sz w:val="23"/>
          <w:szCs w:val="23"/>
        </w:rPr>
        <w:t>] and PROVEAN [</w:t>
      </w:r>
      <w:r w:rsidR="00866A37">
        <w:rPr>
          <w:rFonts w:ascii="Times New Roman" w:hAnsi="Times New Roman" w:cs="Times New Roman"/>
          <w:sz w:val="23"/>
          <w:szCs w:val="23"/>
        </w:rPr>
        <w:t>9</w:t>
      </w:r>
      <w:r w:rsidR="0037033C" w:rsidRPr="00120448">
        <w:rPr>
          <w:rFonts w:ascii="Times New Roman" w:hAnsi="Times New Roman" w:cs="Times New Roman"/>
          <w:sz w:val="23"/>
          <w:szCs w:val="23"/>
        </w:rPr>
        <w:t xml:space="preserve">] were used to predict whether the observed SNPs and Indels would be neutral or deleterious with regards to protein function. </w:t>
      </w:r>
      <w:r w:rsidR="00D03CAE" w:rsidRPr="00120448">
        <w:rPr>
          <w:rFonts w:ascii="Times New Roman" w:hAnsi="Times New Roman" w:cs="Times New Roman"/>
          <w:sz w:val="23"/>
          <w:szCs w:val="23"/>
        </w:rPr>
        <w:t>There was complete concordance between the</w:t>
      </w:r>
      <w:r w:rsidR="00B16CDD" w:rsidRPr="00120448">
        <w:rPr>
          <w:rFonts w:ascii="Times New Roman" w:hAnsi="Times New Roman" w:cs="Times New Roman"/>
          <w:sz w:val="23"/>
          <w:szCs w:val="23"/>
        </w:rPr>
        <w:t xml:space="preserve"> predictions from both methods. </w:t>
      </w:r>
      <w:r w:rsidR="00120448">
        <w:rPr>
          <w:rFonts w:ascii="Times New Roman" w:hAnsi="Times New Roman" w:cs="Times New Roman"/>
          <w:sz w:val="23"/>
          <w:szCs w:val="23"/>
        </w:rPr>
        <w:t>Predicted d</w:t>
      </w:r>
      <w:r w:rsidR="00120448" w:rsidRPr="0017660E">
        <w:rPr>
          <w:rFonts w:ascii="Times New Roman" w:hAnsi="Times New Roman" w:cs="Times New Roman"/>
          <w:sz w:val="23"/>
          <w:szCs w:val="23"/>
        </w:rPr>
        <w:t xml:space="preserve">eleterious SNPs and Indels identified within </w:t>
      </w:r>
      <w:r w:rsidR="00120448" w:rsidRPr="00024478">
        <w:rPr>
          <w:rFonts w:ascii="Times New Roman" w:hAnsi="Times New Roman" w:cs="Times New Roman"/>
          <w:i/>
          <w:sz w:val="23"/>
          <w:szCs w:val="23"/>
        </w:rPr>
        <w:t>mutS</w:t>
      </w:r>
      <w:r w:rsidR="00120448">
        <w:rPr>
          <w:rFonts w:ascii="Times New Roman" w:hAnsi="Times New Roman" w:cs="Times New Roman"/>
          <w:sz w:val="23"/>
          <w:szCs w:val="23"/>
        </w:rPr>
        <w:t xml:space="preserve">, </w:t>
      </w:r>
      <w:r w:rsidR="00120448" w:rsidRPr="00024478">
        <w:rPr>
          <w:rFonts w:ascii="Times New Roman" w:hAnsi="Times New Roman" w:cs="Times New Roman"/>
          <w:i/>
          <w:sz w:val="23"/>
          <w:szCs w:val="23"/>
        </w:rPr>
        <w:t>mutL</w:t>
      </w:r>
      <w:r w:rsidR="00120448">
        <w:rPr>
          <w:rFonts w:ascii="Times New Roman" w:hAnsi="Times New Roman" w:cs="Times New Roman"/>
          <w:sz w:val="23"/>
          <w:szCs w:val="23"/>
        </w:rPr>
        <w:t xml:space="preserve">, </w:t>
      </w:r>
      <w:r w:rsidR="00120448" w:rsidRPr="00024478">
        <w:rPr>
          <w:rFonts w:ascii="Times New Roman" w:hAnsi="Times New Roman" w:cs="Times New Roman"/>
          <w:i/>
          <w:sz w:val="23"/>
          <w:szCs w:val="23"/>
        </w:rPr>
        <w:t>mutY</w:t>
      </w:r>
      <w:r w:rsidR="00120448">
        <w:rPr>
          <w:rFonts w:ascii="Times New Roman" w:hAnsi="Times New Roman" w:cs="Times New Roman"/>
          <w:sz w:val="23"/>
          <w:szCs w:val="23"/>
        </w:rPr>
        <w:t xml:space="preserve">, </w:t>
      </w:r>
      <w:r w:rsidR="00120448" w:rsidRPr="00024478">
        <w:rPr>
          <w:rFonts w:ascii="Times New Roman" w:hAnsi="Times New Roman" w:cs="Times New Roman"/>
          <w:i/>
          <w:sz w:val="23"/>
          <w:szCs w:val="23"/>
        </w:rPr>
        <w:t>mutM</w:t>
      </w:r>
      <w:r w:rsidR="00120448">
        <w:rPr>
          <w:rFonts w:ascii="Times New Roman" w:hAnsi="Times New Roman" w:cs="Times New Roman"/>
          <w:sz w:val="23"/>
          <w:szCs w:val="23"/>
        </w:rPr>
        <w:t xml:space="preserve"> and </w:t>
      </w:r>
      <w:r w:rsidR="00120448" w:rsidRPr="00024478">
        <w:rPr>
          <w:rFonts w:ascii="Times New Roman" w:hAnsi="Times New Roman" w:cs="Times New Roman"/>
          <w:i/>
          <w:sz w:val="23"/>
          <w:szCs w:val="23"/>
        </w:rPr>
        <w:t>dnaQ</w:t>
      </w:r>
      <w:r w:rsidR="00120448" w:rsidRPr="0017660E">
        <w:rPr>
          <w:rFonts w:ascii="Times New Roman" w:hAnsi="Times New Roman" w:cs="Times New Roman"/>
          <w:sz w:val="23"/>
          <w:szCs w:val="23"/>
        </w:rPr>
        <w:t xml:space="preserve"> are presented in Table S3. </w:t>
      </w:r>
      <w:r w:rsidR="00D36C8C" w:rsidRPr="00120448">
        <w:rPr>
          <w:rFonts w:ascii="Times New Roman" w:hAnsi="Times New Roman" w:cs="Times New Roman"/>
          <w:sz w:val="23"/>
          <w:szCs w:val="23"/>
        </w:rPr>
        <w:t xml:space="preserve">No deleterious mutations were evident in </w:t>
      </w:r>
      <w:r w:rsidR="00D36C8C" w:rsidRPr="00120448">
        <w:rPr>
          <w:rFonts w:ascii="Times New Roman" w:hAnsi="Times New Roman" w:cs="Times New Roman"/>
          <w:i/>
          <w:sz w:val="23"/>
          <w:szCs w:val="23"/>
        </w:rPr>
        <w:t>uvrD</w:t>
      </w:r>
      <w:r w:rsidR="00D36C8C" w:rsidRPr="00120448">
        <w:rPr>
          <w:rFonts w:ascii="Times New Roman" w:hAnsi="Times New Roman" w:cs="Times New Roman"/>
          <w:sz w:val="23"/>
          <w:szCs w:val="23"/>
        </w:rPr>
        <w:t xml:space="preserve"> or </w:t>
      </w:r>
      <w:r w:rsidR="00D36C8C" w:rsidRPr="00120448">
        <w:rPr>
          <w:rFonts w:ascii="Times New Roman" w:hAnsi="Times New Roman" w:cs="Times New Roman"/>
          <w:i/>
          <w:sz w:val="23"/>
          <w:szCs w:val="23"/>
        </w:rPr>
        <w:t xml:space="preserve">mutT </w:t>
      </w:r>
      <w:r w:rsidR="00D36C8C" w:rsidRPr="00120448">
        <w:rPr>
          <w:rFonts w:ascii="Times New Roman" w:hAnsi="Times New Roman" w:cs="Times New Roman"/>
          <w:sz w:val="23"/>
          <w:szCs w:val="23"/>
        </w:rPr>
        <w:t xml:space="preserve">in any of the sequenced isolates. </w:t>
      </w:r>
    </w:p>
    <w:p w:rsidR="00AF32E5" w:rsidRPr="00120448" w:rsidRDefault="00AF32E5" w:rsidP="00DD41BC">
      <w:pPr>
        <w:spacing w:after="0" w:line="480" w:lineRule="auto"/>
        <w:jc w:val="both"/>
        <w:rPr>
          <w:rFonts w:ascii="Times New Roman" w:hAnsi="Times New Roman" w:cs="Times New Roman"/>
          <w:sz w:val="23"/>
          <w:szCs w:val="23"/>
        </w:rPr>
      </w:pPr>
    </w:p>
    <w:tbl>
      <w:tblPr>
        <w:tblStyle w:val="LightShading"/>
        <w:tblW w:w="0" w:type="auto"/>
        <w:shd w:val="clear" w:color="auto" w:fill="FFFFFF" w:themeFill="background1"/>
        <w:tblLook w:val="04A0" w:firstRow="1" w:lastRow="0" w:firstColumn="1" w:lastColumn="0" w:noHBand="0" w:noVBand="1"/>
      </w:tblPr>
      <w:tblGrid>
        <w:gridCol w:w="1168"/>
        <w:gridCol w:w="1063"/>
        <w:gridCol w:w="1402"/>
        <w:gridCol w:w="1402"/>
        <w:gridCol w:w="1402"/>
        <w:gridCol w:w="1402"/>
        <w:gridCol w:w="1403"/>
      </w:tblGrid>
      <w:tr w:rsidR="00D36C8C" w:rsidRPr="00120448" w:rsidTr="00D36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Borders>
              <w:bottom w:val="nil"/>
            </w:tcBorders>
            <w:shd w:val="clear" w:color="auto" w:fill="FFFFFF" w:themeFill="background1"/>
          </w:tcPr>
          <w:p w:rsidR="00D36C8C" w:rsidRPr="00120448" w:rsidRDefault="00D36C8C" w:rsidP="00B16CDD">
            <w:pPr>
              <w:pStyle w:val="NormalWeb"/>
              <w:spacing w:before="60" w:beforeAutospacing="0" w:after="60" w:afterAutospacing="0"/>
              <w:rPr>
                <w:sz w:val="23"/>
                <w:szCs w:val="23"/>
                <w:shd w:val="clear" w:color="auto" w:fill="FFFFFF"/>
              </w:rPr>
            </w:pPr>
          </w:p>
        </w:tc>
        <w:tc>
          <w:tcPr>
            <w:tcW w:w="1063" w:type="dxa"/>
            <w:tcBorders>
              <w:bottom w:val="nil"/>
            </w:tcBorders>
            <w:shd w:val="clear" w:color="auto" w:fill="FFFFFF" w:themeFill="background1"/>
          </w:tcPr>
          <w:p w:rsidR="00D36C8C" w:rsidRPr="00120448" w:rsidRDefault="00D36C8C" w:rsidP="00B16CDD">
            <w:pPr>
              <w:pStyle w:val="NormalWeb"/>
              <w:spacing w:before="60" w:beforeAutospacing="0" w:after="60" w:afterAutospacing="0"/>
              <w:cnfStyle w:val="100000000000" w:firstRow="1" w:lastRow="0" w:firstColumn="0" w:lastColumn="0" w:oddVBand="0" w:evenVBand="0" w:oddHBand="0" w:evenHBand="0" w:firstRowFirstColumn="0" w:firstRowLastColumn="0" w:lastRowFirstColumn="0" w:lastRowLastColumn="0"/>
              <w:rPr>
                <w:sz w:val="23"/>
                <w:szCs w:val="23"/>
                <w:shd w:val="clear" w:color="auto" w:fill="FFFFFF"/>
              </w:rPr>
            </w:pPr>
          </w:p>
        </w:tc>
        <w:tc>
          <w:tcPr>
            <w:tcW w:w="7011" w:type="dxa"/>
            <w:gridSpan w:val="5"/>
            <w:shd w:val="clear" w:color="auto" w:fill="FFFFFF" w:themeFill="background1"/>
          </w:tcPr>
          <w:p w:rsidR="00D36C8C" w:rsidRPr="00120448" w:rsidRDefault="00D36C8C" w:rsidP="002A2144">
            <w:pPr>
              <w:pStyle w:val="NormalWeb"/>
              <w:spacing w:before="60" w:beforeAutospacing="0" w:after="60" w:afterAutospacing="0"/>
              <w:jc w:val="center"/>
              <w:cnfStyle w:val="100000000000" w:firstRow="1"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 xml:space="preserve">Gene </w:t>
            </w:r>
            <w:r w:rsidR="002A2144" w:rsidRPr="00120448">
              <w:rPr>
                <w:sz w:val="23"/>
                <w:szCs w:val="23"/>
                <w:shd w:val="clear" w:color="auto" w:fill="FFFFFF"/>
              </w:rPr>
              <w:t>and</w:t>
            </w:r>
            <w:r w:rsidRPr="00120448">
              <w:rPr>
                <w:sz w:val="23"/>
                <w:szCs w:val="23"/>
                <w:shd w:val="clear" w:color="auto" w:fill="FFFFFF"/>
              </w:rPr>
              <w:t xml:space="preserve"> nature of mutation</w:t>
            </w:r>
          </w:p>
        </w:tc>
      </w:tr>
      <w:tr w:rsidR="00D36C8C" w:rsidRPr="00120448" w:rsidTr="00D3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Borders>
              <w:top w:val="nil"/>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rPr>
                <w:sz w:val="23"/>
                <w:szCs w:val="23"/>
                <w:shd w:val="clear" w:color="auto" w:fill="FFFFFF"/>
              </w:rPr>
            </w:pPr>
            <w:r w:rsidRPr="00120448">
              <w:rPr>
                <w:sz w:val="23"/>
                <w:szCs w:val="23"/>
                <w:shd w:val="clear" w:color="auto" w:fill="FFFFFF"/>
              </w:rPr>
              <w:t>Isolate</w:t>
            </w:r>
            <w:r w:rsidR="000648C3" w:rsidRPr="00120448">
              <w:rPr>
                <w:sz w:val="23"/>
                <w:szCs w:val="23"/>
                <w:shd w:val="clear" w:color="auto" w:fill="FFFFFF"/>
                <w:vertAlign w:val="superscript"/>
              </w:rPr>
              <w:t>a</w:t>
            </w:r>
          </w:p>
        </w:tc>
        <w:tc>
          <w:tcPr>
            <w:tcW w:w="1063" w:type="dxa"/>
            <w:tcBorders>
              <w:top w:val="nil"/>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sz w:val="23"/>
                <w:szCs w:val="23"/>
                <w:shd w:val="clear" w:color="auto" w:fill="FFFFFF"/>
              </w:rPr>
            </w:pPr>
            <w:r w:rsidRPr="00120448">
              <w:rPr>
                <w:b/>
                <w:sz w:val="23"/>
                <w:szCs w:val="23"/>
                <w:shd w:val="clear" w:color="auto" w:fill="FFFFFF"/>
              </w:rPr>
              <w:t>ST</w:t>
            </w:r>
            <w:r w:rsidR="000648C3" w:rsidRPr="00120448">
              <w:rPr>
                <w:b/>
                <w:sz w:val="23"/>
                <w:szCs w:val="23"/>
                <w:shd w:val="clear" w:color="auto" w:fill="FFFFFF"/>
                <w:vertAlign w:val="superscript"/>
              </w:rPr>
              <w:t>b</w:t>
            </w:r>
          </w:p>
        </w:tc>
        <w:tc>
          <w:tcPr>
            <w:tcW w:w="1402" w:type="dxa"/>
            <w:tcBorders>
              <w:top w:val="single" w:sz="8" w:space="0" w:color="000000" w:themeColor="text1"/>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i/>
                <w:sz w:val="23"/>
                <w:szCs w:val="23"/>
                <w:shd w:val="clear" w:color="auto" w:fill="FFFFFF"/>
              </w:rPr>
            </w:pPr>
            <w:r w:rsidRPr="00120448">
              <w:rPr>
                <w:b/>
                <w:i/>
                <w:sz w:val="23"/>
                <w:szCs w:val="23"/>
                <w:shd w:val="clear" w:color="auto" w:fill="FFFFFF"/>
              </w:rPr>
              <w:t>mutS</w:t>
            </w:r>
          </w:p>
        </w:tc>
        <w:tc>
          <w:tcPr>
            <w:tcW w:w="1402" w:type="dxa"/>
            <w:tcBorders>
              <w:top w:val="single" w:sz="8" w:space="0" w:color="000000" w:themeColor="text1"/>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i/>
                <w:sz w:val="23"/>
                <w:szCs w:val="23"/>
                <w:shd w:val="clear" w:color="auto" w:fill="FFFFFF"/>
              </w:rPr>
            </w:pPr>
            <w:r w:rsidRPr="00120448">
              <w:rPr>
                <w:b/>
                <w:i/>
                <w:sz w:val="23"/>
                <w:szCs w:val="23"/>
                <w:shd w:val="clear" w:color="auto" w:fill="FFFFFF"/>
              </w:rPr>
              <w:t>mutL</w:t>
            </w:r>
          </w:p>
        </w:tc>
        <w:tc>
          <w:tcPr>
            <w:tcW w:w="1402" w:type="dxa"/>
            <w:tcBorders>
              <w:top w:val="single" w:sz="8" w:space="0" w:color="000000" w:themeColor="text1"/>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i/>
                <w:sz w:val="23"/>
                <w:szCs w:val="23"/>
                <w:shd w:val="clear" w:color="auto" w:fill="FFFFFF"/>
              </w:rPr>
            </w:pPr>
            <w:r w:rsidRPr="00120448">
              <w:rPr>
                <w:b/>
                <w:i/>
                <w:sz w:val="23"/>
                <w:szCs w:val="23"/>
                <w:shd w:val="clear" w:color="auto" w:fill="FFFFFF"/>
              </w:rPr>
              <w:t>mutY</w:t>
            </w:r>
          </w:p>
        </w:tc>
        <w:tc>
          <w:tcPr>
            <w:tcW w:w="1402" w:type="dxa"/>
            <w:tcBorders>
              <w:top w:val="single" w:sz="8" w:space="0" w:color="000000" w:themeColor="text1"/>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i/>
                <w:sz w:val="23"/>
                <w:szCs w:val="23"/>
                <w:shd w:val="clear" w:color="auto" w:fill="FFFFFF"/>
              </w:rPr>
            </w:pPr>
            <w:r w:rsidRPr="00120448">
              <w:rPr>
                <w:b/>
                <w:i/>
                <w:sz w:val="23"/>
                <w:szCs w:val="23"/>
                <w:shd w:val="clear" w:color="auto" w:fill="FFFFFF"/>
              </w:rPr>
              <w:t>mutM</w:t>
            </w:r>
          </w:p>
        </w:tc>
        <w:tc>
          <w:tcPr>
            <w:tcW w:w="1403" w:type="dxa"/>
            <w:tcBorders>
              <w:top w:val="single" w:sz="8" w:space="0" w:color="000000" w:themeColor="text1"/>
              <w:bottom w:val="single" w:sz="8" w:space="0" w:color="000000" w:themeColor="text1"/>
            </w:tcBorders>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b/>
                <w:i/>
                <w:sz w:val="23"/>
                <w:szCs w:val="23"/>
                <w:shd w:val="clear" w:color="auto" w:fill="FFFFFF"/>
              </w:rPr>
            </w:pPr>
            <w:r w:rsidRPr="00120448">
              <w:rPr>
                <w:b/>
                <w:i/>
                <w:sz w:val="23"/>
                <w:szCs w:val="23"/>
                <w:shd w:val="clear" w:color="auto" w:fill="FFFFFF"/>
              </w:rPr>
              <w:t>dnaQ</w:t>
            </w:r>
          </w:p>
        </w:tc>
      </w:tr>
      <w:tr w:rsidR="00D36C8C" w:rsidRPr="00120448" w:rsidTr="00D36C8C">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D36C8C" w:rsidRPr="00120448" w:rsidRDefault="00D36C8C"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PIB016</w:t>
            </w:r>
          </w:p>
        </w:tc>
        <w:tc>
          <w:tcPr>
            <w:tcW w:w="1063"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ST17</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i/>
                <w:sz w:val="23"/>
                <w:szCs w:val="23"/>
                <w:shd w:val="clear" w:color="auto" w:fill="FFFFFF"/>
              </w:rPr>
            </w:pPr>
            <w:r w:rsidRPr="00120448">
              <w:rPr>
                <w:sz w:val="23"/>
                <w:szCs w:val="23"/>
                <w:shd w:val="clear" w:color="auto" w:fill="FFFFFF"/>
              </w:rPr>
              <w:t>L52P</w:t>
            </w:r>
          </w:p>
        </w:tc>
        <w:tc>
          <w:tcPr>
            <w:tcW w:w="1402" w:type="dxa"/>
            <w:shd w:val="clear" w:color="auto" w:fill="FFFFFF" w:themeFill="background1"/>
          </w:tcPr>
          <w:p w:rsidR="00D36C8C" w:rsidRPr="00120448" w:rsidRDefault="000648C3" w:rsidP="000648C3">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Q52X</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D36C8C"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L342P</w:t>
            </w:r>
          </w:p>
        </w:tc>
        <w:tc>
          <w:tcPr>
            <w:tcW w:w="1403"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r>
      <w:tr w:rsidR="00D36C8C" w:rsidRPr="00120448" w:rsidTr="00D3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D36C8C" w:rsidRPr="00120448" w:rsidRDefault="00D36C8C"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PIB026</w:t>
            </w:r>
          </w:p>
        </w:tc>
        <w:tc>
          <w:tcPr>
            <w:tcW w:w="1063"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ST17</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Frameshift</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D36C8C" w:rsidRPr="00120448" w:rsidRDefault="00D36C8C"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r>
      <w:tr w:rsidR="00D36C8C" w:rsidRPr="00120448" w:rsidTr="00D36C8C">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D36C8C" w:rsidRPr="00120448" w:rsidRDefault="00D36C8C"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PIB045</w:t>
            </w:r>
          </w:p>
        </w:tc>
        <w:tc>
          <w:tcPr>
            <w:tcW w:w="1063"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ST27</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i/>
                <w:sz w:val="23"/>
                <w:szCs w:val="23"/>
                <w:shd w:val="clear" w:color="auto" w:fill="FFFFFF"/>
              </w:rPr>
            </w:pPr>
            <w:r w:rsidRPr="00120448">
              <w:rPr>
                <w:sz w:val="23"/>
                <w:szCs w:val="23"/>
                <w:shd w:val="clear" w:color="auto" w:fill="FFFFFF"/>
              </w:rPr>
              <w:t>V264E</w:t>
            </w: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D36C8C" w:rsidRPr="00120448" w:rsidRDefault="00D36C8C"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r>
      <w:tr w:rsidR="000648C3" w:rsidRPr="00120448" w:rsidTr="00D3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0648C3" w:rsidRPr="00120448" w:rsidRDefault="000648C3" w:rsidP="00F10B3F">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PIB001</w:t>
            </w:r>
          </w:p>
        </w:tc>
        <w:tc>
          <w:tcPr>
            <w:tcW w:w="1063" w:type="dxa"/>
            <w:shd w:val="clear" w:color="auto" w:fill="FFFFFF" w:themeFill="background1"/>
          </w:tcPr>
          <w:p w:rsidR="000648C3" w:rsidRPr="00120448" w:rsidRDefault="000648C3" w:rsidP="00F10B3F">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ST235</w:t>
            </w:r>
          </w:p>
        </w:tc>
        <w:tc>
          <w:tcPr>
            <w:tcW w:w="1402" w:type="dxa"/>
            <w:shd w:val="clear" w:color="auto" w:fill="FFFFFF" w:themeFill="background1"/>
          </w:tcPr>
          <w:p w:rsidR="000648C3" w:rsidRPr="00120448" w:rsidRDefault="000648C3" w:rsidP="00F10B3F">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i/>
                <w:sz w:val="23"/>
                <w:szCs w:val="23"/>
                <w:shd w:val="clear" w:color="auto" w:fill="FFFFFF"/>
              </w:rPr>
            </w:pPr>
            <w:r w:rsidRPr="00120448">
              <w:rPr>
                <w:sz w:val="23"/>
                <w:szCs w:val="23"/>
                <w:shd w:val="clear" w:color="auto" w:fill="FFFFFF"/>
              </w:rPr>
              <w:t>ΔL541-S544</w:t>
            </w: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r>
      <w:tr w:rsidR="000648C3" w:rsidRPr="00120448" w:rsidTr="00D36C8C">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0648C3" w:rsidRPr="00120448" w:rsidRDefault="000648C3"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PIB023</w:t>
            </w:r>
          </w:p>
        </w:tc>
        <w:tc>
          <w:tcPr>
            <w:tcW w:w="1063"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ST252</w:t>
            </w: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R33H</w:t>
            </w:r>
          </w:p>
        </w:tc>
      </w:tr>
      <w:tr w:rsidR="000648C3" w:rsidRPr="00120448" w:rsidTr="00D3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0648C3" w:rsidRPr="00120448" w:rsidRDefault="000648C3"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PIB058</w:t>
            </w:r>
          </w:p>
        </w:tc>
        <w:tc>
          <w:tcPr>
            <w:tcW w:w="1063"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ST252</w:t>
            </w: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H469R</w:t>
            </w: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R33H</w:t>
            </w:r>
          </w:p>
        </w:tc>
      </w:tr>
      <w:tr w:rsidR="000648C3" w:rsidRPr="00120448" w:rsidTr="00D36C8C">
        <w:tc>
          <w:tcPr>
            <w:cnfStyle w:val="001000000000" w:firstRow="0" w:lastRow="0" w:firstColumn="1" w:lastColumn="0" w:oddVBand="0" w:evenVBand="0" w:oddHBand="0" w:evenHBand="0" w:firstRowFirstColumn="0" w:firstRowLastColumn="0" w:lastRowFirstColumn="0" w:lastRowLastColumn="0"/>
            <w:tcW w:w="1168" w:type="dxa"/>
            <w:shd w:val="clear" w:color="auto" w:fill="FFFFFF" w:themeFill="background1"/>
          </w:tcPr>
          <w:p w:rsidR="000648C3" w:rsidRPr="00120448" w:rsidRDefault="000648C3"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PIB067</w:t>
            </w:r>
          </w:p>
        </w:tc>
        <w:tc>
          <w:tcPr>
            <w:tcW w:w="1063"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ST252</w:t>
            </w: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3" w:type="dxa"/>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R33H</w:t>
            </w:r>
          </w:p>
        </w:tc>
      </w:tr>
      <w:tr w:rsidR="000648C3" w:rsidRPr="00120448" w:rsidTr="00064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PIC030</w:t>
            </w:r>
          </w:p>
        </w:tc>
        <w:tc>
          <w:tcPr>
            <w:tcW w:w="1063"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ST252</w:t>
            </w:r>
          </w:p>
        </w:tc>
        <w:tc>
          <w:tcPr>
            <w:tcW w:w="1402"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tcBorders>
              <w:bottom w:val="nil"/>
            </w:tcBorders>
            <w:shd w:val="clear" w:color="auto" w:fill="FFFFFF" w:themeFill="background1"/>
          </w:tcPr>
          <w:p w:rsidR="000648C3" w:rsidRPr="00120448" w:rsidRDefault="000648C3" w:rsidP="000648C3">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Frameshift</w:t>
            </w:r>
          </w:p>
        </w:tc>
        <w:tc>
          <w:tcPr>
            <w:tcW w:w="1402"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2"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p>
        </w:tc>
        <w:tc>
          <w:tcPr>
            <w:tcW w:w="1403" w:type="dxa"/>
            <w:tcBorders>
              <w:bottom w:val="nil"/>
            </w:tcBorders>
            <w:shd w:val="clear" w:color="auto" w:fill="FFFFFF" w:themeFill="background1"/>
          </w:tcPr>
          <w:p w:rsidR="000648C3" w:rsidRPr="00120448" w:rsidRDefault="000648C3" w:rsidP="00B16CDD">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120448">
              <w:rPr>
                <w:sz w:val="23"/>
                <w:szCs w:val="23"/>
                <w:shd w:val="clear" w:color="auto" w:fill="FFFFFF"/>
              </w:rPr>
              <w:t>R33H</w:t>
            </w:r>
          </w:p>
        </w:tc>
      </w:tr>
      <w:tr w:rsidR="000648C3" w:rsidRPr="00120448" w:rsidTr="000648C3">
        <w:tc>
          <w:tcPr>
            <w:cnfStyle w:val="001000000000" w:firstRow="0" w:lastRow="0" w:firstColumn="1" w:lastColumn="0" w:oddVBand="0" w:evenVBand="0" w:oddHBand="0" w:evenHBand="0" w:firstRowFirstColumn="0" w:firstRowLastColumn="0" w:lastRowFirstColumn="0" w:lastRowLastColumn="0"/>
            <w:tcW w:w="1168"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rPr>
                <w:b w:val="0"/>
                <w:sz w:val="23"/>
                <w:szCs w:val="23"/>
                <w:shd w:val="clear" w:color="auto" w:fill="FFFFFF"/>
              </w:rPr>
            </w:pPr>
            <w:r w:rsidRPr="00120448">
              <w:rPr>
                <w:b w:val="0"/>
                <w:sz w:val="23"/>
                <w:szCs w:val="23"/>
                <w:shd w:val="clear" w:color="auto" w:fill="FFFFFF"/>
              </w:rPr>
              <w:t>PIB063</w:t>
            </w:r>
          </w:p>
        </w:tc>
        <w:tc>
          <w:tcPr>
            <w:tcW w:w="1063"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ST253</w:t>
            </w:r>
          </w:p>
        </w:tc>
        <w:tc>
          <w:tcPr>
            <w:tcW w:w="1402"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i/>
                <w:sz w:val="23"/>
                <w:szCs w:val="23"/>
                <w:shd w:val="clear" w:color="auto" w:fill="FFFFFF"/>
              </w:rPr>
            </w:pPr>
            <w:r w:rsidRPr="00120448">
              <w:rPr>
                <w:sz w:val="23"/>
                <w:szCs w:val="23"/>
                <w:shd w:val="clear" w:color="auto" w:fill="FFFFFF"/>
              </w:rPr>
              <w:t>Frameshift</w:t>
            </w:r>
          </w:p>
        </w:tc>
        <w:tc>
          <w:tcPr>
            <w:tcW w:w="1402"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2"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120448">
              <w:rPr>
                <w:sz w:val="23"/>
                <w:szCs w:val="23"/>
                <w:shd w:val="clear" w:color="auto" w:fill="FFFFFF"/>
              </w:rPr>
              <w:t>H72R</w:t>
            </w:r>
          </w:p>
        </w:tc>
        <w:tc>
          <w:tcPr>
            <w:tcW w:w="1402"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c>
          <w:tcPr>
            <w:tcW w:w="1403" w:type="dxa"/>
            <w:tcBorders>
              <w:top w:val="nil"/>
              <w:bottom w:val="single" w:sz="8" w:space="0" w:color="000000" w:themeColor="text1"/>
            </w:tcBorders>
            <w:shd w:val="clear" w:color="auto" w:fill="FFFFFF" w:themeFill="background1"/>
          </w:tcPr>
          <w:p w:rsidR="000648C3" w:rsidRPr="00120448" w:rsidRDefault="000648C3" w:rsidP="00B16CDD">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p>
        </w:tc>
      </w:tr>
    </w:tbl>
    <w:p w:rsidR="004D5F1B" w:rsidRPr="00120448" w:rsidRDefault="002D798F" w:rsidP="00866A37">
      <w:pPr>
        <w:pStyle w:val="NormalWeb"/>
        <w:spacing w:before="240" w:beforeAutospacing="0" w:after="0" w:afterAutospacing="0" w:line="360" w:lineRule="auto"/>
        <w:jc w:val="both"/>
        <w:rPr>
          <w:b/>
          <w:sz w:val="23"/>
          <w:szCs w:val="23"/>
          <w:shd w:val="clear" w:color="auto" w:fill="FFFFFF"/>
        </w:rPr>
      </w:pPr>
      <w:r w:rsidRPr="00120448">
        <w:rPr>
          <w:b/>
          <w:sz w:val="23"/>
          <w:szCs w:val="23"/>
          <w:shd w:val="clear" w:color="auto" w:fill="FFFFFF"/>
        </w:rPr>
        <w:t xml:space="preserve">Table </w:t>
      </w:r>
      <w:r w:rsidR="00120448" w:rsidRPr="00120448">
        <w:rPr>
          <w:b/>
          <w:sz w:val="23"/>
          <w:szCs w:val="23"/>
          <w:shd w:val="clear" w:color="auto" w:fill="FFFFFF"/>
        </w:rPr>
        <w:t>S</w:t>
      </w:r>
      <w:r w:rsidR="00120448">
        <w:rPr>
          <w:b/>
          <w:sz w:val="23"/>
          <w:szCs w:val="23"/>
          <w:shd w:val="clear" w:color="auto" w:fill="FFFFFF"/>
        </w:rPr>
        <w:t>3</w:t>
      </w:r>
      <w:r w:rsidRPr="00120448">
        <w:rPr>
          <w:b/>
          <w:sz w:val="23"/>
          <w:szCs w:val="23"/>
          <w:shd w:val="clear" w:color="auto" w:fill="FFFFFF"/>
        </w:rPr>
        <w:t xml:space="preserve">. Prediction of hypermutators based on </w:t>
      </w:r>
      <w:r w:rsidR="0071154B" w:rsidRPr="00120448">
        <w:rPr>
          <w:b/>
          <w:sz w:val="23"/>
          <w:szCs w:val="23"/>
          <w:shd w:val="clear" w:color="auto" w:fill="FFFFFF"/>
        </w:rPr>
        <w:t xml:space="preserve">the </w:t>
      </w:r>
      <w:r w:rsidRPr="00120448">
        <w:rPr>
          <w:b/>
          <w:sz w:val="23"/>
          <w:szCs w:val="23"/>
          <w:shd w:val="clear" w:color="auto" w:fill="FFFFFF"/>
        </w:rPr>
        <w:t xml:space="preserve">identification of deleterious mutations in </w:t>
      </w:r>
      <w:r w:rsidR="0071154B" w:rsidRPr="00120448">
        <w:rPr>
          <w:b/>
          <w:sz w:val="23"/>
          <w:szCs w:val="23"/>
          <w:shd w:val="clear" w:color="auto" w:fill="FFFFFF"/>
        </w:rPr>
        <w:t xml:space="preserve">genes conferring </w:t>
      </w:r>
      <w:r w:rsidRPr="00120448">
        <w:rPr>
          <w:b/>
          <w:sz w:val="23"/>
          <w:szCs w:val="23"/>
          <w:shd w:val="clear" w:color="auto" w:fill="FFFFFF"/>
        </w:rPr>
        <w:t>DNA proof-reading and mismatch repair</w:t>
      </w:r>
      <w:r w:rsidR="0071154B" w:rsidRPr="00120448">
        <w:rPr>
          <w:b/>
          <w:sz w:val="23"/>
          <w:szCs w:val="23"/>
          <w:shd w:val="clear" w:color="auto" w:fill="FFFFFF"/>
        </w:rPr>
        <w:t xml:space="preserve"> functions</w:t>
      </w:r>
      <w:r w:rsidRPr="00120448">
        <w:rPr>
          <w:b/>
          <w:sz w:val="23"/>
          <w:szCs w:val="23"/>
          <w:shd w:val="clear" w:color="auto" w:fill="FFFFFF"/>
        </w:rPr>
        <w:t xml:space="preserve">. </w:t>
      </w:r>
      <w:r w:rsidR="0071154B" w:rsidRPr="00120448">
        <w:rPr>
          <w:sz w:val="23"/>
          <w:szCs w:val="23"/>
          <w:shd w:val="clear" w:color="auto" w:fill="FFFFFF"/>
        </w:rPr>
        <w:t xml:space="preserve">All of the indicated amino acid substitutions are predicted to be deleterious by both SNAP2 and PROVEAN, whilst the frameshift mutations each cause premature truncation of the gene product. </w:t>
      </w:r>
      <w:r w:rsidR="000D6BE7" w:rsidRPr="00120448">
        <w:rPr>
          <w:sz w:val="23"/>
          <w:szCs w:val="23"/>
          <w:shd w:val="clear" w:color="auto" w:fill="FFFFFF"/>
          <w:vertAlign w:val="superscript"/>
        </w:rPr>
        <w:t xml:space="preserve">a </w:t>
      </w:r>
      <w:r w:rsidR="000D6BE7" w:rsidRPr="00120448">
        <w:rPr>
          <w:sz w:val="23"/>
          <w:szCs w:val="23"/>
          <w:shd w:val="clear" w:color="auto" w:fill="FFFFFF"/>
        </w:rPr>
        <w:t xml:space="preserve">PIB isolates are from NCFB patients, whilst PIC isolates are from CF patients. </w:t>
      </w:r>
      <w:r w:rsidR="000D6BE7" w:rsidRPr="00120448">
        <w:rPr>
          <w:sz w:val="23"/>
          <w:szCs w:val="23"/>
          <w:shd w:val="clear" w:color="auto" w:fill="FFFFFF"/>
          <w:vertAlign w:val="superscript"/>
        </w:rPr>
        <w:t xml:space="preserve">b </w:t>
      </w:r>
      <w:r w:rsidR="000D6BE7" w:rsidRPr="00120448">
        <w:rPr>
          <w:sz w:val="23"/>
          <w:szCs w:val="23"/>
          <w:shd w:val="clear" w:color="auto" w:fill="FFFFFF"/>
        </w:rPr>
        <w:t>Sequence Type, as defined by Multi-Locus Sequence Typing (MLST).</w:t>
      </w:r>
    </w:p>
    <w:p w:rsidR="004D5F1B" w:rsidRPr="00866A37" w:rsidRDefault="004D5F1B" w:rsidP="00866A37">
      <w:pPr>
        <w:pStyle w:val="NormalWeb"/>
        <w:spacing w:before="0" w:beforeAutospacing="0" w:after="0" w:afterAutospacing="0" w:line="360" w:lineRule="auto"/>
        <w:jc w:val="both"/>
        <w:rPr>
          <w:b/>
          <w:sz w:val="23"/>
          <w:szCs w:val="23"/>
          <w:shd w:val="clear" w:color="auto" w:fill="FFFFFF"/>
        </w:rPr>
      </w:pPr>
      <w:r w:rsidRPr="00866A37">
        <w:rPr>
          <w:b/>
          <w:sz w:val="23"/>
          <w:szCs w:val="23"/>
          <w:shd w:val="clear" w:color="auto" w:fill="FFFFFF"/>
        </w:rPr>
        <w:lastRenderedPageBreak/>
        <w:t>References</w:t>
      </w:r>
    </w:p>
    <w:p w:rsidR="008375A5" w:rsidRPr="00866A37" w:rsidRDefault="004D5F1B" w:rsidP="00866A37">
      <w:pPr>
        <w:pStyle w:val="NormalWeb"/>
        <w:numPr>
          <w:ilvl w:val="0"/>
          <w:numId w:val="1"/>
        </w:numPr>
        <w:spacing w:before="0" w:beforeAutospacing="0" w:after="0" w:afterAutospacing="0" w:line="360" w:lineRule="auto"/>
        <w:jc w:val="both"/>
        <w:rPr>
          <w:sz w:val="23"/>
          <w:szCs w:val="23"/>
        </w:rPr>
      </w:pPr>
      <w:r w:rsidRPr="00866A37">
        <w:rPr>
          <w:sz w:val="23"/>
          <w:szCs w:val="23"/>
          <w:shd w:val="clear" w:color="auto" w:fill="FFFFFF"/>
        </w:rPr>
        <w:t>Connor TR</w:t>
      </w:r>
      <w:r w:rsidR="008375A5" w:rsidRPr="00866A37">
        <w:rPr>
          <w:sz w:val="23"/>
          <w:szCs w:val="23"/>
          <w:shd w:val="clear" w:color="auto" w:fill="FFFFFF"/>
        </w:rPr>
        <w:t>, Loman NJ, Thompson S</w:t>
      </w:r>
      <w:r w:rsidRPr="00866A37">
        <w:rPr>
          <w:sz w:val="23"/>
          <w:szCs w:val="23"/>
          <w:shd w:val="clear" w:color="auto" w:fill="FFFFFF"/>
        </w:rPr>
        <w:t xml:space="preserve"> </w:t>
      </w:r>
      <w:r w:rsidRPr="00866A37">
        <w:rPr>
          <w:i/>
          <w:sz w:val="23"/>
          <w:szCs w:val="23"/>
          <w:shd w:val="clear" w:color="auto" w:fill="FFFFFF"/>
        </w:rPr>
        <w:t>et al</w:t>
      </w:r>
      <w:r w:rsidRPr="00866A37">
        <w:rPr>
          <w:sz w:val="23"/>
          <w:szCs w:val="23"/>
          <w:shd w:val="clear" w:color="auto" w:fill="FFFFFF"/>
        </w:rPr>
        <w:t xml:space="preserve">. CLIMB (the Cloud Infrastructure for Microbial Bioinformatics): an online resource for the medical microbiology community. </w:t>
      </w:r>
      <w:r w:rsidRPr="00866A37">
        <w:rPr>
          <w:i/>
          <w:sz w:val="23"/>
          <w:szCs w:val="23"/>
          <w:shd w:val="clear" w:color="auto" w:fill="FFFFFF"/>
        </w:rPr>
        <w:t>Microbial Genomics</w:t>
      </w:r>
      <w:r w:rsidRPr="00866A37">
        <w:rPr>
          <w:sz w:val="23"/>
          <w:szCs w:val="23"/>
          <w:shd w:val="clear" w:color="auto" w:fill="FFFFFF"/>
        </w:rPr>
        <w:t>. 2016</w:t>
      </w:r>
      <w:r w:rsidR="008375A5" w:rsidRPr="00866A37">
        <w:rPr>
          <w:sz w:val="23"/>
          <w:szCs w:val="23"/>
          <w:shd w:val="clear" w:color="auto" w:fill="FFFFFF"/>
        </w:rPr>
        <w:t>; 2</w:t>
      </w:r>
      <w:r w:rsidRPr="00866A37">
        <w:rPr>
          <w:sz w:val="23"/>
          <w:szCs w:val="23"/>
          <w:shd w:val="clear" w:color="auto" w:fill="FFFFFF"/>
        </w:rPr>
        <w:t xml:space="preserve"> </w:t>
      </w:r>
    </w:p>
    <w:p w:rsidR="004D5F1B" w:rsidRPr="00866A37" w:rsidRDefault="004D5F1B" w:rsidP="00866A37">
      <w:pPr>
        <w:pStyle w:val="NormalWeb"/>
        <w:numPr>
          <w:ilvl w:val="0"/>
          <w:numId w:val="1"/>
        </w:numPr>
        <w:spacing w:before="0" w:beforeAutospacing="0" w:after="0" w:afterAutospacing="0" w:line="360" w:lineRule="auto"/>
        <w:jc w:val="both"/>
        <w:rPr>
          <w:sz w:val="23"/>
          <w:szCs w:val="23"/>
        </w:rPr>
      </w:pPr>
      <w:r w:rsidRPr="00866A37">
        <w:rPr>
          <w:sz w:val="23"/>
          <w:szCs w:val="23"/>
          <w:shd w:val="clear" w:color="auto" w:fill="FFFFFF"/>
        </w:rPr>
        <w:t xml:space="preserve">Bolger AM, Lohse M, Usadel B. Trimmomatic: a flexible trimmer for Illumina sequence data. </w:t>
      </w:r>
      <w:r w:rsidRPr="00866A37">
        <w:rPr>
          <w:i/>
          <w:iCs/>
          <w:sz w:val="23"/>
          <w:szCs w:val="23"/>
          <w:shd w:val="clear" w:color="auto" w:fill="FFFFFF"/>
        </w:rPr>
        <w:t>Bioinformatics</w:t>
      </w:r>
      <w:r w:rsidRPr="00866A37">
        <w:rPr>
          <w:sz w:val="23"/>
          <w:szCs w:val="23"/>
          <w:shd w:val="clear" w:color="auto" w:fill="FFFFFF"/>
        </w:rPr>
        <w:t xml:space="preserve">. 2014; </w:t>
      </w:r>
      <w:r w:rsidR="008375A5" w:rsidRPr="00866A37">
        <w:rPr>
          <w:sz w:val="23"/>
          <w:szCs w:val="23"/>
          <w:shd w:val="clear" w:color="auto" w:fill="FFFFFF"/>
        </w:rPr>
        <w:t>30(15):2114-2120</w:t>
      </w:r>
      <w:r w:rsidRPr="00866A37">
        <w:rPr>
          <w:sz w:val="23"/>
          <w:szCs w:val="23"/>
          <w:shd w:val="clear" w:color="auto" w:fill="FFFFFF"/>
        </w:rPr>
        <w:t>.</w:t>
      </w:r>
    </w:p>
    <w:p w:rsidR="004D5F1B" w:rsidRPr="00866A37" w:rsidRDefault="008375A5" w:rsidP="00866A37">
      <w:pPr>
        <w:pStyle w:val="NormalWeb"/>
        <w:numPr>
          <w:ilvl w:val="0"/>
          <w:numId w:val="1"/>
        </w:numPr>
        <w:spacing w:before="0" w:beforeAutospacing="0" w:after="0" w:afterAutospacing="0" w:line="360" w:lineRule="auto"/>
        <w:jc w:val="both"/>
        <w:rPr>
          <w:sz w:val="23"/>
          <w:szCs w:val="23"/>
        </w:rPr>
      </w:pPr>
      <w:r w:rsidRPr="00866A37">
        <w:rPr>
          <w:sz w:val="23"/>
          <w:szCs w:val="23"/>
          <w:shd w:val="clear" w:color="auto" w:fill="FFFFFF"/>
        </w:rPr>
        <w:t>Wood DE, Salzberg SL.</w:t>
      </w:r>
      <w:r w:rsidR="004D5F1B" w:rsidRPr="00866A37">
        <w:rPr>
          <w:sz w:val="23"/>
          <w:szCs w:val="23"/>
          <w:shd w:val="clear" w:color="auto" w:fill="FFFFFF"/>
        </w:rPr>
        <w:t xml:space="preserve"> </w:t>
      </w:r>
      <w:hyperlink r:id="rId10" w:tgtFrame="_blank" w:history="1">
        <w:r w:rsidR="004D5F1B" w:rsidRPr="00866A37">
          <w:rPr>
            <w:rStyle w:val="Hyperlink"/>
            <w:bCs/>
            <w:color w:val="auto"/>
            <w:sz w:val="23"/>
            <w:szCs w:val="23"/>
            <w:u w:val="none"/>
            <w:shd w:val="clear" w:color="auto" w:fill="FFFFFF"/>
          </w:rPr>
          <w:t>Kraken: ultrafast metagenomic sequence classification using exact alignments</w:t>
        </w:r>
      </w:hyperlink>
      <w:r w:rsidR="004D5F1B" w:rsidRPr="00866A37">
        <w:rPr>
          <w:sz w:val="23"/>
          <w:szCs w:val="23"/>
          <w:shd w:val="clear" w:color="auto" w:fill="FFFFFF"/>
        </w:rPr>
        <w:t>.</w:t>
      </w:r>
      <w:r w:rsidRPr="00866A37">
        <w:rPr>
          <w:sz w:val="23"/>
          <w:szCs w:val="23"/>
          <w:shd w:val="clear" w:color="auto" w:fill="FFFFFF"/>
        </w:rPr>
        <w:t xml:space="preserve"> </w:t>
      </w:r>
      <w:r w:rsidR="004D5F1B" w:rsidRPr="00866A37">
        <w:rPr>
          <w:i/>
          <w:iCs/>
          <w:sz w:val="23"/>
          <w:szCs w:val="23"/>
          <w:shd w:val="clear" w:color="auto" w:fill="FFFFFF"/>
        </w:rPr>
        <w:t>Genome Biology</w:t>
      </w:r>
      <w:r w:rsidRPr="00866A37">
        <w:rPr>
          <w:sz w:val="23"/>
          <w:szCs w:val="23"/>
          <w:shd w:val="clear" w:color="auto" w:fill="FFFFFF"/>
        </w:rPr>
        <w:t xml:space="preserve"> 2014;</w:t>
      </w:r>
      <w:r w:rsidR="004D5F1B" w:rsidRPr="00866A37">
        <w:rPr>
          <w:bCs/>
          <w:sz w:val="23"/>
          <w:szCs w:val="23"/>
          <w:shd w:val="clear" w:color="auto" w:fill="FFFFFF"/>
        </w:rPr>
        <w:t>15</w:t>
      </w:r>
      <w:r w:rsidRPr="00866A37">
        <w:rPr>
          <w:bCs/>
          <w:sz w:val="23"/>
          <w:szCs w:val="23"/>
          <w:shd w:val="clear" w:color="auto" w:fill="FFFFFF"/>
        </w:rPr>
        <w:t>(3)</w:t>
      </w:r>
      <w:r w:rsidR="004D5F1B" w:rsidRPr="00866A37">
        <w:rPr>
          <w:sz w:val="23"/>
          <w:szCs w:val="23"/>
          <w:shd w:val="clear" w:color="auto" w:fill="FFFFFF"/>
        </w:rPr>
        <w:t>:R46</w:t>
      </w:r>
    </w:p>
    <w:p w:rsidR="008375A5" w:rsidRPr="00866A37" w:rsidRDefault="008375A5"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eastAsia="Times New Roman" w:hAnsi="Times New Roman" w:cs="Times New Roman"/>
          <w:sz w:val="23"/>
          <w:szCs w:val="23"/>
          <w:lang w:eastAsia="en-GB"/>
        </w:rPr>
        <w:t xml:space="preserve">Bankevich A, Nurk S, Antipov D </w:t>
      </w:r>
      <w:r w:rsidRPr="00866A37">
        <w:rPr>
          <w:rFonts w:ascii="Times New Roman" w:eastAsia="Times New Roman" w:hAnsi="Times New Roman" w:cs="Times New Roman"/>
          <w:i/>
          <w:sz w:val="23"/>
          <w:szCs w:val="23"/>
          <w:lang w:eastAsia="en-GB"/>
        </w:rPr>
        <w:t>et al</w:t>
      </w:r>
      <w:r w:rsidRPr="00866A37">
        <w:rPr>
          <w:rFonts w:ascii="Times New Roman" w:eastAsia="Times New Roman" w:hAnsi="Times New Roman" w:cs="Times New Roman"/>
          <w:sz w:val="23"/>
          <w:szCs w:val="23"/>
          <w:lang w:eastAsia="en-GB"/>
        </w:rPr>
        <w:t xml:space="preserve">. SPAdes: a new genome assembly algorithm and its applications to single-cell sequencing. </w:t>
      </w:r>
      <w:r w:rsidRPr="00866A37">
        <w:rPr>
          <w:rFonts w:ascii="Times New Roman" w:eastAsia="Times New Roman" w:hAnsi="Times New Roman" w:cs="Times New Roman"/>
          <w:i/>
          <w:sz w:val="23"/>
          <w:szCs w:val="23"/>
          <w:lang w:eastAsia="en-GB"/>
        </w:rPr>
        <w:t>J Comput Biol</w:t>
      </w:r>
      <w:r w:rsidRPr="00866A37">
        <w:rPr>
          <w:rFonts w:ascii="Times New Roman" w:eastAsia="Times New Roman" w:hAnsi="Times New Roman" w:cs="Times New Roman"/>
          <w:sz w:val="23"/>
          <w:szCs w:val="23"/>
          <w:lang w:eastAsia="en-GB"/>
        </w:rPr>
        <w:t>. 2012;19(5):455-77.</w:t>
      </w:r>
    </w:p>
    <w:p w:rsidR="004D5F1B" w:rsidRPr="00866A37" w:rsidRDefault="004D5F1B"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hAnsi="Times New Roman" w:cs="Times New Roman"/>
          <w:sz w:val="23"/>
          <w:szCs w:val="23"/>
        </w:rPr>
        <w:t xml:space="preserve">Torsten, S. Prokka: rapid prokaryotic genome annotation. </w:t>
      </w:r>
      <w:r w:rsidRPr="00866A37">
        <w:rPr>
          <w:rFonts w:ascii="Times New Roman" w:hAnsi="Times New Roman" w:cs="Times New Roman"/>
          <w:i/>
          <w:sz w:val="23"/>
          <w:szCs w:val="23"/>
        </w:rPr>
        <w:t>Bioinformatics</w:t>
      </w:r>
      <w:r w:rsidR="008375A5" w:rsidRPr="00866A37">
        <w:rPr>
          <w:rFonts w:ascii="Times New Roman" w:hAnsi="Times New Roman" w:cs="Times New Roman"/>
          <w:sz w:val="23"/>
          <w:szCs w:val="23"/>
          <w:bdr w:val="none" w:sz="0" w:space="0" w:color="auto" w:frame="1"/>
          <w:shd w:val="clear" w:color="auto" w:fill="FFFFFF"/>
        </w:rPr>
        <w:t xml:space="preserve"> </w:t>
      </w:r>
      <w:r w:rsidRPr="00866A37">
        <w:rPr>
          <w:rFonts w:ascii="Times New Roman" w:hAnsi="Times New Roman" w:cs="Times New Roman"/>
          <w:sz w:val="23"/>
          <w:szCs w:val="23"/>
          <w:bdr w:val="none" w:sz="0" w:space="0" w:color="auto" w:frame="1"/>
          <w:shd w:val="clear" w:color="auto" w:fill="FFFFFF"/>
        </w:rPr>
        <w:t>2014</w:t>
      </w:r>
      <w:r w:rsidR="008375A5" w:rsidRPr="00866A37">
        <w:rPr>
          <w:rFonts w:ascii="Times New Roman" w:hAnsi="Times New Roman" w:cs="Times New Roman"/>
          <w:sz w:val="23"/>
          <w:szCs w:val="23"/>
          <w:bdr w:val="none" w:sz="0" w:space="0" w:color="auto" w:frame="1"/>
          <w:shd w:val="clear" w:color="auto" w:fill="FFFFFF"/>
        </w:rPr>
        <w:t>;</w:t>
      </w:r>
      <w:r w:rsidRPr="00866A37">
        <w:rPr>
          <w:rFonts w:ascii="Times New Roman" w:hAnsi="Times New Roman" w:cs="Times New Roman"/>
          <w:sz w:val="23"/>
          <w:szCs w:val="23"/>
          <w:bdr w:val="none" w:sz="0" w:space="0" w:color="auto" w:frame="1"/>
          <w:shd w:val="clear" w:color="auto" w:fill="FFFFFF"/>
        </w:rPr>
        <w:t xml:space="preserve"> 30(14):2068-2069.</w:t>
      </w:r>
    </w:p>
    <w:p w:rsidR="00866A37" w:rsidRPr="00866A37" w:rsidRDefault="00866A37"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hAnsi="Times New Roman" w:cs="Times New Roman"/>
          <w:sz w:val="23"/>
          <w:szCs w:val="23"/>
        </w:rPr>
        <w:t xml:space="preserve">Winsor GL, Griffiths EJ, Lo R </w:t>
      </w:r>
      <w:r w:rsidRPr="00866A37">
        <w:rPr>
          <w:rFonts w:ascii="Times New Roman" w:hAnsi="Times New Roman" w:cs="Times New Roman"/>
          <w:i/>
          <w:sz w:val="23"/>
          <w:szCs w:val="23"/>
        </w:rPr>
        <w:t>et al.</w:t>
      </w:r>
      <w:r w:rsidRPr="00866A37">
        <w:rPr>
          <w:rFonts w:ascii="Times New Roman" w:hAnsi="Times New Roman" w:cs="Times New Roman"/>
          <w:sz w:val="23"/>
          <w:szCs w:val="23"/>
        </w:rPr>
        <w:t xml:space="preserve"> Enhanced annotations and features for comparing thousands of </w:t>
      </w:r>
      <w:r w:rsidRPr="00866A37">
        <w:rPr>
          <w:rFonts w:ascii="Times New Roman" w:hAnsi="Times New Roman" w:cs="Times New Roman"/>
          <w:i/>
          <w:sz w:val="23"/>
          <w:szCs w:val="23"/>
        </w:rPr>
        <w:t>Pseudomonas</w:t>
      </w:r>
      <w:r w:rsidRPr="00866A37">
        <w:rPr>
          <w:rFonts w:ascii="Times New Roman" w:hAnsi="Times New Roman" w:cs="Times New Roman"/>
          <w:sz w:val="23"/>
          <w:szCs w:val="23"/>
        </w:rPr>
        <w:t xml:space="preserve"> genomes in the </w:t>
      </w:r>
      <w:r w:rsidRPr="00866A37">
        <w:rPr>
          <w:rFonts w:ascii="Times New Roman" w:hAnsi="Times New Roman" w:cs="Times New Roman"/>
          <w:i/>
          <w:sz w:val="23"/>
          <w:szCs w:val="23"/>
        </w:rPr>
        <w:t>Pseudomonas</w:t>
      </w:r>
      <w:r w:rsidRPr="00866A37">
        <w:rPr>
          <w:rFonts w:ascii="Times New Roman" w:hAnsi="Times New Roman" w:cs="Times New Roman"/>
          <w:sz w:val="23"/>
          <w:szCs w:val="23"/>
        </w:rPr>
        <w:t xml:space="preserve"> genome database. </w:t>
      </w:r>
      <w:r w:rsidRPr="00866A37">
        <w:rPr>
          <w:rFonts w:ascii="Times New Roman" w:hAnsi="Times New Roman" w:cs="Times New Roman"/>
          <w:i/>
          <w:sz w:val="23"/>
          <w:szCs w:val="23"/>
        </w:rPr>
        <w:t>Nucleic Acids Res</w:t>
      </w:r>
      <w:r w:rsidRPr="00866A37">
        <w:rPr>
          <w:rFonts w:ascii="Times New Roman" w:hAnsi="Times New Roman" w:cs="Times New Roman"/>
          <w:sz w:val="23"/>
          <w:szCs w:val="23"/>
        </w:rPr>
        <w:t>. 2016; 44(D1):D646-53.</w:t>
      </w:r>
    </w:p>
    <w:p w:rsidR="00866A37" w:rsidRPr="00866A37" w:rsidRDefault="00866A37"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hAnsi="Times New Roman" w:cs="Times New Roman"/>
          <w:sz w:val="23"/>
          <w:szCs w:val="23"/>
        </w:rPr>
        <w:t xml:space="preserve">Jolley KA, Maiden MC. BIGSdb: Scalable analysis of bacterial genome variation at the population level. </w:t>
      </w:r>
      <w:r w:rsidRPr="00866A37">
        <w:rPr>
          <w:rFonts w:ascii="Times New Roman" w:hAnsi="Times New Roman" w:cs="Times New Roman"/>
          <w:i/>
          <w:sz w:val="23"/>
          <w:szCs w:val="23"/>
        </w:rPr>
        <w:t>BMC Bioinformatics</w:t>
      </w:r>
      <w:r w:rsidRPr="00866A37">
        <w:rPr>
          <w:rFonts w:ascii="Times New Roman" w:hAnsi="Times New Roman" w:cs="Times New Roman"/>
          <w:sz w:val="23"/>
          <w:szCs w:val="23"/>
        </w:rPr>
        <w:t xml:space="preserve"> 2010; 11:595.</w:t>
      </w:r>
    </w:p>
    <w:p w:rsidR="00D03CAE" w:rsidRPr="00866A37" w:rsidRDefault="00D03CAE"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hAnsi="Times New Roman" w:cs="Times New Roman"/>
          <w:sz w:val="23"/>
          <w:szCs w:val="23"/>
        </w:rPr>
        <w:t xml:space="preserve">Hecht M, Bromberg Y, Rost B. Better prediction of functional effects for sequence variants. </w:t>
      </w:r>
      <w:r w:rsidRPr="00866A37">
        <w:rPr>
          <w:rFonts w:ascii="Times New Roman" w:hAnsi="Times New Roman" w:cs="Times New Roman"/>
          <w:i/>
          <w:sz w:val="23"/>
          <w:szCs w:val="23"/>
        </w:rPr>
        <w:t>BMC Genomics</w:t>
      </w:r>
      <w:r w:rsidRPr="00866A37">
        <w:rPr>
          <w:rFonts w:ascii="Times New Roman" w:hAnsi="Times New Roman" w:cs="Times New Roman"/>
          <w:sz w:val="23"/>
          <w:szCs w:val="23"/>
        </w:rPr>
        <w:t xml:space="preserve"> 2015;16 Suppl 8:S1.</w:t>
      </w:r>
    </w:p>
    <w:p w:rsidR="00D03CAE" w:rsidRPr="00866A37" w:rsidRDefault="00D03CAE" w:rsidP="00866A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3"/>
          <w:szCs w:val="23"/>
        </w:rPr>
      </w:pPr>
      <w:r w:rsidRPr="00866A37">
        <w:rPr>
          <w:rFonts w:ascii="Times New Roman" w:hAnsi="Times New Roman" w:cs="Times New Roman"/>
          <w:sz w:val="23"/>
          <w:szCs w:val="23"/>
        </w:rPr>
        <w:t xml:space="preserve">Choi Y, Chan AP. PROVEAN web server: a tool to predict the functional effect of amino acid substitutions and indels. </w:t>
      </w:r>
      <w:r w:rsidRPr="00866A37">
        <w:rPr>
          <w:rFonts w:ascii="Times New Roman" w:hAnsi="Times New Roman" w:cs="Times New Roman"/>
          <w:i/>
          <w:sz w:val="23"/>
          <w:szCs w:val="23"/>
        </w:rPr>
        <w:t>Bioinformatics</w:t>
      </w:r>
      <w:r w:rsidRPr="00866A37">
        <w:rPr>
          <w:rFonts w:ascii="Times New Roman" w:hAnsi="Times New Roman" w:cs="Times New Roman"/>
          <w:sz w:val="23"/>
          <w:szCs w:val="23"/>
        </w:rPr>
        <w:t xml:space="preserve"> 2015;31(16):2745-7.</w:t>
      </w:r>
    </w:p>
    <w:p w:rsidR="009C2D3C" w:rsidRPr="00866A37" w:rsidRDefault="009C2D3C" w:rsidP="004D5F1B">
      <w:pPr>
        <w:spacing w:after="0" w:line="480" w:lineRule="auto"/>
        <w:rPr>
          <w:rFonts w:ascii="Times New Roman" w:hAnsi="Times New Roman" w:cs="Times New Roman"/>
          <w:sz w:val="23"/>
          <w:szCs w:val="23"/>
        </w:rPr>
      </w:pPr>
    </w:p>
    <w:sectPr w:rsidR="009C2D3C" w:rsidRPr="00866A37" w:rsidSect="002D798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48" w:rsidRDefault="00120448" w:rsidP="00120448">
      <w:pPr>
        <w:spacing w:after="0" w:line="240" w:lineRule="auto"/>
      </w:pPr>
      <w:r>
        <w:separator/>
      </w:r>
    </w:p>
  </w:endnote>
  <w:endnote w:type="continuationSeparator" w:id="0">
    <w:p w:rsidR="00120448" w:rsidRDefault="00120448" w:rsidP="0012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62142"/>
      <w:docPartObj>
        <w:docPartGallery w:val="Page Numbers (Bottom of Page)"/>
        <w:docPartUnique/>
      </w:docPartObj>
    </w:sdtPr>
    <w:sdtEndPr>
      <w:rPr>
        <w:noProof/>
      </w:rPr>
    </w:sdtEndPr>
    <w:sdtContent>
      <w:p w:rsidR="00120448" w:rsidRDefault="00120448">
        <w:pPr>
          <w:pStyle w:val="Footer"/>
          <w:jc w:val="right"/>
        </w:pPr>
        <w:r>
          <w:fldChar w:fldCharType="begin"/>
        </w:r>
        <w:r>
          <w:instrText xml:space="preserve"> PAGE   \* MERGEFORMAT </w:instrText>
        </w:r>
        <w:r>
          <w:fldChar w:fldCharType="separate"/>
        </w:r>
        <w:r w:rsidR="00374681">
          <w:rPr>
            <w:noProof/>
          </w:rPr>
          <w:t>2</w:t>
        </w:r>
        <w:r>
          <w:rPr>
            <w:noProof/>
          </w:rPr>
          <w:fldChar w:fldCharType="end"/>
        </w:r>
      </w:p>
    </w:sdtContent>
  </w:sdt>
  <w:p w:rsidR="00120448" w:rsidRDefault="00120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48" w:rsidRDefault="00120448" w:rsidP="00120448">
      <w:pPr>
        <w:spacing w:after="0" w:line="240" w:lineRule="auto"/>
      </w:pPr>
      <w:r>
        <w:separator/>
      </w:r>
    </w:p>
  </w:footnote>
  <w:footnote w:type="continuationSeparator" w:id="0">
    <w:p w:rsidR="00120448" w:rsidRDefault="00120448" w:rsidP="0012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22D"/>
    <w:multiLevelType w:val="hybridMultilevel"/>
    <w:tmpl w:val="BC3CC418"/>
    <w:lvl w:ilvl="0" w:tplc="3B7A2744">
      <w:start w:val="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6576B"/>
    <w:multiLevelType w:val="hybridMultilevel"/>
    <w:tmpl w:val="FB405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F3113"/>
    <w:multiLevelType w:val="hybridMultilevel"/>
    <w:tmpl w:val="C7B87EB0"/>
    <w:lvl w:ilvl="0" w:tplc="0E24E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648C3"/>
    <w:rsid w:val="000679B3"/>
    <w:rsid w:val="00090C2B"/>
    <w:rsid w:val="000D6BE7"/>
    <w:rsid w:val="00120448"/>
    <w:rsid w:val="002213EF"/>
    <w:rsid w:val="002A2144"/>
    <w:rsid w:val="002D2988"/>
    <w:rsid w:val="002D798F"/>
    <w:rsid w:val="00310587"/>
    <w:rsid w:val="0037033C"/>
    <w:rsid w:val="00374681"/>
    <w:rsid w:val="003A0434"/>
    <w:rsid w:val="003A4DF7"/>
    <w:rsid w:val="003E1518"/>
    <w:rsid w:val="004D5F1B"/>
    <w:rsid w:val="005D5D83"/>
    <w:rsid w:val="0071154B"/>
    <w:rsid w:val="008375A5"/>
    <w:rsid w:val="00866A37"/>
    <w:rsid w:val="009C2D3C"/>
    <w:rsid w:val="00AF32E5"/>
    <w:rsid w:val="00B16CDD"/>
    <w:rsid w:val="00B57E5B"/>
    <w:rsid w:val="00BF5A21"/>
    <w:rsid w:val="00D03CAE"/>
    <w:rsid w:val="00D36C8C"/>
    <w:rsid w:val="00DD41BC"/>
    <w:rsid w:val="00E24F52"/>
    <w:rsid w:val="00EB3DC7"/>
    <w:rsid w:val="00F13CAF"/>
    <w:rsid w:val="00FA40A9"/>
    <w:rsid w:val="00FE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45CC-DB6E-46A0-9EE1-82AEC875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5F1B"/>
    <w:rPr>
      <w:color w:val="0000FF"/>
      <w:u w:val="single"/>
    </w:rPr>
  </w:style>
  <w:style w:type="paragraph" w:styleId="Title">
    <w:name w:val="Title"/>
    <w:basedOn w:val="Normal"/>
    <w:next w:val="Normal"/>
    <w:link w:val="TitleChar"/>
    <w:uiPriority w:val="10"/>
    <w:qFormat/>
    <w:rsid w:val="004D5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F1B"/>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83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375A5"/>
    <w:rPr>
      <w:rFonts w:ascii="Courier New" w:eastAsia="Times New Roman" w:hAnsi="Courier New" w:cs="Courier New"/>
      <w:sz w:val="20"/>
      <w:szCs w:val="20"/>
      <w:lang w:eastAsia="en-GB"/>
    </w:rPr>
  </w:style>
  <w:style w:type="paragraph" w:styleId="ListParagraph">
    <w:name w:val="List Paragraph"/>
    <w:basedOn w:val="Normal"/>
    <w:uiPriority w:val="34"/>
    <w:qFormat/>
    <w:rsid w:val="008375A5"/>
    <w:pPr>
      <w:ind w:left="720"/>
      <w:contextualSpacing/>
    </w:pPr>
  </w:style>
  <w:style w:type="table" w:styleId="TableGrid">
    <w:name w:val="Table Grid"/>
    <w:basedOn w:val="TableNormal"/>
    <w:uiPriority w:val="59"/>
    <w:rsid w:val="002D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2D29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D29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2D29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FE5F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2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48"/>
    <w:rPr>
      <w:rFonts w:ascii="Segoe UI" w:hAnsi="Segoe UI" w:cs="Segoe UI"/>
      <w:sz w:val="18"/>
      <w:szCs w:val="18"/>
    </w:rPr>
  </w:style>
  <w:style w:type="paragraph" w:styleId="Header">
    <w:name w:val="header"/>
    <w:basedOn w:val="Normal"/>
    <w:link w:val="HeaderChar"/>
    <w:uiPriority w:val="99"/>
    <w:unhideWhenUsed/>
    <w:rsid w:val="0012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48"/>
  </w:style>
  <w:style w:type="paragraph" w:styleId="Footer">
    <w:name w:val="footer"/>
    <w:basedOn w:val="Normal"/>
    <w:link w:val="FooterChar"/>
    <w:uiPriority w:val="99"/>
    <w:unhideWhenUsed/>
    <w:rsid w:val="0012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57913">
      <w:bodyDiv w:val="1"/>
      <w:marLeft w:val="0"/>
      <w:marRight w:val="0"/>
      <w:marTop w:val="0"/>
      <w:marBottom w:val="0"/>
      <w:divBdr>
        <w:top w:val="none" w:sz="0" w:space="0" w:color="auto"/>
        <w:left w:val="none" w:sz="0" w:space="0" w:color="auto"/>
        <w:bottom w:val="none" w:sz="0" w:space="0" w:color="auto"/>
        <w:right w:val="none" w:sz="0" w:space="0" w:color="auto"/>
      </w:divBdr>
    </w:div>
    <w:div w:id="833224828">
      <w:bodyDiv w:val="1"/>
      <w:marLeft w:val="0"/>
      <w:marRight w:val="0"/>
      <w:marTop w:val="0"/>
      <w:marBottom w:val="0"/>
      <w:divBdr>
        <w:top w:val="none" w:sz="0" w:space="0" w:color="auto"/>
        <w:left w:val="none" w:sz="0" w:space="0" w:color="auto"/>
        <w:bottom w:val="none" w:sz="0" w:space="0" w:color="auto"/>
        <w:right w:val="none" w:sz="0" w:space="0" w:color="auto"/>
      </w:divBdr>
    </w:div>
    <w:div w:id="1002390724">
      <w:bodyDiv w:val="1"/>
      <w:marLeft w:val="0"/>
      <w:marRight w:val="0"/>
      <w:marTop w:val="0"/>
      <w:marBottom w:val="0"/>
      <w:divBdr>
        <w:top w:val="none" w:sz="0" w:space="0" w:color="auto"/>
        <w:left w:val="none" w:sz="0" w:space="0" w:color="auto"/>
        <w:bottom w:val="none" w:sz="0" w:space="0" w:color="auto"/>
        <w:right w:val="none" w:sz="0" w:space="0" w:color="auto"/>
      </w:divBdr>
    </w:div>
    <w:div w:id="1007950617">
      <w:bodyDiv w:val="1"/>
      <w:marLeft w:val="0"/>
      <w:marRight w:val="0"/>
      <w:marTop w:val="0"/>
      <w:marBottom w:val="0"/>
      <w:divBdr>
        <w:top w:val="none" w:sz="0" w:space="0" w:color="auto"/>
        <w:left w:val="none" w:sz="0" w:space="0" w:color="auto"/>
        <w:bottom w:val="none" w:sz="0" w:space="0" w:color="auto"/>
        <w:right w:val="none" w:sz="0" w:space="0" w:color="auto"/>
      </w:divBdr>
    </w:div>
    <w:div w:id="14994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seemann/snipp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enomebiology.com/2014/15/3/R46" TargetMode="External"/><Relationship Id="rId4" Type="http://schemas.openxmlformats.org/officeDocument/2006/relationships/webSettings" Target="webSettings.xml"/><Relationship Id="rId9" Type="http://schemas.openxmlformats.org/officeDocument/2006/relationships/hyperlink" Target="https://pubmlst.org/paerugi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Brown, Alan</cp:lastModifiedBy>
  <cp:revision>2</cp:revision>
  <cp:lastPrinted>2016-12-06T16:52:00Z</cp:lastPrinted>
  <dcterms:created xsi:type="dcterms:W3CDTF">2017-08-30T14:25:00Z</dcterms:created>
  <dcterms:modified xsi:type="dcterms:W3CDTF">2017-08-30T14:25:00Z</dcterms:modified>
</cp:coreProperties>
</file>