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522" w:rsidRPr="005E142B" w:rsidRDefault="003E7650" w:rsidP="005E142B">
      <w:pPr>
        <w:spacing w:after="0" w:line="480" w:lineRule="auto"/>
        <w:jc w:val="center"/>
        <w:rPr>
          <w:b/>
          <w:sz w:val="24"/>
          <w:szCs w:val="24"/>
        </w:rPr>
      </w:pPr>
      <w:r>
        <w:rPr>
          <w:b/>
          <w:sz w:val="24"/>
          <w:szCs w:val="24"/>
        </w:rPr>
        <w:t xml:space="preserve">Why U.S. Grand Strategy has not Changed: </w:t>
      </w:r>
    </w:p>
    <w:p w:rsidR="001E4451" w:rsidRPr="005E142B" w:rsidRDefault="001C065F" w:rsidP="00054494">
      <w:pPr>
        <w:spacing w:after="0" w:line="480" w:lineRule="auto"/>
        <w:jc w:val="center"/>
        <w:rPr>
          <w:b/>
          <w:sz w:val="24"/>
          <w:szCs w:val="24"/>
        </w:rPr>
      </w:pPr>
      <w:r>
        <w:rPr>
          <w:b/>
          <w:sz w:val="24"/>
          <w:szCs w:val="24"/>
        </w:rPr>
        <w:t>Power</w:t>
      </w:r>
      <w:r w:rsidR="003E7650">
        <w:rPr>
          <w:b/>
          <w:sz w:val="24"/>
          <w:szCs w:val="24"/>
        </w:rPr>
        <w:t>,</w:t>
      </w:r>
      <w:r w:rsidR="00D15068">
        <w:rPr>
          <w:b/>
          <w:sz w:val="24"/>
          <w:szCs w:val="24"/>
        </w:rPr>
        <w:t xml:space="preserve"> Habit</w:t>
      </w:r>
      <w:r w:rsidR="00F85A3C">
        <w:rPr>
          <w:b/>
          <w:sz w:val="24"/>
          <w:szCs w:val="24"/>
        </w:rPr>
        <w:t xml:space="preserve"> </w:t>
      </w:r>
      <w:r w:rsidR="003E7650">
        <w:rPr>
          <w:b/>
          <w:sz w:val="24"/>
          <w:szCs w:val="24"/>
        </w:rPr>
        <w:t>and the Foreign Policy Establishment</w:t>
      </w:r>
    </w:p>
    <w:p w:rsidR="00617DD8" w:rsidRDefault="00A06522" w:rsidP="00617DD8">
      <w:pPr>
        <w:spacing w:after="0" w:line="480" w:lineRule="auto"/>
        <w:jc w:val="both"/>
        <w:rPr>
          <w:sz w:val="24"/>
          <w:szCs w:val="24"/>
        </w:rPr>
      </w:pPr>
      <w:r w:rsidRPr="005E142B">
        <w:rPr>
          <w:sz w:val="24"/>
          <w:szCs w:val="24"/>
        </w:rPr>
        <w:t xml:space="preserve">Why has </w:t>
      </w:r>
      <w:r w:rsidR="00802877">
        <w:rPr>
          <w:sz w:val="24"/>
          <w:szCs w:val="24"/>
        </w:rPr>
        <w:t xml:space="preserve">U.S. </w:t>
      </w:r>
      <w:r w:rsidRPr="005E142B">
        <w:rPr>
          <w:sz w:val="24"/>
          <w:szCs w:val="24"/>
        </w:rPr>
        <w:t xml:space="preserve">grand strategy persisted </w:t>
      </w:r>
      <w:r w:rsidR="00325135" w:rsidRPr="005E142B">
        <w:rPr>
          <w:sz w:val="24"/>
          <w:szCs w:val="24"/>
        </w:rPr>
        <w:t>since the end of the Cold War</w:t>
      </w:r>
      <w:r w:rsidRPr="005E142B">
        <w:rPr>
          <w:sz w:val="24"/>
          <w:szCs w:val="24"/>
        </w:rPr>
        <w:t>?</w:t>
      </w:r>
      <w:r w:rsidR="00CA4263" w:rsidRPr="00CA4263">
        <w:rPr>
          <w:rStyle w:val="FootnoteReference"/>
          <w:sz w:val="24"/>
          <w:szCs w:val="24"/>
        </w:rPr>
        <w:t xml:space="preserve"> </w:t>
      </w:r>
      <w:r w:rsidR="00802877">
        <w:rPr>
          <w:sz w:val="24"/>
          <w:szCs w:val="24"/>
        </w:rPr>
        <w:t xml:space="preserve">If grand strategy is the </w:t>
      </w:r>
      <w:r w:rsidR="00802877" w:rsidRPr="00802877">
        <w:rPr>
          <w:sz w:val="24"/>
          <w:szCs w:val="24"/>
        </w:rPr>
        <w:t xml:space="preserve">orchestration of power and commitments over the long haul, in an integrated and consistent way, </w:t>
      </w:r>
      <w:r w:rsidR="00B2617B">
        <w:rPr>
          <w:sz w:val="24"/>
          <w:szCs w:val="24"/>
        </w:rPr>
        <w:t>“</w:t>
      </w:r>
      <w:r w:rsidR="00802877">
        <w:rPr>
          <w:sz w:val="24"/>
          <w:szCs w:val="24"/>
        </w:rPr>
        <w:t>to cause</w:t>
      </w:r>
      <w:r w:rsidR="00802877" w:rsidRPr="00802877">
        <w:rPr>
          <w:sz w:val="24"/>
          <w:szCs w:val="24"/>
        </w:rPr>
        <w:t xml:space="preserve"> security</w:t>
      </w:r>
      <w:r w:rsidR="00B2617B">
        <w:rPr>
          <w:sz w:val="24"/>
          <w:szCs w:val="24"/>
        </w:rPr>
        <w:t>”</w:t>
      </w:r>
      <w:r w:rsidR="00802877" w:rsidRPr="00802877">
        <w:rPr>
          <w:sz w:val="24"/>
          <w:szCs w:val="24"/>
        </w:rPr>
        <w:t xml:space="preserve"> for oneself in a world where war is possible</w:t>
      </w:r>
      <w:r w:rsidR="00802877">
        <w:rPr>
          <w:sz w:val="24"/>
          <w:szCs w:val="24"/>
        </w:rPr>
        <w:t xml:space="preserve">, </w:t>
      </w:r>
      <w:r w:rsidR="007C01FF">
        <w:rPr>
          <w:sz w:val="24"/>
          <w:szCs w:val="24"/>
        </w:rPr>
        <w:t xml:space="preserve">the </w:t>
      </w:r>
      <w:r w:rsidR="00E30085">
        <w:rPr>
          <w:sz w:val="24"/>
          <w:szCs w:val="24"/>
        </w:rPr>
        <w:t>United States’</w:t>
      </w:r>
      <w:r w:rsidR="00802877">
        <w:rPr>
          <w:sz w:val="24"/>
          <w:szCs w:val="24"/>
        </w:rPr>
        <w:t xml:space="preserve"> way of pursuing security is remarkably stable.</w:t>
      </w:r>
      <w:r w:rsidR="004E54BA" w:rsidRPr="005E142B">
        <w:rPr>
          <w:rStyle w:val="FootnoteReference"/>
          <w:sz w:val="24"/>
          <w:szCs w:val="24"/>
        </w:rPr>
        <w:footnoteReference w:id="1"/>
      </w:r>
      <w:r w:rsidR="004E54BA" w:rsidRPr="005E142B">
        <w:rPr>
          <w:sz w:val="24"/>
          <w:szCs w:val="24"/>
        </w:rPr>
        <w:t xml:space="preserve"> </w:t>
      </w:r>
      <w:r w:rsidR="00802877">
        <w:rPr>
          <w:sz w:val="24"/>
          <w:szCs w:val="24"/>
        </w:rPr>
        <w:t xml:space="preserve"> </w:t>
      </w:r>
      <w:r w:rsidR="003C4EB8">
        <w:rPr>
          <w:sz w:val="24"/>
          <w:szCs w:val="24"/>
        </w:rPr>
        <w:t xml:space="preserve">Long before the </w:t>
      </w:r>
      <w:r w:rsidR="00AF4F78">
        <w:rPr>
          <w:sz w:val="24"/>
          <w:szCs w:val="24"/>
        </w:rPr>
        <w:t>fall of the Soviet Union</w:t>
      </w:r>
      <w:r w:rsidR="00617DD8" w:rsidRPr="005E142B">
        <w:rPr>
          <w:sz w:val="24"/>
          <w:szCs w:val="24"/>
        </w:rPr>
        <w:t>, the U</w:t>
      </w:r>
      <w:r w:rsidR="00F80478">
        <w:rPr>
          <w:sz w:val="24"/>
          <w:szCs w:val="24"/>
        </w:rPr>
        <w:t>.</w:t>
      </w:r>
      <w:r w:rsidR="00617DD8" w:rsidRPr="005E142B">
        <w:rPr>
          <w:sz w:val="24"/>
          <w:szCs w:val="24"/>
        </w:rPr>
        <w:t>S</w:t>
      </w:r>
      <w:r w:rsidR="00F80478">
        <w:rPr>
          <w:sz w:val="24"/>
          <w:szCs w:val="24"/>
        </w:rPr>
        <w:t>.</w:t>
      </w:r>
      <w:r w:rsidR="00617DD8" w:rsidRPr="005E142B">
        <w:rPr>
          <w:sz w:val="24"/>
          <w:szCs w:val="24"/>
        </w:rPr>
        <w:t xml:space="preserve"> </w:t>
      </w:r>
      <w:r w:rsidR="00802877">
        <w:rPr>
          <w:sz w:val="24"/>
          <w:szCs w:val="24"/>
        </w:rPr>
        <w:t xml:space="preserve">formed </w:t>
      </w:r>
      <w:r w:rsidR="00617DD8" w:rsidRPr="005E142B">
        <w:rPr>
          <w:sz w:val="24"/>
          <w:szCs w:val="24"/>
        </w:rPr>
        <w:t xml:space="preserve">a grand strategy of </w:t>
      </w:r>
      <w:r w:rsidR="00B2617B">
        <w:rPr>
          <w:sz w:val="24"/>
          <w:szCs w:val="24"/>
        </w:rPr>
        <w:t>“</w:t>
      </w:r>
      <w:r w:rsidR="00617DD8" w:rsidRPr="005E142B">
        <w:rPr>
          <w:sz w:val="24"/>
          <w:szCs w:val="24"/>
        </w:rPr>
        <w:t>primacy,</w:t>
      </w:r>
      <w:r w:rsidR="00B2617B">
        <w:rPr>
          <w:sz w:val="24"/>
          <w:szCs w:val="24"/>
        </w:rPr>
        <w:t>”</w:t>
      </w:r>
      <w:r w:rsidR="00617DD8" w:rsidRPr="005E142B">
        <w:rPr>
          <w:sz w:val="24"/>
          <w:szCs w:val="24"/>
        </w:rPr>
        <w:t xml:space="preserve"> often coined as </w:t>
      </w:r>
      <w:r w:rsidR="00B2617B">
        <w:rPr>
          <w:sz w:val="24"/>
          <w:szCs w:val="24"/>
        </w:rPr>
        <w:t>“</w:t>
      </w:r>
      <w:r w:rsidR="00617DD8" w:rsidRPr="005E142B">
        <w:rPr>
          <w:sz w:val="24"/>
          <w:szCs w:val="24"/>
        </w:rPr>
        <w:t>leadership.</w:t>
      </w:r>
      <w:r w:rsidR="00B2617B">
        <w:rPr>
          <w:sz w:val="24"/>
          <w:szCs w:val="24"/>
        </w:rPr>
        <w:t>”</w:t>
      </w:r>
      <w:r w:rsidR="00617DD8" w:rsidRPr="005E142B">
        <w:rPr>
          <w:rStyle w:val="FootnoteReference"/>
          <w:sz w:val="24"/>
          <w:szCs w:val="24"/>
        </w:rPr>
        <w:footnoteReference w:id="2"/>
      </w:r>
      <w:r w:rsidR="00617DD8" w:rsidRPr="005E142B">
        <w:rPr>
          <w:sz w:val="24"/>
          <w:szCs w:val="24"/>
        </w:rPr>
        <w:t xml:space="preserve"> This strategy</w:t>
      </w:r>
      <w:r w:rsidR="00F40273">
        <w:rPr>
          <w:sz w:val="24"/>
          <w:szCs w:val="24"/>
        </w:rPr>
        <w:t xml:space="preserve"> was only occasionally interrupted</w:t>
      </w:r>
      <w:r w:rsidR="00831045">
        <w:rPr>
          <w:sz w:val="24"/>
          <w:szCs w:val="24"/>
        </w:rPr>
        <w:t>, and by the 1960’s i</w:t>
      </w:r>
      <w:r w:rsidR="00F40273">
        <w:rPr>
          <w:sz w:val="24"/>
          <w:szCs w:val="24"/>
        </w:rPr>
        <w:t>t</w:t>
      </w:r>
      <w:r w:rsidR="00617DD8" w:rsidRPr="005E142B">
        <w:rPr>
          <w:sz w:val="24"/>
          <w:szCs w:val="24"/>
        </w:rPr>
        <w:t xml:space="preserve"> </w:t>
      </w:r>
      <w:r w:rsidR="003C4EB8">
        <w:rPr>
          <w:sz w:val="24"/>
          <w:szCs w:val="24"/>
        </w:rPr>
        <w:t>set the parameters for foreign policy debate</w:t>
      </w:r>
      <w:r w:rsidR="00617DD8" w:rsidRPr="005E142B">
        <w:rPr>
          <w:sz w:val="24"/>
          <w:szCs w:val="24"/>
        </w:rPr>
        <w:t>.</w:t>
      </w:r>
      <w:r w:rsidR="00617DD8" w:rsidRPr="005E142B">
        <w:rPr>
          <w:rStyle w:val="FootnoteReference"/>
          <w:sz w:val="24"/>
          <w:szCs w:val="24"/>
        </w:rPr>
        <w:footnoteReference w:id="3"/>
      </w:r>
      <w:r w:rsidR="00617DD8" w:rsidRPr="005E142B">
        <w:rPr>
          <w:sz w:val="24"/>
          <w:szCs w:val="24"/>
        </w:rPr>
        <w:t xml:space="preserve"> </w:t>
      </w:r>
      <w:r w:rsidR="00E30085">
        <w:rPr>
          <w:sz w:val="24"/>
          <w:szCs w:val="24"/>
        </w:rPr>
        <w:t>It</w:t>
      </w:r>
      <w:r w:rsidR="00617DD8">
        <w:rPr>
          <w:sz w:val="24"/>
          <w:szCs w:val="24"/>
        </w:rPr>
        <w:t xml:space="preserve"> </w:t>
      </w:r>
      <w:r w:rsidR="00E30085">
        <w:rPr>
          <w:sz w:val="24"/>
          <w:szCs w:val="24"/>
        </w:rPr>
        <w:t>has</w:t>
      </w:r>
      <w:r w:rsidR="00617DD8" w:rsidRPr="005E142B">
        <w:rPr>
          <w:sz w:val="24"/>
          <w:szCs w:val="24"/>
        </w:rPr>
        <w:t xml:space="preserve"> four interlocking parts: to be preponderant, or overwhelmingly militarily strong; to reassure and contain allies; to integrate other states into the </w:t>
      </w:r>
      <w:r w:rsidR="00B2617B">
        <w:rPr>
          <w:sz w:val="24"/>
          <w:szCs w:val="24"/>
        </w:rPr>
        <w:t>“</w:t>
      </w:r>
      <w:r w:rsidR="00617DD8" w:rsidRPr="005E142B">
        <w:rPr>
          <w:sz w:val="24"/>
          <w:szCs w:val="24"/>
        </w:rPr>
        <w:t>openness</w:t>
      </w:r>
      <w:r w:rsidR="00B2617B">
        <w:rPr>
          <w:sz w:val="24"/>
          <w:szCs w:val="24"/>
        </w:rPr>
        <w:t>”</w:t>
      </w:r>
      <w:r w:rsidR="00617DD8" w:rsidRPr="005E142B">
        <w:rPr>
          <w:sz w:val="24"/>
          <w:szCs w:val="24"/>
        </w:rPr>
        <w:t xml:space="preserve"> of US-designed institutions and markets; and to inhibit the spread of nuclear weapons.</w:t>
      </w:r>
      <w:r w:rsidR="00617DD8" w:rsidRPr="005E142B">
        <w:rPr>
          <w:rStyle w:val="FootnoteReference"/>
          <w:sz w:val="24"/>
          <w:szCs w:val="24"/>
        </w:rPr>
        <w:footnoteReference w:id="4"/>
      </w:r>
      <w:r w:rsidR="00617DD8" w:rsidRPr="005E142B">
        <w:rPr>
          <w:sz w:val="24"/>
          <w:szCs w:val="24"/>
        </w:rPr>
        <w:t xml:space="preserve"> These fundamental security commitments</w:t>
      </w:r>
      <w:r w:rsidR="00A551AE">
        <w:rPr>
          <w:sz w:val="24"/>
          <w:szCs w:val="24"/>
        </w:rPr>
        <w:t xml:space="preserve"> </w:t>
      </w:r>
      <w:r w:rsidR="00617DD8" w:rsidRPr="005E142B">
        <w:rPr>
          <w:sz w:val="24"/>
          <w:szCs w:val="24"/>
        </w:rPr>
        <w:t xml:space="preserve">proved </w:t>
      </w:r>
      <w:r w:rsidR="00617DD8">
        <w:rPr>
          <w:sz w:val="24"/>
          <w:szCs w:val="24"/>
        </w:rPr>
        <w:t>hard to change,</w:t>
      </w:r>
      <w:r w:rsidR="00617DD8" w:rsidRPr="005E142B">
        <w:rPr>
          <w:sz w:val="24"/>
          <w:szCs w:val="24"/>
        </w:rPr>
        <w:t xml:space="preserve"> even amidst </w:t>
      </w:r>
      <w:r w:rsidR="00802877">
        <w:rPr>
          <w:sz w:val="24"/>
          <w:szCs w:val="24"/>
        </w:rPr>
        <w:t xml:space="preserve">shocks and </w:t>
      </w:r>
      <w:r w:rsidR="00617DD8" w:rsidRPr="005E142B">
        <w:rPr>
          <w:sz w:val="24"/>
          <w:szCs w:val="24"/>
        </w:rPr>
        <w:t>chang</w:t>
      </w:r>
      <w:r w:rsidR="00C07434">
        <w:rPr>
          <w:sz w:val="24"/>
          <w:szCs w:val="24"/>
        </w:rPr>
        <w:t>ing conditions</w:t>
      </w:r>
      <w:r w:rsidR="00617DD8" w:rsidRPr="005E142B">
        <w:rPr>
          <w:sz w:val="24"/>
          <w:szCs w:val="24"/>
        </w:rPr>
        <w:t>.</w:t>
      </w:r>
      <w:r w:rsidR="00617DD8">
        <w:rPr>
          <w:sz w:val="24"/>
          <w:szCs w:val="24"/>
        </w:rPr>
        <w:t xml:space="preserve"> Why?</w:t>
      </w:r>
      <w:r w:rsidR="00617DD8" w:rsidRPr="005E142B">
        <w:rPr>
          <w:sz w:val="24"/>
          <w:szCs w:val="24"/>
        </w:rPr>
        <w:t xml:space="preserve"> </w:t>
      </w:r>
    </w:p>
    <w:p w:rsidR="00617DD8" w:rsidRDefault="00617DD8" w:rsidP="005E142B">
      <w:pPr>
        <w:spacing w:after="0" w:line="480" w:lineRule="auto"/>
        <w:jc w:val="both"/>
        <w:rPr>
          <w:sz w:val="24"/>
          <w:szCs w:val="24"/>
        </w:rPr>
      </w:pPr>
    </w:p>
    <w:p w:rsidR="004E60B8" w:rsidRDefault="002431D7" w:rsidP="00B30207">
      <w:pPr>
        <w:spacing w:after="0" w:line="480" w:lineRule="auto"/>
        <w:ind w:firstLine="720"/>
        <w:jc w:val="both"/>
        <w:rPr>
          <w:sz w:val="24"/>
          <w:szCs w:val="24"/>
        </w:rPr>
      </w:pPr>
      <w:r w:rsidRPr="005E142B">
        <w:rPr>
          <w:sz w:val="24"/>
          <w:szCs w:val="24"/>
        </w:rPr>
        <w:t xml:space="preserve">These are important questions. </w:t>
      </w:r>
      <w:r w:rsidR="009B7FCB">
        <w:rPr>
          <w:sz w:val="24"/>
          <w:szCs w:val="24"/>
        </w:rPr>
        <w:t xml:space="preserve">Scholars </w:t>
      </w:r>
      <w:r w:rsidR="00DA5551">
        <w:rPr>
          <w:sz w:val="24"/>
          <w:szCs w:val="24"/>
        </w:rPr>
        <w:t>vigorously debate</w:t>
      </w:r>
      <w:r w:rsidR="009B7FCB">
        <w:rPr>
          <w:sz w:val="24"/>
          <w:szCs w:val="24"/>
        </w:rPr>
        <w:t xml:space="preserve"> the sources of U.S. grand strategy.</w:t>
      </w:r>
      <w:r w:rsidR="00CA4263" w:rsidRPr="00CA4263">
        <w:rPr>
          <w:sz w:val="24"/>
          <w:szCs w:val="24"/>
        </w:rPr>
        <w:t xml:space="preserve"> </w:t>
      </w:r>
      <w:r w:rsidR="00D53260">
        <w:rPr>
          <w:sz w:val="24"/>
          <w:szCs w:val="24"/>
        </w:rPr>
        <w:t>Some</w:t>
      </w:r>
      <w:r w:rsidR="00F80478">
        <w:rPr>
          <w:sz w:val="24"/>
          <w:szCs w:val="24"/>
        </w:rPr>
        <w:t xml:space="preserve"> emphasise the structural-international drivers,</w:t>
      </w:r>
      <w:r w:rsidR="00D53260">
        <w:rPr>
          <w:sz w:val="24"/>
          <w:szCs w:val="24"/>
        </w:rPr>
        <w:t xml:space="preserve"> claim</w:t>
      </w:r>
      <w:r w:rsidR="00F80478">
        <w:rPr>
          <w:sz w:val="24"/>
          <w:szCs w:val="24"/>
        </w:rPr>
        <w:t>ing</w:t>
      </w:r>
      <w:r w:rsidR="009B7FCB">
        <w:rPr>
          <w:sz w:val="24"/>
          <w:szCs w:val="24"/>
        </w:rPr>
        <w:t xml:space="preserve"> that </w:t>
      </w:r>
      <w:r w:rsidR="00D53260">
        <w:rPr>
          <w:sz w:val="24"/>
          <w:szCs w:val="24"/>
        </w:rPr>
        <w:t xml:space="preserve">the persistence of </w:t>
      </w:r>
      <w:r w:rsidR="00B2617B">
        <w:rPr>
          <w:sz w:val="24"/>
          <w:szCs w:val="24"/>
        </w:rPr>
        <w:t>“</w:t>
      </w:r>
      <w:r w:rsidR="00D53260">
        <w:rPr>
          <w:sz w:val="24"/>
          <w:szCs w:val="24"/>
        </w:rPr>
        <w:t>primacy</w:t>
      </w:r>
      <w:r w:rsidR="00B2617B">
        <w:rPr>
          <w:sz w:val="24"/>
          <w:szCs w:val="24"/>
        </w:rPr>
        <w:t>”</w:t>
      </w:r>
      <w:r w:rsidR="009B7FCB">
        <w:rPr>
          <w:sz w:val="24"/>
          <w:szCs w:val="24"/>
        </w:rPr>
        <w:t xml:space="preserve"> is a response to the global distribution of power, </w:t>
      </w:r>
      <w:r w:rsidR="00F80478">
        <w:rPr>
          <w:sz w:val="24"/>
          <w:szCs w:val="24"/>
        </w:rPr>
        <w:t>and</w:t>
      </w:r>
      <w:r w:rsidR="00D53260" w:rsidRPr="005E142B">
        <w:rPr>
          <w:sz w:val="24"/>
          <w:szCs w:val="24"/>
        </w:rPr>
        <w:t xml:space="preserve"> that the liberating effect of unipolarity, the large imbalance of material power in America’s favour, drives </w:t>
      </w:r>
      <w:r w:rsidR="00D53260">
        <w:rPr>
          <w:sz w:val="24"/>
          <w:szCs w:val="24"/>
        </w:rPr>
        <w:t xml:space="preserve">the superpower </w:t>
      </w:r>
      <w:r w:rsidR="00D53260" w:rsidRPr="005E142B">
        <w:rPr>
          <w:sz w:val="24"/>
          <w:szCs w:val="24"/>
        </w:rPr>
        <w:t>to predominate beyond its region.</w:t>
      </w:r>
      <w:r w:rsidR="00D53260" w:rsidRPr="005E142B">
        <w:rPr>
          <w:rStyle w:val="FootnoteReference"/>
          <w:sz w:val="24"/>
          <w:szCs w:val="24"/>
        </w:rPr>
        <w:footnoteReference w:id="5"/>
      </w:r>
      <w:r w:rsidR="00D53260" w:rsidRPr="005E142B">
        <w:rPr>
          <w:sz w:val="24"/>
          <w:szCs w:val="24"/>
        </w:rPr>
        <w:t xml:space="preserve"> </w:t>
      </w:r>
      <w:r w:rsidR="00D53260">
        <w:rPr>
          <w:sz w:val="24"/>
          <w:szCs w:val="24"/>
        </w:rPr>
        <w:t>Others</w:t>
      </w:r>
      <w:r w:rsidR="009B7FCB">
        <w:rPr>
          <w:sz w:val="24"/>
          <w:szCs w:val="24"/>
        </w:rPr>
        <w:t xml:space="preserve"> </w:t>
      </w:r>
      <w:r w:rsidR="003B48DE">
        <w:rPr>
          <w:sz w:val="24"/>
          <w:szCs w:val="24"/>
        </w:rPr>
        <w:t>incorporate</w:t>
      </w:r>
      <w:r w:rsidR="009B7FCB">
        <w:rPr>
          <w:sz w:val="24"/>
          <w:szCs w:val="24"/>
        </w:rPr>
        <w:t xml:space="preserve"> domestic factors</w:t>
      </w:r>
      <w:r w:rsidR="003B48DE">
        <w:rPr>
          <w:sz w:val="24"/>
          <w:szCs w:val="24"/>
        </w:rPr>
        <w:t xml:space="preserve"> </w:t>
      </w:r>
      <w:r w:rsidR="00D53260" w:rsidRPr="005E142B">
        <w:rPr>
          <w:sz w:val="24"/>
          <w:szCs w:val="24"/>
        </w:rPr>
        <w:t xml:space="preserve">and </w:t>
      </w:r>
      <w:r w:rsidR="003B48DE">
        <w:rPr>
          <w:sz w:val="24"/>
          <w:szCs w:val="24"/>
        </w:rPr>
        <w:t>ideas</w:t>
      </w:r>
      <w:r w:rsidR="00D53260" w:rsidRPr="005E142B">
        <w:rPr>
          <w:sz w:val="24"/>
          <w:szCs w:val="24"/>
        </w:rPr>
        <w:t>.</w:t>
      </w:r>
      <w:r w:rsidR="00D53260" w:rsidRPr="005E142B">
        <w:rPr>
          <w:rStyle w:val="FootnoteReference"/>
          <w:sz w:val="24"/>
          <w:szCs w:val="24"/>
        </w:rPr>
        <w:footnoteReference w:id="6"/>
      </w:r>
      <w:r w:rsidR="005B1BAA" w:rsidRPr="005B1BAA">
        <w:rPr>
          <w:rStyle w:val="FootnoteReference"/>
          <w:sz w:val="24"/>
          <w:szCs w:val="24"/>
        </w:rPr>
        <w:t xml:space="preserve"> </w:t>
      </w:r>
      <w:r w:rsidR="005B1BAA">
        <w:rPr>
          <w:rStyle w:val="FootnoteReference"/>
          <w:sz w:val="24"/>
          <w:szCs w:val="24"/>
        </w:rPr>
        <w:t xml:space="preserve"> </w:t>
      </w:r>
      <w:r w:rsidR="009B7FCB">
        <w:rPr>
          <w:sz w:val="24"/>
          <w:szCs w:val="24"/>
        </w:rPr>
        <w:t xml:space="preserve">Much of this debate </w:t>
      </w:r>
      <w:r w:rsidR="004E54BA">
        <w:rPr>
          <w:sz w:val="24"/>
          <w:szCs w:val="24"/>
        </w:rPr>
        <w:t>focuses</w:t>
      </w:r>
      <w:r w:rsidR="009B7FCB">
        <w:rPr>
          <w:sz w:val="24"/>
          <w:szCs w:val="24"/>
        </w:rPr>
        <w:t xml:space="preserve"> on explaining change. In fact, U.S. grand strategy has shown more continuity than change.</w:t>
      </w:r>
      <w:r w:rsidR="009437AA">
        <w:rPr>
          <w:sz w:val="24"/>
          <w:szCs w:val="24"/>
        </w:rPr>
        <w:t xml:space="preserve"> </w:t>
      </w:r>
      <w:r w:rsidR="007861F3">
        <w:rPr>
          <w:sz w:val="24"/>
          <w:szCs w:val="24"/>
        </w:rPr>
        <w:t>Despite</w:t>
      </w:r>
      <w:r w:rsidR="009437AA">
        <w:rPr>
          <w:sz w:val="24"/>
          <w:szCs w:val="24"/>
        </w:rPr>
        <w:t xml:space="preserve"> the </w:t>
      </w:r>
      <w:r w:rsidR="00DA7FE0">
        <w:rPr>
          <w:sz w:val="24"/>
          <w:szCs w:val="24"/>
        </w:rPr>
        <w:t xml:space="preserve">pressures of war-weariness and the Global Financial Crisis, primacy prevails. </w:t>
      </w:r>
      <w:r w:rsidR="009B7FCB">
        <w:rPr>
          <w:sz w:val="24"/>
          <w:szCs w:val="24"/>
        </w:rPr>
        <w:t xml:space="preserve">The absence of change </w:t>
      </w:r>
      <w:r w:rsidR="002C1D7F">
        <w:rPr>
          <w:sz w:val="24"/>
          <w:szCs w:val="24"/>
        </w:rPr>
        <w:t>is what needs explaining</w:t>
      </w:r>
      <w:r w:rsidR="009B7FCB">
        <w:rPr>
          <w:sz w:val="24"/>
          <w:szCs w:val="24"/>
        </w:rPr>
        <w:t xml:space="preserve">. This question has practical significance. In recent years, </w:t>
      </w:r>
      <w:r w:rsidR="00D53260">
        <w:rPr>
          <w:sz w:val="24"/>
          <w:szCs w:val="24"/>
        </w:rPr>
        <w:t>some analysts</w:t>
      </w:r>
      <w:r w:rsidR="009B7FCB">
        <w:rPr>
          <w:sz w:val="24"/>
          <w:szCs w:val="24"/>
        </w:rPr>
        <w:t xml:space="preserve"> have recommended significant changes in U.S. grand strategy, calling for a shift to </w:t>
      </w:r>
      <w:r w:rsidR="00087C16">
        <w:rPr>
          <w:sz w:val="24"/>
          <w:szCs w:val="24"/>
        </w:rPr>
        <w:t xml:space="preserve">an </w:t>
      </w:r>
      <w:r w:rsidR="009B7FCB">
        <w:rPr>
          <w:sz w:val="24"/>
          <w:szCs w:val="24"/>
        </w:rPr>
        <w:t>altern</w:t>
      </w:r>
      <w:r w:rsidR="007861F3">
        <w:rPr>
          <w:sz w:val="24"/>
          <w:szCs w:val="24"/>
        </w:rPr>
        <w:t>ative</w:t>
      </w:r>
      <w:r w:rsidR="002C590F">
        <w:rPr>
          <w:sz w:val="24"/>
          <w:szCs w:val="24"/>
        </w:rPr>
        <w:t xml:space="preserve"> </w:t>
      </w:r>
      <w:r w:rsidR="00087C16">
        <w:rPr>
          <w:sz w:val="24"/>
          <w:szCs w:val="24"/>
        </w:rPr>
        <w:t>posture</w:t>
      </w:r>
      <w:r w:rsidR="00C15FEA">
        <w:rPr>
          <w:sz w:val="24"/>
          <w:szCs w:val="24"/>
        </w:rPr>
        <w:t xml:space="preserve"> of “</w:t>
      </w:r>
      <w:r w:rsidR="002C590F">
        <w:rPr>
          <w:sz w:val="24"/>
          <w:szCs w:val="24"/>
        </w:rPr>
        <w:t>restraint</w:t>
      </w:r>
      <w:r w:rsidR="00C15FEA">
        <w:rPr>
          <w:sz w:val="24"/>
          <w:szCs w:val="24"/>
        </w:rPr>
        <w:t>”</w:t>
      </w:r>
      <w:r w:rsidR="002C590F">
        <w:rPr>
          <w:sz w:val="24"/>
          <w:szCs w:val="24"/>
        </w:rPr>
        <w:t xml:space="preserve"> to retrench commitments, shift burdens and manage rather than resist multipolarity.</w:t>
      </w:r>
      <w:r w:rsidR="002C590F">
        <w:rPr>
          <w:rStyle w:val="FootnoteReference"/>
          <w:sz w:val="24"/>
          <w:szCs w:val="24"/>
        </w:rPr>
        <w:footnoteReference w:id="7"/>
      </w:r>
      <w:r w:rsidR="002C590F">
        <w:rPr>
          <w:sz w:val="24"/>
          <w:szCs w:val="24"/>
        </w:rPr>
        <w:t xml:space="preserve"> </w:t>
      </w:r>
      <w:r w:rsidR="005B1BAA">
        <w:rPr>
          <w:rStyle w:val="FootnoteReference"/>
          <w:sz w:val="24"/>
          <w:szCs w:val="24"/>
        </w:rPr>
        <w:t xml:space="preserve"> </w:t>
      </w:r>
      <w:r w:rsidR="005B1BAA">
        <w:rPr>
          <w:sz w:val="24"/>
          <w:szCs w:val="24"/>
        </w:rPr>
        <w:t xml:space="preserve"> </w:t>
      </w:r>
      <w:r w:rsidR="009B7FCB">
        <w:rPr>
          <w:sz w:val="24"/>
          <w:szCs w:val="24"/>
        </w:rPr>
        <w:t xml:space="preserve">Others warn against </w:t>
      </w:r>
      <w:r w:rsidR="009B7FCB">
        <w:rPr>
          <w:sz w:val="24"/>
          <w:szCs w:val="24"/>
        </w:rPr>
        <w:lastRenderedPageBreak/>
        <w:t xml:space="preserve">such shifts, </w:t>
      </w:r>
      <w:r w:rsidR="00087C16">
        <w:rPr>
          <w:sz w:val="24"/>
          <w:szCs w:val="24"/>
        </w:rPr>
        <w:t>urging</w:t>
      </w:r>
      <w:r w:rsidR="009B7FCB">
        <w:rPr>
          <w:sz w:val="24"/>
          <w:szCs w:val="24"/>
        </w:rPr>
        <w:t xml:space="preserve"> policymakers </w:t>
      </w:r>
      <w:r w:rsidR="00087C16">
        <w:rPr>
          <w:sz w:val="24"/>
          <w:szCs w:val="24"/>
        </w:rPr>
        <w:t>not to</w:t>
      </w:r>
      <w:r w:rsidR="009B7FCB">
        <w:rPr>
          <w:sz w:val="24"/>
          <w:szCs w:val="24"/>
        </w:rPr>
        <w:t xml:space="preserve"> abandon </w:t>
      </w:r>
      <w:r w:rsidR="00CA4263">
        <w:rPr>
          <w:sz w:val="24"/>
          <w:szCs w:val="24"/>
        </w:rPr>
        <w:t>the country’s traditional leadership role.</w:t>
      </w:r>
      <w:r w:rsidR="007A3631">
        <w:rPr>
          <w:rStyle w:val="FootnoteReference"/>
          <w:sz w:val="24"/>
          <w:szCs w:val="24"/>
        </w:rPr>
        <w:footnoteReference w:id="8"/>
      </w:r>
      <w:r w:rsidR="009B7FCB">
        <w:rPr>
          <w:sz w:val="24"/>
          <w:szCs w:val="24"/>
        </w:rPr>
        <w:t xml:space="preserve"> Attempts to </w:t>
      </w:r>
      <w:r w:rsidR="00B127F7">
        <w:rPr>
          <w:sz w:val="24"/>
          <w:szCs w:val="24"/>
        </w:rPr>
        <w:t>shift</w:t>
      </w:r>
      <w:r w:rsidR="009B7FCB">
        <w:rPr>
          <w:sz w:val="24"/>
          <w:szCs w:val="24"/>
        </w:rPr>
        <w:t xml:space="preserve"> U.S. grand strategy are unlikely to succeed, however, unless advocates of change understand why the </w:t>
      </w:r>
      <w:r w:rsidR="00802877">
        <w:rPr>
          <w:sz w:val="24"/>
          <w:szCs w:val="24"/>
        </w:rPr>
        <w:t xml:space="preserve">current </w:t>
      </w:r>
      <w:r w:rsidR="00C15FEA">
        <w:rPr>
          <w:sz w:val="24"/>
          <w:szCs w:val="24"/>
        </w:rPr>
        <w:t>order</w:t>
      </w:r>
      <w:r w:rsidR="00802877">
        <w:rPr>
          <w:sz w:val="24"/>
          <w:szCs w:val="24"/>
        </w:rPr>
        <w:t xml:space="preserve"> persists, and unless they can identify the atypical conditions in which it might </w:t>
      </w:r>
      <w:r w:rsidR="00B127F7">
        <w:rPr>
          <w:sz w:val="24"/>
          <w:szCs w:val="24"/>
        </w:rPr>
        <w:t>alter</w:t>
      </w:r>
      <w:r w:rsidR="00802877">
        <w:rPr>
          <w:sz w:val="24"/>
          <w:szCs w:val="24"/>
        </w:rPr>
        <w:t>.</w:t>
      </w:r>
      <w:r w:rsidR="00541D12">
        <w:rPr>
          <w:rStyle w:val="FootnoteReference"/>
          <w:sz w:val="24"/>
          <w:szCs w:val="24"/>
        </w:rPr>
        <w:footnoteReference w:id="9"/>
      </w:r>
      <w:r w:rsidR="00B30207">
        <w:rPr>
          <w:sz w:val="24"/>
          <w:szCs w:val="24"/>
        </w:rPr>
        <w:t xml:space="preserve"> </w:t>
      </w:r>
    </w:p>
    <w:p w:rsidR="00DE7E2C" w:rsidRPr="005E142B" w:rsidRDefault="00DE7E2C" w:rsidP="001362A4">
      <w:pPr>
        <w:spacing w:after="0" w:line="480" w:lineRule="auto"/>
        <w:jc w:val="both"/>
        <w:rPr>
          <w:sz w:val="24"/>
          <w:szCs w:val="24"/>
        </w:rPr>
      </w:pPr>
    </w:p>
    <w:p w:rsidR="004E60B8" w:rsidRDefault="00DE7E2C" w:rsidP="006C378B">
      <w:pPr>
        <w:spacing w:after="0" w:line="480" w:lineRule="auto"/>
        <w:ind w:firstLine="720"/>
        <w:jc w:val="both"/>
        <w:rPr>
          <w:sz w:val="24"/>
          <w:szCs w:val="24"/>
        </w:rPr>
      </w:pPr>
      <w:r w:rsidRPr="005E142B">
        <w:rPr>
          <w:sz w:val="24"/>
          <w:szCs w:val="24"/>
        </w:rPr>
        <w:t>The best explanation for th</w:t>
      </w:r>
      <w:r w:rsidR="00E36FDE">
        <w:rPr>
          <w:sz w:val="24"/>
          <w:szCs w:val="24"/>
        </w:rPr>
        <w:t xml:space="preserve">e </w:t>
      </w:r>
      <w:r w:rsidRPr="005E142B">
        <w:rPr>
          <w:sz w:val="24"/>
          <w:szCs w:val="24"/>
        </w:rPr>
        <w:t>stability</w:t>
      </w:r>
      <w:r w:rsidR="00E36FDE">
        <w:rPr>
          <w:sz w:val="24"/>
          <w:szCs w:val="24"/>
        </w:rPr>
        <w:t xml:space="preserve"> of U.S. grand strategy</w:t>
      </w:r>
      <w:r w:rsidRPr="005E142B">
        <w:rPr>
          <w:sz w:val="24"/>
          <w:szCs w:val="24"/>
        </w:rPr>
        <w:t xml:space="preserve"> is that an interaction of power and habit constrains first-order choices. By </w:t>
      </w:r>
      <w:r w:rsidR="00B2617B">
        <w:rPr>
          <w:sz w:val="24"/>
          <w:szCs w:val="24"/>
        </w:rPr>
        <w:t>“</w:t>
      </w:r>
      <w:r w:rsidRPr="005E142B">
        <w:rPr>
          <w:sz w:val="24"/>
          <w:szCs w:val="24"/>
        </w:rPr>
        <w:t>power</w:t>
      </w:r>
      <w:r w:rsidR="00B2617B">
        <w:rPr>
          <w:sz w:val="24"/>
          <w:szCs w:val="24"/>
        </w:rPr>
        <w:t>”</w:t>
      </w:r>
      <w:r w:rsidRPr="005E142B">
        <w:rPr>
          <w:sz w:val="24"/>
          <w:szCs w:val="24"/>
        </w:rPr>
        <w:t xml:space="preserve">, I mean a state’s relative economic size and military capabilities. By </w:t>
      </w:r>
      <w:r w:rsidR="00B2617B">
        <w:rPr>
          <w:sz w:val="24"/>
          <w:szCs w:val="24"/>
        </w:rPr>
        <w:t>“</w:t>
      </w:r>
      <w:r w:rsidRPr="005E142B">
        <w:rPr>
          <w:sz w:val="24"/>
          <w:szCs w:val="24"/>
        </w:rPr>
        <w:t>habit</w:t>
      </w:r>
      <w:r w:rsidR="00B2617B">
        <w:rPr>
          <w:sz w:val="24"/>
          <w:szCs w:val="24"/>
        </w:rPr>
        <w:t>”</w:t>
      </w:r>
      <w:r w:rsidRPr="005E142B">
        <w:rPr>
          <w:sz w:val="24"/>
          <w:szCs w:val="24"/>
        </w:rPr>
        <w:t>, I mean collective ideas that come to seem natural</w:t>
      </w:r>
      <w:r w:rsidR="00E36FDE">
        <w:rPr>
          <w:sz w:val="24"/>
          <w:szCs w:val="24"/>
        </w:rPr>
        <w:t xml:space="preserve"> and obvious</w:t>
      </w:r>
      <w:r w:rsidRPr="005E142B">
        <w:rPr>
          <w:sz w:val="24"/>
          <w:szCs w:val="24"/>
        </w:rPr>
        <w:t>, axiomatic choices made from unexamined assumptions.</w:t>
      </w:r>
      <w:r w:rsidRPr="005E142B">
        <w:rPr>
          <w:rStyle w:val="FootnoteReference"/>
          <w:sz w:val="24"/>
          <w:szCs w:val="24"/>
        </w:rPr>
        <w:footnoteReference w:id="10"/>
      </w:r>
      <w:r w:rsidR="002C1D7F">
        <w:rPr>
          <w:sz w:val="24"/>
          <w:szCs w:val="24"/>
        </w:rPr>
        <w:t xml:space="preserve"> I argue that the habitual ideas of Washington make U.S. grand strategy hard to change.</w:t>
      </w:r>
      <w:r w:rsidRPr="005E142B">
        <w:rPr>
          <w:sz w:val="24"/>
          <w:szCs w:val="24"/>
        </w:rPr>
        <w:t xml:space="preserve"> These habits are perpetuated by a foreign policy establishment</w:t>
      </w:r>
      <w:r w:rsidR="004140F3">
        <w:rPr>
          <w:sz w:val="24"/>
          <w:szCs w:val="24"/>
        </w:rPr>
        <w:t xml:space="preserve">, working within the </w:t>
      </w:r>
      <w:r w:rsidR="004140F3" w:rsidRPr="005E142B">
        <w:rPr>
          <w:sz w:val="24"/>
          <w:szCs w:val="24"/>
        </w:rPr>
        <w:t xml:space="preserve">bureaucracy and </w:t>
      </w:r>
      <w:r w:rsidR="004140F3">
        <w:rPr>
          <w:sz w:val="24"/>
          <w:szCs w:val="24"/>
        </w:rPr>
        <w:t>as</w:t>
      </w:r>
      <w:r w:rsidR="004140F3" w:rsidRPr="005E142B">
        <w:rPr>
          <w:sz w:val="24"/>
          <w:szCs w:val="24"/>
        </w:rPr>
        <w:t xml:space="preserve"> a wider, overlapping class of security elites. </w:t>
      </w:r>
      <w:r w:rsidRPr="005E142B">
        <w:rPr>
          <w:sz w:val="24"/>
          <w:szCs w:val="24"/>
        </w:rPr>
        <w:t xml:space="preserve">Known as the </w:t>
      </w:r>
      <w:r w:rsidR="008E3104">
        <w:rPr>
          <w:sz w:val="24"/>
          <w:szCs w:val="24"/>
        </w:rPr>
        <w:t>“blob”</w:t>
      </w:r>
      <w:r w:rsidRPr="005E142B">
        <w:rPr>
          <w:sz w:val="24"/>
          <w:szCs w:val="24"/>
        </w:rPr>
        <w:t xml:space="preserve">, a nickname popularised by former deputy National Security Advisor Ben Rhodes, this class of officials and commentators </w:t>
      </w:r>
      <w:r w:rsidR="0060435A">
        <w:rPr>
          <w:sz w:val="24"/>
          <w:szCs w:val="24"/>
        </w:rPr>
        <w:t xml:space="preserve">incessantly worries </w:t>
      </w:r>
      <w:r w:rsidR="00A46EDF">
        <w:rPr>
          <w:sz w:val="24"/>
          <w:szCs w:val="24"/>
        </w:rPr>
        <w:t>about the “</w:t>
      </w:r>
      <w:r w:rsidRPr="005E142B">
        <w:rPr>
          <w:sz w:val="24"/>
          <w:szCs w:val="24"/>
        </w:rPr>
        <w:t xml:space="preserve">collapse </w:t>
      </w:r>
      <w:r w:rsidR="00A46EDF">
        <w:rPr>
          <w:sz w:val="24"/>
          <w:szCs w:val="24"/>
        </w:rPr>
        <w:t>of the American security order.”</w:t>
      </w:r>
      <w:r w:rsidRPr="005E142B">
        <w:rPr>
          <w:rStyle w:val="FootnoteReference"/>
          <w:sz w:val="24"/>
          <w:szCs w:val="24"/>
        </w:rPr>
        <w:footnoteReference w:id="11"/>
      </w:r>
      <w:r w:rsidRPr="005E142B">
        <w:rPr>
          <w:sz w:val="24"/>
          <w:szCs w:val="24"/>
        </w:rPr>
        <w:t xml:space="preserve"> </w:t>
      </w:r>
    </w:p>
    <w:p w:rsidR="004E60B8" w:rsidRDefault="004E60B8" w:rsidP="006C378B">
      <w:pPr>
        <w:spacing w:after="0" w:line="480" w:lineRule="auto"/>
        <w:ind w:firstLine="720"/>
        <w:jc w:val="both"/>
        <w:rPr>
          <w:sz w:val="24"/>
          <w:szCs w:val="24"/>
        </w:rPr>
      </w:pPr>
    </w:p>
    <w:p w:rsidR="00A310A7" w:rsidRDefault="004E60B8" w:rsidP="00481A3E">
      <w:pPr>
        <w:spacing w:after="0" w:line="480" w:lineRule="auto"/>
        <w:ind w:firstLine="720"/>
        <w:jc w:val="both"/>
        <w:rPr>
          <w:sz w:val="24"/>
          <w:szCs w:val="24"/>
        </w:rPr>
      </w:pPr>
      <w:r>
        <w:rPr>
          <w:sz w:val="24"/>
          <w:szCs w:val="24"/>
        </w:rPr>
        <w:lastRenderedPageBreak/>
        <w:t xml:space="preserve">Where does the </w:t>
      </w:r>
      <w:r w:rsidR="008E3104">
        <w:rPr>
          <w:sz w:val="24"/>
          <w:szCs w:val="24"/>
        </w:rPr>
        <w:t>“blob”</w:t>
      </w:r>
      <w:r>
        <w:rPr>
          <w:sz w:val="24"/>
          <w:szCs w:val="24"/>
        </w:rPr>
        <w:t xml:space="preserve"> come from</w:t>
      </w:r>
      <w:r w:rsidR="006A3547">
        <w:rPr>
          <w:sz w:val="24"/>
          <w:szCs w:val="24"/>
        </w:rPr>
        <w:t>, and what does it do</w:t>
      </w:r>
      <w:r>
        <w:rPr>
          <w:sz w:val="24"/>
          <w:szCs w:val="24"/>
        </w:rPr>
        <w:t>?</w:t>
      </w:r>
      <w:r w:rsidR="003601AC">
        <w:rPr>
          <w:sz w:val="24"/>
          <w:szCs w:val="24"/>
        </w:rPr>
        <w:t xml:space="preserve"> The </w:t>
      </w:r>
      <w:r w:rsidR="008E3104">
        <w:rPr>
          <w:sz w:val="24"/>
          <w:szCs w:val="24"/>
        </w:rPr>
        <w:t>“blob”</w:t>
      </w:r>
      <w:r w:rsidR="003601AC">
        <w:rPr>
          <w:sz w:val="24"/>
          <w:szCs w:val="24"/>
        </w:rPr>
        <w:t xml:space="preserve"> emerged </w:t>
      </w:r>
      <w:r w:rsidR="003601AC" w:rsidRPr="005E142B">
        <w:rPr>
          <w:sz w:val="24"/>
          <w:szCs w:val="24"/>
        </w:rPr>
        <w:t xml:space="preserve">out of </w:t>
      </w:r>
      <w:r w:rsidR="003601AC">
        <w:rPr>
          <w:sz w:val="24"/>
          <w:szCs w:val="24"/>
        </w:rPr>
        <w:t>America’s rising level of power during and after World War Two</w:t>
      </w:r>
      <w:r w:rsidR="00420EDE">
        <w:rPr>
          <w:sz w:val="24"/>
          <w:szCs w:val="24"/>
        </w:rPr>
        <w:t xml:space="preserve">. </w:t>
      </w:r>
      <w:r w:rsidR="00481A3E">
        <w:rPr>
          <w:sz w:val="24"/>
          <w:szCs w:val="24"/>
        </w:rPr>
        <w:t xml:space="preserve">There was a synergistic interaction between </w:t>
      </w:r>
      <w:r w:rsidR="00420EDE">
        <w:rPr>
          <w:sz w:val="24"/>
          <w:szCs w:val="24"/>
        </w:rPr>
        <w:t>America’s precipitate rise</w:t>
      </w:r>
      <w:r w:rsidR="00481A3E">
        <w:rPr>
          <w:sz w:val="24"/>
          <w:szCs w:val="24"/>
        </w:rPr>
        <w:t>, that</w:t>
      </w:r>
      <w:r w:rsidR="003601AC">
        <w:rPr>
          <w:sz w:val="24"/>
          <w:szCs w:val="24"/>
        </w:rPr>
        <w:t xml:space="preserve"> generated demand for security expertise</w:t>
      </w:r>
      <w:r w:rsidR="00481A3E">
        <w:rPr>
          <w:sz w:val="24"/>
          <w:szCs w:val="24"/>
        </w:rPr>
        <w:t>,</w:t>
      </w:r>
      <w:r w:rsidR="003601AC">
        <w:rPr>
          <w:sz w:val="24"/>
          <w:szCs w:val="24"/>
        </w:rPr>
        <w:t xml:space="preserve"> </w:t>
      </w:r>
      <w:r w:rsidR="00481A3E">
        <w:rPr>
          <w:sz w:val="24"/>
          <w:szCs w:val="24"/>
        </w:rPr>
        <w:t>and the activity of</w:t>
      </w:r>
      <w:r w:rsidR="003601AC">
        <w:rPr>
          <w:sz w:val="24"/>
          <w:szCs w:val="24"/>
        </w:rPr>
        <w:t xml:space="preserve"> a group of Ame</w:t>
      </w:r>
      <w:r w:rsidR="00481A3E">
        <w:rPr>
          <w:sz w:val="24"/>
          <w:szCs w:val="24"/>
        </w:rPr>
        <w:t>rican internationalists</w:t>
      </w:r>
      <w:r w:rsidR="003601AC">
        <w:rPr>
          <w:sz w:val="24"/>
          <w:szCs w:val="24"/>
        </w:rPr>
        <w:t xml:space="preserve"> determined to tutor and steer the state, and</w:t>
      </w:r>
      <w:r w:rsidR="003601AC" w:rsidRPr="003601AC">
        <w:rPr>
          <w:sz w:val="24"/>
          <w:szCs w:val="24"/>
        </w:rPr>
        <w:t xml:space="preserve"> </w:t>
      </w:r>
      <w:r w:rsidR="003601AC">
        <w:rPr>
          <w:sz w:val="24"/>
          <w:szCs w:val="24"/>
        </w:rPr>
        <w:t>ensure that the U.S. remained dominant and globally committed</w:t>
      </w:r>
      <w:r w:rsidR="00DA21AC">
        <w:rPr>
          <w:sz w:val="24"/>
          <w:szCs w:val="24"/>
        </w:rPr>
        <w:t>. Th</w:t>
      </w:r>
      <w:r w:rsidR="003601AC">
        <w:rPr>
          <w:sz w:val="24"/>
          <w:szCs w:val="24"/>
        </w:rPr>
        <w:t>ese security elites formed into</w:t>
      </w:r>
      <w:r w:rsidR="006C378B" w:rsidRPr="005E142B">
        <w:rPr>
          <w:sz w:val="24"/>
          <w:szCs w:val="24"/>
        </w:rPr>
        <w:t xml:space="preserve"> </w:t>
      </w:r>
      <w:r w:rsidR="003601AC">
        <w:rPr>
          <w:sz w:val="24"/>
          <w:szCs w:val="24"/>
        </w:rPr>
        <w:t xml:space="preserve">a </w:t>
      </w:r>
      <w:r w:rsidR="006C378B" w:rsidRPr="005E142B">
        <w:rPr>
          <w:sz w:val="24"/>
          <w:szCs w:val="24"/>
        </w:rPr>
        <w:t xml:space="preserve">cohesive, influential </w:t>
      </w:r>
      <w:r w:rsidR="000E3337">
        <w:rPr>
          <w:sz w:val="24"/>
          <w:szCs w:val="24"/>
        </w:rPr>
        <w:t>class</w:t>
      </w:r>
      <w:r w:rsidR="006C378B">
        <w:rPr>
          <w:sz w:val="24"/>
          <w:szCs w:val="24"/>
        </w:rPr>
        <w:t xml:space="preserve">. Over time, </w:t>
      </w:r>
      <w:r w:rsidR="003601AC">
        <w:rPr>
          <w:sz w:val="24"/>
          <w:szCs w:val="24"/>
        </w:rPr>
        <w:t>they</w:t>
      </w:r>
      <w:r w:rsidR="006C378B" w:rsidRPr="005E142B">
        <w:rPr>
          <w:sz w:val="24"/>
          <w:szCs w:val="24"/>
        </w:rPr>
        <w:t xml:space="preserve"> </w:t>
      </w:r>
      <w:r w:rsidR="00DA21AC">
        <w:rPr>
          <w:sz w:val="24"/>
          <w:szCs w:val="24"/>
        </w:rPr>
        <w:t>internalised the assumptions of</w:t>
      </w:r>
      <w:r w:rsidR="006C378B" w:rsidRPr="005E142B">
        <w:rPr>
          <w:sz w:val="24"/>
          <w:szCs w:val="24"/>
        </w:rPr>
        <w:t xml:space="preserve"> primacy</w:t>
      </w:r>
      <w:r w:rsidR="001774C0">
        <w:rPr>
          <w:sz w:val="24"/>
          <w:szCs w:val="24"/>
        </w:rPr>
        <w:t>,</w:t>
      </w:r>
      <w:r w:rsidR="00481A3E">
        <w:rPr>
          <w:sz w:val="24"/>
          <w:szCs w:val="24"/>
        </w:rPr>
        <w:t xml:space="preserve"> embedded those assumptions within government,</w:t>
      </w:r>
      <w:r w:rsidR="001774C0">
        <w:rPr>
          <w:sz w:val="24"/>
          <w:szCs w:val="24"/>
        </w:rPr>
        <w:t xml:space="preserve"> and allegiance to those assumpt</w:t>
      </w:r>
      <w:r w:rsidR="00481A3E">
        <w:rPr>
          <w:sz w:val="24"/>
          <w:szCs w:val="24"/>
        </w:rPr>
        <w:t>ions defined membership of the club.</w:t>
      </w:r>
      <w:r w:rsidR="006C378B" w:rsidRPr="005E142B">
        <w:rPr>
          <w:sz w:val="24"/>
          <w:szCs w:val="24"/>
        </w:rPr>
        <w:t xml:space="preserve"> </w:t>
      </w:r>
      <w:r>
        <w:rPr>
          <w:sz w:val="24"/>
          <w:szCs w:val="24"/>
        </w:rPr>
        <w:t>For</w:t>
      </w:r>
      <w:r w:rsidR="001774C0">
        <w:rPr>
          <w:sz w:val="24"/>
          <w:szCs w:val="24"/>
        </w:rPr>
        <w:t xml:space="preserve"> the </w:t>
      </w:r>
      <w:r w:rsidR="008E3104">
        <w:rPr>
          <w:sz w:val="24"/>
          <w:szCs w:val="24"/>
        </w:rPr>
        <w:t>“blob”</w:t>
      </w:r>
      <w:r w:rsidR="001774C0">
        <w:rPr>
          <w:sz w:val="24"/>
          <w:szCs w:val="24"/>
        </w:rPr>
        <w:t>, the commitment to primacy</w:t>
      </w:r>
      <w:r w:rsidR="006C378B">
        <w:rPr>
          <w:sz w:val="24"/>
          <w:szCs w:val="24"/>
        </w:rPr>
        <w:t xml:space="preserve"> became an article of faith, and self-evidently the only viable choice</w:t>
      </w:r>
      <w:r w:rsidR="003601AC">
        <w:rPr>
          <w:sz w:val="24"/>
          <w:szCs w:val="24"/>
        </w:rPr>
        <w:t>.</w:t>
      </w:r>
      <w:r>
        <w:rPr>
          <w:sz w:val="24"/>
          <w:szCs w:val="24"/>
        </w:rPr>
        <w:t xml:space="preserve"> </w:t>
      </w:r>
      <w:r w:rsidR="003601AC">
        <w:rPr>
          <w:sz w:val="24"/>
          <w:szCs w:val="24"/>
        </w:rPr>
        <w:t>As a grand strategy, p</w:t>
      </w:r>
      <w:r w:rsidR="009F5DF3">
        <w:rPr>
          <w:sz w:val="24"/>
          <w:szCs w:val="24"/>
        </w:rPr>
        <w:t>rimacy</w:t>
      </w:r>
      <w:r w:rsidR="00AE48D4">
        <w:rPr>
          <w:sz w:val="24"/>
          <w:szCs w:val="24"/>
        </w:rPr>
        <w:t xml:space="preserve"> is worthy of debate, given that it</w:t>
      </w:r>
      <w:r w:rsidR="009F5DF3">
        <w:rPr>
          <w:sz w:val="24"/>
          <w:szCs w:val="24"/>
        </w:rPr>
        <w:t xml:space="preserve"> </w:t>
      </w:r>
      <w:r w:rsidR="00D90DBE">
        <w:rPr>
          <w:sz w:val="24"/>
          <w:szCs w:val="24"/>
        </w:rPr>
        <w:t>demands</w:t>
      </w:r>
      <w:r>
        <w:rPr>
          <w:sz w:val="24"/>
          <w:szCs w:val="24"/>
        </w:rPr>
        <w:t xml:space="preserve"> significant up-front </w:t>
      </w:r>
      <w:r w:rsidR="00D90DBE">
        <w:rPr>
          <w:sz w:val="24"/>
          <w:szCs w:val="24"/>
        </w:rPr>
        <w:t>investments</w:t>
      </w:r>
      <w:r w:rsidR="006F5F69">
        <w:rPr>
          <w:sz w:val="24"/>
          <w:szCs w:val="24"/>
        </w:rPr>
        <w:t>,</w:t>
      </w:r>
      <w:r w:rsidR="00554A54">
        <w:rPr>
          <w:sz w:val="24"/>
          <w:szCs w:val="24"/>
        </w:rPr>
        <w:t xml:space="preserve"> implicates national security in developments far and wide, and</w:t>
      </w:r>
      <w:r w:rsidR="006F5F69">
        <w:rPr>
          <w:sz w:val="24"/>
          <w:szCs w:val="24"/>
        </w:rPr>
        <w:t xml:space="preserve"> makes the U.S. war-prone</w:t>
      </w:r>
      <w:r>
        <w:rPr>
          <w:sz w:val="24"/>
          <w:szCs w:val="24"/>
        </w:rPr>
        <w:t>.</w:t>
      </w:r>
      <w:r w:rsidR="006F5F69" w:rsidRPr="005E142B">
        <w:rPr>
          <w:rStyle w:val="FootnoteReference"/>
          <w:sz w:val="24"/>
          <w:szCs w:val="24"/>
        </w:rPr>
        <w:footnoteReference w:id="12"/>
      </w:r>
      <w:r>
        <w:rPr>
          <w:sz w:val="24"/>
          <w:szCs w:val="24"/>
        </w:rPr>
        <w:t xml:space="preserve"> </w:t>
      </w:r>
      <w:r w:rsidR="00477888">
        <w:rPr>
          <w:sz w:val="24"/>
          <w:szCs w:val="24"/>
        </w:rPr>
        <w:t>Yet t</w:t>
      </w:r>
      <w:r w:rsidR="003601AC">
        <w:rPr>
          <w:sz w:val="24"/>
          <w:szCs w:val="24"/>
        </w:rPr>
        <w:t>he achievem</w:t>
      </w:r>
      <w:r w:rsidR="00477888">
        <w:rPr>
          <w:sz w:val="24"/>
          <w:szCs w:val="24"/>
        </w:rPr>
        <w:t xml:space="preserve">ent of the </w:t>
      </w:r>
      <w:r w:rsidR="008E3104">
        <w:rPr>
          <w:sz w:val="24"/>
          <w:szCs w:val="24"/>
        </w:rPr>
        <w:t>“blob”</w:t>
      </w:r>
      <w:r w:rsidR="00477888">
        <w:rPr>
          <w:sz w:val="24"/>
          <w:szCs w:val="24"/>
        </w:rPr>
        <w:t xml:space="preserve"> was to erect primacy as the largely-undisputed and seemingly</w:t>
      </w:r>
      <w:r w:rsidR="003601AC">
        <w:rPr>
          <w:sz w:val="24"/>
          <w:szCs w:val="24"/>
        </w:rPr>
        <w:t xml:space="preserve"> natural framework of U.S. diplomacy.</w:t>
      </w:r>
    </w:p>
    <w:p w:rsidR="00C20ED4" w:rsidRDefault="00C20ED4" w:rsidP="00A310A7">
      <w:pPr>
        <w:spacing w:after="0" w:line="480" w:lineRule="auto"/>
        <w:jc w:val="both"/>
        <w:rPr>
          <w:sz w:val="24"/>
          <w:szCs w:val="24"/>
        </w:rPr>
      </w:pPr>
    </w:p>
    <w:p w:rsidR="004B7DCA" w:rsidRPr="005E142B" w:rsidRDefault="00617DD8" w:rsidP="00A310A7">
      <w:pPr>
        <w:spacing w:after="0" w:line="480" w:lineRule="auto"/>
        <w:ind w:firstLine="720"/>
        <w:jc w:val="both"/>
        <w:rPr>
          <w:sz w:val="24"/>
          <w:szCs w:val="24"/>
        </w:rPr>
      </w:pPr>
      <w:r>
        <w:rPr>
          <w:sz w:val="24"/>
          <w:szCs w:val="24"/>
        </w:rPr>
        <w:t xml:space="preserve">Thanks to the </w:t>
      </w:r>
      <w:r w:rsidR="003C4EB8">
        <w:rPr>
          <w:sz w:val="24"/>
          <w:szCs w:val="24"/>
        </w:rPr>
        <w:t>influence</w:t>
      </w:r>
      <w:r>
        <w:rPr>
          <w:sz w:val="24"/>
          <w:szCs w:val="24"/>
        </w:rPr>
        <w:t xml:space="preserve"> of </w:t>
      </w:r>
      <w:r w:rsidR="00C20ED4">
        <w:rPr>
          <w:sz w:val="24"/>
          <w:szCs w:val="24"/>
        </w:rPr>
        <w:t xml:space="preserve">the </w:t>
      </w:r>
      <w:r w:rsidR="008E3104">
        <w:rPr>
          <w:sz w:val="24"/>
          <w:szCs w:val="24"/>
        </w:rPr>
        <w:t>“blob”</w:t>
      </w:r>
      <w:r>
        <w:rPr>
          <w:sz w:val="24"/>
          <w:szCs w:val="24"/>
        </w:rPr>
        <w:t xml:space="preserve">, </w:t>
      </w:r>
      <w:r w:rsidR="008838DB">
        <w:rPr>
          <w:sz w:val="24"/>
          <w:szCs w:val="24"/>
        </w:rPr>
        <w:t>Washington is in the habit of primacy. T</w:t>
      </w:r>
      <w:r w:rsidRPr="005E142B">
        <w:rPr>
          <w:sz w:val="24"/>
          <w:szCs w:val="24"/>
        </w:rPr>
        <w:t xml:space="preserve">here </w:t>
      </w:r>
      <w:r>
        <w:rPr>
          <w:sz w:val="24"/>
          <w:szCs w:val="24"/>
        </w:rPr>
        <w:t>is</w:t>
      </w:r>
      <w:r w:rsidRPr="005E142B">
        <w:rPr>
          <w:sz w:val="24"/>
          <w:szCs w:val="24"/>
        </w:rPr>
        <w:t xml:space="preserve"> little process of critical evaluation</w:t>
      </w:r>
      <w:r>
        <w:rPr>
          <w:sz w:val="24"/>
          <w:szCs w:val="24"/>
        </w:rPr>
        <w:t xml:space="preserve"> around the </w:t>
      </w:r>
      <w:r w:rsidR="00AF3EEF">
        <w:rPr>
          <w:sz w:val="24"/>
          <w:szCs w:val="24"/>
        </w:rPr>
        <w:t>fundamentals</w:t>
      </w:r>
      <w:r w:rsidRPr="005E142B">
        <w:rPr>
          <w:sz w:val="24"/>
          <w:szCs w:val="24"/>
        </w:rPr>
        <w:t xml:space="preserve">. </w:t>
      </w:r>
      <w:r>
        <w:rPr>
          <w:sz w:val="24"/>
          <w:szCs w:val="24"/>
        </w:rPr>
        <w:t>Alternative grand strategies hardly ge</w:t>
      </w:r>
      <w:r w:rsidRPr="005E142B">
        <w:rPr>
          <w:sz w:val="24"/>
          <w:szCs w:val="24"/>
        </w:rPr>
        <w:t>t a hearing.</w:t>
      </w:r>
      <w:r w:rsidR="003C4EB8">
        <w:rPr>
          <w:sz w:val="24"/>
          <w:szCs w:val="24"/>
        </w:rPr>
        <w:t xml:space="preserve"> </w:t>
      </w:r>
      <w:r w:rsidR="00A310A7">
        <w:rPr>
          <w:sz w:val="24"/>
          <w:szCs w:val="24"/>
        </w:rPr>
        <w:t>A</w:t>
      </w:r>
      <w:r w:rsidR="00A310A7" w:rsidRPr="005E142B">
        <w:rPr>
          <w:sz w:val="24"/>
          <w:szCs w:val="24"/>
        </w:rPr>
        <w:t xml:space="preserve"> pervasive ideology of </w:t>
      </w:r>
      <w:r w:rsidR="00872F3E">
        <w:rPr>
          <w:sz w:val="24"/>
          <w:szCs w:val="24"/>
        </w:rPr>
        <w:t>“</w:t>
      </w:r>
      <w:r w:rsidR="00A310A7" w:rsidRPr="005E142B">
        <w:rPr>
          <w:sz w:val="24"/>
          <w:szCs w:val="24"/>
        </w:rPr>
        <w:t>American leadership</w:t>
      </w:r>
      <w:r w:rsidR="00872F3E">
        <w:rPr>
          <w:sz w:val="24"/>
          <w:szCs w:val="24"/>
        </w:rPr>
        <w:t>”</w:t>
      </w:r>
      <w:r w:rsidR="00A310A7" w:rsidRPr="005E142B">
        <w:rPr>
          <w:sz w:val="24"/>
          <w:szCs w:val="24"/>
        </w:rPr>
        <w:t xml:space="preserve"> constrain</w:t>
      </w:r>
      <w:r w:rsidR="00A310A7">
        <w:rPr>
          <w:sz w:val="24"/>
          <w:szCs w:val="24"/>
        </w:rPr>
        <w:t>s</w:t>
      </w:r>
      <w:r w:rsidR="00A310A7" w:rsidRPr="005E142B">
        <w:rPr>
          <w:sz w:val="24"/>
          <w:szCs w:val="24"/>
        </w:rPr>
        <w:t xml:space="preserve"> Washington’s choices.</w:t>
      </w:r>
      <w:r w:rsidR="00A310A7">
        <w:rPr>
          <w:sz w:val="24"/>
          <w:szCs w:val="24"/>
        </w:rPr>
        <w:t xml:space="preserve"> </w:t>
      </w:r>
      <w:r w:rsidR="00A310A7" w:rsidRPr="005E142B">
        <w:rPr>
          <w:sz w:val="24"/>
          <w:szCs w:val="24"/>
        </w:rPr>
        <w:t xml:space="preserve">Successive presidents </w:t>
      </w:r>
      <w:r w:rsidR="00A310A7">
        <w:rPr>
          <w:sz w:val="24"/>
          <w:szCs w:val="24"/>
        </w:rPr>
        <w:t>have been</w:t>
      </w:r>
      <w:r w:rsidR="00A310A7" w:rsidRPr="005E142B">
        <w:rPr>
          <w:sz w:val="24"/>
          <w:szCs w:val="24"/>
        </w:rPr>
        <w:t xml:space="preserve"> predisposed towards the </w:t>
      </w:r>
      <w:r w:rsidR="00A310A7">
        <w:rPr>
          <w:sz w:val="24"/>
          <w:szCs w:val="24"/>
        </w:rPr>
        <w:t xml:space="preserve">grand strategic </w:t>
      </w:r>
      <w:r w:rsidR="00A310A7" w:rsidRPr="005E142B">
        <w:rPr>
          <w:i/>
          <w:sz w:val="24"/>
          <w:szCs w:val="24"/>
        </w:rPr>
        <w:t>status quo</w:t>
      </w:r>
      <w:r w:rsidR="00A310A7" w:rsidRPr="005E142B">
        <w:rPr>
          <w:sz w:val="24"/>
          <w:szCs w:val="24"/>
        </w:rPr>
        <w:t xml:space="preserve">. In particular, alternatives based on the retrenchment of commitments and acceptance of multipolarity </w:t>
      </w:r>
      <w:r w:rsidR="00A310A7">
        <w:rPr>
          <w:sz w:val="24"/>
          <w:szCs w:val="24"/>
        </w:rPr>
        <w:t>are</w:t>
      </w:r>
      <w:r w:rsidR="00A310A7" w:rsidRPr="005E142B">
        <w:rPr>
          <w:sz w:val="24"/>
          <w:szCs w:val="24"/>
        </w:rPr>
        <w:t xml:space="preserve"> effectively</w:t>
      </w:r>
      <w:r w:rsidR="00A310A7">
        <w:rPr>
          <w:sz w:val="24"/>
          <w:szCs w:val="24"/>
        </w:rPr>
        <w:t xml:space="preserve"> taken</w:t>
      </w:r>
      <w:r w:rsidR="00A310A7" w:rsidRPr="005E142B">
        <w:rPr>
          <w:sz w:val="24"/>
          <w:szCs w:val="24"/>
        </w:rPr>
        <w:t xml:space="preserve"> off the table. </w:t>
      </w:r>
      <w:r w:rsidR="00A310A7">
        <w:rPr>
          <w:sz w:val="24"/>
          <w:szCs w:val="24"/>
        </w:rPr>
        <w:t>In short, c</w:t>
      </w:r>
      <w:r w:rsidR="00A310A7" w:rsidRPr="005E142B">
        <w:rPr>
          <w:sz w:val="24"/>
          <w:szCs w:val="24"/>
        </w:rPr>
        <w:t>apability plus motive create</w:t>
      </w:r>
      <w:r w:rsidR="00A310A7">
        <w:rPr>
          <w:sz w:val="24"/>
          <w:szCs w:val="24"/>
        </w:rPr>
        <w:t>s</w:t>
      </w:r>
      <w:r w:rsidR="00A310A7" w:rsidRPr="005E142B">
        <w:rPr>
          <w:sz w:val="24"/>
          <w:szCs w:val="24"/>
        </w:rPr>
        <w:t xml:space="preserve"> continuity. Washington’s international power position supplie</w:t>
      </w:r>
      <w:r w:rsidR="003601AC">
        <w:rPr>
          <w:sz w:val="24"/>
          <w:szCs w:val="24"/>
        </w:rPr>
        <w:t>s</w:t>
      </w:r>
      <w:r w:rsidR="00A310A7" w:rsidRPr="005E142B">
        <w:rPr>
          <w:sz w:val="24"/>
          <w:szCs w:val="24"/>
        </w:rPr>
        <w:t xml:space="preserve"> the capability</w:t>
      </w:r>
      <w:r w:rsidR="00A310A7">
        <w:rPr>
          <w:sz w:val="24"/>
          <w:szCs w:val="24"/>
        </w:rPr>
        <w:t xml:space="preserve"> for America to pursue primacy</w:t>
      </w:r>
      <w:r w:rsidR="00A310A7" w:rsidRPr="005E142B">
        <w:rPr>
          <w:sz w:val="24"/>
          <w:szCs w:val="24"/>
        </w:rPr>
        <w:t>, and its habitually formed ideology supplie</w:t>
      </w:r>
      <w:r w:rsidR="003601AC">
        <w:rPr>
          <w:sz w:val="24"/>
          <w:szCs w:val="24"/>
        </w:rPr>
        <w:t>s</w:t>
      </w:r>
      <w:r w:rsidR="00A310A7" w:rsidRPr="005E142B">
        <w:rPr>
          <w:sz w:val="24"/>
          <w:szCs w:val="24"/>
        </w:rPr>
        <w:t xml:space="preserve"> the motive.</w:t>
      </w:r>
      <w:r w:rsidR="00A310A7">
        <w:rPr>
          <w:sz w:val="24"/>
          <w:szCs w:val="24"/>
        </w:rPr>
        <w:t xml:space="preserve"> </w:t>
      </w:r>
      <w:r w:rsidR="00836C03">
        <w:rPr>
          <w:sz w:val="24"/>
          <w:szCs w:val="24"/>
        </w:rPr>
        <w:t xml:space="preserve">For U.S. grand strategy to change, two developments would need to combine: </w:t>
      </w:r>
      <w:r w:rsidR="00836C03" w:rsidRPr="005E142B">
        <w:rPr>
          <w:sz w:val="24"/>
          <w:szCs w:val="24"/>
        </w:rPr>
        <w:t>rapidly changing external conditions</w:t>
      </w:r>
      <w:r w:rsidR="00836C03">
        <w:rPr>
          <w:sz w:val="24"/>
          <w:szCs w:val="24"/>
        </w:rPr>
        <w:t>,</w:t>
      </w:r>
      <w:r w:rsidR="00836C03" w:rsidRPr="005E142B">
        <w:rPr>
          <w:sz w:val="24"/>
          <w:szCs w:val="24"/>
        </w:rPr>
        <w:t xml:space="preserve"> </w:t>
      </w:r>
      <w:r w:rsidR="00836C03" w:rsidRPr="005E142B">
        <w:rPr>
          <w:sz w:val="24"/>
          <w:szCs w:val="24"/>
        </w:rPr>
        <w:lastRenderedPageBreak/>
        <w:t xml:space="preserve">sufficiently shocking to disconfirm the assumptions of the </w:t>
      </w:r>
      <w:r w:rsidR="00836C03" w:rsidRPr="005E142B">
        <w:rPr>
          <w:i/>
          <w:sz w:val="24"/>
          <w:szCs w:val="24"/>
        </w:rPr>
        <w:t>status quo</w:t>
      </w:r>
      <w:r w:rsidR="00836C03" w:rsidRPr="005E142B">
        <w:rPr>
          <w:sz w:val="24"/>
          <w:szCs w:val="24"/>
        </w:rPr>
        <w:t>, and determined agents of change willing to incur domestic costs to drive it</w:t>
      </w:r>
      <w:r w:rsidR="00836C03">
        <w:rPr>
          <w:sz w:val="24"/>
          <w:szCs w:val="24"/>
        </w:rPr>
        <w:t xml:space="preserve">. </w:t>
      </w:r>
      <w:r w:rsidR="003601AC">
        <w:rPr>
          <w:sz w:val="24"/>
          <w:szCs w:val="24"/>
        </w:rPr>
        <w:t>Even as political polarisation intensifies</w:t>
      </w:r>
      <w:r w:rsidR="001C065F">
        <w:rPr>
          <w:sz w:val="24"/>
          <w:szCs w:val="24"/>
        </w:rPr>
        <w:t>, this</w:t>
      </w:r>
      <w:r w:rsidR="00C20ED4">
        <w:rPr>
          <w:sz w:val="24"/>
          <w:szCs w:val="24"/>
        </w:rPr>
        <w:t xml:space="preserve"> development</w:t>
      </w:r>
      <w:r w:rsidR="001C065F">
        <w:rPr>
          <w:sz w:val="24"/>
          <w:szCs w:val="24"/>
        </w:rPr>
        <w:t xml:space="preserve"> is unlikely.</w:t>
      </w:r>
    </w:p>
    <w:p w:rsidR="00685E37" w:rsidRPr="005E142B" w:rsidRDefault="00685E37" w:rsidP="005E142B">
      <w:pPr>
        <w:tabs>
          <w:tab w:val="left" w:pos="8789"/>
        </w:tabs>
        <w:autoSpaceDE w:val="0"/>
        <w:autoSpaceDN w:val="0"/>
        <w:adjustRightInd w:val="0"/>
        <w:spacing w:after="0" w:line="480" w:lineRule="auto"/>
        <w:ind w:firstLine="720"/>
        <w:jc w:val="both"/>
        <w:rPr>
          <w:sz w:val="24"/>
          <w:szCs w:val="24"/>
        </w:rPr>
      </w:pPr>
    </w:p>
    <w:p w:rsidR="002167FD" w:rsidRPr="005E142B" w:rsidRDefault="001774C0" w:rsidP="005E142B">
      <w:pPr>
        <w:spacing w:after="0" w:line="480" w:lineRule="auto"/>
        <w:ind w:firstLine="720"/>
        <w:jc w:val="both"/>
        <w:rPr>
          <w:sz w:val="24"/>
          <w:szCs w:val="24"/>
        </w:rPr>
      </w:pPr>
      <w:r>
        <w:rPr>
          <w:sz w:val="24"/>
          <w:szCs w:val="24"/>
        </w:rPr>
        <w:t>I test this explanation by examining</w:t>
      </w:r>
      <w:r w:rsidR="00685E37" w:rsidRPr="005E142B">
        <w:rPr>
          <w:sz w:val="24"/>
          <w:szCs w:val="24"/>
        </w:rPr>
        <w:t xml:space="preserve"> </w:t>
      </w:r>
      <w:r w:rsidR="00A310A7">
        <w:rPr>
          <w:sz w:val="24"/>
          <w:szCs w:val="24"/>
        </w:rPr>
        <w:t xml:space="preserve">two cases. The first is </w:t>
      </w:r>
      <w:r w:rsidR="00685E37" w:rsidRPr="005E142B">
        <w:rPr>
          <w:sz w:val="24"/>
          <w:szCs w:val="24"/>
        </w:rPr>
        <w:t>the presidency of William</w:t>
      </w:r>
      <w:r w:rsidR="00965687">
        <w:rPr>
          <w:sz w:val="24"/>
          <w:szCs w:val="24"/>
        </w:rPr>
        <w:t xml:space="preserve"> J.</w:t>
      </w:r>
      <w:r w:rsidR="00685E37" w:rsidRPr="005E142B">
        <w:rPr>
          <w:sz w:val="24"/>
          <w:szCs w:val="24"/>
        </w:rPr>
        <w:t xml:space="preserve"> Clinton (1993-2001). </w:t>
      </w:r>
      <w:r w:rsidR="002740F4" w:rsidRPr="005E142B">
        <w:rPr>
          <w:sz w:val="24"/>
          <w:szCs w:val="24"/>
        </w:rPr>
        <w:t xml:space="preserve">Clinton’s America </w:t>
      </w:r>
      <w:r w:rsidR="006E6775" w:rsidRPr="005E142B">
        <w:rPr>
          <w:sz w:val="24"/>
          <w:szCs w:val="24"/>
        </w:rPr>
        <w:t xml:space="preserve">had </w:t>
      </w:r>
      <w:r w:rsidR="0013271F" w:rsidRPr="005E142B">
        <w:rPr>
          <w:sz w:val="24"/>
          <w:szCs w:val="24"/>
        </w:rPr>
        <w:t xml:space="preserve">great </w:t>
      </w:r>
      <w:r w:rsidR="00C34A53" w:rsidRPr="005E142B">
        <w:rPr>
          <w:sz w:val="24"/>
          <w:szCs w:val="24"/>
        </w:rPr>
        <w:t xml:space="preserve">discretionary </w:t>
      </w:r>
      <w:r w:rsidR="00464ECF" w:rsidRPr="005E142B">
        <w:rPr>
          <w:sz w:val="24"/>
          <w:szCs w:val="24"/>
        </w:rPr>
        <w:t>power</w:t>
      </w:r>
      <w:r w:rsidR="006E6775" w:rsidRPr="005E142B">
        <w:rPr>
          <w:sz w:val="24"/>
          <w:szCs w:val="24"/>
        </w:rPr>
        <w:t xml:space="preserve"> to choose an alternative grand strategy</w:t>
      </w:r>
      <w:r w:rsidR="001E465B" w:rsidRPr="005E142B">
        <w:rPr>
          <w:sz w:val="24"/>
          <w:szCs w:val="24"/>
        </w:rPr>
        <w:t>,</w:t>
      </w:r>
      <w:r w:rsidR="006E6775" w:rsidRPr="005E142B">
        <w:rPr>
          <w:sz w:val="24"/>
          <w:szCs w:val="24"/>
        </w:rPr>
        <w:t xml:space="preserve"> and</w:t>
      </w:r>
      <w:r w:rsidR="00AE7552" w:rsidRPr="005E142B">
        <w:rPr>
          <w:sz w:val="24"/>
          <w:szCs w:val="24"/>
        </w:rPr>
        <w:t xml:space="preserve"> </w:t>
      </w:r>
      <w:r w:rsidR="005A61B4" w:rsidRPr="005E142B">
        <w:rPr>
          <w:sz w:val="24"/>
          <w:szCs w:val="24"/>
        </w:rPr>
        <w:t>strong</w:t>
      </w:r>
      <w:r w:rsidR="006E6775" w:rsidRPr="005E142B">
        <w:rPr>
          <w:sz w:val="24"/>
          <w:szCs w:val="24"/>
        </w:rPr>
        <w:t xml:space="preserve"> incentiv</w:t>
      </w:r>
      <w:r w:rsidR="0013271F" w:rsidRPr="005E142B">
        <w:rPr>
          <w:sz w:val="24"/>
          <w:szCs w:val="24"/>
        </w:rPr>
        <w:t>es</w:t>
      </w:r>
      <w:r w:rsidR="001E465B" w:rsidRPr="005E142B">
        <w:rPr>
          <w:sz w:val="24"/>
          <w:szCs w:val="24"/>
        </w:rPr>
        <w:t xml:space="preserve"> </w:t>
      </w:r>
      <w:r w:rsidR="006E6775" w:rsidRPr="005E142B">
        <w:rPr>
          <w:sz w:val="24"/>
          <w:szCs w:val="24"/>
        </w:rPr>
        <w:t xml:space="preserve">to </w:t>
      </w:r>
      <w:r w:rsidR="002779B0" w:rsidRPr="005E142B">
        <w:rPr>
          <w:sz w:val="24"/>
          <w:szCs w:val="24"/>
        </w:rPr>
        <w:t xml:space="preserve">consider </w:t>
      </w:r>
      <w:r w:rsidR="006E6775" w:rsidRPr="005E142B">
        <w:rPr>
          <w:sz w:val="24"/>
          <w:szCs w:val="24"/>
        </w:rPr>
        <w:t>change</w:t>
      </w:r>
      <w:r>
        <w:rPr>
          <w:sz w:val="24"/>
          <w:szCs w:val="24"/>
        </w:rPr>
        <w:t xml:space="preserve">, yet Clinton preserved </w:t>
      </w:r>
      <w:r w:rsidR="0021634C">
        <w:rPr>
          <w:sz w:val="24"/>
          <w:szCs w:val="24"/>
        </w:rPr>
        <w:t>primacy</w:t>
      </w:r>
      <w:r>
        <w:rPr>
          <w:sz w:val="24"/>
          <w:szCs w:val="24"/>
        </w:rPr>
        <w:t xml:space="preserve"> in its essentials.</w:t>
      </w:r>
      <w:r w:rsidR="006E6775" w:rsidRPr="005E142B">
        <w:rPr>
          <w:sz w:val="24"/>
          <w:szCs w:val="24"/>
        </w:rPr>
        <w:t xml:space="preserve"> </w:t>
      </w:r>
      <w:r w:rsidR="00895AB0">
        <w:rPr>
          <w:sz w:val="24"/>
          <w:szCs w:val="24"/>
        </w:rPr>
        <w:t>The</w:t>
      </w:r>
      <w:r w:rsidR="009E16EF" w:rsidRPr="005E142B">
        <w:rPr>
          <w:sz w:val="24"/>
          <w:szCs w:val="24"/>
        </w:rPr>
        <w:t xml:space="preserve"> </w:t>
      </w:r>
      <w:r w:rsidR="00895AB0">
        <w:rPr>
          <w:sz w:val="24"/>
          <w:szCs w:val="24"/>
        </w:rPr>
        <w:t xml:space="preserve">second </w:t>
      </w:r>
      <w:r w:rsidR="002167FD" w:rsidRPr="005E142B">
        <w:rPr>
          <w:sz w:val="24"/>
          <w:szCs w:val="24"/>
        </w:rPr>
        <w:t xml:space="preserve">case is the </w:t>
      </w:r>
      <w:r w:rsidR="009E16EF" w:rsidRPr="005E142B">
        <w:rPr>
          <w:sz w:val="24"/>
          <w:szCs w:val="24"/>
        </w:rPr>
        <w:t xml:space="preserve">first </w:t>
      </w:r>
      <w:r w:rsidR="0021634C">
        <w:rPr>
          <w:sz w:val="24"/>
          <w:szCs w:val="24"/>
        </w:rPr>
        <w:t>year</w:t>
      </w:r>
      <w:r w:rsidR="009E16EF" w:rsidRPr="005E142B">
        <w:rPr>
          <w:sz w:val="24"/>
          <w:szCs w:val="24"/>
        </w:rPr>
        <w:t xml:space="preserve"> of </w:t>
      </w:r>
      <w:r w:rsidR="000D7CE2" w:rsidRPr="005E142B">
        <w:rPr>
          <w:sz w:val="24"/>
          <w:szCs w:val="24"/>
        </w:rPr>
        <w:t>President</w:t>
      </w:r>
      <w:r w:rsidR="002167FD" w:rsidRPr="005E142B">
        <w:rPr>
          <w:sz w:val="24"/>
          <w:szCs w:val="24"/>
        </w:rPr>
        <w:t xml:space="preserve"> Donald </w:t>
      </w:r>
      <w:r w:rsidR="0021634C">
        <w:rPr>
          <w:sz w:val="24"/>
          <w:szCs w:val="24"/>
        </w:rPr>
        <w:t xml:space="preserve">J. </w:t>
      </w:r>
      <w:r w:rsidR="002167FD" w:rsidRPr="005E142B">
        <w:rPr>
          <w:sz w:val="24"/>
          <w:szCs w:val="24"/>
        </w:rPr>
        <w:t>Trump. Trump pose</w:t>
      </w:r>
      <w:r w:rsidR="009E16EF" w:rsidRPr="005E142B">
        <w:rPr>
          <w:sz w:val="24"/>
          <w:szCs w:val="24"/>
        </w:rPr>
        <w:t>d</w:t>
      </w:r>
      <w:r w:rsidR="002167FD" w:rsidRPr="005E142B">
        <w:rPr>
          <w:sz w:val="24"/>
          <w:szCs w:val="24"/>
        </w:rPr>
        <w:t xml:space="preserve"> the strongest challenge in decades to the bipartisan consensus that America should lead the world. He threatened to shred alliances, </w:t>
      </w:r>
      <w:r w:rsidR="00C60CEF">
        <w:rPr>
          <w:sz w:val="24"/>
          <w:szCs w:val="24"/>
        </w:rPr>
        <w:t>abandon commitments</w:t>
      </w:r>
      <w:r w:rsidR="002167FD" w:rsidRPr="005E142B">
        <w:rPr>
          <w:sz w:val="24"/>
          <w:szCs w:val="24"/>
        </w:rPr>
        <w:t xml:space="preserve"> and tolerate nuclear proliferation</w:t>
      </w:r>
      <w:r w:rsidR="00552170">
        <w:rPr>
          <w:sz w:val="24"/>
          <w:szCs w:val="24"/>
        </w:rPr>
        <w:t xml:space="preserve"> by other states</w:t>
      </w:r>
      <w:r w:rsidR="002167FD" w:rsidRPr="005E142B">
        <w:rPr>
          <w:sz w:val="24"/>
          <w:szCs w:val="24"/>
        </w:rPr>
        <w:t xml:space="preserve">. </w:t>
      </w:r>
      <w:r w:rsidR="000D7CE2" w:rsidRPr="005E142B">
        <w:rPr>
          <w:sz w:val="24"/>
          <w:szCs w:val="24"/>
        </w:rPr>
        <w:t xml:space="preserve">Even in this case, my theory accords with preliminary observations. </w:t>
      </w:r>
      <w:r w:rsidR="00CD770E">
        <w:rPr>
          <w:sz w:val="24"/>
          <w:szCs w:val="24"/>
        </w:rPr>
        <w:t>From the first months</w:t>
      </w:r>
      <w:r w:rsidR="009E16EF" w:rsidRPr="005E142B">
        <w:rPr>
          <w:sz w:val="24"/>
          <w:szCs w:val="24"/>
        </w:rPr>
        <w:t xml:space="preserve"> of Trump’s presidency, the </w:t>
      </w:r>
      <w:r w:rsidR="008E3104">
        <w:rPr>
          <w:sz w:val="24"/>
          <w:szCs w:val="24"/>
        </w:rPr>
        <w:t>“blob”</w:t>
      </w:r>
      <w:r w:rsidR="009E16EF" w:rsidRPr="005E142B">
        <w:rPr>
          <w:sz w:val="24"/>
          <w:szCs w:val="24"/>
        </w:rPr>
        <w:t xml:space="preserve"> asserted itself</w:t>
      </w:r>
      <w:r w:rsidR="002167FD" w:rsidRPr="005E142B">
        <w:rPr>
          <w:sz w:val="24"/>
          <w:szCs w:val="24"/>
        </w:rPr>
        <w:t xml:space="preserve">. </w:t>
      </w:r>
      <w:r w:rsidR="00E46CD2" w:rsidRPr="005E142B">
        <w:rPr>
          <w:sz w:val="24"/>
          <w:szCs w:val="24"/>
        </w:rPr>
        <w:t xml:space="preserve"> </w:t>
      </w:r>
    </w:p>
    <w:p w:rsidR="00AE7552" w:rsidRPr="005E142B" w:rsidRDefault="00AE7552" w:rsidP="005E142B">
      <w:pPr>
        <w:spacing w:after="0" w:line="480" w:lineRule="auto"/>
        <w:jc w:val="both"/>
        <w:rPr>
          <w:sz w:val="24"/>
          <w:szCs w:val="24"/>
        </w:rPr>
      </w:pPr>
    </w:p>
    <w:p w:rsidR="00D948C4" w:rsidRDefault="004568AB" w:rsidP="005E142B">
      <w:pPr>
        <w:spacing w:after="0" w:line="480" w:lineRule="auto"/>
        <w:ind w:firstLine="720"/>
        <w:jc w:val="both"/>
        <w:rPr>
          <w:sz w:val="24"/>
          <w:szCs w:val="24"/>
        </w:rPr>
      </w:pPr>
      <w:r>
        <w:rPr>
          <w:sz w:val="24"/>
          <w:szCs w:val="24"/>
        </w:rPr>
        <w:t>In both cases, policymakers acted in ways that my theory predicts. D</w:t>
      </w:r>
      <w:r w:rsidR="00C34A53" w:rsidRPr="005E142B">
        <w:rPr>
          <w:sz w:val="24"/>
          <w:szCs w:val="24"/>
        </w:rPr>
        <w:t xml:space="preserve">espite </w:t>
      </w:r>
      <w:r w:rsidR="00291B30" w:rsidRPr="005E142B">
        <w:rPr>
          <w:sz w:val="24"/>
          <w:szCs w:val="24"/>
        </w:rPr>
        <w:t xml:space="preserve">fluid </w:t>
      </w:r>
      <w:r>
        <w:rPr>
          <w:sz w:val="24"/>
          <w:szCs w:val="24"/>
        </w:rPr>
        <w:t>conditions</w:t>
      </w:r>
      <w:r w:rsidR="006A3547">
        <w:rPr>
          <w:sz w:val="24"/>
          <w:szCs w:val="24"/>
        </w:rPr>
        <w:t xml:space="preserve"> that ought to have stimulated consideration of change</w:t>
      </w:r>
      <w:r w:rsidR="00D15068">
        <w:rPr>
          <w:sz w:val="24"/>
          <w:szCs w:val="24"/>
        </w:rPr>
        <w:t>,</w:t>
      </w:r>
      <w:r>
        <w:rPr>
          <w:sz w:val="24"/>
          <w:szCs w:val="24"/>
        </w:rPr>
        <w:t xml:space="preserve"> </w:t>
      </w:r>
      <w:r w:rsidR="00D15068">
        <w:rPr>
          <w:sz w:val="24"/>
          <w:szCs w:val="24"/>
        </w:rPr>
        <w:t>there was</w:t>
      </w:r>
      <w:r w:rsidR="002E24DF" w:rsidRPr="005E142B">
        <w:rPr>
          <w:sz w:val="24"/>
          <w:szCs w:val="24"/>
        </w:rPr>
        <w:t xml:space="preserve"> continuity.</w:t>
      </w:r>
      <w:r w:rsidR="00291B30" w:rsidRPr="005E142B">
        <w:rPr>
          <w:sz w:val="24"/>
          <w:szCs w:val="24"/>
        </w:rPr>
        <w:t xml:space="preserve"> </w:t>
      </w:r>
      <w:r>
        <w:rPr>
          <w:sz w:val="24"/>
          <w:szCs w:val="24"/>
        </w:rPr>
        <w:t xml:space="preserve">In each case, </w:t>
      </w:r>
      <w:r w:rsidR="00291B30" w:rsidRPr="005E142B">
        <w:rPr>
          <w:sz w:val="24"/>
          <w:szCs w:val="24"/>
        </w:rPr>
        <w:t>Washington</w:t>
      </w:r>
      <w:r w:rsidR="002E24DF" w:rsidRPr="005E142B">
        <w:rPr>
          <w:sz w:val="24"/>
          <w:szCs w:val="24"/>
        </w:rPr>
        <w:t xml:space="preserve"> reaffirm</w:t>
      </w:r>
      <w:r>
        <w:rPr>
          <w:sz w:val="24"/>
          <w:szCs w:val="24"/>
        </w:rPr>
        <w:t>ed</w:t>
      </w:r>
      <w:r w:rsidR="002E24DF" w:rsidRPr="005E142B">
        <w:rPr>
          <w:sz w:val="24"/>
          <w:szCs w:val="24"/>
        </w:rPr>
        <w:t xml:space="preserve"> and extend</w:t>
      </w:r>
      <w:r>
        <w:rPr>
          <w:sz w:val="24"/>
          <w:szCs w:val="24"/>
        </w:rPr>
        <w:t>ed</w:t>
      </w:r>
      <w:r w:rsidR="002E24DF" w:rsidRPr="005E142B">
        <w:rPr>
          <w:sz w:val="24"/>
          <w:szCs w:val="24"/>
        </w:rPr>
        <w:t xml:space="preserve"> its existing strategy,</w:t>
      </w:r>
      <w:r w:rsidR="00873FA3" w:rsidRPr="005E142B">
        <w:rPr>
          <w:sz w:val="24"/>
          <w:szCs w:val="24"/>
        </w:rPr>
        <w:t xml:space="preserve"> </w:t>
      </w:r>
      <w:r w:rsidR="002E24DF" w:rsidRPr="005E142B">
        <w:rPr>
          <w:sz w:val="24"/>
          <w:szCs w:val="24"/>
        </w:rPr>
        <w:t xml:space="preserve">despite the </w:t>
      </w:r>
      <w:r w:rsidR="00464ECF" w:rsidRPr="005E142B">
        <w:rPr>
          <w:sz w:val="24"/>
          <w:szCs w:val="24"/>
        </w:rPr>
        <w:t>benign environment</w:t>
      </w:r>
      <w:r w:rsidR="00873FA3" w:rsidRPr="005E142B">
        <w:rPr>
          <w:sz w:val="24"/>
          <w:szCs w:val="24"/>
        </w:rPr>
        <w:t xml:space="preserve"> and pressure </w:t>
      </w:r>
      <w:r w:rsidR="00872F3E">
        <w:rPr>
          <w:sz w:val="24"/>
          <w:szCs w:val="24"/>
        </w:rPr>
        <w:t>“</w:t>
      </w:r>
      <w:r w:rsidR="00873FA3" w:rsidRPr="005E142B">
        <w:rPr>
          <w:sz w:val="24"/>
          <w:szCs w:val="24"/>
        </w:rPr>
        <w:t>to reap the benefits of the so-called peace dividend</w:t>
      </w:r>
      <w:r w:rsidR="00872F3E">
        <w:rPr>
          <w:sz w:val="24"/>
          <w:szCs w:val="24"/>
        </w:rPr>
        <w:t>”</w:t>
      </w:r>
      <w:r w:rsidR="00873FA3" w:rsidRPr="005E142B">
        <w:rPr>
          <w:rStyle w:val="FootnoteReference"/>
          <w:sz w:val="24"/>
          <w:szCs w:val="24"/>
        </w:rPr>
        <w:footnoteReference w:id="13"/>
      </w:r>
      <w:r w:rsidR="00873FA3" w:rsidRPr="005E142B">
        <w:rPr>
          <w:sz w:val="24"/>
          <w:szCs w:val="24"/>
        </w:rPr>
        <w:t xml:space="preserve"> </w:t>
      </w:r>
      <w:r w:rsidR="002167FD" w:rsidRPr="005E142B">
        <w:rPr>
          <w:sz w:val="24"/>
          <w:szCs w:val="24"/>
        </w:rPr>
        <w:t xml:space="preserve">in Clinton’s case, and </w:t>
      </w:r>
      <w:r w:rsidR="002740F4" w:rsidRPr="005E142B">
        <w:rPr>
          <w:sz w:val="24"/>
          <w:szCs w:val="24"/>
        </w:rPr>
        <w:t xml:space="preserve">despite </w:t>
      </w:r>
      <w:r w:rsidR="002167FD" w:rsidRPr="005E142B">
        <w:rPr>
          <w:sz w:val="24"/>
          <w:szCs w:val="24"/>
        </w:rPr>
        <w:t>cons</w:t>
      </w:r>
      <w:r w:rsidR="00873FA3" w:rsidRPr="005E142B">
        <w:rPr>
          <w:sz w:val="24"/>
          <w:szCs w:val="24"/>
        </w:rPr>
        <w:t>traints on resources</w:t>
      </w:r>
      <w:r w:rsidR="00291B30" w:rsidRPr="005E142B">
        <w:rPr>
          <w:sz w:val="24"/>
          <w:szCs w:val="24"/>
        </w:rPr>
        <w:t xml:space="preserve"> and </w:t>
      </w:r>
      <w:r w:rsidR="00D70E26" w:rsidRPr="005E142B">
        <w:rPr>
          <w:sz w:val="24"/>
          <w:szCs w:val="24"/>
        </w:rPr>
        <w:t>popular appetite for change</w:t>
      </w:r>
      <w:r w:rsidR="00873FA3" w:rsidRPr="005E142B">
        <w:rPr>
          <w:sz w:val="24"/>
          <w:szCs w:val="24"/>
        </w:rPr>
        <w:t xml:space="preserve"> in Trump’s. </w:t>
      </w:r>
      <w:r>
        <w:rPr>
          <w:sz w:val="24"/>
          <w:szCs w:val="24"/>
        </w:rPr>
        <w:t xml:space="preserve">Grand strategy, involving the most consequential choices, emerged </w:t>
      </w:r>
      <w:r w:rsidR="00D868D0" w:rsidRPr="005E142B">
        <w:rPr>
          <w:sz w:val="24"/>
          <w:szCs w:val="24"/>
        </w:rPr>
        <w:t>organically</w:t>
      </w:r>
      <w:r w:rsidR="00C34A53" w:rsidRPr="005E142B">
        <w:rPr>
          <w:sz w:val="24"/>
          <w:szCs w:val="24"/>
        </w:rPr>
        <w:t xml:space="preserve"> rather than</w:t>
      </w:r>
      <w:r w:rsidR="00684A80" w:rsidRPr="005E142B">
        <w:rPr>
          <w:sz w:val="24"/>
          <w:szCs w:val="24"/>
        </w:rPr>
        <w:t xml:space="preserve"> through</w:t>
      </w:r>
      <w:r w:rsidR="00C34A53" w:rsidRPr="005E142B">
        <w:rPr>
          <w:sz w:val="24"/>
          <w:szCs w:val="24"/>
        </w:rPr>
        <w:t xml:space="preserve"> instrumental planning. </w:t>
      </w:r>
      <w:r w:rsidR="0018176F" w:rsidRPr="005E142B">
        <w:rPr>
          <w:sz w:val="24"/>
          <w:szCs w:val="24"/>
        </w:rPr>
        <w:t>P</w:t>
      </w:r>
      <w:r w:rsidR="00BF2747" w:rsidRPr="005E142B">
        <w:rPr>
          <w:sz w:val="24"/>
          <w:szCs w:val="24"/>
        </w:rPr>
        <w:t xml:space="preserve">ublic </w:t>
      </w:r>
      <w:r w:rsidR="00872F3E">
        <w:rPr>
          <w:sz w:val="24"/>
          <w:szCs w:val="24"/>
        </w:rPr>
        <w:t>“</w:t>
      </w:r>
      <w:r w:rsidR="00BF2747" w:rsidRPr="005E142B">
        <w:rPr>
          <w:sz w:val="24"/>
          <w:szCs w:val="24"/>
        </w:rPr>
        <w:t>grand strategic</w:t>
      </w:r>
      <w:r w:rsidR="00872F3E">
        <w:rPr>
          <w:sz w:val="24"/>
          <w:szCs w:val="24"/>
        </w:rPr>
        <w:t>”</w:t>
      </w:r>
      <w:r w:rsidR="00BF2747" w:rsidRPr="005E142B">
        <w:rPr>
          <w:sz w:val="24"/>
          <w:szCs w:val="24"/>
        </w:rPr>
        <w:t xml:space="preserve"> debate hardly penetrate</w:t>
      </w:r>
      <w:r>
        <w:rPr>
          <w:sz w:val="24"/>
          <w:szCs w:val="24"/>
        </w:rPr>
        <w:t>d</w:t>
      </w:r>
      <w:r w:rsidR="00BF2747" w:rsidRPr="005E142B">
        <w:rPr>
          <w:sz w:val="24"/>
          <w:szCs w:val="24"/>
        </w:rPr>
        <w:t xml:space="preserve"> decision-making within the executive</w:t>
      </w:r>
      <w:r w:rsidR="00C34A53" w:rsidRPr="005E142B">
        <w:rPr>
          <w:sz w:val="24"/>
          <w:szCs w:val="24"/>
        </w:rPr>
        <w:t>.</w:t>
      </w:r>
      <w:r w:rsidR="008E45BE" w:rsidRPr="005E142B">
        <w:rPr>
          <w:sz w:val="24"/>
          <w:szCs w:val="24"/>
        </w:rPr>
        <w:t xml:space="preserve"> Decision-makers</w:t>
      </w:r>
      <w:r>
        <w:rPr>
          <w:sz w:val="24"/>
          <w:szCs w:val="24"/>
        </w:rPr>
        <w:t xml:space="preserve"> </w:t>
      </w:r>
      <w:r w:rsidR="008E45BE" w:rsidRPr="005E142B">
        <w:rPr>
          <w:sz w:val="24"/>
          <w:szCs w:val="24"/>
        </w:rPr>
        <w:t>exhibit</w:t>
      </w:r>
      <w:r>
        <w:rPr>
          <w:sz w:val="24"/>
          <w:szCs w:val="24"/>
        </w:rPr>
        <w:t>ed</w:t>
      </w:r>
      <w:r w:rsidR="008E45BE" w:rsidRPr="005E142B">
        <w:rPr>
          <w:sz w:val="24"/>
          <w:szCs w:val="24"/>
        </w:rPr>
        <w:t xml:space="preserve"> a reflexive bias towards legacy institutions.</w:t>
      </w:r>
      <w:r w:rsidR="00C34A53" w:rsidRPr="005E142B">
        <w:rPr>
          <w:sz w:val="24"/>
          <w:szCs w:val="24"/>
        </w:rPr>
        <w:t xml:space="preserve"> </w:t>
      </w:r>
      <w:r w:rsidR="00D70E26" w:rsidRPr="005E142B">
        <w:rPr>
          <w:sz w:val="24"/>
          <w:szCs w:val="24"/>
        </w:rPr>
        <w:t xml:space="preserve">Unspoken assumptions, </w:t>
      </w:r>
      <w:r w:rsidR="006E6775" w:rsidRPr="005E142B">
        <w:rPr>
          <w:sz w:val="24"/>
          <w:szCs w:val="24"/>
        </w:rPr>
        <w:t xml:space="preserve">suppression </w:t>
      </w:r>
      <w:r w:rsidR="002740F4" w:rsidRPr="005E142B">
        <w:rPr>
          <w:sz w:val="24"/>
          <w:szCs w:val="24"/>
        </w:rPr>
        <w:t>and sel</w:t>
      </w:r>
      <w:r w:rsidR="00464ECF" w:rsidRPr="005E142B">
        <w:rPr>
          <w:sz w:val="24"/>
          <w:szCs w:val="24"/>
        </w:rPr>
        <w:t xml:space="preserve">f-censorship </w:t>
      </w:r>
      <w:r w:rsidR="00D70E26" w:rsidRPr="005E142B">
        <w:rPr>
          <w:sz w:val="24"/>
          <w:szCs w:val="24"/>
        </w:rPr>
        <w:t>frame</w:t>
      </w:r>
      <w:r>
        <w:rPr>
          <w:sz w:val="24"/>
          <w:szCs w:val="24"/>
        </w:rPr>
        <w:t>d</w:t>
      </w:r>
      <w:r w:rsidR="00D70E26" w:rsidRPr="005E142B">
        <w:rPr>
          <w:sz w:val="24"/>
          <w:szCs w:val="24"/>
        </w:rPr>
        <w:t xml:space="preserve"> choices</w:t>
      </w:r>
      <w:r w:rsidR="006E6775" w:rsidRPr="005E142B">
        <w:rPr>
          <w:sz w:val="24"/>
          <w:szCs w:val="24"/>
        </w:rPr>
        <w:t>.</w:t>
      </w:r>
      <w:r w:rsidR="008E45BE" w:rsidRPr="005E142B">
        <w:rPr>
          <w:sz w:val="24"/>
          <w:szCs w:val="24"/>
        </w:rPr>
        <w:t xml:space="preserve"> </w:t>
      </w:r>
      <w:r>
        <w:rPr>
          <w:sz w:val="24"/>
          <w:szCs w:val="24"/>
        </w:rPr>
        <w:t>There was some</w:t>
      </w:r>
      <w:r w:rsidR="002E24DF" w:rsidRPr="005E142B">
        <w:rPr>
          <w:sz w:val="24"/>
          <w:szCs w:val="24"/>
        </w:rPr>
        <w:t xml:space="preserve"> </w:t>
      </w:r>
      <w:r w:rsidR="002E24DF" w:rsidRPr="005E142B">
        <w:rPr>
          <w:sz w:val="24"/>
          <w:szCs w:val="24"/>
        </w:rPr>
        <w:lastRenderedPageBreak/>
        <w:t xml:space="preserve">internal </w:t>
      </w:r>
      <w:r w:rsidR="002779B0" w:rsidRPr="005E142B">
        <w:rPr>
          <w:sz w:val="24"/>
          <w:szCs w:val="24"/>
        </w:rPr>
        <w:t>review</w:t>
      </w:r>
      <w:r w:rsidR="002E24DF" w:rsidRPr="005E142B">
        <w:rPr>
          <w:sz w:val="24"/>
          <w:szCs w:val="24"/>
        </w:rPr>
        <w:t xml:space="preserve">, but </w:t>
      </w:r>
      <w:r w:rsidR="00A607EC" w:rsidRPr="005E142B">
        <w:rPr>
          <w:sz w:val="24"/>
          <w:szCs w:val="24"/>
        </w:rPr>
        <w:t xml:space="preserve">it </w:t>
      </w:r>
      <w:r>
        <w:rPr>
          <w:sz w:val="24"/>
          <w:szCs w:val="24"/>
        </w:rPr>
        <w:t>was</w:t>
      </w:r>
      <w:r w:rsidR="00D948C4" w:rsidRPr="005E142B">
        <w:rPr>
          <w:sz w:val="24"/>
          <w:szCs w:val="24"/>
        </w:rPr>
        <w:t xml:space="preserve"> ideologically</w:t>
      </w:r>
      <w:r w:rsidR="002E24DF" w:rsidRPr="005E142B">
        <w:rPr>
          <w:sz w:val="24"/>
          <w:szCs w:val="24"/>
        </w:rPr>
        <w:t xml:space="preserve"> circumscribed</w:t>
      </w:r>
      <w:r w:rsidR="006A3547">
        <w:rPr>
          <w:sz w:val="24"/>
          <w:szCs w:val="24"/>
        </w:rPr>
        <w:t xml:space="preserve"> and more implementational than deliberative. In other words, it was</w:t>
      </w:r>
      <w:r w:rsidR="002E24DF" w:rsidRPr="005E142B">
        <w:rPr>
          <w:sz w:val="24"/>
          <w:szCs w:val="24"/>
        </w:rPr>
        <w:t xml:space="preserve"> </w:t>
      </w:r>
      <w:r w:rsidR="006C3C6C" w:rsidRPr="005E142B">
        <w:rPr>
          <w:sz w:val="24"/>
          <w:szCs w:val="24"/>
        </w:rPr>
        <w:t>concerned about</w:t>
      </w:r>
      <w:r w:rsidR="002E24DF" w:rsidRPr="005E142B">
        <w:rPr>
          <w:sz w:val="24"/>
          <w:szCs w:val="24"/>
        </w:rPr>
        <w:t xml:space="preserve"> </w:t>
      </w:r>
      <w:r w:rsidR="00872F3E">
        <w:rPr>
          <w:sz w:val="24"/>
          <w:szCs w:val="24"/>
        </w:rPr>
        <w:t>how rather than whether</w:t>
      </w:r>
      <w:r w:rsidR="002E24DF" w:rsidRPr="005E142B">
        <w:rPr>
          <w:sz w:val="24"/>
          <w:szCs w:val="24"/>
        </w:rPr>
        <w:t xml:space="preserve"> to apply primacy. </w:t>
      </w:r>
    </w:p>
    <w:p w:rsidR="001362A4" w:rsidRDefault="001362A4" w:rsidP="005E142B">
      <w:pPr>
        <w:spacing w:after="0" w:line="480" w:lineRule="auto"/>
        <w:ind w:firstLine="720"/>
        <w:jc w:val="both"/>
        <w:rPr>
          <w:sz w:val="24"/>
          <w:szCs w:val="24"/>
        </w:rPr>
      </w:pPr>
    </w:p>
    <w:p w:rsidR="009F5DF3" w:rsidRDefault="001362A4" w:rsidP="00AD3E76">
      <w:pPr>
        <w:tabs>
          <w:tab w:val="left" w:pos="8789"/>
        </w:tabs>
        <w:autoSpaceDE w:val="0"/>
        <w:autoSpaceDN w:val="0"/>
        <w:adjustRightInd w:val="0"/>
        <w:spacing w:after="0" w:line="480" w:lineRule="auto"/>
        <w:ind w:firstLine="851"/>
        <w:jc w:val="both"/>
        <w:rPr>
          <w:sz w:val="24"/>
          <w:szCs w:val="24"/>
        </w:rPr>
      </w:pPr>
      <w:r>
        <w:rPr>
          <w:sz w:val="24"/>
          <w:szCs w:val="24"/>
        </w:rPr>
        <w:t>Existing</w:t>
      </w:r>
      <w:r w:rsidRPr="005E142B">
        <w:rPr>
          <w:sz w:val="24"/>
          <w:szCs w:val="24"/>
        </w:rPr>
        <w:t xml:space="preserve"> explanations</w:t>
      </w:r>
      <w:r>
        <w:rPr>
          <w:sz w:val="24"/>
          <w:szCs w:val="24"/>
        </w:rPr>
        <w:t xml:space="preserve"> of U.S. grand strategy provide some explanation of continuity and change, but less well. </w:t>
      </w:r>
      <w:r w:rsidR="00872F3E">
        <w:rPr>
          <w:sz w:val="24"/>
          <w:szCs w:val="24"/>
        </w:rPr>
        <w:t>“</w:t>
      </w:r>
      <w:r w:rsidR="00690759">
        <w:rPr>
          <w:sz w:val="24"/>
          <w:szCs w:val="24"/>
        </w:rPr>
        <w:t>S</w:t>
      </w:r>
      <w:r>
        <w:rPr>
          <w:sz w:val="24"/>
          <w:szCs w:val="24"/>
        </w:rPr>
        <w:t>tructural</w:t>
      </w:r>
      <w:r w:rsidR="00872F3E">
        <w:rPr>
          <w:sz w:val="24"/>
          <w:szCs w:val="24"/>
        </w:rPr>
        <w:t xml:space="preserve">” </w:t>
      </w:r>
      <w:r>
        <w:rPr>
          <w:sz w:val="24"/>
          <w:szCs w:val="24"/>
        </w:rPr>
        <w:t>interpretation</w:t>
      </w:r>
      <w:r w:rsidR="00690759">
        <w:rPr>
          <w:sz w:val="24"/>
          <w:szCs w:val="24"/>
        </w:rPr>
        <w:t>s rightly highlight</w:t>
      </w:r>
      <w:r>
        <w:rPr>
          <w:sz w:val="24"/>
          <w:szCs w:val="24"/>
        </w:rPr>
        <w:t xml:space="preserve"> the importance of objective power realities that make it possible for the U.S. to pursue primacy</w:t>
      </w:r>
      <w:r w:rsidR="00ED5BE5">
        <w:rPr>
          <w:sz w:val="24"/>
          <w:szCs w:val="24"/>
        </w:rPr>
        <w:t xml:space="preserve"> in the first place</w:t>
      </w:r>
      <w:r>
        <w:rPr>
          <w:sz w:val="24"/>
          <w:szCs w:val="24"/>
        </w:rPr>
        <w:t>. But the</w:t>
      </w:r>
      <w:r w:rsidRPr="005E142B">
        <w:rPr>
          <w:sz w:val="24"/>
          <w:szCs w:val="24"/>
        </w:rPr>
        <w:t xml:space="preserve"> distri</w:t>
      </w:r>
      <w:r>
        <w:rPr>
          <w:sz w:val="24"/>
          <w:szCs w:val="24"/>
        </w:rPr>
        <w:t>bution of material capabilities</w:t>
      </w:r>
      <w:r w:rsidRPr="005E142B">
        <w:rPr>
          <w:sz w:val="24"/>
          <w:szCs w:val="24"/>
        </w:rPr>
        <w:t xml:space="preserve"> is only a permissive condition,</w:t>
      </w:r>
      <w:r w:rsidRPr="00145339">
        <w:rPr>
          <w:sz w:val="24"/>
          <w:szCs w:val="24"/>
        </w:rPr>
        <w:t xml:space="preserve"> </w:t>
      </w:r>
      <w:r>
        <w:rPr>
          <w:sz w:val="24"/>
          <w:szCs w:val="24"/>
        </w:rPr>
        <w:t>enabling</w:t>
      </w:r>
      <w:r w:rsidRPr="005E142B">
        <w:rPr>
          <w:i/>
          <w:sz w:val="24"/>
          <w:szCs w:val="24"/>
        </w:rPr>
        <w:t xml:space="preserve"> </w:t>
      </w:r>
      <w:r w:rsidRPr="005E142B">
        <w:rPr>
          <w:sz w:val="24"/>
          <w:szCs w:val="24"/>
        </w:rPr>
        <w:t xml:space="preserve">the pursuit of primacy, not </w:t>
      </w:r>
      <w:r w:rsidRPr="00145339">
        <w:rPr>
          <w:sz w:val="24"/>
          <w:szCs w:val="24"/>
        </w:rPr>
        <w:t>causing</w:t>
      </w:r>
      <w:r w:rsidRPr="005E142B">
        <w:rPr>
          <w:i/>
          <w:sz w:val="24"/>
          <w:szCs w:val="24"/>
        </w:rPr>
        <w:t xml:space="preserve"> </w:t>
      </w:r>
      <w:r w:rsidRPr="005E142B">
        <w:rPr>
          <w:sz w:val="24"/>
          <w:szCs w:val="24"/>
        </w:rPr>
        <w:t xml:space="preserve">it. In earlier periods when </w:t>
      </w:r>
      <w:r>
        <w:rPr>
          <w:sz w:val="24"/>
          <w:szCs w:val="24"/>
        </w:rPr>
        <w:t xml:space="preserve">the </w:t>
      </w:r>
      <w:r w:rsidRPr="005E142B">
        <w:rPr>
          <w:sz w:val="24"/>
          <w:szCs w:val="24"/>
        </w:rPr>
        <w:t>U</w:t>
      </w:r>
      <w:r>
        <w:rPr>
          <w:sz w:val="24"/>
          <w:szCs w:val="24"/>
        </w:rPr>
        <w:t>.</w:t>
      </w:r>
      <w:r w:rsidRPr="005E142B">
        <w:rPr>
          <w:sz w:val="24"/>
          <w:szCs w:val="24"/>
        </w:rPr>
        <w:t>S</w:t>
      </w:r>
      <w:r>
        <w:rPr>
          <w:sz w:val="24"/>
          <w:szCs w:val="24"/>
        </w:rPr>
        <w:t>.</w:t>
      </w:r>
      <w:r w:rsidRPr="005E142B">
        <w:rPr>
          <w:sz w:val="24"/>
          <w:szCs w:val="24"/>
        </w:rPr>
        <w:t xml:space="preserve"> was ascendant, it often passed up opportunities to increase its power.</w:t>
      </w:r>
      <w:r w:rsidR="00C1664D">
        <w:rPr>
          <w:sz w:val="24"/>
          <w:szCs w:val="24"/>
        </w:rPr>
        <w:t xml:space="preserve"> </w:t>
      </w:r>
      <w:r w:rsidR="00D52304" w:rsidRPr="005E142B">
        <w:rPr>
          <w:sz w:val="24"/>
          <w:szCs w:val="24"/>
        </w:rPr>
        <w:t>Th</w:t>
      </w:r>
      <w:r w:rsidR="00D52304">
        <w:rPr>
          <w:sz w:val="24"/>
          <w:szCs w:val="24"/>
        </w:rPr>
        <w:t>eories that treat grand strategic</w:t>
      </w:r>
      <w:r w:rsidR="00D52304" w:rsidRPr="005E142B">
        <w:rPr>
          <w:sz w:val="24"/>
          <w:szCs w:val="24"/>
        </w:rPr>
        <w:t xml:space="preserve"> </w:t>
      </w:r>
      <w:r w:rsidR="00D52304">
        <w:rPr>
          <w:sz w:val="24"/>
          <w:szCs w:val="24"/>
        </w:rPr>
        <w:t>change a</w:t>
      </w:r>
      <w:r w:rsidR="00D52304" w:rsidRPr="005E142B">
        <w:rPr>
          <w:sz w:val="24"/>
          <w:szCs w:val="24"/>
        </w:rPr>
        <w:t xml:space="preserve">s a response to changing circumstance, from threat levels to the distribution of capabilities, have </w:t>
      </w:r>
      <w:r w:rsidR="00872F3E">
        <w:rPr>
          <w:sz w:val="24"/>
          <w:szCs w:val="24"/>
        </w:rPr>
        <w:t xml:space="preserve">trouble explaining continuities. </w:t>
      </w:r>
      <w:r w:rsidR="00C1664D">
        <w:rPr>
          <w:sz w:val="24"/>
          <w:szCs w:val="24"/>
        </w:rPr>
        <w:t xml:space="preserve">In addition, </w:t>
      </w:r>
      <w:r w:rsidR="00DC4276">
        <w:rPr>
          <w:sz w:val="24"/>
          <w:szCs w:val="24"/>
        </w:rPr>
        <w:t xml:space="preserve">a structural interpretation fails to explain why the </w:t>
      </w:r>
      <w:r w:rsidR="00A8293E">
        <w:rPr>
          <w:sz w:val="24"/>
          <w:szCs w:val="24"/>
        </w:rPr>
        <w:t>U.S.</w:t>
      </w:r>
      <w:r w:rsidR="00521F2A">
        <w:rPr>
          <w:sz w:val="24"/>
          <w:szCs w:val="24"/>
        </w:rPr>
        <w:t xml:space="preserve"> selects some ways of maximising its power</w:t>
      </w:r>
      <w:r w:rsidR="005B1BAA">
        <w:rPr>
          <w:sz w:val="24"/>
          <w:szCs w:val="24"/>
        </w:rPr>
        <w:t xml:space="preserve"> over</w:t>
      </w:r>
      <w:r w:rsidR="00521F2A">
        <w:rPr>
          <w:sz w:val="24"/>
          <w:szCs w:val="24"/>
        </w:rPr>
        <w:t xml:space="preserve"> </w:t>
      </w:r>
      <w:r w:rsidR="002334F5">
        <w:rPr>
          <w:sz w:val="24"/>
          <w:szCs w:val="24"/>
        </w:rPr>
        <w:t>others</w:t>
      </w:r>
      <w:r w:rsidR="00521F2A">
        <w:rPr>
          <w:sz w:val="24"/>
          <w:szCs w:val="24"/>
        </w:rPr>
        <w:t>. Why did the U</w:t>
      </w:r>
      <w:r w:rsidR="00053D13">
        <w:rPr>
          <w:sz w:val="24"/>
          <w:szCs w:val="24"/>
        </w:rPr>
        <w:t>.</w:t>
      </w:r>
      <w:r w:rsidR="00521F2A">
        <w:rPr>
          <w:sz w:val="24"/>
          <w:szCs w:val="24"/>
        </w:rPr>
        <w:t>S</w:t>
      </w:r>
      <w:r w:rsidR="00053D13">
        <w:rPr>
          <w:sz w:val="24"/>
          <w:szCs w:val="24"/>
        </w:rPr>
        <w:t>.</w:t>
      </w:r>
      <w:r w:rsidR="00521F2A">
        <w:rPr>
          <w:sz w:val="24"/>
          <w:szCs w:val="24"/>
        </w:rPr>
        <w:t xml:space="preserve"> choose to balance against rivals rather than</w:t>
      </w:r>
      <w:r w:rsidR="00DC4276">
        <w:rPr>
          <w:sz w:val="24"/>
          <w:szCs w:val="24"/>
        </w:rPr>
        <w:t xml:space="preserve"> b</w:t>
      </w:r>
      <w:r w:rsidR="00521F2A">
        <w:rPr>
          <w:sz w:val="24"/>
          <w:szCs w:val="24"/>
        </w:rPr>
        <w:t>uck-pass</w:t>
      </w:r>
      <w:r w:rsidR="00DC4276">
        <w:rPr>
          <w:sz w:val="24"/>
          <w:szCs w:val="24"/>
        </w:rPr>
        <w:t>,</w:t>
      </w:r>
      <w:r w:rsidR="00521F2A">
        <w:rPr>
          <w:sz w:val="24"/>
          <w:szCs w:val="24"/>
        </w:rPr>
        <w:t xml:space="preserve"> to retain rather than</w:t>
      </w:r>
      <w:r w:rsidR="00DC4276">
        <w:rPr>
          <w:sz w:val="24"/>
          <w:szCs w:val="24"/>
        </w:rPr>
        <w:t xml:space="preserve"> </w:t>
      </w:r>
      <w:r w:rsidR="00521F2A">
        <w:rPr>
          <w:sz w:val="24"/>
          <w:szCs w:val="24"/>
        </w:rPr>
        <w:t>wind down</w:t>
      </w:r>
      <w:r w:rsidR="00E138D7">
        <w:rPr>
          <w:sz w:val="24"/>
          <w:szCs w:val="24"/>
        </w:rPr>
        <w:t xml:space="preserve"> the NATO alliance</w:t>
      </w:r>
      <w:r w:rsidR="00521F2A">
        <w:rPr>
          <w:sz w:val="24"/>
          <w:szCs w:val="24"/>
        </w:rPr>
        <w:t>, to fight instead of avoid peripheral wars?</w:t>
      </w:r>
      <w:r>
        <w:rPr>
          <w:sz w:val="24"/>
          <w:szCs w:val="24"/>
        </w:rPr>
        <w:t xml:space="preserve"> </w:t>
      </w:r>
      <w:r w:rsidR="004813B4">
        <w:rPr>
          <w:sz w:val="24"/>
          <w:szCs w:val="24"/>
        </w:rPr>
        <w:t>The type of power-maximisation that the U</w:t>
      </w:r>
      <w:r w:rsidR="00053D13">
        <w:rPr>
          <w:sz w:val="24"/>
          <w:szCs w:val="24"/>
        </w:rPr>
        <w:t>.</w:t>
      </w:r>
      <w:r w:rsidR="004813B4">
        <w:rPr>
          <w:sz w:val="24"/>
          <w:szCs w:val="24"/>
        </w:rPr>
        <w:t>S</w:t>
      </w:r>
      <w:r w:rsidR="00053D13">
        <w:rPr>
          <w:sz w:val="24"/>
          <w:szCs w:val="24"/>
        </w:rPr>
        <w:t>.</w:t>
      </w:r>
      <w:r w:rsidR="004813B4">
        <w:rPr>
          <w:sz w:val="24"/>
          <w:szCs w:val="24"/>
        </w:rPr>
        <w:t xml:space="preserve"> pursues is consequential</w:t>
      </w:r>
      <w:r w:rsidR="006F68D0">
        <w:rPr>
          <w:sz w:val="24"/>
          <w:szCs w:val="24"/>
        </w:rPr>
        <w:t xml:space="preserve">, and my theory better accounts for these choices.  </w:t>
      </w:r>
    </w:p>
    <w:p w:rsidR="009F5DF3" w:rsidRDefault="009F5DF3" w:rsidP="004E60B8">
      <w:pPr>
        <w:spacing w:after="0" w:line="480" w:lineRule="auto"/>
        <w:ind w:firstLine="720"/>
        <w:jc w:val="both"/>
        <w:rPr>
          <w:sz w:val="24"/>
          <w:szCs w:val="24"/>
        </w:rPr>
      </w:pPr>
    </w:p>
    <w:p w:rsidR="00B160DC" w:rsidRDefault="005B1BAA" w:rsidP="00226830">
      <w:pPr>
        <w:spacing w:after="0" w:line="480" w:lineRule="auto"/>
        <w:ind w:firstLine="720"/>
        <w:jc w:val="both"/>
        <w:rPr>
          <w:sz w:val="24"/>
          <w:szCs w:val="24"/>
        </w:rPr>
      </w:pPr>
      <w:r>
        <w:rPr>
          <w:sz w:val="24"/>
          <w:szCs w:val="24"/>
        </w:rPr>
        <w:t xml:space="preserve">Existing </w:t>
      </w:r>
      <w:r w:rsidR="00896572">
        <w:rPr>
          <w:sz w:val="24"/>
          <w:szCs w:val="24"/>
        </w:rPr>
        <w:t>domestic</w:t>
      </w:r>
      <w:r w:rsidR="004F56EF">
        <w:rPr>
          <w:sz w:val="24"/>
          <w:szCs w:val="24"/>
        </w:rPr>
        <w:t>-level explanations</w:t>
      </w:r>
      <w:r w:rsidR="009F5DF3">
        <w:rPr>
          <w:sz w:val="24"/>
          <w:szCs w:val="24"/>
        </w:rPr>
        <w:t xml:space="preserve"> also </w:t>
      </w:r>
      <w:r>
        <w:rPr>
          <w:sz w:val="24"/>
          <w:szCs w:val="24"/>
        </w:rPr>
        <w:t>struggle</w:t>
      </w:r>
      <w:r w:rsidR="009F5DF3">
        <w:rPr>
          <w:sz w:val="24"/>
          <w:szCs w:val="24"/>
        </w:rPr>
        <w:t xml:space="preserve"> to account for the making of U.S. grand strategy.</w:t>
      </w:r>
      <w:r w:rsidR="004F56EF">
        <w:rPr>
          <w:sz w:val="24"/>
          <w:szCs w:val="24"/>
        </w:rPr>
        <w:t xml:space="preserve"> T</w:t>
      </w:r>
      <w:r w:rsidR="001362A4">
        <w:rPr>
          <w:sz w:val="24"/>
          <w:szCs w:val="24"/>
        </w:rPr>
        <w:t>hose who incorporate ideas and domestic factors into the explanation</w:t>
      </w:r>
      <w:r w:rsidR="00DA21AC">
        <w:rPr>
          <w:sz w:val="24"/>
          <w:szCs w:val="24"/>
        </w:rPr>
        <w:t xml:space="preserve"> predict more change than has actually happened. </w:t>
      </w:r>
      <w:r w:rsidR="00D52304">
        <w:rPr>
          <w:sz w:val="24"/>
          <w:szCs w:val="24"/>
        </w:rPr>
        <w:t xml:space="preserve">Those that </w:t>
      </w:r>
      <w:r w:rsidR="003377A8">
        <w:rPr>
          <w:sz w:val="24"/>
          <w:szCs w:val="24"/>
        </w:rPr>
        <w:t>emphasis</w:t>
      </w:r>
      <w:r w:rsidR="00D52304">
        <w:rPr>
          <w:sz w:val="24"/>
          <w:szCs w:val="24"/>
        </w:rPr>
        <w:t xml:space="preserve">e the content of ideas </w:t>
      </w:r>
      <w:r w:rsidR="009F5DF3">
        <w:rPr>
          <w:sz w:val="24"/>
          <w:szCs w:val="24"/>
        </w:rPr>
        <w:t>mostly</w:t>
      </w:r>
      <w:r w:rsidR="001362A4" w:rsidRPr="005E142B">
        <w:rPr>
          <w:sz w:val="24"/>
          <w:szCs w:val="24"/>
        </w:rPr>
        <w:t xml:space="preserve"> treat grand strategy as a deliberative planning process of cost-benefit calculation, where t</w:t>
      </w:r>
      <w:r w:rsidR="00872F3E">
        <w:rPr>
          <w:sz w:val="24"/>
          <w:szCs w:val="24"/>
        </w:rPr>
        <w:t>he U</w:t>
      </w:r>
      <w:r w:rsidR="003377A8">
        <w:rPr>
          <w:sz w:val="24"/>
          <w:szCs w:val="24"/>
        </w:rPr>
        <w:t>.</w:t>
      </w:r>
      <w:r w:rsidR="00872F3E">
        <w:rPr>
          <w:sz w:val="24"/>
          <w:szCs w:val="24"/>
        </w:rPr>
        <w:t>S</w:t>
      </w:r>
      <w:r w:rsidR="003377A8">
        <w:rPr>
          <w:sz w:val="24"/>
          <w:szCs w:val="24"/>
        </w:rPr>
        <w:t>.</w:t>
      </w:r>
      <w:r w:rsidR="00872F3E">
        <w:rPr>
          <w:sz w:val="24"/>
          <w:szCs w:val="24"/>
        </w:rPr>
        <w:t xml:space="preserve"> self-consciously selects primacy</w:t>
      </w:r>
      <w:r w:rsidR="001362A4" w:rsidRPr="005E142B">
        <w:rPr>
          <w:sz w:val="24"/>
          <w:szCs w:val="24"/>
        </w:rPr>
        <w:t xml:space="preserve"> against competing alternatives in an o</w:t>
      </w:r>
      <w:r w:rsidR="00D52304">
        <w:rPr>
          <w:sz w:val="24"/>
          <w:szCs w:val="24"/>
        </w:rPr>
        <w:t>pen contest</w:t>
      </w:r>
      <w:r w:rsidR="001362A4">
        <w:rPr>
          <w:sz w:val="24"/>
          <w:szCs w:val="24"/>
        </w:rPr>
        <w:t xml:space="preserve">. As I will demonstrate, </w:t>
      </w:r>
      <w:r w:rsidR="00765CE3">
        <w:rPr>
          <w:sz w:val="24"/>
          <w:szCs w:val="24"/>
        </w:rPr>
        <w:t xml:space="preserve">whereas U.S. grand strategy originated in an intensive debate after the rapid shift in the balance of power in 1945, </w:t>
      </w:r>
      <w:r w:rsidR="001C5A00">
        <w:rPr>
          <w:sz w:val="24"/>
          <w:szCs w:val="24"/>
        </w:rPr>
        <w:t xml:space="preserve">it </w:t>
      </w:r>
      <w:r w:rsidR="001362A4">
        <w:rPr>
          <w:sz w:val="24"/>
          <w:szCs w:val="24"/>
        </w:rPr>
        <w:t>is sustained</w:t>
      </w:r>
      <w:r w:rsidR="001C5A00">
        <w:rPr>
          <w:sz w:val="24"/>
          <w:szCs w:val="24"/>
        </w:rPr>
        <w:t xml:space="preserve"> differently</w:t>
      </w:r>
      <w:r w:rsidR="001362A4">
        <w:rPr>
          <w:sz w:val="24"/>
          <w:szCs w:val="24"/>
        </w:rPr>
        <w:t>. A rigorously self-consc</w:t>
      </w:r>
      <w:r w:rsidR="00872F3E">
        <w:rPr>
          <w:sz w:val="24"/>
          <w:szCs w:val="24"/>
        </w:rPr>
        <w:t>ious process of grand strategy selection</w:t>
      </w:r>
      <w:r w:rsidR="001362A4">
        <w:rPr>
          <w:sz w:val="24"/>
          <w:szCs w:val="24"/>
        </w:rPr>
        <w:t xml:space="preserve"> is mostly absent from places of decision in Washington. </w:t>
      </w:r>
    </w:p>
    <w:p w:rsidR="00B160DC" w:rsidRDefault="00B160DC" w:rsidP="00226830">
      <w:pPr>
        <w:spacing w:after="0" w:line="480" w:lineRule="auto"/>
        <w:ind w:firstLine="720"/>
        <w:jc w:val="both"/>
        <w:rPr>
          <w:sz w:val="24"/>
          <w:szCs w:val="24"/>
        </w:rPr>
      </w:pPr>
    </w:p>
    <w:p w:rsidR="004E60B8" w:rsidRPr="00B160DC" w:rsidRDefault="00A94540" w:rsidP="00226830">
      <w:pPr>
        <w:spacing w:after="0" w:line="480" w:lineRule="auto"/>
        <w:ind w:firstLine="720"/>
        <w:jc w:val="both"/>
        <w:rPr>
          <w:sz w:val="24"/>
          <w:szCs w:val="24"/>
        </w:rPr>
      </w:pPr>
      <w:r>
        <w:rPr>
          <w:sz w:val="24"/>
          <w:szCs w:val="24"/>
        </w:rPr>
        <w:lastRenderedPageBreak/>
        <w:t xml:space="preserve">Some observers note that unexamined assumptions reign in Washington, and lament the sterility of foreign policy debate, </w:t>
      </w:r>
      <w:r w:rsidR="0012438D">
        <w:rPr>
          <w:sz w:val="24"/>
          <w:szCs w:val="24"/>
        </w:rPr>
        <w:t xml:space="preserve">recognising that grand strategy is not made in </w:t>
      </w:r>
      <w:r w:rsidR="00226830">
        <w:rPr>
          <w:sz w:val="24"/>
          <w:szCs w:val="24"/>
        </w:rPr>
        <w:t>formal</w:t>
      </w:r>
      <w:r w:rsidR="006D16EA">
        <w:rPr>
          <w:sz w:val="24"/>
          <w:szCs w:val="24"/>
        </w:rPr>
        <w:t>, deliberative</w:t>
      </w:r>
      <w:r w:rsidR="00226830">
        <w:rPr>
          <w:sz w:val="24"/>
          <w:szCs w:val="24"/>
        </w:rPr>
        <w:t xml:space="preserve"> fashion.</w:t>
      </w:r>
      <w:r w:rsidR="00226830" w:rsidRPr="005E142B">
        <w:rPr>
          <w:rStyle w:val="FootnoteReference"/>
          <w:sz w:val="24"/>
          <w:szCs w:val="24"/>
        </w:rPr>
        <w:footnoteReference w:id="14"/>
      </w:r>
      <w:r w:rsidR="00226830" w:rsidRPr="005E142B">
        <w:rPr>
          <w:sz w:val="24"/>
          <w:szCs w:val="24"/>
        </w:rPr>
        <w:t xml:space="preserve"> </w:t>
      </w:r>
      <w:r w:rsidR="00226830">
        <w:rPr>
          <w:sz w:val="24"/>
          <w:szCs w:val="24"/>
        </w:rPr>
        <w:t xml:space="preserve"> These critiques</w:t>
      </w:r>
      <w:r w:rsidR="00B160DC">
        <w:rPr>
          <w:sz w:val="24"/>
          <w:szCs w:val="24"/>
        </w:rPr>
        <w:t>, though,</w:t>
      </w:r>
      <w:r w:rsidR="00226830">
        <w:rPr>
          <w:sz w:val="24"/>
          <w:szCs w:val="24"/>
        </w:rPr>
        <w:t xml:space="preserve"> leave under-theorised the question of how an organically-evolving grand strategy emerges from the interaction of policy agents and external conditions. </w:t>
      </w:r>
      <w:r w:rsidR="00226830">
        <w:t> </w:t>
      </w:r>
      <w:r w:rsidR="00B160DC" w:rsidRPr="00B160DC">
        <w:rPr>
          <w:sz w:val="24"/>
          <w:szCs w:val="24"/>
        </w:rPr>
        <w:t>I argue that the power of habit can help explain this process by showing why some policy ideas do or do not receive a hearing in debates designed to chart a course in respon</w:t>
      </w:r>
      <w:r w:rsidR="00B160DC">
        <w:rPr>
          <w:sz w:val="24"/>
          <w:szCs w:val="24"/>
        </w:rPr>
        <w:t>se to external circumstances.  I thus help connect domestic</w:t>
      </w:r>
      <w:r w:rsidR="00B160DC" w:rsidRPr="00B160DC">
        <w:rPr>
          <w:sz w:val="24"/>
          <w:szCs w:val="24"/>
        </w:rPr>
        <w:t xml:space="preserve"> and systemic-level theories of grand strategy by showing how the policymaking process itself is shaped by prior events alongside individual and group beliefs.</w:t>
      </w:r>
    </w:p>
    <w:p w:rsidR="00BF546B" w:rsidRPr="005E142B" w:rsidRDefault="00BF546B" w:rsidP="008C75DC">
      <w:pPr>
        <w:spacing w:after="0" w:line="480" w:lineRule="auto"/>
        <w:jc w:val="both"/>
        <w:rPr>
          <w:sz w:val="24"/>
          <w:szCs w:val="24"/>
        </w:rPr>
      </w:pPr>
    </w:p>
    <w:p w:rsidR="00BF2747" w:rsidRPr="005E142B" w:rsidRDefault="00966427" w:rsidP="005E142B">
      <w:pPr>
        <w:spacing w:after="0" w:line="480" w:lineRule="auto"/>
        <w:ind w:firstLine="720"/>
        <w:jc w:val="both"/>
        <w:rPr>
          <w:sz w:val="24"/>
          <w:szCs w:val="24"/>
        </w:rPr>
      </w:pPr>
      <w:r w:rsidRPr="005E142B">
        <w:rPr>
          <w:sz w:val="24"/>
          <w:szCs w:val="24"/>
        </w:rPr>
        <w:t>This article proceeds in four parts. In Part I, I offer a</w:t>
      </w:r>
      <w:r w:rsidR="008E5798" w:rsidRPr="005E142B">
        <w:rPr>
          <w:sz w:val="24"/>
          <w:szCs w:val="24"/>
        </w:rPr>
        <w:t xml:space="preserve"> deductive</w:t>
      </w:r>
      <w:r w:rsidRPr="005E142B">
        <w:rPr>
          <w:sz w:val="24"/>
          <w:szCs w:val="24"/>
        </w:rPr>
        <w:t xml:space="preserve"> theory </w:t>
      </w:r>
      <w:r w:rsidR="004A2A24">
        <w:rPr>
          <w:sz w:val="24"/>
          <w:szCs w:val="24"/>
        </w:rPr>
        <w:t>that explains the stability of U.S. grand strategy</w:t>
      </w:r>
      <w:r w:rsidR="0007069A" w:rsidRPr="005E142B">
        <w:rPr>
          <w:sz w:val="24"/>
          <w:szCs w:val="24"/>
        </w:rPr>
        <w:t>, and derive predictions about U</w:t>
      </w:r>
      <w:r w:rsidR="004A2A24">
        <w:rPr>
          <w:sz w:val="24"/>
          <w:szCs w:val="24"/>
        </w:rPr>
        <w:t>.</w:t>
      </w:r>
      <w:r w:rsidR="0007069A" w:rsidRPr="005E142B">
        <w:rPr>
          <w:sz w:val="24"/>
          <w:szCs w:val="24"/>
        </w:rPr>
        <w:t>S</w:t>
      </w:r>
      <w:r w:rsidR="004A2A24">
        <w:rPr>
          <w:sz w:val="24"/>
          <w:szCs w:val="24"/>
        </w:rPr>
        <w:t>.</w:t>
      </w:r>
      <w:r w:rsidR="0007069A" w:rsidRPr="005E142B">
        <w:rPr>
          <w:sz w:val="24"/>
          <w:szCs w:val="24"/>
        </w:rPr>
        <w:t xml:space="preserve"> behaviour since the Cold War.</w:t>
      </w:r>
      <w:r w:rsidRPr="005E142B">
        <w:rPr>
          <w:sz w:val="24"/>
          <w:szCs w:val="24"/>
        </w:rPr>
        <w:t xml:space="preserve"> In Part II, I demonstrate how that theory explains continuities in American diplomatic behaviour in the Clinton era. In Part III, I show that it explains the </w:t>
      </w:r>
      <w:r w:rsidR="002779B0" w:rsidRPr="005E142B">
        <w:rPr>
          <w:sz w:val="24"/>
          <w:szCs w:val="24"/>
        </w:rPr>
        <w:t>surprising continuities</w:t>
      </w:r>
      <w:r w:rsidRPr="005E142B">
        <w:rPr>
          <w:sz w:val="24"/>
          <w:szCs w:val="24"/>
        </w:rPr>
        <w:t xml:space="preserve"> of Trump. In Part IV, I forecast that </w:t>
      </w:r>
      <w:r w:rsidR="00896572">
        <w:rPr>
          <w:sz w:val="24"/>
          <w:szCs w:val="24"/>
        </w:rPr>
        <w:t xml:space="preserve">primacy will </w:t>
      </w:r>
      <w:r w:rsidRPr="005E142B">
        <w:rPr>
          <w:sz w:val="24"/>
          <w:szCs w:val="24"/>
        </w:rPr>
        <w:t xml:space="preserve">prove resilient. </w:t>
      </w:r>
    </w:p>
    <w:p w:rsidR="004A2A24" w:rsidRPr="005E142B" w:rsidRDefault="004A2A24" w:rsidP="005E142B">
      <w:pPr>
        <w:spacing w:after="0" w:line="480" w:lineRule="auto"/>
        <w:jc w:val="both"/>
        <w:rPr>
          <w:sz w:val="24"/>
          <w:szCs w:val="24"/>
        </w:rPr>
      </w:pPr>
    </w:p>
    <w:p w:rsidR="00AB100E" w:rsidRPr="005E142B" w:rsidRDefault="00C34A53" w:rsidP="0055665E">
      <w:pPr>
        <w:autoSpaceDE w:val="0"/>
        <w:autoSpaceDN w:val="0"/>
        <w:adjustRightInd w:val="0"/>
        <w:spacing w:after="0" w:line="480" w:lineRule="auto"/>
        <w:ind w:firstLine="720"/>
        <w:jc w:val="center"/>
        <w:rPr>
          <w:b/>
          <w:sz w:val="24"/>
          <w:szCs w:val="24"/>
        </w:rPr>
      </w:pPr>
      <w:r w:rsidRPr="005E142B">
        <w:rPr>
          <w:b/>
          <w:sz w:val="24"/>
          <w:szCs w:val="24"/>
        </w:rPr>
        <w:t>I Power and Habit</w:t>
      </w:r>
      <w:r w:rsidR="00D656F0" w:rsidRPr="005E142B">
        <w:rPr>
          <w:b/>
          <w:sz w:val="24"/>
          <w:szCs w:val="24"/>
        </w:rPr>
        <w:t xml:space="preserve"> </w:t>
      </w:r>
      <w:r w:rsidR="0070406C">
        <w:rPr>
          <w:b/>
          <w:sz w:val="24"/>
          <w:szCs w:val="24"/>
        </w:rPr>
        <w:t>in Washington</w:t>
      </w:r>
    </w:p>
    <w:p w:rsidR="00EA7F1E" w:rsidRDefault="00AB100E" w:rsidP="00932610">
      <w:pPr>
        <w:spacing w:after="0" w:line="480" w:lineRule="auto"/>
        <w:jc w:val="both"/>
        <w:rPr>
          <w:sz w:val="24"/>
          <w:szCs w:val="24"/>
        </w:rPr>
      </w:pPr>
      <w:r>
        <w:rPr>
          <w:sz w:val="24"/>
          <w:szCs w:val="24"/>
        </w:rPr>
        <w:t>What makes it hard to change U.S. grand strategy,</w:t>
      </w:r>
      <w:r w:rsidR="00BB252B">
        <w:rPr>
          <w:sz w:val="24"/>
          <w:szCs w:val="24"/>
        </w:rPr>
        <w:t xml:space="preserve"> even when conditions change</w:t>
      </w:r>
      <w:r w:rsidR="00AB0E75" w:rsidRPr="005E142B">
        <w:rPr>
          <w:sz w:val="24"/>
          <w:szCs w:val="24"/>
        </w:rPr>
        <w:t xml:space="preserve">? </w:t>
      </w:r>
      <w:r w:rsidR="00932610">
        <w:rPr>
          <w:sz w:val="24"/>
          <w:szCs w:val="24"/>
        </w:rPr>
        <w:t>The force of habit, in combination with p</w:t>
      </w:r>
      <w:r w:rsidR="009D646F" w:rsidRPr="005E142B">
        <w:rPr>
          <w:sz w:val="24"/>
          <w:szCs w:val="24"/>
        </w:rPr>
        <w:t>ower</w:t>
      </w:r>
      <w:r w:rsidR="00932610">
        <w:rPr>
          <w:sz w:val="24"/>
          <w:szCs w:val="24"/>
        </w:rPr>
        <w:t>,</w:t>
      </w:r>
      <w:r w:rsidR="009D646F" w:rsidRPr="005E142B">
        <w:rPr>
          <w:sz w:val="24"/>
          <w:szCs w:val="24"/>
        </w:rPr>
        <w:t xml:space="preserve"> produce</w:t>
      </w:r>
      <w:r w:rsidR="00932610">
        <w:rPr>
          <w:sz w:val="24"/>
          <w:szCs w:val="24"/>
        </w:rPr>
        <w:t>s</w:t>
      </w:r>
      <w:r w:rsidR="009D646F" w:rsidRPr="005E142B">
        <w:rPr>
          <w:sz w:val="24"/>
          <w:szCs w:val="24"/>
        </w:rPr>
        <w:t xml:space="preserve"> continuity</w:t>
      </w:r>
      <w:r w:rsidR="00BE3CDA" w:rsidRPr="005E142B">
        <w:rPr>
          <w:sz w:val="24"/>
          <w:szCs w:val="24"/>
        </w:rPr>
        <w:t>. H</w:t>
      </w:r>
      <w:r w:rsidR="001A75F5" w:rsidRPr="005E142B">
        <w:rPr>
          <w:sz w:val="24"/>
          <w:szCs w:val="24"/>
        </w:rPr>
        <w:t>abit is a type of path-dependency, the process whereby decisions are limited by prior developments</w:t>
      </w:r>
      <w:r w:rsidR="00E125AD">
        <w:rPr>
          <w:sz w:val="24"/>
          <w:szCs w:val="24"/>
        </w:rPr>
        <w:t xml:space="preserve"> in an historical path</w:t>
      </w:r>
      <w:r w:rsidR="00433945">
        <w:rPr>
          <w:sz w:val="24"/>
          <w:szCs w:val="24"/>
        </w:rPr>
        <w:t>, reproducing behaviour even</w:t>
      </w:r>
      <w:r w:rsidR="00433945" w:rsidRPr="005E142B">
        <w:rPr>
          <w:sz w:val="24"/>
          <w:szCs w:val="24"/>
        </w:rPr>
        <w:t xml:space="preserve"> in the absence of the conditions </w:t>
      </w:r>
      <w:r w:rsidR="00AD4777">
        <w:rPr>
          <w:sz w:val="24"/>
          <w:szCs w:val="24"/>
        </w:rPr>
        <w:t>where it began</w:t>
      </w:r>
      <w:r w:rsidR="00433945" w:rsidRPr="005E142B">
        <w:rPr>
          <w:sz w:val="24"/>
          <w:szCs w:val="24"/>
        </w:rPr>
        <w:t>.</w:t>
      </w:r>
      <w:r w:rsidR="00433945" w:rsidRPr="005E142B">
        <w:rPr>
          <w:rStyle w:val="FootnoteReference"/>
          <w:sz w:val="24"/>
          <w:szCs w:val="24"/>
        </w:rPr>
        <w:footnoteReference w:id="15"/>
      </w:r>
      <w:r w:rsidR="00433945" w:rsidRPr="005E142B">
        <w:rPr>
          <w:sz w:val="24"/>
          <w:szCs w:val="24"/>
        </w:rPr>
        <w:t xml:space="preserve"> </w:t>
      </w:r>
      <w:r w:rsidR="00EA7F1E">
        <w:rPr>
          <w:sz w:val="24"/>
          <w:szCs w:val="24"/>
        </w:rPr>
        <w:t>Habit-forming a</w:t>
      </w:r>
      <w:r w:rsidR="00EA7F1E" w:rsidRPr="005E142B">
        <w:rPr>
          <w:sz w:val="24"/>
          <w:szCs w:val="24"/>
        </w:rPr>
        <w:t xml:space="preserve">gents acquire </w:t>
      </w:r>
      <w:r w:rsidR="00EA7F1E" w:rsidRPr="005E142B">
        <w:rPr>
          <w:sz w:val="24"/>
          <w:szCs w:val="24"/>
        </w:rPr>
        <w:lastRenderedPageBreak/>
        <w:t>the unconscious disposition to engage in previously adopted or acquired behaviour</w:t>
      </w:r>
      <w:r w:rsidR="00EA7F1E">
        <w:rPr>
          <w:sz w:val="24"/>
          <w:szCs w:val="24"/>
        </w:rPr>
        <w:t>.</w:t>
      </w:r>
      <w:r w:rsidR="00EA7F1E" w:rsidRPr="005E142B">
        <w:rPr>
          <w:sz w:val="24"/>
          <w:szCs w:val="24"/>
        </w:rPr>
        <w:t xml:space="preserve"> </w:t>
      </w:r>
      <w:r w:rsidR="007E391B">
        <w:rPr>
          <w:sz w:val="24"/>
          <w:szCs w:val="24"/>
        </w:rPr>
        <w:t>The logic of habit</w:t>
      </w:r>
      <w:r w:rsidR="00184B81" w:rsidRPr="005E142B">
        <w:rPr>
          <w:sz w:val="24"/>
          <w:szCs w:val="24"/>
        </w:rPr>
        <w:t xml:space="preserve"> is distinct from </w:t>
      </w:r>
      <w:r w:rsidR="00BB252B">
        <w:rPr>
          <w:sz w:val="24"/>
          <w:szCs w:val="24"/>
        </w:rPr>
        <w:t>the logic of consequences</w:t>
      </w:r>
      <w:r w:rsidR="00184B81" w:rsidRPr="005E142B">
        <w:rPr>
          <w:sz w:val="24"/>
          <w:szCs w:val="24"/>
        </w:rPr>
        <w:t>,</w:t>
      </w:r>
      <w:r w:rsidR="00BB252B">
        <w:rPr>
          <w:sz w:val="24"/>
          <w:szCs w:val="24"/>
        </w:rPr>
        <w:t xml:space="preserve"> where actors consciously make instrumental cost-benefit calculations,</w:t>
      </w:r>
      <w:r w:rsidR="00184B81" w:rsidRPr="005E142B">
        <w:rPr>
          <w:sz w:val="24"/>
          <w:szCs w:val="24"/>
        </w:rPr>
        <w:t xml:space="preserve"> </w:t>
      </w:r>
      <w:r w:rsidR="00302988" w:rsidRPr="005E142B">
        <w:rPr>
          <w:sz w:val="24"/>
          <w:szCs w:val="24"/>
        </w:rPr>
        <w:t xml:space="preserve">and </w:t>
      </w:r>
      <w:r w:rsidR="00BB252B">
        <w:rPr>
          <w:sz w:val="24"/>
          <w:szCs w:val="24"/>
        </w:rPr>
        <w:t>the logic of appropriateness, where agents choose with conscious reference to rules and norms</w:t>
      </w:r>
      <w:r w:rsidR="00184B81" w:rsidRPr="005E142B">
        <w:rPr>
          <w:sz w:val="24"/>
          <w:szCs w:val="24"/>
        </w:rPr>
        <w:t>.</w:t>
      </w:r>
      <w:r w:rsidR="00184B81" w:rsidRPr="005E142B">
        <w:rPr>
          <w:rStyle w:val="FootnoteReference"/>
          <w:sz w:val="24"/>
          <w:szCs w:val="24"/>
        </w:rPr>
        <w:footnoteReference w:id="16"/>
      </w:r>
      <w:r w:rsidR="00184B81" w:rsidRPr="005E142B">
        <w:rPr>
          <w:sz w:val="24"/>
          <w:szCs w:val="24"/>
        </w:rPr>
        <w:t xml:space="preserve"> </w:t>
      </w:r>
      <w:r w:rsidR="006B2B63">
        <w:rPr>
          <w:sz w:val="24"/>
          <w:szCs w:val="24"/>
        </w:rPr>
        <w:t xml:space="preserve">It is </w:t>
      </w:r>
      <w:r w:rsidR="006B2B63" w:rsidRPr="005E142B">
        <w:rPr>
          <w:sz w:val="24"/>
          <w:szCs w:val="24"/>
        </w:rPr>
        <w:t xml:space="preserve">distinct from </w:t>
      </w:r>
      <w:r w:rsidR="00872F3E">
        <w:rPr>
          <w:sz w:val="24"/>
          <w:szCs w:val="24"/>
        </w:rPr>
        <w:t>“</w:t>
      </w:r>
      <w:r w:rsidR="006B2B63" w:rsidRPr="005E142B">
        <w:rPr>
          <w:sz w:val="24"/>
          <w:szCs w:val="24"/>
        </w:rPr>
        <w:t>bureaucratic politics</w:t>
      </w:r>
      <w:r w:rsidR="00872F3E">
        <w:rPr>
          <w:sz w:val="24"/>
          <w:szCs w:val="24"/>
        </w:rPr>
        <w:t>”</w:t>
      </w:r>
      <w:r w:rsidR="006B2B63" w:rsidRPr="005E142B">
        <w:rPr>
          <w:sz w:val="24"/>
          <w:szCs w:val="24"/>
        </w:rPr>
        <w:t xml:space="preserve"> theory, where policy is the outcome of bargaining within government, with officials driven by organisational and personal interests.</w:t>
      </w:r>
      <w:r w:rsidR="006B2B63" w:rsidRPr="005E142B">
        <w:rPr>
          <w:rStyle w:val="FootnoteReference"/>
          <w:sz w:val="24"/>
          <w:szCs w:val="24"/>
        </w:rPr>
        <w:footnoteReference w:id="17"/>
      </w:r>
      <w:r w:rsidR="006B2B63" w:rsidRPr="005E142B">
        <w:rPr>
          <w:sz w:val="24"/>
          <w:szCs w:val="24"/>
        </w:rPr>
        <w:t xml:space="preserve"> </w:t>
      </w:r>
    </w:p>
    <w:p w:rsidR="00EA7F1E" w:rsidRDefault="00EA7F1E" w:rsidP="00932610">
      <w:pPr>
        <w:spacing w:after="0" w:line="480" w:lineRule="auto"/>
        <w:jc w:val="both"/>
        <w:rPr>
          <w:sz w:val="24"/>
          <w:szCs w:val="24"/>
        </w:rPr>
      </w:pPr>
    </w:p>
    <w:p w:rsidR="00A07B0A" w:rsidRDefault="00BB252B" w:rsidP="00EA7F1E">
      <w:pPr>
        <w:spacing w:after="0" w:line="480" w:lineRule="auto"/>
        <w:ind w:firstLine="709"/>
        <w:jc w:val="both"/>
        <w:rPr>
          <w:sz w:val="24"/>
          <w:szCs w:val="24"/>
        </w:rPr>
      </w:pPr>
      <w:r>
        <w:rPr>
          <w:sz w:val="24"/>
          <w:szCs w:val="24"/>
        </w:rPr>
        <w:t xml:space="preserve">To say that habit drives </w:t>
      </w:r>
      <w:r w:rsidR="00815ADD">
        <w:rPr>
          <w:sz w:val="24"/>
          <w:szCs w:val="24"/>
        </w:rPr>
        <w:t xml:space="preserve">U.S. </w:t>
      </w:r>
      <w:r>
        <w:rPr>
          <w:sz w:val="24"/>
          <w:szCs w:val="24"/>
        </w:rPr>
        <w:t xml:space="preserve">grand strategy is to suggest that policymakers </w:t>
      </w:r>
      <w:r w:rsidR="0040278A">
        <w:rPr>
          <w:sz w:val="24"/>
          <w:szCs w:val="24"/>
        </w:rPr>
        <w:t>become</w:t>
      </w:r>
      <w:r>
        <w:rPr>
          <w:sz w:val="24"/>
          <w:szCs w:val="24"/>
        </w:rPr>
        <w:t xml:space="preserve"> unreflective and non-deliberative about the framework within which decisions are taken. </w:t>
      </w:r>
      <w:r w:rsidR="007E391B">
        <w:rPr>
          <w:sz w:val="24"/>
          <w:szCs w:val="24"/>
        </w:rPr>
        <w:t>P</w:t>
      </w:r>
      <w:r w:rsidR="007E391B" w:rsidRPr="005E142B">
        <w:rPr>
          <w:sz w:val="24"/>
          <w:szCs w:val="24"/>
        </w:rPr>
        <w:t>rior beliefs</w:t>
      </w:r>
      <w:r w:rsidR="00AD4777">
        <w:rPr>
          <w:sz w:val="24"/>
          <w:szCs w:val="24"/>
        </w:rPr>
        <w:t xml:space="preserve"> about </w:t>
      </w:r>
      <w:r w:rsidR="00815ADD">
        <w:rPr>
          <w:sz w:val="24"/>
          <w:szCs w:val="24"/>
        </w:rPr>
        <w:t>America’s</w:t>
      </w:r>
      <w:r w:rsidR="00AD4777">
        <w:rPr>
          <w:sz w:val="24"/>
          <w:szCs w:val="24"/>
        </w:rPr>
        <w:t xml:space="preserve"> place in the international order</w:t>
      </w:r>
      <w:r w:rsidR="007E391B" w:rsidRPr="005E142B">
        <w:rPr>
          <w:sz w:val="24"/>
          <w:szCs w:val="24"/>
        </w:rPr>
        <w:t xml:space="preserve"> set the agenda and impose </w:t>
      </w:r>
      <w:r w:rsidR="007E391B">
        <w:rPr>
          <w:sz w:val="24"/>
          <w:szCs w:val="24"/>
        </w:rPr>
        <w:t xml:space="preserve">tight </w:t>
      </w:r>
      <w:r w:rsidR="007E391B" w:rsidRPr="005E142B">
        <w:rPr>
          <w:sz w:val="24"/>
          <w:szCs w:val="24"/>
        </w:rPr>
        <w:t>parameters within which bureaucratic politics play out.</w:t>
      </w:r>
      <w:r w:rsidR="007E391B">
        <w:rPr>
          <w:sz w:val="24"/>
          <w:szCs w:val="24"/>
        </w:rPr>
        <w:t xml:space="preserve"> </w:t>
      </w:r>
      <w:r w:rsidR="00EA7F1E" w:rsidRPr="005E142B">
        <w:rPr>
          <w:sz w:val="24"/>
          <w:szCs w:val="24"/>
        </w:rPr>
        <w:t xml:space="preserve">Habituated decision-makers </w:t>
      </w:r>
      <w:r w:rsidR="00815ADD">
        <w:rPr>
          <w:sz w:val="24"/>
          <w:szCs w:val="24"/>
        </w:rPr>
        <w:t>are</w:t>
      </w:r>
      <w:r w:rsidR="00EA7F1E" w:rsidRPr="005E142B">
        <w:rPr>
          <w:sz w:val="24"/>
          <w:szCs w:val="24"/>
        </w:rPr>
        <w:t xml:space="preserve"> under-stimulated by changing conditions, incurious</w:t>
      </w:r>
      <w:r w:rsidR="00896572">
        <w:rPr>
          <w:sz w:val="24"/>
          <w:szCs w:val="24"/>
        </w:rPr>
        <w:t xml:space="preserve"> or dismissive</w:t>
      </w:r>
      <w:r w:rsidR="00EA7F1E" w:rsidRPr="005E142B">
        <w:rPr>
          <w:sz w:val="24"/>
          <w:szCs w:val="24"/>
        </w:rPr>
        <w:t xml:space="preserve"> about other options</w:t>
      </w:r>
      <w:r w:rsidR="00815ADD">
        <w:rPr>
          <w:sz w:val="24"/>
          <w:szCs w:val="24"/>
        </w:rPr>
        <w:t>,</w:t>
      </w:r>
      <w:r w:rsidR="00EA7F1E" w:rsidRPr="005E142B">
        <w:rPr>
          <w:sz w:val="24"/>
          <w:szCs w:val="24"/>
        </w:rPr>
        <w:t xml:space="preserve"> and deliberate mostly within </w:t>
      </w:r>
      <w:r w:rsidR="00EA7F1E">
        <w:rPr>
          <w:sz w:val="24"/>
          <w:szCs w:val="24"/>
        </w:rPr>
        <w:t xml:space="preserve">the boundaries of </w:t>
      </w:r>
      <w:r w:rsidR="00EA7F1E" w:rsidRPr="005E142B">
        <w:rPr>
          <w:sz w:val="24"/>
          <w:szCs w:val="24"/>
        </w:rPr>
        <w:t>traditional rationales, codes of meaning, and analogies.</w:t>
      </w:r>
      <w:r w:rsidR="00EA7F1E">
        <w:rPr>
          <w:sz w:val="24"/>
          <w:szCs w:val="24"/>
        </w:rPr>
        <w:t xml:space="preserve"> </w:t>
      </w:r>
      <w:r w:rsidR="004140F3" w:rsidRPr="005E142B">
        <w:rPr>
          <w:sz w:val="24"/>
          <w:szCs w:val="24"/>
        </w:rPr>
        <w:t xml:space="preserve">The process </w:t>
      </w:r>
      <w:r w:rsidR="004140F3">
        <w:rPr>
          <w:sz w:val="24"/>
          <w:szCs w:val="24"/>
        </w:rPr>
        <w:t xml:space="preserve">is </w:t>
      </w:r>
      <w:r w:rsidR="004140F3" w:rsidRPr="005E142B">
        <w:rPr>
          <w:sz w:val="24"/>
          <w:szCs w:val="24"/>
        </w:rPr>
        <w:t>not automatic, but load</w:t>
      </w:r>
      <w:r w:rsidR="004140F3">
        <w:rPr>
          <w:sz w:val="24"/>
          <w:szCs w:val="24"/>
        </w:rPr>
        <w:t>s</w:t>
      </w:r>
      <w:r w:rsidR="004140F3" w:rsidRPr="005E142B">
        <w:rPr>
          <w:sz w:val="24"/>
          <w:szCs w:val="24"/>
        </w:rPr>
        <w:t xml:space="preserve"> the dice in favour of received assumptions.</w:t>
      </w:r>
      <w:r w:rsidR="00181A43">
        <w:rPr>
          <w:sz w:val="24"/>
          <w:szCs w:val="24"/>
        </w:rPr>
        <w:t xml:space="preserve"> Habit does not eliminate conscious thought, but channels thought so that it side-lines any </w:t>
      </w:r>
      <w:r w:rsidR="00181A43" w:rsidRPr="005E142B">
        <w:rPr>
          <w:sz w:val="24"/>
          <w:szCs w:val="24"/>
        </w:rPr>
        <w:t>deliberate, systematic revision</w:t>
      </w:r>
      <w:r w:rsidR="00181A43">
        <w:rPr>
          <w:sz w:val="24"/>
          <w:szCs w:val="24"/>
        </w:rPr>
        <w:t>.</w:t>
      </w:r>
      <w:r w:rsidR="004140F3" w:rsidRPr="005E142B">
        <w:rPr>
          <w:sz w:val="24"/>
          <w:szCs w:val="24"/>
        </w:rPr>
        <w:t xml:space="preserve"> </w:t>
      </w:r>
      <w:r w:rsidR="00AD4777">
        <w:rPr>
          <w:sz w:val="24"/>
          <w:szCs w:val="24"/>
        </w:rPr>
        <w:t>A</w:t>
      </w:r>
      <w:r w:rsidR="00872F3E">
        <w:rPr>
          <w:sz w:val="24"/>
          <w:szCs w:val="24"/>
        </w:rPr>
        <w:t xml:space="preserve"> “common sense”</w:t>
      </w:r>
      <w:r w:rsidR="00EC74B5" w:rsidRPr="005E142B">
        <w:rPr>
          <w:sz w:val="24"/>
          <w:szCs w:val="24"/>
        </w:rPr>
        <w:t xml:space="preserve"> mediates between the environment and decision-makers, turning what were once calculated choices into axiomatic ones.</w:t>
      </w:r>
      <w:r w:rsidR="00EC74B5" w:rsidRPr="005E142B">
        <w:rPr>
          <w:rStyle w:val="FootnoteReference"/>
          <w:sz w:val="24"/>
          <w:szCs w:val="24"/>
        </w:rPr>
        <w:footnoteReference w:id="18"/>
      </w:r>
      <w:r w:rsidR="00A07B0A" w:rsidRPr="00A07B0A">
        <w:rPr>
          <w:sz w:val="24"/>
          <w:szCs w:val="24"/>
        </w:rPr>
        <w:t xml:space="preserve"> </w:t>
      </w:r>
      <w:r w:rsidR="00A07B0A" w:rsidRPr="005E142B">
        <w:rPr>
          <w:sz w:val="24"/>
          <w:szCs w:val="24"/>
        </w:rPr>
        <w:t>Winston Churchill, f</w:t>
      </w:r>
      <w:r w:rsidR="00872F3E">
        <w:rPr>
          <w:sz w:val="24"/>
          <w:szCs w:val="24"/>
        </w:rPr>
        <w:t>or instance, invoked Britain’s “unconscious tradition”</w:t>
      </w:r>
      <w:r w:rsidR="00A07B0A" w:rsidRPr="005E142B">
        <w:rPr>
          <w:sz w:val="24"/>
          <w:szCs w:val="24"/>
        </w:rPr>
        <w:t xml:space="preserve"> of supporting weaker states </w:t>
      </w:r>
      <w:r w:rsidR="00872F3E">
        <w:rPr>
          <w:sz w:val="24"/>
          <w:szCs w:val="24"/>
        </w:rPr>
        <w:t>“</w:t>
      </w:r>
      <w:r w:rsidR="00A07B0A" w:rsidRPr="005E142B">
        <w:rPr>
          <w:sz w:val="24"/>
          <w:szCs w:val="24"/>
        </w:rPr>
        <w:t>to oppose the strongest, most aggressive</w:t>
      </w:r>
      <w:r w:rsidR="00872F3E">
        <w:rPr>
          <w:sz w:val="24"/>
          <w:szCs w:val="24"/>
        </w:rPr>
        <w:t>”</w:t>
      </w:r>
      <w:r w:rsidR="00A07B0A" w:rsidRPr="005E142B">
        <w:rPr>
          <w:sz w:val="24"/>
          <w:szCs w:val="24"/>
        </w:rPr>
        <w:t xml:space="preserve"> powers in continental Europe, to prevent a hostile imbalance.</w:t>
      </w:r>
      <w:r w:rsidR="00A07B0A" w:rsidRPr="005E142B">
        <w:rPr>
          <w:rStyle w:val="FootnoteReference"/>
          <w:sz w:val="24"/>
          <w:szCs w:val="24"/>
        </w:rPr>
        <w:footnoteReference w:id="19"/>
      </w:r>
      <w:r w:rsidR="00A07B0A" w:rsidRPr="00A07B0A">
        <w:rPr>
          <w:sz w:val="24"/>
          <w:szCs w:val="24"/>
        </w:rPr>
        <w:t xml:space="preserve"> </w:t>
      </w:r>
      <w:r w:rsidR="00A07B0A" w:rsidRPr="005E142B">
        <w:rPr>
          <w:sz w:val="24"/>
          <w:szCs w:val="24"/>
        </w:rPr>
        <w:t>States inherit choi</w:t>
      </w:r>
      <w:r w:rsidR="00872F3E">
        <w:rPr>
          <w:sz w:val="24"/>
          <w:szCs w:val="24"/>
        </w:rPr>
        <w:t>ces, not moving from a neutral zero</w:t>
      </w:r>
      <w:r w:rsidR="00A07B0A" w:rsidRPr="005E142B">
        <w:rPr>
          <w:sz w:val="24"/>
          <w:szCs w:val="24"/>
        </w:rPr>
        <w:t xml:space="preserve"> but from legacies that prescribe what is </w:t>
      </w:r>
      <w:r w:rsidR="00A07B0A" w:rsidRPr="005E142B">
        <w:rPr>
          <w:sz w:val="24"/>
          <w:szCs w:val="24"/>
        </w:rPr>
        <w:lastRenderedPageBreak/>
        <w:t xml:space="preserve">legitimate and effective. Whereas most analysis focuses on what actors think about, attention to habit shows us where they think </w:t>
      </w:r>
      <w:r w:rsidR="00A07B0A" w:rsidRPr="005E142B">
        <w:rPr>
          <w:i/>
          <w:sz w:val="24"/>
          <w:szCs w:val="24"/>
        </w:rPr>
        <w:t>from</w:t>
      </w:r>
      <w:r w:rsidR="00A07B0A" w:rsidRPr="005E142B">
        <w:rPr>
          <w:sz w:val="24"/>
          <w:szCs w:val="24"/>
        </w:rPr>
        <w:t xml:space="preserve">. </w:t>
      </w:r>
    </w:p>
    <w:p w:rsidR="00EA7F1E" w:rsidRDefault="00EA7F1E" w:rsidP="00EA7F1E">
      <w:pPr>
        <w:spacing w:after="0" w:line="480" w:lineRule="auto"/>
        <w:jc w:val="both"/>
        <w:rPr>
          <w:sz w:val="24"/>
          <w:szCs w:val="24"/>
        </w:rPr>
      </w:pPr>
    </w:p>
    <w:p w:rsidR="00EA7F1E" w:rsidRPr="005E142B" w:rsidRDefault="00EA7F1E" w:rsidP="00EA7F1E">
      <w:pPr>
        <w:spacing w:after="0" w:line="480" w:lineRule="auto"/>
        <w:ind w:firstLine="709"/>
        <w:jc w:val="both"/>
        <w:rPr>
          <w:sz w:val="24"/>
          <w:szCs w:val="24"/>
        </w:rPr>
      </w:pPr>
      <w:r w:rsidRPr="005E142B">
        <w:rPr>
          <w:sz w:val="24"/>
          <w:szCs w:val="24"/>
        </w:rPr>
        <w:t xml:space="preserve">The process of habituation manifests itself positively and negatively. Negatively, it takes the form of self-censorship, by senior policymakers sidestepping or avoiding re-evaluation of first-order questions. </w:t>
      </w:r>
      <w:r w:rsidR="0055665E">
        <w:rPr>
          <w:sz w:val="24"/>
          <w:szCs w:val="24"/>
        </w:rPr>
        <w:t>S</w:t>
      </w:r>
      <w:r w:rsidRPr="005E142B">
        <w:rPr>
          <w:sz w:val="24"/>
          <w:szCs w:val="24"/>
        </w:rPr>
        <w:t xml:space="preserve">crutiny </w:t>
      </w:r>
      <w:r w:rsidR="0055665E">
        <w:rPr>
          <w:sz w:val="24"/>
          <w:szCs w:val="24"/>
        </w:rPr>
        <w:t>will be absent</w:t>
      </w:r>
      <w:r w:rsidRPr="005E142B">
        <w:rPr>
          <w:sz w:val="24"/>
          <w:szCs w:val="24"/>
        </w:rPr>
        <w:t xml:space="preserve"> we should most expect it, within authoritative institutions charged to examine choices. </w:t>
      </w:r>
      <w:r w:rsidR="0055665E">
        <w:rPr>
          <w:sz w:val="24"/>
          <w:szCs w:val="24"/>
        </w:rPr>
        <w:t xml:space="preserve">Policy discussion will mostly be </w:t>
      </w:r>
      <w:r w:rsidRPr="005E142B">
        <w:rPr>
          <w:sz w:val="24"/>
          <w:szCs w:val="24"/>
        </w:rPr>
        <w:t xml:space="preserve">conducted through an operational mind-set, </w:t>
      </w:r>
      <w:r w:rsidR="0055665E">
        <w:rPr>
          <w:sz w:val="24"/>
          <w:szCs w:val="24"/>
        </w:rPr>
        <w:t>confined</w:t>
      </w:r>
      <w:r w:rsidRPr="005E142B">
        <w:rPr>
          <w:sz w:val="24"/>
          <w:szCs w:val="24"/>
        </w:rPr>
        <w:t xml:space="preserve"> to issues of implementation. Positively, habit functions as a conformist pressure visibly applied to officials who question assumptions. When they step outside the ballpark, gatekeepers with privileged access, expert status and agenda-setting power will discipline discussion. </w:t>
      </w:r>
      <w:r w:rsidR="0055665E">
        <w:rPr>
          <w:sz w:val="24"/>
          <w:szCs w:val="24"/>
        </w:rPr>
        <w:t xml:space="preserve"> </w:t>
      </w:r>
      <w:r w:rsidRPr="005E142B">
        <w:rPr>
          <w:sz w:val="24"/>
          <w:szCs w:val="24"/>
        </w:rPr>
        <w:t xml:space="preserve">  </w:t>
      </w:r>
    </w:p>
    <w:p w:rsidR="003C2545" w:rsidRDefault="003C2545" w:rsidP="00932610">
      <w:pPr>
        <w:pStyle w:val="Default"/>
        <w:spacing w:line="480" w:lineRule="auto"/>
        <w:jc w:val="both"/>
      </w:pPr>
    </w:p>
    <w:p w:rsidR="00AD3E76" w:rsidRDefault="0055665E" w:rsidP="00D15068">
      <w:pPr>
        <w:spacing w:after="0" w:line="480" w:lineRule="auto"/>
        <w:ind w:firstLine="709"/>
        <w:jc w:val="both"/>
        <w:rPr>
          <w:sz w:val="24"/>
          <w:szCs w:val="24"/>
        </w:rPr>
      </w:pPr>
      <w:r>
        <w:rPr>
          <w:sz w:val="24"/>
          <w:szCs w:val="24"/>
        </w:rPr>
        <w:t xml:space="preserve">Where does the habit of primacy come from? </w:t>
      </w:r>
      <w:r w:rsidR="006B2B63" w:rsidRPr="0040278A">
        <w:rPr>
          <w:sz w:val="24"/>
          <w:szCs w:val="24"/>
        </w:rPr>
        <w:t xml:space="preserve">In the final years of World War Two, the United States </w:t>
      </w:r>
      <w:r w:rsidR="0070406C" w:rsidRPr="0040278A">
        <w:rPr>
          <w:sz w:val="24"/>
          <w:szCs w:val="24"/>
        </w:rPr>
        <w:t>rose</w:t>
      </w:r>
      <w:r w:rsidR="006B2B63" w:rsidRPr="0040278A">
        <w:rPr>
          <w:sz w:val="24"/>
          <w:szCs w:val="24"/>
        </w:rPr>
        <w:t xml:space="preserve"> to become the most powerful nation on earth.</w:t>
      </w:r>
      <w:r w:rsidR="0055775B">
        <w:rPr>
          <w:rStyle w:val="FootnoteReference"/>
          <w:sz w:val="24"/>
          <w:szCs w:val="24"/>
        </w:rPr>
        <w:footnoteReference w:id="20"/>
      </w:r>
      <w:r w:rsidR="00AA4B01" w:rsidRPr="0040278A">
        <w:rPr>
          <w:sz w:val="24"/>
          <w:szCs w:val="24"/>
        </w:rPr>
        <w:t xml:space="preserve"> With other major powers exhausted by war, America experienced unprecedented industrial expansion. Its GDP doubled. It</w:t>
      </w:r>
      <w:r w:rsidR="007775FD">
        <w:rPr>
          <w:sz w:val="24"/>
          <w:szCs w:val="24"/>
        </w:rPr>
        <w:t xml:space="preserve"> enjoyed </w:t>
      </w:r>
      <w:r w:rsidR="00AA4B01" w:rsidRPr="0040278A">
        <w:rPr>
          <w:sz w:val="24"/>
          <w:szCs w:val="24"/>
        </w:rPr>
        <w:t xml:space="preserve">the </w:t>
      </w:r>
      <w:r w:rsidR="007775FD">
        <w:rPr>
          <w:sz w:val="24"/>
          <w:szCs w:val="24"/>
        </w:rPr>
        <w:t xml:space="preserve">world’s </w:t>
      </w:r>
      <w:r w:rsidR="00AA4B01" w:rsidRPr="0040278A">
        <w:rPr>
          <w:sz w:val="24"/>
          <w:szCs w:val="24"/>
        </w:rPr>
        <w:t>highest per capita productivity. It dominated the world’s gold reserves, became the largest creditor and e</w:t>
      </w:r>
      <w:r w:rsidR="007775FD">
        <w:rPr>
          <w:sz w:val="24"/>
          <w:szCs w:val="24"/>
        </w:rPr>
        <w:t>xporter, and the dollar was the</w:t>
      </w:r>
      <w:r w:rsidR="00AA4B01" w:rsidRPr="0040278A">
        <w:rPr>
          <w:sz w:val="24"/>
          <w:szCs w:val="24"/>
        </w:rPr>
        <w:t xml:space="preserve"> reserve currency. It had a monopoly on the atomic bomb</w:t>
      </w:r>
      <w:r w:rsidR="00F00218">
        <w:rPr>
          <w:sz w:val="24"/>
          <w:szCs w:val="24"/>
        </w:rPr>
        <w:t>.</w:t>
      </w:r>
      <w:r w:rsidR="00AA4B01" w:rsidRPr="0040278A">
        <w:rPr>
          <w:sz w:val="24"/>
          <w:szCs w:val="24"/>
        </w:rPr>
        <w:t xml:space="preserve"> </w:t>
      </w:r>
      <w:r w:rsidR="00F00218">
        <w:rPr>
          <w:sz w:val="24"/>
          <w:szCs w:val="24"/>
        </w:rPr>
        <w:t>I</w:t>
      </w:r>
      <w:r w:rsidR="003C2545" w:rsidRPr="0040278A">
        <w:rPr>
          <w:sz w:val="24"/>
          <w:szCs w:val="24"/>
        </w:rPr>
        <w:t xml:space="preserve">ts </w:t>
      </w:r>
      <w:r w:rsidR="00AA4B01" w:rsidRPr="0040278A">
        <w:rPr>
          <w:sz w:val="24"/>
          <w:szCs w:val="24"/>
        </w:rPr>
        <w:t>long-range bombers</w:t>
      </w:r>
      <w:r w:rsidR="00B426C6" w:rsidRPr="0040278A">
        <w:rPr>
          <w:sz w:val="24"/>
          <w:szCs w:val="24"/>
        </w:rPr>
        <w:t>,</w:t>
      </w:r>
      <w:r w:rsidR="00AA4B01" w:rsidRPr="0040278A">
        <w:rPr>
          <w:sz w:val="24"/>
          <w:szCs w:val="24"/>
        </w:rPr>
        <w:t xml:space="preserve"> carrier task forces</w:t>
      </w:r>
      <w:r w:rsidR="00B426C6" w:rsidRPr="0040278A">
        <w:rPr>
          <w:sz w:val="24"/>
          <w:szCs w:val="24"/>
        </w:rPr>
        <w:t xml:space="preserve"> and bases</w:t>
      </w:r>
      <w:r w:rsidR="00AA4B01" w:rsidRPr="0040278A">
        <w:rPr>
          <w:sz w:val="24"/>
          <w:szCs w:val="24"/>
        </w:rPr>
        <w:t xml:space="preserve"> gave it unrivalled reach. </w:t>
      </w:r>
      <w:r w:rsidR="00B426C6" w:rsidRPr="0040278A">
        <w:rPr>
          <w:sz w:val="24"/>
          <w:szCs w:val="24"/>
        </w:rPr>
        <w:t xml:space="preserve">There was worldwide demand for its loans, arms, and patronage. </w:t>
      </w:r>
      <w:r w:rsidR="00AD3E76">
        <w:rPr>
          <w:sz w:val="24"/>
          <w:szCs w:val="24"/>
        </w:rPr>
        <w:t xml:space="preserve">America recognised, as any state would, </w:t>
      </w:r>
      <w:r w:rsidR="00AD3E76" w:rsidRPr="005E142B">
        <w:rPr>
          <w:sz w:val="24"/>
          <w:szCs w:val="24"/>
        </w:rPr>
        <w:t>its va</w:t>
      </w:r>
      <w:r w:rsidR="00AD3E76">
        <w:rPr>
          <w:sz w:val="24"/>
          <w:szCs w:val="24"/>
        </w:rPr>
        <w:t>stly increased power position.</w:t>
      </w:r>
    </w:p>
    <w:p w:rsidR="00AD3E76" w:rsidRDefault="00AD3E76" w:rsidP="00D15068">
      <w:pPr>
        <w:spacing w:after="0" w:line="480" w:lineRule="auto"/>
        <w:ind w:firstLine="709"/>
        <w:jc w:val="both"/>
        <w:rPr>
          <w:sz w:val="24"/>
          <w:szCs w:val="24"/>
        </w:rPr>
      </w:pPr>
    </w:p>
    <w:p w:rsidR="008F6935" w:rsidRDefault="007668A3" w:rsidP="00DC06B0">
      <w:pPr>
        <w:spacing w:after="0" w:line="480" w:lineRule="auto"/>
        <w:ind w:firstLine="709"/>
        <w:jc w:val="both"/>
        <w:rPr>
          <w:sz w:val="24"/>
          <w:szCs w:val="24"/>
        </w:rPr>
      </w:pPr>
      <w:r w:rsidRPr="0040278A">
        <w:rPr>
          <w:sz w:val="24"/>
          <w:szCs w:val="24"/>
        </w:rPr>
        <w:t>This growth</w:t>
      </w:r>
      <w:r w:rsidR="00AD3E76">
        <w:rPr>
          <w:sz w:val="24"/>
          <w:szCs w:val="24"/>
        </w:rPr>
        <w:t xml:space="preserve"> in relative power</w:t>
      </w:r>
      <w:r w:rsidR="0040278A" w:rsidRPr="0040278A">
        <w:rPr>
          <w:sz w:val="24"/>
          <w:szCs w:val="24"/>
        </w:rPr>
        <w:t xml:space="preserve"> </w:t>
      </w:r>
      <w:r w:rsidR="004F6498">
        <w:rPr>
          <w:sz w:val="24"/>
          <w:szCs w:val="24"/>
        </w:rPr>
        <w:t>enabled</w:t>
      </w:r>
      <w:r w:rsidRPr="0040278A">
        <w:rPr>
          <w:sz w:val="24"/>
          <w:szCs w:val="24"/>
        </w:rPr>
        <w:t xml:space="preserve"> the US to</w:t>
      </w:r>
      <w:r w:rsidR="004F6498">
        <w:rPr>
          <w:sz w:val="24"/>
          <w:szCs w:val="24"/>
        </w:rPr>
        <w:t xml:space="preserve"> enlarge its ambitions </w:t>
      </w:r>
      <w:r w:rsidR="00D15068">
        <w:rPr>
          <w:sz w:val="24"/>
          <w:szCs w:val="24"/>
        </w:rPr>
        <w:t>to</w:t>
      </w:r>
      <w:r w:rsidRPr="0040278A">
        <w:rPr>
          <w:sz w:val="24"/>
          <w:szCs w:val="24"/>
        </w:rPr>
        <w:t xml:space="preserve"> </w:t>
      </w:r>
      <w:r w:rsidR="00872F3E">
        <w:rPr>
          <w:sz w:val="24"/>
          <w:szCs w:val="24"/>
        </w:rPr>
        <w:t>“</w:t>
      </w:r>
      <w:r w:rsidR="0040278A" w:rsidRPr="0040278A">
        <w:rPr>
          <w:sz w:val="24"/>
          <w:szCs w:val="24"/>
        </w:rPr>
        <w:t>visionary world-making</w:t>
      </w:r>
      <w:r w:rsidR="00872F3E">
        <w:rPr>
          <w:sz w:val="24"/>
          <w:szCs w:val="24"/>
        </w:rPr>
        <w:t>”</w:t>
      </w:r>
      <w:r w:rsidR="0040278A" w:rsidRPr="0040278A">
        <w:rPr>
          <w:sz w:val="24"/>
          <w:szCs w:val="24"/>
        </w:rPr>
        <w:t>, pursu</w:t>
      </w:r>
      <w:r w:rsidR="0040278A">
        <w:rPr>
          <w:sz w:val="24"/>
          <w:szCs w:val="24"/>
        </w:rPr>
        <w:t>ing</w:t>
      </w:r>
      <w:r w:rsidR="0040278A" w:rsidRPr="0040278A">
        <w:rPr>
          <w:sz w:val="24"/>
          <w:szCs w:val="24"/>
        </w:rPr>
        <w:t xml:space="preserve"> security by reordering the international system.</w:t>
      </w:r>
      <w:r w:rsidR="0040278A">
        <w:rPr>
          <w:rStyle w:val="FootnoteReference"/>
          <w:sz w:val="24"/>
          <w:szCs w:val="24"/>
        </w:rPr>
        <w:footnoteReference w:id="21"/>
      </w:r>
      <w:r w:rsidR="0040278A" w:rsidRPr="0040278A">
        <w:rPr>
          <w:sz w:val="24"/>
          <w:szCs w:val="24"/>
        </w:rPr>
        <w:t xml:space="preserve"> </w:t>
      </w:r>
      <w:r w:rsidR="004F6498">
        <w:rPr>
          <w:sz w:val="24"/>
          <w:szCs w:val="24"/>
        </w:rPr>
        <w:t xml:space="preserve">The rise of the state </w:t>
      </w:r>
      <w:r w:rsidR="004F6498">
        <w:rPr>
          <w:sz w:val="24"/>
          <w:szCs w:val="24"/>
        </w:rPr>
        <w:lastRenderedPageBreak/>
        <w:t xml:space="preserve">amidst the dangers of </w:t>
      </w:r>
      <w:r w:rsidR="00D15068">
        <w:rPr>
          <w:sz w:val="24"/>
          <w:szCs w:val="24"/>
        </w:rPr>
        <w:t xml:space="preserve">conflict </w:t>
      </w:r>
      <w:r w:rsidR="004F6498">
        <w:rPr>
          <w:sz w:val="24"/>
          <w:szCs w:val="24"/>
        </w:rPr>
        <w:t>generated demand for security experts.</w:t>
      </w:r>
      <w:r w:rsidR="004140F3" w:rsidRPr="004140F3">
        <w:rPr>
          <w:sz w:val="24"/>
          <w:szCs w:val="24"/>
        </w:rPr>
        <w:t xml:space="preserve"> </w:t>
      </w:r>
      <w:r w:rsidR="00D15068" w:rsidRPr="00217C54">
        <w:rPr>
          <w:sz w:val="24"/>
          <w:szCs w:val="24"/>
        </w:rPr>
        <w:t xml:space="preserve">America at war became a </w:t>
      </w:r>
      <w:r w:rsidR="00872F3E">
        <w:rPr>
          <w:sz w:val="24"/>
          <w:szCs w:val="24"/>
        </w:rPr>
        <w:t>“</w:t>
      </w:r>
      <w:r w:rsidR="00D15068" w:rsidRPr="00217C54">
        <w:rPr>
          <w:sz w:val="24"/>
          <w:szCs w:val="24"/>
        </w:rPr>
        <w:t>national security state,</w:t>
      </w:r>
      <w:r w:rsidR="00872F3E">
        <w:rPr>
          <w:sz w:val="24"/>
          <w:szCs w:val="24"/>
        </w:rPr>
        <w:t>”</w:t>
      </w:r>
      <w:r w:rsidR="00D15068" w:rsidRPr="00217C54">
        <w:rPr>
          <w:sz w:val="24"/>
          <w:szCs w:val="24"/>
        </w:rPr>
        <w:t xml:space="preserve"> organising intensively to project power</w:t>
      </w:r>
      <w:r w:rsidR="00C24A57" w:rsidRPr="00C24A57">
        <w:rPr>
          <w:sz w:val="24"/>
          <w:szCs w:val="24"/>
        </w:rPr>
        <w:t xml:space="preserve"> </w:t>
      </w:r>
      <w:r w:rsidR="00C24A57">
        <w:rPr>
          <w:sz w:val="24"/>
          <w:szCs w:val="24"/>
        </w:rPr>
        <w:t>through a fledgling</w:t>
      </w:r>
      <w:r w:rsidR="00C24A57" w:rsidRPr="00217C54">
        <w:rPr>
          <w:sz w:val="24"/>
          <w:szCs w:val="24"/>
        </w:rPr>
        <w:t xml:space="preserve"> bureaucracy of advice and planning</w:t>
      </w:r>
      <w:r w:rsidR="00D15068" w:rsidRPr="00217C54">
        <w:rPr>
          <w:sz w:val="24"/>
          <w:szCs w:val="24"/>
        </w:rPr>
        <w:t>.</w:t>
      </w:r>
      <w:r w:rsidR="00D15068">
        <w:rPr>
          <w:sz w:val="24"/>
          <w:szCs w:val="24"/>
        </w:rPr>
        <w:t xml:space="preserve"> </w:t>
      </w:r>
      <w:r w:rsidR="00F00218">
        <w:rPr>
          <w:sz w:val="24"/>
          <w:szCs w:val="24"/>
        </w:rPr>
        <w:t>Global d</w:t>
      </w:r>
      <w:r w:rsidR="00F00218" w:rsidRPr="00F00218">
        <w:rPr>
          <w:sz w:val="24"/>
          <w:szCs w:val="24"/>
        </w:rPr>
        <w:t xml:space="preserve">isorder of the 1930’s and 1940’s </w:t>
      </w:r>
      <w:r w:rsidR="00F00218">
        <w:rPr>
          <w:sz w:val="24"/>
          <w:szCs w:val="24"/>
        </w:rPr>
        <w:t xml:space="preserve">had </w:t>
      </w:r>
      <w:r w:rsidR="00D15068">
        <w:rPr>
          <w:sz w:val="24"/>
          <w:szCs w:val="24"/>
        </w:rPr>
        <w:t>already prompted a</w:t>
      </w:r>
      <w:r w:rsidR="00896572">
        <w:rPr>
          <w:sz w:val="24"/>
          <w:szCs w:val="24"/>
        </w:rPr>
        <w:t>n intellectual</w:t>
      </w:r>
      <w:r w:rsidR="00F00218">
        <w:rPr>
          <w:sz w:val="24"/>
          <w:szCs w:val="24"/>
        </w:rPr>
        <w:t xml:space="preserve"> rediscovery of strategy, with security experts urging</w:t>
      </w:r>
      <w:r w:rsidR="00F00218" w:rsidRPr="00F00218">
        <w:rPr>
          <w:sz w:val="24"/>
          <w:szCs w:val="24"/>
        </w:rPr>
        <w:t xml:space="preserve"> </w:t>
      </w:r>
      <w:r w:rsidR="00F00218">
        <w:rPr>
          <w:sz w:val="24"/>
          <w:szCs w:val="24"/>
        </w:rPr>
        <w:t xml:space="preserve">the </w:t>
      </w:r>
      <w:r w:rsidR="00F00218" w:rsidRPr="00F00218">
        <w:rPr>
          <w:sz w:val="24"/>
          <w:szCs w:val="24"/>
        </w:rPr>
        <w:t>US to</w:t>
      </w:r>
      <w:r w:rsidR="00F00218">
        <w:rPr>
          <w:sz w:val="24"/>
          <w:szCs w:val="24"/>
        </w:rPr>
        <w:t xml:space="preserve"> realise its latent strength</w:t>
      </w:r>
      <w:r w:rsidR="00D15068">
        <w:rPr>
          <w:sz w:val="24"/>
          <w:szCs w:val="24"/>
        </w:rPr>
        <w:t xml:space="preserve"> and flex its geopolitical muscles</w:t>
      </w:r>
      <w:r w:rsidR="00F00218">
        <w:rPr>
          <w:sz w:val="24"/>
          <w:szCs w:val="24"/>
        </w:rPr>
        <w:t>.</w:t>
      </w:r>
      <w:r w:rsidR="00F00218">
        <w:rPr>
          <w:rStyle w:val="FootnoteReference"/>
          <w:sz w:val="24"/>
          <w:szCs w:val="24"/>
        </w:rPr>
        <w:footnoteReference w:id="22"/>
      </w:r>
      <w:r w:rsidR="00217C54">
        <w:rPr>
          <w:sz w:val="24"/>
          <w:szCs w:val="24"/>
        </w:rPr>
        <w:t xml:space="preserve"> </w:t>
      </w:r>
      <w:r w:rsidR="00217C54" w:rsidRPr="00217C54">
        <w:rPr>
          <w:sz w:val="24"/>
          <w:szCs w:val="24"/>
        </w:rPr>
        <w:t>Well-placed strategic minds</w:t>
      </w:r>
      <w:r w:rsidR="00D15068">
        <w:rPr>
          <w:sz w:val="24"/>
          <w:szCs w:val="24"/>
        </w:rPr>
        <w:t xml:space="preserve"> then</w:t>
      </w:r>
      <w:r w:rsidR="00217C54" w:rsidRPr="00217C54">
        <w:rPr>
          <w:sz w:val="24"/>
          <w:szCs w:val="24"/>
        </w:rPr>
        <w:t xml:space="preserve"> urged Washington to translate victory into hegemony, under a Washington-d</w:t>
      </w:r>
      <w:r w:rsidR="00C24A57">
        <w:rPr>
          <w:sz w:val="24"/>
          <w:szCs w:val="24"/>
        </w:rPr>
        <w:t>esigned world order,</w:t>
      </w:r>
      <w:r w:rsidR="00F56577" w:rsidRPr="00217C54">
        <w:rPr>
          <w:sz w:val="24"/>
          <w:szCs w:val="24"/>
          <w:vertAlign w:val="superscript"/>
        </w:rPr>
        <w:footnoteReference w:id="23"/>
      </w:r>
      <w:r w:rsidR="00C24A57">
        <w:rPr>
          <w:sz w:val="24"/>
          <w:szCs w:val="24"/>
        </w:rPr>
        <w:t xml:space="preserve"> </w:t>
      </w:r>
      <w:r w:rsidR="00C24A57" w:rsidRPr="005E142B">
        <w:rPr>
          <w:sz w:val="24"/>
          <w:szCs w:val="24"/>
        </w:rPr>
        <w:t xml:space="preserve">assuming America should </w:t>
      </w:r>
      <w:r w:rsidR="00872F3E">
        <w:rPr>
          <w:sz w:val="24"/>
          <w:szCs w:val="24"/>
        </w:rPr>
        <w:t>“</w:t>
      </w:r>
      <w:r w:rsidR="00C24A57" w:rsidRPr="005E142B">
        <w:rPr>
          <w:sz w:val="24"/>
          <w:szCs w:val="24"/>
        </w:rPr>
        <w:t>succeed Britain as the military and economic guarantor and moral leader of the world.</w:t>
      </w:r>
      <w:r w:rsidR="00872F3E">
        <w:rPr>
          <w:sz w:val="24"/>
          <w:szCs w:val="24"/>
        </w:rPr>
        <w:t>”</w:t>
      </w:r>
      <w:r w:rsidR="00C24A57" w:rsidRPr="005E142B">
        <w:rPr>
          <w:rStyle w:val="FootnoteReference"/>
          <w:sz w:val="24"/>
          <w:szCs w:val="24"/>
        </w:rPr>
        <w:footnoteReference w:id="24"/>
      </w:r>
      <w:r w:rsidR="00217C54" w:rsidRPr="00217C54">
        <w:rPr>
          <w:sz w:val="24"/>
          <w:szCs w:val="24"/>
        </w:rPr>
        <w:t xml:space="preserve"> This </w:t>
      </w:r>
      <w:r w:rsidR="00C24A57">
        <w:rPr>
          <w:sz w:val="24"/>
          <w:szCs w:val="24"/>
        </w:rPr>
        <w:t>Washington</w:t>
      </w:r>
      <w:r w:rsidR="00217C54" w:rsidRPr="00217C54">
        <w:rPr>
          <w:sz w:val="24"/>
          <w:szCs w:val="24"/>
        </w:rPr>
        <w:t xml:space="preserve"> did in concrete form, in the Unified Command Plan of 1946 that placed large parts of the globe under U</w:t>
      </w:r>
      <w:r w:rsidR="00053D13">
        <w:rPr>
          <w:sz w:val="24"/>
          <w:szCs w:val="24"/>
        </w:rPr>
        <w:t>.</w:t>
      </w:r>
      <w:r w:rsidR="00217C54" w:rsidRPr="00217C54">
        <w:rPr>
          <w:sz w:val="24"/>
          <w:szCs w:val="24"/>
        </w:rPr>
        <w:t>S</w:t>
      </w:r>
      <w:r w:rsidR="00053D13">
        <w:rPr>
          <w:sz w:val="24"/>
          <w:szCs w:val="24"/>
        </w:rPr>
        <w:t>.</w:t>
      </w:r>
      <w:r w:rsidR="00217C54" w:rsidRPr="00217C54">
        <w:rPr>
          <w:sz w:val="24"/>
          <w:szCs w:val="24"/>
        </w:rPr>
        <w:t xml:space="preserve"> military commands,</w:t>
      </w:r>
      <w:r w:rsidR="00D15068">
        <w:rPr>
          <w:sz w:val="24"/>
          <w:szCs w:val="24"/>
        </w:rPr>
        <w:t xml:space="preserve"> </w:t>
      </w:r>
      <w:r w:rsidR="0016226E">
        <w:rPr>
          <w:sz w:val="24"/>
          <w:szCs w:val="24"/>
        </w:rPr>
        <w:t xml:space="preserve">and </w:t>
      </w:r>
      <w:r w:rsidR="00D15068">
        <w:rPr>
          <w:sz w:val="24"/>
          <w:szCs w:val="24"/>
        </w:rPr>
        <w:t>in</w:t>
      </w:r>
      <w:r w:rsidR="00217C54" w:rsidRPr="00217C54">
        <w:rPr>
          <w:sz w:val="24"/>
          <w:szCs w:val="24"/>
        </w:rPr>
        <w:t xml:space="preserve"> </w:t>
      </w:r>
      <w:r w:rsidR="00217C54">
        <w:rPr>
          <w:sz w:val="24"/>
          <w:szCs w:val="24"/>
        </w:rPr>
        <w:t xml:space="preserve">the </w:t>
      </w:r>
      <w:r w:rsidR="00217C54" w:rsidRPr="00217C54">
        <w:rPr>
          <w:sz w:val="24"/>
          <w:szCs w:val="24"/>
        </w:rPr>
        <w:t>1947 National Security Act</w:t>
      </w:r>
      <w:r w:rsidR="00217C54">
        <w:rPr>
          <w:sz w:val="24"/>
          <w:szCs w:val="24"/>
        </w:rPr>
        <w:t xml:space="preserve"> that</w:t>
      </w:r>
      <w:r w:rsidR="00217C54" w:rsidRPr="00217C54">
        <w:rPr>
          <w:sz w:val="24"/>
          <w:szCs w:val="24"/>
        </w:rPr>
        <w:t xml:space="preserve"> creat</w:t>
      </w:r>
      <w:r w:rsidR="00217C54">
        <w:rPr>
          <w:sz w:val="24"/>
          <w:szCs w:val="24"/>
        </w:rPr>
        <w:t>ed the</w:t>
      </w:r>
      <w:r w:rsidR="00217C54" w:rsidRPr="00217C54">
        <w:rPr>
          <w:sz w:val="24"/>
          <w:szCs w:val="24"/>
        </w:rPr>
        <w:t xml:space="preserve"> N</w:t>
      </w:r>
      <w:r w:rsidR="00D15068">
        <w:rPr>
          <w:sz w:val="24"/>
          <w:szCs w:val="24"/>
        </w:rPr>
        <w:t>ational Security Council</w:t>
      </w:r>
      <w:r w:rsidR="00217C54" w:rsidRPr="00217C54">
        <w:rPr>
          <w:sz w:val="24"/>
          <w:szCs w:val="24"/>
        </w:rPr>
        <w:t xml:space="preserve"> and </w:t>
      </w:r>
      <w:r w:rsidR="00D15068">
        <w:rPr>
          <w:sz w:val="24"/>
          <w:szCs w:val="24"/>
        </w:rPr>
        <w:t xml:space="preserve">the </w:t>
      </w:r>
      <w:r w:rsidR="00217C54" w:rsidRPr="00217C54">
        <w:rPr>
          <w:sz w:val="24"/>
          <w:szCs w:val="24"/>
        </w:rPr>
        <w:t>C</w:t>
      </w:r>
      <w:r w:rsidR="00D15068">
        <w:rPr>
          <w:sz w:val="24"/>
          <w:szCs w:val="24"/>
        </w:rPr>
        <w:t xml:space="preserve">entral </w:t>
      </w:r>
      <w:r w:rsidR="00217C54" w:rsidRPr="00217C54">
        <w:rPr>
          <w:sz w:val="24"/>
          <w:szCs w:val="24"/>
        </w:rPr>
        <w:t>I</w:t>
      </w:r>
      <w:r w:rsidR="00D15068">
        <w:rPr>
          <w:sz w:val="24"/>
          <w:szCs w:val="24"/>
        </w:rPr>
        <w:t xml:space="preserve">ntelligence </w:t>
      </w:r>
      <w:r w:rsidR="00217C54" w:rsidRPr="00217C54">
        <w:rPr>
          <w:sz w:val="24"/>
          <w:szCs w:val="24"/>
        </w:rPr>
        <w:t>A</w:t>
      </w:r>
      <w:r w:rsidR="00D15068">
        <w:rPr>
          <w:sz w:val="24"/>
          <w:szCs w:val="24"/>
        </w:rPr>
        <w:t>gency</w:t>
      </w:r>
      <w:r w:rsidR="00217C54">
        <w:rPr>
          <w:sz w:val="24"/>
          <w:szCs w:val="24"/>
        </w:rPr>
        <w:t xml:space="preserve">. </w:t>
      </w:r>
      <w:r w:rsidR="00F56577">
        <w:rPr>
          <w:sz w:val="24"/>
          <w:szCs w:val="24"/>
        </w:rPr>
        <w:t xml:space="preserve"> </w:t>
      </w:r>
    </w:p>
    <w:p w:rsidR="008F6935" w:rsidRDefault="008F6935" w:rsidP="00DC06B0">
      <w:pPr>
        <w:spacing w:after="0" w:line="480" w:lineRule="auto"/>
        <w:ind w:firstLine="709"/>
        <w:jc w:val="both"/>
        <w:rPr>
          <w:sz w:val="24"/>
          <w:szCs w:val="24"/>
        </w:rPr>
      </w:pPr>
    </w:p>
    <w:p w:rsidR="00641549" w:rsidRDefault="008F4B07" w:rsidP="008F6935">
      <w:pPr>
        <w:spacing w:after="0" w:line="480" w:lineRule="auto"/>
        <w:ind w:firstLine="709"/>
        <w:jc w:val="both"/>
        <w:rPr>
          <w:sz w:val="24"/>
          <w:szCs w:val="24"/>
        </w:rPr>
      </w:pPr>
      <w:r>
        <w:rPr>
          <w:sz w:val="24"/>
          <w:szCs w:val="24"/>
        </w:rPr>
        <w:t>Out of this process emerged</w:t>
      </w:r>
      <w:r w:rsidRPr="005E142B">
        <w:rPr>
          <w:sz w:val="24"/>
          <w:szCs w:val="24"/>
        </w:rPr>
        <w:t xml:space="preserve"> a cohesive foreign policy elite</w:t>
      </w:r>
      <w:r>
        <w:rPr>
          <w:sz w:val="24"/>
          <w:szCs w:val="24"/>
        </w:rPr>
        <w:t xml:space="preserve">. </w:t>
      </w:r>
      <w:r w:rsidR="00641549" w:rsidRPr="005E142B">
        <w:rPr>
          <w:color w:val="000000"/>
          <w:sz w:val="24"/>
          <w:szCs w:val="24"/>
        </w:rPr>
        <w:t>Th</w:t>
      </w:r>
      <w:r w:rsidR="00010E6A">
        <w:rPr>
          <w:color w:val="000000"/>
          <w:sz w:val="24"/>
          <w:szCs w:val="24"/>
        </w:rPr>
        <w:t xml:space="preserve">is elite </w:t>
      </w:r>
      <w:r w:rsidR="008F6935">
        <w:rPr>
          <w:color w:val="000000"/>
          <w:sz w:val="24"/>
          <w:szCs w:val="24"/>
        </w:rPr>
        <w:t xml:space="preserve">successfully </w:t>
      </w:r>
      <w:r w:rsidR="00641549" w:rsidRPr="005E142B">
        <w:rPr>
          <w:color w:val="000000"/>
          <w:sz w:val="24"/>
          <w:szCs w:val="24"/>
        </w:rPr>
        <w:t xml:space="preserve"> </w:t>
      </w:r>
      <w:r w:rsidR="008F6935">
        <w:rPr>
          <w:color w:val="000000"/>
          <w:sz w:val="24"/>
          <w:szCs w:val="24"/>
        </w:rPr>
        <w:t>advanced</w:t>
      </w:r>
      <w:r w:rsidR="00641549" w:rsidRPr="005E142B">
        <w:rPr>
          <w:color w:val="000000"/>
          <w:sz w:val="24"/>
          <w:szCs w:val="24"/>
        </w:rPr>
        <w:t xml:space="preserve"> major policies, from the post</w:t>
      </w:r>
      <w:r w:rsidR="00641549">
        <w:rPr>
          <w:color w:val="000000"/>
          <w:sz w:val="24"/>
          <w:szCs w:val="24"/>
        </w:rPr>
        <w:t>-</w:t>
      </w:r>
      <w:r w:rsidR="00641549" w:rsidRPr="005E142B">
        <w:rPr>
          <w:color w:val="000000"/>
          <w:sz w:val="24"/>
          <w:szCs w:val="24"/>
        </w:rPr>
        <w:t xml:space="preserve">war revival of Western Europe’s economies and the formation of NATO, to the creation of a National Economic Council, to the Bush II administration’s </w:t>
      </w:r>
      <w:r w:rsidR="00872F3E">
        <w:rPr>
          <w:color w:val="000000"/>
          <w:sz w:val="24"/>
          <w:szCs w:val="24"/>
        </w:rPr>
        <w:t>“</w:t>
      </w:r>
      <w:r w:rsidR="00641549" w:rsidRPr="005E142B">
        <w:rPr>
          <w:color w:val="000000"/>
          <w:sz w:val="24"/>
          <w:szCs w:val="24"/>
        </w:rPr>
        <w:t>surge</w:t>
      </w:r>
      <w:r w:rsidR="00872F3E">
        <w:rPr>
          <w:color w:val="000000"/>
          <w:sz w:val="24"/>
          <w:szCs w:val="24"/>
        </w:rPr>
        <w:t>”</w:t>
      </w:r>
      <w:r w:rsidR="00641549" w:rsidRPr="005E142B">
        <w:rPr>
          <w:color w:val="000000"/>
          <w:sz w:val="24"/>
          <w:szCs w:val="24"/>
        </w:rPr>
        <w:t xml:space="preserve"> in Iraq. </w:t>
      </w:r>
      <w:r w:rsidR="00641549" w:rsidRPr="005E142B">
        <w:rPr>
          <w:sz w:val="24"/>
          <w:szCs w:val="24"/>
        </w:rPr>
        <w:t>Th</w:t>
      </w:r>
      <w:r w:rsidR="00010E6A">
        <w:rPr>
          <w:sz w:val="24"/>
          <w:szCs w:val="24"/>
        </w:rPr>
        <w:t>e</w:t>
      </w:r>
      <w:r w:rsidR="00641549" w:rsidRPr="005E142B">
        <w:rPr>
          <w:sz w:val="24"/>
          <w:szCs w:val="24"/>
        </w:rPr>
        <w:t xml:space="preserve"> establishment was demoralised by the Vietnam War and economic malaise in the late 1960’s and early 1970’s, but rebuilt itself on the back of Ronald Reagan’s presidency.</w:t>
      </w:r>
      <w:r w:rsidR="00641549" w:rsidRPr="005E142B">
        <w:rPr>
          <w:rStyle w:val="FootnoteReference"/>
          <w:sz w:val="24"/>
          <w:szCs w:val="24"/>
        </w:rPr>
        <w:footnoteReference w:id="25"/>
      </w:r>
      <w:r w:rsidR="00641549" w:rsidRPr="005E142B">
        <w:rPr>
          <w:sz w:val="24"/>
          <w:szCs w:val="24"/>
        </w:rPr>
        <w:t xml:space="preserve"> </w:t>
      </w:r>
      <w:r w:rsidR="00010E6A">
        <w:rPr>
          <w:sz w:val="24"/>
          <w:szCs w:val="24"/>
        </w:rPr>
        <w:t xml:space="preserve">It </w:t>
      </w:r>
      <w:r w:rsidR="00D6687E" w:rsidRPr="005E142B">
        <w:rPr>
          <w:sz w:val="24"/>
          <w:szCs w:val="24"/>
        </w:rPr>
        <w:t>get</w:t>
      </w:r>
      <w:r w:rsidR="00010E6A">
        <w:rPr>
          <w:sz w:val="24"/>
          <w:szCs w:val="24"/>
        </w:rPr>
        <w:t>s</w:t>
      </w:r>
      <w:r w:rsidR="00D6687E" w:rsidRPr="005E142B">
        <w:rPr>
          <w:sz w:val="24"/>
          <w:szCs w:val="24"/>
        </w:rPr>
        <w:t xml:space="preserve"> </w:t>
      </w:r>
      <w:r w:rsidR="00010E6A">
        <w:rPr>
          <w:sz w:val="24"/>
          <w:szCs w:val="24"/>
        </w:rPr>
        <w:t xml:space="preserve">its </w:t>
      </w:r>
      <w:r w:rsidR="00D6687E" w:rsidRPr="005E142B">
        <w:rPr>
          <w:sz w:val="24"/>
          <w:szCs w:val="24"/>
        </w:rPr>
        <w:t xml:space="preserve">way often. As research demonstrates, </w:t>
      </w:r>
      <w:r w:rsidR="00872F3E">
        <w:rPr>
          <w:sz w:val="24"/>
          <w:szCs w:val="24"/>
        </w:rPr>
        <w:t>“</w:t>
      </w:r>
      <w:r w:rsidR="00D6687E" w:rsidRPr="005E142B">
        <w:rPr>
          <w:sz w:val="24"/>
          <w:szCs w:val="24"/>
        </w:rPr>
        <w:t>the gravitational pull</w:t>
      </w:r>
      <w:r w:rsidR="00872F3E">
        <w:rPr>
          <w:sz w:val="24"/>
          <w:szCs w:val="24"/>
        </w:rPr>
        <w:t>”</w:t>
      </w:r>
      <w:r w:rsidR="00D6687E" w:rsidRPr="005E142B">
        <w:rPr>
          <w:sz w:val="24"/>
          <w:szCs w:val="24"/>
        </w:rPr>
        <w:t xml:space="preserve"> </w:t>
      </w:r>
      <w:r w:rsidR="00D6687E" w:rsidRPr="005E142B">
        <w:rPr>
          <w:sz w:val="24"/>
          <w:szCs w:val="24"/>
        </w:rPr>
        <w:lastRenderedPageBreak/>
        <w:t>on f</w:t>
      </w:r>
      <w:r w:rsidR="00872F3E">
        <w:rPr>
          <w:sz w:val="24"/>
          <w:szCs w:val="24"/>
        </w:rPr>
        <w:t xml:space="preserve">oreign policy decisions by the </w:t>
      </w:r>
      <w:r w:rsidR="00D6687E" w:rsidRPr="005E142B">
        <w:rPr>
          <w:sz w:val="24"/>
          <w:szCs w:val="24"/>
        </w:rPr>
        <w:t>foreign policy establishme</w:t>
      </w:r>
      <w:r w:rsidR="00872F3E">
        <w:rPr>
          <w:sz w:val="24"/>
          <w:szCs w:val="24"/>
        </w:rPr>
        <w:t>nt</w:t>
      </w:r>
      <w:r w:rsidR="00D6687E" w:rsidRPr="005E142B">
        <w:rPr>
          <w:sz w:val="24"/>
          <w:szCs w:val="24"/>
        </w:rPr>
        <w:t xml:space="preserve"> tends to be </w:t>
      </w:r>
      <w:r w:rsidR="00872F3E">
        <w:rPr>
          <w:sz w:val="24"/>
          <w:szCs w:val="24"/>
        </w:rPr>
        <w:t>“</w:t>
      </w:r>
      <w:r w:rsidR="00D6687E" w:rsidRPr="005E142B">
        <w:rPr>
          <w:sz w:val="24"/>
          <w:szCs w:val="24"/>
        </w:rPr>
        <w:t>stronger than the attraction of public opinion.</w:t>
      </w:r>
      <w:r w:rsidR="00872F3E">
        <w:rPr>
          <w:sz w:val="24"/>
          <w:szCs w:val="24"/>
        </w:rPr>
        <w:t>”</w:t>
      </w:r>
      <w:r w:rsidR="00D6687E" w:rsidRPr="005E142B">
        <w:rPr>
          <w:rStyle w:val="FootnoteReference"/>
          <w:sz w:val="24"/>
          <w:szCs w:val="24"/>
        </w:rPr>
        <w:footnoteReference w:id="26"/>
      </w:r>
    </w:p>
    <w:p w:rsidR="00ED25DA" w:rsidRDefault="00ED25DA" w:rsidP="0016226E">
      <w:pPr>
        <w:spacing w:after="0" w:line="480" w:lineRule="auto"/>
        <w:ind w:firstLine="567"/>
        <w:jc w:val="both"/>
        <w:rPr>
          <w:sz w:val="24"/>
          <w:szCs w:val="24"/>
        </w:rPr>
      </w:pPr>
    </w:p>
    <w:p w:rsidR="003601AC" w:rsidRPr="007B7B22" w:rsidRDefault="00604C7A" w:rsidP="007B7B22">
      <w:pPr>
        <w:spacing w:after="0" w:line="480" w:lineRule="auto"/>
        <w:ind w:firstLine="709"/>
        <w:jc w:val="both"/>
        <w:rPr>
          <w:color w:val="000000"/>
          <w:sz w:val="24"/>
          <w:szCs w:val="24"/>
        </w:rPr>
      </w:pPr>
      <w:r>
        <w:rPr>
          <w:sz w:val="24"/>
          <w:szCs w:val="24"/>
        </w:rPr>
        <w:t>T</w:t>
      </w:r>
      <w:r w:rsidR="0016226E">
        <w:rPr>
          <w:color w:val="000000"/>
          <w:sz w:val="24"/>
          <w:szCs w:val="24"/>
        </w:rPr>
        <w:t xml:space="preserve">he </w:t>
      </w:r>
      <w:r w:rsidR="0016226E" w:rsidRPr="005E142B">
        <w:rPr>
          <w:color w:val="000000"/>
          <w:sz w:val="24"/>
          <w:szCs w:val="24"/>
        </w:rPr>
        <w:t xml:space="preserve">establishment is not monolithic. </w:t>
      </w:r>
      <w:r w:rsidR="0016226E">
        <w:rPr>
          <w:color w:val="000000"/>
          <w:sz w:val="24"/>
          <w:szCs w:val="24"/>
        </w:rPr>
        <w:t>I</w:t>
      </w:r>
      <w:r w:rsidR="0016226E" w:rsidRPr="005E142B">
        <w:rPr>
          <w:color w:val="000000"/>
          <w:sz w:val="24"/>
          <w:szCs w:val="24"/>
        </w:rPr>
        <w:t xml:space="preserve">ts figures dispute issues below the grand strategic level, such as human rights, the extent of multilateral cooperation, democracy promotion or </w:t>
      </w:r>
      <w:r>
        <w:rPr>
          <w:color w:val="000000"/>
          <w:sz w:val="24"/>
          <w:szCs w:val="24"/>
        </w:rPr>
        <w:t>specific</w:t>
      </w:r>
      <w:r w:rsidR="0016226E" w:rsidRPr="005E142B">
        <w:rPr>
          <w:color w:val="000000"/>
          <w:sz w:val="24"/>
          <w:szCs w:val="24"/>
        </w:rPr>
        <w:t xml:space="preserve"> interventions.</w:t>
      </w:r>
      <w:r w:rsidR="0016226E">
        <w:rPr>
          <w:color w:val="000000"/>
          <w:sz w:val="24"/>
          <w:szCs w:val="24"/>
        </w:rPr>
        <w:t xml:space="preserve"> </w:t>
      </w:r>
      <w:r w:rsidR="0016226E" w:rsidRPr="005E142B">
        <w:rPr>
          <w:color w:val="000000"/>
          <w:sz w:val="24"/>
          <w:szCs w:val="24"/>
        </w:rPr>
        <w:t xml:space="preserve">Until the 1960’s, it was mostly a patrician, predominantly white, Protestant class </w:t>
      </w:r>
      <w:r w:rsidR="0016226E" w:rsidRPr="005E142B">
        <w:rPr>
          <w:sz w:val="24"/>
          <w:szCs w:val="24"/>
        </w:rPr>
        <w:t xml:space="preserve">that internalised values nurtured </w:t>
      </w:r>
      <w:r w:rsidR="00872F3E">
        <w:rPr>
          <w:sz w:val="24"/>
          <w:szCs w:val="24"/>
        </w:rPr>
        <w:t>“</w:t>
      </w:r>
      <w:r w:rsidR="0016226E" w:rsidRPr="005E142B">
        <w:rPr>
          <w:sz w:val="24"/>
          <w:szCs w:val="24"/>
        </w:rPr>
        <w:t>in prep schools, at college clubs, in the boardrooms of Wall</w:t>
      </w:r>
      <w:r w:rsidR="00C24A57">
        <w:rPr>
          <w:sz w:val="24"/>
          <w:szCs w:val="24"/>
        </w:rPr>
        <w:t xml:space="preserve"> Street, and at dinner parties.</w:t>
      </w:r>
      <w:r w:rsidR="00872F3E">
        <w:rPr>
          <w:sz w:val="24"/>
          <w:szCs w:val="24"/>
        </w:rPr>
        <w:t>”</w:t>
      </w:r>
      <w:r w:rsidR="0016226E" w:rsidRPr="005E142B">
        <w:rPr>
          <w:rStyle w:val="FootnoteReference"/>
          <w:sz w:val="24"/>
          <w:szCs w:val="24"/>
        </w:rPr>
        <w:footnoteReference w:id="27"/>
      </w:r>
      <w:r w:rsidR="0016226E" w:rsidRPr="005E142B">
        <w:rPr>
          <w:sz w:val="24"/>
          <w:szCs w:val="24"/>
        </w:rPr>
        <w:t xml:space="preserve"> It then</w:t>
      </w:r>
      <w:r w:rsidR="0016226E" w:rsidRPr="005E142B">
        <w:rPr>
          <w:color w:val="000000"/>
          <w:sz w:val="24"/>
          <w:szCs w:val="24"/>
        </w:rPr>
        <w:t xml:space="preserve"> incorporated non-whites, women, first-generation immigrants, Jews, and Roman Catholics, to form a more heterogenous class of coastal internationalists, oriented around the Ivy League. </w:t>
      </w:r>
      <w:r w:rsidR="007B7B22">
        <w:rPr>
          <w:color w:val="000000"/>
          <w:sz w:val="24"/>
          <w:szCs w:val="24"/>
        </w:rPr>
        <w:t>Still, t</w:t>
      </w:r>
      <w:r w:rsidR="0016226E">
        <w:rPr>
          <w:color w:val="000000"/>
          <w:sz w:val="24"/>
          <w:szCs w:val="24"/>
        </w:rPr>
        <w:t>his</w:t>
      </w:r>
      <w:r w:rsidR="00F56577">
        <w:rPr>
          <w:sz w:val="24"/>
          <w:szCs w:val="24"/>
        </w:rPr>
        <w:t xml:space="preserve"> cross-section of internationalist elites </w:t>
      </w:r>
      <w:r w:rsidR="004140F3">
        <w:rPr>
          <w:sz w:val="24"/>
          <w:szCs w:val="24"/>
        </w:rPr>
        <w:t xml:space="preserve">- </w:t>
      </w:r>
      <w:r w:rsidR="00F56577">
        <w:rPr>
          <w:sz w:val="24"/>
          <w:szCs w:val="24"/>
        </w:rPr>
        <w:t xml:space="preserve">the forerunners of </w:t>
      </w:r>
      <w:r w:rsidR="0016226E">
        <w:rPr>
          <w:sz w:val="24"/>
          <w:szCs w:val="24"/>
        </w:rPr>
        <w:t>today’s</w:t>
      </w:r>
      <w:r w:rsidR="00F56577">
        <w:rPr>
          <w:sz w:val="24"/>
          <w:szCs w:val="24"/>
        </w:rPr>
        <w:t xml:space="preserve"> </w:t>
      </w:r>
      <w:r w:rsidR="008E3104">
        <w:rPr>
          <w:sz w:val="24"/>
          <w:szCs w:val="24"/>
        </w:rPr>
        <w:t>“blob”</w:t>
      </w:r>
      <w:r w:rsidR="00F56577">
        <w:rPr>
          <w:sz w:val="24"/>
          <w:szCs w:val="24"/>
        </w:rPr>
        <w:t xml:space="preserve"> </w:t>
      </w:r>
      <w:r w:rsidR="0016226E">
        <w:rPr>
          <w:sz w:val="24"/>
          <w:szCs w:val="24"/>
        </w:rPr>
        <w:t>–</w:t>
      </w:r>
      <w:r w:rsidR="004140F3">
        <w:rPr>
          <w:sz w:val="24"/>
          <w:szCs w:val="24"/>
        </w:rPr>
        <w:t xml:space="preserve"> </w:t>
      </w:r>
      <w:r w:rsidR="00D6687E">
        <w:rPr>
          <w:sz w:val="24"/>
          <w:szCs w:val="24"/>
        </w:rPr>
        <w:t xml:space="preserve">are </w:t>
      </w:r>
      <w:r w:rsidR="0016226E">
        <w:rPr>
          <w:sz w:val="24"/>
          <w:szCs w:val="24"/>
        </w:rPr>
        <w:t xml:space="preserve">united by </w:t>
      </w:r>
      <w:r>
        <w:rPr>
          <w:sz w:val="24"/>
          <w:szCs w:val="24"/>
        </w:rPr>
        <w:t>a</w:t>
      </w:r>
      <w:r w:rsidR="0016226E">
        <w:rPr>
          <w:sz w:val="24"/>
          <w:szCs w:val="24"/>
        </w:rPr>
        <w:t xml:space="preserve"> consensus. They </w:t>
      </w:r>
      <w:r w:rsidR="00D6687E">
        <w:rPr>
          <w:sz w:val="24"/>
          <w:szCs w:val="24"/>
        </w:rPr>
        <w:t xml:space="preserve">are </w:t>
      </w:r>
      <w:r w:rsidR="00F56577">
        <w:rPr>
          <w:sz w:val="24"/>
          <w:szCs w:val="24"/>
        </w:rPr>
        <w:t>concerned that the U</w:t>
      </w:r>
      <w:r w:rsidR="0016226E">
        <w:rPr>
          <w:sz w:val="24"/>
          <w:szCs w:val="24"/>
        </w:rPr>
        <w:t>.</w:t>
      </w:r>
      <w:r w:rsidR="00F56577">
        <w:rPr>
          <w:sz w:val="24"/>
          <w:szCs w:val="24"/>
        </w:rPr>
        <w:t>S</w:t>
      </w:r>
      <w:r w:rsidR="0016226E">
        <w:rPr>
          <w:sz w:val="24"/>
          <w:szCs w:val="24"/>
        </w:rPr>
        <w:t>.</w:t>
      </w:r>
      <w:r w:rsidR="00F56577">
        <w:rPr>
          <w:sz w:val="24"/>
          <w:szCs w:val="24"/>
        </w:rPr>
        <w:t xml:space="preserve"> remain engaged in upholding world order. They fear</w:t>
      </w:r>
      <w:r w:rsidR="00D6687E">
        <w:rPr>
          <w:sz w:val="24"/>
          <w:szCs w:val="24"/>
        </w:rPr>
        <w:t xml:space="preserve"> </w:t>
      </w:r>
      <w:r w:rsidR="0016226E">
        <w:rPr>
          <w:sz w:val="24"/>
          <w:szCs w:val="24"/>
        </w:rPr>
        <w:t>U.S. retreat from overseas responsibilities, warning abandonment would</w:t>
      </w:r>
      <w:r w:rsidR="00F56577">
        <w:rPr>
          <w:sz w:val="24"/>
          <w:szCs w:val="24"/>
        </w:rPr>
        <w:t xml:space="preserve"> lead to the return of rival power blocs, economic stagnation and catastrophe</w:t>
      </w:r>
      <w:r w:rsidR="0016226E">
        <w:rPr>
          <w:sz w:val="24"/>
          <w:szCs w:val="24"/>
        </w:rPr>
        <w:t>.</w:t>
      </w:r>
      <w:r w:rsidR="00F56577">
        <w:rPr>
          <w:sz w:val="24"/>
          <w:szCs w:val="24"/>
        </w:rPr>
        <w:t xml:space="preserve"> </w:t>
      </w:r>
      <w:r w:rsidR="00641549">
        <w:rPr>
          <w:sz w:val="24"/>
          <w:szCs w:val="24"/>
        </w:rPr>
        <w:t>They</w:t>
      </w:r>
      <w:r w:rsidR="00D6687E">
        <w:rPr>
          <w:sz w:val="24"/>
          <w:szCs w:val="24"/>
        </w:rPr>
        <w:t xml:space="preserve"> have</w:t>
      </w:r>
      <w:r w:rsidR="00F56577">
        <w:rPr>
          <w:sz w:val="24"/>
          <w:szCs w:val="24"/>
        </w:rPr>
        <w:t xml:space="preserve"> </w:t>
      </w:r>
      <w:r w:rsidR="0079255D">
        <w:rPr>
          <w:sz w:val="24"/>
          <w:szCs w:val="24"/>
        </w:rPr>
        <w:t>succe</w:t>
      </w:r>
      <w:r w:rsidR="00D15068">
        <w:rPr>
          <w:sz w:val="24"/>
          <w:szCs w:val="24"/>
        </w:rPr>
        <w:t>ssfully</w:t>
      </w:r>
      <w:r w:rsidR="0079255D">
        <w:rPr>
          <w:sz w:val="24"/>
          <w:szCs w:val="24"/>
        </w:rPr>
        <w:t xml:space="preserve"> </w:t>
      </w:r>
      <w:r w:rsidR="00D15068">
        <w:rPr>
          <w:sz w:val="24"/>
          <w:szCs w:val="24"/>
        </w:rPr>
        <w:t>established</w:t>
      </w:r>
      <w:r w:rsidR="0079255D">
        <w:rPr>
          <w:sz w:val="24"/>
          <w:szCs w:val="24"/>
        </w:rPr>
        <w:t xml:space="preserve"> primacy as </w:t>
      </w:r>
      <w:r w:rsidR="00D15068">
        <w:rPr>
          <w:sz w:val="24"/>
          <w:szCs w:val="24"/>
        </w:rPr>
        <w:t xml:space="preserve">the </w:t>
      </w:r>
      <w:r w:rsidR="0016226E" w:rsidRPr="005E142B">
        <w:rPr>
          <w:color w:val="000000"/>
          <w:sz w:val="24"/>
          <w:szCs w:val="24"/>
        </w:rPr>
        <w:t xml:space="preserve">only viable, legitimate </w:t>
      </w:r>
      <w:r w:rsidR="0016226E">
        <w:rPr>
          <w:color w:val="000000"/>
          <w:sz w:val="24"/>
          <w:szCs w:val="24"/>
        </w:rPr>
        <w:t xml:space="preserve">grand </w:t>
      </w:r>
      <w:r w:rsidR="0016226E" w:rsidRPr="005E142B">
        <w:rPr>
          <w:color w:val="000000"/>
          <w:sz w:val="24"/>
          <w:szCs w:val="24"/>
        </w:rPr>
        <w:t>strategy</w:t>
      </w:r>
      <w:r w:rsidR="00641549">
        <w:rPr>
          <w:color w:val="000000"/>
          <w:sz w:val="24"/>
          <w:szCs w:val="24"/>
        </w:rPr>
        <w:t>,</w:t>
      </w:r>
      <w:r w:rsidR="007B7B22">
        <w:rPr>
          <w:color w:val="000000"/>
          <w:sz w:val="24"/>
          <w:szCs w:val="24"/>
        </w:rPr>
        <w:t xml:space="preserve"> and as an ingrained set of ideas, while</w:t>
      </w:r>
      <w:r w:rsidR="00D15068">
        <w:rPr>
          <w:sz w:val="24"/>
          <w:szCs w:val="24"/>
        </w:rPr>
        <w:t xml:space="preserve"> </w:t>
      </w:r>
      <w:r w:rsidR="0016226E">
        <w:rPr>
          <w:sz w:val="24"/>
          <w:szCs w:val="24"/>
        </w:rPr>
        <w:t>install</w:t>
      </w:r>
      <w:r w:rsidR="00641549">
        <w:rPr>
          <w:sz w:val="24"/>
          <w:szCs w:val="24"/>
        </w:rPr>
        <w:t>ing</w:t>
      </w:r>
      <w:r w:rsidR="0016226E">
        <w:rPr>
          <w:sz w:val="24"/>
          <w:szCs w:val="24"/>
        </w:rPr>
        <w:t xml:space="preserve"> themselves </w:t>
      </w:r>
      <w:r w:rsidR="00D6687E">
        <w:rPr>
          <w:sz w:val="24"/>
          <w:szCs w:val="24"/>
        </w:rPr>
        <w:t>as insiders, positioned</w:t>
      </w:r>
      <w:r w:rsidR="0016226E">
        <w:rPr>
          <w:sz w:val="24"/>
          <w:szCs w:val="24"/>
        </w:rPr>
        <w:t xml:space="preserve"> to steer the state</w:t>
      </w:r>
      <w:r w:rsidR="00641549">
        <w:rPr>
          <w:sz w:val="24"/>
          <w:szCs w:val="24"/>
        </w:rPr>
        <w:t xml:space="preserve">. </w:t>
      </w:r>
    </w:p>
    <w:p w:rsidR="00D80ED9" w:rsidRDefault="00D80ED9" w:rsidP="00641549">
      <w:pPr>
        <w:spacing w:after="0" w:line="480" w:lineRule="auto"/>
        <w:ind w:firstLine="709"/>
        <w:jc w:val="both"/>
        <w:rPr>
          <w:sz w:val="24"/>
          <w:szCs w:val="24"/>
        </w:rPr>
      </w:pPr>
    </w:p>
    <w:p w:rsidR="00D80ED9" w:rsidRPr="005E142B" w:rsidRDefault="00D80ED9" w:rsidP="00423984">
      <w:pPr>
        <w:spacing w:after="0" w:line="480" w:lineRule="auto"/>
        <w:ind w:firstLine="709"/>
        <w:jc w:val="both"/>
        <w:rPr>
          <w:sz w:val="24"/>
          <w:szCs w:val="24"/>
        </w:rPr>
      </w:pPr>
      <w:r>
        <w:rPr>
          <w:sz w:val="24"/>
          <w:szCs w:val="24"/>
        </w:rPr>
        <w:t xml:space="preserve">The </w:t>
      </w:r>
      <w:r w:rsidR="008E3104">
        <w:rPr>
          <w:sz w:val="24"/>
          <w:szCs w:val="24"/>
        </w:rPr>
        <w:t>“blob”</w:t>
      </w:r>
      <w:r>
        <w:rPr>
          <w:sz w:val="24"/>
          <w:szCs w:val="24"/>
        </w:rPr>
        <w:t xml:space="preserve"> </w:t>
      </w:r>
      <w:r w:rsidRPr="005E142B">
        <w:rPr>
          <w:sz w:val="24"/>
          <w:szCs w:val="24"/>
        </w:rPr>
        <w:t>reproduce</w:t>
      </w:r>
      <w:r>
        <w:rPr>
          <w:sz w:val="24"/>
          <w:szCs w:val="24"/>
        </w:rPr>
        <w:t>s its</w:t>
      </w:r>
      <w:r w:rsidRPr="005E142B">
        <w:rPr>
          <w:sz w:val="24"/>
          <w:szCs w:val="24"/>
        </w:rPr>
        <w:t xml:space="preserve"> ideology through four cau</w:t>
      </w:r>
      <w:r>
        <w:rPr>
          <w:sz w:val="24"/>
          <w:szCs w:val="24"/>
        </w:rPr>
        <w:t>sal mechanisms. First, security elites</w:t>
      </w:r>
      <w:r w:rsidRPr="005E142B">
        <w:rPr>
          <w:sz w:val="24"/>
          <w:szCs w:val="24"/>
        </w:rPr>
        <w:t xml:space="preserve"> accumulate knowledge about what they think works and form mental shortcuts that they repeat and internalise</w:t>
      </w:r>
      <w:r>
        <w:rPr>
          <w:sz w:val="24"/>
          <w:szCs w:val="24"/>
        </w:rPr>
        <w:t>.</w:t>
      </w:r>
      <w:r w:rsidRPr="005E142B">
        <w:rPr>
          <w:sz w:val="24"/>
          <w:szCs w:val="24"/>
        </w:rPr>
        <w:t xml:space="preserve"> Secondly, they socialise</w:t>
      </w:r>
      <w:r>
        <w:rPr>
          <w:sz w:val="24"/>
          <w:szCs w:val="24"/>
        </w:rPr>
        <w:t xml:space="preserve"> </w:t>
      </w:r>
      <w:r w:rsidRPr="005E142B">
        <w:rPr>
          <w:sz w:val="24"/>
          <w:szCs w:val="24"/>
        </w:rPr>
        <w:t>personnel into their world view, educating and selecting individuals who conform, excluding or penalising those who don’t, link</w:t>
      </w:r>
      <w:r>
        <w:rPr>
          <w:sz w:val="24"/>
          <w:szCs w:val="24"/>
        </w:rPr>
        <w:t>ing</w:t>
      </w:r>
      <w:r w:rsidRPr="005E142B">
        <w:rPr>
          <w:sz w:val="24"/>
          <w:szCs w:val="24"/>
        </w:rPr>
        <w:t xml:space="preserve"> conformity to an axiomatic world-view with insider status, and dominate the pool of experienced talent that makes up officialdom. </w:t>
      </w:r>
      <w:r w:rsidR="00DC06B0" w:rsidRPr="005E142B">
        <w:rPr>
          <w:sz w:val="24"/>
          <w:szCs w:val="24"/>
        </w:rPr>
        <w:t xml:space="preserve">They have privileged access to power via an </w:t>
      </w:r>
      <w:r w:rsidR="00DC06B0" w:rsidRPr="005E142B">
        <w:rPr>
          <w:sz w:val="24"/>
          <w:szCs w:val="24"/>
        </w:rPr>
        <w:lastRenderedPageBreak/>
        <w:t xml:space="preserve">institutional </w:t>
      </w:r>
      <w:r w:rsidR="00872F3E">
        <w:rPr>
          <w:sz w:val="24"/>
          <w:szCs w:val="24"/>
        </w:rPr>
        <w:t>revolving door</w:t>
      </w:r>
      <w:r w:rsidR="00DC06B0" w:rsidRPr="005E142B">
        <w:rPr>
          <w:sz w:val="24"/>
          <w:szCs w:val="24"/>
        </w:rPr>
        <w:t>, a set of social networks and institutions, the locations where grand strategic ideas intervene at the unit level, between appointments in government, through to foundations, think tanks, universities and bodies from the Council on Foreign Relations to the Trilateral Commission.</w:t>
      </w:r>
      <w:r w:rsidR="00DC06B0" w:rsidRPr="005E142B">
        <w:rPr>
          <w:rStyle w:val="FootnoteReference"/>
          <w:sz w:val="24"/>
          <w:szCs w:val="24"/>
        </w:rPr>
        <w:footnoteReference w:id="28"/>
      </w:r>
      <w:r w:rsidR="00DC06B0" w:rsidRPr="00641549">
        <w:rPr>
          <w:color w:val="000000"/>
          <w:sz w:val="24"/>
          <w:szCs w:val="24"/>
        </w:rPr>
        <w:t xml:space="preserve"> </w:t>
      </w:r>
      <w:r w:rsidR="007775FD">
        <w:rPr>
          <w:color w:val="000000"/>
          <w:sz w:val="24"/>
          <w:szCs w:val="24"/>
        </w:rPr>
        <w:t xml:space="preserve">New presidencies will often retain </w:t>
      </w:r>
      <w:r w:rsidR="007775FD">
        <w:rPr>
          <w:sz w:val="24"/>
          <w:szCs w:val="24"/>
        </w:rPr>
        <w:t>c</w:t>
      </w:r>
      <w:r w:rsidR="007775FD" w:rsidRPr="005E142B">
        <w:rPr>
          <w:sz w:val="24"/>
          <w:szCs w:val="24"/>
        </w:rPr>
        <w:t>areer security officials</w:t>
      </w:r>
      <w:r w:rsidR="007775FD">
        <w:rPr>
          <w:sz w:val="24"/>
          <w:szCs w:val="24"/>
        </w:rPr>
        <w:t xml:space="preserve"> for the sake of continuity.</w:t>
      </w:r>
      <w:r w:rsidR="007775FD" w:rsidRPr="005E142B">
        <w:rPr>
          <w:sz w:val="24"/>
          <w:szCs w:val="24"/>
        </w:rPr>
        <w:t xml:space="preserve"> </w:t>
      </w:r>
      <w:r w:rsidRPr="005E142B">
        <w:rPr>
          <w:sz w:val="24"/>
          <w:szCs w:val="24"/>
        </w:rPr>
        <w:t xml:space="preserve">As the cohorts of qualified officialdom are socialised into orthodoxy, even </w:t>
      </w:r>
      <w:r>
        <w:rPr>
          <w:sz w:val="24"/>
          <w:szCs w:val="24"/>
        </w:rPr>
        <w:t xml:space="preserve">presidents </w:t>
      </w:r>
      <w:r w:rsidRPr="005E142B">
        <w:rPr>
          <w:sz w:val="24"/>
          <w:szCs w:val="24"/>
        </w:rPr>
        <w:t xml:space="preserve">who wish to institute change will be drawn to select from that pool. </w:t>
      </w:r>
      <w:r w:rsidR="007775FD">
        <w:rPr>
          <w:sz w:val="24"/>
          <w:szCs w:val="24"/>
        </w:rPr>
        <w:t xml:space="preserve">The </w:t>
      </w:r>
      <w:r w:rsidR="008E3104">
        <w:rPr>
          <w:sz w:val="24"/>
          <w:szCs w:val="24"/>
        </w:rPr>
        <w:t>“blob”</w:t>
      </w:r>
      <w:r w:rsidR="007775FD">
        <w:rPr>
          <w:sz w:val="24"/>
          <w:szCs w:val="24"/>
        </w:rPr>
        <w:t xml:space="preserve"> has</w:t>
      </w:r>
      <w:r w:rsidR="00DC06B0" w:rsidRPr="005E142B">
        <w:rPr>
          <w:sz w:val="24"/>
          <w:szCs w:val="24"/>
        </w:rPr>
        <w:t xml:space="preserve"> close ties to corporate </w:t>
      </w:r>
      <w:r w:rsidR="00872F3E">
        <w:rPr>
          <w:sz w:val="24"/>
          <w:szCs w:val="24"/>
        </w:rPr>
        <w:t>networks. Fifteen of Clinton’s key policy makers</w:t>
      </w:r>
      <w:r w:rsidR="00DC06B0" w:rsidRPr="005E142B">
        <w:rPr>
          <w:sz w:val="24"/>
          <w:szCs w:val="24"/>
        </w:rPr>
        <w:t>, according to one study, had a total of forty-one corporate affiliations, breeding an instinctive sympathy to the penetration of transnational capital,</w:t>
      </w:r>
      <w:r w:rsidR="00DC06B0" w:rsidRPr="005E142B">
        <w:rPr>
          <w:rStyle w:val="FootnoteReference"/>
          <w:sz w:val="24"/>
          <w:szCs w:val="24"/>
        </w:rPr>
        <w:footnoteReference w:id="29"/>
      </w:r>
      <w:r w:rsidR="00DC06B0" w:rsidRPr="005E142B">
        <w:rPr>
          <w:sz w:val="24"/>
          <w:szCs w:val="24"/>
        </w:rPr>
        <w:t xml:space="preserve"> </w:t>
      </w:r>
      <w:r w:rsidR="008E3104">
        <w:rPr>
          <w:sz w:val="24"/>
          <w:szCs w:val="24"/>
        </w:rPr>
        <w:t>reflected in Clinton’s goal of “</w:t>
      </w:r>
      <w:r w:rsidR="00DC06B0" w:rsidRPr="005E142B">
        <w:rPr>
          <w:sz w:val="24"/>
          <w:szCs w:val="24"/>
        </w:rPr>
        <w:t>open and equa</w:t>
      </w:r>
      <w:r w:rsidR="008E3104">
        <w:rPr>
          <w:sz w:val="24"/>
          <w:szCs w:val="24"/>
        </w:rPr>
        <w:t>l U</w:t>
      </w:r>
      <w:r w:rsidR="00053D13">
        <w:rPr>
          <w:sz w:val="24"/>
          <w:szCs w:val="24"/>
        </w:rPr>
        <w:t>.</w:t>
      </w:r>
      <w:r w:rsidR="008E3104">
        <w:rPr>
          <w:sz w:val="24"/>
          <w:szCs w:val="24"/>
        </w:rPr>
        <w:t>S</w:t>
      </w:r>
      <w:r w:rsidR="00053D13">
        <w:rPr>
          <w:sz w:val="24"/>
          <w:szCs w:val="24"/>
        </w:rPr>
        <w:t>.</w:t>
      </w:r>
      <w:r w:rsidR="008E3104">
        <w:rPr>
          <w:sz w:val="24"/>
          <w:szCs w:val="24"/>
        </w:rPr>
        <w:t xml:space="preserve"> access to foreign markets.”</w:t>
      </w:r>
      <w:r w:rsidR="00DC06B0" w:rsidRPr="005E142B">
        <w:rPr>
          <w:rStyle w:val="FootnoteReference"/>
          <w:sz w:val="24"/>
          <w:szCs w:val="24"/>
        </w:rPr>
        <w:footnoteReference w:id="30"/>
      </w:r>
      <w:r w:rsidR="00DC06B0">
        <w:rPr>
          <w:sz w:val="24"/>
          <w:szCs w:val="24"/>
        </w:rPr>
        <w:t xml:space="preserve"> </w:t>
      </w:r>
      <w:r w:rsidRPr="005E142B">
        <w:rPr>
          <w:sz w:val="24"/>
          <w:szCs w:val="24"/>
        </w:rPr>
        <w:t xml:space="preserve">Thirdly, they dominate public discourse and set its agenda, through privileged access to the commentariat, of which they form part. </w:t>
      </w:r>
      <w:r w:rsidR="00DC06B0">
        <w:rPr>
          <w:sz w:val="24"/>
          <w:szCs w:val="24"/>
        </w:rPr>
        <w:t>They have</w:t>
      </w:r>
      <w:r w:rsidR="00DC06B0" w:rsidRPr="005E142B">
        <w:rPr>
          <w:sz w:val="24"/>
          <w:szCs w:val="24"/>
        </w:rPr>
        <w:t xml:space="preserve"> privileged access to media debate</w:t>
      </w:r>
      <w:r w:rsidR="00DC06B0">
        <w:rPr>
          <w:sz w:val="24"/>
          <w:szCs w:val="24"/>
        </w:rPr>
        <w:t>, supplying well-regarded expert commentary</w:t>
      </w:r>
      <w:r w:rsidR="00DC06B0" w:rsidRPr="005E142B">
        <w:rPr>
          <w:sz w:val="24"/>
          <w:szCs w:val="24"/>
        </w:rPr>
        <w:t>. Presidential candidates routinely approach establishment figures at think tanks to formulate their foreign policy</w:t>
      </w:r>
      <w:r w:rsidR="00DC06B0">
        <w:rPr>
          <w:sz w:val="24"/>
          <w:szCs w:val="24"/>
        </w:rPr>
        <w:t xml:space="preserve"> manifestoes</w:t>
      </w:r>
      <w:r w:rsidR="00DC06B0" w:rsidRPr="005E142B">
        <w:rPr>
          <w:sz w:val="24"/>
          <w:szCs w:val="24"/>
        </w:rPr>
        <w:t xml:space="preserve">. </w:t>
      </w:r>
      <w:r w:rsidRPr="005E142B">
        <w:rPr>
          <w:sz w:val="24"/>
          <w:szCs w:val="24"/>
        </w:rPr>
        <w:t xml:space="preserve">They define the terms of debate, delegitimising alternative strategies as </w:t>
      </w:r>
      <w:r w:rsidR="00DC06B0">
        <w:rPr>
          <w:sz w:val="24"/>
          <w:szCs w:val="24"/>
        </w:rPr>
        <w:t xml:space="preserve">alien and foolish: retrenchment, limitation or war-avoidance they frequently brand as </w:t>
      </w:r>
      <w:r w:rsidR="00872F3E">
        <w:rPr>
          <w:sz w:val="24"/>
          <w:szCs w:val="24"/>
        </w:rPr>
        <w:t>“</w:t>
      </w:r>
      <w:r w:rsidR="00DC06B0">
        <w:rPr>
          <w:sz w:val="24"/>
          <w:szCs w:val="24"/>
        </w:rPr>
        <w:t>retreat</w:t>
      </w:r>
      <w:r w:rsidR="00872F3E">
        <w:rPr>
          <w:sz w:val="24"/>
          <w:szCs w:val="24"/>
        </w:rPr>
        <w:t xml:space="preserve">” </w:t>
      </w:r>
      <w:r w:rsidR="00DC06B0">
        <w:rPr>
          <w:sz w:val="24"/>
          <w:szCs w:val="24"/>
        </w:rPr>
        <w:t xml:space="preserve">or </w:t>
      </w:r>
      <w:r w:rsidR="00872F3E">
        <w:rPr>
          <w:sz w:val="24"/>
          <w:szCs w:val="24"/>
        </w:rPr>
        <w:t>“</w:t>
      </w:r>
      <w:r w:rsidR="00DC06B0">
        <w:rPr>
          <w:sz w:val="24"/>
          <w:szCs w:val="24"/>
        </w:rPr>
        <w:t>isolationism.</w:t>
      </w:r>
      <w:r w:rsidR="00872F3E">
        <w:rPr>
          <w:sz w:val="24"/>
          <w:szCs w:val="24"/>
        </w:rPr>
        <w:t>”</w:t>
      </w:r>
      <w:r w:rsidR="00DC06B0">
        <w:rPr>
          <w:sz w:val="24"/>
          <w:szCs w:val="24"/>
        </w:rPr>
        <w:t xml:space="preserve"> </w:t>
      </w:r>
      <w:r w:rsidRPr="005E142B">
        <w:rPr>
          <w:sz w:val="24"/>
          <w:szCs w:val="24"/>
        </w:rPr>
        <w:t>Fourthly, they exert influence via a transnational pathway, supplying allies with a reperto</w:t>
      </w:r>
      <w:r w:rsidR="008E3104">
        <w:rPr>
          <w:sz w:val="24"/>
          <w:szCs w:val="24"/>
        </w:rPr>
        <w:t xml:space="preserve">ire of ideas that those allies </w:t>
      </w:r>
      <w:r w:rsidRPr="005E142B">
        <w:rPr>
          <w:sz w:val="24"/>
          <w:szCs w:val="24"/>
        </w:rPr>
        <w:t xml:space="preserve">play back, creating a feedback loop.    </w:t>
      </w:r>
    </w:p>
    <w:p w:rsidR="00DC06B0" w:rsidRDefault="00DC06B0" w:rsidP="00D80ED9">
      <w:pPr>
        <w:spacing w:after="0" w:line="480" w:lineRule="auto"/>
        <w:jc w:val="both"/>
        <w:rPr>
          <w:sz w:val="24"/>
          <w:szCs w:val="24"/>
        </w:rPr>
      </w:pPr>
    </w:p>
    <w:p w:rsidR="008F4B07" w:rsidRPr="00D80ED9" w:rsidRDefault="00D80ED9" w:rsidP="00D80ED9">
      <w:pPr>
        <w:spacing w:after="0" w:line="480" w:lineRule="auto"/>
        <w:jc w:val="both"/>
        <w:rPr>
          <w:sz w:val="24"/>
          <w:szCs w:val="24"/>
        </w:rPr>
      </w:pPr>
      <w:r>
        <w:rPr>
          <w:sz w:val="24"/>
          <w:szCs w:val="24"/>
        </w:rPr>
        <w:tab/>
        <w:t xml:space="preserve">The </w:t>
      </w:r>
      <w:r w:rsidR="008E3104">
        <w:rPr>
          <w:sz w:val="24"/>
          <w:szCs w:val="24"/>
        </w:rPr>
        <w:t>“blob”</w:t>
      </w:r>
      <w:r>
        <w:rPr>
          <w:sz w:val="24"/>
          <w:szCs w:val="24"/>
        </w:rPr>
        <w:t xml:space="preserve"> itself is candid about how </w:t>
      </w:r>
      <w:r w:rsidR="0036270E">
        <w:rPr>
          <w:sz w:val="24"/>
          <w:szCs w:val="24"/>
        </w:rPr>
        <w:t>tight-knit</w:t>
      </w:r>
      <w:r w:rsidR="00D6687E">
        <w:rPr>
          <w:sz w:val="24"/>
          <w:szCs w:val="24"/>
        </w:rPr>
        <w:t>,</w:t>
      </w:r>
      <w:r>
        <w:rPr>
          <w:sz w:val="24"/>
          <w:szCs w:val="24"/>
        </w:rPr>
        <w:t xml:space="preserve"> privileged</w:t>
      </w:r>
      <w:r w:rsidR="00D6687E">
        <w:rPr>
          <w:sz w:val="24"/>
          <w:szCs w:val="24"/>
        </w:rPr>
        <w:t xml:space="preserve"> and intimate with power</w:t>
      </w:r>
      <w:r>
        <w:rPr>
          <w:sz w:val="24"/>
          <w:szCs w:val="24"/>
        </w:rPr>
        <w:t xml:space="preserve"> it is. For </w:t>
      </w:r>
      <w:r w:rsidR="008F4B07" w:rsidRPr="005E142B">
        <w:rPr>
          <w:sz w:val="24"/>
          <w:szCs w:val="24"/>
        </w:rPr>
        <w:t>Richard Haass, former Director of the Policy Planning St</w:t>
      </w:r>
      <w:r w:rsidR="008E3104">
        <w:rPr>
          <w:sz w:val="24"/>
          <w:szCs w:val="24"/>
        </w:rPr>
        <w:t>aff, think-tanks constitute an “</w:t>
      </w:r>
      <w:r w:rsidR="008F4B07" w:rsidRPr="005E142B">
        <w:rPr>
          <w:sz w:val="24"/>
          <w:szCs w:val="24"/>
        </w:rPr>
        <w:t>informal shadow foreign affairs estab</w:t>
      </w:r>
      <w:r w:rsidR="008E3104">
        <w:rPr>
          <w:sz w:val="24"/>
          <w:szCs w:val="24"/>
        </w:rPr>
        <w:t>lishment”</w:t>
      </w:r>
      <w:r w:rsidR="008F4B07" w:rsidRPr="005E142B">
        <w:rPr>
          <w:sz w:val="24"/>
          <w:szCs w:val="24"/>
        </w:rPr>
        <w:t>:</w:t>
      </w:r>
    </w:p>
    <w:p w:rsidR="008F4B07" w:rsidRPr="005E142B" w:rsidRDefault="008F4B07" w:rsidP="008F4B07">
      <w:pPr>
        <w:spacing w:after="0" w:line="480" w:lineRule="auto"/>
        <w:ind w:firstLine="709"/>
        <w:jc w:val="both"/>
        <w:rPr>
          <w:sz w:val="24"/>
          <w:szCs w:val="24"/>
        </w:rPr>
      </w:pPr>
    </w:p>
    <w:p w:rsidR="008F4B07" w:rsidRPr="005E142B" w:rsidRDefault="008F4B07" w:rsidP="008F4B07">
      <w:pPr>
        <w:spacing w:after="0" w:line="480" w:lineRule="auto"/>
        <w:ind w:left="709" w:right="521"/>
        <w:jc w:val="both"/>
        <w:rPr>
          <w:sz w:val="24"/>
          <w:szCs w:val="24"/>
        </w:rPr>
      </w:pPr>
      <w:r w:rsidRPr="005E142B">
        <w:rPr>
          <w:sz w:val="24"/>
          <w:szCs w:val="24"/>
        </w:rPr>
        <w:t xml:space="preserve">Madeleine Albright, Colin Powell's predecessor as Secretary of State, once headed the Center for National Policy. Her former deputy, Strobe Talbott, is now president of the Brookings Institution -where I previously served as vice-president and director of foreign policy studies…I've alternated stints at the National Security Council, the </w:t>
      </w:r>
      <w:r>
        <w:rPr>
          <w:sz w:val="24"/>
          <w:szCs w:val="24"/>
        </w:rPr>
        <w:t>Defense</w:t>
      </w:r>
      <w:r w:rsidRPr="005E142B">
        <w:rPr>
          <w:sz w:val="24"/>
          <w:szCs w:val="24"/>
        </w:rPr>
        <w:t xml:space="preserve"> and State Departments, and on Capitol Hill with time at Brookings, the International Institute for Strategic Studies, the Council on Foreign Relations, </w:t>
      </w:r>
      <w:r w:rsidR="008E3104">
        <w:rPr>
          <w:sz w:val="24"/>
          <w:szCs w:val="24"/>
        </w:rPr>
        <w:t>and the Carnegie Endowment.</w:t>
      </w:r>
      <w:r w:rsidRPr="005E142B">
        <w:rPr>
          <w:rStyle w:val="FootnoteReference"/>
          <w:sz w:val="24"/>
          <w:szCs w:val="24"/>
        </w:rPr>
        <w:footnoteReference w:id="31"/>
      </w:r>
    </w:p>
    <w:p w:rsidR="008F4B07" w:rsidRPr="005E142B" w:rsidRDefault="008F4B07" w:rsidP="008F4B07">
      <w:pPr>
        <w:spacing w:after="0" w:line="480" w:lineRule="auto"/>
        <w:ind w:firstLine="709"/>
        <w:jc w:val="both"/>
        <w:rPr>
          <w:sz w:val="24"/>
          <w:szCs w:val="24"/>
        </w:rPr>
      </w:pPr>
    </w:p>
    <w:p w:rsidR="008F4B07" w:rsidRDefault="008F4B07" w:rsidP="008F4B07">
      <w:pPr>
        <w:spacing w:after="0" w:line="480" w:lineRule="auto"/>
        <w:jc w:val="both"/>
        <w:rPr>
          <w:sz w:val="24"/>
          <w:szCs w:val="24"/>
        </w:rPr>
      </w:pPr>
      <w:r w:rsidRPr="005E142B">
        <w:rPr>
          <w:sz w:val="24"/>
          <w:szCs w:val="24"/>
        </w:rPr>
        <w:t xml:space="preserve">Self-identified members of the </w:t>
      </w:r>
      <w:r w:rsidR="008E3104">
        <w:rPr>
          <w:sz w:val="24"/>
          <w:szCs w:val="24"/>
        </w:rPr>
        <w:t>“blob”</w:t>
      </w:r>
      <w:r w:rsidRPr="005E142B">
        <w:rPr>
          <w:sz w:val="24"/>
          <w:szCs w:val="24"/>
        </w:rPr>
        <w:t xml:space="preserve"> acknowledge </w:t>
      </w:r>
      <w:r w:rsidR="0036270E">
        <w:rPr>
          <w:sz w:val="24"/>
          <w:szCs w:val="24"/>
        </w:rPr>
        <w:t>the</w:t>
      </w:r>
      <w:r w:rsidRPr="005E142B">
        <w:rPr>
          <w:sz w:val="24"/>
          <w:szCs w:val="24"/>
        </w:rPr>
        <w:t xml:space="preserve"> </w:t>
      </w:r>
      <w:r w:rsidR="0036270E">
        <w:rPr>
          <w:sz w:val="24"/>
          <w:szCs w:val="24"/>
        </w:rPr>
        <w:t xml:space="preserve">conformist </w:t>
      </w:r>
      <w:r w:rsidRPr="005E142B">
        <w:rPr>
          <w:sz w:val="24"/>
          <w:szCs w:val="24"/>
        </w:rPr>
        <w:t>pressures</w:t>
      </w:r>
      <w:r w:rsidR="0036270E">
        <w:rPr>
          <w:sz w:val="24"/>
          <w:szCs w:val="24"/>
        </w:rPr>
        <w:t xml:space="preserve"> this policy environment creates</w:t>
      </w:r>
      <w:r w:rsidR="008E3104">
        <w:rPr>
          <w:sz w:val="24"/>
          <w:szCs w:val="24"/>
        </w:rPr>
        <w:t>. Leslie Gelb identifies a “</w:t>
      </w:r>
      <w:r w:rsidRPr="005E142B">
        <w:rPr>
          <w:sz w:val="24"/>
          <w:szCs w:val="24"/>
        </w:rPr>
        <w:t>disposition and incentives to support wars to retain political and professional credibility</w:t>
      </w:r>
      <w:r w:rsidR="008E3104">
        <w:rPr>
          <w:sz w:val="24"/>
          <w:szCs w:val="24"/>
        </w:rPr>
        <w:t>.”</w:t>
      </w:r>
      <w:r w:rsidRPr="005E142B">
        <w:rPr>
          <w:rStyle w:val="FootnoteReference"/>
          <w:sz w:val="24"/>
          <w:szCs w:val="24"/>
        </w:rPr>
        <w:footnoteReference w:id="32"/>
      </w:r>
      <w:r w:rsidR="008E3104">
        <w:rPr>
          <w:sz w:val="24"/>
          <w:szCs w:val="24"/>
        </w:rPr>
        <w:t xml:space="preserve"> Derek Chollet observes an “</w:t>
      </w:r>
      <w:r w:rsidRPr="005E142B">
        <w:rPr>
          <w:sz w:val="24"/>
          <w:szCs w:val="24"/>
        </w:rPr>
        <w:t>ecosy</w:t>
      </w:r>
      <w:r w:rsidR="008E3104">
        <w:rPr>
          <w:sz w:val="24"/>
          <w:szCs w:val="24"/>
        </w:rPr>
        <w:t>stem”</w:t>
      </w:r>
      <w:r>
        <w:rPr>
          <w:sz w:val="24"/>
          <w:szCs w:val="24"/>
        </w:rPr>
        <w:t xml:space="preserve"> that incentivises the support for activism </w:t>
      </w:r>
      <w:r w:rsidRPr="005E142B">
        <w:rPr>
          <w:sz w:val="24"/>
          <w:szCs w:val="24"/>
        </w:rPr>
        <w:t>and delegitimizes</w:t>
      </w:r>
      <w:r>
        <w:rPr>
          <w:sz w:val="24"/>
          <w:szCs w:val="24"/>
        </w:rPr>
        <w:t xml:space="preserve"> arguments for</w:t>
      </w:r>
      <w:r w:rsidRPr="005E142B">
        <w:rPr>
          <w:sz w:val="24"/>
          <w:szCs w:val="24"/>
        </w:rPr>
        <w:t xml:space="preserve"> restraint.</w:t>
      </w:r>
      <w:r w:rsidRPr="005E142B">
        <w:rPr>
          <w:rStyle w:val="FootnoteReference"/>
          <w:sz w:val="24"/>
          <w:szCs w:val="24"/>
        </w:rPr>
        <w:footnoteReference w:id="33"/>
      </w:r>
      <w:r w:rsidRPr="005E142B">
        <w:rPr>
          <w:sz w:val="24"/>
          <w:szCs w:val="24"/>
        </w:rPr>
        <w:t xml:space="preserve"> Michael Mandelbaum notes that the establishment defines the policy ba</w:t>
      </w:r>
      <w:r w:rsidR="008E3104">
        <w:rPr>
          <w:sz w:val="24"/>
          <w:szCs w:val="24"/>
        </w:rPr>
        <w:t>llpark, setting boundaries for “</w:t>
      </w:r>
      <w:r w:rsidRPr="005E142B">
        <w:rPr>
          <w:sz w:val="24"/>
          <w:szCs w:val="24"/>
        </w:rPr>
        <w:t>what may be legitimately p</w:t>
      </w:r>
      <w:r w:rsidR="008E3104">
        <w:rPr>
          <w:sz w:val="24"/>
          <w:szCs w:val="24"/>
        </w:rPr>
        <w:t>roposed and carried out.”</w:t>
      </w:r>
      <w:r w:rsidRPr="005E142B">
        <w:rPr>
          <w:rStyle w:val="FootnoteReference"/>
          <w:sz w:val="24"/>
          <w:szCs w:val="24"/>
        </w:rPr>
        <w:footnoteReference w:id="34"/>
      </w:r>
      <w:r w:rsidRPr="005E142B">
        <w:rPr>
          <w:sz w:val="24"/>
          <w:szCs w:val="24"/>
        </w:rPr>
        <w:t xml:space="preserve"> </w:t>
      </w:r>
      <w:r w:rsidR="0036270E" w:rsidRPr="005E142B">
        <w:rPr>
          <w:sz w:val="24"/>
          <w:szCs w:val="24"/>
        </w:rPr>
        <w:t>Contrary to theories that the marketplace of ideas ensures rigorous weighing of choices, outsiders’ suggestions rarely penetrate decision-making.</w:t>
      </w:r>
      <w:r w:rsidR="0036270E" w:rsidRPr="005E142B">
        <w:rPr>
          <w:rStyle w:val="FootnoteReference"/>
          <w:sz w:val="24"/>
          <w:szCs w:val="24"/>
        </w:rPr>
        <w:footnoteReference w:id="35"/>
      </w:r>
    </w:p>
    <w:p w:rsidR="009C70B4" w:rsidRPr="005E142B" w:rsidRDefault="009C70B4" w:rsidP="00BE0622">
      <w:pPr>
        <w:spacing w:after="0" w:line="480" w:lineRule="auto"/>
        <w:jc w:val="both"/>
        <w:rPr>
          <w:sz w:val="24"/>
          <w:szCs w:val="24"/>
        </w:rPr>
      </w:pPr>
    </w:p>
    <w:p w:rsidR="00AD3E76" w:rsidRDefault="00D7318C" w:rsidP="00AD3E76">
      <w:pPr>
        <w:spacing w:after="0" w:line="480" w:lineRule="auto"/>
        <w:jc w:val="both"/>
        <w:rPr>
          <w:b/>
          <w:sz w:val="24"/>
          <w:szCs w:val="24"/>
          <w:u w:val="single"/>
        </w:rPr>
      </w:pPr>
      <w:r w:rsidRPr="005E142B">
        <w:rPr>
          <w:b/>
          <w:sz w:val="24"/>
          <w:szCs w:val="24"/>
          <w:u w:val="single"/>
        </w:rPr>
        <w:t>Explaining Change</w:t>
      </w:r>
    </w:p>
    <w:p w:rsidR="006138FC" w:rsidRDefault="00AD3239" w:rsidP="00AD3E76">
      <w:pPr>
        <w:spacing w:after="0" w:line="480" w:lineRule="auto"/>
        <w:jc w:val="both"/>
        <w:rPr>
          <w:sz w:val="24"/>
          <w:szCs w:val="24"/>
        </w:rPr>
      </w:pPr>
      <w:r w:rsidRPr="005E142B">
        <w:rPr>
          <w:sz w:val="24"/>
          <w:szCs w:val="24"/>
        </w:rPr>
        <w:lastRenderedPageBreak/>
        <w:t>If habit</w:t>
      </w:r>
      <w:r w:rsidR="00503C20" w:rsidRPr="005E142B">
        <w:rPr>
          <w:sz w:val="24"/>
          <w:szCs w:val="24"/>
        </w:rPr>
        <w:t xml:space="preserve"> often shapes grand strategy by</w:t>
      </w:r>
      <w:r w:rsidRPr="005E142B">
        <w:rPr>
          <w:sz w:val="24"/>
          <w:szCs w:val="24"/>
        </w:rPr>
        <w:t xml:space="preserve"> inhibit</w:t>
      </w:r>
      <w:r w:rsidR="00503C20" w:rsidRPr="005E142B">
        <w:rPr>
          <w:sz w:val="24"/>
          <w:szCs w:val="24"/>
        </w:rPr>
        <w:t>ing</w:t>
      </w:r>
      <w:r w:rsidRPr="005E142B">
        <w:rPr>
          <w:sz w:val="24"/>
          <w:szCs w:val="24"/>
        </w:rPr>
        <w:t xml:space="preserve"> actors from revising </w:t>
      </w:r>
      <w:r w:rsidR="00503C20" w:rsidRPr="005E142B">
        <w:rPr>
          <w:sz w:val="24"/>
          <w:szCs w:val="24"/>
        </w:rPr>
        <w:t>it</w:t>
      </w:r>
      <w:r w:rsidRPr="005E142B">
        <w:rPr>
          <w:sz w:val="24"/>
          <w:szCs w:val="24"/>
        </w:rPr>
        <w:t xml:space="preserve">, how </w:t>
      </w:r>
      <w:r w:rsidR="00A47B34" w:rsidRPr="005E142B">
        <w:rPr>
          <w:sz w:val="24"/>
          <w:szCs w:val="24"/>
        </w:rPr>
        <w:t>do grand strategies change</w:t>
      </w:r>
      <w:r w:rsidRPr="005E142B">
        <w:rPr>
          <w:sz w:val="24"/>
          <w:szCs w:val="24"/>
        </w:rPr>
        <w:t>?</w:t>
      </w:r>
      <w:r w:rsidR="00A47B34" w:rsidRPr="005E142B">
        <w:rPr>
          <w:sz w:val="24"/>
          <w:szCs w:val="24"/>
        </w:rPr>
        <w:t xml:space="preserve"> </w:t>
      </w:r>
      <w:r w:rsidR="0077524F" w:rsidRPr="005E142B">
        <w:rPr>
          <w:sz w:val="24"/>
          <w:szCs w:val="24"/>
        </w:rPr>
        <w:t xml:space="preserve">Alteration </w:t>
      </w:r>
      <w:r w:rsidR="00A27EF2">
        <w:rPr>
          <w:sz w:val="24"/>
          <w:szCs w:val="24"/>
        </w:rPr>
        <w:t>happens</w:t>
      </w:r>
      <w:r w:rsidR="0077524F" w:rsidRPr="005E142B">
        <w:rPr>
          <w:sz w:val="24"/>
          <w:szCs w:val="24"/>
        </w:rPr>
        <w:t xml:space="preserve"> normally through an interaction of two variables: </w:t>
      </w:r>
      <w:r w:rsidR="00A47B34" w:rsidRPr="005E142B">
        <w:rPr>
          <w:sz w:val="24"/>
          <w:szCs w:val="24"/>
        </w:rPr>
        <w:t xml:space="preserve"> </w:t>
      </w:r>
      <w:r w:rsidR="0077524F" w:rsidRPr="005E142B">
        <w:rPr>
          <w:sz w:val="24"/>
          <w:szCs w:val="24"/>
        </w:rPr>
        <w:t xml:space="preserve">rapidly </w:t>
      </w:r>
      <w:r w:rsidR="00A47B34" w:rsidRPr="005E142B">
        <w:rPr>
          <w:sz w:val="24"/>
          <w:szCs w:val="24"/>
        </w:rPr>
        <w:t>changing external conditions</w:t>
      </w:r>
      <w:r w:rsidR="007C406A" w:rsidRPr="005E142B">
        <w:rPr>
          <w:sz w:val="24"/>
          <w:szCs w:val="24"/>
        </w:rPr>
        <w:t xml:space="preserve"> </w:t>
      </w:r>
      <w:r w:rsidR="000325C3" w:rsidRPr="005E142B">
        <w:rPr>
          <w:sz w:val="24"/>
          <w:szCs w:val="24"/>
        </w:rPr>
        <w:t>sufficiently shocking to</w:t>
      </w:r>
      <w:r w:rsidR="007C406A" w:rsidRPr="005E142B">
        <w:rPr>
          <w:sz w:val="24"/>
          <w:szCs w:val="24"/>
        </w:rPr>
        <w:t xml:space="preserve"> disconfirm the assumptions of the </w:t>
      </w:r>
      <w:r w:rsidR="007C406A" w:rsidRPr="005E142B">
        <w:rPr>
          <w:i/>
          <w:sz w:val="24"/>
          <w:szCs w:val="24"/>
        </w:rPr>
        <w:t>status quo</w:t>
      </w:r>
      <w:r w:rsidR="007C406A" w:rsidRPr="005E142B">
        <w:rPr>
          <w:sz w:val="24"/>
          <w:szCs w:val="24"/>
        </w:rPr>
        <w:t>,</w:t>
      </w:r>
      <w:r w:rsidR="00A47B34" w:rsidRPr="005E142B">
        <w:rPr>
          <w:sz w:val="24"/>
          <w:szCs w:val="24"/>
        </w:rPr>
        <w:t xml:space="preserve"> and determined agent</w:t>
      </w:r>
      <w:r w:rsidR="000412A1" w:rsidRPr="005E142B">
        <w:rPr>
          <w:sz w:val="24"/>
          <w:szCs w:val="24"/>
        </w:rPr>
        <w:t>s</w:t>
      </w:r>
      <w:r w:rsidR="00A47B34" w:rsidRPr="005E142B">
        <w:rPr>
          <w:sz w:val="24"/>
          <w:szCs w:val="24"/>
        </w:rPr>
        <w:t xml:space="preserve"> of change willing to incur domestic costs to drive it.</w:t>
      </w:r>
      <w:r w:rsidR="005E1ACD" w:rsidRPr="005E142B">
        <w:rPr>
          <w:sz w:val="24"/>
          <w:szCs w:val="24"/>
        </w:rPr>
        <w:t xml:space="preserve"> A good example is Great Britain’s post-war abandonment of empire</w:t>
      </w:r>
      <w:r w:rsidR="00054515" w:rsidRPr="005E142B">
        <w:rPr>
          <w:sz w:val="24"/>
          <w:szCs w:val="24"/>
        </w:rPr>
        <w:t>. External conditions had turned against the maintenance of colonies, through</w:t>
      </w:r>
      <w:r w:rsidR="005E1ACD" w:rsidRPr="005E142B">
        <w:rPr>
          <w:sz w:val="24"/>
          <w:szCs w:val="24"/>
        </w:rPr>
        <w:t xml:space="preserve"> the </w:t>
      </w:r>
      <w:r w:rsidR="000224A4" w:rsidRPr="005E142B">
        <w:rPr>
          <w:sz w:val="24"/>
          <w:szCs w:val="24"/>
        </w:rPr>
        <w:t xml:space="preserve">cumulative </w:t>
      </w:r>
      <w:r w:rsidR="00D2225F" w:rsidRPr="005E142B">
        <w:rPr>
          <w:sz w:val="24"/>
          <w:szCs w:val="24"/>
        </w:rPr>
        <w:t xml:space="preserve">fiscal </w:t>
      </w:r>
      <w:r w:rsidR="000224A4" w:rsidRPr="005E142B">
        <w:rPr>
          <w:sz w:val="24"/>
          <w:szCs w:val="24"/>
        </w:rPr>
        <w:t xml:space="preserve">pressures of </w:t>
      </w:r>
      <w:r w:rsidR="00D2225F" w:rsidRPr="005E142B">
        <w:rPr>
          <w:sz w:val="24"/>
          <w:szCs w:val="24"/>
        </w:rPr>
        <w:t>World War Two,</w:t>
      </w:r>
      <w:r w:rsidR="005E10D0" w:rsidRPr="005E142B">
        <w:rPr>
          <w:sz w:val="24"/>
          <w:szCs w:val="24"/>
        </w:rPr>
        <w:t xml:space="preserve"> a growing decolonisation resistance,</w:t>
      </w:r>
      <w:r w:rsidR="00D2225F" w:rsidRPr="005E142B">
        <w:rPr>
          <w:sz w:val="24"/>
          <w:szCs w:val="24"/>
        </w:rPr>
        <w:t xml:space="preserve"> Washington’s dismantling of the economic order</w:t>
      </w:r>
      <w:r w:rsidR="000412A1" w:rsidRPr="005E142B">
        <w:rPr>
          <w:sz w:val="24"/>
          <w:szCs w:val="24"/>
        </w:rPr>
        <w:t xml:space="preserve"> of imperial preference and the sterling bloc</w:t>
      </w:r>
      <w:r w:rsidR="00D2225F" w:rsidRPr="005E142B">
        <w:rPr>
          <w:sz w:val="24"/>
          <w:szCs w:val="24"/>
        </w:rPr>
        <w:t xml:space="preserve">, and the </w:t>
      </w:r>
      <w:r w:rsidR="005E1ACD" w:rsidRPr="005E142B">
        <w:rPr>
          <w:sz w:val="24"/>
          <w:szCs w:val="24"/>
        </w:rPr>
        <w:t>shock of the Suez crisis of 1956</w:t>
      </w:r>
      <w:r w:rsidR="000412A1" w:rsidRPr="005E142B">
        <w:rPr>
          <w:sz w:val="24"/>
          <w:szCs w:val="24"/>
        </w:rPr>
        <w:t xml:space="preserve"> that revealed Britain’s vulnerability to </w:t>
      </w:r>
      <w:r w:rsidR="00B8516E" w:rsidRPr="005E142B">
        <w:rPr>
          <w:sz w:val="24"/>
          <w:szCs w:val="24"/>
        </w:rPr>
        <w:t>Washington’s</w:t>
      </w:r>
      <w:r w:rsidR="000412A1" w:rsidRPr="005E142B">
        <w:rPr>
          <w:sz w:val="24"/>
          <w:szCs w:val="24"/>
        </w:rPr>
        <w:t xml:space="preserve"> coercion</w:t>
      </w:r>
      <w:r w:rsidR="005E1ACD" w:rsidRPr="005E142B">
        <w:rPr>
          <w:sz w:val="24"/>
          <w:szCs w:val="24"/>
        </w:rPr>
        <w:t xml:space="preserve">. </w:t>
      </w:r>
      <w:r w:rsidR="00054515" w:rsidRPr="005E142B">
        <w:rPr>
          <w:sz w:val="24"/>
          <w:szCs w:val="24"/>
        </w:rPr>
        <w:t>Domestically, successive governments</w:t>
      </w:r>
      <w:r w:rsidR="00F708B9" w:rsidRPr="005E142B">
        <w:rPr>
          <w:sz w:val="24"/>
          <w:szCs w:val="24"/>
        </w:rPr>
        <w:t xml:space="preserve"> redefined Britain’s </w:t>
      </w:r>
      <w:r w:rsidR="00A27EF2">
        <w:rPr>
          <w:sz w:val="24"/>
          <w:szCs w:val="24"/>
        </w:rPr>
        <w:t>status</w:t>
      </w:r>
      <w:r w:rsidR="00F708B9" w:rsidRPr="005E142B">
        <w:rPr>
          <w:sz w:val="24"/>
          <w:szCs w:val="24"/>
        </w:rPr>
        <w:t xml:space="preserve"> around alliances and nuclear weapons, presenting</w:t>
      </w:r>
      <w:r w:rsidR="00054515" w:rsidRPr="005E142B">
        <w:rPr>
          <w:sz w:val="24"/>
          <w:szCs w:val="24"/>
        </w:rPr>
        <w:t xml:space="preserve"> retreat from empire as a graceful </w:t>
      </w:r>
      <w:r w:rsidR="000412A1" w:rsidRPr="005E142B">
        <w:rPr>
          <w:sz w:val="24"/>
          <w:szCs w:val="24"/>
        </w:rPr>
        <w:t xml:space="preserve">management of </w:t>
      </w:r>
      <w:r w:rsidR="0013187A" w:rsidRPr="005E142B">
        <w:rPr>
          <w:sz w:val="24"/>
          <w:szCs w:val="24"/>
        </w:rPr>
        <w:t>change</w:t>
      </w:r>
      <w:r w:rsidR="000412A1" w:rsidRPr="005E142B">
        <w:rPr>
          <w:sz w:val="24"/>
          <w:szCs w:val="24"/>
        </w:rPr>
        <w:t xml:space="preserve">, </w:t>
      </w:r>
      <w:r w:rsidR="0013187A" w:rsidRPr="005E142B">
        <w:rPr>
          <w:sz w:val="24"/>
          <w:szCs w:val="24"/>
        </w:rPr>
        <w:t>casting</w:t>
      </w:r>
      <w:r w:rsidR="000412A1" w:rsidRPr="005E142B">
        <w:rPr>
          <w:sz w:val="24"/>
          <w:szCs w:val="24"/>
        </w:rPr>
        <w:t xml:space="preserve"> </w:t>
      </w:r>
      <w:r w:rsidR="0013187A" w:rsidRPr="005E142B">
        <w:rPr>
          <w:sz w:val="24"/>
          <w:szCs w:val="24"/>
        </w:rPr>
        <w:t xml:space="preserve">the emergence of </w:t>
      </w:r>
      <w:r w:rsidR="000412A1" w:rsidRPr="005E142B">
        <w:rPr>
          <w:sz w:val="24"/>
          <w:szCs w:val="24"/>
        </w:rPr>
        <w:t xml:space="preserve">independent countries </w:t>
      </w:r>
      <w:r w:rsidR="0013187A" w:rsidRPr="005E142B">
        <w:rPr>
          <w:sz w:val="24"/>
          <w:szCs w:val="24"/>
        </w:rPr>
        <w:t xml:space="preserve">as </w:t>
      </w:r>
      <w:r w:rsidR="00872F3E">
        <w:rPr>
          <w:sz w:val="24"/>
          <w:szCs w:val="24"/>
        </w:rPr>
        <w:t>“</w:t>
      </w:r>
      <w:r w:rsidR="00B44640" w:rsidRPr="005E142B">
        <w:rPr>
          <w:sz w:val="24"/>
          <w:szCs w:val="24"/>
        </w:rPr>
        <w:t>the crowning achievement of British rule</w:t>
      </w:r>
      <w:r w:rsidR="000412A1" w:rsidRPr="005E142B">
        <w:rPr>
          <w:sz w:val="24"/>
          <w:szCs w:val="24"/>
        </w:rPr>
        <w:t>.</w:t>
      </w:r>
      <w:r w:rsidR="00872F3E">
        <w:rPr>
          <w:sz w:val="24"/>
          <w:szCs w:val="24"/>
        </w:rPr>
        <w:t>”</w:t>
      </w:r>
      <w:r w:rsidR="00B44640" w:rsidRPr="005E142B">
        <w:rPr>
          <w:rStyle w:val="FootnoteReference"/>
          <w:sz w:val="24"/>
          <w:szCs w:val="24"/>
        </w:rPr>
        <w:footnoteReference w:id="36"/>
      </w:r>
      <w:r w:rsidR="00054515" w:rsidRPr="005E142B">
        <w:rPr>
          <w:sz w:val="24"/>
          <w:szCs w:val="24"/>
        </w:rPr>
        <w:t xml:space="preserve"> </w:t>
      </w:r>
    </w:p>
    <w:p w:rsidR="000412A1" w:rsidRPr="005E142B" w:rsidRDefault="000412A1" w:rsidP="00AD3E76">
      <w:pPr>
        <w:spacing w:after="0" w:line="480" w:lineRule="auto"/>
        <w:jc w:val="both"/>
        <w:rPr>
          <w:sz w:val="24"/>
          <w:szCs w:val="24"/>
        </w:rPr>
      </w:pPr>
      <w:r w:rsidRPr="005E142B">
        <w:rPr>
          <w:sz w:val="24"/>
          <w:szCs w:val="24"/>
        </w:rPr>
        <w:t xml:space="preserve"> </w:t>
      </w:r>
    </w:p>
    <w:p w:rsidR="00AD3E76" w:rsidRDefault="000776E1" w:rsidP="005E142B">
      <w:pPr>
        <w:spacing w:after="0" w:line="480" w:lineRule="auto"/>
        <w:ind w:firstLine="720"/>
        <w:jc w:val="both"/>
        <w:rPr>
          <w:sz w:val="24"/>
          <w:szCs w:val="24"/>
        </w:rPr>
      </w:pPr>
      <w:r w:rsidRPr="005E142B">
        <w:rPr>
          <w:sz w:val="24"/>
          <w:szCs w:val="24"/>
        </w:rPr>
        <w:t>S</w:t>
      </w:r>
      <w:r w:rsidR="000412A1" w:rsidRPr="005E142B">
        <w:rPr>
          <w:sz w:val="24"/>
          <w:szCs w:val="24"/>
        </w:rPr>
        <w:t xml:space="preserve">hort of </w:t>
      </w:r>
      <w:r w:rsidR="005E1ACD" w:rsidRPr="005E142B">
        <w:rPr>
          <w:sz w:val="24"/>
          <w:szCs w:val="24"/>
        </w:rPr>
        <w:t>external circumstances</w:t>
      </w:r>
      <w:r w:rsidR="000412A1" w:rsidRPr="005E142B">
        <w:rPr>
          <w:sz w:val="24"/>
          <w:szCs w:val="24"/>
        </w:rPr>
        <w:t xml:space="preserve"> quite so overwhelming</w:t>
      </w:r>
      <w:r w:rsidR="005E1ACD" w:rsidRPr="005E142B">
        <w:rPr>
          <w:sz w:val="24"/>
          <w:szCs w:val="24"/>
        </w:rPr>
        <w:t>, change remains</w:t>
      </w:r>
      <w:r w:rsidR="00D7318C" w:rsidRPr="005E142B">
        <w:rPr>
          <w:sz w:val="24"/>
          <w:szCs w:val="24"/>
        </w:rPr>
        <w:t xml:space="preserve"> possible but</w:t>
      </w:r>
      <w:r w:rsidR="005E1ACD" w:rsidRPr="005E142B">
        <w:rPr>
          <w:sz w:val="24"/>
          <w:szCs w:val="24"/>
        </w:rPr>
        <w:t xml:space="preserve"> difficult. </w:t>
      </w:r>
      <w:r w:rsidR="00C26715" w:rsidRPr="005E142B">
        <w:rPr>
          <w:sz w:val="24"/>
          <w:szCs w:val="24"/>
        </w:rPr>
        <w:t>For the U</w:t>
      </w:r>
      <w:r w:rsidR="006138FC">
        <w:rPr>
          <w:sz w:val="24"/>
          <w:szCs w:val="24"/>
        </w:rPr>
        <w:t>.</w:t>
      </w:r>
      <w:r w:rsidR="00C26715" w:rsidRPr="005E142B">
        <w:rPr>
          <w:sz w:val="24"/>
          <w:szCs w:val="24"/>
        </w:rPr>
        <w:t>S</w:t>
      </w:r>
      <w:r w:rsidR="006138FC">
        <w:rPr>
          <w:sz w:val="24"/>
          <w:szCs w:val="24"/>
        </w:rPr>
        <w:t>.</w:t>
      </w:r>
      <w:r w:rsidR="00C26715" w:rsidRPr="005E142B">
        <w:rPr>
          <w:sz w:val="24"/>
          <w:szCs w:val="24"/>
        </w:rPr>
        <w:t>, t</w:t>
      </w:r>
      <w:r w:rsidR="00A47B34" w:rsidRPr="005E142B">
        <w:rPr>
          <w:sz w:val="24"/>
          <w:szCs w:val="24"/>
        </w:rPr>
        <w:t>he major interruption was the Nixon-Kissinger interlude of 196</w:t>
      </w:r>
      <w:r w:rsidR="00473CE3" w:rsidRPr="005E142B">
        <w:rPr>
          <w:sz w:val="24"/>
          <w:szCs w:val="24"/>
        </w:rPr>
        <w:t>9</w:t>
      </w:r>
      <w:r w:rsidR="0095743B" w:rsidRPr="005E142B">
        <w:rPr>
          <w:sz w:val="24"/>
          <w:szCs w:val="24"/>
        </w:rPr>
        <w:t>-1974.</w:t>
      </w:r>
      <w:r w:rsidR="00473CE3" w:rsidRPr="005E142B">
        <w:rPr>
          <w:rStyle w:val="FootnoteReference"/>
          <w:sz w:val="24"/>
          <w:szCs w:val="24"/>
        </w:rPr>
        <w:footnoteReference w:id="37"/>
      </w:r>
      <w:r w:rsidR="0095743B" w:rsidRPr="005E142B">
        <w:rPr>
          <w:sz w:val="24"/>
          <w:szCs w:val="24"/>
        </w:rPr>
        <w:t xml:space="preserve"> Material </w:t>
      </w:r>
      <w:r w:rsidR="00C26715" w:rsidRPr="005E142B">
        <w:rPr>
          <w:sz w:val="24"/>
          <w:szCs w:val="24"/>
        </w:rPr>
        <w:t>developments</w:t>
      </w:r>
      <w:r w:rsidR="0095743B" w:rsidRPr="005E142B">
        <w:rPr>
          <w:sz w:val="24"/>
          <w:szCs w:val="24"/>
        </w:rPr>
        <w:t xml:space="preserve"> strain</w:t>
      </w:r>
      <w:r w:rsidR="003F50A3" w:rsidRPr="005E142B">
        <w:rPr>
          <w:sz w:val="24"/>
          <w:szCs w:val="24"/>
        </w:rPr>
        <w:t>ed</w:t>
      </w:r>
      <w:r w:rsidR="0095743B" w:rsidRPr="005E142B">
        <w:rPr>
          <w:sz w:val="24"/>
          <w:szCs w:val="24"/>
        </w:rPr>
        <w:t xml:space="preserve"> Washington’s pursuit of primacy, through the Vietnam war, the OPEC oil embargo</w:t>
      </w:r>
      <w:r w:rsidR="00E60BD2" w:rsidRPr="005E142B">
        <w:rPr>
          <w:sz w:val="24"/>
          <w:szCs w:val="24"/>
        </w:rPr>
        <w:t xml:space="preserve">, inflation and </w:t>
      </w:r>
      <w:r w:rsidR="00C26715" w:rsidRPr="005E142B">
        <w:rPr>
          <w:sz w:val="24"/>
          <w:szCs w:val="24"/>
        </w:rPr>
        <w:t xml:space="preserve">an </w:t>
      </w:r>
      <w:r w:rsidR="00E60BD2" w:rsidRPr="005E142B">
        <w:rPr>
          <w:sz w:val="24"/>
          <w:szCs w:val="24"/>
        </w:rPr>
        <w:t>imbalance</w:t>
      </w:r>
      <w:r w:rsidR="00C26715" w:rsidRPr="005E142B">
        <w:rPr>
          <w:sz w:val="24"/>
          <w:szCs w:val="24"/>
        </w:rPr>
        <w:t xml:space="preserve"> of payments</w:t>
      </w:r>
      <w:r w:rsidR="00E60BD2" w:rsidRPr="005E142B">
        <w:rPr>
          <w:sz w:val="24"/>
          <w:szCs w:val="24"/>
        </w:rPr>
        <w:t>,</w:t>
      </w:r>
      <w:r w:rsidR="0095743B" w:rsidRPr="005E142B">
        <w:rPr>
          <w:sz w:val="24"/>
          <w:szCs w:val="24"/>
        </w:rPr>
        <w:t xml:space="preserve"> and racial conflict</w:t>
      </w:r>
      <w:r w:rsidR="00E60BD2" w:rsidRPr="005E142B">
        <w:rPr>
          <w:sz w:val="24"/>
          <w:szCs w:val="24"/>
        </w:rPr>
        <w:t xml:space="preserve"> at home</w:t>
      </w:r>
      <w:r w:rsidR="00C26715" w:rsidRPr="005E142B">
        <w:rPr>
          <w:sz w:val="24"/>
          <w:szCs w:val="24"/>
        </w:rPr>
        <w:t>, cumulatively eroding America’s supremacy and the political will to pursue it</w:t>
      </w:r>
      <w:r w:rsidR="0095743B" w:rsidRPr="005E142B">
        <w:rPr>
          <w:sz w:val="24"/>
          <w:szCs w:val="24"/>
        </w:rPr>
        <w:t xml:space="preserve">. At the same time, </w:t>
      </w:r>
      <w:r w:rsidR="007D4D54" w:rsidRPr="005E142B">
        <w:rPr>
          <w:sz w:val="24"/>
          <w:szCs w:val="24"/>
        </w:rPr>
        <w:t>Nixon was determined to shift Washington towards accepting stable multipolarity, particularly through his opening to Mao’s China</w:t>
      </w:r>
      <w:r w:rsidR="00A17087" w:rsidRPr="005E142B">
        <w:rPr>
          <w:sz w:val="24"/>
          <w:szCs w:val="24"/>
        </w:rPr>
        <w:t xml:space="preserve"> and his treatment of the Soviet Union as a</w:t>
      </w:r>
      <w:r w:rsidR="00C26715" w:rsidRPr="005E142B">
        <w:rPr>
          <w:sz w:val="24"/>
          <w:szCs w:val="24"/>
        </w:rPr>
        <w:t xml:space="preserve"> permanent</w:t>
      </w:r>
      <w:r w:rsidR="00A17087" w:rsidRPr="005E142B">
        <w:rPr>
          <w:sz w:val="24"/>
          <w:szCs w:val="24"/>
        </w:rPr>
        <w:t xml:space="preserve"> partner in </w:t>
      </w:r>
      <w:r w:rsidR="00C26715" w:rsidRPr="005E142B">
        <w:rPr>
          <w:sz w:val="24"/>
          <w:szCs w:val="24"/>
        </w:rPr>
        <w:t xml:space="preserve">a post-hegemonic </w:t>
      </w:r>
      <w:r w:rsidR="00A17087" w:rsidRPr="005E142B">
        <w:rPr>
          <w:sz w:val="24"/>
          <w:szCs w:val="24"/>
        </w:rPr>
        <w:t>world order</w:t>
      </w:r>
      <w:r w:rsidR="00C26715" w:rsidRPr="005E142B">
        <w:rPr>
          <w:sz w:val="24"/>
          <w:szCs w:val="24"/>
        </w:rPr>
        <w:t xml:space="preserve">, </w:t>
      </w:r>
      <w:r w:rsidR="00AA4AB5" w:rsidRPr="005E142B">
        <w:rPr>
          <w:sz w:val="24"/>
          <w:szCs w:val="24"/>
        </w:rPr>
        <w:t xml:space="preserve">downplaying and at times abandoning nuclear </w:t>
      </w:r>
      <w:r w:rsidR="00351517" w:rsidRPr="005E142B">
        <w:rPr>
          <w:sz w:val="24"/>
          <w:szCs w:val="24"/>
        </w:rPr>
        <w:t>counter</w:t>
      </w:r>
      <w:r w:rsidR="00AA4AB5" w:rsidRPr="005E142B">
        <w:rPr>
          <w:sz w:val="24"/>
          <w:szCs w:val="24"/>
        </w:rPr>
        <w:t xml:space="preserve">proliferation as a priority, and </w:t>
      </w:r>
      <w:r w:rsidR="00C26715" w:rsidRPr="005E142B">
        <w:rPr>
          <w:sz w:val="24"/>
          <w:szCs w:val="24"/>
        </w:rPr>
        <w:t xml:space="preserve">pursuing hard-line </w:t>
      </w:r>
      <w:r w:rsidR="00C26715" w:rsidRPr="005E142B">
        <w:rPr>
          <w:i/>
          <w:sz w:val="24"/>
          <w:szCs w:val="24"/>
        </w:rPr>
        <w:t>Realpolitik</w:t>
      </w:r>
      <w:r w:rsidR="007C406A" w:rsidRPr="005E142B">
        <w:rPr>
          <w:sz w:val="24"/>
          <w:szCs w:val="24"/>
        </w:rPr>
        <w:t>.</w:t>
      </w:r>
      <w:r w:rsidR="00791777">
        <w:rPr>
          <w:rStyle w:val="FootnoteReference"/>
          <w:sz w:val="24"/>
          <w:szCs w:val="24"/>
        </w:rPr>
        <w:footnoteReference w:id="38"/>
      </w:r>
      <w:r w:rsidR="007C406A" w:rsidRPr="005E142B">
        <w:rPr>
          <w:sz w:val="24"/>
          <w:szCs w:val="24"/>
        </w:rPr>
        <w:t xml:space="preserve"> To achieve this, </w:t>
      </w:r>
      <w:r w:rsidR="007C406A" w:rsidRPr="005E142B">
        <w:rPr>
          <w:sz w:val="24"/>
          <w:szCs w:val="24"/>
        </w:rPr>
        <w:lastRenderedPageBreak/>
        <w:t>Nixon</w:t>
      </w:r>
      <w:r w:rsidR="0077524F" w:rsidRPr="005E142B">
        <w:rPr>
          <w:sz w:val="24"/>
          <w:szCs w:val="24"/>
        </w:rPr>
        <w:t xml:space="preserve"> and Kissinger</w:t>
      </w:r>
      <w:r w:rsidR="007C406A" w:rsidRPr="005E142B">
        <w:rPr>
          <w:sz w:val="24"/>
          <w:szCs w:val="24"/>
        </w:rPr>
        <w:t xml:space="preserve"> </w:t>
      </w:r>
      <w:r w:rsidR="00791777">
        <w:rPr>
          <w:sz w:val="24"/>
          <w:szCs w:val="24"/>
        </w:rPr>
        <w:t xml:space="preserve">issued public explanations to legitimise their shift, and </w:t>
      </w:r>
      <w:r w:rsidR="00421889" w:rsidRPr="005E142B">
        <w:rPr>
          <w:sz w:val="24"/>
          <w:szCs w:val="24"/>
        </w:rPr>
        <w:t>mad</w:t>
      </w:r>
      <w:r w:rsidR="00760A04" w:rsidRPr="005E142B">
        <w:rPr>
          <w:sz w:val="24"/>
          <w:szCs w:val="24"/>
        </w:rPr>
        <w:t>e policy secretly and obstruct</w:t>
      </w:r>
      <w:r w:rsidR="00421889" w:rsidRPr="005E142B">
        <w:rPr>
          <w:sz w:val="24"/>
          <w:szCs w:val="24"/>
        </w:rPr>
        <w:t>ed</w:t>
      </w:r>
      <w:r w:rsidR="00760A04" w:rsidRPr="005E142B">
        <w:rPr>
          <w:sz w:val="24"/>
          <w:szCs w:val="24"/>
        </w:rPr>
        <w:t xml:space="preserve"> oversight, </w:t>
      </w:r>
      <w:r w:rsidR="00CF53ED" w:rsidRPr="005E142B">
        <w:rPr>
          <w:sz w:val="24"/>
          <w:szCs w:val="24"/>
        </w:rPr>
        <w:t xml:space="preserve">by turns </w:t>
      </w:r>
      <w:r w:rsidR="00760A04" w:rsidRPr="005E142B">
        <w:rPr>
          <w:sz w:val="24"/>
          <w:szCs w:val="24"/>
        </w:rPr>
        <w:t>excluding</w:t>
      </w:r>
      <w:r w:rsidR="00CF53ED" w:rsidRPr="005E142B">
        <w:rPr>
          <w:sz w:val="24"/>
          <w:szCs w:val="24"/>
        </w:rPr>
        <w:t>, deflecting or dominating</w:t>
      </w:r>
      <w:r w:rsidR="0077524F" w:rsidRPr="005E142B">
        <w:rPr>
          <w:sz w:val="24"/>
          <w:szCs w:val="24"/>
        </w:rPr>
        <w:t xml:space="preserve"> the national security bureaucracy</w:t>
      </w:r>
      <w:r w:rsidR="00CF53ED" w:rsidRPr="005E142B">
        <w:rPr>
          <w:sz w:val="24"/>
          <w:szCs w:val="24"/>
        </w:rPr>
        <w:t>, State Department</w:t>
      </w:r>
      <w:r w:rsidR="007B3AA4" w:rsidRPr="005E142B">
        <w:rPr>
          <w:sz w:val="24"/>
          <w:szCs w:val="24"/>
        </w:rPr>
        <w:t xml:space="preserve"> and congress</w:t>
      </w:r>
      <w:r w:rsidR="00CF53ED" w:rsidRPr="005E142B">
        <w:rPr>
          <w:sz w:val="24"/>
          <w:szCs w:val="24"/>
        </w:rPr>
        <w:t xml:space="preserve">, to concentrate power among a small coterie of presidential advisers. </w:t>
      </w:r>
      <w:r w:rsidR="00B420DC" w:rsidRPr="005E142B">
        <w:rPr>
          <w:sz w:val="24"/>
          <w:szCs w:val="24"/>
        </w:rPr>
        <w:t>This</w:t>
      </w:r>
      <w:r w:rsidR="00CF53ED" w:rsidRPr="005E142B">
        <w:rPr>
          <w:sz w:val="24"/>
          <w:szCs w:val="24"/>
        </w:rPr>
        <w:t xml:space="preserve"> project attracted</w:t>
      </w:r>
      <w:r w:rsidR="00473CE3" w:rsidRPr="005E142B">
        <w:rPr>
          <w:sz w:val="24"/>
          <w:szCs w:val="24"/>
        </w:rPr>
        <w:t xml:space="preserve"> </w:t>
      </w:r>
      <w:r w:rsidR="00421889" w:rsidRPr="005E142B">
        <w:rPr>
          <w:sz w:val="24"/>
          <w:szCs w:val="24"/>
        </w:rPr>
        <w:t xml:space="preserve">strong </w:t>
      </w:r>
      <w:r w:rsidR="00CF53ED" w:rsidRPr="005E142B">
        <w:rPr>
          <w:sz w:val="24"/>
          <w:szCs w:val="24"/>
        </w:rPr>
        <w:t>opposition</w:t>
      </w:r>
      <w:r w:rsidR="00473CE3" w:rsidRPr="005E142B">
        <w:rPr>
          <w:sz w:val="24"/>
          <w:szCs w:val="24"/>
        </w:rPr>
        <w:t>.</w:t>
      </w:r>
      <w:r w:rsidR="003E0E9E" w:rsidRPr="005E142B">
        <w:rPr>
          <w:sz w:val="24"/>
          <w:szCs w:val="24"/>
        </w:rPr>
        <w:t xml:space="preserve"> </w:t>
      </w:r>
      <w:r w:rsidR="00473CE3" w:rsidRPr="005E142B">
        <w:rPr>
          <w:sz w:val="24"/>
          <w:szCs w:val="24"/>
        </w:rPr>
        <w:t xml:space="preserve">By the time of President Ford, </w:t>
      </w:r>
      <w:r w:rsidR="00421889" w:rsidRPr="005E142B">
        <w:rPr>
          <w:sz w:val="24"/>
          <w:szCs w:val="24"/>
        </w:rPr>
        <w:t>th</w:t>
      </w:r>
      <w:r w:rsidR="00351517" w:rsidRPr="005E142B">
        <w:rPr>
          <w:sz w:val="24"/>
          <w:szCs w:val="24"/>
        </w:rPr>
        <w:t xml:space="preserve">is </w:t>
      </w:r>
      <w:r w:rsidR="00421889" w:rsidRPr="005E142B">
        <w:rPr>
          <w:sz w:val="24"/>
          <w:szCs w:val="24"/>
        </w:rPr>
        <w:t>alternative order had unravelled</w:t>
      </w:r>
      <w:r w:rsidR="00DB5002" w:rsidRPr="005E142B">
        <w:rPr>
          <w:sz w:val="24"/>
          <w:szCs w:val="24"/>
        </w:rPr>
        <w:t>.</w:t>
      </w:r>
      <w:r w:rsidR="00473CE3" w:rsidRPr="005E142B">
        <w:rPr>
          <w:sz w:val="24"/>
          <w:szCs w:val="24"/>
        </w:rPr>
        <w:t xml:space="preserve"> </w:t>
      </w:r>
    </w:p>
    <w:p w:rsidR="00A47B34" w:rsidRPr="005E142B" w:rsidRDefault="003F50A3" w:rsidP="005E142B">
      <w:pPr>
        <w:spacing w:after="0" w:line="480" w:lineRule="auto"/>
        <w:ind w:firstLine="720"/>
        <w:jc w:val="both"/>
        <w:rPr>
          <w:sz w:val="24"/>
          <w:szCs w:val="24"/>
        </w:rPr>
      </w:pPr>
      <w:r w:rsidRPr="005E142B">
        <w:rPr>
          <w:sz w:val="24"/>
          <w:szCs w:val="24"/>
        </w:rPr>
        <w:t xml:space="preserve"> </w:t>
      </w:r>
      <w:r w:rsidR="007C406A" w:rsidRPr="005E142B">
        <w:rPr>
          <w:sz w:val="24"/>
          <w:szCs w:val="24"/>
        </w:rPr>
        <w:t xml:space="preserve"> </w:t>
      </w:r>
      <w:r w:rsidR="007D4D54" w:rsidRPr="005E142B">
        <w:rPr>
          <w:sz w:val="24"/>
          <w:szCs w:val="24"/>
        </w:rPr>
        <w:t xml:space="preserve">  </w:t>
      </w:r>
      <w:r w:rsidR="0095743B" w:rsidRPr="005E142B">
        <w:rPr>
          <w:sz w:val="24"/>
          <w:szCs w:val="24"/>
        </w:rPr>
        <w:t xml:space="preserve"> </w:t>
      </w:r>
      <w:r w:rsidR="00A47B34" w:rsidRPr="005E142B">
        <w:rPr>
          <w:sz w:val="24"/>
          <w:szCs w:val="24"/>
        </w:rPr>
        <w:t xml:space="preserve"> </w:t>
      </w:r>
    </w:p>
    <w:p w:rsidR="00DD7B09" w:rsidRDefault="00421889" w:rsidP="00EA7F1E">
      <w:pPr>
        <w:spacing w:after="0" w:line="480" w:lineRule="auto"/>
        <w:ind w:firstLine="720"/>
        <w:jc w:val="both"/>
        <w:rPr>
          <w:sz w:val="24"/>
          <w:szCs w:val="24"/>
        </w:rPr>
      </w:pPr>
      <w:r w:rsidRPr="005E142B">
        <w:rPr>
          <w:sz w:val="24"/>
          <w:szCs w:val="24"/>
        </w:rPr>
        <w:t xml:space="preserve">Grand strategic change is therefore rare. </w:t>
      </w:r>
      <w:r w:rsidR="003776C0" w:rsidRPr="005E142B">
        <w:rPr>
          <w:sz w:val="24"/>
          <w:szCs w:val="24"/>
        </w:rPr>
        <w:t>Hard-wired beliefs are resistant to change.</w:t>
      </w:r>
      <w:r w:rsidR="003776C0" w:rsidRPr="005E142B">
        <w:rPr>
          <w:rStyle w:val="FootnoteReference"/>
          <w:sz w:val="24"/>
          <w:szCs w:val="24"/>
        </w:rPr>
        <w:footnoteReference w:id="39"/>
      </w:r>
      <w:r w:rsidR="003776C0" w:rsidRPr="005E142B">
        <w:rPr>
          <w:sz w:val="24"/>
          <w:szCs w:val="24"/>
        </w:rPr>
        <w:t xml:space="preserve"> </w:t>
      </w:r>
      <w:r w:rsidR="00351517" w:rsidRPr="005E142B">
        <w:rPr>
          <w:sz w:val="24"/>
          <w:szCs w:val="24"/>
        </w:rPr>
        <w:t xml:space="preserve">Major powers can retrench in order to </w:t>
      </w:r>
      <w:r w:rsidR="00E40833" w:rsidRPr="005E142B">
        <w:rPr>
          <w:sz w:val="24"/>
          <w:szCs w:val="24"/>
        </w:rPr>
        <w:t>adjust</w:t>
      </w:r>
      <w:r w:rsidR="009F2E90" w:rsidRPr="005E142B">
        <w:rPr>
          <w:sz w:val="24"/>
          <w:szCs w:val="24"/>
        </w:rPr>
        <w:t xml:space="preserve"> to adversity</w:t>
      </w:r>
      <w:r w:rsidR="00E40833" w:rsidRPr="005E142B">
        <w:rPr>
          <w:sz w:val="24"/>
          <w:szCs w:val="24"/>
        </w:rPr>
        <w:t>, b</w:t>
      </w:r>
      <w:r w:rsidR="00351517" w:rsidRPr="005E142B">
        <w:rPr>
          <w:sz w:val="24"/>
          <w:szCs w:val="24"/>
        </w:rPr>
        <w:t>ut mostly within the limi</w:t>
      </w:r>
      <w:r w:rsidR="009F2E90" w:rsidRPr="005E142B">
        <w:rPr>
          <w:sz w:val="24"/>
          <w:szCs w:val="24"/>
        </w:rPr>
        <w:t>ts of their fundamental design. H</w:t>
      </w:r>
      <w:r w:rsidR="00351517" w:rsidRPr="005E142B">
        <w:rPr>
          <w:sz w:val="24"/>
          <w:szCs w:val="24"/>
        </w:rPr>
        <w:t>ence the long history of major powers falling prey to adjustment failure, overreaching or attracting hostile coalitions.</w:t>
      </w:r>
      <w:r w:rsidR="00351517" w:rsidRPr="005E142B">
        <w:rPr>
          <w:rStyle w:val="FootnoteReference"/>
          <w:sz w:val="24"/>
          <w:szCs w:val="24"/>
        </w:rPr>
        <w:footnoteReference w:id="40"/>
      </w:r>
      <w:r w:rsidR="00351517" w:rsidRPr="005E142B">
        <w:rPr>
          <w:sz w:val="24"/>
          <w:szCs w:val="24"/>
        </w:rPr>
        <w:t xml:space="preserve"> </w:t>
      </w:r>
      <w:r w:rsidR="003776C0" w:rsidRPr="005E142B">
        <w:rPr>
          <w:sz w:val="24"/>
          <w:szCs w:val="24"/>
        </w:rPr>
        <w:t xml:space="preserve">People revise </w:t>
      </w:r>
      <w:r w:rsidR="00351517" w:rsidRPr="005E142B">
        <w:rPr>
          <w:sz w:val="24"/>
          <w:szCs w:val="24"/>
        </w:rPr>
        <w:t>habits</w:t>
      </w:r>
      <w:r w:rsidRPr="005E142B">
        <w:rPr>
          <w:sz w:val="24"/>
          <w:szCs w:val="24"/>
        </w:rPr>
        <w:t xml:space="preserve"> only</w:t>
      </w:r>
      <w:r w:rsidR="003776C0" w:rsidRPr="005E142B">
        <w:rPr>
          <w:sz w:val="24"/>
          <w:szCs w:val="24"/>
        </w:rPr>
        <w:t xml:space="preserve"> when contradictory information is received dramatically and in large batches, and </w:t>
      </w:r>
      <w:r w:rsidR="00351517" w:rsidRPr="005E142B">
        <w:rPr>
          <w:sz w:val="24"/>
          <w:szCs w:val="24"/>
        </w:rPr>
        <w:t>when determined agents</w:t>
      </w:r>
      <w:r w:rsidR="00F708B9" w:rsidRPr="005E142B">
        <w:rPr>
          <w:sz w:val="24"/>
          <w:szCs w:val="24"/>
        </w:rPr>
        <w:t xml:space="preserve"> realise they cannot assimilate those shocks into their world view, and</w:t>
      </w:r>
      <w:r w:rsidR="00351517" w:rsidRPr="005E142B">
        <w:rPr>
          <w:sz w:val="24"/>
          <w:szCs w:val="24"/>
        </w:rPr>
        <w:t xml:space="preserve"> </w:t>
      </w:r>
      <w:r w:rsidR="00F708B9" w:rsidRPr="005E142B">
        <w:rPr>
          <w:sz w:val="24"/>
          <w:szCs w:val="24"/>
        </w:rPr>
        <w:t xml:space="preserve">pursue </w:t>
      </w:r>
      <w:r w:rsidR="00351517" w:rsidRPr="005E142B">
        <w:rPr>
          <w:sz w:val="24"/>
          <w:szCs w:val="24"/>
        </w:rPr>
        <w:t>change</w:t>
      </w:r>
      <w:r w:rsidR="003776C0" w:rsidRPr="005E142B">
        <w:rPr>
          <w:sz w:val="24"/>
          <w:szCs w:val="24"/>
        </w:rPr>
        <w:t xml:space="preserve">. </w:t>
      </w:r>
      <w:r w:rsidR="00B50F68" w:rsidRPr="005E142B">
        <w:rPr>
          <w:sz w:val="24"/>
          <w:szCs w:val="24"/>
        </w:rPr>
        <w:t>Japan’s attack on</w:t>
      </w:r>
      <w:r w:rsidR="00AD3239" w:rsidRPr="005E142B">
        <w:rPr>
          <w:sz w:val="24"/>
          <w:szCs w:val="24"/>
        </w:rPr>
        <w:t xml:space="preserve"> Pearl Harbor</w:t>
      </w:r>
      <w:r w:rsidR="00F708B9" w:rsidRPr="005E142B">
        <w:rPr>
          <w:sz w:val="24"/>
          <w:szCs w:val="24"/>
        </w:rPr>
        <w:t xml:space="preserve"> </w:t>
      </w:r>
      <w:r w:rsidR="007357B4">
        <w:rPr>
          <w:sz w:val="24"/>
          <w:szCs w:val="24"/>
        </w:rPr>
        <w:t xml:space="preserve">in 1941 </w:t>
      </w:r>
      <w:r w:rsidR="00F708B9" w:rsidRPr="005E142B">
        <w:rPr>
          <w:sz w:val="24"/>
          <w:szCs w:val="24"/>
        </w:rPr>
        <w:t>is an example</w:t>
      </w:r>
      <w:r w:rsidR="007357B4">
        <w:rPr>
          <w:sz w:val="24"/>
          <w:szCs w:val="24"/>
        </w:rPr>
        <w:t>, where a shocking event discredits established orthodoxy.</w:t>
      </w:r>
      <w:r w:rsidR="00C572E0" w:rsidRPr="005E142B">
        <w:rPr>
          <w:sz w:val="24"/>
          <w:szCs w:val="24"/>
        </w:rPr>
        <w:t xml:space="preserve"> </w:t>
      </w:r>
      <w:r w:rsidR="004C3A6D" w:rsidRPr="005E142B">
        <w:rPr>
          <w:sz w:val="24"/>
          <w:szCs w:val="24"/>
        </w:rPr>
        <w:t xml:space="preserve">American primacy, and the </w:t>
      </w:r>
      <w:r w:rsidR="00D6245A" w:rsidRPr="005E142B">
        <w:rPr>
          <w:sz w:val="24"/>
          <w:szCs w:val="24"/>
        </w:rPr>
        <w:t xml:space="preserve">confidence </w:t>
      </w:r>
      <w:r w:rsidR="004C3A6D" w:rsidRPr="005E142B">
        <w:rPr>
          <w:sz w:val="24"/>
          <w:szCs w:val="24"/>
        </w:rPr>
        <w:t xml:space="preserve">that America </w:t>
      </w:r>
      <w:r w:rsidR="007248EC" w:rsidRPr="005E142B">
        <w:rPr>
          <w:sz w:val="24"/>
          <w:szCs w:val="24"/>
        </w:rPr>
        <w:t>possesses</w:t>
      </w:r>
      <w:r w:rsidR="004C3A6D" w:rsidRPr="005E142B">
        <w:rPr>
          <w:sz w:val="24"/>
          <w:szCs w:val="24"/>
        </w:rPr>
        <w:t xml:space="preserve"> vast latent power, </w:t>
      </w:r>
      <w:r w:rsidR="00C572E0" w:rsidRPr="005E142B">
        <w:rPr>
          <w:sz w:val="24"/>
          <w:szCs w:val="24"/>
        </w:rPr>
        <w:t>is especially resilient to shocks</w:t>
      </w:r>
      <w:r w:rsidR="00D6245A" w:rsidRPr="005E142B">
        <w:rPr>
          <w:sz w:val="24"/>
          <w:szCs w:val="24"/>
        </w:rPr>
        <w:t xml:space="preserve">. </w:t>
      </w:r>
      <w:r w:rsidR="007C504F">
        <w:rPr>
          <w:sz w:val="24"/>
          <w:szCs w:val="24"/>
        </w:rPr>
        <w:t>America’s</w:t>
      </w:r>
      <w:r w:rsidR="00D6245A" w:rsidRPr="005E142B">
        <w:rPr>
          <w:sz w:val="24"/>
          <w:szCs w:val="24"/>
        </w:rPr>
        <w:t xml:space="preserve"> relative strength </w:t>
      </w:r>
      <w:r w:rsidR="007C504F">
        <w:rPr>
          <w:sz w:val="24"/>
          <w:szCs w:val="24"/>
        </w:rPr>
        <w:t>is almost</w:t>
      </w:r>
      <w:r w:rsidR="00D6245A" w:rsidRPr="005E142B">
        <w:rPr>
          <w:sz w:val="24"/>
          <w:szCs w:val="24"/>
        </w:rPr>
        <w:t xml:space="preserve"> unparalleled in history, and enabled a story hard to falsify.</w:t>
      </w:r>
      <w:r w:rsidR="00C572E0" w:rsidRPr="005E142B">
        <w:rPr>
          <w:sz w:val="24"/>
          <w:szCs w:val="24"/>
        </w:rPr>
        <w:t xml:space="preserve"> </w:t>
      </w:r>
      <w:r w:rsidR="008222D7" w:rsidRPr="005E142B">
        <w:rPr>
          <w:sz w:val="24"/>
          <w:szCs w:val="24"/>
        </w:rPr>
        <w:t>It predisposes p</w:t>
      </w:r>
      <w:r w:rsidR="00C572E0" w:rsidRPr="005E142B">
        <w:rPr>
          <w:sz w:val="24"/>
          <w:szCs w:val="24"/>
        </w:rPr>
        <w:t>olicymakers to interpret disasters</w:t>
      </w:r>
      <w:r w:rsidR="008222D7" w:rsidRPr="005E142B">
        <w:rPr>
          <w:sz w:val="24"/>
          <w:szCs w:val="24"/>
        </w:rPr>
        <w:t xml:space="preserve"> -</w:t>
      </w:r>
      <w:r w:rsidR="00C572E0" w:rsidRPr="005E142B">
        <w:rPr>
          <w:sz w:val="24"/>
          <w:szCs w:val="24"/>
        </w:rPr>
        <w:t xml:space="preserve"> like the 9/11 attacks</w:t>
      </w:r>
      <w:r w:rsidR="008222D7" w:rsidRPr="005E142B">
        <w:rPr>
          <w:sz w:val="24"/>
          <w:szCs w:val="24"/>
        </w:rPr>
        <w:t xml:space="preserve"> -</w:t>
      </w:r>
      <w:r w:rsidR="00C572E0" w:rsidRPr="005E142B">
        <w:rPr>
          <w:sz w:val="24"/>
          <w:szCs w:val="24"/>
        </w:rPr>
        <w:t xml:space="preserve"> as caused by an insufficiency of American </w:t>
      </w:r>
      <w:r w:rsidR="004C3A6D" w:rsidRPr="005E142B">
        <w:rPr>
          <w:sz w:val="24"/>
          <w:szCs w:val="24"/>
        </w:rPr>
        <w:t>dominance</w:t>
      </w:r>
      <w:r w:rsidR="00C572E0" w:rsidRPr="005E142B">
        <w:rPr>
          <w:sz w:val="24"/>
          <w:szCs w:val="24"/>
        </w:rPr>
        <w:t xml:space="preserve">, and as evidence of the need for more. The </w:t>
      </w:r>
      <w:r w:rsidR="0083271D">
        <w:rPr>
          <w:sz w:val="24"/>
          <w:szCs w:val="24"/>
        </w:rPr>
        <w:t>“</w:t>
      </w:r>
      <w:r w:rsidR="00C572E0" w:rsidRPr="005E142B">
        <w:rPr>
          <w:sz w:val="24"/>
          <w:szCs w:val="24"/>
        </w:rPr>
        <w:t>Bush Doctrine</w:t>
      </w:r>
      <w:r w:rsidR="0083271D">
        <w:rPr>
          <w:sz w:val="24"/>
          <w:szCs w:val="24"/>
        </w:rPr>
        <w:t>”</w:t>
      </w:r>
      <w:r w:rsidR="00C572E0" w:rsidRPr="005E142B">
        <w:rPr>
          <w:sz w:val="24"/>
          <w:szCs w:val="24"/>
        </w:rPr>
        <w:t>, triggered by 9/11, unapologetically reasserted primacy and revived American traditions of preventive war.</w:t>
      </w:r>
      <w:r w:rsidR="007D2CDC" w:rsidRPr="005E142B">
        <w:rPr>
          <w:rStyle w:val="FootnoteReference"/>
          <w:sz w:val="24"/>
          <w:szCs w:val="24"/>
        </w:rPr>
        <w:footnoteReference w:id="41"/>
      </w:r>
      <w:r w:rsidR="00F708B9" w:rsidRPr="005E142B">
        <w:rPr>
          <w:sz w:val="24"/>
          <w:szCs w:val="24"/>
        </w:rPr>
        <w:t xml:space="preserve"> Washington kept its core commitments even in the wake of setbacks, such as the Global Financial Crisis or the Iraq War.</w:t>
      </w:r>
    </w:p>
    <w:p w:rsidR="00EA7F1E" w:rsidRPr="005E142B" w:rsidRDefault="00EA7F1E" w:rsidP="00EA7F1E">
      <w:pPr>
        <w:spacing w:after="0" w:line="480" w:lineRule="auto"/>
        <w:ind w:firstLine="720"/>
        <w:jc w:val="both"/>
        <w:rPr>
          <w:sz w:val="24"/>
          <w:szCs w:val="24"/>
        </w:rPr>
      </w:pPr>
    </w:p>
    <w:p w:rsidR="00EA7F1E" w:rsidRDefault="00EA7F1E" w:rsidP="00B72912">
      <w:pPr>
        <w:spacing w:after="0" w:line="480" w:lineRule="auto"/>
        <w:ind w:firstLine="709"/>
        <w:jc w:val="both"/>
        <w:rPr>
          <w:sz w:val="24"/>
          <w:szCs w:val="24"/>
        </w:rPr>
      </w:pPr>
      <w:r w:rsidRPr="005E142B">
        <w:rPr>
          <w:sz w:val="24"/>
          <w:szCs w:val="24"/>
        </w:rPr>
        <w:lastRenderedPageBreak/>
        <w:t xml:space="preserve">I now offer predictions, derived from my deductive theory. There will be an essential continuity in US grand strategy in the decades after the Cold War. Its four parts – preponderance, reassurance, integration and inhibition -will persist despite shifts between presidencies, a changing balance in Congress, economic change and demands for reallocation of resources, a more benign threat environment, and a public increasingly averse to the costs of primacy. </w:t>
      </w:r>
      <w:r w:rsidRPr="005E142B">
        <w:rPr>
          <w:color w:val="000000"/>
          <w:sz w:val="24"/>
          <w:szCs w:val="24"/>
        </w:rPr>
        <w:t>W</w:t>
      </w:r>
      <w:r w:rsidRPr="005E142B">
        <w:rPr>
          <w:sz w:val="24"/>
          <w:szCs w:val="24"/>
        </w:rPr>
        <w:t xml:space="preserve">ith the Soviet Union as the last major check on its power gone, Washington will look to realise its long-held goal of unrivalled dominance. </w:t>
      </w:r>
      <w:r>
        <w:rPr>
          <w:sz w:val="24"/>
          <w:szCs w:val="24"/>
        </w:rPr>
        <w:t xml:space="preserve"> </w:t>
      </w:r>
      <w:r w:rsidRPr="005E142B">
        <w:rPr>
          <w:sz w:val="24"/>
          <w:szCs w:val="24"/>
        </w:rPr>
        <w:t xml:space="preserve">There will be no fundamental review of America’s grand strategy, despite incentives and opportunities for revision. Policy process within the executive branch, the branch that directs American statecraft, commands military forces and makes treaties, will be disciplined by gatekeepers, and public grand strategic debate will hardly penetrate. </w:t>
      </w:r>
      <w:r w:rsidR="0083271D">
        <w:rPr>
          <w:sz w:val="24"/>
          <w:szCs w:val="24"/>
        </w:rPr>
        <w:t>An operational mindset, or the “how” and “when”, will overshadow “whether.”</w:t>
      </w:r>
      <w:r w:rsidRPr="005E142B">
        <w:rPr>
          <w:sz w:val="24"/>
          <w:szCs w:val="24"/>
        </w:rPr>
        <w:t xml:space="preserve"> Allies will encourage and reinforce the reigning ideology. This is precisely what we see.</w:t>
      </w:r>
    </w:p>
    <w:p w:rsidR="00B72912" w:rsidRPr="00B72912" w:rsidRDefault="00B72912" w:rsidP="00BB0F17">
      <w:pPr>
        <w:spacing w:after="0" w:line="480" w:lineRule="auto"/>
        <w:jc w:val="both"/>
        <w:rPr>
          <w:sz w:val="24"/>
          <w:szCs w:val="24"/>
        </w:rPr>
      </w:pPr>
    </w:p>
    <w:p w:rsidR="00EA7F1E" w:rsidRDefault="001077CF" w:rsidP="00DD127F">
      <w:pPr>
        <w:tabs>
          <w:tab w:val="left" w:pos="8789"/>
        </w:tabs>
        <w:autoSpaceDE w:val="0"/>
        <w:autoSpaceDN w:val="0"/>
        <w:adjustRightInd w:val="0"/>
        <w:spacing w:after="0" w:line="480" w:lineRule="auto"/>
        <w:ind w:firstLine="709"/>
        <w:jc w:val="center"/>
        <w:rPr>
          <w:b/>
          <w:sz w:val="24"/>
          <w:szCs w:val="24"/>
        </w:rPr>
      </w:pPr>
      <w:r w:rsidRPr="005E142B">
        <w:rPr>
          <w:b/>
          <w:sz w:val="24"/>
          <w:szCs w:val="24"/>
        </w:rPr>
        <w:t>Part II</w:t>
      </w:r>
      <w:r w:rsidR="005C64A9" w:rsidRPr="005E142B">
        <w:rPr>
          <w:b/>
          <w:sz w:val="24"/>
          <w:szCs w:val="24"/>
        </w:rPr>
        <w:t xml:space="preserve">: </w:t>
      </w:r>
      <w:r w:rsidR="00CD1B42" w:rsidRPr="005E142B">
        <w:rPr>
          <w:b/>
          <w:sz w:val="24"/>
          <w:szCs w:val="24"/>
        </w:rPr>
        <w:t>President Bill Clinton</w:t>
      </w:r>
      <w:r w:rsidRPr="005E142B">
        <w:rPr>
          <w:b/>
          <w:sz w:val="24"/>
          <w:szCs w:val="24"/>
        </w:rPr>
        <w:t xml:space="preserve"> </w:t>
      </w:r>
    </w:p>
    <w:p w:rsidR="001774C0" w:rsidRPr="00BB0F17" w:rsidRDefault="008E3104" w:rsidP="00BB0F17">
      <w:pPr>
        <w:tabs>
          <w:tab w:val="left" w:pos="8789"/>
        </w:tabs>
        <w:autoSpaceDE w:val="0"/>
        <w:autoSpaceDN w:val="0"/>
        <w:adjustRightInd w:val="0"/>
        <w:spacing w:after="0" w:line="480" w:lineRule="auto"/>
        <w:jc w:val="both"/>
        <w:rPr>
          <w:b/>
          <w:sz w:val="24"/>
          <w:szCs w:val="24"/>
        </w:rPr>
      </w:pPr>
      <w:r>
        <w:rPr>
          <w:sz w:val="24"/>
          <w:szCs w:val="24"/>
        </w:rPr>
        <w:t>We now turn to t</w:t>
      </w:r>
      <w:r w:rsidR="001774C0">
        <w:rPr>
          <w:sz w:val="24"/>
          <w:szCs w:val="24"/>
        </w:rPr>
        <w:t>he presidency of Bill Clinton</w:t>
      </w:r>
      <w:r w:rsidR="00513083" w:rsidRPr="005E142B">
        <w:rPr>
          <w:sz w:val="24"/>
          <w:szCs w:val="24"/>
        </w:rPr>
        <w:t>.</w:t>
      </w:r>
      <w:r w:rsidR="00513083" w:rsidRPr="005E142B">
        <w:rPr>
          <w:rStyle w:val="FootnoteReference"/>
          <w:sz w:val="24"/>
          <w:szCs w:val="24"/>
        </w:rPr>
        <w:footnoteReference w:id="42"/>
      </w:r>
      <w:r w:rsidR="00513083" w:rsidRPr="005E142B">
        <w:rPr>
          <w:sz w:val="24"/>
          <w:szCs w:val="24"/>
        </w:rPr>
        <w:t xml:space="preserve"> </w:t>
      </w:r>
      <w:r w:rsidR="001774C0" w:rsidRPr="005E142B">
        <w:rPr>
          <w:sz w:val="24"/>
          <w:szCs w:val="24"/>
        </w:rPr>
        <w:t xml:space="preserve">In this section, I demonstrate that Clinton persisted with primacy in its essentials, and that the interaction of power and habit is the best explanation. In </w:t>
      </w:r>
      <w:r w:rsidR="001774C0">
        <w:rPr>
          <w:sz w:val="24"/>
          <w:szCs w:val="24"/>
        </w:rPr>
        <w:t>the</w:t>
      </w:r>
      <w:r w:rsidR="001774C0" w:rsidRPr="005E142B">
        <w:rPr>
          <w:sz w:val="24"/>
          <w:szCs w:val="24"/>
        </w:rPr>
        <w:t xml:space="preserve"> </w:t>
      </w:r>
      <w:r w:rsidR="0083271D">
        <w:rPr>
          <w:sz w:val="24"/>
          <w:szCs w:val="24"/>
        </w:rPr>
        <w:t>“</w:t>
      </w:r>
      <w:r w:rsidR="001774C0" w:rsidRPr="005E142B">
        <w:rPr>
          <w:sz w:val="24"/>
          <w:szCs w:val="24"/>
        </w:rPr>
        <w:t>unipolar moment</w:t>
      </w:r>
      <w:r w:rsidR="0083271D">
        <w:rPr>
          <w:sz w:val="24"/>
          <w:szCs w:val="24"/>
        </w:rPr>
        <w:t>”</w:t>
      </w:r>
      <w:r w:rsidR="001774C0" w:rsidRPr="005E142B">
        <w:rPr>
          <w:sz w:val="24"/>
          <w:szCs w:val="24"/>
        </w:rPr>
        <w:t xml:space="preserve"> between the end of the Cold War and the 9/11 attacks, </w:t>
      </w:r>
      <w:r w:rsidR="001774C0">
        <w:rPr>
          <w:sz w:val="24"/>
          <w:szCs w:val="24"/>
        </w:rPr>
        <w:t xml:space="preserve">the United States’ </w:t>
      </w:r>
      <w:r w:rsidR="001774C0" w:rsidRPr="005E142B">
        <w:rPr>
          <w:sz w:val="24"/>
          <w:szCs w:val="24"/>
        </w:rPr>
        <w:t>material dominance and the absence of external rivals gave it wide room for manoeuvre. The Soviet Union’s collapse attracted calls for a relaxation of commitments, to invest the spoils of victory at home. Clinton himself was oriented towards domestic politi</w:t>
      </w:r>
      <w:r w:rsidR="00F2553A">
        <w:rPr>
          <w:sz w:val="24"/>
          <w:szCs w:val="24"/>
        </w:rPr>
        <w:t>cs. A combination of structural and domestic</w:t>
      </w:r>
      <w:r w:rsidR="001774C0" w:rsidRPr="005E142B">
        <w:rPr>
          <w:sz w:val="24"/>
          <w:szCs w:val="24"/>
        </w:rPr>
        <w:t xml:space="preserve"> forces should have induced Washington to revise its strategy, or </w:t>
      </w:r>
      <w:r w:rsidR="0083271D">
        <w:rPr>
          <w:sz w:val="24"/>
          <w:szCs w:val="24"/>
        </w:rPr>
        <w:t>to drift.</w:t>
      </w:r>
      <w:r w:rsidR="001774C0" w:rsidRPr="005E142B">
        <w:rPr>
          <w:sz w:val="24"/>
          <w:szCs w:val="24"/>
        </w:rPr>
        <w:t xml:space="preserve"> These conditions make Clinton an unlikely case for my theory, </w:t>
      </w:r>
      <w:r w:rsidR="0077004D">
        <w:rPr>
          <w:sz w:val="24"/>
          <w:szCs w:val="24"/>
        </w:rPr>
        <w:t xml:space="preserve">posing a </w:t>
      </w:r>
      <w:r w:rsidR="0077004D">
        <w:rPr>
          <w:sz w:val="24"/>
          <w:szCs w:val="24"/>
        </w:rPr>
        <w:lastRenderedPageBreak/>
        <w:t>hard test</w:t>
      </w:r>
      <w:r w:rsidR="001774C0" w:rsidRPr="005E142B">
        <w:rPr>
          <w:sz w:val="24"/>
          <w:szCs w:val="24"/>
        </w:rPr>
        <w:t xml:space="preserve"> of adverse conditions.</w:t>
      </w:r>
      <w:r w:rsidR="001774C0" w:rsidRPr="005E142B">
        <w:rPr>
          <w:rStyle w:val="FootnoteReference"/>
          <w:sz w:val="24"/>
          <w:szCs w:val="24"/>
        </w:rPr>
        <w:footnoteReference w:id="43"/>
      </w:r>
      <w:r w:rsidR="00BB0F17">
        <w:rPr>
          <w:sz w:val="24"/>
          <w:szCs w:val="24"/>
        </w:rPr>
        <w:t xml:space="preserve"> Even though there was good reason to expect change, Clinton did not shift the U.S. from primacy.</w:t>
      </w:r>
    </w:p>
    <w:p w:rsidR="00BB0F17" w:rsidRDefault="00BB0F17" w:rsidP="005E142B">
      <w:pPr>
        <w:spacing w:after="0" w:line="480" w:lineRule="auto"/>
        <w:jc w:val="both"/>
        <w:rPr>
          <w:sz w:val="24"/>
          <w:szCs w:val="24"/>
        </w:rPr>
      </w:pPr>
    </w:p>
    <w:p w:rsidR="00FE51B1" w:rsidRDefault="00DD127F" w:rsidP="00BB0F17">
      <w:pPr>
        <w:spacing w:after="0" w:line="480" w:lineRule="auto"/>
        <w:jc w:val="both"/>
        <w:rPr>
          <w:b/>
          <w:sz w:val="24"/>
          <w:szCs w:val="24"/>
          <w:u w:val="single"/>
        </w:rPr>
      </w:pPr>
      <w:r>
        <w:rPr>
          <w:b/>
          <w:sz w:val="24"/>
          <w:szCs w:val="24"/>
          <w:u w:val="single"/>
        </w:rPr>
        <w:t>Primacy:</w:t>
      </w:r>
      <w:r w:rsidR="00FE51B1">
        <w:rPr>
          <w:b/>
          <w:sz w:val="24"/>
          <w:szCs w:val="24"/>
          <w:u w:val="single"/>
        </w:rPr>
        <w:t xml:space="preserve"> What Clinton Inherited</w:t>
      </w:r>
    </w:p>
    <w:p w:rsidR="00BB0F17" w:rsidRPr="00BB0F17" w:rsidRDefault="00BB0F17" w:rsidP="00BB0F17">
      <w:pPr>
        <w:spacing w:after="0" w:line="480" w:lineRule="auto"/>
        <w:jc w:val="both"/>
        <w:rPr>
          <w:b/>
          <w:sz w:val="24"/>
          <w:szCs w:val="24"/>
          <w:u w:val="single"/>
        </w:rPr>
      </w:pPr>
    </w:p>
    <w:p w:rsidR="00E56767" w:rsidRDefault="00C7393E" w:rsidP="0008043B">
      <w:pPr>
        <w:spacing w:after="0" w:line="480" w:lineRule="auto"/>
        <w:jc w:val="both"/>
        <w:rPr>
          <w:sz w:val="24"/>
          <w:szCs w:val="24"/>
        </w:rPr>
      </w:pPr>
      <w:r w:rsidRPr="005E142B">
        <w:rPr>
          <w:sz w:val="24"/>
          <w:szCs w:val="24"/>
        </w:rPr>
        <w:t>When Clinton took office in January 1993, he inherited the strategy of primacy. Th</w:t>
      </w:r>
      <w:r w:rsidR="001E2A71" w:rsidRPr="005E142B">
        <w:rPr>
          <w:sz w:val="24"/>
          <w:szCs w:val="24"/>
        </w:rPr>
        <w:t>is</w:t>
      </w:r>
      <w:r w:rsidRPr="005E142B">
        <w:rPr>
          <w:sz w:val="24"/>
          <w:szCs w:val="24"/>
        </w:rPr>
        <w:t xml:space="preserve"> strategy’s rationale is that America’s way of life</w:t>
      </w:r>
      <w:r w:rsidR="00C75781" w:rsidRPr="005E142B">
        <w:rPr>
          <w:sz w:val="24"/>
          <w:szCs w:val="24"/>
        </w:rPr>
        <w:t>, its republican and capitalist institutions,</w:t>
      </w:r>
      <w:r w:rsidRPr="005E142B">
        <w:rPr>
          <w:sz w:val="24"/>
          <w:szCs w:val="24"/>
        </w:rPr>
        <w:t xml:space="preserve"> depends on a hospitable international environment.</w:t>
      </w:r>
      <w:r w:rsidRPr="005E142B">
        <w:rPr>
          <w:rStyle w:val="FootnoteReference"/>
          <w:sz w:val="24"/>
          <w:szCs w:val="24"/>
        </w:rPr>
        <w:footnoteReference w:id="44"/>
      </w:r>
      <w:r w:rsidR="005133FC" w:rsidRPr="005E142B">
        <w:rPr>
          <w:sz w:val="24"/>
          <w:szCs w:val="24"/>
        </w:rPr>
        <w:t xml:space="preserve"> </w:t>
      </w:r>
      <w:r w:rsidR="0092077E">
        <w:rPr>
          <w:sz w:val="24"/>
          <w:szCs w:val="24"/>
        </w:rPr>
        <w:t xml:space="preserve">Without </w:t>
      </w:r>
      <w:r w:rsidR="00E149A5">
        <w:rPr>
          <w:sz w:val="24"/>
          <w:szCs w:val="24"/>
        </w:rPr>
        <w:t>benign American stewardship overseas</w:t>
      </w:r>
      <w:r w:rsidR="0092077E">
        <w:rPr>
          <w:sz w:val="24"/>
          <w:szCs w:val="24"/>
        </w:rPr>
        <w:t>, m</w:t>
      </w:r>
      <w:r w:rsidR="005133FC" w:rsidRPr="005E142B">
        <w:rPr>
          <w:sz w:val="24"/>
          <w:szCs w:val="24"/>
        </w:rPr>
        <w:t>ilitarised threats or hostile trading blocs would raise risks of evicting</w:t>
      </w:r>
      <w:r w:rsidR="00E149A5">
        <w:rPr>
          <w:sz w:val="24"/>
          <w:szCs w:val="24"/>
        </w:rPr>
        <w:t xml:space="preserve"> the U.S. </w:t>
      </w:r>
      <w:r w:rsidR="005133FC" w:rsidRPr="005E142B">
        <w:rPr>
          <w:sz w:val="24"/>
          <w:szCs w:val="24"/>
        </w:rPr>
        <w:t>from the major power centres of Western Europe, East Asia and the Persian Gulf, turning America into an encircled</w:t>
      </w:r>
      <w:r w:rsidR="00311BC7" w:rsidRPr="005E142B">
        <w:rPr>
          <w:sz w:val="24"/>
          <w:szCs w:val="24"/>
        </w:rPr>
        <w:t>, unfree</w:t>
      </w:r>
      <w:r w:rsidR="005133FC" w:rsidRPr="005E142B">
        <w:rPr>
          <w:sz w:val="24"/>
          <w:szCs w:val="24"/>
        </w:rPr>
        <w:t xml:space="preserve"> garrison state.</w:t>
      </w:r>
      <w:r w:rsidRPr="005E142B">
        <w:rPr>
          <w:sz w:val="24"/>
          <w:szCs w:val="24"/>
        </w:rPr>
        <w:t xml:space="preserve"> </w:t>
      </w:r>
      <w:r w:rsidR="00F30B50" w:rsidRPr="005E142B">
        <w:rPr>
          <w:sz w:val="24"/>
          <w:szCs w:val="24"/>
        </w:rPr>
        <w:t xml:space="preserve">America therefore actively prevents the world returning to competitive multi-polarity, and in particular, forestalls the emergence of a hostile imbalance of power in Eurasia. </w:t>
      </w:r>
      <w:r w:rsidR="003E46E0" w:rsidRPr="005E142B">
        <w:rPr>
          <w:sz w:val="24"/>
          <w:szCs w:val="24"/>
        </w:rPr>
        <w:t>The strategy’s intellectual origins lie in President Woodrow Wilson’s rationale for American entry into World War One, and Secretary of State John Hay’s ‘Open Door Notes’ of 1899-1902.</w:t>
      </w:r>
      <w:r w:rsidR="003E46E0" w:rsidRPr="005E142B">
        <w:rPr>
          <w:rStyle w:val="FootnoteReference"/>
          <w:sz w:val="24"/>
          <w:szCs w:val="24"/>
        </w:rPr>
        <w:footnoteReference w:id="45"/>
      </w:r>
      <w:r w:rsidR="003E46E0" w:rsidRPr="005E142B">
        <w:rPr>
          <w:color w:val="000000"/>
          <w:sz w:val="24"/>
          <w:szCs w:val="24"/>
        </w:rPr>
        <w:t xml:space="preserve"> </w:t>
      </w:r>
      <w:r w:rsidR="0072153E">
        <w:rPr>
          <w:sz w:val="24"/>
          <w:szCs w:val="24"/>
        </w:rPr>
        <w:t>The strategy of primacy has four elements:</w:t>
      </w:r>
      <w:r w:rsidR="005133FC" w:rsidRPr="005E142B">
        <w:rPr>
          <w:sz w:val="24"/>
          <w:szCs w:val="24"/>
        </w:rPr>
        <w:t xml:space="preserve"> </w:t>
      </w:r>
      <w:r w:rsidRPr="005E142B">
        <w:rPr>
          <w:sz w:val="24"/>
          <w:szCs w:val="24"/>
        </w:rPr>
        <w:t>preponderance, reassurance, integrati</w:t>
      </w:r>
      <w:r w:rsidR="005133FC" w:rsidRPr="005E142B">
        <w:rPr>
          <w:sz w:val="24"/>
          <w:szCs w:val="24"/>
        </w:rPr>
        <w:t>on and inhibition.</w:t>
      </w:r>
      <w:r w:rsidRPr="005E142B">
        <w:rPr>
          <w:sz w:val="24"/>
          <w:szCs w:val="24"/>
        </w:rPr>
        <w:t xml:space="preserve"> </w:t>
      </w:r>
      <w:r w:rsidR="003E46E0" w:rsidRPr="005E142B">
        <w:rPr>
          <w:sz w:val="24"/>
          <w:szCs w:val="24"/>
        </w:rPr>
        <w:t xml:space="preserve">Through </w:t>
      </w:r>
      <w:r w:rsidR="003E46E0" w:rsidRPr="005E142B">
        <w:rPr>
          <w:i/>
          <w:sz w:val="24"/>
          <w:szCs w:val="24"/>
        </w:rPr>
        <w:t xml:space="preserve">preponderance </w:t>
      </w:r>
      <w:r w:rsidR="00F30B50" w:rsidRPr="005E142B">
        <w:rPr>
          <w:color w:val="000000"/>
          <w:sz w:val="24"/>
          <w:szCs w:val="24"/>
        </w:rPr>
        <w:t>America</w:t>
      </w:r>
      <w:r w:rsidR="003E46E0" w:rsidRPr="005E142B">
        <w:rPr>
          <w:color w:val="000000"/>
          <w:sz w:val="24"/>
          <w:szCs w:val="24"/>
        </w:rPr>
        <w:t xml:space="preserve"> strives to be overwhelmingly strong, maintaining a preeminent military power position well beyond what it minimally needs to defend or deter threats, beyond its western hemisphere. Through </w:t>
      </w:r>
      <w:r w:rsidR="003E46E0" w:rsidRPr="005E142B">
        <w:rPr>
          <w:i/>
          <w:color w:val="000000"/>
          <w:sz w:val="24"/>
          <w:szCs w:val="24"/>
        </w:rPr>
        <w:t>reassurance</w:t>
      </w:r>
      <w:r w:rsidR="003E46E0" w:rsidRPr="005E142B">
        <w:rPr>
          <w:color w:val="000000"/>
          <w:sz w:val="24"/>
          <w:szCs w:val="24"/>
        </w:rPr>
        <w:t xml:space="preserve">, </w:t>
      </w:r>
      <w:r w:rsidR="00F30B50" w:rsidRPr="005E142B">
        <w:rPr>
          <w:color w:val="000000"/>
          <w:sz w:val="24"/>
          <w:szCs w:val="24"/>
        </w:rPr>
        <w:t>it</w:t>
      </w:r>
      <w:r w:rsidR="003E46E0" w:rsidRPr="005E142B">
        <w:rPr>
          <w:color w:val="000000"/>
          <w:sz w:val="24"/>
          <w:szCs w:val="24"/>
        </w:rPr>
        <w:t xml:space="preserve"> acts as</w:t>
      </w:r>
      <w:r w:rsidR="003E46E0" w:rsidRPr="005E142B">
        <w:rPr>
          <w:sz w:val="24"/>
          <w:szCs w:val="24"/>
        </w:rPr>
        <w:t xml:space="preserve"> security provide</w:t>
      </w:r>
      <w:r w:rsidR="0077004D">
        <w:rPr>
          <w:sz w:val="24"/>
          <w:szCs w:val="24"/>
        </w:rPr>
        <w:t>r and guarantor, to secure the commons</w:t>
      </w:r>
      <w:r w:rsidR="003E46E0" w:rsidRPr="005E142B">
        <w:rPr>
          <w:sz w:val="24"/>
          <w:szCs w:val="24"/>
        </w:rPr>
        <w:t xml:space="preserve"> </w:t>
      </w:r>
      <w:r w:rsidR="0092077E">
        <w:rPr>
          <w:sz w:val="24"/>
          <w:szCs w:val="24"/>
        </w:rPr>
        <w:t xml:space="preserve">to preserve stability, enable economic growth </w:t>
      </w:r>
      <w:r w:rsidR="003E46E0" w:rsidRPr="005E142B">
        <w:rPr>
          <w:sz w:val="24"/>
          <w:szCs w:val="24"/>
        </w:rPr>
        <w:t>and contain its allies, dissuading them from pursuing self-reliance and thereby becoming rivals</w:t>
      </w:r>
      <w:r w:rsidR="003E46E0" w:rsidRPr="005E142B">
        <w:rPr>
          <w:color w:val="000000"/>
          <w:sz w:val="24"/>
          <w:szCs w:val="24"/>
        </w:rPr>
        <w:t xml:space="preserve">. Through </w:t>
      </w:r>
      <w:r w:rsidR="003E46E0" w:rsidRPr="005E142B">
        <w:rPr>
          <w:i/>
          <w:color w:val="000000"/>
          <w:sz w:val="24"/>
          <w:szCs w:val="24"/>
        </w:rPr>
        <w:t>integration</w:t>
      </w:r>
      <w:r w:rsidR="003E46E0" w:rsidRPr="005E142B">
        <w:rPr>
          <w:color w:val="000000"/>
          <w:sz w:val="24"/>
          <w:szCs w:val="24"/>
        </w:rPr>
        <w:t xml:space="preserve">, </w:t>
      </w:r>
      <w:r w:rsidR="001E2A71" w:rsidRPr="005E142B">
        <w:rPr>
          <w:sz w:val="24"/>
          <w:szCs w:val="24"/>
        </w:rPr>
        <w:t xml:space="preserve">Washington creates conditions </w:t>
      </w:r>
      <w:r w:rsidR="001E2A71" w:rsidRPr="005E142B">
        <w:rPr>
          <w:sz w:val="24"/>
          <w:szCs w:val="24"/>
        </w:rPr>
        <w:lastRenderedPageBreak/>
        <w:t xml:space="preserve">optimal for the penetration of American capital, </w:t>
      </w:r>
      <w:r w:rsidR="00C75781" w:rsidRPr="005E142B">
        <w:rPr>
          <w:sz w:val="24"/>
          <w:szCs w:val="24"/>
        </w:rPr>
        <w:t>giving</w:t>
      </w:r>
      <w:r w:rsidR="003E46E0" w:rsidRPr="005E142B">
        <w:rPr>
          <w:sz w:val="24"/>
          <w:szCs w:val="24"/>
        </w:rPr>
        <w:t xml:space="preserve"> potential competitors an equity stake in its brand of market capitalism by investing </w:t>
      </w:r>
      <w:r w:rsidR="00C75781" w:rsidRPr="005E142B">
        <w:rPr>
          <w:sz w:val="24"/>
          <w:szCs w:val="24"/>
        </w:rPr>
        <w:t>them</w:t>
      </w:r>
      <w:r w:rsidR="003E46E0" w:rsidRPr="005E142B">
        <w:rPr>
          <w:sz w:val="24"/>
          <w:szCs w:val="24"/>
        </w:rPr>
        <w:t xml:space="preserve"> into friendly institutions and markets, </w:t>
      </w:r>
      <w:r w:rsidR="0042221C">
        <w:rPr>
          <w:sz w:val="24"/>
          <w:szCs w:val="24"/>
        </w:rPr>
        <w:t xml:space="preserve">associated with the remnants of the </w:t>
      </w:r>
      <w:r w:rsidR="0077004D">
        <w:rPr>
          <w:sz w:val="24"/>
          <w:szCs w:val="24"/>
        </w:rPr>
        <w:t>Bretton Woods</w:t>
      </w:r>
      <w:r w:rsidR="003E46E0" w:rsidRPr="005E142B">
        <w:rPr>
          <w:sz w:val="24"/>
          <w:szCs w:val="24"/>
        </w:rPr>
        <w:t xml:space="preserve"> framework</w:t>
      </w:r>
      <w:r w:rsidR="0042221C">
        <w:rPr>
          <w:sz w:val="24"/>
          <w:szCs w:val="24"/>
        </w:rPr>
        <w:t xml:space="preserve"> and the Washington Consensus</w:t>
      </w:r>
      <w:r w:rsidR="003E46E0" w:rsidRPr="005E142B">
        <w:rPr>
          <w:sz w:val="24"/>
          <w:szCs w:val="24"/>
        </w:rPr>
        <w:t xml:space="preserve">. Through </w:t>
      </w:r>
      <w:r w:rsidR="003E46E0" w:rsidRPr="005E142B">
        <w:rPr>
          <w:i/>
          <w:sz w:val="24"/>
          <w:szCs w:val="24"/>
        </w:rPr>
        <w:t>nuclear inhibition</w:t>
      </w:r>
      <w:r w:rsidR="003E46E0" w:rsidRPr="005E142B">
        <w:rPr>
          <w:sz w:val="24"/>
          <w:szCs w:val="24"/>
        </w:rPr>
        <w:t>, the U</w:t>
      </w:r>
      <w:r w:rsidR="00970E17">
        <w:rPr>
          <w:sz w:val="24"/>
          <w:szCs w:val="24"/>
        </w:rPr>
        <w:t>.</w:t>
      </w:r>
      <w:r w:rsidR="003E46E0" w:rsidRPr="005E142B">
        <w:rPr>
          <w:sz w:val="24"/>
          <w:szCs w:val="24"/>
        </w:rPr>
        <w:t>S</w:t>
      </w:r>
      <w:r w:rsidR="00970E17">
        <w:rPr>
          <w:sz w:val="24"/>
          <w:szCs w:val="24"/>
        </w:rPr>
        <w:t>.</w:t>
      </w:r>
      <w:r w:rsidR="003E46E0" w:rsidRPr="005E142B">
        <w:rPr>
          <w:sz w:val="24"/>
          <w:szCs w:val="24"/>
        </w:rPr>
        <w:t xml:space="preserve"> prevents or slows the spread of nuclear weapons capability that would constrain its freedom of action. </w:t>
      </w:r>
    </w:p>
    <w:p w:rsidR="00E56767" w:rsidRDefault="00E56767" w:rsidP="0008043B">
      <w:pPr>
        <w:spacing w:after="0" w:line="480" w:lineRule="auto"/>
        <w:jc w:val="both"/>
        <w:rPr>
          <w:sz w:val="24"/>
          <w:szCs w:val="24"/>
        </w:rPr>
      </w:pPr>
    </w:p>
    <w:p w:rsidR="003A12B4" w:rsidRDefault="003E46E0" w:rsidP="00E56767">
      <w:pPr>
        <w:spacing w:after="0" w:line="480" w:lineRule="auto"/>
        <w:ind w:firstLine="720"/>
        <w:jc w:val="both"/>
        <w:rPr>
          <w:color w:val="000000"/>
          <w:sz w:val="24"/>
          <w:szCs w:val="24"/>
        </w:rPr>
      </w:pPr>
      <w:r w:rsidRPr="005E142B">
        <w:rPr>
          <w:sz w:val="24"/>
          <w:szCs w:val="24"/>
        </w:rPr>
        <w:t xml:space="preserve">Primacy </w:t>
      </w:r>
      <w:r w:rsidR="009E0425">
        <w:rPr>
          <w:sz w:val="24"/>
          <w:szCs w:val="24"/>
        </w:rPr>
        <w:t>demands a high level of activity</w:t>
      </w:r>
      <w:r w:rsidR="00DF7299" w:rsidRPr="005E142B">
        <w:rPr>
          <w:sz w:val="24"/>
          <w:szCs w:val="24"/>
        </w:rPr>
        <w:t>. It uses</w:t>
      </w:r>
      <w:r w:rsidRPr="005E142B">
        <w:rPr>
          <w:sz w:val="24"/>
          <w:szCs w:val="24"/>
        </w:rPr>
        <w:t xml:space="preserve"> a global military presence to maintain a power position.</w:t>
      </w:r>
      <w:r w:rsidRPr="005E142B">
        <w:rPr>
          <w:rStyle w:val="FootnoteReference"/>
          <w:sz w:val="24"/>
          <w:szCs w:val="24"/>
        </w:rPr>
        <w:footnoteReference w:id="46"/>
      </w:r>
      <w:r w:rsidRPr="005E142B">
        <w:rPr>
          <w:sz w:val="24"/>
          <w:szCs w:val="24"/>
        </w:rPr>
        <w:t xml:space="preserve"> It predisposes </w:t>
      </w:r>
      <w:r w:rsidR="00B8697D">
        <w:rPr>
          <w:sz w:val="24"/>
          <w:szCs w:val="24"/>
        </w:rPr>
        <w:t>the U.S.</w:t>
      </w:r>
      <w:r w:rsidRPr="005E142B">
        <w:rPr>
          <w:sz w:val="24"/>
          <w:szCs w:val="24"/>
        </w:rPr>
        <w:t xml:space="preserve"> towards frequent uses of force to </w:t>
      </w:r>
      <w:r w:rsidR="00431548">
        <w:rPr>
          <w:sz w:val="24"/>
          <w:szCs w:val="24"/>
        </w:rPr>
        <w:t>maintain</w:t>
      </w:r>
      <w:r w:rsidRPr="005E142B">
        <w:rPr>
          <w:sz w:val="24"/>
          <w:szCs w:val="24"/>
        </w:rPr>
        <w:t xml:space="preserve"> order. </w:t>
      </w:r>
      <w:r w:rsidR="0077369B">
        <w:rPr>
          <w:sz w:val="24"/>
          <w:szCs w:val="24"/>
        </w:rPr>
        <w:t xml:space="preserve">It also intends permanence. </w:t>
      </w:r>
      <w:r w:rsidR="00057445" w:rsidRPr="005E142B">
        <w:rPr>
          <w:sz w:val="24"/>
          <w:szCs w:val="24"/>
        </w:rPr>
        <w:t>A</w:t>
      </w:r>
      <w:r w:rsidR="00C7393E" w:rsidRPr="005E142B">
        <w:rPr>
          <w:sz w:val="24"/>
          <w:szCs w:val="24"/>
        </w:rPr>
        <w:t>nti-Soviet containment</w:t>
      </w:r>
      <w:r w:rsidR="00057445" w:rsidRPr="005E142B">
        <w:rPr>
          <w:sz w:val="24"/>
          <w:szCs w:val="24"/>
        </w:rPr>
        <w:t xml:space="preserve"> was the </w:t>
      </w:r>
      <w:r w:rsidR="00AC53BA">
        <w:rPr>
          <w:sz w:val="24"/>
          <w:szCs w:val="24"/>
        </w:rPr>
        <w:t>most pressing</w:t>
      </w:r>
      <w:r w:rsidR="00057445" w:rsidRPr="005E142B">
        <w:rPr>
          <w:sz w:val="24"/>
          <w:szCs w:val="24"/>
        </w:rPr>
        <w:t xml:space="preserve"> Cold War concern, but primacy was always oriented beyond it</w:t>
      </w:r>
      <w:r w:rsidR="00C220E0" w:rsidRPr="005E142B">
        <w:rPr>
          <w:sz w:val="24"/>
          <w:szCs w:val="24"/>
        </w:rPr>
        <w:t>, to</w:t>
      </w:r>
      <w:r w:rsidR="00C7393E" w:rsidRPr="005E142B">
        <w:rPr>
          <w:sz w:val="24"/>
          <w:szCs w:val="24"/>
        </w:rPr>
        <w:t xml:space="preserve"> the international system as a whole</w:t>
      </w:r>
      <w:r w:rsidR="00AC53BA">
        <w:rPr>
          <w:sz w:val="24"/>
          <w:szCs w:val="24"/>
        </w:rPr>
        <w:t xml:space="preserve">, in a strategy that looked to an enduring </w:t>
      </w:r>
      <w:r w:rsidR="00AC53BA">
        <w:rPr>
          <w:i/>
          <w:sz w:val="24"/>
          <w:szCs w:val="24"/>
        </w:rPr>
        <w:t>Pax Americana</w:t>
      </w:r>
      <w:r w:rsidR="00AC53BA">
        <w:rPr>
          <w:sz w:val="24"/>
          <w:szCs w:val="24"/>
        </w:rPr>
        <w:t>.</w:t>
      </w:r>
      <w:r w:rsidR="00C7393E" w:rsidRPr="005E142B">
        <w:rPr>
          <w:sz w:val="24"/>
          <w:szCs w:val="24"/>
        </w:rPr>
        <w:t xml:space="preserve"> </w:t>
      </w:r>
      <w:r w:rsidR="009F67F5" w:rsidRPr="005E142B">
        <w:rPr>
          <w:sz w:val="24"/>
          <w:szCs w:val="24"/>
        </w:rPr>
        <w:t xml:space="preserve">As </w:t>
      </w:r>
      <w:r w:rsidR="00C7393E" w:rsidRPr="005E142B">
        <w:rPr>
          <w:sz w:val="24"/>
          <w:szCs w:val="24"/>
        </w:rPr>
        <w:t xml:space="preserve">the signature </w:t>
      </w:r>
      <w:r w:rsidR="00AC53BA">
        <w:rPr>
          <w:sz w:val="24"/>
          <w:szCs w:val="24"/>
        </w:rPr>
        <w:t>Cold War strategic</w:t>
      </w:r>
      <w:r w:rsidR="00057445" w:rsidRPr="005E142B">
        <w:rPr>
          <w:sz w:val="24"/>
          <w:szCs w:val="24"/>
        </w:rPr>
        <w:t xml:space="preserve"> </w:t>
      </w:r>
      <w:r w:rsidR="00C7393E" w:rsidRPr="005E142B">
        <w:rPr>
          <w:sz w:val="24"/>
          <w:szCs w:val="24"/>
        </w:rPr>
        <w:t xml:space="preserve">document </w:t>
      </w:r>
      <w:r w:rsidR="00057445" w:rsidRPr="005E142B">
        <w:rPr>
          <w:sz w:val="24"/>
          <w:szCs w:val="24"/>
        </w:rPr>
        <w:t>NSC 68</w:t>
      </w:r>
      <w:r w:rsidR="00DF2FC1" w:rsidRPr="005E142B">
        <w:rPr>
          <w:sz w:val="24"/>
          <w:szCs w:val="24"/>
        </w:rPr>
        <w:t xml:space="preserve"> pronounced,</w:t>
      </w:r>
      <w:r w:rsidR="00431548">
        <w:rPr>
          <w:sz w:val="24"/>
          <w:szCs w:val="24"/>
        </w:rPr>
        <w:t xml:space="preserve"> “</w:t>
      </w:r>
      <w:r w:rsidR="00C7393E" w:rsidRPr="005E142B">
        <w:rPr>
          <w:sz w:val="24"/>
          <w:szCs w:val="24"/>
        </w:rPr>
        <w:t>it is not an adequate objective merely to seek to check the Kremlin design, for the absence of order among nations is b</w:t>
      </w:r>
      <w:r w:rsidR="00431548">
        <w:rPr>
          <w:sz w:val="24"/>
          <w:szCs w:val="24"/>
        </w:rPr>
        <w:t>ecoming less and less tolerable”, requiring “world leadership.”</w:t>
      </w:r>
      <w:r w:rsidR="00C7393E" w:rsidRPr="005E142B">
        <w:rPr>
          <w:rStyle w:val="FootnoteReference"/>
          <w:sz w:val="24"/>
          <w:szCs w:val="24"/>
        </w:rPr>
        <w:footnoteReference w:id="47"/>
      </w:r>
      <w:r w:rsidR="00B71562">
        <w:rPr>
          <w:sz w:val="24"/>
          <w:szCs w:val="24"/>
        </w:rPr>
        <w:t xml:space="preserve"> </w:t>
      </w:r>
      <w:r w:rsidR="00992C72" w:rsidRPr="005E142B">
        <w:rPr>
          <w:sz w:val="24"/>
          <w:szCs w:val="24"/>
        </w:rPr>
        <w:t>B</w:t>
      </w:r>
      <w:r w:rsidR="00C7393E" w:rsidRPr="005E142B">
        <w:rPr>
          <w:sz w:val="24"/>
          <w:szCs w:val="24"/>
        </w:rPr>
        <w:t xml:space="preserve">ecause </w:t>
      </w:r>
      <w:r w:rsidR="00B71562">
        <w:rPr>
          <w:sz w:val="24"/>
          <w:szCs w:val="24"/>
        </w:rPr>
        <w:t>it</w:t>
      </w:r>
      <w:r w:rsidR="00C7393E" w:rsidRPr="005E142B">
        <w:rPr>
          <w:sz w:val="24"/>
          <w:szCs w:val="24"/>
        </w:rPr>
        <w:t xml:space="preserve"> seeks the perma</w:t>
      </w:r>
      <w:r w:rsidR="00B71562">
        <w:rPr>
          <w:sz w:val="24"/>
          <w:szCs w:val="24"/>
        </w:rPr>
        <w:t>nent pacification of regions, the strategy of primacy and the U.S.’ forward-leaning presence</w:t>
      </w:r>
      <w:r w:rsidR="00C7393E" w:rsidRPr="005E142B">
        <w:rPr>
          <w:sz w:val="24"/>
          <w:szCs w:val="24"/>
        </w:rPr>
        <w:t xml:space="preserve"> endured after specific threats dissipated. America </w:t>
      </w:r>
      <w:r w:rsidR="002A47E8" w:rsidRPr="005E142B">
        <w:rPr>
          <w:sz w:val="24"/>
          <w:szCs w:val="24"/>
        </w:rPr>
        <w:t>remained in</w:t>
      </w:r>
      <w:r w:rsidR="00C7393E" w:rsidRPr="005E142B">
        <w:rPr>
          <w:sz w:val="24"/>
          <w:szCs w:val="24"/>
        </w:rPr>
        <w:t xml:space="preserve"> Europe </w:t>
      </w:r>
      <w:r w:rsidR="0064473F">
        <w:rPr>
          <w:sz w:val="24"/>
          <w:szCs w:val="24"/>
        </w:rPr>
        <w:t>despite</w:t>
      </w:r>
      <w:r w:rsidR="00BB6235">
        <w:rPr>
          <w:sz w:val="24"/>
          <w:szCs w:val="24"/>
        </w:rPr>
        <w:t xml:space="preserve"> </w:t>
      </w:r>
      <w:r w:rsidR="00F70B46">
        <w:rPr>
          <w:sz w:val="24"/>
          <w:szCs w:val="24"/>
        </w:rPr>
        <w:t xml:space="preserve">NATO’s </w:t>
      </w:r>
      <w:r w:rsidR="0064473F">
        <w:rPr>
          <w:sz w:val="24"/>
          <w:szCs w:val="24"/>
        </w:rPr>
        <w:t>ability to impose costs on Soviet expansionism</w:t>
      </w:r>
      <w:r w:rsidR="00F70B46">
        <w:rPr>
          <w:sz w:val="24"/>
          <w:szCs w:val="24"/>
        </w:rPr>
        <w:t xml:space="preserve"> </w:t>
      </w:r>
      <w:r w:rsidR="00C7393E" w:rsidRPr="005E142B">
        <w:rPr>
          <w:sz w:val="24"/>
          <w:szCs w:val="24"/>
        </w:rPr>
        <w:t xml:space="preserve">by the early 1960’s, </w:t>
      </w:r>
      <w:r w:rsidR="002A47E8" w:rsidRPr="005E142B">
        <w:rPr>
          <w:sz w:val="24"/>
          <w:szCs w:val="24"/>
        </w:rPr>
        <w:t>and in</w:t>
      </w:r>
      <w:r w:rsidR="00C7393E" w:rsidRPr="005E142B">
        <w:rPr>
          <w:sz w:val="24"/>
          <w:szCs w:val="24"/>
        </w:rPr>
        <w:t xml:space="preserve"> Asia after</w:t>
      </w:r>
      <w:r w:rsidR="005969B2">
        <w:rPr>
          <w:sz w:val="24"/>
          <w:szCs w:val="24"/>
        </w:rPr>
        <w:t xml:space="preserve"> rapprochement</w:t>
      </w:r>
      <w:r w:rsidR="00C7393E" w:rsidRPr="005E142B">
        <w:rPr>
          <w:sz w:val="24"/>
          <w:szCs w:val="24"/>
        </w:rPr>
        <w:t xml:space="preserve"> ended competition with Mao’s China in 1972. </w:t>
      </w:r>
      <w:r w:rsidR="00D56078" w:rsidRPr="005E142B">
        <w:rPr>
          <w:color w:val="000000"/>
          <w:sz w:val="24"/>
          <w:szCs w:val="24"/>
        </w:rPr>
        <w:t xml:space="preserve">Presidents </w:t>
      </w:r>
      <w:r w:rsidR="00007546" w:rsidRPr="005E142B">
        <w:rPr>
          <w:color w:val="000000"/>
          <w:sz w:val="24"/>
          <w:szCs w:val="24"/>
        </w:rPr>
        <w:t xml:space="preserve">typically </w:t>
      </w:r>
      <w:r w:rsidR="0077004D">
        <w:rPr>
          <w:color w:val="000000"/>
          <w:sz w:val="24"/>
          <w:szCs w:val="24"/>
        </w:rPr>
        <w:t>claim a “new”</w:t>
      </w:r>
      <w:r w:rsidR="00D56078" w:rsidRPr="005E142B">
        <w:rPr>
          <w:color w:val="000000"/>
          <w:sz w:val="24"/>
          <w:szCs w:val="24"/>
        </w:rPr>
        <w:t xml:space="preserve"> approach to their predecessors, but </w:t>
      </w:r>
      <w:r w:rsidR="00D56078" w:rsidRPr="005E142B">
        <w:rPr>
          <w:sz w:val="24"/>
          <w:szCs w:val="24"/>
        </w:rPr>
        <w:t>strategies do not have to be named to be practised.</w:t>
      </w:r>
      <w:r w:rsidR="00D56078" w:rsidRPr="005E142B">
        <w:rPr>
          <w:color w:val="000000"/>
          <w:sz w:val="24"/>
          <w:szCs w:val="24"/>
        </w:rPr>
        <w:t xml:space="preserve"> Only rarely did presidents depart from primacy’s core assumptions.</w:t>
      </w:r>
      <w:r w:rsidR="00D56078" w:rsidRPr="005E142B">
        <w:rPr>
          <w:rStyle w:val="FootnoteReference"/>
          <w:color w:val="000000"/>
          <w:sz w:val="24"/>
          <w:szCs w:val="24"/>
        </w:rPr>
        <w:footnoteReference w:id="48"/>
      </w:r>
      <w:r w:rsidR="00F77A5E" w:rsidRPr="005E142B">
        <w:rPr>
          <w:color w:val="000000"/>
          <w:sz w:val="24"/>
          <w:szCs w:val="24"/>
        </w:rPr>
        <w:t xml:space="preserve"> </w:t>
      </w:r>
    </w:p>
    <w:p w:rsidR="00E149A5" w:rsidRDefault="00E149A5" w:rsidP="0008043B">
      <w:pPr>
        <w:spacing w:after="0" w:line="480" w:lineRule="auto"/>
        <w:jc w:val="both"/>
        <w:rPr>
          <w:sz w:val="24"/>
          <w:szCs w:val="24"/>
        </w:rPr>
      </w:pPr>
    </w:p>
    <w:p w:rsidR="00896572" w:rsidRPr="005E142B" w:rsidRDefault="00896572" w:rsidP="0008043B">
      <w:pPr>
        <w:spacing w:after="0" w:line="480" w:lineRule="auto"/>
        <w:jc w:val="both"/>
        <w:rPr>
          <w:sz w:val="24"/>
          <w:szCs w:val="24"/>
        </w:rPr>
      </w:pPr>
    </w:p>
    <w:p w:rsidR="0092077E" w:rsidRPr="00E149A5" w:rsidRDefault="00E149A5" w:rsidP="0092077E">
      <w:pPr>
        <w:spacing w:after="0" w:line="480" w:lineRule="auto"/>
        <w:jc w:val="both"/>
        <w:rPr>
          <w:b/>
          <w:sz w:val="24"/>
          <w:szCs w:val="24"/>
        </w:rPr>
      </w:pPr>
      <w:r>
        <w:rPr>
          <w:b/>
          <w:sz w:val="24"/>
          <w:szCs w:val="24"/>
        </w:rPr>
        <w:lastRenderedPageBreak/>
        <w:t>Continuity Under Clinton</w:t>
      </w:r>
    </w:p>
    <w:p w:rsidR="002862C2" w:rsidRDefault="00513083" w:rsidP="005E142B">
      <w:pPr>
        <w:spacing w:after="0" w:line="480" w:lineRule="auto"/>
        <w:jc w:val="both"/>
        <w:rPr>
          <w:sz w:val="24"/>
          <w:szCs w:val="24"/>
        </w:rPr>
      </w:pPr>
      <w:r w:rsidRPr="005E142B">
        <w:rPr>
          <w:sz w:val="24"/>
          <w:szCs w:val="24"/>
        </w:rPr>
        <w:t>Clinton’s major choices conformed with</w:t>
      </w:r>
      <w:r w:rsidR="00D13C9A">
        <w:rPr>
          <w:sz w:val="24"/>
          <w:szCs w:val="24"/>
        </w:rPr>
        <w:t xml:space="preserve"> “</w:t>
      </w:r>
      <w:r w:rsidR="002A47E8" w:rsidRPr="005E142B">
        <w:rPr>
          <w:sz w:val="24"/>
          <w:szCs w:val="24"/>
        </w:rPr>
        <w:t>primacy</w:t>
      </w:r>
      <w:r w:rsidR="00C34F3A" w:rsidRPr="005E142B">
        <w:rPr>
          <w:sz w:val="24"/>
          <w:szCs w:val="24"/>
        </w:rPr>
        <w:t>.</w:t>
      </w:r>
      <w:r w:rsidR="00D13C9A">
        <w:rPr>
          <w:sz w:val="24"/>
          <w:szCs w:val="24"/>
        </w:rPr>
        <w:t>”</w:t>
      </w:r>
      <w:r w:rsidRPr="005E142B">
        <w:rPr>
          <w:sz w:val="24"/>
          <w:szCs w:val="24"/>
        </w:rPr>
        <w:t xml:space="preserve"> </w:t>
      </w:r>
      <w:r w:rsidR="00C34F3A" w:rsidRPr="005E142B">
        <w:rPr>
          <w:sz w:val="24"/>
          <w:szCs w:val="24"/>
        </w:rPr>
        <w:t>A</w:t>
      </w:r>
      <w:r w:rsidR="00870DF0" w:rsidRPr="005E142B">
        <w:rPr>
          <w:sz w:val="24"/>
          <w:szCs w:val="24"/>
        </w:rPr>
        <w:t>t a juncture where Washington could have chosen alternative paths</w:t>
      </w:r>
      <w:r w:rsidR="00082DE2" w:rsidRPr="005E142B">
        <w:rPr>
          <w:sz w:val="24"/>
          <w:szCs w:val="24"/>
        </w:rPr>
        <w:t>, the U</w:t>
      </w:r>
      <w:r w:rsidR="00010E6A">
        <w:rPr>
          <w:sz w:val="24"/>
          <w:szCs w:val="24"/>
        </w:rPr>
        <w:t>.</w:t>
      </w:r>
      <w:r w:rsidR="00082DE2" w:rsidRPr="005E142B">
        <w:rPr>
          <w:sz w:val="24"/>
          <w:szCs w:val="24"/>
        </w:rPr>
        <w:t>S</w:t>
      </w:r>
      <w:r w:rsidR="00010E6A">
        <w:rPr>
          <w:sz w:val="24"/>
          <w:szCs w:val="24"/>
        </w:rPr>
        <w:t>.</w:t>
      </w:r>
      <w:r w:rsidR="00082DE2" w:rsidRPr="005E142B">
        <w:rPr>
          <w:sz w:val="24"/>
          <w:szCs w:val="24"/>
        </w:rPr>
        <w:t xml:space="preserve"> garrisoned Western Europe and Northeast Asia with approximately 200,000 troops</w:t>
      </w:r>
      <w:r w:rsidR="00C34F3A" w:rsidRPr="005E142B">
        <w:rPr>
          <w:sz w:val="24"/>
          <w:szCs w:val="24"/>
        </w:rPr>
        <w:t xml:space="preserve">, and </w:t>
      </w:r>
      <w:r w:rsidR="005E3922" w:rsidRPr="005E142B">
        <w:rPr>
          <w:sz w:val="24"/>
          <w:szCs w:val="24"/>
        </w:rPr>
        <w:t>held a</w:t>
      </w:r>
      <w:r w:rsidR="00C34F3A" w:rsidRPr="005E142B">
        <w:rPr>
          <w:sz w:val="24"/>
          <w:szCs w:val="24"/>
        </w:rPr>
        <w:t xml:space="preserve"> forward military presence in the Gulf to ensure a favourable balance of power and oil stability.</w:t>
      </w:r>
      <w:r w:rsidR="00E13E3F" w:rsidRPr="005E142B">
        <w:rPr>
          <w:rStyle w:val="FootnoteReference"/>
          <w:sz w:val="24"/>
          <w:szCs w:val="24"/>
        </w:rPr>
        <w:footnoteReference w:id="49"/>
      </w:r>
      <w:r w:rsidR="00C34F3A" w:rsidRPr="005E142B">
        <w:rPr>
          <w:sz w:val="24"/>
          <w:szCs w:val="24"/>
        </w:rPr>
        <w:t xml:space="preserve"> F</w:t>
      </w:r>
      <w:r w:rsidR="00082DE2" w:rsidRPr="005E142B">
        <w:rPr>
          <w:sz w:val="24"/>
          <w:szCs w:val="24"/>
        </w:rPr>
        <w:t xml:space="preserve">ormal alliances remained and expanded. America </w:t>
      </w:r>
      <w:r w:rsidR="00503DB2" w:rsidRPr="005E142B">
        <w:rPr>
          <w:sz w:val="24"/>
          <w:szCs w:val="24"/>
        </w:rPr>
        <w:t>remained busy. It signed</w:t>
      </w:r>
      <w:r w:rsidR="00082DE2" w:rsidRPr="005E142B">
        <w:rPr>
          <w:sz w:val="24"/>
          <w:szCs w:val="24"/>
        </w:rPr>
        <w:t xml:space="preserve"> over 300 bilateral trade agreements.</w:t>
      </w:r>
      <w:r w:rsidR="00CF1360" w:rsidRPr="005E142B">
        <w:rPr>
          <w:sz w:val="24"/>
          <w:szCs w:val="24"/>
        </w:rPr>
        <w:t xml:space="preserve"> </w:t>
      </w:r>
      <w:r w:rsidR="00777577" w:rsidRPr="005E142B">
        <w:rPr>
          <w:sz w:val="24"/>
          <w:szCs w:val="24"/>
        </w:rPr>
        <w:t>Clinton</w:t>
      </w:r>
      <w:r w:rsidR="00C34F3A" w:rsidRPr="005E142B">
        <w:rPr>
          <w:sz w:val="24"/>
          <w:szCs w:val="24"/>
        </w:rPr>
        <w:t xml:space="preserve"> deployed force more frequently</w:t>
      </w:r>
      <w:r w:rsidR="00CF1360" w:rsidRPr="005E142B">
        <w:rPr>
          <w:sz w:val="24"/>
          <w:szCs w:val="24"/>
        </w:rPr>
        <w:t xml:space="preserve"> tha</w:t>
      </w:r>
      <w:r w:rsidR="00DE07C4" w:rsidRPr="005E142B">
        <w:rPr>
          <w:sz w:val="24"/>
          <w:szCs w:val="24"/>
        </w:rPr>
        <w:t>n most presidents since Truman,</w:t>
      </w:r>
      <w:r w:rsidR="00CF1360" w:rsidRPr="005E142B">
        <w:rPr>
          <w:sz w:val="24"/>
          <w:szCs w:val="24"/>
        </w:rPr>
        <w:t xml:space="preserve"> consistently for the </w:t>
      </w:r>
      <w:r w:rsidR="002A47E8" w:rsidRPr="005E142B">
        <w:rPr>
          <w:sz w:val="24"/>
          <w:szCs w:val="24"/>
        </w:rPr>
        <w:t>stated</w:t>
      </w:r>
      <w:r w:rsidR="00CF1360" w:rsidRPr="005E142B">
        <w:rPr>
          <w:sz w:val="24"/>
          <w:szCs w:val="24"/>
        </w:rPr>
        <w:t xml:space="preserve"> purpose of upholding economic and political openness.</w:t>
      </w:r>
      <w:r w:rsidR="00CF1360" w:rsidRPr="005E142B">
        <w:rPr>
          <w:rStyle w:val="FootnoteReference"/>
          <w:sz w:val="24"/>
          <w:szCs w:val="24"/>
        </w:rPr>
        <w:footnoteReference w:id="50"/>
      </w:r>
      <w:r w:rsidR="00777577" w:rsidRPr="005E142B">
        <w:rPr>
          <w:sz w:val="24"/>
          <w:szCs w:val="24"/>
        </w:rPr>
        <w:t xml:space="preserve"> </w:t>
      </w:r>
      <w:r w:rsidR="002A47E8" w:rsidRPr="005E142B">
        <w:rPr>
          <w:sz w:val="24"/>
          <w:szCs w:val="24"/>
        </w:rPr>
        <w:t>In</w:t>
      </w:r>
      <w:r w:rsidR="0005697E" w:rsidRPr="005E142B">
        <w:rPr>
          <w:sz w:val="24"/>
          <w:szCs w:val="24"/>
        </w:rPr>
        <w:t xml:space="preserve"> one </w:t>
      </w:r>
      <w:r w:rsidR="004F1AB6" w:rsidRPr="005E142B">
        <w:rPr>
          <w:sz w:val="24"/>
          <w:szCs w:val="24"/>
        </w:rPr>
        <w:t>fortnight</w:t>
      </w:r>
      <w:r w:rsidR="0005697E" w:rsidRPr="005E142B">
        <w:rPr>
          <w:sz w:val="24"/>
          <w:szCs w:val="24"/>
        </w:rPr>
        <w:t xml:space="preserve"> in </w:t>
      </w:r>
      <w:r w:rsidR="00082DE2" w:rsidRPr="005E142B">
        <w:rPr>
          <w:sz w:val="24"/>
          <w:szCs w:val="24"/>
        </w:rPr>
        <w:t xml:space="preserve">1996, </w:t>
      </w:r>
      <w:r w:rsidR="00467B31" w:rsidRPr="005E142B">
        <w:rPr>
          <w:sz w:val="24"/>
          <w:szCs w:val="24"/>
        </w:rPr>
        <w:t>officials</w:t>
      </w:r>
      <w:r w:rsidR="00082DE2" w:rsidRPr="005E142B">
        <w:rPr>
          <w:sz w:val="24"/>
          <w:szCs w:val="24"/>
        </w:rPr>
        <w:t xml:space="preserve"> </w:t>
      </w:r>
      <w:r w:rsidR="00467B31" w:rsidRPr="005E142B">
        <w:rPr>
          <w:sz w:val="24"/>
          <w:szCs w:val="24"/>
        </w:rPr>
        <w:t>inserted</w:t>
      </w:r>
      <w:r w:rsidR="004F1AB6" w:rsidRPr="005E142B">
        <w:rPr>
          <w:sz w:val="24"/>
          <w:szCs w:val="24"/>
        </w:rPr>
        <w:t xml:space="preserve"> troops into Bosnia, </w:t>
      </w:r>
      <w:r w:rsidR="008B281D" w:rsidRPr="005E142B">
        <w:rPr>
          <w:sz w:val="24"/>
          <w:szCs w:val="24"/>
        </w:rPr>
        <w:t>prepared</w:t>
      </w:r>
      <w:r w:rsidR="00082DE2" w:rsidRPr="005E142B">
        <w:rPr>
          <w:sz w:val="24"/>
          <w:szCs w:val="24"/>
        </w:rPr>
        <w:t xml:space="preserve"> for a possible Iraq </w:t>
      </w:r>
      <w:r w:rsidR="00467B31" w:rsidRPr="005E142B">
        <w:rPr>
          <w:sz w:val="24"/>
          <w:szCs w:val="24"/>
        </w:rPr>
        <w:t>attack against Kuwait, mediated</w:t>
      </w:r>
      <w:r w:rsidR="00082DE2" w:rsidRPr="005E142B">
        <w:rPr>
          <w:sz w:val="24"/>
          <w:szCs w:val="24"/>
        </w:rPr>
        <w:t xml:space="preserve"> between G</w:t>
      </w:r>
      <w:r w:rsidR="00467B31" w:rsidRPr="005E142B">
        <w:rPr>
          <w:sz w:val="24"/>
          <w:szCs w:val="24"/>
        </w:rPr>
        <w:t>reece and Turkey, and responded</w:t>
      </w:r>
      <w:r w:rsidR="007C44C8" w:rsidRPr="005E142B">
        <w:rPr>
          <w:sz w:val="24"/>
          <w:szCs w:val="24"/>
        </w:rPr>
        <w:t xml:space="preserve"> to China's </w:t>
      </w:r>
      <w:r w:rsidR="004F1AB6" w:rsidRPr="005E142B">
        <w:rPr>
          <w:sz w:val="24"/>
          <w:szCs w:val="24"/>
        </w:rPr>
        <w:t>intimidation of Taiwan.</w:t>
      </w:r>
      <w:r w:rsidR="00082DE2" w:rsidRPr="005E142B">
        <w:rPr>
          <w:rStyle w:val="FootnoteReference"/>
          <w:sz w:val="24"/>
          <w:szCs w:val="24"/>
        </w:rPr>
        <w:footnoteReference w:id="51"/>
      </w:r>
      <w:r w:rsidR="00082DE2" w:rsidRPr="005E142B">
        <w:rPr>
          <w:sz w:val="24"/>
          <w:szCs w:val="24"/>
        </w:rPr>
        <w:t xml:space="preserve"> </w:t>
      </w:r>
      <w:r w:rsidR="00870DF0" w:rsidRPr="005E142B">
        <w:rPr>
          <w:sz w:val="24"/>
          <w:szCs w:val="24"/>
        </w:rPr>
        <w:t>Clinton claimed to shift strategy fro</w:t>
      </w:r>
      <w:r w:rsidR="00D62EF3" w:rsidRPr="005E142B">
        <w:rPr>
          <w:sz w:val="24"/>
          <w:szCs w:val="24"/>
        </w:rPr>
        <w:t>m ‘containment’ to ‘enlargement,</w:t>
      </w:r>
      <w:r w:rsidR="00870DF0" w:rsidRPr="005E142B">
        <w:rPr>
          <w:sz w:val="24"/>
          <w:szCs w:val="24"/>
        </w:rPr>
        <w:t>’</w:t>
      </w:r>
      <w:r w:rsidR="00D62EF3" w:rsidRPr="005E142B">
        <w:rPr>
          <w:sz w:val="24"/>
          <w:szCs w:val="24"/>
        </w:rPr>
        <w:t xml:space="preserve"> and to refocus </w:t>
      </w:r>
      <w:r w:rsidR="002A47E8" w:rsidRPr="005E142B">
        <w:rPr>
          <w:sz w:val="24"/>
          <w:szCs w:val="24"/>
        </w:rPr>
        <w:t>on</w:t>
      </w:r>
      <w:r w:rsidR="00D62EF3" w:rsidRPr="005E142B">
        <w:rPr>
          <w:sz w:val="24"/>
          <w:szCs w:val="24"/>
        </w:rPr>
        <w:t xml:space="preserve"> geo-economics</w:t>
      </w:r>
      <w:r w:rsidR="00E60321" w:rsidRPr="005E142B">
        <w:rPr>
          <w:sz w:val="24"/>
          <w:szCs w:val="24"/>
        </w:rPr>
        <w:t xml:space="preserve"> and democracy promotion</w:t>
      </w:r>
      <w:r w:rsidR="00535857" w:rsidRPr="005E142B">
        <w:rPr>
          <w:sz w:val="24"/>
          <w:szCs w:val="24"/>
        </w:rPr>
        <w:t>, with initiatives such as the North American Free Trade Agreement</w:t>
      </w:r>
      <w:r w:rsidR="00D62EF3" w:rsidRPr="005E142B">
        <w:rPr>
          <w:sz w:val="24"/>
          <w:szCs w:val="24"/>
        </w:rPr>
        <w:t>.</w:t>
      </w:r>
      <w:r w:rsidR="00870DF0" w:rsidRPr="005E142B">
        <w:rPr>
          <w:rStyle w:val="FootnoteReference"/>
          <w:sz w:val="24"/>
          <w:szCs w:val="24"/>
        </w:rPr>
        <w:footnoteReference w:id="52"/>
      </w:r>
      <w:r w:rsidR="00870DF0" w:rsidRPr="005E142B">
        <w:rPr>
          <w:sz w:val="24"/>
          <w:szCs w:val="24"/>
        </w:rPr>
        <w:t xml:space="preserve"> Objectively, </w:t>
      </w:r>
      <w:r w:rsidR="00B1734B" w:rsidRPr="005E142B">
        <w:rPr>
          <w:sz w:val="24"/>
          <w:szCs w:val="24"/>
        </w:rPr>
        <w:t>these</w:t>
      </w:r>
      <w:r w:rsidR="00C34F3A" w:rsidRPr="005E142B">
        <w:rPr>
          <w:sz w:val="24"/>
          <w:szCs w:val="24"/>
        </w:rPr>
        <w:t xml:space="preserve"> </w:t>
      </w:r>
      <w:r w:rsidR="003F41CE" w:rsidRPr="005E142B">
        <w:rPr>
          <w:sz w:val="24"/>
          <w:szCs w:val="24"/>
        </w:rPr>
        <w:t>were second-order adjustments,</w:t>
      </w:r>
      <w:r w:rsidR="00535857" w:rsidRPr="005E142B">
        <w:rPr>
          <w:sz w:val="24"/>
          <w:szCs w:val="24"/>
        </w:rPr>
        <w:t xml:space="preserve"> consistent with</w:t>
      </w:r>
      <w:r w:rsidR="00C34F3A" w:rsidRPr="005E142B">
        <w:rPr>
          <w:sz w:val="24"/>
          <w:szCs w:val="24"/>
        </w:rPr>
        <w:t xml:space="preserve"> the</w:t>
      </w:r>
      <w:r w:rsidR="00870DF0" w:rsidRPr="005E142B">
        <w:rPr>
          <w:sz w:val="24"/>
          <w:szCs w:val="24"/>
        </w:rPr>
        <w:t xml:space="preserve"> strategy of primacy</w:t>
      </w:r>
      <w:r w:rsidR="00E60321" w:rsidRPr="005E142B">
        <w:rPr>
          <w:sz w:val="24"/>
          <w:szCs w:val="24"/>
        </w:rPr>
        <w:t>,</w:t>
      </w:r>
      <w:r w:rsidR="00535857" w:rsidRPr="005E142B">
        <w:rPr>
          <w:sz w:val="24"/>
          <w:szCs w:val="24"/>
        </w:rPr>
        <w:t xml:space="preserve"> </w:t>
      </w:r>
      <w:r w:rsidR="003F41CE" w:rsidRPr="005E142B">
        <w:rPr>
          <w:sz w:val="24"/>
          <w:szCs w:val="24"/>
        </w:rPr>
        <w:t>that</w:t>
      </w:r>
      <w:r w:rsidR="00E60321" w:rsidRPr="005E142B">
        <w:rPr>
          <w:sz w:val="24"/>
          <w:szCs w:val="24"/>
        </w:rPr>
        <w:t xml:space="preserve"> </w:t>
      </w:r>
      <w:r w:rsidR="00535857" w:rsidRPr="005E142B">
        <w:rPr>
          <w:sz w:val="24"/>
          <w:szCs w:val="24"/>
        </w:rPr>
        <w:t>did not disturb the four fundamentals</w:t>
      </w:r>
      <w:r w:rsidR="00083691" w:rsidRPr="005E142B">
        <w:rPr>
          <w:sz w:val="24"/>
          <w:szCs w:val="24"/>
        </w:rPr>
        <w:t>.</w:t>
      </w:r>
    </w:p>
    <w:p w:rsidR="002862C2" w:rsidRDefault="002862C2" w:rsidP="005E142B">
      <w:pPr>
        <w:spacing w:after="0" w:line="480" w:lineRule="auto"/>
        <w:jc w:val="both"/>
        <w:rPr>
          <w:sz w:val="24"/>
          <w:szCs w:val="24"/>
        </w:rPr>
      </w:pPr>
    </w:p>
    <w:p w:rsidR="002862C2" w:rsidRPr="005E142B" w:rsidRDefault="003465B4" w:rsidP="002862C2">
      <w:pPr>
        <w:spacing w:after="0" w:line="480" w:lineRule="auto"/>
        <w:ind w:firstLine="720"/>
        <w:jc w:val="both"/>
        <w:rPr>
          <w:sz w:val="24"/>
          <w:szCs w:val="24"/>
        </w:rPr>
      </w:pPr>
      <w:r w:rsidRPr="005E142B">
        <w:rPr>
          <w:sz w:val="24"/>
          <w:szCs w:val="24"/>
        </w:rPr>
        <w:t xml:space="preserve"> </w:t>
      </w:r>
      <w:r w:rsidR="002862C2" w:rsidRPr="005E142B">
        <w:rPr>
          <w:sz w:val="24"/>
          <w:szCs w:val="24"/>
        </w:rPr>
        <w:t>At first glance, Clinton’s era ought to have been ripe for a review of primacy.</w:t>
      </w:r>
      <w:r w:rsidR="0014430E">
        <w:rPr>
          <w:sz w:val="24"/>
          <w:szCs w:val="24"/>
        </w:rPr>
        <w:t xml:space="preserve"> Whereas his predecessor, President George H.W. Bush straddled the Cold War and post-Cold War eras, Clinton was the first president of the post-Cold War era.</w:t>
      </w:r>
      <w:r w:rsidR="002862C2" w:rsidRPr="005E142B">
        <w:rPr>
          <w:sz w:val="24"/>
          <w:szCs w:val="24"/>
        </w:rPr>
        <w:t xml:space="preserve"> He presided during a benign period. The</w:t>
      </w:r>
      <w:r w:rsidR="00D13C9A">
        <w:rPr>
          <w:sz w:val="24"/>
          <w:szCs w:val="24"/>
        </w:rPr>
        <w:t>re was domestic appetite for a “peace dividend.”</w:t>
      </w:r>
      <w:r w:rsidR="002862C2" w:rsidRPr="005E142B">
        <w:rPr>
          <w:sz w:val="24"/>
          <w:szCs w:val="24"/>
        </w:rPr>
        <w:t xml:space="preserve"> Clinton appealed parochially to the mechanics of domestic policy: </w:t>
      </w:r>
      <w:r w:rsidR="008F1715">
        <w:rPr>
          <w:sz w:val="24"/>
          <w:szCs w:val="24"/>
        </w:rPr>
        <w:t>“</w:t>
      </w:r>
      <w:r w:rsidR="002862C2" w:rsidRPr="005E142B">
        <w:rPr>
          <w:sz w:val="24"/>
          <w:szCs w:val="24"/>
        </w:rPr>
        <w:t>It’s the Economy, Stupid</w:t>
      </w:r>
      <w:r w:rsidR="008F1715">
        <w:rPr>
          <w:sz w:val="24"/>
          <w:szCs w:val="24"/>
        </w:rPr>
        <w:t>”</w:t>
      </w:r>
      <w:r w:rsidR="002862C2" w:rsidRPr="005E142B">
        <w:rPr>
          <w:sz w:val="24"/>
          <w:szCs w:val="24"/>
        </w:rPr>
        <w:t xml:space="preserve">, was </w:t>
      </w:r>
      <w:r w:rsidR="008F1715">
        <w:rPr>
          <w:sz w:val="24"/>
          <w:szCs w:val="24"/>
        </w:rPr>
        <w:t>the</w:t>
      </w:r>
      <w:r w:rsidR="002862C2" w:rsidRPr="005E142B">
        <w:rPr>
          <w:sz w:val="24"/>
          <w:szCs w:val="24"/>
        </w:rPr>
        <w:t xml:space="preserve"> catch-cry</w:t>
      </w:r>
      <w:r w:rsidR="008F1715">
        <w:rPr>
          <w:sz w:val="24"/>
          <w:szCs w:val="24"/>
        </w:rPr>
        <w:t xml:space="preserve"> during the 1992 </w:t>
      </w:r>
      <w:r w:rsidR="008F1715">
        <w:rPr>
          <w:sz w:val="24"/>
          <w:szCs w:val="24"/>
        </w:rPr>
        <w:lastRenderedPageBreak/>
        <w:t>presidential campaign</w:t>
      </w:r>
      <w:r w:rsidR="002862C2" w:rsidRPr="005E142B">
        <w:rPr>
          <w:sz w:val="24"/>
          <w:szCs w:val="24"/>
        </w:rPr>
        <w:t>.</w:t>
      </w:r>
      <w:r w:rsidR="002862C2" w:rsidRPr="005E142B">
        <w:rPr>
          <w:rStyle w:val="FootnoteReference"/>
          <w:sz w:val="24"/>
          <w:szCs w:val="24"/>
        </w:rPr>
        <w:footnoteReference w:id="53"/>
      </w:r>
      <w:r w:rsidR="002862C2" w:rsidRPr="005E142B">
        <w:rPr>
          <w:sz w:val="24"/>
          <w:szCs w:val="24"/>
        </w:rPr>
        <w:t xml:space="preserve"> There were alternative strategies on offer in public debate outside government. Proposals ranged from continuing </w:t>
      </w:r>
      <w:r w:rsidR="00D13C9A">
        <w:rPr>
          <w:sz w:val="24"/>
          <w:szCs w:val="24"/>
        </w:rPr>
        <w:t>primary</w:t>
      </w:r>
      <w:r w:rsidR="0077004D">
        <w:rPr>
          <w:sz w:val="24"/>
          <w:szCs w:val="24"/>
        </w:rPr>
        <w:t>, to “</w:t>
      </w:r>
      <w:r w:rsidR="002862C2" w:rsidRPr="005E142B">
        <w:rPr>
          <w:sz w:val="24"/>
          <w:szCs w:val="24"/>
        </w:rPr>
        <w:t>selective engagement</w:t>
      </w:r>
      <w:r w:rsidR="00D13C9A">
        <w:rPr>
          <w:sz w:val="24"/>
          <w:szCs w:val="24"/>
        </w:rPr>
        <w:t>,</w:t>
      </w:r>
      <w:r w:rsidR="0077004D">
        <w:rPr>
          <w:sz w:val="24"/>
          <w:szCs w:val="24"/>
        </w:rPr>
        <w:t>”</w:t>
      </w:r>
      <w:r w:rsidR="00D13C9A">
        <w:rPr>
          <w:sz w:val="24"/>
          <w:szCs w:val="24"/>
        </w:rPr>
        <w:t xml:space="preserve"> to</w:t>
      </w:r>
      <w:r w:rsidR="0077004D">
        <w:rPr>
          <w:sz w:val="24"/>
          <w:szCs w:val="24"/>
        </w:rPr>
        <w:t xml:space="preserve"> “offshore balancing”</w:t>
      </w:r>
      <w:r w:rsidR="002862C2" w:rsidRPr="005E142B">
        <w:rPr>
          <w:sz w:val="24"/>
          <w:szCs w:val="24"/>
        </w:rPr>
        <w:t xml:space="preserve"> </w:t>
      </w:r>
      <w:r w:rsidR="00D13C9A">
        <w:rPr>
          <w:sz w:val="24"/>
          <w:szCs w:val="24"/>
        </w:rPr>
        <w:t>(</w:t>
      </w:r>
      <w:r w:rsidR="002862C2" w:rsidRPr="005E142B">
        <w:rPr>
          <w:sz w:val="24"/>
          <w:szCs w:val="24"/>
        </w:rPr>
        <w:t>a pullback to shift burdens and act as balancer of last resort</w:t>
      </w:r>
      <w:r w:rsidR="00D13C9A">
        <w:rPr>
          <w:sz w:val="24"/>
          <w:szCs w:val="24"/>
        </w:rPr>
        <w:t>), to</w:t>
      </w:r>
      <w:r w:rsidR="002862C2" w:rsidRPr="005E142B">
        <w:rPr>
          <w:sz w:val="24"/>
          <w:szCs w:val="24"/>
        </w:rPr>
        <w:t xml:space="preserve"> </w:t>
      </w:r>
      <w:r w:rsidR="0077004D">
        <w:rPr>
          <w:sz w:val="24"/>
          <w:szCs w:val="24"/>
        </w:rPr>
        <w:t>“</w:t>
      </w:r>
      <w:r w:rsidR="00D13C9A">
        <w:rPr>
          <w:sz w:val="24"/>
          <w:szCs w:val="24"/>
        </w:rPr>
        <w:t>neo-isolationism</w:t>
      </w:r>
      <w:r w:rsidR="0077004D">
        <w:rPr>
          <w:sz w:val="24"/>
          <w:szCs w:val="24"/>
        </w:rPr>
        <w:t>,”</w:t>
      </w:r>
      <w:r w:rsidR="00D13C9A">
        <w:rPr>
          <w:sz w:val="24"/>
          <w:szCs w:val="24"/>
        </w:rPr>
        <w:t xml:space="preserve"> to</w:t>
      </w:r>
      <w:r w:rsidR="0077004D">
        <w:rPr>
          <w:sz w:val="24"/>
          <w:szCs w:val="24"/>
        </w:rPr>
        <w:t xml:space="preserve"> “normality</w:t>
      </w:r>
      <w:r w:rsidR="002862C2" w:rsidRPr="005E142B">
        <w:rPr>
          <w:sz w:val="24"/>
          <w:szCs w:val="24"/>
        </w:rPr>
        <w:t>,</w:t>
      </w:r>
      <w:r w:rsidR="0077004D">
        <w:rPr>
          <w:sz w:val="24"/>
          <w:szCs w:val="24"/>
        </w:rPr>
        <w:t>”</w:t>
      </w:r>
      <w:r w:rsidR="002862C2" w:rsidRPr="005E142B">
        <w:rPr>
          <w:sz w:val="24"/>
          <w:szCs w:val="24"/>
        </w:rPr>
        <w:t xml:space="preserve"> focussing narrowly on the material balance of power.</w:t>
      </w:r>
      <w:r w:rsidR="002862C2" w:rsidRPr="005E142B">
        <w:rPr>
          <w:rStyle w:val="FootnoteReference"/>
          <w:sz w:val="24"/>
          <w:szCs w:val="24"/>
        </w:rPr>
        <w:footnoteReference w:id="54"/>
      </w:r>
    </w:p>
    <w:p w:rsidR="002862C2" w:rsidRPr="005E142B" w:rsidRDefault="002862C2" w:rsidP="002862C2">
      <w:pPr>
        <w:spacing w:after="0" w:line="480" w:lineRule="auto"/>
        <w:jc w:val="both"/>
        <w:rPr>
          <w:sz w:val="24"/>
          <w:szCs w:val="24"/>
        </w:rPr>
      </w:pPr>
    </w:p>
    <w:p w:rsidR="002862C2" w:rsidRDefault="002862C2" w:rsidP="002862C2">
      <w:pPr>
        <w:spacing w:after="0" w:line="480" w:lineRule="auto"/>
        <w:ind w:firstLine="720"/>
        <w:jc w:val="both"/>
        <w:rPr>
          <w:sz w:val="24"/>
          <w:szCs w:val="24"/>
        </w:rPr>
      </w:pPr>
      <w:r w:rsidRPr="005E142B">
        <w:rPr>
          <w:sz w:val="24"/>
          <w:szCs w:val="24"/>
        </w:rPr>
        <w:t>D</w:t>
      </w:r>
      <w:r w:rsidR="008F1715">
        <w:rPr>
          <w:sz w:val="24"/>
          <w:szCs w:val="24"/>
        </w:rPr>
        <w:t xml:space="preserve">espite these conditions and the </w:t>
      </w:r>
      <w:r w:rsidR="00780979">
        <w:rPr>
          <w:sz w:val="24"/>
          <w:szCs w:val="24"/>
        </w:rPr>
        <w:t>availability</w:t>
      </w:r>
      <w:r w:rsidR="008F1715">
        <w:rPr>
          <w:sz w:val="24"/>
          <w:szCs w:val="24"/>
        </w:rPr>
        <w:t xml:space="preserve"> </w:t>
      </w:r>
      <w:r w:rsidRPr="005E142B">
        <w:rPr>
          <w:sz w:val="24"/>
          <w:szCs w:val="24"/>
        </w:rPr>
        <w:t>of</w:t>
      </w:r>
      <w:r w:rsidR="008F1715">
        <w:rPr>
          <w:sz w:val="24"/>
          <w:szCs w:val="24"/>
        </w:rPr>
        <w:t xml:space="preserve"> alternative</w:t>
      </w:r>
      <w:r w:rsidRPr="005E142B">
        <w:rPr>
          <w:sz w:val="24"/>
          <w:szCs w:val="24"/>
        </w:rPr>
        <w:t xml:space="preserve"> </w:t>
      </w:r>
      <w:r w:rsidR="008F1715">
        <w:rPr>
          <w:sz w:val="24"/>
          <w:szCs w:val="24"/>
        </w:rPr>
        <w:t>grand strategies</w:t>
      </w:r>
      <w:r w:rsidRPr="005E142B">
        <w:rPr>
          <w:sz w:val="24"/>
          <w:szCs w:val="24"/>
        </w:rPr>
        <w:t>, the Clinton presidency was notable for the absence of fundamental re-evaluation. Clinton arrived in office unprepared</w:t>
      </w:r>
      <w:r w:rsidR="00780979">
        <w:rPr>
          <w:sz w:val="24"/>
          <w:szCs w:val="24"/>
        </w:rPr>
        <w:t xml:space="preserve">, </w:t>
      </w:r>
      <w:r w:rsidRPr="005E142B">
        <w:rPr>
          <w:sz w:val="24"/>
          <w:szCs w:val="24"/>
        </w:rPr>
        <w:t>without a worked-out coherent vision, as insider accounts agree.</w:t>
      </w:r>
      <w:r w:rsidRPr="005E142B">
        <w:rPr>
          <w:rStyle w:val="FootnoteReference"/>
          <w:sz w:val="24"/>
          <w:szCs w:val="24"/>
        </w:rPr>
        <w:footnoteReference w:id="55"/>
      </w:r>
      <w:r w:rsidRPr="005E142B">
        <w:rPr>
          <w:sz w:val="24"/>
          <w:szCs w:val="24"/>
        </w:rPr>
        <w:t xml:space="preserve"> He dismissed grand strategy as </w:t>
      </w:r>
      <w:r w:rsidR="0014430E">
        <w:rPr>
          <w:sz w:val="24"/>
          <w:szCs w:val="24"/>
        </w:rPr>
        <w:t>“</w:t>
      </w:r>
      <w:r w:rsidRPr="005E142B">
        <w:rPr>
          <w:sz w:val="24"/>
          <w:szCs w:val="24"/>
        </w:rPr>
        <w:t>imposed after the fact by scholars, memoirists and the chattering classes,</w:t>
      </w:r>
      <w:r w:rsidR="0014430E">
        <w:rPr>
          <w:sz w:val="24"/>
          <w:szCs w:val="24"/>
        </w:rPr>
        <w:t>”</w:t>
      </w:r>
      <w:r w:rsidRPr="005E142B">
        <w:rPr>
          <w:sz w:val="24"/>
          <w:szCs w:val="24"/>
        </w:rPr>
        <w:t xml:space="preserve"> and Secretary of State Warren Christopher advised against pursuing an overarching doctrine after Cold War </w:t>
      </w:r>
      <w:r w:rsidR="0014430E">
        <w:rPr>
          <w:sz w:val="24"/>
          <w:szCs w:val="24"/>
        </w:rPr>
        <w:t>“</w:t>
      </w:r>
      <w:r w:rsidRPr="005E142B">
        <w:rPr>
          <w:sz w:val="24"/>
          <w:szCs w:val="24"/>
        </w:rPr>
        <w:t>containment.</w:t>
      </w:r>
      <w:r w:rsidR="0014430E">
        <w:rPr>
          <w:sz w:val="24"/>
          <w:szCs w:val="24"/>
        </w:rPr>
        <w:t>”</w:t>
      </w:r>
      <w:r w:rsidRPr="005E142B">
        <w:rPr>
          <w:rStyle w:val="FootnoteReference"/>
          <w:sz w:val="24"/>
          <w:szCs w:val="24"/>
        </w:rPr>
        <w:footnoteReference w:id="56"/>
      </w:r>
      <w:r w:rsidRPr="005E142B">
        <w:rPr>
          <w:sz w:val="24"/>
          <w:szCs w:val="24"/>
        </w:rPr>
        <w:t xml:space="preserve"> Clinton rarely attended meetings of the National Security Council. Officials lobbied him to spend time on diplomatic issues.</w:t>
      </w:r>
      <w:r w:rsidRPr="005E142B">
        <w:rPr>
          <w:rStyle w:val="FootnoteReference"/>
          <w:sz w:val="24"/>
          <w:szCs w:val="24"/>
        </w:rPr>
        <w:footnoteReference w:id="57"/>
      </w:r>
      <w:r w:rsidRPr="005E142B">
        <w:rPr>
          <w:rStyle w:val="FootnoteReference"/>
          <w:sz w:val="24"/>
          <w:szCs w:val="24"/>
        </w:rPr>
        <w:t xml:space="preserve"> </w:t>
      </w:r>
      <w:r w:rsidRPr="005E142B">
        <w:rPr>
          <w:sz w:val="24"/>
          <w:szCs w:val="24"/>
        </w:rPr>
        <w:t>There was no review of whether America should shift from primacy to a new strategy based on retrenchment and a new modus vivendi with other major states, and whether the U</w:t>
      </w:r>
      <w:r w:rsidR="00A92D86">
        <w:rPr>
          <w:sz w:val="24"/>
          <w:szCs w:val="24"/>
        </w:rPr>
        <w:t>.</w:t>
      </w:r>
      <w:r w:rsidRPr="005E142B">
        <w:rPr>
          <w:sz w:val="24"/>
          <w:szCs w:val="24"/>
        </w:rPr>
        <w:t>S</w:t>
      </w:r>
      <w:r w:rsidR="00A92D86">
        <w:rPr>
          <w:sz w:val="24"/>
          <w:szCs w:val="24"/>
        </w:rPr>
        <w:t>.</w:t>
      </w:r>
      <w:r w:rsidRPr="005E142B">
        <w:rPr>
          <w:sz w:val="24"/>
          <w:szCs w:val="24"/>
        </w:rPr>
        <w:t xml:space="preserve"> should abandon preponderance, alliances, the Open Door or nuclear inhibition. Amidst interagency wrangling and the shocks of Somalia and Haiti that delayed Clinton’s first codified </w:t>
      </w:r>
      <w:r w:rsidRPr="005E142B">
        <w:rPr>
          <w:i/>
          <w:sz w:val="24"/>
          <w:szCs w:val="24"/>
        </w:rPr>
        <w:t xml:space="preserve">National Security Strategy </w:t>
      </w:r>
      <w:r w:rsidRPr="005E142B">
        <w:rPr>
          <w:sz w:val="24"/>
          <w:szCs w:val="24"/>
        </w:rPr>
        <w:t xml:space="preserve">(NSS) of </w:t>
      </w:r>
      <w:r w:rsidRPr="005E142B">
        <w:rPr>
          <w:sz w:val="24"/>
          <w:szCs w:val="24"/>
        </w:rPr>
        <w:lastRenderedPageBreak/>
        <w:t>June 1994, there was little internal debate</w:t>
      </w:r>
      <w:r w:rsidR="00780979">
        <w:rPr>
          <w:sz w:val="24"/>
          <w:szCs w:val="24"/>
        </w:rPr>
        <w:t xml:space="preserve"> over alternatives to primacy</w:t>
      </w:r>
      <w:r w:rsidRPr="005E142B">
        <w:rPr>
          <w:sz w:val="24"/>
          <w:szCs w:val="24"/>
        </w:rPr>
        <w:t>. Retrenchment-based alternatives floated in public were known but quickly dismissed.</w:t>
      </w:r>
      <w:r w:rsidRPr="005E142B">
        <w:rPr>
          <w:rStyle w:val="FootnoteReference"/>
          <w:sz w:val="24"/>
          <w:szCs w:val="24"/>
        </w:rPr>
        <w:footnoteReference w:id="58"/>
      </w:r>
      <w:r w:rsidRPr="005E142B">
        <w:rPr>
          <w:sz w:val="24"/>
          <w:szCs w:val="24"/>
        </w:rPr>
        <w:t xml:space="preserve"> </w:t>
      </w:r>
    </w:p>
    <w:p w:rsidR="00ED1591" w:rsidRDefault="00ED1591" w:rsidP="002862C2">
      <w:pPr>
        <w:spacing w:after="0" w:line="480" w:lineRule="auto"/>
        <w:ind w:firstLine="720"/>
        <w:jc w:val="both"/>
        <w:rPr>
          <w:sz w:val="24"/>
          <w:szCs w:val="24"/>
        </w:rPr>
      </w:pPr>
    </w:p>
    <w:p w:rsidR="00ED1591" w:rsidRPr="005E142B" w:rsidRDefault="00ED1591" w:rsidP="00ED1591">
      <w:pPr>
        <w:spacing w:after="0" w:line="480" w:lineRule="auto"/>
        <w:ind w:firstLine="709"/>
        <w:jc w:val="both"/>
        <w:rPr>
          <w:sz w:val="24"/>
          <w:szCs w:val="24"/>
        </w:rPr>
      </w:pPr>
      <w:r w:rsidRPr="005E142B">
        <w:rPr>
          <w:sz w:val="24"/>
          <w:szCs w:val="24"/>
        </w:rPr>
        <w:t xml:space="preserve">Clinton came to power in a slipstream. He inherited from the Bush administration a doctrine that the military’s purpose went beyond </w:t>
      </w:r>
      <w:r>
        <w:rPr>
          <w:sz w:val="24"/>
          <w:szCs w:val="24"/>
        </w:rPr>
        <w:t>defense</w:t>
      </w:r>
      <w:r w:rsidRPr="005E142B">
        <w:rPr>
          <w:sz w:val="24"/>
          <w:szCs w:val="24"/>
        </w:rPr>
        <w:t xml:space="preserve"> and deterren</w:t>
      </w:r>
      <w:r w:rsidR="0014430E">
        <w:rPr>
          <w:sz w:val="24"/>
          <w:szCs w:val="24"/>
        </w:rPr>
        <w:t xml:space="preserve">ce, to ensuring preponderance, </w:t>
      </w:r>
      <w:r w:rsidRPr="005E142B">
        <w:rPr>
          <w:sz w:val="24"/>
          <w:szCs w:val="24"/>
        </w:rPr>
        <w:t>a globe-</w:t>
      </w:r>
      <w:r w:rsidR="0014430E">
        <w:rPr>
          <w:sz w:val="24"/>
          <w:szCs w:val="24"/>
        </w:rPr>
        <w:t>girdling</w:t>
      </w:r>
      <w:r w:rsidRPr="005E142B">
        <w:rPr>
          <w:sz w:val="24"/>
          <w:szCs w:val="24"/>
        </w:rPr>
        <w:t xml:space="preserve"> strategy that demands outsized military power. As Bush directed in his 1989 review, the issue was how- not whether- </w:t>
      </w:r>
      <w:r w:rsidR="00A92D86">
        <w:rPr>
          <w:sz w:val="24"/>
          <w:szCs w:val="24"/>
        </w:rPr>
        <w:t>to maintain existing strategy: “</w:t>
      </w:r>
      <w:r w:rsidRPr="005E142B">
        <w:rPr>
          <w:sz w:val="24"/>
          <w:szCs w:val="24"/>
        </w:rPr>
        <w:t xml:space="preserve">I do not expect this review to invent a new </w:t>
      </w:r>
      <w:r>
        <w:rPr>
          <w:sz w:val="24"/>
          <w:szCs w:val="24"/>
        </w:rPr>
        <w:t>defense</w:t>
      </w:r>
      <w:r w:rsidRPr="005E142B">
        <w:rPr>
          <w:sz w:val="24"/>
          <w:szCs w:val="24"/>
        </w:rPr>
        <w:t xml:space="preserve"> strategy for a new world. On the contrary, I believe our fundamental purposes are enduring and that…our Alliances, our milit</w:t>
      </w:r>
      <w:r w:rsidR="00A92D86">
        <w:rPr>
          <w:sz w:val="24"/>
          <w:szCs w:val="24"/>
        </w:rPr>
        <w:t>ary capabilities, remain sound.”</w:t>
      </w:r>
      <w:r w:rsidRPr="005E142B">
        <w:rPr>
          <w:rStyle w:val="FootnoteReference"/>
          <w:sz w:val="24"/>
          <w:szCs w:val="24"/>
        </w:rPr>
        <w:footnoteReference w:id="59"/>
      </w:r>
      <w:r w:rsidRPr="005E142B">
        <w:rPr>
          <w:sz w:val="24"/>
          <w:szCs w:val="24"/>
        </w:rPr>
        <w:t xml:space="preserve"> </w:t>
      </w:r>
      <w:r w:rsidR="004F7922">
        <w:rPr>
          <w:sz w:val="24"/>
          <w:szCs w:val="24"/>
        </w:rPr>
        <w:t xml:space="preserve">Bush retained a strategy of primacy in which </w:t>
      </w:r>
      <w:r w:rsidRPr="005E142B">
        <w:rPr>
          <w:sz w:val="24"/>
          <w:szCs w:val="24"/>
        </w:rPr>
        <w:t xml:space="preserve">America should sustain military supremacy and global reach to outmatch any combination of rivals concurrently, to dissuade adversaries from competing, to contain allies, and to underpin economic openness. </w:t>
      </w:r>
      <w:r w:rsidR="00B92424">
        <w:rPr>
          <w:sz w:val="24"/>
          <w:szCs w:val="24"/>
        </w:rPr>
        <w:t>The Bush administration’s</w:t>
      </w:r>
      <w:r w:rsidRPr="005E142B">
        <w:rPr>
          <w:sz w:val="24"/>
          <w:szCs w:val="24"/>
        </w:rPr>
        <w:t xml:space="preserve"> ‘Base Force’ structure was geared to </w:t>
      </w:r>
      <w:r w:rsidR="00E144C2">
        <w:rPr>
          <w:sz w:val="24"/>
          <w:szCs w:val="24"/>
        </w:rPr>
        <w:t>support U.S. primacy</w:t>
      </w:r>
      <w:r w:rsidRPr="005E142B">
        <w:rPr>
          <w:sz w:val="24"/>
          <w:szCs w:val="24"/>
        </w:rPr>
        <w:t xml:space="preserve">, limiting reductions </w:t>
      </w:r>
      <w:r w:rsidR="00E144C2">
        <w:rPr>
          <w:sz w:val="24"/>
          <w:szCs w:val="24"/>
        </w:rPr>
        <w:t xml:space="preserve">in order </w:t>
      </w:r>
      <w:r w:rsidRPr="005E142B">
        <w:rPr>
          <w:sz w:val="24"/>
          <w:szCs w:val="24"/>
        </w:rPr>
        <w:t>to maintain a forward presence, counter regional adversaries and reconstitute against emerging threats.</w:t>
      </w:r>
      <w:r w:rsidRPr="005E142B">
        <w:rPr>
          <w:rStyle w:val="FootnoteReference"/>
          <w:sz w:val="24"/>
          <w:szCs w:val="24"/>
        </w:rPr>
        <w:footnoteReference w:id="60"/>
      </w:r>
      <w:r w:rsidRPr="005E142B">
        <w:rPr>
          <w:sz w:val="24"/>
          <w:szCs w:val="24"/>
        </w:rPr>
        <w:t xml:space="preserve"> </w:t>
      </w:r>
    </w:p>
    <w:p w:rsidR="002862C2" w:rsidRDefault="002862C2" w:rsidP="002862C2">
      <w:pPr>
        <w:spacing w:after="0" w:line="480" w:lineRule="auto"/>
        <w:ind w:firstLine="720"/>
        <w:jc w:val="both"/>
        <w:rPr>
          <w:sz w:val="24"/>
          <w:szCs w:val="24"/>
        </w:rPr>
      </w:pPr>
    </w:p>
    <w:p w:rsidR="002862C2" w:rsidRDefault="00165CAE" w:rsidP="002862C2">
      <w:pPr>
        <w:spacing w:after="0" w:line="480" w:lineRule="auto"/>
        <w:ind w:firstLine="720"/>
        <w:jc w:val="both"/>
        <w:rPr>
          <w:rFonts w:eastAsia="Times New Roman"/>
          <w:sz w:val="24"/>
          <w:szCs w:val="24"/>
          <w:lang w:eastAsia="en-GB"/>
        </w:rPr>
      </w:pPr>
      <w:r>
        <w:rPr>
          <w:sz w:val="24"/>
          <w:szCs w:val="24"/>
        </w:rPr>
        <w:t>Under Clinton, t</w:t>
      </w:r>
      <w:r w:rsidR="002862C2" w:rsidRPr="005E142B">
        <w:rPr>
          <w:sz w:val="24"/>
          <w:szCs w:val="24"/>
        </w:rPr>
        <w:t xml:space="preserve">he first </w:t>
      </w:r>
      <w:r w:rsidR="002862C2">
        <w:rPr>
          <w:sz w:val="24"/>
          <w:szCs w:val="24"/>
        </w:rPr>
        <w:t xml:space="preserve">general </w:t>
      </w:r>
      <w:r w:rsidR="002862C2" w:rsidRPr="005E142B">
        <w:rPr>
          <w:sz w:val="24"/>
          <w:szCs w:val="24"/>
        </w:rPr>
        <w:t>review</w:t>
      </w:r>
      <w:r w:rsidR="002862C2">
        <w:rPr>
          <w:sz w:val="24"/>
          <w:szCs w:val="24"/>
        </w:rPr>
        <w:t xml:space="preserve"> of U.S. statecraft</w:t>
      </w:r>
      <w:r w:rsidR="002862C2" w:rsidRPr="005E142B">
        <w:rPr>
          <w:sz w:val="24"/>
          <w:szCs w:val="24"/>
        </w:rPr>
        <w:t xml:space="preserve"> only took place in August 1993 in response to criticisms of </w:t>
      </w:r>
      <w:r>
        <w:rPr>
          <w:sz w:val="24"/>
          <w:szCs w:val="24"/>
        </w:rPr>
        <w:t xml:space="preserve">the White House’s </w:t>
      </w:r>
      <w:r w:rsidR="002862C2" w:rsidRPr="005E142B">
        <w:rPr>
          <w:sz w:val="24"/>
          <w:szCs w:val="24"/>
        </w:rPr>
        <w:t>reactive diplomacy, and was geared towards finding a unifying ‘bumper sticker’ concept, as National Security Advisor Anthony Lake and speechwriter Robert Boorstin confirmed.</w:t>
      </w:r>
      <w:r w:rsidR="002862C2" w:rsidRPr="005E142B">
        <w:rPr>
          <w:rStyle w:val="FootnoteReference"/>
          <w:sz w:val="24"/>
          <w:szCs w:val="24"/>
        </w:rPr>
        <w:footnoteReference w:id="61"/>
      </w:r>
      <w:r w:rsidR="002862C2" w:rsidRPr="005E142B">
        <w:rPr>
          <w:sz w:val="24"/>
          <w:szCs w:val="24"/>
        </w:rPr>
        <w:t xml:space="preserve"> The NSS was organised around the headline </w:t>
      </w:r>
      <w:r w:rsidR="002862C2" w:rsidRPr="005E142B">
        <w:rPr>
          <w:sz w:val="24"/>
          <w:szCs w:val="24"/>
        </w:rPr>
        <w:lastRenderedPageBreak/>
        <w:t>speeches of Lake and Christopher in the autumn of 1993. Their orga</w:t>
      </w:r>
      <w:r w:rsidR="0077004D">
        <w:rPr>
          <w:sz w:val="24"/>
          <w:szCs w:val="24"/>
        </w:rPr>
        <w:t>nising concepts, Christopher’s “</w:t>
      </w:r>
      <w:r w:rsidR="002862C2" w:rsidRPr="005E142B">
        <w:rPr>
          <w:sz w:val="24"/>
          <w:szCs w:val="24"/>
        </w:rPr>
        <w:t>Engageme</w:t>
      </w:r>
      <w:r w:rsidR="0077004D">
        <w:rPr>
          <w:sz w:val="24"/>
          <w:szCs w:val="24"/>
        </w:rPr>
        <w:t>nt” and Lake’s “Democratic Enlargement”</w:t>
      </w:r>
      <w:r w:rsidR="002862C2" w:rsidRPr="005E142B">
        <w:rPr>
          <w:sz w:val="24"/>
          <w:szCs w:val="24"/>
        </w:rPr>
        <w:t xml:space="preserve"> both took as an assumed premise all four component parts of traditional strategy. Christopher’s version assumed the US </w:t>
      </w:r>
      <w:r w:rsidR="00EB1EA1">
        <w:rPr>
          <w:sz w:val="24"/>
          <w:szCs w:val="24"/>
        </w:rPr>
        <w:t>“</w:t>
      </w:r>
      <w:r w:rsidR="002862C2" w:rsidRPr="005E142B">
        <w:rPr>
          <w:sz w:val="24"/>
          <w:szCs w:val="24"/>
        </w:rPr>
        <w:t>must maintain its military strength</w:t>
      </w:r>
      <w:r w:rsidR="00EB1EA1">
        <w:rPr>
          <w:sz w:val="24"/>
          <w:szCs w:val="24"/>
        </w:rPr>
        <w:t>”</w:t>
      </w:r>
      <w:r w:rsidR="002862C2" w:rsidRPr="005E142B">
        <w:rPr>
          <w:sz w:val="24"/>
          <w:szCs w:val="24"/>
        </w:rPr>
        <w:t xml:space="preserve">, </w:t>
      </w:r>
      <w:r w:rsidR="00EB1EA1">
        <w:rPr>
          <w:sz w:val="24"/>
          <w:szCs w:val="24"/>
        </w:rPr>
        <w:t>“</w:t>
      </w:r>
      <w:r w:rsidR="002862C2" w:rsidRPr="005E142B">
        <w:rPr>
          <w:sz w:val="24"/>
          <w:szCs w:val="24"/>
        </w:rPr>
        <w:t>stem the proliferation of weapons of mass destruction’ an</w:t>
      </w:r>
      <w:r w:rsidR="003D3950">
        <w:rPr>
          <w:sz w:val="24"/>
          <w:szCs w:val="24"/>
        </w:rPr>
        <w:t>d “</w:t>
      </w:r>
      <w:r w:rsidR="002862C2" w:rsidRPr="005E142B">
        <w:rPr>
          <w:sz w:val="24"/>
          <w:szCs w:val="24"/>
        </w:rPr>
        <w:t>knock down barriers to global trade.</w:t>
      </w:r>
      <w:r w:rsidR="00EB1EA1">
        <w:rPr>
          <w:sz w:val="24"/>
          <w:szCs w:val="24"/>
        </w:rPr>
        <w:t>”</w:t>
      </w:r>
      <w:r w:rsidR="002862C2" w:rsidRPr="005E142B">
        <w:rPr>
          <w:rStyle w:val="FootnoteReference"/>
          <w:sz w:val="24"/>
          <w:szCs w:val="24"/>
        </w:rPr>
        <w:footnoteReference w:id="62"/>
      </w:r>
      <w:r w:rsidR="002862C2" w:rsidRPr="005E142B">
        <w:rPr>
          <w:sz w:val="24"/>
          <w:szCs w:val="24"/>
        </w:rPr>
        <w:t xml:space="preserve"> Lake’s premise was that </w:t>
      </w:r>
      <w:r w:rsidR="00EB1EA1">
        <w:rPr>
          <w:sz w:val="24"/>
          <w:szCs w:val="24"/>
        </w:rPr>
        <w:t>“</w:t>
      </w:r>
      <w:r w:rsidR="002862C2" w:rsidRPr="005E142B">
        <w:rPr>
          <w:rFonts w:eastAsia="Times New Roman"/>
          <w:sz w:val="24"/>
          <w:szCs w:val="24"/>
          <w:lang w:eastAsia="en-GB"/>
        </w:rPr>
        <w:t>America's power, authority, and example provide unparalleled opportunities to lead</w:t>
      </w:r>
      <w:r w:rsidR="00EB1EA1">
        <w:rPr>
          <w:rFonts w:eastAsia="Times New Roman"/>
          <w:sz w:val="24"/>
          <w:szCs w:val="24"/>
          <w:lang w:eastAsia="en-GB"/>
        </w:rPr>
        <w:t>”</w:t>
      </w:r>
      <w:r w:rsidR="002862C2" w:rsidRPr="005E142B">
        <w:rPr>
          <w:rFonts w:eastAsia="Times New Roman"/>
          <w:sz w:val="24"/>
          <w:szCs w:val="24"/>
          <w:lang w:eastAsia="en-GB"/>
        </w:rPr>
        <w:t>, that its security rested on the rise of market democracy abroad.</w:t>
      </w:r>
      <w:r w:rsidR="002862C2" w:rsidRPr="005E142B">
        <w:rPr>
          <w:rStyle w:val="FootnoteReference"/>
          <w:sz w:val="24"/>
          <w:szCs w:val="24"/>
        </w:rPr>
        <w:footnoteReference w:id="63"/>
      </w:r>
      <w:r w:rsidR="002862C2" w:rsidRPr="005E142B">
        <w:rPr>
          <w:sz w:val="24"/>
          <w:szCs w:val="24"/>
        </w:rPr>
        <w:t xml:space="preserve"> </w:t>
      </w:r>
      <w:r w:rsidR="0062721E">
        <w:rPr>
          <w:sz w:val="24"/>
          <w:szCs w:val="24"/>
        </w:rPr>
        <w:t xml:space="preserve">There is no evidence of a more fundamental </w:t>
      </w:r>
      <w:r w:rsidR="0062721E" w:rsidRPr="005E142B">
        <w:rPr>
          <w:rFonts w:eastAsia="Times New Roman"/>
          <w:sz w:val="24"/>
          <w:szCs w:val="24"/>
          <w:lang w:eastAsia="en-GB"/>
        </w:rPr>
        <w:t>revision process</w:t>
      </w:r>
      <w:r w:rsidR="003D3950" w:rsidRPr="003D3950">
        <w:rPr>
          <w:rFonts w:eastAsia="Times New Roman"/>
          <w:sz w:val="24"/>
          <w:szCs w:val="24"/>
          <w:lang w:eastAsia="en-GB"/>
        </w:rPr>
        <w:t xml:space="preserve"> </w:t>
      </w:r>
      <w:r w:rsidR="003D3950">
        <w:rPr>
          <w:rFonts w:eastAsia="Times New Roman"/>
          <w:sz w:val="24"/>
          <w:szCs w:val="24"/>
          <w:lang w:eastAsia="en-GB"/>
        </w:rPr>
        <w:t>beyond consideration of how best to implement primacy</w:t>
      </w:r>
      <w:r w:rsidR="00EB1EA1">
        <w:rPr>
          <w:rFonts w:eastAsia="Times New Roman"/>
          <w:sz w:val="24"/>
          <w:szCs w:val="24"/>
          <w:lang w:eastAsia="en-GB"/>
        </w:rPr>
        <w:t>.</w:t>
      </w:r>
      <w:r w:rsidR="0062721E">
        <w:rPr>
          <w:rFonts w:eastAsia="Times New Roman"/>
          <w:sz w:val="24"/>
          <w:szCs w:val="24"/>
          <w:lang w:eastAsia="en-GB"/>
        </w:rPr>
        <w:t xml:space="preserve"> Clinton’s officials agree there was no systematic evaluation</w:t>
      </w:r>
      <w:r w:rsidR="002862C2" w:rsidRPr="005E142B">
        <w:rPr>
          <w:rFonts w:eastAsia="Times New Roman"/>
          <w:sz w:val="24"/>
          <w:szCs w:val="24"/>
          <w:lang w:eastAsia="en-GB"/>
        </w:rPr>
        <w:t xml:space="preserve">. </w:t>
      </w:r>
    </w:p>
    <w:p w:rsidR="00EC2D1D" w:rsidRDefault="00EC2D1D" w:rsidP="002862C2">
      <w:pPr>
        <w:spacing w:after="0" w:line="480" w:lineRule="auto"/>
        <w:ind w:firstLine="720"/>
        <w:jc w:val="both"/>
        <w:rPr>
          <w:rFonts w:eastAsia="Times New Roman"/>
          <w:sz w:val="24"/>
          <w:szCs w:val="24"/>
          <w:lang w:eastAsia="en-GB"/>
        </w:rPr>
      </w:pPr>
    </w:p>
    <w:p w:rsidR="00EC2D1D" w:rsidRPr="005E142B" w:rsidRDefault="00EC2D1D" w:rsidP="00EC2D1D">
      <w:pPr>
        <w:spacing w:after="0" w:line="480" w:lineRule="auto"/>
        <w:ind w:firstLine="720"/>
        <w:jc w:val="both"/>
        <w:rPr>
          <w:sz w:val="24"/>
          <w:szCs w:val="24"/>
        </w:rPr>
      </w:pPr>
      <w:r>
        <w:rPr>
          <w:sz w:val="24"/>
          <w:szCs w:val="24"/>
        </w:rPr>
        <w:t>Critics of the Clinton administration, such as h</w:t>
      </w:r>
      <w:r w:rsidRPr="005E142B">
        <w:rPr>
          <w:sz w:val="24"/>
          <w:szCs w:val="24"/>
        </w:rPr>
        <w:t>istorian John Lewis Gaddis</w:t>
      </w:r>
      <w:r>
        <w:rPr>
          <w:sz w:val="24"/>
          <w:szCs w:val="24"/>
        </w:rPr>
        <w:t>,</w:t>
      </w:r>
      <w:r w:rsidRPr="005E142B">
        <w:rPr>
          <w:sz w:val="24"/>
          <w:szCs w:val="24"/>
        </w:rPr>
        <w:t xml:space="preserve"> accused </w:t>
      </w:r>
      <w:r>
        <w:rPr>
          <w:sz w:val="24"/>
          <w:szCs w:val="24"/>
        </w:rPr>
        <w:t>it</w:t>
      </w:r>
      <w:r w:rsidR="00475123">
        <w:rPr>
          <w:sz w:val="24"/>
          <w:szCs w:val="24"/>
        </w:rPr>
        <w:t xml:space="preserve"> of “autopilot.”</w:t>
      </w:r>
      <w:r w:rsidRPr="005E142B">
        <w:rPr>
          <w:rStyle w:val="FootnoteReference"/>
          <w:sz w:val="24"/>
          <w:szCs w:val="24"/>
        </w:rPr>
        <w:footnoteReference w:id="64"/>
      </w:r>
      <w:r w:rsidRPr="005E142B">
        <w:rPr>
          <w:sz w:val="24"/>
          <w:szCs w:val="24"/>
        </w:rPr>
        <w:t xml:space="preserve"> A system on autopilot, though, carries a pre-programmed code. Precisely because Clinton was reluctant to re-evaluate, the </w:t>
      </w:r>
      <w:r w:rsidRPr="005E142B">
        <w:rPr>
          <w:i/>
          <w:sz w:val="24"/>
          <w:szCs w:val="24"/>
        </w:rPr>
        <w:t>status quo</w:t>
      </w:r>
      <w:r w:rsidRPr="005E142B">
        <w:rPr>
          <w:sz w:val="24"/>
          <w:szCs w:val="24"/>
        </w:rPr>
        <w:t xml:space="preserve"> endured. Circumstances </w:t>
      </w:r>
      <w:r w:rsidR="002A34D8">
        <w:rPr>
          <w:sz w:val="24"/>
          <w:szCs w:val="24"/>
        </w:rPr>
        <w:t xml:space="preserve">then </w:t>
      </w:r>
      <w:r w:rsidRPr="005E142B">
        <w:rPr>
          <w:sz w:val="24"/>
          <w:szCs w:val="24"/>
        </w:rPr>
        <w:t xml:space="preserve">forced consequential choices that exposed foundational assumptions. </w:t>
      </w:r>
      <w:r>
        <w:rPr>
          <w:sz w:val="24"/>
          <w:szCs w:val="24"/>
        </w:rPr>
        <w:t>Two major choices had to be made</w:t>
      </w:r>
      <w:r w:rsidR="00475123">
        <w:rPr>
          <w:sz w:val="24"/>
          <w:szCs w:val="24"/>
        </w:rPr>
        <w:t>:</w:t>
      </w:r>
      <w:r>
        <w:rPr>
          <w:sz w:val="24"/>
          <w:szCs w:val="24"/>
        </w:rPr>
        <w:t xml:space="preserve"> over</w:t>
      </w:r>
      <w:r w:rsidRPr="005E142B">
        <w:rPr>
          <w:sz w:val="24"/>
          <w:szCs w:val="24"/>
        </w:rPr>
        <w:t xml:space="preserve"> the </w:t>
      </w:r>
      <w:r>
        <w:rPr>
          <w:sz w:val="24"/>
          <w:szCs w:val="24"/>
        </w:rPr>
        <w:t>defense</w:t>
      </w:r>
      <w:r w:rsidRPr="005E142B">
        <w:rPr>
          <w:sz w:val="24"/>
          <w:szCs w:val="24"/>
        </w:rPr>
        <w:t xml:space="preserve"> budget, which raised the issue of military preponderance; and NATO, which restaged the question of alliances. Each decision point carried first-order questions. Should America remain preponderant? Should it remain a European power</w:t>
      </w:r>
      <w:r>
        <w:rPr>
          <w:sz w:val="24"/>
          <w:szCs w:val="24"/>
        </w:rPr>
        <w:t>?</w:t>
      </w:r>
    </w:p>
    <w:p w:rsidR="005959CE" w:rsidRDefault="005959CE" w:rsidP="005E142B">
      <w:pPr>
        <w:spacing w:after="0" w:line="480" w:lineRule="auto"/>
        <w:jc w:val="both"/>
        <w:rPr>
          <w:sz w:val="24"/>
          <w:szCs w:val="24"/>
        </w:rPr>
      </w:pPr>
    </w:p>
    <w:p w:rsidR="00724C9F" w:rsidRDefault="00724C9F" w:rsidP="005959CE">
      <w:pPr>
        <w:spacing w:after="0" w:line="480" w:lineRule="auto"/>
        <w:ind w:firstLine="709"/>
        <w:jc w:val="both"/>
        <w:rPr>
          <w:sz w:val="24"/>
          <w:szCs w:val="24"/>
        </w:rPr>
      </w:pPr>
      <w:r w:rsidRPr="005E142B">
        <w:rPr>
          <w:sz w:val="24"/>
          <w:szCs w:val="24"/>
        </w:rPr>
        <w:t xml:space="preserve">The size and disposition of </w:t>
      </w:r>
      <w:r w:rsidR="003938A8">
        <w:rPr>
          <w:sz w:val="24"/>
          <w:szCs w:val="24"/>
        </w:rPr>
        <w:t>defense</w:t>
      </w:r>
      <w:r w:rsidRPr="005E142B">
        <w:rPr>
          <w:sz w:val="24"/>
          <w:szCs w:val="24"/>
        </w:rPr>
        <w:t xml:space="preserve"> budgets reflect</w:t>
      </w:r>
      <w:r w:rsidR="00AD38E9" w:rsidRPr="005E142B">
        <w:rPr>
          <w:sz w:val="24"/>
          <w:szCs w:val="24"/>
        </w:rPr>
        <w:t>s</w:t>
      </w:r>
      <w:r w:rsidRPr="005E142B">
        <w:rPr>
          <w:sz w:val="24"/>
          <w:szCs w:val="24"/>
        </w:rPr>
        <w:t xml:space="preserve"> grand strategy. How much is enough? What is the military for? In 1993, external change and the coming of relatively benign conditions might have prompted revision and retrenchment.</w:t>
      </w:r>
      <w:r w:rsidR="00AD38E9" w:rsidRPr="005E142B">
        <w:rPr>
          <w:sz w:val="24"/>
          <w:szCs w:val="24"/>
        </w:rPr>
        <w:t xml:space="preserve"> With the Soviet Union gone,</w:t>
      </w:r>
      <w:r w:rsidRPr="005E142B">
        <w:rPr>
          <w:sz w:val="24"/>
          <w:szCs w:val="24"/>
        </w:rPr>
        <w:t xml:space="preserve"> America was the most secure superpower in history, with a large nuclear arsenal, unmatched </w:t>
      </w:r>
      <w:r w:rsidRPr="005E142B">
        <w:rPr>
          <w:sz w:val="24"/>
          <w:szCs w:val="24"/>
        </w:rPr>
        <w:lastRenderedPageBreak/>
        <w:t xml:space="preserve">conventional forces, well-shielded ocean moats and the largest economy. </w:t>
      </w:r>
      <w:r w:rsidR="00EB70CC">
        <w:rPr>
          <w:sz w:val="24"/>
          <w:szCs w:val="24"/>
        </w:rPr>
        <w:t>Clinton could have</w:t>
      </w:r>
      <w:r w:rsidRPr="005E142B">
        <w:rPr>
          <w:sz w:val="24"/>
          <w:szCs w:val="24"/>
        </w:rPr>
        <w:t xml:space="preserve"> reallocated resources</w:t>
      </w:r>
      <w:r w:rsidR="00EB70CC">
        <w:rPr>
          <w:sz w:val="24"/>
          <w:szCs w:val="24"/>
        </w:rPr>
        <w:t xml:space="preserve"> in line with alternative</w:t>
      </w:r>
      <w:r w:rsidR="00841FF8" w:rsidRPr="005E142B">
        <w:rPr>
          <w:sz w:val="24"/>
          <w:szCs w:val="24"/>
        </w:rPr>
        <w:t xml:space="preserve"> </w:t>
      </w:r>
      <w:r w:rsidR="00EB70CC">
        <w:rPr>
          <w:sz w:val="24"/>
          <w:szCs w:val="24"/>
        </w:rPr>
        <w:t>strategies being advocated in public,</w:t>
      </w:r>
      <w:r w:rsidR="00180958" w:rsidRPr="005E142B">
        <w:rPr>
          <w:sz w:val="24"/>
          <w:szCs w:val="24"/>
        </w:rPr>
        <w:t xml:space="preserve"> </w:t>
      </w:r>
      <w:r w:rsidR="00EB70CC">
        <w:rPr>
          <w:sz w:val="24"/>
          <w:szCs w:val="24"/>
        </w:rPr>
        <w:t>through</w:t>
      </w:r>
      <w:r w:rsidR="00841FF8" w:rsidRPr="005E142B">
        <w:rPr>
          <w:sz w:val="24"/>
          <w:szCs w:val="24"/>
        </w:rPr>
        <w:t xml:space="preserve"> </w:t>
      </w:r>
      <w:r w:rsidR="007920F0" w:rsidRPr="005E142B">
        <w:rPr>
          <w:sz w:val="24"/>
          <w:szCs w:val="24"/>
        </w:rPr>
        <w:t>reduc</w:t>
      </w:r>
      <w:r w:rsidR="00EB70CC">
        <w:rPr>
          <w:sz w:val="24"/>
          <w:szCs w:val="24"/>
        </w:rPr>
        <w:t>ed</w:t>
      </w:r>
      <w:r w:rsidR="007920F0" w:rsidRPr="005E142B">
        <w:rPr>
          <w:sz w:val="24"/>
          <w:szCs w:val="24"/>
        </w:rPr>
        <w:t xml:space="preserve"> </w:t>
      </w:r>
      <w:r w:rsidRPr="005E142B">
        <w:rPr>
          <w:sz w:val="24"/>
          <w:szCs w:val="24"/>
        </w:rPr>
        <w:t>spending, shifting burdens or liquidating commitments</w:t>
      </w:r>
      <w:r w:rsidR="00180958" w:rsidRPr="005E142B">
        <w:rPr>
          <w:sz w:val="24"/>
          <w:szCs w:val="24"/>
        </w:rPr>
        <w:t xml:space="preserve"> in some combination</w:t>
      </w:r>
      <w:r w:rsidRPr="005E142B">
        <w:rPr>
          <w:sz w:val="24"/>
          <w:szCs w:val="24"/>
        </w:rPr>
        <w:t>.</w:t>
      </w:r>
      <w:r w:rsidR="00180958" w:rsidRPr="005E142B">
        <w:rPr>
          <w:sz w:val="24"/>
          <w:szCs w:val="24"/>
        </w:rPr>
        <w:t xml:space="preserve"> </w:t>
      </w:r>
      <w:r w:rsidR="00EB70CC">
        <w:rPr>
          <w:sz w:val="24"/>
          <w:szCs w:val="24"/>
        </w:rPr>
        <w:t>During the 1992 presidential campaign, c</w:t>
      </w:r>
      <w:r w:rsidR="00904662" w:rsidRPr="005E142B">
        <w:rPr>
          <w:sz w:val="24"/>
          <w:szCs w:val="24"/>
        </w:rPr>
        <w:t>andidate</w:t>
      </w:r>
      <w:r w:rsidRPr="005E142B">
        <w:rPr>
          <w:sz w:val="24"/>
          <w:szCs w:val="24"/>
        </w:rPr>
        <w:t xml:space="preserve"> Clinton </w:t>
      </w:r>
      <w:r w:rsidR="00180958" w:rsidRPr="005E142B">
        <w:rPr>
          <w:sz w:val="24"/>
          <w:szCs w:val="24"/>
        </w:rPr>
        <w:t xml:space="preserve">hinted at this possibility, promising to reduce </w:t>
      </w:r>
      <w:r w:rsidR="003938A8">
        <w:rPr>
          <w:sz w:val="24"/>
          <w:szCs w:val="24"/>
        </w:rPr>
        <w:t>defense</w:t>
      </w:r>
      <w:r w:rsidR="00180958" w:rsidRPr="005E142B">
        <w:rPr>
          <w:sz w:val="24"/>
          <w:szCs w:val="24"/>
        </w:rPr>
        <w:t xml:space="preserve"> spending and</w:t>
      </w:r>
      <w:r w:rsidR="0077004D">
        <w:rPr>
          <w:sz w:val="24"/>
          <w:szCs w:val="24"/>
        </w:rPr>
        <w:t xml:space="preserve"> limiting America’s role to “tip the balance.”</w:t>
      </w:r>
      <w:r w:rsidRPr="005E142B">
        <w:rPr>
          <w:rStyle w:val="FootnoteReference"/>
          <w:sz w:val="24"/>
          <w:szCs w:val="24"/>
        </w:rPr>
        <w:footnoteReference w:id="65"/>
      </w:r>
      <w:r w:rsidRPr="005E142B">
        <w:rPr>
          <w:sz w:val="24"/>
          <w:szCs w:val="24"/>
        </w:rPr>
        <w:t xml:space="preserve"> </w:t>
      </w:r>
      <w:r w:rsidR="006C438D" w:rsidRPr="005E142B">
        <w:rPr>
          <w:sz w:val="24"/>
          <w:szCs w:val="24"/>
        </w:rPr>
        <w:t>Clinton, like Bush, distanced h</w:t>
      </w:r>
      <w:r w:rsidR="0077004D">
        <w:rPr>
          <w:sz w:val="24"/>
          <w:szCs w:val="24"/>
        </w:rPr>
        <w:t>imself from the starkly-worded “</w:t>
      </w:r>
      <w:r w:rsidR="003938A8">
        <w:rPr>
          <w:sz w:val="24"/>
          <w:szCs w:val="24"/>
        </w:rPr>
        <w:t>Defense</w:t>
      </w:r>
      <w:r w:rsidR="0077004D">
        <w:rPr>
          <w:sz w:val="24"/>
          <w:szCs w:val="24"/>
        </w:rPr>
        <w:t xml:space="preserve"> Policy Guidance”</w:t>
      </w:r>
      <w:r w:rsidR="006C438D" w:rsidRPr="005E142B">
        <w:rPr>
          <w:sz w:val="24"/>
          <w:szCs w:val="24"/>
        </w:rPr>
        <w:t xml:space="preserve"> document (DPG) of 1992,</w:t>
      </w:r>
      <w:r w:rsidR="006B6A0D">
        <w:rPr>
          <w:sz w:val="24"/>
          <w:szCs w:val="24"/>
        </w:rPr>
        <w:t xml:space="preserve"> a document that was not released to the public but</w:t>
      </w:r>
      <w:r w:rsidR="006C438D" w:rsidRPr="005E142B">
        <w:rPr>
          <w:sz w:val="24"/>
          <w:szCs w:val="24"/>
        </w:rPr>
        <w:t xml:space="preserve"> that</w:t>
      </w:r>
      <w:r w:rsidR="006B6A0D">
        <w:rPr>
          <w:sz w:val="24"/>
          <w:szCs w:val="24"/>
        </w:rPr>
        <w:t xml:space="preserve"> generated controversy, as it</w:t>
      </w:r>
      <w:r w:rsidR="006C438D" w:rsidRPr="005E142B">
        <w:rPr>
          <w:sz w:val="24"/>
          <w:szCs w:val="24"/>
        </w:rPr>
        <w:t xml:space="preserve"> envisaged America generating overwhelming military superiority to prevent the re-emergence of rivals.</w:t>
      </w:r>
      <w:r w:rsidR="006C438D" w:rsidRPr="005E142B">
        <w:rPr>
          <w:rStyle w:val="FootnoteReference"/>
          <w:sz w:val="24"/>
          <w:szCs w:val="24"/>
        </w:rPr>
        <w:footnoteReference w:id="66"/>
      </w:r>
      <w:r w:rsidR="006C438D" w:rsidRPr="005E142B">
        <w:rPr>
          <w:sz w:val="24"/>
          <w:szCs w:val="24"/>
        </w:rPr>
        <w:t xml:space="preserve"> </w:t>
      </w:r>
      <w:r w:rsidRPr="005E142B">
        <w:rPr>
          <w:sz w:val="24"/>
          <w:szCs w:val="24"/>
        </w:rPr>
        <w:t xml:space="preserve">His first Secretary of </w:t>
      </w:r>
      <w:r w:rsidR="003938A8">
        <w:rPr>
          <w:sz w:val="24"/>
          <w:szCs w:val="24"/>
        </w:rPr>
        <w:t>Defense</w:t>
      </w:r>
      <w:r w:rsidRPr="005E142B">
        <w:rPr>
          <w:sz w:val="24"/>
          <w:szCs w:val="24"/>
        </w:rPr>
        <w:t>, Les Aspin, led a reformist ‘Bottom Up Review’ (BUR).</w:t>
      </w:r>
      <w:r w:rsidR="0077017E">
        <w:rPr>
          <w:rStyle w:val="FootnoteReference"/>
          <w:sz w:val="24"/>
          <w:szCs w:val="24"/>
        </w:rPr>
        <w:footnoteReference w:id="67"/>
      </w:r>
      <w:r w:rsidRPr="005E142B">
        <w:rPr>
          <w:sz w:val="24"/>
          <w:szCs w:val="24"/>
        </w:rPr>
        <w:t xml:space="preserve"> </w:t>
      </w:r>
      <w:r w:rsidR="00307187" w:rsidRPr="005E142B">
        <w:rPr>
          <w:sz w:val="24"/>
          <w:szCs w:val="24"/>
        </w:rPr>
        <w:t>There were a</w:t>
      </w:r>
      <w:r w:rsidRPr="005E142B">
        <w:rPr>
          <w:sz w:val="24"/>
          <w:szCs w:val="24"/>
        </w:rPr>
        <w:t>lternatives on offer in the public domain</w:t>
      </w:r>
      <w:r w:rsidR="00307187" w:rsidRPr="005E142B">
        <w:rPr>
          <w:sz w:val="24"/>
          <w:szCs w:val="24"/>
        </w:rPr>
        <w:t>.</w:t>
      </w:r>
      <w:r w:rsidRPr="005E142B">
        <w:rPr>
          <w:sz w:val="24"/>
          <w:szCs w:val="24"/>
        </w:rPr>
        <w:t xml:space="preserve"> </w:t>
      </w:r>
      <w:r w:rsidR="00307187" w:rsidRPr="005E142B">
        <w:rPr>
          <w:sz w:val="24"/>
          <w:szCs w:val="24"/>
        </w:rPr>
        <w:t xml:space="preserve">The Centre of </w:t>
      </w:r>
      <w:r w:rsidR="003938A8">
        <w:rPr>
          <w:sz w:val="24"/>
          <w:szCs w:val="24"/>
        </w:rPr>
        <w:t>Defense</w:t>
      </w:r>
      <w:r w:rsidR="00307187" w:rsidRPr="005E142B">
        <w:rPr>
          <w:sz w:val="24"/>
          <w:szCs w:val="24"/>
        </w:rPr>
        <w:t xml:space="preserve"> Information, for instance, proposed a </w:t>
      </w:r>
      <w:r w:rsidRPr="005E142B">
        <w:rPr>
          <w:sz w:val="24"/>
          <w:szCs w:val="24"/>
        </w:rPr>
        <w:t>minimal force structure to reduce spending by over half,</w:t>
      </w:r>
      <w:r w:rsidR="00307187" w:rsidRPr="005E142B">
        <w:rPr>
          <w:sz w:val="24"/>
          <w:szCs w:val="24"/>
        </w:rPr>
        <w:t xml:space="preserve"> designed to defend and deter but not to support preponderanc</w:t>
      </w:r>
      <w:r w:rsidR="00221031" w:rsidRPr="005E142B">
        <w:rPr>
          <w:sz w:val="24"/>
          <w:szCs w:val="24"/>
        </w:rPr>
        <w:t>e or supply extended deterrence</w:t>
      </w:r>
      <w:r w:rsidRPr="005E142B">
        <w:rPr>
          <w:sz w:val="24"/>
          <w:szCs w:val="24"/>
        </w:rPr>
        <w:t>.</w:t>
      </w:r>
      <w:r w:rsidRPr="005E142B">
        <w:rPr>
          <w:rStyle w:val="FootnoteReference"/>
          <w:sz w:val="24"/>
          <w:szCs w:val="24"/>
        </w:rPr>
        <w:footnoteReference w:id="68"/>
      </w:r>
      <w:r w:rsidR="002A34D8">
        <w:rPr>
          <w:sz w:val="24"/>
          <w:szCs w:val="24"/>
        </w:rPr>
        <w:t xml:space="preserve"> </w:t>
      </w:r>
    </w:p>
    <w:p w:rsidR="00E83C36" w:rsidRDefault="00E83C36" w:rsidP="00B46B40">
      <w:pPr>
        <w:spacing w:after="0" w:line="480" w:lineRule="auto"/>
        <w:jc w:val="both"/>
        <w:rPr>
          <w:sz w:val="24"/>
          <w:szCs w:val="24"/>
        </w:rPr>
      </w:pPr>
    </w:p>
    <w:p w:rsidR="00AC53BA" w:rsidRPr="005E142B" w:rsidRDefault="00AC53BA" w:rsidP="00EB32B4">
      <w:pPr>
        <w:spacing w:after="0" w:line="480" w:lineRule="auto"/>
        <w:ind w:firstLine="709"/>
        <w:jc w:val="both"/>
        <w:rPr>
          <w:sz w:val="24"/>
          <w:szCs w:val="24"/>
        </w:rPr>
      </w:pPr>
      <w:r w:rsidRPr="005E142B">
        <w:rPr>
          <w:sz w:val="24"/>
          <w:szCs w:val="24"/>
        </w:rPr>
        <w:t xml:space="preserve">Clinton oversaw some retrenchment, making initial cuts of 25%. The percentage share of GDP devoted to </w:t>
      </w:r>
      <w:r>
        <w:rPr>
          <w:sz w:val="24"/>
          <w:szCs w:val="24"/>
        </w:rPr>
        <w:t>defense</w:t>
      </w:r>
      <w:r w:rsidRPr="005E142B">
        <w:rPr>
          <w:sz w:val="24"/>
          <w:szCs w:val="24"/>
        </w:rPr>
        <w:t xml:space="preserve"> expenditure fell from 4.3% of GDP in 1993 to 3.1% by 1999.</w:t>
      </w:r>
      <w:r w:rsidRPr="005E142B">
        <w:rPr>
          <w:rStyle w:val="FootnoteReference"/>
          <w:sz w:val="24"/>
          <w:szCs w:val="24"/>
        </w:rPr>
        <w:footnoteReference w:id="69"/>
      </w:r>
      <w:r w:rsidRPr="005E142B">
        <w:rPr>
          <w:sz w:val="24"/>
          <w:szCs w:val="24"/>
        </w:rPr>
        <w:t xml:space="preserve"> Three factors, however, prevented these reductions from disturbing the foundations of primacy. Firstly, other states also reduced military spending. America remained relatively ahead, to the extent that </w:t>
      </w:r>
      <w:r w:rsidR="0063217D">
        <w:rPr>
          <w:sz w:val="24"/>
          <w:szCs w:val="24"/>
        </w:rPr>
        <w:t>the U.S.</w:t>
      </w:r>
      <w:r w:rsidRPr="005E142B">
        <w:rPr>
          <w:sz w:val="24"/>
          <w:szCs w:val="24"/>
        </w:rPr>
        <w:t xml:space="preserve"> sustained a share of global military expenditure mostly above what it had been in the final years of the Cold War, varying above a baseline of 34% (see Figure 1). At the start of Clinton’s tenure, America’s share of world </w:t>
      </w:r>
      <w:r>
        <w:rPr>
          <w:sz w:val="24"/>
          <w:szCs w:val="24"/>
        </w:rPr>
        <w:t>defense</w:t>
      </w:r>
      <w:r w:rsidRPr="005E142B">
        <w:rPr>
          <w:sz w:val="24"/>
          <w:szCs w:val="24"/>
        </w:rPr>
        <w:t xml:space="preserve"> expenditure was 36.2%, exceeding the combined spending of other major industrialised powers Japan, France, the UK, Russia and </w:t>
      </w:r>
      <w:r w:rsidRPr="005E142B">
        <w:rPr>
          <w:sz w:val="24"/>
          <w:szCs w:val="24"/>
        </w:rPr>
        <w:lastRenderedPageBreak/>
        <w:t>Germany.</w:t>
      </w:r>
      <w:r w:rsidRPr="005E142B">
        <w:rPr>
          <w:rStyle w:val="FootnoteReference"/>
          <w:sz w:val="24"/>
          <w:szCs w:val="24"/>
        </w:rPr>
        <w:footnoteReference w:id="70"/>
      </w:r>
      <w:r w:rsidRPr="005E142B">
        <w:rPr>
          <w:sz w:val="24"/>
          <w:szCs w:val="24"/>
        </w:rPr>
        <w:t xml:space="preserve"> By 2000 the end of his tenure, it was 34%, still exceeding the combined spending of all five.</w:t>
      </w:r>
      <w:r w:rsidRPr="005E142B">
        <w:rPr>
          <w:rStyle w:val="FootnoteReference"/>
          <w:sz w:val="24"/>
          <w:szCs w:val="24"/>
        </w:rPr>
        <w:footnoteReference w:id="71"/>
      </w:r>
      <w:r w:rsidRPr="005E142B">
        <w:rPr>
          <w:sz w:val="24"/>
          <w:szCs w:val="24"/>
        </w:rPr>
        <w:t xml:space="preserve"> Spending levels stayed at approximately 80% of the average Cold War year. This was significant, since by 1997, the spending of Russia, its major potential peer competitor, had ‘slowed to a crawl’, falling to one-tenth of the USSR’s estimated military expenditure of 1988.</w:t>
      </w:r>
      <w:r w:rsidRPr="005E142B">
        <w:rPr>
          <w:rStyle w:val="FootnoteReference"/>
          <w:sz w:val="24"/>
          <w:szCs w:val="24"/>
        </w:rPr>
        <w:footnoteReference w:id="72"/>
      </w:r>
      <w:r w:rsidRPr="005E142B">
        <w:rPr>
          <w:sz w:val="24"/>
          <w:szCs w:val="24"/>
        </w:rPr>
        <w:t xml:space="preserve"> Thirdly, America’s GDP grew from 6.6 to 9.8 trillion dollars from 1993 to 2000, enabling it to sustain preponderant levels of spending even though it marked a smaller share of national wealth.</w:t>
      </w:r>
      <w:r w:rsidRPr="005E142B">
        <w:rPr>
          <w:rStyle w:val="FootnoteReference"/>
          <w:sz w:val="24"/>
          <w:szCs w:val="24"/>
        </w:rPr>
        <w:footnoteReference w:id="73"/>
      </w:r>
      <w:r w:rsidRPr="005E142B">
        <w:rPr>
          <w:sz w:val="24"/>
          <w:szCs w:val="24"/>
        </w:rPr>
        <w:t xml:space="preserve"> </w:t>
      </w:r>
    </w:p>
    <w:p w:rsidR="00AC53BA" w:rsidRPr="005E142B" w:rsidRDefault="00AC53BA" w:rsidP="00AC53BA">
      <w:pPr>
        <w:spacing w:after="0" w:line="480" w:lineRule="auto"/>
        <w:ind w:firstLine="709"/>
        <w:jc w:val="both"/>
        <w:rPr>
          <w:sz w:val="24"/>
          <w:szCs w:val="24"/>
        </w:rPr>
      </w:pPr>
    </w:p>
    <w:p w:rsidR="00AC53BA" w:rsidRPr="005E142B" w:rsidRDefault="00AC53BA" w:rsidP="00AC53BA">
      <w:pPr>
        <w:spacing w:after="0" w:line="480" w:lineRule="auto"/>
        <w:ind w:firstLine="720"/>
        <w:jc w:val="both"/>
        <w:rPr>
          <w:sz w:val="24"/>
          <w:szCs w:val="24"/>
        </w:rPr>
      </w:pPr>
      <w:r w:rsidRPr="005E142B">
        <w:rPr>
          <w:sz w:val="24"/>
          <w:szCs w:val="24"/>
        </w:rPr>
        <w:t xml:space="preserve"> </w:t>
      </w:r>
      <w:r w:rsidRPr="005E142B">
        <w:rPr>
          <w:noProof/>
          <w:sz w:val="24"/>
          <w:szCs w:val="24"/>
          <w:lang w:val="en-US"/>
        </w:rPr>
        <w:drawing>
          <wp:inline distT="0" distB="0" distL="0" distR="0" wp14:anchorId="3711330F" wp14:editId="29E0870A">
            <wp:extent cx="4114800" cy="2808605"/>
            <wp:effectExtent l="0" t="0" r="0" b="0"/>
            <wp:docPr id="2" name="Picture 2" descr="U.S. Military Spending, % of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Military Spending, % of Wor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808605"/>
                    </a:xfrm>
                    <a:prstGeom prst="rect">
                      <a:avLst/>
                    </a:prstGeom>
                    <a:noFill/>
                    <a:ln>
                      <a:noFill/>
                    </a:ln>
                  </pic:spPr>
                </pic:pic>
              </a:graphicData>
            </a:graphic>
          </wp:inline>
        </w:drawing>
      </w:r>
    </w:p>
    <w:p w:rsidR="00AC53BA" w:rsidRPr="005E142B" w:rsidRDefault="00AC53BA" w:rsidP="00AC53BA">
      <w:pPr>
        <w:spacing w:after="0" w:line="480" w:lineRule="auto"/>
        <w:ind w:left="709" w:firstLine="11"/>
        <w:jc w:val="both"/>
        <w:rPr>
          <w:sz w:val="24"/>
          <w:szCs w:val="24"/>
        </w:rPr>
      </w:pPr>
      <w:r w:rsidRPr="005E142B">
        <w:rPr>
          <w:sz w:val="24"/>
          <w:szCs w:val="24"/>
        </w:rPr>
        <w:t xml:space="preserve">Source: Dinah Walker, </w:t>
      </w:r>
      <w:r w:rsidRPr="005E142B">
        <w:rPr>
          <w:i/>
          <w:sz w:val="24"/>
          <w:szCs w:val="24"/>
        </w:rPr>
        <w:t xml:space="preserve">Trends in US Military Spending </w:t>
      </w:r>
      <w:r w:rsidRPr="005E142B">
        <w:rPr>
          <w:sz w:val="24"/>
          <w:szCs w:val="24"/>
        </w:rPr>
        <w:t>(Council on Foreign Relations,</w:t>
      </w:r>
      <w:r w:rsidRPr="005E142B">
        <w:rPr>
          <w:i/>
          <w:sz w:val="24"/>
          <w:szCs w:val="24"/>
        </w:rPr>
        <w:t xml:space="preserve"> </w:t>
      </w:r>
      <w:r w:rsidRPr="005E142B">
        <w:rPr>
          <w:sz w:val="24"/>
          <w:szCs w:val="24"/>
        </w:rPr>
        <w:t xml:space="preserve">15 July 2014), p.2. </w:t>
      </w:r>
    </w:p>
    <w:p w:rsidR="00A05EE8" w:rsidRDefault="00A05EE8" w:rsidP="00A05EE8">
      <w:pPr>
        <w:spacing w:after="0" w:line="480" w:lineRule="auto"/>
        <w:jc w:val="both"/>
        <w:rPr>
          <w:sz w:val="24"/>
          <w:szCs w:val="24"/>
        </w:rPr>
      </w:pPr>
    </w:p>
    <w:p w:rsidR="00A05EE8" w:rsidRPr="005E142B" w:rsidRDefault="00A05EE8" w:rsidP="00A05EE8">
      <w:pPr>
        <w:spacing w:after="0" w:line="480" w:lineRule="auto"/>
        <w:jc w:val="both"/>
        <w:rPr>
          <w:sz w:val="24"/>
          <w:szCs w:val="24"/>
        </w:rPr>
      </w:pPr>
      <w:r w:rsidRPr="005E142B">
        <w:rPr>
          <w:sz w:val="24"/>
          <w:szCs w:val="24"/>
        </w:rPr>
        <w:t>Despite Aspin’s claim to novelty</w:t>
      </w:r>
      <w:r>
        <w:rPr>
          <w:sz w:val="24"/>
          <w:szCs w:val="24"/>
        </w:rPr>
        <w:t>, that America was</w:t>
      </w:r>
      <w:r w:rsidRPr="005E142B">
        <w:rPr>
          <w:sz w:val="24"/>
          <w:szCs w:val="24"/>
        </w:rPr>
        <w:t xml:space="preserve"> break</w:t>
      </w:r>
      <w:r>
        <w:rPr>
          <w:sz w:val="24"/>
          <w:szCs w:val="24"/>
        </w:rPr>
        <w:t>ing away from</w:t>
      </w:r>
      <w:r w:rsidRPr="005E142B">
        <w:rPr>
          <w:sz w:val="24"/>
          <w:szCs w:val="24"/>
        </w:rPr>
        <w:t xml:space="preserve"> containment,</w:t>
      </w:r>
      <w:r w:rsidRPr="005E142B">
        <w:rPr>
          <w:rStyle w:val="FootnoteReference"/>
          <w:sz w:val="24"/>
          <w:szCs w:val="24"/>
        </w:rPr>
        <w:footnoteReference w:id="74"/>
      </w:r>
      <w:r w:rsidRPr="005E142B">
        <w:rPr>
          <w:sz w:val="24"/>
          <w:szCs w:val="24"/>
        </w:rPr>
        <w:t xml:space="preserve"> </w:t>
      </w:r>
      <w:r>
        <w:rPr>
          <w:sz w:val="24"/>
          <w:szCs w:val="24"/>
        </w:rPr>
        <w:t xml:space="preserve">the Clinton administration’s </w:t>
      </w:r>
      <w:r w:rsidRPr="005E142B">
        <w:rPr>
          <w:sz w:val="24"/>
          <w:szCs w:val="24"/>
        </w:rPr>
        <w:t xml:space="preserve">commitments to restructure the military were diluted </w:t>
      </w:r>
      <w:r w:rsidR="0077004D">
        <w:rPr>
          <w:sz w:val="24"/>
          <w:szCs w:val="24"/>
        </w:rPr>
        <w:t xml:space="preserve">into a modified </w:t>
      </w:r>
      <w:r w:rsidR="0077004D">
        <w:rPr>
          <w:sz w:val="24"/>
          <w:szCs w:val="24"/>
        </w:rPr>
        <w:lastRenderedPageBreak/>
        <w:t>version of the “Base Force”</w:t>
      </w:r>
      <w:r w:rsidRPr="005E142B">
        <w:rPr>
          <w:sz w:val="24"/>
          <w:szCs w:val="24"/>
        </w:rPr>
        <w:t xml:space="preserve"> blueprint of the Bush I administration. The BUR left major questions untouched, such as burden shifting onto allies and the merits of major retrenchment.</w:t>
      </w:r>
      <w:r w:rsidRPr="005E142B">
        <w:rPr>
          <w:rStyle w:val="FootnoteReference"/>
          <w:sz w:val="24"/>
          <w:szCs w:val="24"/>
        </w:rPr>
        <w:footnoteReference w:id="75"/>
      </w:r>
    </w:p>
    <w:p w:rsidR="00AC53BA" w:rsidRDefault="00AC53BA" w:rsidP="00844632">
      <w:pPr>
        <w:spacing w:after="0" w:line="480" w:lineRule="auto"/>
        <w:jc w:val="both"/>
        <w:rPr>
          <w:sz w:val="24"/>
          <w:szCs w:val="24"/>
        </w:rPr>
      </w:pPr>
    </w:p>
    <w:p w:rsidR="0064798F" w:rsidRDefault="00AC53BA" w:rsidP="00EB32B4">
      <w:pPr>
        <w:spacing w:after="0" w:line="480" w:lineRule="auto"/>
        <w:ind w:firstLine="720"/>
        <w:jc w:val="both"/>
        <w:rPr>
          <w:sz w:val="24"/>
          <w:szCs w:val="24"/>
        </w:rPr>
      </w:pPr>
      <w:r w:rsidRPr="005E142B">
        <w:rPr>
          <w:sz w:val="24"/>
          <w:szCs w:val="24"/>
        </w:rPr>
        <w:t>Washington also maintained the traditional rationale for preponderance, working from the assumption that the U</w:t>
      </w:r>
      <w:r w:rsidR="00896572">
        <w:rPr>
          <w:sz w:val="24"/>
          <w:szCs w:val="24"/>
        </w:rPr>
        <w:t>.</w:t>
      </w:r>
      <w:r w:rsidRPr="005E142B">
        <w:rPr>
          <w:sz w:val="24"/>
          <w:szCs w:val="24"/>
        </w:rPr>
        <w:t>S</w:t>
      </w:r>
      <w:r w:rsidR="00896572">
        <w:rPr>
          <w:sz w:val="24"/>
          <w:szCs w:val="24"/>
        </w:rPr>
        <w:t>.</w:t>
      </w:r>
      <w:r w:rsidRPr="005E142B">
        <w:rPr>
          <w:sz w:val="24"/>
          <w:szCs w:val="24"/>
        </w:rPr>
        <w:t xml:space="preserve"> should be insuperable and have global reach, beyond what it needed to defend and deter. </w:t>
      </w:r>
      <w:r w:rsidR="0077004D">
        <w:rPr>
          <w:sz w:val="24"/>
          <w:szCs w:val="24"/>
        </w:rPr>
        <w:t>Clinton maintained the “two war standard”</w:t>
      </w:r>
      <w:r w:rsidR="003871E0">
        <w:rPr>
          <w:sz w:val="24"/>
          <w:szCs w:val="24"/>
        </w:rPr>
        <w:t>, the assumption that a</w:t>
      </w:r>
      <w:r w:rsidR="003871E0" w:rsidRPr="005E142B">
        <w:rPr>
          <w:sz w:val="24"/>
          <w:szCs w:val="24"/>
        </w:rPr>
        <w:t xml:space="preserve"> vital measure of American’s preponderance was its ability to prevail in two major, concurrent regional contingencies, and deter or counter two regional aggressors in distant theatres at the same time.</w:t>
      </w:r>
      <w:r w:rsidR="0073239F">
        <w:rPr>
          <w:sz w:val="24"/>
          <w:szCs w:val="24"/>
        </w:rPr>
        <w:t xml:space="preserve"> The exact size of this standard has fluctuated,</w:t>
      </w:r>
      <w:r w:rsidR="0077004D">
        <w:rPr>
          <w:sz w:val="24"/>
          <w:szCs w:val="24"/>
        </w:rPr>
        <w:t xml:space="preserve"> from “two and a half”</w:t>
      </w:r>
      <w:r w:rsidR="00C31C4F">
        <w:rPr>
          <w:sz w:val="24"/>
          <w:szCs w:val="24"/>
        </w:rPr>
        <w:t xml:space="preserve"> standard under</w:t>
      </w:r>
      <w:r w:rsidR="0077004D">
        <w:rPr>
          <w:sz w:val="24"/>
          <w:szCs w:val="24"/>
        </w:rPr>
        <w:t xml:space="preserve"> President John F. Kennedy, to “one and a half”</w:t>
      </w:r>
      <w:r w:rsidR="00C31C4F">
        <w:rPr>
          <w:sz w:val="24"/>
          <w:szCs w:val="24"/>
        </w:rPr>
        <w:t xml:space="preserve"> during the 1970’</w:t>
      </w:r>
      <w:r w:rsidR="001611F4">
        <w:rPr>
          <w:sz w:val="24"/>
          <w:szCs w:val="24"/>
        </w:rPr>
        <w:t>s.</w:t>
      </w:r>
      <w:r w:rsidR="00C31C4F">
        <w:rPr>
          <w:rStyle w:val="FootnoteReference"/>
          <w:sz w:val="24"/>
          <w:szCs w:val="24"/>
        </w:rPr>
        <w:footnoteReference w:id="76"/>
      </w:r>
      <w:r w:rsidR="001611F4">
        <w:rPr>
          <w:sz w:val="24"/>
          <w:szCs w:val="24"/>
        </w:rPr>
        <w:t xml:space="preserve"> B</w:t>
      </w:r>
      <w:r w:rsidR="0073239F">
        <w:rPr>
          <w:sz w:val="24"/>
          <w:szCs w:val="24"/>
        </w:rPr>
        <w:t xml:space="preserve">ut the principle persisted that for the U.S. to have enough capability to underpin its primacy, it must be </w:t>
      </w:r>
      <w:r w:rsidR="001611F4">
        <w:rPr>
          <w:sz w:val="24"/>
          <w:szCs w:val="24"/>
        </w:rPr>
        <w:t>capable</w:t>
      </w:r>
      <w:r w:rsidR="0073239F">
        <w:rPr>
          <w:sz w:val="24"/>
          <w:szCs w:val="24"/>
        </w:rPr>
        <w:t xml:space="preserve"> </w:t>
      </w:r>
      <w:r w:rsidR="001611F4">
        <w:rPr>
          <w:sz w:val="24"/>
          <w:szCs w:val="24"/>
        </w:rPr>
        <w:t>of simultaneous conflicts</w:t>
      </w:r>
      <w:r w:rsidR="0073239F">
        <w:rPr>
          <w:sz w:val="24"/>
          <w:szCs w:val="24"/>
        </w:rPr>
        <w:t>.</w:t>
      </w:r>
      <w:r w:rsidR="003871E0" w:rsidRPr="005E142B">
        <w:rPr>
          <w:sz w:val="24"/>
          <w:szCs w:val="24"/>
        </w:rPr>
        <w:t xml:space="preserve"> The Bush I administration had</w:t>
      </w:r>
      <w:r w:rsidR="003871E0">
        <w:rPr>
          <w:sz w:val="24"/>
          <w:szCs w:val="24"/>
        </w:rPr>
        <w:t xml:space="preserve"> already</w:t>
      </w:r>
      <w:r w:rsidR="003871E0" w:rsidRPr="005E142B">
        <w:rPr>
          <w:sz w:val="24"/>
          <w:szCs w:val="24"/>
        </w:rPr>
        <w:t xml:space="preserve"> confirmed this standard as a f</w:t>
      </w:r>
      <w:r w:rsidR="0077004D">
        <w:rPr>
          <w:sz w:val="24"/>
          <w:szCs w:val="24"/>
        </w:rPr>
        <w:t>oundation of US leadership and “strategic depth”</w:t>
      </w:r>
      <w:r w:rsidR="003871E0" w:rsidRPr="005E142B">
        <w:rPr>
          <w:sz w:val="24"/>
          <w:szCs w:val="24"/>
        </w:rPr>
        <w:t>, to stabilise and deter, to show commitment and lend credibility to alliances.</w:t>
      </w:r>
      <w:r w:rsidR="003871E0" w:rsidRPr="005E142B">
        <w:rPr>
          <w:rStyle w:val="FootnoteReference"/>
          <w:sz w:val="24"/>
          <w:szCs w:val="24"/>
        </w:rPr>
        <w:footnoteReference w:id="77"/>
      </w:r>
      <w:r w:rsidR="003871E0" w:rsidRPr="005E142B">
        <w:rPr>
          <w:sz w:val="24"/>
          <w:szCs w:val="24"/>
        </w:rPr>
        <w:t xml:space="preserve"> </w:t>
      </w:r>
    </w:p>
    <w:p w:rsidR="0064798F" w:rsidRDefault="0064798F" w:rsidP="0064798F">
      <w:pPr>
        <w:spacing w:after="0" w:line="480" w:lineRule="auto"/>
        <w:ind w:firstLine="720"/>
        <w:jc w:val="both"/>
        <w:rPr>
          <w:sz w:val="24"/>
          <w:szCs w:val="24"/>
        </w:rPr>
      </w:pPr>
    </w:p>
    <w:p w:rsidR="00AC53BA" w:rsidRPr="005E142B" w:rsidRDefault="003871E0" w:rsidP="0064798F">
      <w:pPr>
        <w:spacing w:after="0" w:line="480" w:lineRule="auto"/>
        <w:ind w:firstLine="720"/>
        <w:jc w:val="both"/>
        <w:rPr>
          <w:sz w:val="24"/>
          <w:szCs w:val="24"/>
        </w:rPr>
      </w:pPr>
      <w:r>
        <w:rPr>
          <w:sz w:val="24"/>
          <w:szCs w:val="24"/>
        </w:rPr>
        <w:t>The continued rationale for primacy can</w:t>
      </w:r>
      <w:r w:rsidR="0064798F">
        <w:rPr>
          <w:sz w:val="24"/>
          <w:szCs w:val="24"/>
        </w:rPr>
        <w:t xml:space="preserve"> also</w:t>
      </w:r>
      <w:r>
        <w:rPr>
          <w:sz w:val="24"/>
          <w:szCs w:val="24"/>
        </w:rPr>
        <w:t xml:space="preserve"> be seen in </w:t>
      </w:r>
      <w:r w:rsidR="00AC53BA" w:rsidRPr="005E142B">
        <w:rPr>
          <w:sz w:val="24"/>
          <w:szCs w:val="24"/>
        </w:rPr>
        <w:t xml:space="preserve">the Department of </w:t>
      </w:r>
      <w:r w:rsidR="00AC53BA">
        <w:rPr>
          <w:sz w:val="24"/>
          <w:szCs w:val="24"/>
        </w:rPr>
        <w:t>Defense</w:t>
      </w:r>
      <w:r w:rsidR="00AC53BA" w:rsidRPr="005E142B">
        <w:rPr>
          <w:sz w:val="24"/>
          <w:szCs w:val="24"/>
        </w:rPr>
        <w:t xml:space="preserve">’ first </w:t>
      </w:r>
      <w:r w:rsidR="00AC53BA" w:rsidRPr="005E142B">
        <w:rPr>
          <w:i/>
          <w:sz w:val="24"/>
          <w:szCs w:val="24"/>
        </w:rPr>
        <w:t xml:space="preserve">Quadrennial </w:t>
      </w:r>
      <w:r w:rsidR="00AC53BA">
        <w:rPr>
          <w:i/>
          <w:sz w:val="24"/>
          <w:szCs w:val="24"/>
        </w:rPr>
        <w:t>Defense</w:t>
      </w:r>
      <w:r w:rsidR="00AC53BA" w:rsidRPr="005E142B">
        <w:rPr>
          <w:i/>
          <w:sz w:val="24"/>
          <w:szCs w:val="24"/>
        </w:rPr>
        <w:t xml:space="preserve"> Review </w:t>
      </w:r>
      <w:r w:rsidR="00AC53BA" w:rsidRPr="005E142B">
        <w:rPr>
          <w:sz w:val="24"/>
          <w:szCs w:val="24"/>
        </w:rPr>
        <w:t>(QDR), released in May 1997.</w:t>
      </w:r>
      <w:r w:rsidR="00AC53BA" w:rsidRPr="005E142B">
        <w:rPr>
          <w:rStyle w:val="FootnoteReference"/>
          <w:sz w:val="24"/>
          <w:szCs w:val="24"/>
        </w:rPr>
        <w:footnoteReference w:id="78"/>
      </w:r>
      <w:r w:rsidR="00AC53BA" w:rsidRPr="005E142B">
        <w:rPr>
          <w:sz w:val="24"/>
          <w:szCs w:val="24"/>
        </w:rPr>
        <w:t xml:space="preserve"> </w:t>
      </w:r>
      <w:r w:rsidR="00F32496">
        <w:rPr>
          <w:sz w:val="24"/>
          <w:szCs w:val="24"/>
        </w:rPr>
        <w:t xml:space="preserve">The </w:t>
      </w:r>
      <w:r w:rsidR="00F32496">
        <w:rPr>
          <w:i/>
          <w:sz w:val="24"/>
          <w:szCs w:val="24"/>
        </w:rPr>
        <w:t xml:space="preserve">Military Force Structure Review Act </w:t>
      </w:r>
      <w:r w:rsidR="001D2DB6">
        <w:rPr>
          <w:sz w:val="24"/>
          <w:szCs w:val="24"/>
        </w:rPr>
        <w:t>of 1996</w:t>
      </w:r>
      <w:r w:rsidR="00AC53BA" w:rsidRPr="005E142B">
        <w:rPr>
          <w:sz w:val="24"/>
          <w:szCs w:val="24"/>
        </w:rPr>
        <w:t xml:space="preserve"> directed it to incorporate existing assumptions about America’s </w:t>
      </w:r>
      <w:r w:rsidR="00C61E5E">
        <w:rPr>
          <w:sz w:val="24"/>
          <w:szCs w:val="24"/>
        </w:rPr>
        <w:t xml:space="preserve">forward-deployed </w:t>
      </w:r>
      <w:r w:rsidR="00AC53BA">
        <w:rPr>
          <w:sz w:val="24"/>
          <w:szCs w:val="24"/>
        </w:rPr>
        <w:t>defense</w:t>
      </w:r>
      <w:r w:rsidR="00AC53BA" w:rsidRPr="005E142B">
        <w:rPr>
          <w:sz w:val="24"/>
          <w:szCs w:val="24"/>
        </w:rPr>
        <w:t xml:space="preserve"> posture.</w:t>
      </w:r>
      <w:r w:rsidR="00C61E5E">
        <w:rPr>
          <w:rStyle w:val="FootnoteReference"/>
          <w:sz w:val="24"/>
          <w:szCs w:val="24"/>
        </w:rPr>
        <w:footnoteReference w:id="79"/>
      </w:r>
      <w:r w:rsidR="00AC53BA" w:rsidRPr="005E142B">
        <w:rPr>
          <w:sz w:val="24"/>
          <w:szCs w:val="24"/>
        </w:rPr>
        <w:t xml:space="preserve"> The QDR process did not reassess America’s alliances, its military force structure, its forward deployed prepositioning or its state of readiness, the </w:t>
      </w:r>
      <w:r w:rsidR="00AC53BA" w:rsidRPr="005E142B">
        <w:rPr>
          <w:sz w:val="24"/>
          <w:szCs w:val="24"/>
        </w:rPr>
        <w:lastRenderedPageBreak/>
        <w:t xml:space="preserve">two-war standard or its underlying logic that the US should be able to intervene anywhere in the world at short notice. It attracted debate only about the balance between technology and mass and the types of adversaries that should be prioritised. A senior </w:t>
      </w:r>
      <w:r w:rsidR="00AC53BA">
        <w:rPr>
          <w:sz w:val="24"/>
          <w:szCs w:val="24"/>
        </w:rPr>
        <w:t>defense</w:t>
      </w:r>
      <w:r w:rsidR="00AC53BA" w:rsidRPr="005E142B">
        <w:rPr>
          <w:sz w:val="24"/>
          <w:szCs w:val="24"/>
        </w:rPr>
        <w:t xml:space="preserve"> official rationalised why America’s Cold War posture continued: </w:t>
      </w:r>
      <w:r w:rsidR="0077004D">
        <w:rPr>
          <w:sz w:val="24"/>
          <w:szCs w:val="24"/>
        </w:rPr>
        <w:t>“</w:t>
      </w:r>
      <w:r w:rsidR="00AC53BA" w:rsidRPr="005E142B">
        <w:rPr>
          <w:sz w:val="24"/>
          <w:szCs w:val="24"/>
        </w:rPr>
        <w:t>we haven't changed much because much wasn't needed.</w:t>
      </w:r>
      <w:r w:rsidR="0077004D">
        <w:rPr>
          <w:sz w:val="24"/>
          <w:szCs w:val="24"/>
        </w:rPr>
        <w:t>”</w:t>
      </w:r>
      <w:r w:rsidR="00AC53BA" w:rsidRPr="005E142B">
        <w:rPr>
          <w:rStyle w:val="FootnoteReference"/>
          <w:sz w:val="24"/>
          <w:szCs w:val="24"/>
        </w:rPr>
        <w:footnoteReference w:id="80"/>
      </w:r>
      <w:r w:rsidR="00AC53BA" w:rsidRPr="005E142B">
        <w:rPr>
          <w:sz w:val="24"/>
          <w:szCs w:val="24"/>
        </w:rPr>
        <w:t xml:space="preserve"> QDR recapitulated America’s role </w:t>
      </w:r>
      <w:r w:rsidR="0077004D">
        <w:rPr>
          <w:sz w:val="24"/>
          <w:szCs w:val="24"/>
        </w:rPr>
        <w:t>“</w:t>
      </w:r>
      <w:r w:rsidR="00AC53BA" w:rsidRPr="005E142B">
        <w:rPr>
          <w:sz w:val="24"/>
          <w:szCs w:val="24"/>
        </w:rPr>
        <w:t>as the security partner of choice</w:t>
      </w:r>
      <w:r w:rsidR="0077004D">
        <w:rPr>
          <w:sz w:val="24"/>
          <w:szCs w:val="24"/>
        </w:rPr>
        <w:t>”</w:t>
      </w:r>
      <w:r w:rsidR="00AC53BA" w:rsidRPr="005E142B">
        <w:rPr>
          <w:sz w:val="24"/>
          <w:szCs w:val="24"/>
        </w:rPr>
        <w:t xml:space="preserve">, and </w:t>
      </w:r>
      <w:r w:rsidR="0077004D">
        <w:rPr>
          <w:sz w:val="24"/>
          <w:szCs w:val="24"/>
        </w:rPr>
        <w:t>“</w:t>
      </w:r>
      <w:r w:rsidR="00AC53BA" w:rsidRPr="005E142B">
        <w:rPr>
          <w:sz w:val="24"/>
          <w:szCs w:val="24"/>
        </w:rPr>
        <w:t>leader of the international community,</w:t>
      </w:r>
      <w:r w:rsidR="0077004D">
        <w:rPr>
          <w:sz w:val="24"/>
          <w:szCs w:val="24"/>
        </w:rPr>
        <w:t>”</w:t>
      </w:r>
      <w:r w:rsidR="00AC53BA" w:rsidRPr="005E142B">
        <w:rPr>
          <w:sz w:val="24"/>
          <w:szCs w:val="24"/>
        </w:rPr>
        <w:t xml:space="preserve"> based upon deterrence, reassurance, and traditional alliances. Abandoning it would tempt adversaries’ to pounce, causing </w:t>
      </w:r>
      <w:r w:rsidR="0077004D">
        <w:rPr>
          <w:sz w:val="24"/>
          <w:szCs w:val="24"/>
        </w:rPr>
        <w:t>“</w:t>
      </w:r>
      <w:r w:rsidR="00AC53BA" w:rsidRPr="005E142B">
        <w:rPr>
          <w:sz w:val="24"/>
          <w:szCs w:val="24"/>
        </w:rPr>
        <w:t xml:space="preserve">allies and friends to adopt more divergent </w:t>
      </w:r>
      <w:r w:rsidR="00AC53BA">
        <w:rPr>
          <w:sz w:val="24"/>
          <w:szCs w:val="24"/>
        </w:rPr>
        <w:t>defense</w:t>
      </w:r>
      <w:r w:rsidR="00AC53BA" w:rsidRPr="005E142B">
        <w:rPr>
          <w:sz w:val="24"/>
          <w:szCs w:val="24"/>
        </w:rPr>
        <w:t xml:space="preserve"> policies and postures</w:t>
      </w:r>
      <w:r w:rsidR="0077004D">
        <w:rPr>
          <w:sz w:val="24"/>
          <w:szCs w:val="24"/>
        </w:rPr>
        <w:t>”</w:t>
      </w:r>
      <w:r w:rsidR="00AC53BA" w:rsidRPr="005E142B">
        <w:rPr>
          <w:sz w:val="24"/>
          <w:szCs w:val="24"/>
        </w:rPr>
        <w:t>, weakening America’s web of alliances and coalitions.</w:t>
      </w:r>
      <w:r w:rsidR="00AC53BA" w:rsidRPr="005E142B">
        <w:rPr>
          <w:rStyle w:val="FootnoteReference"/>
          <w:sz w:val="24"/>
          <w:szCs w:val="24"/>
        </w:rPr>
        <w:footnoteReference w:id="81"/>
      </w:r>
      <w:r w:rsidR="00AC53BA" w:rsidRPr="005E142B">
        <w:rPr>
          <w:sz w:val="24"/>
          <w:szCs w:val="24"/>
        </w:rPr>
        <w:t xml:space="preserve"> </w:t>
      </w:r>
      <w:r w:rsidR="009350D9">
        <w:rPr>
          <w:sz w:val="24"/>
          <w:szCs w:val="24"/>
        </w:rPr>
        <w:t xml:space="preserve">Therefore under Clinton, the U.S. maintained the traditional logic of primacy, providing security to limit the need of others to secure themselves, to avert spirals of </w:t>
      </w:r>
      <w:r w:rsidR="0077004D">
        <w:rPr>
          <w:sz w:val="24"/>
          <w:szCs w:val="24"/>
        </w:rPr>
        <w:t>mutual alarm</w:t>
      </w:r>
      <w:r w:rsidR="009350D9">
        <w:rPr>
          <w:sz w:val="24"/>
          <w:szCs w:val="24"/>
        </w:rPr>
        <w:t>.</w:t>
      </w:r>
    </w:p>
    <w:p w:rsidR="00EB32B4" w:rsidRDefault="00EB32B4" w:rsidP="00AC53BA">
      <w:pPr>
        <w:spacing w:after="0" w:line="480" w:lineRule="auto"/>
        <w:jc w:val="both"/>
        <w:rPr>
          <w:sz w:val="24"/>
          <w:szCs w:val="24"/>
        </w:rPr>
      </w:pPr>
    </w:p>
    <w:p w:rsidR="00DC6BE8" w:rsidRDefault="005959CE" w:rsidP="005959CE">
      <w:pPr>
        <w:spacing w:after="0" w:line="480" w:lineRule="auto"/>
        <w:jc w:val="both"/>
        <w:rPr>
          <w:sz w:val="24"/>
          <w:szCs w:val="24"/>
        </w:rPr>
      </w:pPr>
      <w:r>
        <w:rPr>
          <w:sz w:val="24"/>
          <w:szCs w:val="24"/>
        </w:rPr>
        <w:tab/>
        <w:t xml:space="preserve">As well as </w:t>
      </w:r>
      <w:r w:rsidR="00D0471F">
        <w:rPr>
          <w:sz w:val="24"/>
          <w:szCs w:val="24"/>
        </w:rPr>
        <w:t>deciding to remain</w:t>
      </w:r>
      <w:r>
        <w:rPr>
          <w:sz w:val="24"/>
          <w:szCs w:val="24"/>
        </w:rPr>
        <w:t xml:space="preserve"> militarily preponderant, </w:t>
      </w:r>
      <w:r w:rsidR="00D0471F">
        <w:rPr>
          <w:sz w:val="24"/>
          <w:szCs w:val="24"/>
        </w:rPr>
        <w:t>t</w:t>
      </w:r>
      <w:r w:rsidRPr="005E142B">
        <w:rPr>
          <w:sz w:val="24"/>
          <w:szCs w:val="24"/>
        </w:rPr>
        <w:t xml:space="preserve">he Clinton administration in 1993 was confronted with a second issue of grand strategic magnitude. </w:t>
      </w:r>
      <w:r w:rsidR="00FC19F4">
        <w:rPr>
          <w:sz w:val="24"/>
          <w:szCs w:val="24"/>
        </w:rPr>
        <w:t xml:space="preserve"> Should America remain a European </w:t>
      </w:r>
      <w:r w:rsidR="0032678E">
        <w:rPr>
          <w:sz w:val="24"/>
          <w:szCs w:val="24"/>
        </w:rPr>
        <w:t>hegemon</w:t>
      </w:r>
      <w:r w:rsidR="00FC19F4">
        <w:rPr>
          <w:sz w:val="24"/>
          <w:szCs w:val="24"/>
        </w:rPr>
        <w:t>, the security provider in one of the world’s power centers? And w</w:t>
      </w:r>
      <w:r w:rsidRPr="005E142B">
        <w:rPr>
          <w:sz w:val="24"/>
          <w:szCs w:val="24"/>
        </w:rPr>
        <w:t>hat to do with NATO, its Atlantic alliance system?</w:t>
      </w:r>
      <w:r w:rsidRPr="005E142B">
        <w:rPr>
          <w:rStyle w:val="FootnoteReference"/>
          <w:sz w:val="24"/>
          <w:szCs w:val="24"/>
        </w:rPr>
        <w:footnoteReference w:id="82"/>
      </w:r>
      <w:r w:rsidRPr="005E142B">
        <w:rPr>
          <w:sz w:val="24"/>
          <w:szCs w:val="24"/>
        </w:rPr>
        <w:t xml:space="preserve"> </w:t>
      </w:r>
      <w:r w:rsidR="00F364CD">
        <w:rPr>
          <w:sz w:val="24"/>
          <w:szCs w:val="24"/>
        </w:rPr>
        <w:t>The Clinton administration enlarged NATO,</w:t>
      </w:r>
      <w:r w:rsidR="006871C9" w:rsidRPr="006871C9">
        <w:rPr>
          <w:sz w:val="24"/>
          <w:szCs w:val="24"/>
        </w:rPr>
        <w:t xml:space="preserve"> </w:t>
      </w:r>
      <w:r w:rsidR="006871C9">
        <w:rPr>
          <w:sz w:val="24"/>
          <w:szCs w:val="24"/>
        </w:rPr>
        <w:t>i</w:t>
      </w:r>
      <w:r w:rsidR="006871C9" w:rsidRPr="005E142B">
        <w:rPr>
          <w:sz w:val="24"/>
          <w:szCs w:val="24"/>
        </w:rPr>
        <w:t xml:space="preserve">n January 1994, </w:t>
      </w:r>
      <w:r w:rsidR="006871C9">
        <w:rPr>
          <w:sz w:val="24"/>
          <w:szCs w:val="24"/>
        </w:rPr>
        <w:t>announcing that</w:t>
      </w:r>
      <w:r w:rsidR="006871C9" w:rsidRPr="005E142B">
        <w:rPr>
          <w:sz w:val="24"/>
          <w:szCs w:val="24"/>
        </w:rPr>
        <w:t xml:space="preserve"> </w:t>
      </w:r>
      <w:r w:rsidR="006871C9">
        <w:rPr>
          <w:sz w:val="24"/>
          <w:szCs w:val="24"/>
        </w:rPr>
        <w:t>it</w:t>
      </w:r>
      <w:r w:rsidR="006871C9" w:rsidRPr="005E142B">
        <w:rPr>
          <w:sz w:val="24"/>
          <w:szCs w:val="24"/>
        </w:rPr>
        <w:t xml:space="preserve"> would include former Soviet satellite states Poland, Hungary and the Czech Republic.</w:t>
      </w:r>
      <w:r w:rsidR="00DC6BE8">
        <w:rPr>
          <w:sz w:val="24"/>
          <w:szCs w:val="24"/>
        </w:rPr>
        <w:t xml:space="preserve"> This</w:t>
      </w:r>
      <w:r w:rsidR="00DC6BE8" w:rsidRPr="005E142B">
        <w:rPr>
          <w:sz w:val="24"/>
          <w:szCs w:val="24"/>
        </w:rPr>
        <w:t xml:space="preserve"> was a weighty choice. </w:t>
      </w:r>
      <w:r w:rsidR="00DC6BE8">
        <w:rPr>
          <w:sz w:val="24"/>
          <w:szCs w:val="24"/>
        </w:rPr>
        <w:t>NATO enlargement</w:t>
      </w:r>
      <w:r w:rsidR="00DC6BE8" w:rsidRPr="005E142B">
        <w:rPr>
          <w:sz w:val="24"/>
          <w:szCs w:val="24"/>
        </w:rPr>
        <w:t xml:space="preserve"> marked the most significant expansion of trans-Atlantic security commitments in Europe for decades, extending eastwards America’s nuclear umbrella and the Article 5 guarantee to new states that were once </w:t>
      </w:r>
      <w:r w:rsidR="00DC6BE8" w:rsidRPr="005E142B">
        <w:rPr>
          <w:sz w:val="24"/>
          <w:szCs w:val="24"/>
        </w:rPr>
        <w:lastRenderedPageBreak/>
        <w:t>in the Soviet orbit. Clinton would go to war in the Balkans in the name of preserving NATO’s credibility.</w:t>
      </w:r>
      <w:r w:rsidR="00DC6BE8" w:rsidRPr="005E142B">
        <w:rPr>
          <w:rStyle w:val="FootnoteReference"/>
          <w:sz w:val="24"/>
          <w:szCs w:val="24"/>
        </w:rPr>
        <w:footnoteReference w:id="83"/>
      </w:r>
    </w:p>
    <w:p w:rsidR="00DC6BE8" w:rsidRDefault="00DC6BE8" w:rsidP="005959CE">
      <w:pPr>
        <w:spacing w:after="0" w:line="480" w:lineRule="auto"/>
        <w:jc w:val="both"/>
        <w:rPr>
          <w:sz w:val="24"/>
          <w:szCs w:val="24"/>
        </w:rPr>
      </w:pPr>
    </w:p>
    <w:p w:rsidR="00FC19F4" w:rsidRPr="00F364CD" w:rsidRDefault="00DC6BE8" w:rsidP="00DC6BE8">
      <w:pPr>
        <w:spacing w:after="0" w:line="480" w:lineRule="auto"/>
        <w:ind w:firstLine="720"/>
        <w:jc w:val="both"/>
        <w:rPr>
          <w:sz w:val="24"/>
          <w:szCs w:val="24"/>
        </w:rPr>
      </w:pPr>
      <w:r>
        <w:rPr>
          <w:sz w:val="24"/>
          <w:szCs w:val="24"/>
        </w:rPr>
        <w:t>NATO enlargement, on one level, represented a significant change. It</w:t>
      </w:r>
      <w:r w:rsidR="00F364CD">
        <w:rPr>
          <w:sz w:val="24"/>
          <w:szCs w:val="24"/>
        </w:rPr>
        <w:t xml:space="preserve"> was controversial </w:t>
      </w:r>
      <w:r>
        <w:rPr>
          <w:sz w:val="24"/>
          <w:szCs w:val="24"/>
        </w:rPr>
        <w:t xml:space="preserve">with regards to the </w:t>
      </w:r>
      <w:r w:rsidR="00913461">
        <w:rPr>
          <w:sz w:val="24"/>
          <w:szCs w:val="24"/>
        </w:rPr>
        <w:t>shape and extent</w:t>
      </w:r>
      <w:r>
        <w:rPr>
          <w:sz w:val="24"/>
          <w:szCs w:val="24"/>
        </w:rPr>
        <w:t xml:space="preserve"> of the alliance. But the change was justified as the continuation of previous wise policies. Above all, i</w:t>
      </w:r>
      <w:r w:rsidR="0032678E">
        <w:rPr>
          <w:sz w:val="24"/>
          <w:szCs w:val="24"/>
        </w:rPr>
        <w:t>t</w:t>
      </w:r>
      <w:r w:rsidR="00F364CD">
        <w:rPr>
          <w:sz w:val="24"/>
          <w:szCs w:val="24"/>
        </w:rPr>
        <w:t xml:space="preserve"> was an alteration </w:t>
      </w:r>
      <w:r w:rsidR="00F364CD">
        <w:rPr>
          <w:i/>
          <w:sz w:val="24"/>
          <w:szCs w:val="24"/>
        </w:rPr>
        <w:t>within</w:t>
      </w:r>
      <w:r w:rsidR="00F364CD">
        <w:rPr>
          <w:sz w:val="24"/>
          <w:szCs w:val="24"/>
        </w:rPr>
        <w:t xml:space="preserve"> the grand strategy of primacy</w:t>
      </w:r>
      <w:r w:rsidR="006871C9">
        <w:rPr>
          <w:sz w:val="24"/>
          <w:szCs w:val="24"/>
        </w:rPr>
        <w:t>, to adapt primacy to a post-containment era</w:t>
      </w:r>
      <w:r w:rsidR="00F364CD">
        <w:rPr>
          <w:sz w:val="24"/>
          <w:szCs w:val="24"/>
        </w:rPr>
        <w:t>.</w:t>
      </w:r>
      <w:r w:rsidR="00F364CD" w:rsidRPr="00F364CD">
        <w:rPr>
          <w:sz w:val="24"/>
          <w:szCs w:val="24"/>
        </w:rPr>
        <w:t xml:space="preserve"> </w:t>
      </w:r>
      <w:r w:rsidR="00913461">
        <w:rPr>
          <w:sz w:val="24"/>
          <w:szCs w:val="24"/>
        </w:rPr>
        <w:t>Throughout,</w:t>
      </w:r>
      <w:r w:rsidR="00F364CD" w:rsidRPr="005E142B">
        <w:rPr>
          <w:sz w:val="24"/>
          <w:szCs w:val="24"/>
        </w:rPr>
        <w:t xml:space="preserve"> debate focussed on how, not whether, to remain a preponderant European power.</w:t>
      </w:r>
    </w:p>
    <w:p w:rsidR="00FC19F4" w:rsidRDefault="00FC19F4" w:rsidP="005959CE">
      <w:pPr>
        <w:spacing w:after="0" w:line="480" w:lineRule="auto"/>
        <w:jc w:val="both"/>
        <w:rPr>
          <w:sz w:val="24"/>
          <w:szCs w:val="24"/>
        </w:rPr>
      </w:pPr>
    </w:p>
    <w:p w:rsidR="0032678E" w:rsidRDefault="005959CE" w:rsidP="00F364CD">
      <w:pPr>
        <w:spacing w:after="0" w:line="480" w:lineRule="auto"/>
        <w:ind w:firstLine="720"/>
        <w:jc w:val="both"/>
        <w:rPr>
          <w:sz w:val="24"/>
          <w:szCs w:val="24"/>
        </w:rPr>
      </w:pPr>
      <w:r w:rsidRPr="005E142B">
        <w:rPr>
          <w:sz w:val="24"/>
          <w:szCs w:val="24"/>
        </w:rPr>
        <w:t xml:space="preserve">The </w:t>
      </w:r>
      <w:r w:rsidR="0032678E">
        <w:rPr>
          <w:sz w:val="24"/>
          <w:szCs w:val="24"/>
        </w:rPr>
        <w:t xml:space="preserve">NATO </w:t>
      </w:r>
      <w:r w:rsidR="0077004D">
        <w:rPr>
          <w:sz w:val="24"/>
          <w:szCs w:val="24"/>
        </w:rPr>
        <w:t>issue divided the “blob.”</w:t>
      </w:r>
      <w:r w:rsidRPr="005E142B">
        <w:rPr>
          <w:sz w:val="24"/>
          <w:szCs w:val="24"/>
        </w:rPr>
        <w:t xml:space="preserve"> Some </w:t>
      </w:r>
      <w:r w:rsidR="0032678E">
        <w:rPr>
          <w:sz w:val="24"/>
          <w:szCs w:val="24"/>
        </w:rPr>
        <w:t>opposed enlargement</w:t>
      </w:r>
      <w:r w:rsidRPr="005E142B">
        <w:rPr>
          <w:sz w:val="24"/>
          <w:szCs w:val="24"/>
        </w:rPr>
        <w:t>,</w:t>
      </w:r>
      <w:r w:rsidR="000106CF">
        <w:rPr>
          <w:sz w:val="24"/>
          <w:szCs w:val="24"/>
        </w:rPr>
        <w:t xml:space="preserve"> urging Clinton</w:t>
      </w:r>
      <w:r w:rsidRPr="005E142B">
        <w:rPr>
          <w:sz w:val="24"/>
          <w:szCs w:val="24"/>
        </w:rPr>
        <w:t xml:space="preserve"> to resist the appeals of aspiring members and keep </w:t>
      </w:r>
      <w:r w:rsidR="0032678E">
        <w:rPr>
          <w:sz w:val="24"/>
          <w:szCs w:val="24"/>
        </w:rPr>
        <w:t>America’s</w:t>
      </w:r>
      <w:r w:rsidRPr="005E142B">
        <w:rPr>
          <w:sz w:val="24"/>
          <w:szCs w:val="24"/>
        </w:rPr>
        <w:t xml:space="preserve"> distance from Russia. Others favoured expansion, to ensure an imbalance</w:t>
      </w:r>
      <w:r w:rsidR="000106CF">
        <w:rPr>
          <w:sz w:val="24"/>
          <w:szCs w:val="24"/>
        </w:rPr>
        <w:t xml:space="preserve"> of power</w:t>
      </w:r>
      <w:r w:rsidRPr="005E142B">
        <w:rPr>
          <w:sz w:val="24"/>
          <w:szCs w:val="24"/>
        </w:rPr>
        <w:t xml:space="preserve"> in Washington’s favour. But they united around a simple assumption</w:t>
      </w:r>
      <w:r w:rsidR="0032678E">
        <w:rPr>
          <w:sz w:val="24"/>
          <w:szCs w:val="24"/>
        </w:rPr>
        <w:t>. They assumed that,</w:t>
      </w:r>
      <w:r w:rsidRPr="005E142B">
        <w:rPr>
          <w:sz w:val="24"/>
          <w:szCs w:val="24"/>
        </w:rPr>
        <w:t xml:space="preserve"> given Europe was a potentially dangerous vacuum, America </w:t>
      </w:r>
      <w:r w:rsidR="0032678E">
        <w:rPr>
          <w:sz w:val="24"/>
          <w:szCs w:val="24"/>
        </w:rPr>
        <w:t>obviously</w:t>
      </w:r>
      <w:r w:rsidRPr="005E142B">
        <w:rPr>
          <w:sz w:val="24"/>
          <w:szCs w:val="24"/>
        </w:rPr>
        <w:t xml:space="preserve"> should continue to maintain a geopolitical footprint there, to preserve a favourable c</w:t>
      </w:r>
      <w:r w:rsidR="0077004D">
        <w:rPr>
          <w:sz w:val="24"/>
          <w:szCs w:val="24"/>
        </w:rPr>
        <w:t>ontinental balance that was an “</w:t>
      </w:r>
      <w:r w:rsidRPr="005E142B">
        <w:rPr>
          <w:sz w:val="24"/>
          <w:szCs w:val="24"/>
        </w:rPr>
        <w:t>essentia</w:t>
      </w:r>
      <w:r w:rsidR="0077004D">
        <w:rPr>
          <w:sz w:val="24"/>
          <w:szCs w:val="24"/>
        </w:rPr>
        <w:t>l”</w:t>
      </w:r>
      <w:r w:rsidRPr="005E142B">
        <w:rPr>
          <w:sz w:val="24"/>
          <w:szCs w:val="24"/>
        </w:rPr>
        <w:t xml:space="preserve"> national security interest.</w:t>
      </w:r>
      <w:r w:rsidRPr="005E142B">
        <w:rPr>
          <w:rStyle w:val="FootnoteReference"/>
          <w:sz w:val="24"/>
          <w:szCs w:val="24"/>
        </w:rPr>
        <w:footnoteReference w:id="84"/>
      </w:r>
      <w:r w:rsidRPr="005E142B">
        <w:rPr>
          <w:sz w:val="24"/>
          <w:szCs w:val="24"/>
        </w:rPr>
        <w:t xml:space="preserve"> Other possible choices were either hardly considered, such as the option to withdraw and liquidate the alliance, or were quickly dismissed, such as the creation of a new, pan-European security architecture. Even opponents of enlargement took the European commitment as a given. </w:t>
      </w:r>
    </w:p>
    <w:p w:rsidR="0032678E" w:rsidRDefault="0032678E" w:rsidP="00F364CD">
      <w:pPr>
        <w:spacing w:after="0" w:line="480" w:lineRule="auto"/>
        <w:ind w:firstLine="720"/>
        <w:jc w:val="both"/>
        <w:rPr>
          <w:sz w:val="24"/>
          <w:szCs w:val="24"/>
        </w:rPr>
      </w:pPr>
    </w:p>
    <w:p w:rsidR="005959CE" w:rsidRPr="005E142B" w:rsidRDefault="000106CF" w:rsidP="0032678E">
      <w:pPr>
        <w:spacing w:after="0" w:line="480" w:lineRule="auto"/>
        <w:ind w:firstLine="720"/>
        <w:jc w:val="both"/>
        <w:rPr>
          <w:sz w:val="24"/>
          <w:szCs w:val="24"/>
        </w:rPr>
      </w:pPr>
      <w:r w:rsidRPr="005E142B">
        <w:rPr>
          <w:sz w:val="24"/>
          <w:szCs w:val="24"/>
        </w:rPr>
        <w:t xml:space="preserve">When Clinton came to office, the question of whether to remain a European power was already settled. </w:t>
      </w:r>
      <w:r w:rsidR="005959CE" w:rsidRPr="005E142B">
        <w:rPr>
          <w:sz w:val="24"/>
          <w:szCs w:val="24"/>
        </w:rPr>
        <w:t>Clinton inherited a general direction about America’s European commitments from the Bush I administration (1989-1993). In line with the traditional logic of pursuing pre-</w:t>
      </w:r>
      <w:r w:rsidR="005959CE" w:rsidRPr="005E142B">
        <w:rPr>
          <w:sz w:val="24"/>
          <w:szCs w:val="24"/>
        </w:rPr>
        <w:lastRenderedPageBreak/>
        <w:t>eminence in Europe, President Bush responded to the collapse of Soviet power by retaining NATO, overseeing its absorption of a reunified Germany, and negotiating the withdrawal of Soviet forces.</w:t>
      </w:r>
      <w:r w:rsidR="005959CE" w:rsidRPr="005E142B">
        <w:rPr>
          <w:rStyle w:val="FootnoteReference"/>
          <w:sz w:val="24"/>
          <w:szCs w:val="24"/>
        </w:rPr>
        <w:footnoteReference w:id="85"/>
      </w:r>
      <w:r w:rsidR="005959CE" w:rsidRPr="005E142B">
        <w:rPr>
          <w:sz w:val="24"/>
          <w:szCs w:val="24"/>
        </w:rPr>
        <w:t xml:space="preserve"> As</w:t>
      </w:r>
      <w:r w:rsidR="0077004D">
        <w:rPr>
          <w:sz w:val="24"/>
          <w:szCs w:val="24"/>
        </w:rPr>
        <w:t xml:space="preserve"> Bush officials affirmed, NATO “must”</w:t>
      </w:r>
      <w:r w:rsidR="005959CE" w:rsidRPr="005E142B">
        <w:rPr>
          <w:sz w:val="24"/>
          <w:szCs w:val="24"/>
        </w:rPr>
        <w:t xml:space="preserve"> be the vehicle for their role as a player within European security, and the US would remain a continental stabiliser.</w:t>
      </w:r>
      <w:r w:rsidR="005959CE" w:rsidRPr="005E142B">
        <w:rPr>
          <w:rStyle w:val="FootnoteReference"/>
          <w:sz w:val="24"/>
          <w:szCs w:val="24"/>
        </w:rPr>
        <w:footnoteReference w:id="86"/>
      </w:r>
      <w:r w:rsidR="005959CE" w:rsidRPr="005E142B">
        <w:rPr>
          <w:sz w:val="24"/>
          <w:szCs w:val="24"/>
        </w:rPr>
        <w:t xml:space="preserve"> This would give Washington a free hand to decide on NATO enlargement, an issue that by October 1990 was under discussion.</w:t>
      </w:r>
      <w:r w:rsidR="005959CE" w:rsidRPr="005E142B">
        <w:rPr>
          <w:rStyle w:val="FootnoteReference"/>
          <w:sz w:val="24"/>
          <w:szCs w:val="24"/>
        </w:rPr>
        <w:footnoteReference w:id="87"/>
      </w:r>
      <w:r w:rsidR="005959CE" w:rsidRPr="005E142B">
        <w:rPr>
          <w:sz w:val="24"/>
          <w:szCs w:val="24"/>
        </w:rPr>
        <w:t xml:space="preserve"> </w:t>
      </w:r>
    </w:p>
    <w:p w:rsidR="0032678E" w:rsidRDefault="0032678E" w:rsidP="00AC53BA">
      <w:pPr>
        <w:spacing w:after="0" w:line="480" w:lineRule="auto"/>
        <w:jc w:val="both"/>
        <w:rPr>
          <w:sz w:val="24"/>
          <w:szCs w:val="24"/>
        </w:rPr>
      </w:pPr>
    </w:p>
    <w:p w:rsidR="00AC53BA" w:rsidRPr="00AC53BA" w:rsidRDefault="00AC53BA" w:rsidP="00AC53BA">
      <w:pPr>
        <w:spacing w:after="0" w:line="480" w:lineRule="auto"/>
        <w:jc w:val="both"/>
        <w:rPr>
          <w:b/>
          <w:sz w:val="24"/>
          <w:szCs w:val="24"/>
        </w:rPr>
      </w:pPr>
      <w:r>
        <w:rPr>
          <w:b/>
          <w:sz w:val="24"/>
          <w:szCs w:val="24"/>
        </w:rPr>
        <w:t xml:space="preserve">How </w:t>
      </w:r>
      <w:r w:rsidR="005959CE">
        <w:rPr>
          <w:b/>
          <w:sz w:val="24"/>
          <w:szCs w:val="24"/>
        </w:rPr>
        <w:t xml:space="preserve">the </w:t>
      </w:r>
      <w:r w:rsidR="00896572">
        <w:rPr>
          <w:b/>
          <w:sz w:val="24"/>
          <w:szCs w:val="24"/>
        </w:rPr>
        <w:t>“B</w:t>
      </w:r>
      <w:r w:rsidR="008E3104">
        <w:rPr>
          <w:b/>
          <w:sz w:val="24"/>
          <w:szCs w:val="24"/>
        </w:rPr>
        <w:t>lob”</w:t>
      </w:r>
      <w:r>
        <w:rPr>
          <w:b/>
          <w:sz w:val="24"/>
          <w:szCs w:val="24"/>
        </w:rPr>
        <w:t xml:space="preserve"> prevented Change</w:t>
      </w:r>
    </w:p>
    <w:p w:rsidR="00AC53BA" w:rsidRDefault="003871E0" w:rsidP="00AC53BA">
      <w:pPr>
        <w:spacing w:after="0" w:line="480" w:lineRule="auto"/>
        <w:jc w:val="both"/>
        <w:rPr>
          <w:sz w:val="24"/>
          <w:szCs w:val="24"/>
        </w:rPr>
      </w:pPr>
      <w:r>
        <w:rPr>
          <w:sz w:val="24"/>
          <w:szCs w:val="24"/>
        </w:rPr>
        <w:t xml:space="preserve">In the Clinton era, the foreign policy establishment </w:t>
      </w:r>
      <w:r w:rsidR="0075701E">
        <w:rPr>
          <w:sz w:val="24"/>
          <w:szCs w:val="24"/>
        </w:rPr>
        <w:t>(</w:t>
      </w:r>
      <w:r>
        <w:rPr>
          <w:sz w:val="24"/>
          <w:szCs w:val="24"/>
        </w:rPr>
        <w:t xml:space="preserve">and </w:t>
      </w:r>
      <w:r w:rsidR="0075701E">
        <w:rPr>
          <w:sz w:val="24"/>
          <w:szCs w:val="24"/>
        </w:rPr>
        <w:t>the assumptions it perpetuated)</w:t>
      </w:r>
      <w:r>
        <w:rPr>
          <w:sz w:val="24"/>
          <w:szCs w:val="24"/>
        </w:rPr>
        <w:t xml:space="preserve"> played a </w:t>
      </w:r>
      <w:r w:rsidR="0075701E">
        <w:rPr>
          <w:sz w:val="24"/>
          <w:szCs w:val="24"/>
        </w:rPr>
        <w:t>decisive</w:t>
      </w:r>
      <w:r>
        <w:rPr>
          <w:sz w:val="24"/>
          <w:szCs w:val="24"/>
        </w:rPr>
        <w:t xml:space="preserve"> role in ensuring that U.S. grand strategy did not change. </w:t>
      </w:r>
    </w:p>
    <w:p w:rsidR="003871E0" w:rsidRPr="005E142B" w:rsidRDefault="003871E0" w:rsidP="00AC53BA">
      <w:pPr>
        <w:spacing w:after="0" w:line="480" w:lineRule="auto"/>
        <w:jc w:val="both"/>
        <w:rPr>
          <w:sz w:val="24"/>
          <w:szCs w:val="24"/>
        </w:rPr>
      </w:pPr>
    </w:p>
    <w:p w:rsidR="00724C9F" w:rsidRPr="005E142B" w:rsidRDefault="00194D78" w:rsidP="00831045">
      <w:pPr>
        <w:spacing w:after="0" w:line="480" w:lineRule="auto"/>
        <w:ind w:firstLine="709"/>
        <w:jc w:val="both"/>
        <w:rPr>
          <w:sz w:val="24"/>
          <w:szCs w:val="24"/>
        </w:rPr>
      </w:pPr>
      <w:r>
        <w:rPr>
          <w:sz w:val="24"/>
          <w:szCs w:val="24"/>
        </w:rPr>
        <w:t>Policy gatekeepers were a source of continuity. One</w:t>
      </w:r>
      <w:r w:rsidR="00724C9F" w:rsidRPr="005E142B">
        <w:rPr>
          <w:sz w:val="24"/>
          <w:szCs w:val="24"/>
        </w:rPr>
        <w:t xml:space="preserve"> establishment gatekeeper who straddled the Bush and Clinton administrations, Chairman of the Joint Chiefs of Staff Colin Powell, had </w:t>
      </w:r>
      <w:r w:rsidR="00755EAF" w:rsidRPr="005E142B">
        <w:rPr>
          <w:sz w:val="24"/>
          <w:szCs w:val="24"/>
        </w:rPr>
        <w:t>strengthened</w:t>
      </w:r>
      <w:r w:rsidR="00B15C2F" w:rsidRPr="005E142B">
        <w:rPr>
          <w:sz w:val="24"/>
          <w:szCs w:val="24"/>
        </w:rPr>
        <w:t xml:space="preserve"> the</w:t>
      </w:r>
      <w:r w:rsidR="00724C9F" w:rsidRPr="005E142B">
        <w:rPr>
          <w:sz w:val="24"/>
          <w:szCs w:val="24"/>
        </w:rPr>
        <w:t xml:space="preserve"> </w:t>
      </w:r>
      <w:r w:rsidR="00755EAF" w:rsidRPr="005E142B">
        <w:rPr>
          <w:sz w:val="24"/>
          <w:szCs w:val="24"/>
        </w:rPr>
        <w:t>consensus behind preponderance</w:t>
      </w:r>
      <w:r w:rsidR="00724C9F" w:rsidRPr="005E142B">
        <w:rPr>
          <w:sz w:val="24"/>
          <w:szCs w:val="24"/>
        </w:rPr>
        <w:t xml:space="preserve">. Powell drew </w:t>
      </w:r>
      <w:r>
        <w:rPr>
          <w:sz w:val="24"/>
          <w:szCs w:val="24"/>
        </w:rPr>
        <w:t>authority from his intimacy with</w:t>
      </w:r>
      <w:r w:rsidR="00724C9F" w:rsidRPr="005E142B">
        <w:rPr>
          <w:sz w:val="24"/>
          <w:szCs w:val="24"/>
        </w:rPr>
        <w:t xml:space="preserve"> Washington, having served as Reagan’s National Security Advisor, his prestige from the victorious Gulf War, and the office of Chair that entitled him to advise the Secretary of </w:t>
      </w:r>
      <w:r w:rsidR="003938A8">
        <w:rPr>
          <w:sz w:val="24"/>
          <w:szCs w:val="24"/>
        </w:rPr>
        <w:t>Defense</w:t>
      </w:r>
      <w:r w:rsidR="00724C9F" w:rsidRPr="005E142B">
        <w:rPr>
          <w:sz w:val="24"/>
          <w:szCs w:val="24"/>
        </w:rPr>
        <w:t xml:space="preserve"> on his own initiative.  While Soviet communism collapsed, Powell agitated aga</w:t>
      </w:r>
      <w:r w:rsidR="0077004D">
        <w:rPr>
          <w:sz w:val="24"/>
          <w:szCs w:val="24"/>
        </w:rPr>
        <w:t>inst the pursuit of a sizeable “peace dividend”</w:t>
      </w:r>
      <w:r w:rsidR="00724C9F" w:rsidRPr="005E142B">
        <w:rPr>
          <w:sz w:val="24"/>
          <w:szCs w:val="24"/>
        </w:rPr>
        <w:t xml:space="preserve">, arguing that </w:t>
      </w:r>
      <w:r w:rsidR="003938A8">
        <w:rPr>
          <w:sz w:val="24"/>
          <w:szCs w:val="24"/>
        </w:rPr>
        <w:t>defense</w:t>
      </w:r>
      <w:r w:rsidR="00724C9F" w:rsidRPr="005E142B">
        <w:rPr>
          <w:sz w:val="24"/>
          <w:szCs w:val="24"/>
        </w:rPr>
        <w:t xml:space="preserve"> planning should be premised not on specific known or potential threats, but on the preservation of </w:t>
      </w:r>
      <w:r>
        <w:rPr>
          <w:sz w:val="24"/>
          <w:szCs w:val="24"/>
        </w:rPr>
        <w:t xml:space="preserve">the U.S.’ </w:t>
      </w:r>
      <w:r w:rsidR="00724C9F" w:rsidRPr="005E142B">
        <w:rPr>
          <w:sz w:val="24"/>
          <w:szCs w:val="24"/>
        </w:rPr>
        <w:t>capability to exercise international responsibilities.</w:t>
      </w:r>
      <w:r w:rsidR="00724C9F" w:rsidRPr="005E142B">
        <w:rPr>
          <w:rStyle w:val="FootnoteReference"/>
          <w:sz w:val="24"/>
          <w:szCs w:val="24"/>
        </w:rPr>
        <w:footnoteReference w:id="88"/>
      </w:r>
      <w:r w:rsidR="00724C9F" w:rsidRPr="005E142B">
        <w:rPr>
          <w:sz w:val="24"/>
          <w:szCs w:val="24"/>
        </w:rPr>
        <w:t xml:space="preserve"> Powell’s </w:t>
      </w:r>
      <w:r w:rsidR="0077004D">
        <w:rPr>
          <w:sz w:val="24"/>
          <w:szCs w:val="24"/>
        </w:rPr>
        <w:t>“National Military Strategy”</w:t>
      </w:r>
      <w:r w:rsidR="00724C9F" w:rsidRPr="005E142B">
        <w:rPr>
          <w:sz w:val="24"/>
          <w:szCs w:val="24"/>
        </w:rPr>
        <w:t xml:space="preserve"> of August 1991 </w:t>
      </w:r>
      <w:r w:rsidR="00724C9F" w:rsidRPr="005E142B">
        <w:rPr>
          <w:sz w:val="24"/>
          <w:szCs w:val="24"/>
        </w:rPr>
        <w:lastRenderedPageBreak/>
        <w:t>interpreted the new security environment as the basis only for a revision of</w:t>
      </w:r>
      <w:r w:rsidR="0077004D">
        <w:rPr>
          <w:sz w:val="24"/>
          <w:szCs w:val="24"/>
        </w:rPr>
        <w:t xml:space="preserve"> “means”</w:t>
      </w:r>
      <w:r w:rsidR="00065C9B" w:rsidRPr="005E142B">
        <w:rPr>
          <w:sz w:val="24"/>
          <w:szCs w:val="24"/>
        </w:rPr>
        <w:t>, to ensure</w:t>
      </w:r>
      <w:r w:rsidR="00724C9F" w:rsidRPr="005E142B">
        <w:rPr>
          <w:sz w:val="24"/>
          <w:szCs w:val="24"/>
        </w:rPr>
        <w:t xml:space="preserve"> America’s </w:t>
      </w:r>
      <w:r w:rsidR="00065C9B" w:rsidRPr="005E142B">
        <w:rPr>
          <w:sz w:val="24"/>
          <w:szCs w:val="24"/>
        </w:rPr>
        <w:t>capacity</w:t>
      </w:r>
      <w:r w:rsidR="0077004D">
        <w:rPr>
          <w:sz w:val="24"/>
          <w:szCs w:val="24"/>
        </w:rPr>
        <w:t xml:space="preserve"> to pursue fixed “ends”</w:t>
      </w:r>
      <w:r w:rsidR="00724C9F" w:rsidRPr="005E142B">
        <w:rPr>
          <w:sz w:val="24"/>
          <w:szCs w:val="24"/>
        </w:rPr>
        <w:t xml:space="preserve"> in a new environment, to </w:t>
      </w:r>
      <w:r w:rsidR="00B15C2F" w:rsidRPr="005E142B">
        <w:rPr>
          <w:sz w:val="24"/>
          <w:szCs w:val="24"/>
        </w:rPr>
        <w:t>protect</w:t>
      </w:r>
      <w:r w:rsidR="00724C9F" w:rsidRPr="005E142B">
        <w:rPr>
          <w:sz w:val="24"/>
          <w:szCs w:val="24"/>
        </w:rPr>
        <w:t xml:space="preserve"> liberal order and the open economic system, to </w:t>
      </w:r>
      <w:r w:rsidR="001E4F69" w:rsidRPr="005E142B">
        <w:rPr>
          <w:sz w:val="24"/>
          <w:szCs w:val="24"/>
        </w:rPr>
        <w:t xml:space="preserve">provide </w:t>
      </w:r>
      <w:r w:rsidR="00724C9F" w:rsidRPr="005E142B">
        <w:rPr>
          <w:sz w:val="24"/>
          <w:szCs w:val="24"/>
        </w:rPr>
        <w:t xml:space="preserve">reassurance and </w:t>
      </w:r>
      <w:r w:rsidR="0077004D">
        <w:rPr>
          <w:sz w:val="24"/>
          <w:szCs w:val="24"/>
        </w:rPr>
        <w:t>stability in East Asia and the “new Europe.”</w:t>
      </w:r>
      <w:r w:rsidR="00724C9F" w:rsidRPr="005E142B">
        <w:rPr>
          <w:sz w:val="24"/>
          <w:szCs w:val="24"/>
        </w:rPr>
        <w:t xml:space="preserve"> </w:t>
      </w:r>
      <w:r w:rsidR="00065C9B" w:rsidRPr="005E142B">
        <w:rPr>
          <w:sz w:val="24"/>
          <w:szCs w:val="24"/>
        </w:rPr>
        <w:t>Powell’s</w:t>
      </w:r>
      <w:r w:rsidR="00724C9F" w:rsidRPr="005E142B">
        <w:rPr>
          <w:sz w:val="24"/>
          <w:szCs w:val="24"/>
        </w:rPr>
        <w:t xml:space="preserve"> </w:t>
      </w:r>
      <w:r w:rsidR="00065C9B" w:rsidRPr="005E142B">
        <w:rPr>
          <w:sz w:val="24"/>
          <w:szCs w:val="24"/>
        </w:rPr>
        <w:t xml:space="preserve">historical </w:t>
      </w:r>
      <w:r w:rsidR="00724C9F" w:rsidRPr="005E142B">
        <w:rPr>
          <w:sz w:val="24"/>
          <w:szCs w:val="24"/>
        </w:rPr>
        <w:t xml:space="preserve">point of reference was traditional, the </w:t>
      </w:r>
      <w:r w:rsidR="00891FAC" w:rsidRPr="005E142B">
        <w:rPr>
          <w:sz w:val="24"/>
          <w:szCs w:val="24"/>
        </w:rPr>
        <w:t>disastrous</w:t>
      </w:r>
      <w:r w:rsidR="00724C9F" w:rsidRPr="005E142B">
        <w:rPr>
          <w:sz w:val="24"/>
          <w:szCs w:val="24"/>
        </w:rPr>
        <w:t xml:space="preserve"> interwar period and </w:t>
      </w:r>
      <w:r w:rsidR="00891FAC" w:rsidRPr="005E142B">
        <w:rPr>
          <w:sz w:val="24"/>
          <w:szCs w:val="24"/>
        </w:rPr>
        <w:t>isolationism</w:t>
      </w:r>
      <w:r w:rsidR="00724C9F" w:rsidRPr="005E142B">
        <w:rPr>
          <w:sz w:val="24"/>
          <w:szCs w:val="24"/>
        </w:rPr>
        <w:t>.</w:t>
      </w:r>
      <w:r w:rsidR="00724C9F" w:rsidRPr="005E142B">
        <w:rPr>
          <w:rStyle w:val="FootnoteReference"/>
          <w:sz w:val="24"/>
          <w:szCs w:val="24"/>
        </w:rPr>
        <w:footnoteReference w:id="89"/>
      </w:r>
      <w:r w:rsidR="00724C9F" w:rsidRPr="005E142B">
        <w:rPr>
          <w:sz w:val="24"/>
          <w:szCs w:val="24"/>
        </w:rPr>
        <w:t xml:space="preserve"> To operationalise these a</w:t>
      </w:r>
      <w:r w:rsidR="00FE45F9">
        <w:rPr>
          <w:sz w:val="24"/>
          <w:szCs w:val="24"/>
        </w:rPr>
        <w:t>ssumptions, Powell developed a “two-war strategy”</w:t>
      </w:r>
      <w:r w:rsidR="00724C9F" w:rsidRPr="005E142B">
        <w:rPr>
          <w:sz w:val="24"/>
          <w:szCs w:val="24"/>
        </w:rPr>
        <w:t>, w</w:t>
      </w:r>
      <w:r w:rsidR="00FE45F9">
        <w:rPr>
          <w:sz w:val="24"/>
          <w:szCs w:val="24"/>
        </w:rPr>
        <w:t xml:space="preserve">hich </w:t>
      </w:r>
      <w:r w:rsidR="00724C9F" w:rsidRPr="005E142B">
        <w:rPr>
          <w:sz w:val="24"/>
          <w:szCs w:val="24"/>
        </w:rPr>
        <w:t>in a period of reduced budgets presumed a hegemonic role</w:t>
      </w:r>
      <w:r w:rsidR="00FE45F9">
        <w:rPr>
          <w:sz w:val="24"/>
          <w:szCs w:val="24"/>
        </w:rPr>
        <w:t xml:space="preserve"> with “world responsibilities”</w:t>
      </w:r>
      <w:r w:rsidR="00724C9F" w:rsidRPr="005E142B">
        <w:rPr>
          <w:sz w:val="24"/>
          <w:szCs w:val="24"/>
        </w:rPr>
        <w:t xml:space="preserve"> and a permanent, </w:t>
      </w:r>
      <w:r w:rsidR="00FE45F9">
        <w:rPr>
          <w:sz w:val="24"/>
          <w:szCs w:val="24"/>
        </w:rPr>
        <w:t>global military presence, with “</w:t>
      </w:r>
      <w:r w:rsidR="00724C9F" w:rsidRPr="005E142B">
        <w:rPr>
          <w:sz w:val="24"/>
          <w:szCs w:val="24"/>
        </w:rPr>
        <w:t xml:space="preserve">the capability to move huge stores to unpredictable </w:t>
      </w:r>
      <w:r w:rsidR="00FE45F9">
        <w:rPr>
          <w:sz w:val="24"/>
          <w:szCs w:val="24"/>
        </w:rPr>
        <w:t>trouble spots around the world.”</w:t>
      </w:r>
      <w:r w:rsidR="00724C9F" w:rsidRPr="005E142B">
        <w:rPr>
          <w:sz w:val="24"/>
          <w:szCs w:val="24"/>
        </w:rPr>
        <w:t xml:space="preserve"> Powell’s lobbying</w:t>
      </w:r>
      <w:r w:rsidR="008E40F7" w:rsidRPr="005E142B">
        <w:rPr>
          <w:sz w:val="24"/>
          <w:szCs w:val="24"/>
        </w:rPr>
        <w:t xml:space="preserve"> ensured </w:t>
      </w:r>
      <w:r w:rsidR="00724C9F" w:rsidRPr="005E142B">
        <w:rPr>
          <w:sz w:val="24"/>
          <w:szCs w:val="24"/>
        </w:rPr>
        <w:t xml:space="preserve">the Base Force </w:t>
      </w:r>
      <w:r w:rsidR="008E40F7" w:rsidRPr="005E142B">
        <w:rPr>
          <w:sz w:val="24"/>
          <w:szCs w:val="24"/>
        </w:rPr>
        <w:t>was</w:t>
      </w:r>
      <w:r w:rsidR="00FE45F9">
        <w:rPr>
          <w:sz w:val="24"/>
          <w:szCs w:val="24"/>
        </w:rPr>
        <w:t xml:space="preserve"> the “lineal ancestor”</w:t>
      </w:r>
      <w:r w:rsidR="00724C9F" w:rsidRPr="005E142B">
        <w:rPr>
          <w:sz w:val="24"/>
          <w:szCs w:val="24"/>
        </w:rPr>
        <w:t xml:space="preserve"> of Clinton’s force.</w:t>
      </w:r>
      <w:r w:rsidR="00724C9F" w:rsidRPr="005E142B">
        <w:rPr>
          <w:rStyle w:val="FootnoteReference"/>
          <w:sz w:val="24"/>
          <w:szCs w:val="24"/>
        </w:rPr>
        <w:footnoteReference w:id="90"/>
      </w:r>
      <w:r w:rsidR="00724C9F" w:rsidRPr="005E142B">
        <w:rPr>
          <w:sz w:val="24"/>
          <w:szCs w:val="24"/>
        </w:rPr>
        <w:t xml:space="preserve"> </w:t>
      </w:r>
      <w:r w:rsidR="001E4F69" w:rsidRPr="005E142B">
        <w:rPr>
          <w:sz w:val="24"/>
          <w:szCs w:val="24"/>
        </w:rPr>
        <w:t>Anthony Lake, another</w:t>
      </w:r>
      <w:r w:rsidR="00052EB5">
        <w:rPr>
          <w:sz w:val="24"/>
          <w:szCs w:val="24"/>
        </w:rPr>
        <w:t xml:space="preserve"> establishment</w:t>
      </w:r>
      <w:r w:rsidR="001E4F69" w:rsidRPr="005E142B">
        <w:rPr>
          <w:sz w:val="24"/>
          <w:szCs w:val="24"/>
        </w:rPr>
        <w:t xml:space="preserve"> gatekeeper</w:t>
      </w:r>
      <w:r w:rsidR="002F0C00" w:rsidRPr="005E142B">
        <w:rPr>
          <w:sz w:val="24"/>
          <w:szCs w:val="24"/>
        </w:rPr>
        <w:t xml:space="preserve"> with privileged access</w:t>
      </w:r>
      <w:r w:rsidR="001E4F69" w:rsidRPr="005E142B">
        <w:rPr>
          <w:sz w:val="24"/>
          <w:szCs w:val="24"/>
        </w:rPr>
        <w:t xml:space="preserve">, steered </w:t>
      </w:r>
      <w:r w:rsidR="0095216C" w:rsidRPr="005E142B">
        <w:rPr>
          <w:sz w:val="24"/>
          <w:szCs w:val="24"/>
        </w:rPr>
        <w:t>Clinton</w:t>
      </w:r>
      <w:r w:rsidR="00FE45F9">
        <w:rPr>
          <w:sz w:val="24"/>
          <w:szCs w:val="24"/>
        </w:rPr>
        <w:t xml:space="preserve"> to confine the “peace dividend”</w:t>
      </w:r>
      <w:r w:rsidR="001E4F69" w:rsidRPr="005E142B">
        <w:rPr>
          <w:sz w:val="24"/>
          <w:szCs w:val="24"/>
        </w:rPr>
        <w:t xml:space="preserve"> to levels that did not disturb preponderance, to oppose the use of </w:t>
      </w:r>
      <w:r w:rsidR="003938A8">
        <w:rPr>
          <w:sz w:val="24"/>
          <w:szCs w:val="24"/>
        </w:rPr>
        <w:t>defense</w:t>
      </w:r>
      <w:r w:rsidR="001E4F69" w:rsidRPr="005E142B">
        <w:rPr>
          <w:sz w:val="24"/>
          <w:szCs w:val="24"/>
        </w:rPr>
        <w:t xml:space="preserve"> bud</w:t>
      </w:r>
      <w:r w:rsidR="00FE45F9">
        <w:rPr>
          <w:sz w:val="24"/>
          <w:szCs w:val="24"/>
        </w:rPr>
        <w:t>get as a “</w:t>
      </w:r>
      <w:r w:rsidR="001E4F69" w:rsidRPr="005E142B">
        <w:rPr>
          <w:sz w:val="24"/>
          <w:szCs w:val="24"/>
        </w:rPr>
        <w:t>pi</w:t>
      </w:r>
      <w:r w:rsidR="00FE45F9">
        <w:rPr>
          <w:sz w:val="24"/>
          <w:szCs w:val="24"/>
        </w:rPr>
        <w:t>ggy bank for domestic programs,”</w:t>
      </w:r>
      <w:r w:rsidR="001E4F69" w:rsidRPr="005E142B">
        <w:rPr>
          <w:rStyle w:val="FootnoteReference"/>
          <w:sz w:val="24"/>
          <w:szCs w:val="24"/>
        </w:rPr>
        <w:footnoteReference w:id="91"/>
      </w:r>
      <w:r w:rsidR="00FE45F9">
        <w:rPr>
          <w:sz w:val="24"/>
          <w:szCs w:val="24"/>
        </w:rPr>
        <w:t xml:space="preserve"> and maintain a “</w:t>
      </w:r>
      <w:r w:rsidR="001E4F69" w:rsidRPr="005E142B">
        <w:rPr>
          <w:sz w:val="24"/>
          <w:szCs w:val="24"/>
        </w:rPr>
        <w:t xml:space="preserve">strong </w:t>
      </w:r>
      <w:r w:rsidR="003938A8">
        <w:rPr>
          <w:sz w:val="24"/>
          <w:szCs w:val="24"/>
        </w:rPr>
        <w:t>defense</w:t>
      </w:r>
      <w:r w:rsidR="00FE45F9">
        <w:rPr>
          <w:sz w:val="24"/>
          <w:szCs w:val="24"/>
        </w:rPr>
        <w:t xml:space="preserve"> posture”</w:t>
      </w:r>
      <w:r w:rsidR="001E4F69" w:rsidRPr="005E142B">
        <w:rPr>
          <w:sz w:val="24"/>
          <w:szCs w:val="24"/>
        </w:rPr>
        <w:t xml:space="preserve"> that would generate broad bipartisan appeal.</w:t>
      </w:r>
      <w:r w:rsidR="001E4F69" w:rsidRPr="005E142B">
        <w:rPr>
          <w:rStyle w:val="FootnoteReference"/>
          <w:sz w:val="24"/>
          <w:szCs w:val="24"/>
        </w:rPr>
        <w:footnoteReference w:id="92"/>
      </w:r>
      <w:r w:rsidR="001E4F69" w:rsidRPr="005E142B">
        <w:rPr>
          <w:sz w:val="24"/>
          <w:szCs w:val="24"/>
        </w:rPr>
        <w:t xml:space="preserve"> </w:t>
      </w:r>
      <w:r w:rsidR="007775FD">
        <w:rPr>
          <w:sz w:val="24"/>
          <w:szCs w:val="24"/>
        </w:rPr>
        <w:t xml:space="preserve">Lake </w:t>
      </w:r>
      <w:r w:rsidR="00BB72F1" w:rsidRPr="005E142B">
        <w:rPr>
          <w:sz w:val="24"/>
          <w:szCs w:val="24"/>
        </w:rPr>
        <w:t>persuaded Clinton to frame the issue</w:t>
      </w:r>
      <w:r>
        <w:rPr>
          <w:sz w:val="24"/>
          <w:szCs w:val="24"/>
        </w:rPr>
        <w:t xml:space="preserve"> </w:t>
      </w:r>
      <w:r w:rsidR="001E4F69" w:rsidRPr="005E142B">
        <w:rPr>
          <w:sz w:val="24"/>
          <w:szCs w:val="24"/>
        </w:rPr>
        <w:t xml:space="preserve">in </w:t>
      </w:r>
      <w:r w:rsidR="0095216C" w:rsidRPr="005E142B">
        <w:rPr>
          <w:sz w:val="24"/>
          <w:szCs w:val="24"/>
        </w:rPr>
        <w:t>binary terms</w:t>
      </w:r>
      <w:r w:rsidR="00BB72F1" w:rsidRPr="005E142B">
        <w:rPr>
          <w:sz w:val="24"/>
          <w:szCs w:val="24"/>
        </w:rPr>
        <w:t>,</w:t>
      </w:r>
      <w:r w:rsidR="001E4F69" w:rsidRPr="005E142B">
        <w:rPr>
          <w:sz w:val="24"/>
          <w:szCs w:val="24"/>
        </w:rPr>
        <w:t xml:space="preserve"> as a choice between internationalism versus isolationism.</w:t>
      </w:r>
      <w:r w:rsidR="001E4F69" w:rsidRPr="005E142B">
        <w:rPr>
          <w:rStyle w:val="FootnoteReference"/>
          <w:sz w:val="24"/>
          <w:szCs w:val="24"/>
        </w:rPr>
        <w:footnoteReference w:id="93"/>
      </w:r>
      <w:r w:rsidR="001A6E20" w:rsidRPr="001A6E20">
        <w:rPr>
          <w:sz w:val="24"/>
          <w:szCs w:val="24"/>
        </w:rPr>
        <w:t xml:space="preserve"> </w:t>
      </w:r>
      <w:r w:rsidR="001A6E20" w:rsidRPr="005E142B">
        <w:rPr>
          <w:sz w:val="24"/>
          <w:szCs w:val="24"/>
        </w:rPr>
        <w:t>Clinton</w:t>
      </w:r>
      <w:r w:rsidR="001A6E20">
        <w:rPr>
          <w:sz w:val="24"/>
          <w:szCs w:val="24"/>
        </w:rPr>
        <w:t xml:space="preserve"> did so. He employed traditional </w:t>
      </w:r>
      <w:r w:rsidR="001A6E20" w:rsidRPr="005E142B">
        <w:rPr>
          <w:sz w:val="24"/>
          <w:szCs w:val="24"/>
        </w:rPr>
        <w:t>analogies to define America’s world role.</w:t>
      </w:r>
      <w:r w:rsidR="001A6E20" w:rsidRPr="005E142B">
        <w:rPr>
          <w:rStyle w:val="FootnoteReference"/>
          <w:sz w:val="24"/>
          <w:szCs w:val="24"/>
        </w:rPr>
        <w:footnoteReference w:id="94"/>
      </w:r>
      <w:r w:rsidR="001A6E20" w:rsidRPr="005E142B">
        <w:rPr>
          <w:sz w:val="24"/>
          <w:szCs w:val="24"/>
        </w:rPr>
        <w:t xml:space="preserve"> Like his predecessors, Clinton compared crises to Munich.</w:t>
      </w:r>
      <w:r w:rsidR="001A6E20" w:rsidRPr="005E142B">
        <w:rPr>
          <w:rStyle w:val="FootnoteReference"/>
          <w:sz w:val="24"/>
          <w:szCs w:val="24"/>
        </w:rPr>
        <w:footnoteReference w:id="95"/>
      </w:r>
      <w:r w:rsidR="001A6E20" w:rsidRPr="005E142B">
        <w:rPr>
          <w:sz w:val="24"/>
          <w:szCs w:val="24"/>
        </w:rPr>
        <w:t xml:space="preserve"> He invoked Harry Truman’s embrace of internationalism and the lessons of two world wars, namely the wisdom of engagement over isolation.</w:t>
      </w:r>
      <w:r w:rsidR="001A6E20" w:rsidRPr="005E142B">
        <w:rPr>
          <w:rStyle w:val="FootnoteReference"/>
          <w:sz w:val="24"/>
          <w:szCs w:val="24"/>
        </w:rPr>
        <w:footnoteReference w:id="96"/>
      </w:r>
      <w:r w:rsidR="001A6E20" w:rsidRPr="005E142B">
        <w:rPr>
          <w:sz w:val="24"/>
          <w:szCs w:val="24"/>
        </w:rPr>
        <w:t xml:space="preserve"> The aftermath of World War </w:t>
      </w:r>
      <w:r w:rsidR="001A6E20" w:rsidRPr="005E142B">
        <w:rPr>
          <w:sz w:val="24"/>
          <w:szCs w:val="24"/>
        </w:rPr>
        <w:lastRenderedPageBreak/>
        <w:t>Two was a</w:t>
      </w:r>
      <w:r w:rsidR="00FE45F9">
        <w:rPr>
          <w:sz w:val="24"/>
          <w:szCs w:val="24"/>
        </w:rPr>
        <w:t xml:space="preserve"> lesson in choosing leadership “</w:t>
      </w:r>
      <w:r w:rsidR="001A6E20" w:rsidRPr="005E142B">
        <w:rPr>
          <w:sz w:val="24"/>
          <w:szCs w:val="24"/>
        </w:rPr>
        <w:t xml:space="preserve">over the path that </w:t>
      </w:r>
      <w:r w:rsidR="00FE45F9">
        <w:rPr>
          <w:sz w:val="24"/>
          <w:szCs w:val="24"/>
        </w:rPr>
        <w:t>was followed after World War I.”</w:t>
      </w:r>
      <w:r w:rsidR="001A6E20" w:rsidRPr="005E142B">
        <w:rPr>
          <w:rStyle w:val="FootnoteReference"/>
          <w:sz w:val="24"/>
          <w:szCs w:val="24"/>
        </w:rPr>
        <w:footnoteReference w:id="97"/>
      </w:r>
    </w:p>
    <w:p w:rsidR="00724C9F" w:rsidRPr="005E142B" w:rsidRDefault="00724C9F" w:rsidP="005E142B">
      <w:pPr>
        <w:spacing w:after="0" w:line="480" w:lineRule="auto"/>
        <w:jc w:val="both"/>
        <w:rPr>
          <w:sz w:val="24"/>
          <w:szCs w:val="24"/>
        </w:rPr>
      </w:pPr>
    </w:p>
    <w:p w:rsidR="00724C9F" w:rsidRPr="005E142B" w:rsidRDefault="00724C9F" w:rsidP="005E142B">
      <w:pPr>
        <w:spacing w:after="0" w:line="480" w:lineRule="auto"/>
        <w:ind w:firstLine="720"/>
        <w:jc w:val="both"/>
        <w:rPr>
          <w:sz w:val="24"/>
          <w:szCs w:val="24"/>
        </w:rPr>
      </w:pPr>
      <w:r w:rsidRPr="005E142B">
        <w:rPr>
          <w:sz w:val="24"/>
          <w:szCs w:val="24"/>
        </w:rPr>
        <w:t xml:space="preserve"> </w:t>
      </w:r>
      <w:r w:rsidR="00194D78" w:rsidRPr="005E142B">
        <w:rPr>
          <w:sz w:val="24"/>
          <w:szCs w:val="24"/>
        </w:rPr>
        <w:t xml:space="preserve">As an indication of the strength of consensus, note </w:t>
      </w:r>
      <w:r w:rsidR="00DC6BE8">
        <w:rPr>
          <w:sz w:val="24"/>
          <w:szCs w:val="24"/>
        </w:rPr>
        <w:t xml:space="preserve">how </w:t>
      </w:r>
      <w:r w:rsidR="00194D78">
        <w:rPr>
          <w:sz w:val="24"/>
          <w:szCs w:val="24"/>
        </w:rPr>
        <w:t>the few</w:t>
      </w:r>
      <w:r w:rsidR="00194D78" w:rsidRPr="005E142B">
        <w:rPr>
          <w:sz w:val="24"/>
          <w:szCs w:val="24"/>
        </w:rPr>
        <w:t xml:space="preserve"> attempt</w:t>
      </w:r>
      <w:r w:rsidR="00194D78">
        <w:rPr>
          <w:sz w:val="24"/>
          <w:szCs w:val="24"/>
        </w:rPr>
        <w:t>s</w:t>
      </w:r>
      <w:r w:rsidR="00194D78" w:rsidRPr="005E142B">
        <w:rPr>
          <w:sz w:val="24"/>
          <w:szCs w:val="24"/>
        </w:rPr>
        <w:t xml:space="preserve"> to </w:t>
      </w:r>
      <w:r w:rsidR="00194D78">
        <w:rPr>
          <w:sz w:val="24"/>
          <w:szCs w:val="24"/>
        </w:rPr>
        <w:t>amend existing strategy</w:t>
      </w:r>
      <w:r w:rsidR="00DC6BE8">
        <w:rPr>
          <w:sz w:val="24"/>
          <w:szCs w:val="24"/>
        </w:rPr>
        <w:t xml:space="preserve"> failed</w:t>
      </w:r>
      <w:r w:rsidR="00194D78">
        <w:rPr>
          <w:sz w:val="24"/>
          <w:szCs w:val="24"/>
        </w:rPr>
        <w:t xml:space="preserve">. </w:t>
      </w:r>
      <w:r w:rsidR="003871E0">
        <w:rPr>
          <w:sz w:val="24"/>
          <w:szCs w:val="24"/>
        </w:rPr>
        <w:t xml:space="preserve">In the debate over defence budgets and military preponderance, </w:t>
      </w:r>
      <w:r w:rsidRPr="005E142B">
        <w:rPr>
          <w:sz w:val="24"/>
          <w:szCs w:val="24"/>
        </w:rPr>
        <w:t>Aspin proposed an alternative</w:t>
      </w:r>
      <w:r w:rsidR="00FE45F9">
        <w:rPr>
          <w:sz w:val="24"/>
          <w:szCs w:val="24"/>
        </w:rPr>
        <w:t xml:space="preserve"> to the two war standard</w:t>
      </w:r>
      <w:r w:rsidRPr="005E142B">
        <w:rPr>
          <w:sz w:val="24"/>
          <w:szCs w:val="24"/>
        </w:rPr>
        <w:t>,</w:t>
      </w:r>
      <w:r w:rsidR="00194D78">
        <w:rPr>
          <w:sz w:val="24"/>
          <w:szCs w:val="24"/>
        </w:rPr>
        <w:t xml:space="preserve"> a more</w:t>
      </w:r>
      <w:r w:rsidR="00FE45F9">
        <w:rPr>
          <w:sz w:val="24"/>
          <w:szCs w:val="24"/>
        </w:rPr>
        <w:t xml:space="preserve"> frugal model of “Win-Hold-Win”</w:t>
      </w:r>
      <w:r w:rsidRPr="005E142B">
        <w:rPr>
          <w:sz w:val="24"/>
          <w:szCs w:val="24"/>
        </w:rPr>
        <w:t>, waging all-out war in one theatre while holding the line in a second, then redeploying forces while allies held on.</w:t>
      </w:r>
      <w:r w:rsidRPr="005E142B">
        <w:rPr>
          <w:rStyle w:val="FootnoteReference"/>
          <w:sz w:val="24"/>
          <w:szCs w:val="24"/>
        </w:rPr>
        <w:footnoteReference w:id="98"/>
      </w:r>
      <w:r w:rsidRPr="005E142B">
        <w:rPr>
          <w:sz w:val="24"/>
          <w:szCs w:val="24"/>
        </w:rPr>
        <w:t xml:space="preserve"> </w:t>
      </w:r>
      <w:r w:rsidR="00675164" w:rsidRPr="005E142B">
        <w:rPr>
          <w:sz w:val="24"/>
          <w:szCs w:val="24"/>
        </w:rPr>
        <w:t>Establishment</w:t>
      </w:r>
      <w:r w:rsidRPr="005E142B">
        <w:rPr>
          <w:sz w:val="24"/>
          <w:szCs w:val="24"/>
        </w:rPr>
        <w:t xml:space="preserve"> opponents such as former Deputy Under Secretary of </w:t>
      </w:r>
      <w:r w:rsidR="003938A8">
        <w:rPr>
          <w:sz w:val="24"/>
          <w:szCs w:val="24"/>
        </w:rPr>
        <w:t>Defense</w:t>
      </w:r>
      <w:r w:rsidRPr="005E142B">
        <w:rPr>
          <w:sz w:val="24"/>
          <w:szCs w:val="24"/>
        </w:rPr>
        <w:t xml:space="preserve"> Dov Zakheim,</w:t>
      </w:r>
      <w:r w:rsidR="007622F0">
        <w:rPr>
          <w:sz w:val="24"/>
          <w:szCs w:val="24"/>
        </w:rPr>
        <w:t xml:space="preserve"> traditionalist commentators such as John T. Correll, </w:t>
      </w:r>
      <w:r w:rsidRPr="005E142B">
        <w:rPr>
          <w:sz w:val="24"/>
          <w:szCs w:val="24"/>
        </w:rPr>
        <w:t xml:space="preserve"> unnamed service chiefs and senior military planners publicly portrayed the model as</w:t>
      </w:r>
      <w:r w:rsidR="00194D78">
        <w:rPr>
          <w:sz w:val="24"/>
          <w:szCs w:val="24"/>
        </w:rPr>
        <w:t xml:space="preserve"> defeatist, as</w:t>
      </w:r>
      <w:r w:rsidR="00FE45F9">
        <w:rPr>
          <w:sz w:val="24"/>
          <w:szCs w:val="24"/>
        </w:rPr>
        <w:t xml:space="preserve"> “win-hold-oops”</w:t>
      </w:r>
      <w:r w:rsidRPr="005E142B">
        <w:rPr>
          <w:sz w:val="24"/>
          <w:szCs w:val="24"/>
        </w:rPr>
        <w:t>, and damaging to credibility with allies.</w:t>
      </w:r>
      <w:r w:rsidRPr="005E142B">
        <w:rPr>
          <w:rStyle w:val="FootnoteReference"/>
          <w:sz w:val="24"/>
          <w:szCs w:val="24"/>
        </w:rPr>
        <w:footnoteReference w:id="99"/>
      </w:r>
      <w:r w:rsidRPr="005E142B">
        <w:rPr>
          <w:sz w:val="24"/>
          <w:szCs w:val="24"/>
        </w:rPr>
        <w:t xml:space="preserve"> South Korea’s government objected to being the ‘hold’ amidst a military stalemate.</w:t>
      </w:r>
      <w:r w:rsidRPr="005E142B">
        <w:rPr>
          <w:rStyle w:val="FootnoteReference"/>
          <w:sz w:val="24"/>
          <w:szCs w:val="24"/>
        </w:rPr>
        <w:footnoteReference w:id="100"/>
      </w:r>
      <w:r w:rsidRPr="005E142B">
        <w:rPr>
          <w:sz w:val="24"/>
          <w:szCs w:val="24"/>
        </w:rPr>
        <w:t xml:space="preserve"> Under these pressures, </w:t>
      </w:r>
      <w:r w:rsidR="007622F0">
        <w:rPr>
          <w:sz w:val="24"/>
          <w:szCs w:val="24"/>
        </w:rPr>
        <w:t>Aspin’s alternative “</w:t>
      </w:r>
      <w:r w:rsidRPr="005E142B">
        <w:rPr>
          <w:sz w:val="24"/>
          <w:szCs w:val="24"/>
        </w:rPr>
        <w:t xml:space="preserve">never stood a real chance </w:t>
      </w:r>
      <w:r w:rsidR="007622F0">
        <w:rPr>
          <w:sz w:val="24"/>
          <w:szCs w:val="24"/>
        </w:rPr>
        <w:t>bureaucratically or politically”</w:t>
      </w:r>
      <w:r w:rsidRPr="005E142B">
        <w:rPr>
          <w:rStyle w:val="FootnoteReference"/>
          <w:sz w:val="24"/>
          <w:szCs w:val="24"/>
        </w:rPr>
        <w:footnoteReference w:id="101"/>
      </w:r>
      <w:r w:rsidRPr="005E142B">
        <w:rPr>
          <w:sz w:val="24"/>
          <w:szCs w:val="24"/>
        </w:rPr>
        <w:t xml:space="preserve"> and the strategy Aspin floated in public in June 1993 he repudiated twenty six d</w:t>
      </w:r>
      <w:r w:rsidR="007622F0">
        <w:rPr>
          <w:sz w:val="24"/>
          <w:szCs w:val="24"/>
        </w:rPr>
        <w:t>ays later, falling back on the “Win-Win”</w:t>
      </w:r>
      <w:r w:rsidRPr="005E142B">
        <w:rPr>
          <w:sz w:val="24"/>
          <w:szCs w:val="24"/>
        </w:rPr>
        <w:t xml:space="preserve"> model.</w:t>
      </w:r>
      <w:r w:rsidRPr="005E142B">
        <w:rPr>
          <w:rStyle w:val="FootnoteReference"/>
          <w:sz w:val="24"/>
          <w:szCs w:val="24"/>
        </w:rPr>
        <w:footnoteReference w:id="102"/>
      </w:r>
      <w:r w:rsidRPr="005E142B">
        <w:rPr>
          <w:sz w:val="24"/>
          <w:szCs w:val="24"/>
        </w:rPr>
        <w:t xml:space="preserve"> </w:t>
      </w:r>
    </w:p>
    <w:p w:rsidR="00724C9F" w:rsidRPr="005E142B" w:rsidRDefault="00724C9F" w:rsidP="005E142B">
      <w:pPr>
        <w:spacing w:after="0" w:line="480" w:lineRule="auto"/>
        <w:jc w:val="both"/>
        <w:rPr>
          <w:sz w:val="24"/>
          <w:szCs w:val="24"/>
        </w:rPr>
      </w:pPr>
    </w:p>
    <w:p w:rsidR="00724C9F" w:rsidRDefault="00724C9F" w:rsidP="005E142B">
      <w:pPr>
        <w:spacing w:after="0" w:line="480" w:lineRule="auto"/>
        <w:ind w:firstLine="709"/>
        <w:jc w:val="both"/>
        <w:rPr>
          <w:sz w:val="24"/>
          <w:szCs w:val="24"/>
        </w:rPr>
      </w:pPr>
      <w:r w:rsidRPr="005E142B">
        <w:rPr>
          <w:sz w:val="24"/>
          <w:szCs w:val="24"/>
        </w:rPr>
        <w:t xml:space="preserve">One study of </w:t>
      </w:r>
      <w:r w:rsidR="003938A8">
        <w:rPr>
          <w:sz w:val="24"/>
          <w:szCs w:val="24"/>
        </w:rPr>
        <w:t>defense</w:t>
      </w:r>
      <w:r w:rsidRPr="005E142B">
        <w:rPr>
          <w:sz w:val="24"/>
          <w:szCs w:val="24"/>
        </w:rPr>
        <w:t xml:space="preserve"> reportage in leading news organisations, where battles over strategy played out, also demonstrates </w:t>
      </w:r>
      <w:r w:rsidR="00F007CD" w:rsidRPr="005E142B">
        <w:rPr>
          <w:sz w:val="24"/>
          <w:szCs w:val="24"/>
        </w:rPr>
        <w:t>how public media</w:t>
      </w:r>
      <w:r w:rsidR="007622F0">
        <w:rPr>
          <w:sz w:val="24"/>
          <w:szCs w:val="24"/>
        </w:rPr>
        <w:t xml:space="preserve"> “</w:t>
      </w:r>
      <w:r w:rsidRPr="005E142B">
        <w:rPr>
          <w:sz w:val="24"/>
          <w:szCs w:val="24"/>
        </w:rPr>
        <w:t>lock</w:t>
      </w:r>
      <w:r w:rsidR="007622F0">
        <w:rPr>
          <w:sz w:val="24"/>
          <w:szCs w:val="24"/>
        </w:rPr>
        <w:t>ed in”</w:t>
      </w:r>
      <w:r w:rsidRPr="005E142B">
        <w:rPr>
          <w:sz w:val="24"/>
          <w:szCs w:val="24"/>
        </w:rPr>
        <w:t xml:space="preserve"> elite orthodoxy.</w:t>
      </w:r>
      <w:r w:rsidRPr="005E142B">
        <w:rPr>
          <w:rStyle w:val="FootnoteReference"/>
          <w:sz w:val="24"/>
          <w:szCs w:val="24"/>
        </w:rPr>
        <w:footnoteReference w:id="103"/>
      </w:r>
      <w:r w:rsidRPr="005E142B">
        <w:rPr>
          <w:sz w:val="24"/>
          <w:szCs w:val="24"/>
        </w:rPr>
        <w:t xml:space="preserve"> A survey of two hundred articles between 1994-1996 shows that mainstream media coverage in </w:t>
      </w:r>
      <w:r w:rsidRPr="005E142B">
        <w:rPr>
          <w:sz w:val="24"/>
          <w:szCs w:val="24"/>
        </w:rPr>
        <w:lastRenderedPageBreak/>
        <w:t xml:space="preserve">the </w:t>
      </w:r>
      <w:r w:rsidRPr="005E142B">
        <w:rPr>
          <w:i/>
          <w:sz w:val="24"/>
          <w:szCs w:val="24"/>
        </w:rPr>
        <w:t>Washington Post</w:t>
      </w:r>
      <w:r w:rsidRPr="005E142B">
        <w:rPr>
          <w:sz w:val="24"/>
          <w:szCs w:val="24"/>
        </w:rPr>
        <w:t xml:space="preserve">, the </w:t>
      </w:r>
      <w:r w:rsidRPr="005E142B">
        <w:rPr>
          <w:i/>
          <w:sz w:val="24"/>
          <w:szCs w:val="24"/>
        </w:rPr>
        <w:t xml:space="preserve">Los Angeles Times </w:t>
      </w:r>
      <w:r w:rsidR="002F0C00" w:rsidRPr="005E142B">
        <w:rPr>
          <w:sz w:val="24"/>
          <w:szCs w:val="24"/>
        </w:rPr>
        <w:t>and to a lesser extent</w:t>
      </w:r>
      <w:r w:rsidRPr="005E142B">
        <w:rPr>
          <w:sz w:val="24"/>
          <w:szCs w:val="24"/>
        </w:rPr>
        <w:t xml:space="preserve"> </w:t>
      </w:r>
      <w:r w:rsidR="00E7573C">
        <w:rPr>
          <w:i/>
          <w:sz w:val="24"/>
          <w:szCs w:val="24"/>
        </w:rPr>
        <w:t>The</w:t>
      </w:r>
      <w:r w:rsidRPr="005E142B">
        <w:rPr>
          <w:sz w:val="24"/>
          <w:szCs w:val="24"/>
        </w:rPr>
        <w:t xml:space="preserve"> </w:t>
      </w:r>
      <w:r w:rsidRPr="005E142B">
        <w:rPr>
          <w:i/>
          <w:sz w:val="24"/>
          <w:szCs w:val="24"/>
        </w:rPr>
        <w:t>New York Times</w:t>
      </w:r>
      <w:r w:rsidRPr="005E142B">
        <w:rPr>
          <w:sz w:val="24"/>
          <w:szCs w:val="24"/>
        </w:rPr>
        <w:t xml:space="preserve"> reflected and reinforced the reigning ideology, and marginalised critics inside and outside government who called for a re</w:t>
      </w:r>
      <w:r w:rsidR="00AF082E">
        <w:rPr>
          <w:sz w:val="24"/>
          <w:szCs w:val="24"/>
        </w:rPr>
        <w:t xml:space="preserve">assessment of Pentagon strategy. </w:t>
      </w:r>
      <w:r w:rsidR="00E7573C">
        <w:rPr>
          <w:sz w:val="24"/>
          <w:szCs w:val="24"/>
        </w:rPr>
        <w:t>“</w:t>
      </w:r>
      <w:r w:rsidRPr="005E142B">
        <w:rPr>
          <w:sz w:val="24"/>
          <w:szCs w:val="24"/>
        </w:rPr>
        <w:t xml:space="preserve">Those who argued that the two-war scenario is unlikely, and that the threat of rogue states is overstated, and that Congress can significantly reduce the </w:t>
      </w:r>
      <w:r w:rsidR="003938A8">
        <w:rPr>
          <w:sz w:val="24"/>
          <w:szCs w:val="24"/>
        </w:rPr>
        <w:t>defense</w:t>
      </w:r>
      <w:r w:rsidRPr="005E142B">
        <w:rPr>
          <w:sz w:val="24"/>
          <w:szCs w:val="24"/>
        </w:rPr>
        <w:t xml:space="preserve"> budget and still maintain US superiority, received little attention. Reporters and editorial writers did not question the Pentagon’s assumptions of what the United States needs</w:t>
      </w:r>
      <w:r w:rsidR="00E7573C">
        <w:rPr>
          <w:sz w:val="24"/>
          <w:szCs w:val="24"/>
        </w:rPr>
        <w:t xml:space="preserve"> to maintain its military edge.”</w:t>
      </w:r>
      <w:r w:rsidR="00875BEE" w:rsidRPr="005E142B">
        <w:rPr>
          <w:sz w:val="24"/>
          <w:szCs w:val="24"/>
        </w:rPr>
        <w:t xml:space="preserve"> In 1996, </w:t>
      </w:r>
      <w:r w:rsidR="003938A8">
        <w:rPr>
          <w:sz w:val="24"/>
          <w:szCs w:val="24"/>
        </w:rPr>
        <w:t>defense</w:t>
      </w:r>
      <w:r w:rsidR="00875BEE" w:rsidRPr="005E142B">
        <w:rPr>
          <w:sz w:val="24"/>
          <w:szCs w:val="24"/>
        </w:rPr>
        <w:t xml:space="preserve"> hawks and military officials were cited </w:t>
      </w:r>
      <w:r w:rsidR="00E7573C">
        <w:rPr>
          <w:sz w:val="24"/>
          <w:szCs w:val="24"/>
        </w:rPr>
        <w:t>three times more than “cutters.”</w:t>
      </w:r>
      <w:r w:rsidRPr="005E142B">
        <w:rPr>
          <w:rStyle w:val="FootnoteReference"/>
          <w:sz w:val="24"/>
          <w:szCs w:val="24"/>
        </w:rPr>
        <w:footnoteReference w:id="104"/>
      </w:r>
      <w:r w:rsidRPr="005E142B">
        <w:rPr>
          <w:sz w:val="24"/>
          <w:szCs w:val="24"/>
        </w:rPr>
        <w:t xml:space="preserve"> Throughout, there was little coverage of the wider context that </w:t>
      </w:r>
      <w:r w:rsidR="003938A8">
        <w:rPr>
          <w:sz w:val="24"/>
          <w:szCs w:val="24"/>
        </w:rPr>
        <w:t>defense</w:t>
      </w:r>
      <w:r w:rsidRPr="005E142B">
        <w:rPr>
          <w:sz w:val="24"/>
          <w:szCs w:val="24"/>
        </w:rPr>
        <w:t xml:space="preserve"> budgets were still at least 80% of the Cold War norm of $270 billion; nearly four times larger than the next biggest spender Russia, and </w:t>
      </w:r>
      <w:r w:rsidR="00621EF8" w:rsidRPr="005E142B">
        <w:rPr>
          <w:sz w:val="24"/>
          <w:szCs w:val="24"/>
        </w:rPr>
        <w:t>eighteen</w:t>
      </w:r>
      <w:r w:rsidRPr="005E142B">
        <w:rPr>
          <w:sz w:val="24"/>
          <w:szCs w:val="24"/>
        </w:rPr>
        <w:t xml:space="preserve"> times the combined spending of the seven countries identified by the Pentagon as most likely adversaries.   </w:t>
      </w:r>
    </w:p>
    <w:p w:rsidR="007B49F3" w:rsidRDefault="007B49F3" w:rsidP="005E142B">
      <w:pPr>
        <w:spacing w:after="0" w:line="480" w:lineRule="auto"/>
        <w:ind w:firstLine="709"/>
        <w:jc w:val="both"/>
        <w:rPr>
          <w:sz w:val="24"/>
          <w:szCs w:val="24"/>
        </w:rPr>
      </w:pPr>
    </w:p>
    <w:p w:rsidR="007B49F3" w:rsidRPr="005E142B" w:rsidRDefault="007B49F3" w:rsidP="007B49F3">
      <w:pPr>
        <w:spacing w:after="0" w:line="480" w:lineRule="auto"/>
        <w:ind w:firstLine="567"/>
        <w:jc w:val="both"/>
        <w:rPr>
          <w:sz w:val="24"/>
          <w:szCs w:val="24"/>
        </w:rPr>
      </w:pPr>
      <w:r w:rsidRPr="005E142B">
        <w:rPr>
          <w:sz w:val="24"/>
          <w:szCs w:val="24"/>
        </w:rPr>
        <w:t>The strength of reigning orthodoxy was revealed in</w:t>
      </w:r>
      <w:r w:rsidR="00AF082E">
        <w:rPr>
          <w:sz w:val="24"/>
          <w:szCs w:val="24"/>
        </w:rPr>
        <w:t xml:space="preserve"> a rare moment of dissent, the “Tarnoff Affair.” </w:t>
      </w:r>
      <w:r w:rsidRPr="005E142B">
        <w:rPr>
          <w:sz w:val="24"/>
          <w:szCs w:val="24"/>
        </w:rPr>
        <w:t>On 25 May 1993, Undersecretary of State for policy Peter Tarnoff made off-the-record remarks about intervention in Bosnia.</w:t>
      </w:r>
      <w:r w:rsidR="003E56B9">
        <w:rPr>
          <w:rStyle w:val="FootnoteReference"/>
          <w:sz w:val="24"/>
          <w:szCs w:val="24"/>
        </w:rPr>
        <w:footnoteReference w:id="105"/>
      </w:r>
      <w:r w:rsidRPr="005E142B">
        <w:rPr>
          <w:sz w:val="24"/>
          <w:szCs w:val="24"/>
        </w:rPr>
        <w:t xml:space="preserve"> Tarnoff observed that financial constraints and domestic priorities dictated that </w:t>
      </w:r>
      <w:r w:rsidR="00FE45F9">
        <w:rPr>
          <w:sz w:val="24"/>
          <w:szCs w:val="24"/>
        </w:rPr>
        <w:t>there were limits on America’s “leverage”</w:t>
      </w:r>
      <w:r w:rsidRPr="005E142B">
        <w:rPr>
          <w:sz w:val="24"/>
          <w:szCs w:val="24"/>
        </w:rPr>
        <w:t xml:space="preserve"> and capacity for intervention, that scarcity of resources created disinclination to</w:t>
      </w:r>
      <w:r w:rsidR="00FE45F9">
        <w:rPr>
          <w:sz w:val="24"/>
          <w:szCs w:val="24"/>
        </w:rPr>
        <w:t xml:space="preserve"> use military force, requiring “genuine power-sharing,” “</w:t>
      </w:r>
      <w:r w:rsidRPr="005E142B">
        <w:rPr>
          <w:sz w:val="24"/>
          <w:szCs w:val="24"/>
        </w:rPr>
        <w:t xml:space="preserve">in a way that </w:t>
      </w:r>
      <w:r w:rsidR="00FE45F9">
        <w:rPr>
          <w:sz w:val="24"/>
          <w:szCs w:val="24"/>
        </w:rPr>
        <w:t>has never been the case before.”</w:t>
      </w:r>
      <w:r w:rsidRPr="005E142B">
        <w:rPr>
          <w:sz w:val="24"/>
          <w:szCs w:val="24"/>
        </w:rPr>
        <w:t xml:space="preserve"> These remarks prompted disavowal from officials. Reacting to the </w:t>
      </w:r>
      <w:r w:rsidRPr="005E142B">
        <w:rPr>
          <w:i/>
          <w:sz w:val="24"/>
          <w:szCs w:val="24"/>
        </w:rPr>
        <w:t xml:space="preserve">Washington Post’s </w:t>
      </w:r>
      <w:r w:rsidRPr="005E142B">
        <w:rPr>
          <w:sz w:val="24"/>
          <w:szCs w:val="24"/>
        </w:rPr>
        <w:t xml:space="preserve">story, </w:t>
      </w:r>
      <w:r w:rsidR="00F64932">
        <w:rPr>
          <w:sz w:val="24"/>
          <w:szCs w:val="24"/>
        </w:rPr>
        <w:t>journalists and critics</w:t>
      </w:r>
      <w:r w:rsidR="00FE45F9">
        <w:rPr>
          <w:sz w:val="24"/>
          <w:szCs w:val="24"/>
        </w:rPr>
        <w:t xml:space="preserve"> accused Clinton of “Carterisation”</w:t>
      </w:r>
      <w:r w:rsidRPr="005E142B">
        <w:rPr>
          <w:sz w:val="24"/>
          <w:szCs w:val="24"/>
        </w:rPr>
        <w:t xml:space="preserve"> and a retreat from world leadership, 'inertia and drift.'</w:t>
      </w:r>
      <w:r w:rsidRPr="005E142B">
        <w:rPr>
          <w:rStyle w:val="FootnoteReference"/>
          <w:sz w:val="24"/>
          <w:szCs w:val="24"/>
        </w:rPr>
        <w:footnoteReference w:id="106"/>
      </w:r>
      <w:r w:rsidRPr="005E142B">
        <w:rPr>
          <w:sz w:val="24"/>
          <w:szCs w:val="24"/>
        </w:rPr>
        <w:t xml:space="preserve"> Abroad, Britain’s BBC summarised it as an abdication of leadership and Japanese </w:t>
      </w:r>
      <w:r w:rsidRPr="005E142B">
        <w:rPr>
          <w:sz w:val="24"/>
          <w:szCs w:val="24"/>
        </w:rPr>
        <w:lastRenderedPageBreak/>
        <w:t>coverage suggested the disappearance of American’s nuclear umbrella, leading conservative politicians in Tokyo to advocate an indigenous nuclear arsenal.</w:t>
      </w:r>
      <w:r w:rsidRPr="005E142B">
        <w:rPr>
          <w:rStyle w:val="FootnoteReference"/>
          <w:sz w:val="24"/>
          <w:szCs w:val="24"/>
        </w:rPr>
        <w:footnoteReference w:id="107"/>
      </w:r>
      <w:r w:rsidRPr="005E142B">
        <w:rPr>
          <w:sz w:val="24"/>
          <w:szCs w:val="24"/>
        </w:rPr>
        <w:t xml:space="preserve"> The White House scrambled to dissociate itself from Tarnoff’s remarks. Clinton’s press s</w:t>
      </w:r>
      <w:r w:rsidR="00FE45F9">
        <w:rPr>
          <w:sz w:val="24"/>
          <w:szCs w:val="24"/>
        </w:rPr>
        <w:t>ecretary insisted the official “</w:t>
      </w:r>
      <w:r w:rsidRPr="005E142B">
        <w:rPr>
          <w:sz w:val="24"/>
          <w:szCs w:val="24"/>
        </w:rPr>
        <w:t xml:space="preserve">clearly does not speak for the administration on the US </w:t>
      </w:r>
      <w:r w:rsidR="00FE45F9">
        <w:rPr>
          <w:sz w:val="24"/>
          <w:szCs w:val="24"/>
        </w:rPr>
        <w:t>role in the post Cold War world”</w:t>
      </w:r>
      <w:r w:rsidRPr="005E142B">
        <w:rPr>
          <w:sz w:val="24"/>
          <w:szCs w:val="24"/>
        </w:rPr>
        <w:t xml:space="preserve"> and suggested his career was in jeopardy, and Christopher frenetically contacted journalist</w:t>
      </w:r>
      <w:r w:rsidR="00FE45F9">
        <w:rPr>
          <w:sz w:val="24"/>
          <w:szCs w:val="24"/>
        </w:rPr>
        <w:t>s to insist that America would “</w:t>
      </w:r>
      <w:r w:rsidRPr="005E142B">
        <w:rPr>
          <w:sz w:val="24"/>
          <w:szCs w:val="24"/>
        </w:rPr>
        <w:t>take</w:t>
      </w:r>
      <w:r w:rsidR="00FE45F9">
        <w:rPr>
          <w:sz w:val="24"/>
          <w:szCs w:val="24"/>
        </w:rPr>
        <w:t xml:space="preserve"> the lead in place after place.”</w:t>
      </w:r>
      <w:r w:rsidRPr="005E142B">
        <w:rPr>
          <w:rStyle w:val="FootnoteReference"/>
          <w:sz w:val="24"/>
          <w:szCs w:val="24"/>
        </w:rPr>
        <w:footnoteReference w:id="108"/>
      </w:r>
      <w:r w:rsidRPr="005E142B">
        <w:rPr>
          <w:sz w:val="24"/>
          <w:szCs w:val="24"/>
        </w:rPr>
        <w:t xml:space="preserve"> Christopher’s aides considered firing Tarnoff.</w:t>
      </w:r>
      <w:r w:rsidRPr="005E142B">
        <w:rPr>
          <w:rStyle w:val="FootnoteReference"/>
          <w:sz w:val="24"/>
          <w:szCs w:val="24"/>
        </w:rPr>
        <w:footnoteReference w:id="109"/>
      </w:r>
      <w:r w:rsidRPr="005E142B">
        <w:rPr>
          <w:sz w:val="24"/>
          <w:szCs w:val="24"/>
        </w:rPr>
        <w:t xml:space="preserve"> In a speech three days later, Christopher referred to </w:t>
      </w:r>
      <w:r w:rsidR="00FE45F9">
        <w:rPr>
          <w:sz w:val="24"/>
          <w:szCs w:val="24"/>
        </w:rPr>
        <w:t>leadership twenty-three times, “</w:t>
      </w:r>
      <w:r w:rsidRPr="005E142B">
        <w:rPr>
          <w:sz w:val="24"/>
          <w:szCs w:val="24"/>
        </w:rPr>
        <w:t>to dispel any suggestion at home or abroad that the first Democratic Administration in a do</w:t>
      </w:r>
      <w:r w:rsidR="00FE45F9">
        <w:rPr>
          <w:sz w:val="24"/>
          <w:szCs w:val="24"/>
        </w:rPr>
        <w:t>zen years was sounding retreat.”</w:t>
      </w:r>
      <w:r w:rsidRPr="005E142B">
        <w:rPr>
          <w:rStyle w:val="FootnoteReference"/>
          <w:sz w:val="24"/>
          <w:szCs w:val="24"/>
        </w:rPr>
        <w:footnoteReference w:id="110"/>
      </w:r>
      <w:r w:rsidRPr="005E142B">
        <w:rPr>
          <w:sz w:val="24"/>
          <w:szCs w:val="24"/>
        </w:rPr>
        <w:t xml:space="preserve"> The administration’s reaction is indicative of the strong disincentives even to hint at a major revision.  </w:t>
      </w:r>
    </w:p>
    <w:p w:rsidR="005959CE" w:rsidRPr="005E142B" w:rsidRDefault="005959CE" w:rsidP="007B49F3">
      <w:pPr>
        <w:spacing w:after="0" w:line="480" w:lineRule="auto"/>
        <w:jc w:val="both"/>
        <w:rPr>
          <w:sz w:val="24"/>
          <w:szCs w:val="24"/>
        </w:rPr>
      </w:pPr>
    </w:p>
    <w:p w:rsidR="00724C9F" w:rsidRDefault="008A11C8" w:rsidP="005E142B">
      <w:pPr>
        <w:spacing w:after="0" w:line="480" w:lineRule="auto"/>
        <w:ind w:firstLine="567"/>
        <w:jc w:val="both"/>
        <w:rPr>
          <w:sz w:val="24"/>
          <w:szCs w:val="24"/>
        </w:rPr>
      </w:pPr>
      <w:r>
        <w:rPr>
          <w:sz w:val="24"/>
          <w:szCs w:val="24"/>
        </w:rPr>
        <w:t>As a further</w:t>
      </w:r>
      <w:r w:rsidR="00724C9F" w:rsidRPr="005E142B">
        <w:rPr>
          <w:sz w:val="24"/>
          <w:szCs w:val="24"/>
        </w:rPr>
        <w:t xml:space="preserve"> </w:t>
      </w:r>
      <w:r w:rsidR="001611F4">
        <w:rPr>
          <w:sz w:val="24"/>
          <w:szCs w:val="24"/>
        </w:rPr>
        <w:t xml:space="preserve">indicator </w:t>
      </w:r>
      <w:r w:rsidR="007B49F3">
        <w:rPr>
          <w:sz w:val="24"/>
          <w:szCs w:val="24"/>
        </w:rPr>
        <w:t xml:space="preserve">of </w:t>
      </w:r>
      <w:r w:rsidR="00724C9F" w:rsidRPr="005E142B">
        <w:rPr>
          <w:sz w:val="24"/>
          <w:szCs w:val="24"/>
        </w:rPr>
        <w:t xml:space="preserve">the strength of </w:t>
      </w:r>
      <w:r w:rsidR="001611F4">
        <w:rPr>
          <w:sz w:val="24"/>
          <w:szCs w:val="24"/>
        </w:rPr>
        <w:t>established assumptions</w:t>
      </w:r>
      <w:r>
        <w:rPr>
          <w:sz w:val="24"/>
          <w:szCs w:val="24"/>
        </w:rPr>
        <w:t>, e</w:t>
      </w:r>
      <w:r w:rsidR="00724C9F" w:rsidRPr="005E142B">
        <w:rPr>
          <w:sz w:val="24"/>
          <w:szCs w:val="24"/>
        </w:rPr>
        <w:t>ven organisations that</w:t>
      </w:r>
      <w:r>
        <w:rPr>
          <w:sz w:val="24"/>
          <w:szCs w:val="24"/>
        </w:rPr>
        <w:t xml:space="preserve"> were</w:t>
      </w:r>
      <w:r w:rsidR="00724C9F" w:rsidRPr="005E142B">
        <w:rPr>
          <w:sz w:val="24"/>
          <w:szCs w:val="24"/>
        </w:rPr>
        <w:t xml:space="preserve"> designed to test assumptions t</w:t>
      </w:r>
      <w:r w:rsidR="007B49F3">
        <w:rPr>
          <w:sz w:val="24"/>
          <w:szCs w:val="24"/>
        </w:rPr>
        <w:t xml:space="preserve">ook </w:t>
      </w:r>
      <w:r w:rsidR="00724C9F" w:rsidRPr="005E142B">
        <w:rPr>
          <w:sz w:val="24"/>
          <w:szCs w:val="24"/>
        </w:rPr>
        <w:t>primac</w:t>
      </w:r>
      <w:r w:rsidR="001611F4">
        <w:rPr>
          <w:sz w:val="24"/>
          <w:szCs w:val="24"/>
        </w:rPr>
        <w:t xml:space="preserve">y as their unexamined premise. </w:t>
      </w:r>
      <w:r w:rsidR="00724C9F" w:rsidRPr="005E142B">
        <w:rPr>
          <w:sz w:val="24"/>
          <w:szCs w:val="24"/>
        </w:rPr>
        <w:t>Orthodoxy captured the government insti</w:t>
      </w:r>
      <w:r w:rsidR="00FE45F9">
        <w:rPr>
          <w:sz w:val="24"/>
          <w:szCs w:val="24"/>
        </w:rPr>
        <w:t>tution that could have revised first principles</w:t>
      </w:r>
      <w:r w:rsidR="00724C9F" w:rsidRPr="005E142B">
        <w:rPr>
          <w:sz w:val="24"/>
          <w:szCs w:val="24"/>
        </w:rPr>
        <w:t xml:space="preserve">, the Office of Net Assessment (ONA) within the Pentagon. ONA focussed predominantly on </w:t>
      </w:r>
      <w:r w:rsidR="00875BEE" w:rsidRPr="005E142B">
        <w:rPr>
          <w:sz w:val="24"/>
          <w:szCs w:val="24"/>
        </w:rPr>
        <w:t xml:space="preserve">the </w:t>
      </w:r>
      <w:r w:rsidR="00724C9F" w:rsidRPr="005E142B">
        <w:rPr>
          <w:sz w:val="24"/>
          <w:szCs w:val="24"/>
        </w:rPr>
        <w:t>military doctrinal-technical revolution, and the future threat of China,</w:t>
      </w:r>
      <w:r w:rsidR="00724C9F" w:rsidRPr="005E142B">
        <w:rPr>
          <w:rStyle w:val="FootnoteReference"/>
          <w:sz w:val="24"/>
          <w:szCs w:val="24"/>
        </w:rPr>
        <w:footnoteReference w:id="111"/>
      </w:r>
      <w:r w:rsidR="00724C9F" w:rsidRPr="005E142B">
        <w:rPr>
          <w:sz w:val="24"/>
          <w:szCs w:val="24"/>
        </w:rPr>
        <w:t xml:space="preserve"> with America’s ‘pre-eminent position’ as its axiomatic starting-point.</w:t>
      </w:r>
      <w:r w:rsidR="00724C9F" w:rsidRPr="005E142B">
        <w:rPr>
          <w:rStyle w:val="FootnoteReference"/>
          <w:sz w:val="24"/>
          <w:szCs w:val="24"/>
        </w:rPr>
        <w:footnoteReference w:id="112"/>
      </w:r>
      <w:r w:rsidR="00724C9F" w:rsidRPr="005E142B">
        <w:rPr>
          <w:sz w:val="24"/>
          <w:szCs w:val="24"/>
        </w:rPr>
        <w:t xml:space="preserve"> </w:t>
      </w:r>
      <w:r w:rsidR="00014CF7">
        <w:rPr>
          <w:sz w:val="24"/>
          <w:szCs w:val="24"/>
        </w:rPr>
        <w:t xml:space="preserve">Likewise, in </w:t>
      </w:r>
      <w:r w:rsidR="00724C9F" w:rsidRPr="005E142B">
        <w:rPr>
          <w:sz w:val="24"/>
          <w:szCs w:val="24"/>
        </w:rPr>
        <w:t>Congressional hearings into force structure levels</w:t>
      </w:r>
      <w:r w:rsidR="00014CF7">
        <w:rPr>
          <w:sz w:val="24"/>
          <w:szCs w:val="24"/>
        </w:rPr>
        <w:t xml:space="preserve">, </w:t>
      </w:r>
      <w:r w:rsidR="00724C9F" w:rsidRPr="005E142B">
        <w:rPr>
          <w:sz w:val="24"/>
          <w:szCs w:val="24"/>
        </w:rPr>
        <w:t xml:space="preserve">the focus quickly settled on </w:t>
      </w:r>
      <w:r w:rsidR="00724C9F" w:rsidRPr="005E142B">
        <w:rPr>
          <w:i/>
          <w:sz w:val="24"/>
          <w:szCs w:val="24"/>
        </w:rPr>
        <w:t>how</w:t>
      </w:r>
      <w:r w:rsidR="00724C9F" w:rsidRPr="005E142B">
        <w:rPr>
          <w:sz w:val="24"/>
          <w:szCs w:val="24"/>
        </w:rPr>
        <w:t>, not whether,</w:t>
      </w:r>
      <w:r w:rsidR="00724C9F" w:rsidRPr="005E142B">
        <w:rPr>
          <w:i/>
          <w:sz w:val="24"/>
          <w:szCs w:val="24"/>
        </w:rPr>
        <w:t xml:space="preserve"> </w:t>
      </w:r>
      <w:r w:rsidR="00724C9F" w:rsidRPr="005E142B">
        <w:rPr>
          <w:sz w:val="24"/>
          <w:szCs w:val="24"/>
        </w:rPr>
        <w:t xml:space="preserve">to pursue preponderance. Discussion centred on America’s level of preparedness within a new threat environment, its </w:t>
      </w:r>
      <w:r w:rsidR="00724C9F" w:rsidRPr="005E142B">
        <w:rPr>
          <w:sz w:val="24"/>
          <w:szCs w:val="24"/>
        </w:rPr>
        <w:lastRenderedPageBreak/>
        <w:t>capacity to intervene in the Gulf or the Korean peninsula to ensure ‘global stability and security’, and wh</w:t>
      </w:r>
      <w:r w:rsidR="00FE45F9">
        <w:rPr>
          <w:sz w:val="24"/>
          <w:szCs w:val="24"/>
        </w:rPr>
        <w:t>at constituted the appropriate “minimum”</w:t>
      </w:r>
      <w:r w:rsidR="00724C9F" w:rsidRPr="005E142B">
        <w:rPr>
          <w:sz w:val="24"/>
          <w:szCs w:val="24"/>
        </w:rPr>
        <w:t xml:space="preserve"> to achieve these goals.</w:t>
      </w:r>
      <w:r w:rsidR="00724C9F" w:rsidRPr="005E142B">
        <w:rPr>
          <w:rStyle w:val="FootnoteReference"/>
          <w:sz w:val="24"/>
          <w:szCs w:val="24"/>
        </w:rPr>
        <w:footnoteReference w:id="113"/>
      </w:r>
      <w:r w:rsidR="00724C9F" w:rsidRPr="005E142B">
        <w:rPr>
          <w:sz w:val="24"/>
          <w:szCs w:val="24"/>
        </w:rPr>
        <w:t xml:space="preserve"> </w:t>
      </w:r>
      <w:r w:rsidR="00350AC4" w:rsidRPr="005E142B">
        <w:rPr>
          <w:sz w:val="24"/>
          <w:szCs w:val="24"/>
        </w:rPr>
        <w:t xml:space="preserve"> </w:t>
      </w:r>
    </w:p>
    <w:p w:rsidR="00B71562" w:rsidRPr="005E142B" w:rsidRDefault="00B71562" w:rsidP="005E142B">
      <w:pPr>
        <w:spacing w:after="0" w:line="480" w:lineRule="auto"/>
        <w:ind w:firstLine="567"/>
        <w:jc w:val="both"/>
        <w:rPr>
          <w:sz w:val="24"/>
          <w:szCs w:val="24"/>
        </w:rPr>
      </w:pPr>
    </w:p>
    <w:p w:rsidR="00724C9F" w:rsidRPr="005E142B" w:rsidRDefault="00724C9F" w:rsidP="005E142B">
      <w:pPr>
        <w:spacing w:after="0" w:line="480" w:lineRule="auto"/>
        <w:ind w:firstLine="720"/>
        <w:jc w:val="both"/>
        <w:rPr>
          <w:sz w:val="24"/>
          <w:szCs w:val="24"/>
        </w:rPr>
      </w:pPr>
      <w:r w:rsidRPr="005E142B">
        <w:rPr>
          <w:sz w:val="24"/>
          <w:szCs w:val="24"/>
        </w:rPr>
        <w:t xml:space="preserve">We can also infer a habitual process from the inquiry of the later National </w:t>
      </w:r>
      <w:r w:rsidR="003938A8">
        <w:rPr>
          <w:sz w:val="24"/>
          <w:szCs w:val="24"/>
        </w:rPr>
        <w:t>Defense</w:t>
      </w:r>
      <w:r w:rsidRPr="005E142B">
        <w:rPr>
          <w:sz w:val="24"/>
          <w:szCs w:val="24"/>
        </w:rPr>
        <w:t xml:space="preserve"> Panel (NDP), </w:t>
      </w:r>
      <w:r w:rsidR="00D56078" w:rsidRPr="005E142B">
        <w:rPr>
          <w:sz w:val="24"/>
          <w:szCs w:val="24"/>
        </w:rPr>
        <w:t>an</w:t>
      </w:r>
      <w:r w:rsidRPr="005E142B">
        <w:rPr>
          <w:sz w:val="24"/>
          <w:szCs w:val="24"/>
        </w:rPr>
        <w:t xml:space="preserve"> independent group created in December 1996 by the Secretary of </w:t>
      </w:r>
      <w:r w:rsidR="003938A8">
        <w:rPr>
          <w:sz w:val="24"/>
          <w:szCs w:val="24"/>
        </w:rPr>
        <w:t>Defense</w:t>
      </w:r>
      <w:r w:rsidRPr="005E142B">
        <w:rPr>
          <w:sz w:val="24"/>
          <w:szCs w:val="24"/>
        </w:rPr>
        <w:t xml:space="preserve"> to review the QDR. Even this official body, with its mandate to review America’s posture, uncritically affirmed the assumption of US preponderance. There was an activist bias in the NDP’s assigned task. It was asked to develop military responses to almost any threat to US interests. It</w:t>
      </w:r>
      <w:r w:rsidR="00032C43" w:rsidRPr="005E142B">
        <w:rPr>
          <w:sz w:val="24"/>
          <w:szCs w:val="24"/>
        </w:rPr>
        <w:t>s nine appointees</w:t>
      </w:r>
      <w:r w:rsidRPr="005E142B">
        <w:rPr>
          <w:sz w:val="24"/>
          <w:szCs w:val="24"/>
        </w:rPr>
        <w:t xml:space="preserve"> consisted of </w:t>
      </w:r>
      <w:r w:rsidR="003938A8">
        <w:rPr>
          <w:sz w:val="24"/>
          <w:szCs w:val="24"/>
        </w:rPr>
        <w:t>defense</w:t>
      </w:r>
      <w:r w:rsidR="00FE45F9">
        <w:rPr>
          <w:sz w:val="24"/>
          <w:szCs w:val="24"/>
        </w:rPr>
        <w:t xml:space="preserve"> “insiders”</w:t>
      </w:r>
      <w:r w:rsidRPr="005E142B">
        <w:rPr>
          <w:sz w:val="24"/>
          <w:szCs w:val="24"/>
        </w:rPr>
        <w:t xml:space="preserve">, </w:t>
      </w:r>
      <w:r w:rsidR="00252567" w:rsidRPr="005E142B">
        <w:rPr>
          <w:sz w:val="24"/>
          <w:szCs w:val="24"/>
        </w:rPr>
        <w:t>(</w:t>
      </w:r>
      <w:r w:rsidR="00032C43" w:rsidRPr="005E142B">
        <w:rPr>
          <w:sz w:val="24"/>
          <w:szCs w:val="24"/>
        </w:rPr>
        <w:t>including</w:t>
      </w:r>
      <w:r w:rsidR="005F6F63" w:rsidRPr="005E142B">
        <w:rPr>
          <w:sz w:val="24"/>
          <w:szCs w:val="24"/>
        </w:rPr>
        <w:t xml:space="preserve"> two prominent </w:t>
      </w:r>
      <w:r w:rsidR="008E3104">
        <w:rPr>
          <w:sz w:val="24"/>
          <w:szCs w:val="24"/>
        </w:rPr>
        <w:t>“blob”</w:t>
      </w:r>
      <w:r w:rsidR="005F6F63" w:rsidRPr="005E142B">
        <w:rPr>
          <w:sz w:val="24"/>
          <w:szCs w:val="24"/>
        </w:rPr>
        <w:t xml:space="preserve"> members Richard </w:t>
      </w:r>
      <w:r w:rsidR="00252567" w:rsidRPr="005E142B">
        <w:rPr>
          <w:sz w:val="24"/>
          <w:szCs w:val="24"/>
        </w:rPr>
        <w:t>Armitage and Andrew Krepinevich),</w:t>
      </w:r>
      <w:r w:rsidR="00032C43" w:rsidRPr="005E142B">
        <w:rPr>
          <w:sz w:val="24"/>
          <w:szCs w:val="24"/>
        </w:rPr>
        <w:t xml:space="preserve"> </w:t>
      </w:r>
      <w:r w:rsidRPr="005E142B">
        <w:rPr>
          <w:sz w:val="24"/>
          <w:szCs w:val="24"/>
        </w:rPr>
        <w:t xml:space="preserve">former senior military officers and Pentagon civilian officials, four of whom were senior executives at </w:t>
      </w:r>
      <w:r w:rsidR="003938A8">
        <w:rPr>
          <w:sz w:val="24"/>
          <w:szCs w:val="24"/>
        </w:rPr>
        <w:t>defense</w:t>
      </w:r>
      <w:r w:rsidRPr="005E142B">
        <w:rPr>
          <w:sz w:val="24"/>
          <w:szCs w:val="24"/>
        </w:rPr>
        <w:t xml:space="preserve"> contract firms.</w:t>
      </w:r>
      <w:r w:rsidRPr="005E142B">
        <w:rPr>
          <w:rStyle w:val="FootnoteReference"/>
          <w:sz w:val="24"/>
          <w:szCs w:val="24"/>
        </w:rPr>
        <w:footnoteReference w:id="114"/>
      </w:r>
      <w:r w:rsidRPr="005E142B">
        <w:rPr>
          <w:sz w:val="24"/>
          <w:szCs w:val="24"/>
        </w:rPr>
        <w:t xml:space="preserve"> Unsurprisingly, their report left orthodoxies untouched, suggesting incremental changes but not evaluating alternatives.</w:t>
      </w:r>
      <w:r w:rsidRPr="005E142B">
        <w:rPr>
          <w:rStyle w:val="FootnoteReference"/>
          <w:sz w:val="24"/>
          <w:szCs w:val="24"/>
        </w:rPr>
        <w:footnoteReference w:id="115"/>
      </w:r>
      <w:r w:rsidR="00FE45F9">
        <w:rPr>
          <w:sz w:val="24"/>
          <w:szCs w:val="24"/>
        </w:rPr>
        <w:t xml:space="preserve"> It questioned the two war standard</w:t>
      </w:r>
      <w:r w:rsidRPr="005E142B">
        <w:rPr>
          <w:sz w:val="24"/>
          <w:szCs w:val="24"/>
        </w:rPr>
        <w:t>, but on the basis that it was not global enough, advising that the U</w:t>
      </w:r>
      <w:r w:rsidR="00F3679A">
        <w:rPr>
          <w:sz w:val="24"/>
          <w:szCs w:val="24"/>
        </w:rPr>
        <w:t>.</w:t>
      </w:r>
      <w:r w:rsidRPr="005E142B">
        <w:rPr>
          <w:sz w:val="24"/>
          <w:szCs w:val="24"/>
        </w:rPr>
        <w:t>S</w:t>
      </w:r>
      <w:r w:rsidR="00F3679A">
        <w:rPr>
          <w:sz w:val="24"/>
          <w:szCs w:val="24"/>
        </w:rPr>
        <w:t>.</w:t>
      </w:r>
      <w:r w:rsidRPr="005E142B">
        <w:rPr>
          <w:sz w:val="24"/>
          <w:szCs w:val="24"/>
        </w:rPr>
        <w:t xml:space="preserve"> should prepare for ‘regular deployments to far-flung areas of the globe, from open deserts to confining urban terrain.’ Its final report presumed the existing account of U</w:t>
      </w:r>
      <w:r w:rsidR="00E43EE9">
        <w:rPr>
          <w:sz w:val="24"/>
          <w:szCs w:val="24"/>
        </w:rPr>
        <w:t>.</w:t>
      </w:r>
      <w:r w:rsidRPr="005E142B">
        <w:rPr>
          <w:sz w:val="24"/>
          <w:szCs w:val="24"/>
        </w:rPr>
        <w:t>S</w:t>
      </w:r>
      <w:r w:rsidR="00E43EE9">
        <w:rPr>
          <w:sz w:val="24"/>
          <w:szCs w:val="24"/>
        </w:rPr>
        <w:t>.</w:t>
      </w:r>
      <w:r w:rsidRPr="005E142B">
        <w:rPr>
          <w:sz w:val="24"/>
          <w:szCs w:val="24"/>
        </w:rPr>
        <w:t xml:space="preserve"> security interests, </w:t>
      </w:r>
      <w:r w:rsidR="00E43EE9">
        <w:rPr>
          <w:sz w:val="24"/>
          <w:szCs w:val="24"/>
        </w:rPr>
        <w:t>emphasising the need to ensure</w:t>
      </w:r>
      <w:r w:rsidR="00FE45F9">
        <w:rPr>
          <w:sz w:val="24"/>
          <w:szCs w:val="24"/>
        </w:rPr>
        <w:t xml:space="preserve"> “global stability”</w:t>
      </w:r>
      <w:r w:rsidR="00E43EE9">
        <w:rPr>
          <w:sz w:val="24"/>
          <w:szCs w:val="24"/>
        </w:rPr>
        <w:t xml:space="preserve"> through</w:t>
      </w:r>
      <w:r w:rsidR="00FE45F9">
        <w:rPr>
          <w:sz w:val="24"/>
          <w:szCs w:val="24"/>
        </w:rPr>
        <w:t xml:space="preserve"> existing alliances and “</w:t>
      </w:r>
      <w:r w:rsidRPr="005E142B">
        <w:rPr>
          <w:sz w:val="24"/>
          <w:szCs w:val="24"/>
        </w:rPr>
        <w:t>the expansion of free market arrangements</w:t>
      </w:r>
      <w:r w:rsidR="00FE45F9">
        <w:rPr>
          <w:sz w:val="24"/>
          <w:szCs w:val="24"/>
        </w:rPr>
        <w:t xml:space="preserve"> into all regions of the world.”</w:t>
      </w:r>
      <w:r w:rsidRPr="005E142B">
        <w:rPr>
          <w:rStyle w:val="FootnoteReference"/>
          <w:sz w:val="24"/>
          <w:szCs w:val="24"/>
        </w:rPr>
        <w:footnoteReference w:id="116"/>
      </w:r>
      <w:r w:rsidRPr="005E142B">
        <w:rPr>
          <w:sz w:val="24"/>
          <w:szCs w:val="24"/>
        </w:rPr>
        <w:t xml:space="preserve"> The reception of the report was more conformist still. Its modest suggestions about reduced weapons purchases were largely ignored by Secretary Cohen is his response to </w:t>
      </w:r>
      <w:r w:rsidRPr="005E142B">
        <w:rPr>
          <w:sz w:val="24"/>
          <w:szCs w:val="24"/>
        </w:rPr>
        <w:lastRenderedPageBreak/>
        <w:t>Congress.</w:t>
      </w:r>
      <w:r w:rsidRPr="005E142B">
        <w:rPr>
          <w:rStyle w:val="FootnoteReference"/>
          <w:sz w:val="24"/>
          <w:szCs w:val="24"/>
        </w:rPr>
        <w:footnoteReference w:id="117"/>
      </w:r>
      <w:r w:rsidRPr="005E142B">
        <w:rPr>
          <w:sz w:val="24"/>
          <w:szCs w:val="24"/>
        </w:rPr>
        <w:t xml:space="preserve"> </w:t>
      </w:r>
      <w:r w:rsidR="00E50893" w:rsidRPr="005E142B">
        <w:rPr>
          <w:sz w:val="24"/>
          <w:szCs w:val="24"/>
        </w:rPr>
        <w:t>O</w:t>
      </w:r>
      <w:r w:rsidR="001D26C0" w:rsidRPr="005E142B">
        <w:rPr>
          <w:sz w:val="24"/>
          <w:szCs w:val="24"/>
        </w:rPr>
        <w:t>verall, the necessity of preponderance was the starting-point even for institutions tasked to review America’s plans.</w:t>
      </w:r>
    </w:p>
    <w:p w:rsidR="00001245" w:rsidRPr="005E142B" w:rsidRDefault="00001245" w:rsidP="00E43EE9">
      <w:pPr>
        <w:spacing w:after="0" w:line="480" w:lineRule="auto"/>
        <w:jc w:val="both"/>
        <w:rPr>
          <w:sz w:val="24"/>
          <w:szCs w:val="24"/>
        </w:rPr>
      </w:pPr>
    </w:p>
    <w:p w:rsidR="00E50893" w:rsidRPr="005E142B" w:rsidRDefault="00724C9F" w:rsidP="00E43EE9">
      <w:pPr>
        <w:spacing w:after="0" w:line="480" w:lineRule="auto"/>
        <w:ind w:firstLine="709"/>
        <w:jc w:val="both"/>
        <w:rPr>
          <w:sz w:val="24"/>
          <w:szCs w:val="24"/>
        </w:rPr>
      </w:pPr>
      <w:r w:rsidRPr="005E142B">
        <w:rPr>
          <w:sz w:val="24"/>
          <w:szCs w:val="24"/>
        </w:rPr>
        <w:t>Clinton’s circle was anxious to build legitimacy by cultivating and</w:t>
      </w:r>
      <w:r w:rsidR="00896572">
        <w:rPr>
          <w:sz w:val="24"/>
          <w:szCs w:val="24"/>
        </w:rPr>
        <w:t xml:space="preserve"> impressing what it called the “foreign policy elite.”</w:t>
      </w:r>
      <w:r w:rsidRPr="005E142B">
        <w:rPr>
          <w:sz w:val="24"/>
          <w:szCs w:val="24"/>
        </w:rPr>
        <w:t xml:space="preserve"> On the campaign trail, Clinton cultivated the advice of seasoned Democratic foreign policy </w:t>
      </w:r>
      <w:r w:rsidR="00325F41" w:rsidRPr="005E142B">
        <w:rPr>
          <w:sz w:val="24"/>
          <w:szCs w:val="24"/>
        </w:rPr>
        <w:t>hands</w:t>
      </w:r>
      <w:r w:rsidRPr="005E142B">
        <w:rPr>
          <w:sz w:val="24"/>
          <w:szCs w:val="24"/>
        </w:rPr>
        <w:t>, Madeleine Albright and Martin Indyk, Sam Nunn, Lee Hamilton, Dave McCurdy, and Stephen Solarz</w:t>
      </w:r>
      <w:r w:rsidRPr="005E142B">
        <w:rPr>
          <w:rStyle w:val="bibliomset"/>
          <w:sz w:val="24"/>
          <w:szCs w:val="24"/>
        </w:rPr>
        <w:t>.</w:t>
      </w:r>
      <w:r w:rsidRPr="005E142B">
        <w:rPr>
          <w:rStyle w:val="FootnoteReference"/>
          <w:sz w:val="24"/>
          <w:szCs w:val="24"/>
        </w:rPr>
        <w:footnoteReference w:id="118"/>
      </w:r>
      <w:r w:rsidRPr="005E142B">
        <w:rPr>
          <w:rStyle w:val="bibliomset"/>
          <w:sz w:val="24"/>
          <w:szCs w:val="24"/>
        </w:rPr>
        <w:t xml:space="preserve"> Clinton consulted regularly with seven establishment advisors, </w:t>
      </w:r>
      <w:r w:rsidR="00B35832">
        <w:rPr>
          <w:rStyle w:val="bibliomset"/>
          <w:sz w:val="24"/>
          <w:szCs w:val="24"/>
        </w:rPr>
        <w:t>including a</w:t>
      </w:r>
      <w:r w:rsidRPr="005E142B">
        <w:rPr>
          <w:rStyle w:val="bibliomset"/>
          <w:sz w:val="24"/>
          <w:szCs w:val="24"/>
        </w:rPr>
        <w:t xml:space="preserve"> corporate strategist,</w:t>
      </w:r>
      <w:r w:rsidR="00B35832">
        <w:rPr>
          <w:sz w:val="24"/>
          <w:szCs w:val="24"/>
        </w:rPr>
        <w:t xml:space="preserve"> a</w:t>
      </w:r>
      <w:r w:rsidRPr="005E142B">
        <w:rPr>
          <w:sz w:val="24"/>
          <w:szCs w:val="24"/>
        </w:rPr>
        <w:t xml:space="preserve"> former national security advisor, an investment banker, and a senior Washington lawyer.</w:t>
      </w:r>
      <w:r w:rsidRPr="005E142B">
        <w:rPr>
          <w:rStyle w:val="FootnoteReference"/>
          <w:sz w:val="24"/>
          <w:szCs w:val="24"/>
        </w:rPr>
        <w:footnoteReference w:id="119"/>
      </w:r>
      <w:r w:rsidRPr="005E142B">
        <w:rPr>
          <w:rStyle w:val="bibliomset"/>
          <w:sz w:val="24"/>
          <w:szCs w:val="24"/>
        </w:rPr>
        <w:t xml:space="preserve"> </w:t>
      </w:r>
      <w:r w:rsidR="00A526B6" w:rsidRPr="005E142B">
        <w:rPr>
          <w:rStyle w:val="bibliomset"/>
          <w:sz w:val="24"/>
          <w:szCs w:val="24"/>
        </w:rPr>
        <w:t>O</w:t>
      </w:r>
      <w:r w:rsidRPr="005E142B">
        <w:rPr>
          <w:rStyle w:val="bibliomset"/>
          <w:sz w:val="24"/>
          <w:szCs w:val="24"/>
        </w:rPr>
        <w:t xml:space="preserve">fficials were sensitive to elite reception of Clinton’s policies. </w:t>
      </w:r>
      <w:r w:rsidRPr="005E142B">
        <w:rPr>
          <w:sz w:val="24"/>
          <w:szCs w:val="24"/>
        </w:rPr>
        <w:t>Months after the Ta</w:t>
      </w:r>
      <w:r w:rsidR="004634E8" w:rsidRPr="005E142B">
        <w:rPr>
          <w:sz w:val="24"/>
          <w:szCs w:val="24"/>
        </w:rPr>
        <w:t>rnoff</w:t>
      </w:r>
      <w:r w:rsidRPr="005E142B">
        <w:rPr>
          <w:sz w:val="24"/>
          <w:szCs w:val="24"/>
        </w:rPr>
        <w:t xml:space="preserve"> affair, the president’s national security speech-writ</w:t>
      </w:r>
      <w:r w:rsidR="00AC3188" w:rsidRPr="005E142B">
        <w:rPr>
          <w:sz w:val="24"/>
          <w:szCs w:val="24"/>
        </w:rPr>
        <w:t>er, Robert Boorstin, reported meeting with</w:t>
      </w:r>
      <w:r w:rsidRPr="005E142B">
        <w:rPr>
          <w:sz w:val="24"/>
          <w:szCs w:val="24"/>
        </w:rPr>
        <w:t xml:space="preserve"> foreign policy experts </w:t>
      </w:r>
      <w:r w:rsidR="00AC3188" w:rsidRPr="005E142B">
        <w:rPr>
          <w:sz w:val="24"/>
          <w:szCs w:val="24"/>
        </w:rPr>
        <w:t>demanding to</w:t>
      </w:r>
      <w:r w:rsidR="00FE45F9">
        <w:rPr>
          <w:sz w:val="24"/>
          <w:szCs w:val="24"/>
        </w:rPr>
        <w:t xml:space="preserve"> show “</w:t>
      </w:r>
      <w:r w:rsidRPr="005E142B">
        <w:rPr>
          <w:sz w:val="24"/>
          <w:szCs w:val="24"/>
        </w:rPr>
        <w:t xml:space="preserve">we are not simply managing crises, </w:t>
      </w:r>
      <w:r w:rsidRPr="009442DB">
        <w:rPr>
          <w:sz w:val="24"/>
          <w:szCs w:val="24"/>
        </w:rPr>
        <w:t>but organising the world</w:t>
      </w:r>
      <w:r w:rsidR="00FE45F9">
        <w:rPr>
          <w:sz w:val="24"/>
          <w:szCs w:val="24"/>
        </w:rPr>
        <w:t>.”</w:t>
      </w:r>
      <w:r w:rsidRPr="005E142B">
        <w:rPr>
          <w:rStyle w:val="FootnoteReference"/>
          <w:sz w:val="24"/>
          <w:szCs w:val="24"/>
        </w:rPr>
        <w:footnoteReference w:id="120"/>
      </w:r>
      <w:r w:rsidRPr="005E142B">
        <w:rPr>
          <w:sz w:val="24"/>
          <w:szCs w:val="24"/>
        </w:rPr>
        <w:t xml:space="preserve"> </w:t>
      </w:r>
      <w:r w:rsidR="00FE3EFD" w:rsidRPr="005E142B">
        <w:rPr>
          <w:sz w:val="24"/>
          <w:szCs w:val="24"/>
        </w:rPr>
        <w:t>C</w:t>
      </w:r>
      <w:r w:rsidRPr="005E142B">
        <w:rPr>
          <w:sz w:val="24"/>
          <w:szCs w:val="24"/>
        </w:rPr>
        <w:t xml:space="preserve">ommentators pressured the administration to disavow </w:t>
      </w:r>
      <w:r w:rsidR="00700D5B" w:rsidRPr="005E142B">
        <w:rPr>
          <w:sz w:val="24"/>
          <w:szCs w:val="24"/>
        </w:rPr>
        <w:t>retrenchment strategies</w:t>
      </w:r>
      <w:r w:rsidRPr="005E142B">
        <w:rPr>
          <w:sz w:val="24"/>
          <w:szCs w:val="24"/>
        </w:rPr>
        <w:t>.</w:t>
      </w:r>
      <w:r w:rsidRPr="005E142B">
        <w:rPr>
          <w:rStyle w:val="FootnoteReference"/>
          <w:sz w:val="24"/>
          <w:szCs w:val="24"/>
        </w:rPr>
        <w:footnoteReference w:id="121"/>
      </w:r>
      <w:r w:rsidRPr="005E142B">
        <w:rPr>
          <w:sz w:val="24"/>
          <w:szCs w:val="24"/>
        </w:rPr>
        <w:t xml:space="preserve"> With </w:t>
      </w:r>
      <w:r w:rsidR="008E3104">
        <w:rPr>
          <w:sz w:val="24"/>
          <w:szCs w:val="24"/>
        </w:rPr>
        <w:t>“blob”</w:t>
      </w:r>
      <w:r w:rsidRPr="005E142B">
        <w:rPr>
          <w:sz w:val="24"/>
          <w:szCs w:val="24"/>
        </w:rPr>
        <w:t xml:space="preserve"> advice, Clinton’s second State of the Union address in January 1994 underscored the theme of American leadership through benign preponderance, framed against its binary opposite of turning inward.</w:t>
      </w:r>
      <w:r w:rsidRPr="005E142B">
        <w:rPr>
          <w:rStyle w:val="FootnoteReference"/>
          <w:sz w:val="24"/>
          <w:szCs w:val="24"/>
        </w:rPr>
        <w:footnoteReference w:id="122"/>
      </w:r>
      <w:r w:rsidRPr="005E142B">
        <w:rPr>
          <w:sz w:val="24"/>
          <w:szCs w:val="24"/>
        </w:rPr>
        <w:t xml:space="preserve"> In June 1994, the NSC’s deputy director of communications proposed a six month strategy to reengage think tanks, experts, foreign policy associations and former </w:t>
      </w:r>
      <w:r w:rsidRPr="005E142B">
        <w:rPr>
          <w:sz w:val="24"/>
          <w:szCs w:val="24"/>
        </w:rPr>
        <w:lastRenderedPageBreak/>
        <w:t>government officials.</w:t>
      </w:r>
      <w:r w:rsidRPr="005E142B">
        <w:rPr>
          <w:rStyle w:val="FootnoteReference"/>
          <w:sz w:val="24"/>
          <w:szCs w:val="24"/>
        </w:rPr>
        <w:footnoteReference w:id="123"/>
      </w:r>
      <w:r w:rsidRPr="005E142B">
        <w:rPr>
          <w:sz w:val="24"/>
          <w:szCs w:val="24"/>
        </w:rPr>
        <w:t xml:space="preserve"> In September 199</w:t>
      </w:r>
      <w:r w:rsidR="00FE45F9">
        <w:rPr>
          <w:sz w:val="24"/>
          <w:szCs w:val="24"/>
        </w:rPr>
        <w:t>4 Boorstin briefed Lake of the “</w:t>
      </w:r>
      <w:r w:rsidRPr="005E142B">
        <w:rPr>
          <w:sz w:val="24"/>
          <w:szCs w:val="24"/>
        </w:rPr>
        <w:t>need to convince the media/foreign policy elite to take a fresh look at the Presi</w:t>
      </w:r>
      <w:r w:rsidR="00FE45F9">
        <w:rPr>
          <w:sz w:val="24"/>
          <w:szCs w:val="24"/>
        </w:rPr>
        <w:t>dent’s leadership and policies.”</w:t>
      </w:r>
      <w:r w:rsidRPr="005E142B">
        <w:rPr>
          <w:rStyle w:val="FootnoteReference"/>
          <w:sz w:val="24"/>
          <w:szCs w:val="24"/>
        </w:rPr>
        <w:footnoteReference w:id="124"/>
      </w:r>
      <w:r w:rsidRPr="005E142B">
        <w:rPr>
          <w:sz w:val="24"/>
          <w:szCs w:val="24"/>
        </w:rPr>
        <w:t xml:space="preserve"> In early 1995, Boorstin proposed initiatives on non-proliferation and counterterrorism to st</w:t>
      </w:r>
      <w:r w:rsidR="00FE45F9">
        <w:rPr>
          <w:sz w:val="24"/>
          <w:szCs w:val="24"/>
        </w:rPr>
        <w:t>rengthen the President’s “stature”, explaining “</w:t>
      </w:r>
      <w:r w:rsidRPr="005E142B">
        <w:rPr>
          <w:sz w:val="24"/>
          <w:szCs w:val="24"/>
        </w:rPr>
        <w:t>The elites care…Introducing new ini</w:t>
      </w:r>
      <w:r w:rsidR="00FE45F9">
        <w:rPr>
          <w:sz w:val="24"/>
          <w:szCs w:val="24"/>
        </w:rPr>
        <w:t>tiatives…will stimulate elites.”</w:t>
      </w:r>
      <w:r w:rsidRPr="005E142B">
        <w:rPr>
          <w:rStyle w:val="FootnoteReference"/>
          <w:sz w:val="24"/>
          <w:szCs w:val="24"/>
        </w:rPr>
        <w:footnoteReference w:id="125"/>
      </w:r>
      <w:r w:rsidRPr="005E142B">
        <w:rPr>
          <w:sz w:val="24"/>
          <w:szCs w:val="24"/>
        </w:rPr>
        <w:t xml:space="preserve"> Clinton patronised the ‘Renaissance Weekend’ of go</w:t>
      </w:r>
      <w:r w:rsidR="00E77CB1" w:rsidRPr="005E142B">
        <w:rPr>
          <w:sz w:val="24"/>
          <w:szCs w:val="24"/>
        </w:rPr>
        <w:t xml:space="preserve">vernment and business magnates and </w:t>
      </w:r>
      <w:r w:rsidRPr="005E142B">
        <w:rPr>
          <w:sz w:val="24"/>
          <w:szCs w:val="24"/>
        </w:rPr>
        <w:t xml:space="preserve">his staff cultivated think tank </w:t>
      </w:r>
      <w:r w:rsidR="00E77CB1" w:rsidRPr="005E142B">
        <w:rPr>
          <w:sz w:val="24"/>
          <w:szCs w:val="24"/>
        </w:rPr>
        <w:t>experts and diplomatic veterans</w:t>
      </w:r>
      <w:r w:rsidRPr="005E142B">
        <w:rPr>
          <w:sz w:val="24"/>
          <w:szCs w:val="24"/>
        </w:rPr>
        <w:t>.</w:t>
      </w:r>
      <w:r w:rsidRPr="005E142B">
        <w:rPr>
          <w:rStyle w:val="FootnoteReference"/>
          <w:sz w:val="24"/>
          <w:szCs w:val="24"/>
        </w:rPr>
        <w:footnoteReference w:id="126"/>
      </w:r>
      <w:r w:rsidRPr="005E142B">
        <w:rPr>
          <w:sz w:val="24"/>
          <w:szCs w:val="24"/>
        </w:rPr>
        <w:t xml:space="preserve"> </w:t>
      </w:r>
    </w:p>
    <w:p w:rsidR="00010E6A" w:rsidRPr="005E142B" w:rsidRDefault="00010E6A" w:rsidP="00DC6BE8">
      <w:pPr>
        <w:spacing w:after="0" w:line="480" w:lineRule="auto"/>
        <w:jc w:val="both"/>
        <w:rPr>
          <w:sz w:val="24"/>
          <w:szCs w:val="24"/>
        </w:rPr>
      </w:pPr>
    </w:p>
    <w:p w:rsidR="000F6B4C" w:rsidRDefault="00010E6A" w:rsidP="00010E6A">
      <w:pPr>
        <w:spacing w:after="0" w:line="480" w:lineRule="auto"/>
        <w:ind w:firstLine="720"/>
        <w:jc w:val="both"/>
        <w:rPr>
          <w:sz w:val="24"/>
          <w:szCs w:val="24"/>
        </w:rPr>
      </w:pPr>
      <w:r>
        <w:rPr>
          <w:sz w:val="24"/>
          <w:szCs w:val="24"/>
        </w:rPr>
        <w:t xml:space="preserve">Regarding </w:t>
      </w:r>
      <w:r w:rsidR="001B4CA5">
        <w:rPr>
          <w:sz w:val="24"/>
          <w:szCs w:val="24"/>
        </w:rPr>
        <w:t xml:space="preserve">the U.S.’ </w:t>
      </w:r>
      <w:r w:rsidR="00DC6BE8">
        <w:rPr>
          <w:sz w:val="24"/>
          <w:szCs w:val="24"/>
        </w:rPr>
        <w:t>transatlantic</w:t>
      </w:r>
      <w:r w:rsidR="001B4CA5">
        <w:rPr>
          <w:sz w:val="24"/>
          <w:szCs w:val="24"/>
        </w:rPr>
        <w:t xml:space="preserve"> commitment</w:t>
      </w:r>
      <w:r>
        <w:rPr>
          <w:sz w:val="24"/>
          <w:szCs w:val="24"/>
        </w:rPr>
        <w:t>,</w:t>
      </w:r>
      <w:r w:rsidR="001B4CA5">
        <w:rPr>
          <w:sz w:val="24"/>
          <w:szCs w:val="24"/>
        </w:rPr>
        <w:t xml:space="preserve"> whereas NATO</w:t>
      </w:r>
      <w:r>
        <w:rPr>
          <w:sz w:val="24"/>
          <w:szCs w:val="24"/>
        </w:rPr>
        <w:t xml:space="preserve"> </w:t>
      </w:r>
      <w:r w:rsidR="001B4CA5">
        <w:rPr>
          <w:sz w:val="24"/>
          <w:szCs w:val="24"/>
        </w:rPr>
        <w:t>e</w:t>
      </w:r>
      <w:r>
        <w:rPr>
          <w:sz w:val="24"/>
          <w:szCs w:val="24"/>
        </w:rPr>
        <w:t xml:space="preserve">nlargement </w:t>
      </w:r>
      <w:r w:rsidRPr="005E142B">
        <w:rPr>
          <w:sz w:val="24"/>
          <w:szCs w:val="24"/>
        </w:rPr>
        <w:t xml:space="preserve">generated early disagreement </w:t>
      </w:r>
      <w:r w:rsidR="001B4CA5">
        <w:rPr>
          <w:sz w:val="24"/>
          <w:szCs w:val="24"/>
        </w:rPr>
        <w:t xml:space="preserve">– from </w:t>
      </w:r>
      <w:r w:rsidRPr="005E142B">
        <w:rPr>
          <w:sz w:val="24"/>
          <w:szCs w:val="24"/>
        </w:rPr>
        <w:t xml:space="preserve">within the State and </w:t>
      </w:r>
      <w:r>
        <w:rPr>
          <w:sz w:val="24"/>
          <w:szCs w:val="24"/>
        </w:rPr>
        <w:t>Defense departments, and</w:t>
      </w:r>
      <w:r w:rsidRPr="005E142B">
        <w:rPr>
          <w:sz w:val="24"/>
          <w:szCs w:val="24"/>
        </w:rPr>
        <w:t xml:space="preserve"> from former diplomat George Kennan and scholars such as John Lewis Gaddis</w:t>
      </w:r>
      <w:r w:rsidR="00DC6BE8">
        <w:rPr>
          <w:i/>
          <w:sz w:val="24"/>
          <w:szCs w:val="24"/>
        </w:rPr>
        <w:t xml:space="preserve"> -</w:t>
      </w:r>
      <w:r w:rsidR="001B4CA5">
        <w:rPr>
          <w:i/>
          <w:sz w:val="24"/>
          <w:szCs w:val="24"/>
        </w:rPr>
        <w:t xml:space="preserve"> </w:t>
      </w:r>
      <w:r w:rsidR="001B4CA5">
        <w:rPr>
          <w:sz w:val="24"/>
          <w:szCs w:val="24"/>
        </w:rPr>
        <w:t>the question of whether NATO should persist at all hardly touched the policy process</w:t>
      </w:r>
      <w:r w:rsidR="00DC6BE8">
        <w:rPr>
          <w:sz w:val="24"/>
          <w:szCs w:val="24"/>
        </w:rPr>
        <w:t>.</w:t>
      </w:r>
      <w:r w:rsidR="001B4CA5">
        <w:rPr>
          <w:sz w:val="24"/>
          <w:szCs w:val="24"/>
        </w:rPr>
        <w:t xml:space="preserve"> NATO enlargement proceeded with remarkable speed and ease. S</w:t>
      </w:r>
      <w:r w:rsidRPr="005E142B">
        <w:rPr>
          <w:sz w:val="24"/>
          <w:szCs w:val="24"/>
        </w:rPr>
        <w:t>treams of dissent had little causal bearing on the deci</w:t>
      </w:r>
      <w:r>
        <w:rPr>
          <w:sz w:val="24"/>
          <w:szCs w:val="24"/>
        </w:rPr>
        <w:t>sion-making process. NATO enlargement</w:t>
      </w:r>
      <w:r w:rsidRPr="005E142B">
        <w:rPr>
          <w:sz w:val="24"/>
          <w:szCs w:val="24"/>
        </w:rPr>
        <w:t xml:space="preserve"> attracted little discussion within the president’s circle. It was the subject of only one Principals Committee meeting, and attracted no official action memorandum.</w:t>
      </w:r>
      <w:r w:rsidRPr="005E142B">
        <w:rPr>
          <w:rStyle w:val="FootnoteReference"/>
          <w:sz w:val="24"/>
          <w:szCs w:val="24"/>
        </w:rPr>
        <w:footnoteReference w:id="127"/>
      </w:r>
      <w:r w:rsidRPr="005E142B">
        <w:rPr>
          <w:sz w:val="24"/>
          <w:szCs w:val="24"/>
        </w:rPr>
        <w:t xml:space="preserve"> Clinton tilted towards favouring enlargement not through organised evaluation. Rather, he converted through an early galvanising experience on 21 April 1993. He was moved by conversations with two European leaders, Vaclav Havel and Lech Walesa, after the dedication of the Holocaust Memorial Museum, when a holocaust survivor compared the </w:t>
      </w:r>
      <w:r w:rsidRPr="005E142B">
        <w:rPr>
          <w:sz w:val="24"/>
          <w:szCs w:val="24"/>
        </w:rPr>
        <w:lastRenderedPageBreak/>
        <w:t>bloodshed in the Balkans to 1930’s Europe.</w:t>
      </w:r>
      <w:r w:rsidRPr="005E142B">
        <w:rPr>
          <w:rStyle w:val="FootnoteReference"/>
          <w:sz w:val="24"/>
          <w:szCs w:val="24"/>
        </w:rPr>
        <w:footnoteReference w:id="128"/>
      </w:r>
      <w:r w:rsidRPr="005E142B">
        <w:rPr>
          <w:sz w:val="24"/>
          <w:szCs w:val="24"/>
        </w:rPr>
        <w:t xml:space="preserve"> Both leaders with their moral authority lobbied Clinton in emotive appeals to support their states’</w:t>
      </w:r>
      <w:r w:rsidR="00FE45F9">
        <w:rPr>
          <w:sz w:val="24"/>
          <w:szCs w:val="24"/>
        </w:rPr>
        <w:t xml:space="preserve"> admission to NATO, with Havel “</w:t>
      </w:r>
      <w:r w:rsidRPr="005E142B">
        <w:rPr>
          <w:sz w:val="24"/>
          <w:szCs w:val="24"/>
        </w:rPr>
        <w:t xml:space="preserve">urging the American leader to move the Atlantic community of shared values and common </w:t>
      </w:r>
      <w:r>
        <w:rPr>
          <w:sz w:val="24"/>
          <w:szCs w:val="24"/>
        </w:rPr>
        <w:t>defense</w:t>
      </w:r>
      <w:r w:rsidRPr="005E142B">
        <w:rPr>
          <w:sz w:val="24"/>
          <w:szCs w:val="24"/>
        </w:rPr>
        <w:t xml:space="preserve"> eastward to include the new democracies of Central Europe…then-President Lech Walesa of Pola</w:t>
      </w:r>
      <w:r w:rsidR="00FE45F9">
        <w:rPr>
          <w:sz w:val="24"/>
          <w:szCs w:val="24"/>
        </w:rPr>
        <w:t>nd delivered a similar message.”</w:t>
      </w:r>
      <w:r w:rsidRPr="005E142B">
        <w:rPr>
          <w:rStyle w:val="FootnoteReference"/>
          <w:sz w:val="24"/>
          <w:szCs w:val="24"/>
        </w:rPr>
        <w:footnoteReference w:id="129"/>
      </w:r>
      <w:r w:rsidRPr="005E142B">
        <w:rPr>
          <w:sz w:val="24"/>
          <w:szCs w:val="24"/>
        </w:rPr>
        <w:t xml:space="preserve"> Clinton told Lake he was impressed with their vehemence, and supported enlargement from that moment.</w:t>
      </w:r>
      <w:r w:rsidRPr="005E142B">
        <w:rPr>
          <w:rStyle w:val="FootnoteReference"/>
          <w:sz w:val="24"/>
          <w:szCs w:val="24"/>
        </w:rPr>
        <w:footnoteReference w:id="130"/>
      </w:r>
      <w:r w:rsidRPr="005E142B">
        <w:rPr>
          <w:sz w:val="24"/>
          <w:szCs w:val="24"/>
        </w:rPr>
        <w:t xml:space="preserve"> Clinton was open to these appeals, because it dovetailed with his pledges to expand market democracy and modernise alliances. </w:t>
      </w:r>
    </w:p>
    <w:p w:rsidR="000F6B4C" w:rsidRDefault="000F6B4C" w:rsidP="00010E6A">
      <w:pPr>
        <w:spacing w:after="0" w:line="480" w:lineRule="auto"/>
        <w:ind w:firstLine="720"/>
        <w:jc w:val="both"/>
        <w:rPr>
          <w:sz w:val="24"/>
          <w:szCs w:val="24"/>
        </w:rPr>
      </w:pPr>
    </w:p>
    <w:p w:rsidR="00010E6A" w:rsidRPr="005E142B" w:rsidRDefault="00010E6A" w:rsidP="00010E6A">
      <w:pPr>
        <w:spacing w:after="0" w:line="480" w:lineRule="auto"/>
        <w:ind w:firstLine="720"/>
        <w:jc w:val="both"/>
        <w:rPr>
          <w:sz w:val="24"/>
          <w:szCs w:val="24"/>
        </w:rPr>
      </w:pPr>
      <w:r w:rsidRPr="005E142B">
        <w:rPr>
          <w:sz w:val="24"/>
          <w:szCs w:val="24"/>
        </w:rPr>
        <w:t>The administration disregarded warnings that enlargement would commit the US to defend weak and vulnerable protectorates, and that enlargement might have the unintended consequence of stoking Russian insecurity and hostility through the perceived threat of humiliation or encirclement, a consideration</w:t>
      </w:r>
      <w:r w:rsidR="00FE45F9">
        <w:rPr>
          <w:sz w:val="24"/>
          <w:szCs w:val="24"/>
        </w:rPr>
        <w:t xml:space="preserve"> Clinton blithely dismissed as “a silly argument.”</w:t>
      </w:r>
      <w:r w:rsidRPr="005E142B">
        <w:rPr>
          <w:rStyle w:val="FootnoteReference"/>
          <w:sz w:val="24"/>
          <w:szCs w:val="24"/>
        </w:rPr>
        <w:footnoteReference w:id="131"/>
      </w:r>
      <w:r w:rsidRPr="005E142B">
        <w:rPr>
          <w:sz w:val="24"/>
          <w:szCs w:val="24"/>
        </w:rPr>
        <w:t xml:space="preserve"> Preserving and enlarging NATO in Europe fitted a preferred storyline about Clinton continuing American internationalism that was the basis for</w:t>
      </w:r>
      <w:r w:rsidR="00FE45F9">
        <w:rPr>
          <w:sz w:val="24"/>
          <w:szCs w:val="24"/>
        </w:rPr>
        <w:t xml:space="preserve"> primacy. As an aide reported, “</w:t>
      </w:r>
      <w:r w:rsidRPr="005E142B">
        <w:rPr>
          <w:sz w:val="24"/>
          <w:szCs w:val="24"/>
        </w:rPr>
        <w:t>The idea that Reagan brought down the Berlin Wall, Bush unified Germany, and Clinton will unite Europe sounded go</w:t>
      </w:r>
      <w:r w:rsidR="00FE45F9">
        <w:rPr>
          <w:sz w:val="24"/>
          <w:szCs w:val="24"/>
        </w:rPr>
        <w:t>od at 1600 Pennsylvania Avenue.”</w:t>
      </w:r>
      <w:r w:rsidRPr="005E142B">
        <w:rPr>
          <w:rStyle w:val="FootnoteReference"/>
          <w:sz w:val="24"/>
          <w:szCs w:val="24"/>
        </w:rPr>
        <w:footnoteReference w:id="132"/>
      </w:r>
      <w:r w:rsidRPr="005E142B">
        <w:rPr>
          <w:sz w:val="24"/>
          <w:szCs w:val="24"/>
        </w:rPr>
        <w:t xml:space="preserve"> The alternative storyline, of Clinton</w:t>
      </w:r>
      <w:r w:rsidR="00DC22E6">
        <w:rPr>
          <w:sz w:val="24"/>
          <w:szCs w:val="24"/>
        </w:rPr>
        <w:t xml:space="preserve"> reconciling Russia with a new Europe, or</w:t>
      </w:r>
      <w:r w:rsidRPr="005E142B">
        <w:rPr>
          <w:sz w:val="24"/>
          <w:szCs w:val="24"/>
        </w:rPr>
        <w:t xml:space="preserve"> bringing a victorious America home from liberated </w:t>
      </w:r>
      <w:r w:rsidR="00DC22E6">
        <w:rPr>
          <w:sz w:val="24"/>
          <w:szCs w:val="24"/>
        </w:rPr>
        <w:t>continent,</w:t>
      </w:r>
      <w:r w:rsidRPr="005E142B">
        <w:rPr>
          <w:sz w:val="24"/>
          <w:szCs w:val="24"/>
        </w:rPr>
        <w:t xml:space="preserve"> was not up for discussion.</w:t>
      </w:r>
    </w:p>
    <w:p w:rsidR="00724C9F" w:rsidRPr="005E142B" w:rsidRDefault="00724C9F" w:rsidP="00DC6BE8">
      <w:pPr>
        <w:spacing w:after="0" w:line="480" w:lineRule="auto"/>
        <w:jc w:val="both"/>
        <w:rPr>
          <w:sz w:val="24"/>
          <w:szCs w:val="24"/>
        </w:rPr>
      </w:pPr>
    </w:p>
    <w:p w:rsidR="00724C9F" w:rsidRPr="005E142B" w:rsidRDefault="00DC6BE8" w:rsidP="005E142B">
      <w:pPr>
        <w:spacing w:after="0" w:line="480" w:lineRule="auto"/>
        <w:ind w:firstLine="720"/>
        <w:jc w:val="both"/>
        <w:rPr>
          <w:sz w:val="24"/>
          <w:szCs w:val="24"/>
        </w:rPr>
      </w:pPr>
      <w:r>
        <w:rPr>
          <w:sz w:val="24"/>
          <w:szCs w:val="24"/>
        </w:rPr>
        <w:t>The</w:t>
      </w:r>
      <w:r w:rsidR="0075701E" w:rsidRPr="005E142B">
        <w:rPr>
          <w:sz w:val="24"/>
          <w:szCs w:val="24"/>
        </w:rPr>
        <w:t xml:space="preserve"> proponents</w:t>
      </w:r>
      <w:r>
        <w:rPr>
          <w:sz w:val="24"/>
          <w:szCs w:val="24"/>
        </w:rPr>
        <w:t xml:space="preserve"> of NATO enlargement</w:t>
      </w:r>
      <w:r w:rsidR="0075701E" w:rsidRPr="005E142B">
        <w:rPr>
          <w:sz w:val="24"/>
          <w:szCs w:val="24"/>
        </w:rPr>
        <w:t xml:space="preserve"> achieved it with relative ease</w:t>
      </w:r>
      <w:r w:rsidR="0075701E">
        <w:rPr>
          <w:sz w:val="24"/>
          <w:szCs w:val="24"/>
        </w:rPr>
        <w:t>,</w:t>
      </w:r>
      <w:r w:rsidR="0075701E" w:rsidRPr="005E142B">
        <w:rPr>
          <w:sz w:val="24"/>
          <w:szCs w:val="24"/>
        </w:rPr>
        <w:t xml:space="preserve"> because</w:t>
      </w:r>
      <w:r w:rsidR="0075701E">
        <w:rPr>
          <w:sz w:val="24"/>
          <w:szCs w:val="24"/>
        </w:rPr>
        <w:t xml:space="preserve"> extending U.S. power into a vacuum fitted </w:t>
      </w:r>
      <w:r w:rsidR="0075701E" w:rsidRPr="005E142B">
        <w:rPr>
          <w:sz w:val="24"/>
          <w:szCs w:val="24"/>
        </w:rPr>
        <w:t>the logic of primacy.</w:t>
      </w:r>
      <w:r w:rsidR="0075701E">
        <w:rPr>
          <w:sz w:val="24"/>
          <w:szCs w:val="24"/>
        </w:rPr>
        <w:t xml:space="preserve"> </w:t>
      </w:r>
      <w:r w:rsidR="00724C9F" w:rsidRPr="005E142B">
        <w:rPr>
          <w:sz w:val="24"/>
          <w:szCs w:val="24"/>
        </w:rPr>
        <w:t>Clinton’s conversion to NATO enlargement was not</w:t>
      </w:r>
      <w:r w:rsidR="000B5D4B" w:rsidRPr="005E142B">
        <w:rPr>
          <w:sz w:val="24"/>
          <w:szCs w:val="24"/>
        </w:rPr>
        <w:t xml:space="preserve"> </w:t>
      </w:r>
      <w:r w:rsidR="00724C9F" w:rsidRPr="005E142B">
        <w:rPr>
          <w:sz w:val="24"/>
          <w:szCs w:val="24"/>
        </w:rPr>
        <w:t xml:space="preserve">a haphazard </w:t>
      </w:r>
      <w:r w:rsidR="00847EEA" w:rsidRPr="005E142B">
        <w:rPr>
          <w:sz w:val="24"/>
          <w:szCs w:val="24"/>
        </w:rPr>
        <w:t xml:space="preserve">emotional </w:t>
      </w:r>
      <w:r w:rsidR="00724C9F" w:rsidRPr="005E142B">
        <w:rPr>
          <w:sz w:val="24"/>
          <w:szCs w:val="24"/>
        </w:rPr>
        <w:t>impulse reflecting a lack of grand strategy.</w:t>
      </w:r>
      <w:r w:rsidR="00724C9F" w:rsidRPr="005E142B">
        <w:rPr>
          <w:rStyle w:val="FootnoteReference"/>
          <w:sz w:val="24"/>
          <w:szCs w:val="24"/>
        </w:rPr>
        <w:footnoteReference w:id="133"/>
      </w:r>
      <w:r w:rsidR="00724C9F" w:rsidRPr="005E142B">
        <w:rPr>
          <w:sz w:val="24"/>
          <w:szCs w:val="24"/>
        </w:rPr>
        <w:t xml:space="preserve"> </w:t>
      </w:r>
      <w:r w:rsidR="001625E4" w:rsidRPr="005E142B">
        <w:rPr>
          <w:sz w:val="24"/>
          <w:szCs w:val="24"/>
        </w:rPr>
        <w:t>This</w:t>
      </w:r>
      <w:r w:rsidR="00724C9F" w:rsidRPr="005E142B">
        <w:rPr>
          <w:sz w:val="24"/>
          <w:szCs w:val="24"/>
        </w:rPr>
        <w:t xml:space="preserve"> major strategic move came spontaneously, without a considered</w:t>
      </w:r>
      <w:r w:rsidR="00F61A33" w:rsidRPr="005E142B">
        <w:rPr>
          <w:sz w:val="24"/>
          <w:szCs w:val="24"/>
        </w:rPr>
        <w:t xml:space="preserve"> internal</w:t>
      </w:r>
      <w:r w:rsidR="001625E4" w:rsidRPr="005E142B">
        <w:rPr>
          <w:sz w:val="24"/>
          <w:szCs w:val="24"/>
        </w:rPr>
        <w:t xml:space="preserve"> debate, </w:t>
      </w:r>
      <w:r w:rsidR="00724C9F" w:rsidRPr="005E142B">
        <w:rPr>
          <w:sz w:val="24"/>
          <w:szCs w:val="24"/>
        </w:rPr>
        <w:t>suggest</w:t>
      </w:r>
      <w:r w:rsidR="001625E4" w:rsidRPr="005E142B">
        <w:rPr>
          <w:sz w:val="24"/>
          <w:szCs w:val="24"/>
        </w:rPr>
        <w:t>ing</w:t>
      </w:r>
      <w:r w:rsidR="00724C9F" w:rsidRPr="005E142B">
        <w:rPr>
          <w:sz w:val="24"/>
          <w:szCs w:val="24"/>
        </w:rPr>
        <w:t xml:space="preserve"> that long-term assumptions exerted themselves. The context of the occasion, </w:t>
      </w:r>
      <w:r w:rsidR="00BA73BA" w:rsidRPr="005E142B">
        <w:rPr>
          <w:sz w:val="24"/>
          <w:szCs w:val="24"/>
        </w:rPr>
        <w:t>a ceremony commemorating</w:t>
      </w:r>
      <w:r w:rsidR="00724C9F" w:rsidRPr="005E142B">
        <w:rPr>
          <w:sz w:val="24"/>
          <w:szCs w:val="24"/>
        </w:rPr>
        <w:t xml:space="preserve"> the Holocaust, is instructive. </w:t>
      </w:r>
      <w:r w:rsidR="000968AE" w:rsidRPr="005E142B">
        <w:rPr>
          <w:sz w:val="24"/>
          <w:szCs w:val="24"/>
        </w:rPr>
        <w:t xml:space="preserve">A central tenet </w:t>
      </w:r>
      <w:r w:rsidR="00CD1B42" w:rsidRPr="005E142B">
        <w:rPr>
          <w:sz w:val="24"/>
          <w:szCs w:val="24"/>
        </w:rPr>
        <w:t>primacy</w:t>
      </w:r>
      <w:r w:rsidR="000968AE" w:rsidRPr="005E142B">
        <w:rPr>
          <w:sz w:val="24"/>
          <w:szCs w:val="24"/>
        </w:rPr>
        <w:t xml:space="preserve"> </w:t>
      </w:r>
      <w:r w:rsidR="00CD1B42" w:rsidRPr="005E142B">
        <w:rPr>
          <w:sz w:val="24"/>
          <w:szCs w:val="24"/>
        </w:rPr>
        <w:t>is</w:t>
      </w:r>
      <w:r w:rsidR="00724C9F" w:rsidRPr="005E142B">
        <w:rPr>
          <w:sz w:val="24"/>
          <w:szCs w:val="24"/>
        </w:rPr>
        <w:t xml:space="preserve"> the </w:t>
      </w:r>
      <w:r w:rsidR="000968AE" w:rsidRPr="005E142B">
        <w:rPr>
          <w:sz w:val="24"/>
          <w:szCs w:val="24"/>
        </w:rPr>
        <w:t xml:space="preserve">historical </w:t>
      </w:r>
      <w:r w:rsidR="00DC22E6">
        <w:rPr>
          <w:sz w:val="24"/>
          <w:szCs w:val="24"/>
        </w:rPr>
        <w:t>“lesson”</w:t>
      </w:r>
      <w:r w:rsidR="00724C9F" w:rsidRPr="005E142B">
        <w:rPr>
          <w:sz w:val="24"/>
          <w:szCs w:val="24"/>
        </w:rPr>
        <w:t xml:space="preserve"> that an ebb of American internationalism made possible totalitarianism and catastrophe</w:t>
      </w:r>
      <w:r w:rsidR="00CD1B42" w:rsidRPr="005E142B">
        <w:rPr>
          <w:sz w:val="24"/>
          <w:szCs w:val="24"/>
        </w:rPr>
        <w:t xml:space="preserve">, thus making it vital to </w:t>
      </w:r>
      <w:r w:rsidR="000968AE" w:rsidRPr="005E142B">
        <w:rPr>
          <w:sz w:val="24"/>
          <w:szCs w:val="24"/>
        </w:rPr>
        <w:t>continue America’s security domain in Europe</w:t>
      </w:r>
      <w:r w:rsidR="00724C9F" w:rsidRPr="005E142B">
        <w:rPr>
          <w:sz w:val="24"/>
          <w:szCs w:val="24"/>
        </w:rPr>
        <w:t>. Clinton drew on this vocabulary to justify his decision and pitch it to international and domestic audiences.</w:t>
      </w:r>
      <w:r w:rsidR="00724C9F" w:rsidRPr="005E142B">
        <w:rPr>
          <w:rStyle w:val="FootnoteReference"/>
          <w:sz w:val="24"/>
          <w:szCs w:val="24"/>
        </w:rPr>
        <w:footnoteReference w:id="134"/>
      </w:r>
      <w:r w:rsidR="00724C9F" w:rsidRPr="005E142B">
        <w:rPr>
          <w:sz w:val="24"/>
          <w:szCs w:val="24"/>
        </w:rPr>
        <w:t xml:space="preserve"> From this perspective, </w:t>
      </w:r>
      <w:r w:rsidR="009B6B4D" w:rsidRPr="005E142B">
        <w:rPr>
          <w:sz w:val="24"/>
          <w:szCs w:val="24"/>
        </w:rPr>
        <w:t xml:space="preserve">beyond anti-Soviet containment, </w:t>
      </w:r>
      <w:r w:rsidR="00724C9F" w:rsidRPr="005E142B">
        <w:rPr>
          <w:sz w:val="24"/>
          <w:szCs w:val="24"/>
        </w:rPr>
        <w:t>NATO was an instrument of American hegemony, of consolidating democratic reform in Eastern European states and integrating them into a n</w:t>
      </w:r>
      <w:r w:rsidR="00DC22E6">
        <w:rPr>
          <w:sz w:val="24"/>
          <w:szCs w:val="24"/>
        </w:rPr>
        <w:t>ew security architecture. This “cognitive map”</w:t>
      </w:r>
      <w:r w:rsidR="00724C9F" w:rsidRPr="005E142B">
        <w:rPr>
          <w:sz w:val="24"/>
          <w:szCs w:val="24"/>
        </w:rPr>
        <w:t xml:space="preserve"> was shared by Madeleine Albright, a Czech-born refugee and Ambassador to the United Nations who announce</w:t>
      </w:r>
      <w:r w:rsidR="00CD1B42" w:rsidRPr="005E142B">
        <w:rPr>
          <w:sz w:val="24"/>
          <w:szCs w:val="24"/>
        </w:rPr>
        <w:t>d</w:t>
      </w:r>
      <w:r w:rsidR="00724C9F" w:rsidRPr="005E142B">
        <w:rPr>
          <w:sz w:val="24"/>
          <w:szCs w:val="24"/>
        </w:rPr>
        <w:t xml:space="preserve"> the accession of new members.</w:t>
      </w:r>
      <w:r w:rsidR="009B6B4D" w:rsidRPr="005E142B">
        <w:rPr>
          <w:rStyle w:val="FootnoteReference"/>
          <w:sz w:val="24"/>
          <w:szCs w:val="24"/>
        </w:rPr>
        <w:footnoteReference w:id="135"/>
      </w:r>
      <w:r w:rsidR="00724C9F" w:rsidRPr="005E142B">
        <w:rPr>
          <w:sz w:val="24"/>
          <w:szCs w:val="24"/>
        </w:rPr>
        <w:t xml:space="preserve"> In the words of Clinton’s </w:t>
      </w:r>
      <w:r w:rsidR="00DC22E6">
        <w:rPr>
          <w:sz w:val="24"/>
          <w:szCs w:val="24"/>
        </w:rPr>
        <w:t>Review Directive of July 1993, “</w:t>
      </w:r>
      <w:r w:rsidR="00724C9F" w:rsidRPr="005E142B">
        <w:rPr>
          <w:sz w:val="24"/>
          <w:szCs w:val="24"/>
        </w:rPr>
        <w:t>the consolidation of a market-oriented, democratic zone in the centre of Europe and the extension of Western values and institutions eastward are essenti</w:t>
      </w:r>
      <w:r w:rsidR="00DC22E6">
        <w:rPr>
          <w:sz w:val="24"/>
          <w:szCs w:val="24"/>
        </w:rPr>
        <w:t>al to…stability and prosperity.”</w:t>
      </w:r>
      <w:r w:rsidR="00724C9F" w:rsidRPr="005E142B">
        <w:rPr>
          <w:rStyle w:val="FootnoteReference"/>
          <w:sz w:val="24"/>
          <w:szCs w:val="24"/>
        </w:rPr>
        <w:footnoteReference w:id="136"/>
      </w:r>
      <w:r w:rsidR="00FB54F6" w:rsidRPr="005E142B">
        <w:rPr>
          <w:sz w:val="24"/>
          <w:szCs w:val="24"/>
        </w:rPr>
        <w:t xml:space="preserve"> </w:t>
      </w:r>
      <w:r w:rsidR="00724C9F" w:rsidRPr="005E142B">
        <w:rPr>
          <w:sz w:val="24"/>
          <w:szCs w:val="24"/>
        </w:rPr>
        <w:t>The logic that enlarging NATO was a natural extension of American primacy also attracted bipartisan support even from anti-Clinton partisans. Representative Newt Gingrich</w:t>
      </w:r>
      <w:r w:rsidR="00EC10DC" w:rsidRPr="005E142B">
        <w:rPr>
          <w:sz w:val="24"/>
          <w:szCs w:val="24"/>
        </w:rPr>
        <w:t xml:space="preserve">, </w:t>
      </w:r>
      <w:r w:rsidR="00724C9F" w:rsidRPr="005E142B">
        <w:rPr>
          <w:sz w:val="24"/>
          <w:szCs w:val="24"/>
        </w:rPr>
        <w:t>the leader of the conservative Republican Congressional challenge</w:t>
      </w:r>
      <w:r w:rsidR="00EC10DC" w:rsidRPr="005E142B">
        <w:rPr>
          <w:sz w:val="24"/>
          <w:szCs w:val="24"/>
        </w:rPr>
        <w:t>,</w:t>
      </w:r>
      <w:r w:rsidR="00724C9F" w:rsidRPr="005E142B">
        <w:rPr>
          <w:sz w:val="24"/>
          <w:szCs w:val="24"/>
        </w:rPr>
        <w:t xml:space="preserve"> was persuaded in September 1993 by NSC member Jeremy Rosner that </w:t>
      </w:r>
      <w:r w:rsidR="007C52EB" w:rsidRPr="005E142B">
        <w:rPr>
          <w:sz w:val="24"/>
          <w:szCs w:val="24"/>
        </w:rPr>
        <w:t>this was an</w:t>
      </w:r>
      <w:r w:rsidR="00724C9F" w:rsidRPr="005E142B">
        <w:rPr>
          <w:sz w:val="24"/>
          <w:szCs w:val="24"/>
        </w:rPr>
        <w:t xml:space="preserve"> opportunity</w:t>
      </w:r>
      <w:r w:rsidR="007C52EB" w:rsidRPr="005E142B">
        <w:rPr>
          <w:sz w:val="24"/>
          <w:szCs w:val="24"/>
        </w:rPr>
        <w:t xml:space="preserve"> for </w:t>
      </w:r>
      <w:r w:rsidR="00DC22E6">
        <w:rPr>
          <w:sz w:val="24"/>
          <w:szCs w:val="24"/>
        </w:rPr>
        <w:t>the “blue blob”</w:t>
      </w:r>
      <w:r w:rsidR="00724C9F" w:rsidRPr="005E142B">
        <w:rPr>
          <w:sz w:val="24"/>
          <w:szCs w:val="24"/>
        </w:rPr>
        <w:t xml:space="preserve"> of democracy to enlarge after </w:t>
      </w:r>
      <w:r w:rsidR="00DC22E6">
        <w:rPr>
          <w:sz w:val="24"/>
          <w:szCs w:val="24"/>
        </w:rPr>
        <w:lastRenderedPageBreak/>
        <w:t>the defeat of the totalitarian “red blob.”</w:t>
      </w:r>
      <w:r w:rsidR="00724C9F" w:rsidRPr="005E142B">
        <w:rPr>
          <w:sz w:val="24"/>
          <w:szCs w:val="24"/>
        </w:rPr>
        <w:t xml:space="preserve"> Gingrich assur</w:t>
      </w:r>
      <w:r w:rsidR="00DC22E6">
        <w:rPr>
          <w:sz w:val="24"/>
          <w:szCs w:val="24"/>
        </w:rPr>
        <w:t>ed Clinton’s speechwriter that “</w:t>
      </w:r>
      <w:r w:rsidR="00724C9F" w:rsidRPr="005E142B">
        <w:rPr>
          <w:sz w:val="24"/>
          <w:szCs w:val="24"/>
        </w:rPr>
        <w:t xml:space="preserve">congressional Republicans could never oppose policies designed to enlarge the ‘blue blob’ of democracy now that </w:t>
      </w:r>
      <w:r w:rsidR="00DC22E6">
        <w:rPr>
          <w:sz w:val="24"/>
          <w:szCs w:val="24"/>
        </w:rPr>
        <w:t>the Soviet ‘red blob’ had gone,”</w:t>
      </w:r>
      <w:r w:rsidR="00724C9F" w:rsidRPr="005E142B">
        <w:rPr>
          <w:sz w:val="24"/>
          <w:szCs w:val="24"/>
        </w:rPr>
        <w:t xml:space="preserve"> and Gingrich helped </w:t>
      </w:r>
      <w:r w:rsidR="000E5BA8" w:rsidRPr="005E142B">
        <w:rPr>
          <w:sz w:val="24"/>
          <w:szCs w:val="24"/>
        </w:rPr>
        <w:t>edit the draft of</w:t>
      </w:r>
      <w:r w:rsidR="00724C9F" w:rsidRPr="005E142B">
        <w:rPr>
          <w:sz w:val="24"/>
          <w:szCs w:val="24"/>
        </w:rPr>
        <w:t xml:space="preserve"> Lake’s landmark speech outlining the doctrine of ‘enlargement’, entering it into the </w:t>
      </w:r>
      <w:r w:rsidR="00724C9F" w:rsidRPr="005E142B">
        <w:rPr>
          <w:i/>
          <w:sz w:val="24"/>
          <w:szCs w:val="24"/>
        </w:rPr>
        <w:t>Congressional Record</w:t>
      </w:r>
      <w:r w:rsidR="00724C9F" w:rsidRPr="005E142B">
        <w:rPr>
          <w:sz w:val="24"/>
          <w:szCs w:val="24"/>
        </w:rPr>
        <w:t>.</w:t>
      </w:r>
      <w:r w:rsidR="00724C9F" w:rsidRPr="005E142B">
        <w:rPr>
          <w:rStyle w:val="FootnoteReference"/>
          <w:sz w:val="24"/>
          <w:szCs w:val="24"/>
        </w:rPr>
        <w:footnoteReference w:id="137"/>
      </w:r>
    </w:p>
    <w:p w:rsidR="00724C9F" w:rsidRPr="005E142B" w:rsidRDefault="00724C9F" w:rsidP="005E142B">
      <w:pPr>
        <w:spacing w:after="0" w:line="480" w:lineRule="auto"/>
        <w:jc w:val="both"/>
        <w:rPr>
          <w:sz w:val="24"/>
          <w:szCs w:val="24"/>
        </w:rPr>
      </w:pPr>
    </w:p>
    <w:p w:rsidR="00724C9F" w:rsidRPr="005E142B" w:rsidRDefault="00724C9F" w:rsidP="005E142B">
      <w:pPr>
        <w:spacing w:after="0" w:line="480" w:lineRule="auto"/>
        <w:ind w:firstLine="720"/>
        <w:jc w:val="both"/>
        <w:rPr>
          <w:sz w:val="24"/>
          <w:szCs w:val="24"/>
        </w:rPr>
      </w:pPr>
      <w:r w:rsidRPr="005E142B">
        <w:rPr>
          <w:sz w:val="24"/>
          <w:szCs w:val="24"/>
        </w:rPr>
        <w:t>Intensive internal process did not generate choices. The causality was the reverse. Only once Clinton made public statements, after prompting by his inner circle, did the bureaucracy produce concrete plans.</w:t>
      </w:r>
      <w:r w:rsidRPr="005E142B">
        <w:rPr>
          <w:rStyle w:val="FootnoteReference"/>
          <w:sz w:val="24"/>
          <w:szCs w:val="24"/>
        </w:rPr>
        <w:footnoteReference w:id="138"/>
      </w:r>
      <w:r w:rsidRPr="005E142B">
        <w:rPr>
          <w:sz w:val="24"/>
          <w:szCs w:val="24"/>
        </w:rPr>
        <w:t xml:space="preserve"> The thrust of debate quickly settled on the question of whether </w:t>
      </w:r>
      <w:r w:rsidR="00DC22E6">
        <w:rPr>
          <w:sz w:val="24"/>
          <w:szCs w:val="24"/>
        </w:rPr>
        <w:t>to opt for a “fast track”</w:t>
      </w:r>
      <w:r w:rsidRPr="005E142B">
        <w:rPr>
          <w:sz w:val="24"/>
          <w:szCs w:val="24"/>
        </w:rPr>
        <w:t xml:space="preserve"> or gradual process of enlargement. Ultimately, enlargement was a decision made by a small group of elites around the presidency, who then imposed it upon officials. The gatekeeper who oversaw the rapid decision to enlarge was Anthony Lake, and the gatekeeper who imposed it on reluctant officials outside the presidency was Richard Holbrooke, Assistant Secretary of State for European affairs. Lake and Christopher deliberately forced Clinton’s hand</w:t>
      </w:r>
      <w:r w:rsidR="00DC22E6">
        <w:rPr>
          <w:sz w:val="24"/>
          <w:szCs w:val="24"/>
        </w:rPr>
        <w:t xml:space="preserve"> by scheduling an “action enforcing event”</w:t>
      </w:r>
      <w:r w:rsidRPr="005E142B">
        <w:rPr>
          <w:sz w:val="24"/>
          <w:szCs w:val="24"/>
        </w:rPr>
        <w:t>, the NATO summit in Prague, January 1994. As Clinton procl</w:t>
      </w:r>
      <w:r w:rsidR="00DC22E6">
        <w:rPr>
          <w:sz w:val="24"/>
          <w:szCs w:val="24"/>
        </w:rPr>
        <w:t>aimed in Prague, the issue was “not whether but when and how.”</w:t>
      </w:r>
      <w:r w:rsidRPr="005E142B">
        <w:rPr>
          <w:rStyle w:val="FootnoteReference"/>
          <w:sz w:val="24"/>
          <w:szCs w:val="24"/>
        </w:rPr>
        <w:footnoteReference w:id="139"/>
      </w:r>
      <w:r w:rsidRPr="005E142B">
        <w:rPr>
          <w:sz w:val="24"/>
          <w:szCs w:val="24"/>
        </w:rPr>
        <w:t xml:space="preserve"> This made the drive to expand irreversible. </w:t>
      </w:r>
      <w:r w:rsidR="0096595E" w:rsidRPr="005E142B">
        <w:rPr>
          <w:sz w:val="24"/>
          <w:szCs w:val="24"/>
        </w:rPr>
        <w:t>The settled unanimity between the president, vice president, national security advisor and secretary of state, and Clinton’s speeches, handed the enforcer Holbrooke a powerful weapon within the bureaucracy, as</w:t>
      </w:r>
      <w:r w:rsidR="000C2080" w:rsidRPr="005E142B">
        <w:rPr>
          <w:sz w:val="24"/>
          <w:szCs w:val="24"/>
        </w:rPr>
        <w:t xml:space="preserve"> in September 1994</w:t>
      </w:r>
      <w:r w:rsidR="0096595E" w:rsidRPr="005E142B">
        <w:rPr>
          <w:sz w:val="24"/>
          <w:szCs w:val="24"/>
        </w:rPr>
        <w:t xml:space="preserve"> he waved the speeches at reluctant Pentagon officials to warn them against </w:t>
      </w:r>
      <w:r w:rsidR="00C32E50" w:rsidRPr="005E142B">
        <w:rPr>
          <w:sz w:val="24"/>
          <w:szCs w:val="24"/>
        </w:rPr>
        <w:t>in</w:t>
      </w:r>
      <w:r w:rsidR="0096595E" w:rsidRPr="005E142B">
        <w:rPr>
          <w:sz w:val="24"/>
          <w:szCs w:val="24"/>
        </w:rPr>
        <w:t>subordination.</w:t>
      </w:r>
      <w:r w:rsidR="0096595E" w:rsidRPr="005E142B">
        <w:rPr>
          <w:rStyle w:val="FootnoteReference"/>
          <w:sz w:val="24"/>
          <w:szCs w:val="24"/>
        </w:rPr>
        <w:footnoteReference w:id="140"/>
      </w:r>
      <w:r w:rsidR="0096595E" w:rsidRPr="005E142B">
        <w:rPr>
          <w:sz w:val="24"/>
          <w:szCs w:val="24"/>
        </w:rPr>
        <w:t xml:space="preserve"> </w:t>
      </w:r>
      <w:r w:rsidRPr="005E142B">
        <w:rPr>
          <w:sz w:val="24"/>
          <w:szCs w:val="24"/>
        </w:rPr>
        <w:t xml:space="preserve">There remained debate about the process, sequence and criteria for membership, and Russian </w:t>
      </w:r>
      <w:r w:rsidRPr="005E142B">
        <w:rPr>
          <w:sz w:val="24"/>
          <w:szCs w:val="24"/>
        </w:rPr>
        <w:lastRenderedPageBreak/>
        <w:t>cooperation. Talbott, Clinton’s Russia advisor, urged caution about the details of the implementation, while sharing the underlying goal to integrate Central Europe and t</w:t>
      </w:r>
      <w:r w:rsidR="00EC10DC" w:rsidRPr="005E142B">
        <w:rPr>
          <w:sz w:val="24"/>
          <w:szCs w:val="24"/>
        </w:rPr>
        <w:t xml:space="preserve">he former Soviet Union into </w:t>
      </w:r>
      <w:r w:rsidRPr="005E142B">
        <w:rPr>
          <w:sz w:val="24"/>
          <w:szCs w:val="24"/>
        </w:rPr>
        <w:t>the Euro-Atlantic Community.</w:t>
      </w:r>
      <w:r w:rsidRPr="005E142B">
        <w:rPr>
          <w:rStyle w:val="FootnoteReference"/>
          <w:sz w:val="24"/>
          <w:szCs w:val="24"/>
        </w:rPr>
        <w:footnoteReference w:id="141"/>
      </w:r>
      <w:r w:rsidRPr="005E142B">
        <w:rPr>
          <w:sz w:val="24"/>
          <w:szCs w:val="24"/>
        </w:rPr>
        <w:t xml:space="preserve"> The speed and informality with which the president committed the US, the dominati</w:t>
      </w:r>
      <w:r w:rsidR="00DC22E6">
        <w:rPr>
          <w:sz w:val="24"/>
          <w:szCs w:val="24"/>
        </w:rPr>
        <w:t>on of operational questions of how and when</w:t>
      </w:r>
      <w:r w:rsidRPr="005E142B">
        <w:rPr>
          <w:sz w:val="24"/>
          <w:szCs w:val="24"/>
        </w:rPr>
        <w:t>, the relative ease of persuasion suggests the force of habit was strong.</w:t>
      </w:r>
    </w:p>
    <w:p w:rsidR="00724C9F" w:rsidRPr="005E142B" w:rsidRDefault="00724C9F" w:rsidP="005E142B">
      <w:pPr>
        <w:spacing w:after="0" w:line="480" w:lineRule="auto"/>
        <w:jc w:val="both"/>
        <w:rPr>
          <w:sz w:val="24"/>
          <w:szCs w:val="24"/>
        </w:rPr>
      </w:pPr>
    </w:p>
    <w:p w:rsidR="00724C9F" w:rsidRPr="005E142B" w:rsidRDefault="00724C9F" w:rsidP="005E142B">
      <w:pPr>
        <w:spacing w:after="0" w:line="480" w:lineRule="auto"/>
        <w:ind w:firstLine="720"/>
        <w:jc w:val="both"/>
        <w:rPr>
          <w:sz w:val="24"/>
          <w:szCs w:val="24"/>
        </w:rPr>
      </w:pPr>
      <w:r w:rsidRPr="005E142B">
        <w:rPr>
          <w:sz w:val="24"/>
          <w:szCs w:val="24"/>
        </w:rPr>
        <w:t xml:space="preserve">The same logic underpinned lobbying efforts. Proponents framed NATO enlargement as a natural extension of American </w:t>
      </w:r>
      <w:r w:rsidR="00DC22E6">
        <w:rPr>
          <w:sz w:val="24"/>
          <w:szCs w:val="24"/>
        </w:rPr>
        <w:t>primacy</w:t>
      </w:r>
      <w:r w:rsidRPr="005E142B">
        <w:rPr>
          <w:sz w:val="24"/>
          <w:szCs w:val="24"/>
        </w:rPr>
        <w:t xml:space="preserve">, a seed that fell on fertile ground, given the widespread, emotive identification of American </w:t>
      </w:r>
      <w:r w:rsidR="00DC22E6">
        <w:rPr>
          <w:sz w:val="24"/>
          <w:szCs w:val="24"/>
        </w:rPr>
        <w:t>leadership</w:t>
      </w:r>
      <w:r w:rsidRPr="005E142B">
        <w:rPr>
          <w:sz w:val="24"/>
          <w:szCs w:val="24"/>
        </w:rPr>
        <w:t xml:space="preserve"> with </w:t>
      </w:r>
      <w:r w:rsidR="00345DE7" w:rsidRPr="005E142B">
        <w:rPr>
          <w:sz w:val="24"/>
          <w:szCs w:val="24"/>
        </w:rPr>
        <w:t>eastern European democracy</w:t>
      </w:r>
      <w:r w:rsidRPr="005E142B">
        <w:rPr>
          <w:sz w:val="24"/>
          <w:szCs w:val="24"/>
        </w:rPr>
        <w:t>. This argument met a strong reception among foreign policy power figures</w:t>
      </w:r>
      <w:r w:rsidR="00CD1B42" w:rsidRPr="005E142B">
        <w:rPr>
          <w:sz w:val="24"/>
          <w:szCs w:val="24"/>
        </w:rPr>
        <w:t xml:space="preserve"> such as </w:t>
      </w:r>
      <w:r w:rsidRPr="005E142B">
        <w:rPr>
          <w:sz w:val="24"/>
          <w:szCs w:val="24"/>
        </w:rPr>
        <w:t xml:space="preserve">NSC Senior Director and Special Advisor to the President Daniel Fried. </w:t>
      </w:r>
      <w:r w:rsidR="00CD1B42" w:rsidRPr="005E142B">
        <w:rPr>
          <w:sz w:val="24"/>
          <w:szCs w:val="24"/>
        </w:rPr>
        <w:t>At</w:t>
      </w:r>
      <w:r w:rsidRPr="005E142B">
        <w:rPr>
          <w:sz w:val="24"/>
          <w:szCs w:val="24"/>
        </w:rPr>
        <w:t xml:space="preserve"> a dinner in February 1997 for </w:t>
      </w:r>
      <w:r w:rsidR="00DC22E6">
        <w:rPr>
          <w:sz w:val="24"/>
          <w:szCs w:val="24"/>
        </w:rPr>
        <w:t>“</w:t>
      </w:r>
      <w:r w:rsidRPr="005E142B">
        <w:rPr>
          <w:sz w:val="24"/>
          <w:szCs w:val="24"/>
        </w:rPr>
        <w:t>a select group of Washington’s power elite,</w:t>
      </w:r>
      <w:r w:rsidR="00DC22E6">
        <w:rPr>
          <w:sz w:val="24"/>
          <w:szCs w:val="24"/>
        </w:rPr>
        <w:t>”</w:t>
      </w:r>
      <w:r w:rsidRPr="005E142B">
        <w:rPr>
          <w:sz w:val="24"/>
          <w:szCs w:val="24"/>
        </w:rPr>
        <w:t xml:space="preserve"> Polish dissident Adam Michnik </w:t>
      </w:r>
      <w:r w:rsidR="00DC22E6">
        <w:rPr>
          <w:sz w:val="24"/>
          <w:szCs w:val="24"/>
        </w:rPr>
        <w:t>“</w:t>
      </w:r>
      <w:r w:rsidRPr="005E142B">
        <w:rPr>
          <w:sz w:val="24"/>
          <w:szCs w:val="24"/>
        </w:rPr>
        <w:t>mesmerised his audience with a two-hour discourse on Poland’s tragic history, his own incarceration and torture by the communist police, and how NATO membership was the logical culmination of Solidarity’s struggle for democracy and freedom. The audience was overwhelmed.</w:t>
      </w:r>
      <w:r w:rsidR="00DC22E6">
        <w:rPr>
          <w:sz w:val="24"/>
          <w:szCs w:val="24"/>
        </w:rPr>
        <w:t>”</w:t>
      </w:r>
      <w:r w:rsidRPr="005E142B">
        <w:rPr>
          <w:rStyle w:val="FootnoteReference"/>
          <w:sz w:val="24"/>
          <w:szCs w:val="24"/>
        </w:rPr>
        <w:footnoteReference w:id="142"/>
      </w:r>
      <w:r w:rsidRPr="005E142B">
        <w:rPr>
          <w:sz w:val="24"/>
          <w:szCs w:val="24"/>
        </w:rPr>
        <w:t xml:space="preserve"> </w:t>
      </w:r>
    </w:p>
    <w:p w:rsidR="00724C9F" w:rsidRPr="005E142B" w:rsidRDefault="00724C9F" w:rsidP="005E142B">
      <w:pPr>
        <w:spacing w:after="0" w:line="480" w:lineRule="auto"/>
        <w:ind w:firstLine="720"/>
        <w:jc w:val="both"/>
        <w:rPr>
          <w:sz w:val="24"/>
          <w:szCs w:val="24"/>
        </w:rPr>
      </w:pPr>
    </w:p>
    <w:p w:rsidR="00724C9F" w:rsidRPr="005E142B" w:rsidRDefault="00724C9F" w:rsidP="005E142B">
      <w:pPr>
        <w:spacing w:after="0" w:line="480" w:lineRule="auto"/>
        <w:ind w:firstLine="720"/>
        <w:jc w:val="both"/>
        <w:rPr>
          <w:sz w:val="24"/>
          <w:szCs w:val="24"/>
        </w:rPr>
      </w:pPr>
      <w:r w:rsidRPr="005E142B">
        <w:rPr>
          <w:sz w:val="24"/>
          <w:szCs w:val="24"/>
        </w:rPr>
        <w:t>In persuading reluctant lawmakers to support enlargement, lobbyists from the US Co</w:t>
      </w:r>
      <w:r w:rsidR="0096595E" w:rsidRPr="005E142B">
        <w:rPr>
          <w:sz w:val="24"/>
          <w:szCs w:val="24"/>
        </w:rPr>
        <w:t xml:space="preserve">mmittee to Expand NATO (USCEN), </w:t>
      </w:r>
      <w:r w:rsidRPr="005E142B">
        <w:rPr>
          <w:sz w:val="24"/>
          <w:szCs w:val="24"/>
        </w:rPr>
        <w:t>a committee formed of major figure</w:t>
      </w:r>
      <w:r w:rsidR="002A5AA6" w:rsidRPr="005E142B">
        <w:rPr>
          <w:sz w:val="24"/>
          <w:szCs w:val="24"/>
        </w:rPr>
        <w:t xml:space="preserve">s from the </w:t>
      </w:r>
      <w:r w:rsidR="00DC22E6">
        <w:rPr>
          <w:sz w:val="24"/>
          <w:szCs w:val="24"/>
        </w:rPr>
        <w:t>“</w:t>
      </w:r>
      <w:r w:rsidR="002A5AA6" w:rsidRPr="005E142B">
        <w:rPr>
          <w:sz w:val="24"/>
          <w:szCs w:val="24"/>
        </w:rPr>
        <w:t>blob</w:t>
      </w:r>
      <w:r w:rsidR="00DC22E6">
        <w:rPr>
          <w:sz w:val="24"/>
          <w:szCs w:val="24"/>
        </w:rPr>
        <w:t>”</w:t>
      </w:r>
      <w:r w:rsidR="0096595E" w:rsidRPr="005E142B">
        <w:rPr>
          <w:sz w:val="24"/>
          <w:szCs w:val="24"/>
        </w:rPr>
        <w:t>,</w:t>
      </w:r>
      <w:r w:rsidRPr="005E142B">
        <w:rPr>
          <w:rStyle w:val="FootnoteReference"/>
          <w:sz w:val="24"/>
          <w:szCs w:val="24"/>
        </w:rPr>
        <w:footnoteReference w:id="143"/>
      </w:r>
      <w:r w:rsidRPr="005E142B">
        <w:rPr>
          <w:sz w:val="24"/>
          <w:szCs w:val="24"/>
        </w:rPr>
        <w:t xml:space="preserve"> successfully drew on embedded assumptions to frame NATO enlargement as </w:t>
      </w:r>
      <w:r w:rsidR="002A5AA6" w:rsidRPr="005E142B">
        <w:rPr>
          <w:sz w:val="24"/>
          <w:szCs w:val="24"/>
        </w:rPr>
        <w:t>naturally American</w:t>
      </w:r>
      <w:r w:rsidRPr="005E142B">
        <w:rPr>
          <w:sz w:val="24"/>
          <w:szCs w:val="24"/>
        </w:rPr>
        <w:t>. As the participant Ronald Asmus recalls the</w:t>
      </w:r>
      <w:r w:rsidR="0096595E" w:rsidRPr="005E142B">
        <w:rPr>
          <w:sz w:val="24"/>
          <w:szCs w:val="24"/>
        </w:rPr>
        <w:t xml:space="preserve">ir </w:t>
      </w:r>
      <w:r w:rsidRPr="005E142B">
        <w:rPr>
          <w:sz w:val="24"/>
          <w:szCs w:val="24"/>
        </w:rPr>
        <w:t xml:space="preserve">rationale, </w:t>
      </w:r>
      <w:r w:rsidR="00DC22E6">
        <w:rPr>
          <w:sz w:val="24"/>
          <w:szCs w:val="24"/>
        </w:rPr>
        <w:t>“</w:t>
      </w:r>
      <w:r w:rsidRPr="005E142B">
        <w:rPr>
          <w:sz w:val="24"/>
          <w:szCs w:val="24"/>
        </w:rPr>
        <w:t xml:space="preserve">If NATO did not exist, would we create it and what would it look like? Our answer was that </w:t>
      </w:r>
      <w:r w:rsidRPr="0090759B">
        <w:rPr>
          <w:sz w:val="24"/>
          <w:szCs w:val="24"/>
        </w:rPr>
        <w:t>of course</w:t>
      </w:r>
      <w:r w:rsidRPr="005E142B">
        <w:rPr>
          <w:sz w:val="24"/>
          <w:szCs w:val="24"/>
        </w:rPr>
        <w:t xml:space="preserve"> we would still want to have a strategic alliance between the US and Europe to defend our common interests against future threats. But it was also</w:t>
      </w:r>
      <w:r w:rsidRPr="0090759B">
        <w:rPr>
          <w:sz w:val="24"/>
          <w:szCs w:val="24"/>
        </w:rPr>
        <w:t xml:space="preserve"> obvious </w:t>
      </w:r>
      <w:r w:rsidRPr="005E142B">
        <w:rPr>
          <w:sz w:val="24"/>
          <w:szCs w:val="24"/>
        </w:rPr>
        <w:t xml:space="preserve">that such an alliance would look quite </w:t>
      </w:r>
      <w:r w:rsidRPr="005E142B">
        <w:rPr>
          <w:sz w:val="24"/>
          <w:szCs w:val="24"/>
        </w:rPr>
        <w:lastRenderedPageBreak/>
        <w:t xml:space="preserve">different – and would have new members and be focused on a different set of missions. Ergo, enlargement was part of the </w:t>
      </w:r>
      <w:r w:rsidRPr="0090759B">
        <w:rPr>
          <w:sz w:val="24"/>
          <w:szCs w:val="24"/>
        </w:rPr>
        <w:t>natural transformation</w:t>
      </w:r>
      <w:r w:rsidRPr="005E142B">
        <w:rPr>
          <w:sz w:val="24"/>
          <w:szCs w:val="24"/>
        </w:rPr>
        <w:t xml:space="preserve"> and modernisation of NATO for a new era…the changes we were making in NATO were a </w:t>
      </w:r>
      <w:r w:rsidRPr="0090759B">
        <w:rPr>
          <w:sz w:val="24"/>
          <w:szCs w:val="24"/>
        </w:rPr>
        <w:t>commonsensical adaptation</w:t>
      </w:r>
      <w:r w:rsidRPr="005E142B">
        <w:rPr>
          <w:b/>
          <w:sz w:val="24"/>
          <w:szCs w:val="24"/>
        </w:rPr>
        <w:t xml:space="preserve"> </w:t>
      </w:r>
      <w:r w:rsidRPr="005E142B">
        <w:rPr>
          <w:sz w:val="24"/>
          <w:szCs w:val="24"/>
        </w:rPr>
        <w:t>of the Alliance to a post-Cold War world.</w:t>
      </w:r>
      <w:r w:rsidR="00DC22E6">
        <w:rPr>
          <w:sz w:val="24"/>
          <w:szCs w:val="24"/>
        </w:rPr>
        <w:t>”</w:t>
      </w:r>
      <w:r w:rsidRPr="005E142B">
        <w:rPr>
          <w:rStyle w:val="FootnoteReference"/>
          <w:sz w:val="24"/>
          <w:szCs w:val="24"/>
        </w:rPr>
        <w:footnoteReference w:id="144"/>
      </w:r>
      <w:r w:rsidRPr="005E142B">
        <w:rPr>
          <w:sz w:val="24"/>
          <w:szCs w:val="24"/>
        </w:rPr>
        <w:t xml:space="preserve"> </w:t>
      </w:r>
      <w:r w:rsidR="0043754F">
        <w:rPr>
          <w:sz w:val="24"/>
          <w:szCs w:val="24"/>
        </w:rPr>
        <w:t>“</w:t>
      </w:r>
      <w:r w:rsidRPr="005E142B">
        <w:rPr>
          <w:sz w:val="24"/>
          <w:szCs w:val="24"/>
        </w:rPr>
        <w:t>Commonsensical</w:t>
      </w:r>
      <w:r w:rsidR="0043754F">
        <w:rPr>
          <w:sz w:val="24"/>
          <w:szCs w:val="24"/>
        </w:rPr>
        <w:t>”</w:t>
      </w:r>
      <w:r w:rsidRPr="005E142B">
        <w:rPr>
          <w:sz w:val="24"/>
          <w:szCs w:val="24"/>
        </w:rPr>
        <w:t xml:space="preserve">, </w:t>
      </w:r>
      <w:r w:rsidR="0043754F">
        <w:rPr>
          <w:sz w:val="24"/>
          <w:szCs w:val="24"/>
        </w:rPr>
        <w:t>“</w:t>
      </w:r>
      <w:r w:rsidRPr="005E142B">
        <w:rPr>
          <w:sz w:val="24"/>
          <w:szCs w:val="24"/>
        </w:rPr>
        <w:t>natural</w:t>
      </w:r>
      <w:r w:rsidR="0043754F">
        <w:rPr>
          <w:sz w:val="24"/>
          <w:szCs w:val="24"/>
        </w:rPr>
        <w:t>”</w:t>
      </w:r>
      <w:r w:rsidRPr="005E142B">
        <w:rPr>
          <w:sz w:val="24"/>
          <w:szCs w:val="24"/>
        </w:rPr>
        <w:t xml:space="preserve">, </w:t>
      </w:r>
      <w:r w:rsidR="0043754F">
        <w:rPr>
          <w:sz w:val="24"/>
          <w:szCs w:val="24"/>
        </w:rPr>
        <w:t>“</w:t>
      </w:r>
      <w:r w:rsidR="0096595E" w:rsidRPr="005E142B">
        <w:rPr>
          <w:sz w:val="24"/>
          <w:szCs w:val="24"/>
        </w:rPr>
        <w:t>obvious</w:t>
      </w:r>
      <w:r w:rsidR="0043754F">
        <w:rPr>
          <w:sz w:val="24"/>
          <w:szCs w:val="24"/>
        </w:rPr>
        <w:t>”</w:t>
      </w:r>
      <w:r w:rsidR="0096595E" w:rsidRPr="005E142B">
        <w:rPr>
          <w:sz w:val="24"/>
          <w:szCs w:val="24"/>
        </w:rPr>
        <w:t xml:space="preserve">, </w:t>
      </w:r>
      <w:r w:rsidR="0043754F">
        <w:rPr>
          <w:sz w:val="24"/>
          <w:szCs w:val="24"/>
        </w:rPr>
        <w:t>“</w:t>
      </w:r>
      <w:r w:rsidRPr="005E142B">
        <w:rPr>
          <w:sz w:val="24"/>
          <w:szCs w:val="24"/>
        </w:rPr>
        <w:t>of course</w:t>
      </w:r>
      <w:r w:rsidR="0043754F">
        <w:rPr>
          <w:sz w:val="24"/>
          <w:szCs w:val="24"/>
        </w:rPr>
        <w:t>”</w:t>
      </w:r>
      <w:r w:rsidRPr="005E142B">
        <w:rPr>
          <w:sz w:val="24"/>
          <w:szCs w:val="24"/>
        </w:rPr>
        <w:t xml:space="preserve"> – this is the vocabulary of habit. Subsequent congressional debate reflected the ease with which these habitual ideas took hold. The high-stakes commitment, already endorsed in both major party platforms, re</w:t>
      </w:r>
      <w:r w:rsidR="0090759B">
        <w:rPr>
          <w:sz w:val="24"/>
          <w:szCs w:val="24"/>
        </w:rPr>
        <w:t>ceived only a brief debate and “no more than a cursory glance”</w:t>
      </w:r>
      <w:r w:rsidRPr="005E142B">
        <w:rPr>
          <w:rStyle w:val="FootnoteReference"/>
          <w:sz w:val="24"/>
          <w:szCs w:val="24"/>
        </w:rPr>
        <w:footnoteReference w:id="145"/>
      </w:r>
      <w:r w:rsidRPr="005E142B">
        <w:rPr>
          <w:sz w:val="24"/>
          <w:szCs w:val="24"/>
        </w:rPr>
        <w:t xml:space="preserve"> before the Senate and House overwhelmingly passed the </w:t>
      </w:r>
      <w:r w:rsidRPr="0090759B">
        <w:rPr>
          <w:i/>
          <w:sz w:val="24"/>
          <w:szCs w:val="24"/>
        </w:rPr>
        <w:t>NATO Enlargement Facilitation Act</w:t>
      </w:r>
      <w:r w:rsidRPr="005E142B">
        <w:rPr>
          <w:sz w:val="24"/>
          <w:szCs w:val="24"/>
        </w:rPr>
        <w:t xml:space="preserve"> in July 1996.  </w:t>
      </w:r>
    </w:p>
    <w:p w:rsidR="00724C9F" w:rsidRPr="005E142B" w:rsidRDefault="00724C9F" w:rsidP="005E142B">
      <w:pPr>
        <w:spacing w:after="0" w:line="480" w:lineRule="auto"/>
        <w:ind w:firstLine="720"/>
        <w:jc w:val="both"/>
        <w:rPr>
          <w:sz w:val="24"/>
          <w:szCs w:val="24"/>
        </w:rPr>
      </w:pPr>
    </w:p>
    <w:p w:rsidR="00724C9F" w:rsidRPr="005E142B" w:rsidRDefault="00724C9F" w:rsidP="005E142B">
      <w:pPr>
        <w:spacing w:after="0" w:line="480" w:lineRule="auto"/>
        <w:ind w:firstLine="720"/>
        <w:jc w:val="both"/>
        <w:rPr>
          <w:sz w:val="24"/>
          <w:szCs w:val="24"/>
        </w:rPr>
      </w:pPr>
      <w:r w:rsidRPr="005E142B">
        <w:rPr>
          <w:sz w:val="24"/>
          <w:szCs w:val="24"/>
        </w:rPr>
        <w:t>Even arguments made against enlarging NATO were predominantly conservative</w:t>
      </w:r>
      <w:r w:rsidR="00F96544" w:rsidRPr="005E142B">
        <w:rPr>
          <w:sz w:val="24"/>
          <w:szCs w:val="24"/>
        </w:rPr>
        <w:t xml:space="preserve"> </w:t>
      </w:r>
      <w:r w:rsidRPr="005E142B">
        <w:rPr>
          <w:sz w:val="24"/>
          <w:szCs w:val="24"/>
        </w:rPr>
        <w:t>ones, reflecting the assumption that the US self-evidently should maintain its European commitment. Much criticism was driven by anxiety that</w:t>
      </w:r>
      <w:r w:rsidR="00440839" w:rsidRPr="005E142B">
        <w:rPr>
          <w:sz w:val="24"/>
          <w:szCs w:val="24"/>
        </w:rPr>
        <w:t xml:space="preserve"> enlargement</w:t>
      </w:r>
      <w:r w:rsidRPr="005E142B">
        <w:rPr>
          <w:sz w:val="24"/>
          <w:szCs w:val="24"/>
        </w:rPr>
        <w:t xml:space="preserve"> could jeopardise America’s European commitment, rather than alternative rationale</w:t>
      </w:r>
      <w:r w:rsidR="00F96544" w:rsidRPr="005E142B">
        <w:rPr>
          <w:sz w:val="24"/>
          <w:szCs w:val="24"/>
        </w:rPr>
        <w:t>s</w:t>
      </w:r>
      <w:r w:rsidRPr="005E142B">
        <w:rPr>
          <w:sz w:val="24"/>
          <w:szCs w:val="24"/>
        </w:rPr>
        <w:t xml:space="preserve">, that NATO was unnecessary or obsolete in a post-Soviet world. Early opposition from the </w:t>
      </w:r>
      <w:r w:rsidR="003938A8">
        <w:rPr>
          <w:sz w:val="24"/>
          <w:szCs w:val="24"/>
        </w:rPr>
        <w:t>Defense</w:t>
      </w:r>
      <w:r w:rsidRPr="005E142B">
        <w:rPr>
          <w:sz w:val="24"/>
          <w:szCs w:val="24"/>
        </w:rPr>
        <w:t xml:space="preserve"> Department and the Supreme Allied Commander in Europe </w:t>
      </w:r>
      <w:r w:rsidR="00440839" w:rsidRPr="005E142B">
        <w:rPr>
          <w:sz w:val="24"/>
          <w:szCs w:val="24"/>
        </w:rPr>
        <w:t>argued</w:t>
      </w:r>
      <w:r w:rsidRPr="005E142B">
        <w:rPr>
          <w:sz w:val="24"/>
          <w:szCs w:val="24"/>
        </w:rPr>
        <w:t xml:space="preserve"> expansion </w:t>
      </w:r>
      <w:r w:rsidR="00F96544" w:rsidRPr="005E142B">
        <w:rPr>
          <w:sz w:val="24"/>
          <w:szCs w:val="24"/>
        </w:rPr>
        <w:t>could</w:t>
      </w:r>
      <w:r w:rsidRPr="005E142B">
        <w:rPr>
          <w:sz w:val="24"/>
          <w:szCs w:val="24"/>
        </w:rPr>
        <w:t xml:space="preserve"> dilute NATO’s effectiveness. An open letter in June 1997 signed by 46 experts, retired diplomats, senators, senior military officers argued that enlargement would ‘degrade NATO’s ability to carry out its primary mission’, and domestically </w:t>
      </w:r>
      <w:r w:rsidR="00D07D2B">
        <w:rPr>
          <w:sz w:val="24"/>
          <w:szCs w:val="24"/>
        </w:rPr>
        <w:t>“</w:t>
      </w:r>
      <w:r w:rsidRPr="005E142B">
        <w:rPr>
          <w:sz w:val="24"/>
          <w:szCs w:val="24"/>
        </w:rPr>
        <w:t>will call into question the US commitment to the Alliance, traditionally and rightly regarded as a centrepiece of US foreign policy.</w:t>
      </w:r>
      <w:r w:rsidR="00D07D2B">
        <w:rPr>
          <w:sz w:val="24"/>
          <w:szCs w:val="24"/>
        </w:rPr>
        <w:t>”</w:t>
      </w:r>
      <w:r w:rsidRPr="005E142B">
        <w:rPr>
          <w:sz w:val="24"/>
          <w:szCs w:val="24"/>
          <w:vertAlign w:val="superscript"/>
        </w:rPr>
        <w:footnoteReference w:id="146"/>
      </w:r>
      <w:r w:rsidRPr="005E142B">
        <w:rPr>
          <w:sz w:val="24"/>
          <w:szCs w:val="24"/>
        </w:rPr>
        <w:t xml:space="preserve"> In a Council on Foreign Relations debate in December 1996, where academic and former security advisor Michael Mandelbaum defeated Richard Holbrooke in a straw poll, </w:t>
      </w:r>
      <w:r w:rsidR="00ED34BC" w:rsidRPr="005E142B">
        <w:rPr>
          <w:sz w:val="24"/>
          <w:szCs w:val="24"/>
        </w:rPr>
        <w:t>Mandelbaum</w:t>
      </w:r>
      <w:r w:rsidRPr="005E142B">
        <w:rPr>
          <w:sz w:val="24"/>
          <w:szCs w:val="24"/>
        </w:rPr>
        <w:t xml:space="preserve"> </w:t>
      </w:r>
      <w:r w:rsidR="00ED34BC" w:rsidRPr="005E142B">
        <w:rPr>
          <w:sz w:val="24"/>
          <w:szCs w:val="24"/>
        </w:rPr>
        <w:t>claimed</w:t>
      </w:r>
      <w:r w:rsidRPr="005E142B">
        <w:rPr>
          <w:sz w:val="24"/>
          <w:szCs w:val="24"/>
        </w:rPr>
        <w:t xml:space="preserve"> enlargement would shake</w:t>
      </w:r>
      <w:r w:rsidR="000C14F3" w:rsidRPr="005E142B">
        <w:rPr>
          <w:sz w:val="24"/>
          <w:szCs w:val="24"/>
        </w:rPr>
        <w:t xml:space="preserve"> the</w:t>
      </w:r>
      <w:r w:rsidRPr="005E142B">
        <w:rPr>
          <w:sz w:val="24"/>
          <w:szCs w:val="24"/>
        </w:rPr>
        <w:t xml:space="preserve"> </w:t>
      </w:r>
      <w:r w:rsidR="000D61AA" w:rsidRPr="005E142B">
        <w:rPr>
          <w:sz w:val="24"/>
          <w:szCs w:val="24"/>
        </w:rPr>
        <w:t>consensus</w:t>
      </w:r>
      <w:r w:rsidRPr="005E142B">
        <w:rPr>
          <w:sz w:val="24"/>
          <w:szCs w:val="24"/>
        </w:rPr>
        <w:t xml:space="preserve"> in favour of </w:t>
      </w:r>
      <w:r w:rsidR="00B90461">
        <w:rPr>
          <w:sz w:val="24"/>
          <w:szCs w:val="24"/>
        </w:rPr>
        <w:t>“</w:t>
      </w:r>
      <w:r w:rsidRPr="005E142B">
        <w:rPr>
          <w:sz w:val="24"/>
          <w:szCs w:val="24"/>
        </w:rPr>
        <w:t>an essential American commitment.</w:t>
      </w:r>
      <w:r w:rsidR="00B90461">
        <w:rPr>
          <w:sz w:val="24"/>
          <w:szCs w:val="24"/>
        </w:rPr>
        <w:t>”</w:t>
      </w:r>
      <w:r w:rsidRPr="005E142B">
        <w:rPr>
          <w:sz w:val="24"/>
          <w:szCs w:val="24"/>
          <w:vertAlign w:val="superscript"/>
        </w:rPr>
        <w:footnoteReference w:id="147"/>
      </w:r>
      <w:r w:rsidRPr="005E142B">
        <w:rPr>
          <w:sz w:val="24"/>
          <w:szCs w:val="24"/>
        </w:rPr>
        <w:t xml:space="preserve">  </w:t>
      </w:r>
    </w:p>
    <w:p w:rsidR="00724C9F" w:rsidRPr="005E142B" w:rsidRDefault="00724C9F" w:rsidP="005E142B">
      <w:pPr>
        <w:spacing w:after="0" w:line="480" w:lineRule="auto"/>
        <w:ind w:firstLine="720"/>
        <w:jc w:val="both"/>
        <w:rPr>
          <w:sz w:val="24"/>
          <w:szCs w:val="24"/>
        </w:rPr>
      </w:pPr>
    </w:p>
    <w:p w:rsidR="00ED34BC" w:rsidRDefault="00ED34BC" w:rsidP="005E142B">
      <w:pPr>
        <w:spacing w:after="0" w:line="480" w:lineRule="auto"/>
        <w:ind w:firstLine="720"/>
        <w:jc w:val="both"/>
        <w:rPr>
          <w:sz w:val="24"/>
          <w:szCs w:val="24"/>
        </w:rPr>
      </w:pPr>
      <w:r w:rsidRPr="005E142B">
        <w:rPr>
          <w:sz w:val="24"/>
          <w:szCs w:val="24"/>
        </w:rPr>
        <w:t xml:space="preserve">To anticipate an objection, </w:t>
      </w:r>
      <w:r w:rsidR="000968AE" w:rsidRPr="005E142B">
        <w:rPr>
          <w:sz w:val="24"/>
          <w:szCs w:val="24"/>
        </w:rPr>
        <w:t xml:space="preserve">some </w:t>
      </w:r>
      <w:r w:rsidRPr="005E142B">
        <w:rPr>
          <w:sz w:val="24"/>
          <w:szCs w:val="24"/>
        </w:rPr>
        <w:t xml:space="preserve">might argue that in </w:t>
      </w:r>
      <w:r w:rsidR="00311087" w:rsidRPr="005E142B">
        <w:rPr>
          <w:sz w:val="24"/>
          <w:szCs w:val="24"/>
        </w:rPr>
        <w:t>consolidating pre</w:t>
      </w:r>
      <w:r w:rsidR="005B240A" w:rsidRPr="005E142B">
        <w:rPr>
          <w:sz w:val="24"/>
          <w:szCs w:val="24"/>
        </w:rPr>
        <w:t>-</w:t>
      </w:r>
      <w:r w:rsidR="00311087" w:rsidRPr="005E142B">
        <w:rPr>
          <w:sz w:val="24"/>
          <w:szCs w:val="24"/>
        </w:rPr>
        <w:t>eminence</w:t>
      </w:r>
      <w:r w:rsidRPr="005E142B">
        <w:rPr>
          <w:sz w:val="24"/>
          <w:szCs w:val="24"/>
        </w:rPr>
        <w:t xml:space="preserve"> in </w:t>
      </w:r>
      <w:r w:rsidR="00436076" w:rsidRPr="005E142B">
        <w:rPr>
          <w:sz w:val="24"/>
          <w:szCs w:val="24"/>
        </w:rPr>
        <w:t xml:space="preserve">post Cold War </w:t>
      </w:r>
      <w:r w:rsidRPr="005E142B">
        <w:rPr>
          <w:sz w:val="24"/>
          <w:szCs w:val="24"/>
        </w:rPr>
        <w:t xml:space="preserve">Europe, Clinton’s America </w:t>
      </w:r>
      <w:r w:rsidR="00436076" w:rsidRPr="005E142B">
        <w:rPr>
          <w:sz w:val="24"/>
          <w:szCs w:val="24"/>
        </w:rPr>
        <w:t>was</w:t>
      </w:r>
      <w:r w:rsidRPr="005E142B">
        <w:rPr>
          <w:sz w:val="24"/>
          <w:szCs w:val="24"/>
        </w:rPr>
        <w:t xml:space="preserve"> </w:t>
      </w:r>
      <w:r w:rsidR="006B52DD" w:rsidRPr="005E142B">
        <w:rPr>
          <w:sz w:val="24"/>
          <w:szCs w:val="24"/>
        </w:rPr>
        <w:t xml:space="preserve">merely </w:t>
      </w:r>
      <w:r w:rsidR="00853CEC" w:rsidRPr="005E142B">
        <w:rPr>
          <w:sz w:val="24"/>
          <w:szCs w:val="24"/>
        </w:rPr>
        <w:t xml:space="preserve">exploiting its power advantage and </w:t>
      </w:r>
      <w:r w:rsidR="00CD1B42" w:rsidRPr="005E142B">
        <w:rPr>
          <w:sz w:val="24"/>
          <w:szCs w:val="24"/>
        </w:rPr>
        <w:t>opportunity</w:t>
      </w:r>
      <w:r w:rsidRPr="005E142B">
        <w:rPr>
          <w:sz w:val="24"/>
          <w:szCs w:val="24"/>
        </w:rPr>
        <w:t xml:space="preserve"> to </w:t>
      </w:r>
      <w:r w:rsidR="00436076" w:rsidRPr="005E142B">
        <w:rPr>
          <w:sz w:val="24"/>
          <w:szCs w:val="24"/>
        </w:rPr>
        <w:t>expand</w:t>
      </w:r>
      <w:r w:rsidRPr="005E142B">
        <w:rPr>
          <w:sz w:val="24"/>
          <w:szCs w:val="24"/>
        </w:rPr>
        <w:t>.</w:t>
      </w:r>
      <w:r w:rsidR="00436076" w:rsidRPr="005E142B">
        <w:rPr>
          <w:sz w:val="24"/>
          <w:szCs w:val="24"/>
        </w:rPr>
        <w:t xml:space="preserve"> </w:t>
      </w:r>
      <w:r w:rsidR="00542530" w:rsidRPr="005E142B">
        <w:rPr>
          <w:sz w:val="24"/>
          <w:szCs w:val="24"/>
        </w:rPr>
        <w:t>Material structure, however, is not a sufficient explanation.</w:t>
      </w:r>
      <w:r w:rsidR="00853CEC" w:rsidRPr="005E142B">
        <w:rPr>
          <w:sz w:val="24"/>
          <w:szCs w:val="24"/>
        </w:rPr>
        <w:t xml:space="preserve"> </w:t>
      </w:r>
      <w:r w:rsidR="00542530" w:rsidRPr="005E142B">
        <w:rPr>
          <w:sz w:val="24"/>
          <w:szCs w:val="24"/>
        </w:rPr>
        <w:t>A</w:t>
      </w:r>
      <w:r w:rsidR="005B240A" w:rsidRPr="005E142B">
        <w:rPr>
          <w:sz w:val="24"/>
          <w:szCs w:val="24"/>
        </w:rPr>
        <w:t>t previous</w:t>
      </w:r>
      <w:r w:rsidR="00311087" w:rsidRPr="005E142B">
        <w:rPr>
          <w:sz w:val="24"/>
          <w:szCs w:val="24"/>
        </w:rPr>
        <w:t xml:space="preserve"> crossroads moments </w:t>
      </w:r>
      <w:r w:rsidR="00CD1B42" w:rsidRPr="005E142B">
        <w:rPr>
          <w:sz w:val="24"/>
          <w:szCs w:val="24"/>
        </w:rPr>
        <w:t>of</w:t>
      </w:r>
      <w:r w:rsidR="00311087" w:rsidRPr="005E142B">
        <w:rPr>
          <w:sz w:val="24"/>
          <w:szCs w:val="24"/>
        </w:rPr>
        <w:t xml:space="preserve"> power advantage, </w:t>
      </w:r>
      <w:r w:rsidR="005B240A" w:rsidRPr="005E142B">
        <w:rPr>
          <w:sz w:val="24"/>
          <w:szCs w:val="24"/>
        </w:rPr>
        <w:t xml:space="preserve">the US </w:t>
      </w:r>
      <w:r w:rsidR="00311087" w:rsidRPr="005E142B">
        <w:rPr>
          <w:sz w:val="24"/>
          <w:szCs w:val="24"/>
        </w:rPr>
        <w:t>relinquished opportunities to expand.</w:t>
      </w:r>
      <w:r w:rsidR="00311087" w:rsidRPr="005E142B">
        <w:rPr>
          <w:rStyle w:val="FootnoteReference"/>
          <w:rFonts w:eastAsia="Times New Roman"/>
          <w:sz w:val="24"/>
          <w:szCs w:val="24"/>
          <w:lang w:eastAsia="en-GB"/>
        </w:rPr>
        <w:footnoteReference w:id="148"/>
      </w:r>
      <w:r w:rsidR="00311087" w:rsidRPr="005E142B">
        <w:rPr>
          <w:rFonts w:eastAsia="Times New Roman"/>
          <w:sz w:val="24"/>
          <w:szCs w:val="24"/>
          <w:lang w:eastAsia="en-GB"/>
        </w:rPr>
        <w:t xml:space="preserve"> </w:t>
      </w:r>
      <w:r w:rsidR="006B52DD" w:rsidRPr="005E142B">
        <w:rPr>
          <w:rFonts w:eastAsia="Times New Roman"/>
          <w:sz w:val="24"/>
          <w:szCs w:val="24"/>
          <w:lang w:eastAsia="en-GB"/>
        </w:rPr>
        <w:t xml:space="preserve">It </w:t>
      </w:r>
      <w:r w:rsidR="00DF0EE1" w:rsidRPr="005E142B">
        <w:rPr>
          <w:rFonts w:eastAsia="Times New Roman"/>
          <w:sz w:val="24"/>
          <w:szCs w:val="24"/>
          <w:lang w:eastAsia="en-GB"/>
        </w:rPr>
        <w:t xml:space="preserve">did not conquer Mexico or Canada after 1850, despite its continental hegemony after the withdrawal of European powers. In the </w:t>
      </w:r>
      <w:r w:rsidR="00E70CC3" w:rsidRPr="005E142B">
        <w:rPr>
          <w:rFonts w:eastAsia="Times New Roman"/>
          <w:sz w:val="24"/>
          <w:szCs w:val="24"/>
          <w:lang w:eastAsia="en-GB"/>
        </w:rPr>
        <w:t>economic boom of</w:t>
      </w:r>
      <w:r w:rsidR="00DF0EE1" w:rsidRPr="005E142B">
        <w:rPr>
          <w:rFonts w:eastAsia="Times New Roman"/>
          <w:sz w:val="24"/>
          <w:szCs w:val="24"/>
          <w:lang w:eastAsia="en-GB"/>
        </w:rPr>
        <w:t xml:space="preserve"> 1865-1889, the U</w:t>
      </w:r>
      <w:r w:rsidR="00896572">
        <w:rPr>
          <w:rFonts w:eastAsia="Times New Roman"/>
          <w:sz w:val="24"/>
          <w:szCs w:val="24"/>
          <w:lang w:eastAsia="en-GB"/>
        </w:rPr>
        <w:t>.</w:t>
      </w:r>
      <w:r w:rsidR="00DF0EE1" w:rsidRPr="005E142B">
        <w:rPr>
          <w:rFonts w:eastAsia="Times New Roman"/>
          <w:sz w:val="24"/>
          <w:szCs w:val="24"/>
          <w:lang w:eastAsia="en-GB"/>
        </w:rPr>
        <w:t>S</w:t>
      </w:r>
      <w:r w:rsidR="00896572">
        <w:rPr>
          <w:rFonts w:eastAsia="Times New Roman"/>
          <w:sz w:val="24"/>
          <w:szCs w:val="24"/>
          <w:lang w:eastAsia="en-GB"/>
        </w:rPr>
        <w:t>.</w:t>
      </w:r>
      <w:r w:rsidR="00DF0EE1" w:rsidRPr="005E142B">
        <w:rPr>
          <w:rFonts w:eastAsia="Times New Roman"/>
          <w:sz w:val="24"/>
          <w:szCs w:val="24"/>
          <w:lang w:eastAsia="en-GB"/>
        </w:rPr>
        <w:t xml:space="preserve"> enjoyed high </w:t>
      </w:r>
      <w:r w:rsidR="00E70CC3" w:rsidRPr="005E142B">
        <w:rPr>
          <w:rFonts w:eastAsia="Times New Roman"/>
          <w:sz w:val="24"/>
          <w:szCs w:val="24"/>
          <w:lang w:eastAsia="en-GB"/>
        </w:rPr>
        <w:t>relative strength</w:t>
      </w:r>
      <w:r w:rsidR="00DF0EE1" w:rsidRPr="005E142B">
        <w:rPr>
          <w:rFonts w:eastAsia="Times New Roman"/>
          <w:sz w:val="24"/>
          <w:szCs w:val="24"/>
          <w:lang w:eastAsia="en-GB"/>
        </w:rPr>
        <w:t xml:space="preserve">, yet </w:t>
      </w:r>
      <w:r w:rsidR="00E70CC3" w:rsidRPr="005E142B">
        <w:rPr>
          <w:rFonts w:eastAsia="Times New Roman"/>
          <w:sz w:val="24"/>
          <w:szCs w:val="24"/>
          <w:lang w:eastAsia="en-GB"/>
        </w:rPr>
        <w:t>hardly expanded or developed military forces</w:t>
      </w:r>
      <w:r w:rsidR="00DF0EE1" w:rsidRPr="005E142B">
        <w:rPr>
          <w:rFonts w:eastAsia="Times New Roman"/>
          <w:sz w:val="24"/>
          <w:szCs w:val="24"/>
          <w:lang w:eastAsia="en-GB"/>
        </w:rPr>
        <w:t xml:space="preserve">. </w:t>
      </w:r>
      <w:r w:rsidR="00DF0EE1" w:rsidRPr="005E142B">
        <w:rPr>
          <w:sz w:val="24"/>
          <w:szCs w:val="24"/>
        </w:rPr>
        <w:t xml:space="preserve">In 1918-1920, with European powers depleted by war and America’s relative economic and military strength </w:t>
      </w:r>
      <w:r w:rsidR="005B240A" w:rsidRPr="005E142B">
        <w:rPr>
          <w:sz w:val="24"/>
          <w:szCs w:val="24"/>
        </w:rPr>
        <w:t>enlarged</w:t>
      </w:r>
      <w:r w:rsidR="00DF0EE1" w:rsidRPr="005E142B">
        <w:rPr>
          <w:sz w:val="24"/>
          <w:szCs w:val="24"/>
        </w:rPr>
        <w:t>, the U</w:t>
      </w:r>
      <w:r w:rsidR="00816105">
        <w:rPr>
          <w:sz w:val="24"/>
          <w:szCs w:val="24"/>
        </w:rPr>
        <w:t>.</w:t>
      </w:r>
      <w:r w:rsidR="00DF0EE1" w:rsidRPr="005E142B">
        <w:rPr>
          <w:sz w:val="24"/>
          <w:szCs w:val="24"/>
        </w:rPr>
        <w:t>S</w:t>
      </w:r>
      <w:r w:rsidR="00816105">
        <w:rPr>
          <w:sz w:val="24"/>
          <w:szCs w:val="24"/>
        </w:rPr>
        <w:t>.</w:t>
      </w:r>
      <w:r w:rsidR="00DF0EE1" w:rsidRPr="005E142B">
        <w:rPr>
          <w:sz w:val="24"/>
          <w:szCs w:val="24"/>
        </w:rPr>
        <w:t xml:space="preserve"> re</w:t>
      </w:r>
      <w:r w:rsidR="00345DE7" w:rsidRPr="005E142B">
        <w:rPr>
          <w:sz w:val="24"/>
          <w:szCs w:val="24"/>
        </w:rPr>
        <w:t xml:space="preserve">jected </w:t>
      </w:r>
      <w:r w:rsidR="00DF0EE1" w:rsidRPr="005E142B">
        <w:rPr>
          <w:sz w:val="24"/>
          <w:szCs w:val="24"/>
        </w:rPr>
        <w:t xml:space="preserve">alliances with Britain or France, </w:t>
      </w:r>
      <w:r w:rsidR="00436076" w:rsidRPr="005E142B">
        <w:rPr>
          <w:sz w:val="24"/>
          <w:szCs w:val="24"/>
        </w:rPr>
        <w:t>refused</w:t>
      </w:r>
      <w:r w:rsidR="00DF0EE1" w:rsidRPr="005E142B">
        <w:rPr>
          <w:sz w:val="24"/>
          <w:szCs w:val="24"/>
        </w:rPr>
        <w:t xml:space="preserve"> </w:t>
      </w:r>
      <w:r w:rsidR="00436076" w:rsidRPr="005E142B">
        <w:rPr>
          <w:sz w:val="24"/>
          <w:szCs w:val="24"/>
        </w:rPr>
        <w:t xml:space="preserve">any </w:t>
      </w:r>
      <w:r w:rsidR="00DF0EE1" w:rsidRPr="005E142B">
        <w:rPr>
          <w:sz w:val="24"/>
          <w:szCs w:val="24"/>
        </w:rPr>
        <w:t>combinations within the League of Nations</w:t>
      </w:r>
      <w:r w:rsidR="002851AC" w:rsidRPr="005E142B">
        <w:rPr>
          <w:sz w:val="24"/>
          <w:szCs w:val="24"/>
        </w:rPr>
        <w:t>, and</w:t>
      </w:r>
      <w:r w:rsidR="00DF0EE1" w:rsidRPr="005E142B">
        <w:rPr>
          <w:sz w:val="24"/>
          <w:szCs w:val="24"/>
        </w:rPr>
        <w:t xml:space="preserve"> withdrew to its western hemisphere.</w:t>
      </w:r>
      <w:r w:rsidR="00DF0EE1" w:rsidRPr="005E142B">
        <w:rPr>
          <w:rStyle w:val="FootnoteReference"/>
          <w:sz w:val="24"/>
          <w:szCs w:val="24"/>
        </w:rPr>
        <w:footnoteReference w:id="149"/>
      </w:r>
      <w:r w:rsidR="00DF0EE1" w:rsidRPr="005E142B">
        <w:rPr>
          <w:sz w:val="24"/>
          <w:szCs w:val="24"/>
        </w:rPr>
        <w:t xml:space="preserve"> </w:t>
      </w:r>
      <w:r w:rsidR="009273A2" w:rsidRPr="005E142B">
        <w:rPr>
          <w:sz w:val="24"/>
          <w:szCs w:val="24"/>
        </w:rPr>
        <w:t xml:space="preserve">Even </w:t>
      </w:r>
      <w:r w:rsidR="00311087" w:rsidRPr="005E142B">
        <w:rPr>
          <w:sz w:val="24"/>
          <w:szCs w:val="24"/>
        </w:rPr>
        <w:t>a</w:t>
      </w:r>
      <w:r w:rsidR="009273A2" w:rsidRPr="005E142B">
        <w:rPr>
          <w:sz w:val="24"/>
          <w:szCs w:val="24"/>
        </w:rPr>
        <w:t xml:space="preserve">fter World War Two, that devastated other </w:t>
      </w:r>
      <w:r w:rsidR="002851AC" w:rsidRPr="005E142B">
        <w:rPr>
          <w:sz w:val="24"/>
          <w:szCs w:val="24"/>
        </w:rPr>
        <w:t>great powers</w:t>
      </w:r>
      <w:r w:rsidR="00311087" w:rsidRPr="005E142B">
        <w:rPr>
          <w:sz w:val="24"/>
          <w:szCs w:val="24"/>
        </w:rPr>
        <w:t xml:space="preserve">, </w:t>
      </w:r>
      <w:r w:rsidR="00816105">
        <w:rPr>
          <w:sz w:val="24"/>
          <w:szCs w:val="24"/>
        </w:rPr>
        <w:t xml:space="preserve">the U.S. </w:t>
      </w:r>
      <w:r w:rsidR="0089245C" w:rsidRPr="005E142B">
        <w:rPr>
          <w:sz w:val="24"/>
          <w:szCs w:val="24"/>
        </w:rPr>
        <w:t xml:space="preserve">had not yet formed a  commitment to primacy. </w:t>
      </w:r>
      <w:r w:rsidR="00E70CC3" w:rsidRPr="005E142B">
        <w:rPr>
          <w:sz w:val="24"/>
          <w:szCs w:val="24"/>
        </w:rPr>
        <w:t>Truman’s</w:t>
      </w:r>
      <w:r w:rsidR="0089245C" w:rsidRPr="005E142B">
        <w:rPr>
          <w:sz w:val="24"/>
          <w:szCs w:val="24"/>
        </w:rPr>
        <w:t xml:space="preserve"> Washington</w:t>
      </w:r>
      <w:r w:rsidR="00E70CC3" w:rsidRPr="005E142B">
        <w:rPr>
          <w:sz w:val="24"/>
          <w:szCs w:val="24"/>
        </w:rPr>
        <w:t xml:space="preserve"> lacked a settled consensus,</w:t>
      </w:r>
      <w:r w:rsidR="0089245C" w:rsidRPr="005E142B">
        <w:rPr>
          <w:sz w:val="24"/>
          <w:szCs w:val="24"/>
        </w:rPr>
        <w:t xml:space="preserve"> </w:t>
      </w:r>
      <w:r w:rsidR="00E70CC3" w:rsidRPr="005E142B">
        <w:rPr>
          <w:sz w:val="24"/>
          <w:szCs w:val="24"/>
        </w:rPr>
        <w:t>and was</w:t>
      </w:r>
      <w:r w:rsidR="0089245C" w:rsidRPr="005E142B">
        <w:rPr>
          <w:sz w:val="24"/>
          <w:szCs w:val="24"/>
        </w:rPr>
        <w:t xml:space="preserve"> receptive to competing </w:t>
      </w:r>
      <w:r w:rsidR="00405F29" w:rsidRPr="005E142B">
        <w:rPr>
          <w:sz w:val="24"/>
          <w:szCs w:val="24"/>
        </w:rPr>
        <w:t>proposals</w:t>
      </w:r>
      <w:r w:rsidR="0089245C" w:rsidRPr="005E142B">
        <w:rPr>
          <w:sz w:val="24"/>
          <w:szCs w:val="24"/>
        </w:rPr>
        <w:t xml:space="preserve"> to contain or accom</w:t>
      </w:r>
      <w:r w:rsidR="002851AC" w:rsidRPr="005E142B">
        <w:rPr>
          <w:sz w:val="24"/>
          <w:szCs w:val="24"/>
        </w:rPr>
        <w:t>modate</w:t>
      </w:r>
      <w:r w:rsidR="0089245C" w:rsidRPr="005E142B">
        <w:rPr>
          <w:sz w:val="24"/>
          <w:szCs w:val="24"/>
        </w:rPr>
        <w:t xml:space="preserve"> the Soviet Union.</w:t>
      </w:r>
      <w:r w:rsidR="0089245C" w:rsidRPr="005E142B">
        <w:rPr>
          <w:rStyle w:val="FootnoteReference"/>
          <w:sz w:val="24"/>
          <w:szCs w:val="24"/>
        </w:rPr>
        <w:footnoteReference w:id="150"/>
      </w:r>
      <w:r w:rsidR="0089245C" w:rsidRPr="005E142B">
        <w:rPr>
          <w:sz w:val="24"/>
          <w:szCs w:val="24"/>
        </w:rPr>
        <w:t xml:space="preserve"> Washington only strove to increase its extra-regional pre-eminence after the Korean War, a contingent event, </w:t>
      </w:r>
      <w:r w:rsidR="000D61AA" w:rsidRPr="005E142B">
        <w:rPr>
          <w:sz w:val="24"/>
          <w:szCs w:val="24"/>
        </w:rPr>
        <w:t>shifted</w:t>
      </w:r>
      <w:r w:rsidR="0089245C" w:rsidRPr="005E142B">
        <w:rPr>
          <w:sz w:val="24"/>
          <w:szCs w:val="24"/>
        </w:rPr>
        <w:t xml:space="preserve"> opinion.</w:t>
      </w:r>
      <w:r w:rsidR="0089245C" w:rsidRPr="005E142B">
        <w:rPr>
          <w:rStyle w:val="FootnoteReference"/>
          <w:sz w:val="24"/>
          <w:szCs w:val="24"/>
        </w:rPr>
        <w:footnoteReference w:id="151"/>
      </w:r>
      <w:r w:rsidR="0089245C" w:rsidRPr="005E142B">
        <w:rPr>
          <w:sz w:val="24"/>
          <w:szCs w:val="24"/>
        </w:rPr>
        <w:t xml:space="preserve"> </w:t>
      </w:r>
      <w:r w:rsidR="00816105">
        <w:rPr>
          <w:sz w:val="24"/>
          <w:szCs w:val="24"/>
        </w:rPr>
        <w:t>By contrast</w:t>
      </w:r>
      <w:r w:rsidR="00311087" w:rsidRPr="005E142B">
        <w:rPr>
          <w:sz w:val="24"/>
          <w:szCs w:val="24"/>
        </w:rPr>
        <w:t>,</w:t>
      </w:r>
      <w:r w:rsidR="00DB4923" w:rsidRPr="005E142B">
        <w:rPr>
          <w:sz w:val="24"/>
          <w:szCs w:val="24"/>
        </w:rPr>
        <w:t xml:space="preserve"> the US</w:t>
      </w:r>
      <w:r w:rsidR="00816105">
        <w:rPr>
          <w:sz w:val="24"/>
          <w:szCs w:val="24"/>
        </w:rPr>
        <w:t xml:space="preserve"> by 1991 had</w:t>
      </w:r>
      <w:r w:rsidR="00DB4923" w:rsidRPr="005E142B">
        <w:rPr>
          <w:sz w:val="24"/>
          <w:szCs w:val="24"/>
        </w:rPr>
        <w:t xml:space="preserve"> been a superpower for decades</w:t>
      </w:r>
      <w:r w:rsidR="000968AE" w:rsidRPr="005E142B">
        <w:rPr>
          <w:sz w:val="24"/>
          <w:szCs w:val="24"/>
        </w:rPr>
        <w:t xml:space="preserve">, </w:t>
      </w:r>
      <w:r w:rsidR="00DC0FBF" w:rsidRPr="005E142B">
        <w:rPr>
          <w:sz w:val="24"/>
          <w:szCs w:val="24"/>
        </w:rPr>
        <w:t>a</w:t>
      </w:r>
      <w:r w:rsidR="00311087" w:rsidRPr="005E142B">
        <w:rPr>
          <w:sz w:val="24"/>
          <w:szCs w:val="24"/>
        </w:rPr>
        <w:t xml:space="preserve"> cohesive foreign policy establishment had</w:t>
      </w:r>
      <w:r w:rsidR="00DC0FBF" w:rsidRPr="005E142B">
        <w:rPr>
          <w:sz w:val="24"/>
          <w:szCs w:val="24"/>
        </w:rPr>
        <w:t xml:space="preserve"> arisen, and the habit of primacy had</w:t>
      </w:r>
      <w:r w:rsidR="00311087" w:rsidRPr="005E142B">
        <w:rPr>
          <w:sz w:val="24"/>
          <w:szCs w:val="24"/>
        </w:rPr>
        <w:t xml:space="preserve"> formed.</w:t>
      </w:r>
    </w:p>
    <w:p w:rsidR="00DC6BE8" w:rsidRPr="005E142B" w:rsidRDefault="00DC6BE8" w:rsidP="005E142B">
      <w:pPr>
        <w:spacing w:after="0" w:line="480" w:lineRule="auto"/>
        <w:ind w:firstLine="720"/>
        <w:jc w:val="both"/>
        <w:rPr>
          <w:sz w:val="24"/>
          <w:szCs w:val="24"/>
        </w:rPr>
      </w:pPr>
    </w:p>
    <w:p w:rsidR="00DC6BE8" w:rsidRDefault="00DC6BE8" w:rsidP="00DC6BE8">
      <w:pPr>
        <w:spacing w:after="0" w:line="480" w:lineRule="auto"/>
        <w:ind w:firstLine="709"/>
        <w:jc w:val="both"/>
        <w:rPr>
          <w:sz w:val="24"/>
          <w:szCs w:val="24"/>
        </w:rPr>
      </w:pPr>
      <w:r>
        <w:rPr>
          <w:sz w:val="24"/>
          <w:szCs w:val="24"/>
        </w:rPr>
        <w:t xml:space="preserve">Neither can </w:t>
      </w:r>
      <w:r w:rsidRPr="005E142B">
        <w:rPr>
          <w:sz w:val="24"/>
          <w:szCs w:val="24"/>
        </w:rPr>
        <w:t xml:space="preserve">Clinton’s continuation of </w:t>
      </w:r>
      <w:r>
        <w:rPr>
          <w:sz w:val="24"/>
          <w:szCs w:val="24"/>
        </w:rPr>
        <w:t>U.S. grand strategy</w:t>
      </w:r>
      <w:r w:rsidRPr="005E142B">
        <w:rPr>
          <w:sz w:val="24"/>
          <w:szCs w:val="24"/>
        </w:rPr>
        <w:t xml:space="preserve"> be explained away as a populist measure. There was little domestic popular demand for a reassertion of primacy. When the populace articulated preferences, most expressed attitudes consistent with more restrained </w:t>
      </w:r>
      <w:r w:rsidRPr="005E142B">
        <w:rPr>
          <w:sz w:val="24"/>
          <w:szCs w:val="24"/>
        </w:rPr>
        <w:lastRenderedPageBreak/>
        <w:t>strategies that accepted multi-polarity and a scaled-back American role.</w:t>
      </w:r>
      <w:r w:rsidRPr="005E142B">
        <w:rPr>
          <w:rStyle w:val="FootnoteReference"/>
          <w:sz w:val="24"/>
          <w:szCs w:val="24"/>
        </w:rPr>
        <w:footnoteReference w:id="152"/>
      </w:r>
      <w:r w:rsidRPr="005E142B">
        <w:rPr>
          <w:sz w:val="24"/>
          <w:szCs w:val="24"/>
        </w:rPr>
        <w:t xml:space="preserve"> There was a chronic gap between elite and popular opinion regarding the scale of America’s international undertakings. Elites showed a preference for military activism and unique responsibility for security provision.</w:t>
      </w:r>
      <w:r w:rsidRPr="005E142B">
        <w:rPr>
          <w:rStyle w:val="FootnoteReference"/>
          <w:sz w:val="24"/>
          <w:szCs w:val="24"/>
        </w:rPr>
        <w:footnoteReference w:id="153"/>
      </w:r>
      <w:r w:rsidRPr="005E142B">
        <w:rPr>
          <w:sz w:val="24"/>
          <w:szCs w:val="24"/>
        </w:rPr>
        <w:t xml:space="preserve"> When Republicans tried to turn Clinton’s global leadership into an electoral issue in 1996, the electorate was unresponsive, weighing economic and social issues well above foreign and </w:t>
      </w:r>
      <w:r>
        <w:rPr>
          <w:sz w:val="24"/>
          <w:szCs w:val="24"/>
        </w:rPr>
        <w:t>defense</w:t>
      </w:r>
      <w:r w:rsidRPr="005E142B">
        <w:rPr>
          <w:sz w:val="24"/>
          <w:szCs w:val="24"/>
        </w:rPr>
        <w:t xml:space="preserve"> policy.</w:t>
      </w:r>
      <w:r w:rsidRPr="005E142B">
        <w:rPr>
          <w:rStyle w:val="FootnoteReference"/>
          <w:sz w:val="24"/>
          <w:szCs w:val="24"/>
        </w:rPr>
        <w:footnoteReference w:id="154"/>
      </w:r>
      <w:r w:rsidRPr="005E142B">
        <w:rPr>
          <w:sz w:val="24"/>
          <w:szCs w:val="24"/>
        </w:rPr>
        <w:t xml:space="preserve"> As well as superior access and resources, the elite cared more.</w:t>
      </w:r>
      <w:r w:rsidRPr="005E142B">
        <w:rPr>
          <w:rStyle w:val="FootnoteReference"/>
          <w:sz w:val="24"/>
          <w:szCs w:val="24"/>
        </w:rPr>
        <w:footnoteReference w:id="155"/>
      </w:r>
      <w:r w:rsidRPr="005E142B">
        <w:rPr>
          <w:sz w:val="24"/>
          <w:szCs w:val="24"/>
        </w:rPr>
        <w:t xml:space="preserve"> Public disengagement left the way open for elite opinion to impose the boundaries for strategic choices, and their preferences carried the day.</w:t>
      </w:r>
    </w:p>
    <w:p w:rsidR="009C47BA" w:rsidRPr="005E142B" w:rsidRDefault="009C47BA" w:rsidP="00DC6BE8">
      <w:pPr>
        <w:spacing w:after="0" w:line="480" w:lineRule="auto"/>
        <w:jc w:val="both"/>
        <w:rPr>
          <w:b/>
          <w:sz w:val="24"/>
          <w:szCs w:val="24"/>
          <w:u w:val="single"/>
        </w:rPr>
      </w:pPr>
    </w:p>
    <w:p w:rsidR="00724C9F" w:rsidRPr="005E142B" w:rsidRDefault="00CD1B42" w:rsidP="005E142B">
      <w:pPr>
        <w:autoSpaceDE w:val="0"/>
        <w:autoSpaceDN w:val="0"/>
        <w:adjustRightInd w:val="0"/>
        <w:spacing w:after="0" w:line="480" w:lineRule="auto"/>
        <w:jc w:val="center"/>
        <w:rPr>
          <w:b/>
          <w:sz w:val="24"/>
          <w:szCs w:val="24"/>
        </w:rPr>
      </w:pPr>
      <w:r w:rsidRPr="005E142B">
        <w:rPr>
          <w:b/>
          <w:sz w:val="24"/>
          <w:szCs w:val="24"/>
        </w:rPr>
        <w:t>Part III: President Donald Trump</w:t>
      </w:r>
    </w:p>
    <w:p w:rsidR="00724C9F" w:rsidRPr="005E142B" w:rsidRDefault="00724C9F" w:rsidP="005E142B">
      <w:pPr>
        <w:autoSpaceDE w:val="0"/>
        <w:autoSpaceDN w:val="0"/>
        <w:adjustRightInd w:val="0"/>
        <w:spacing w:after="0" w:line="480" w:lineRule="auto"/>
        <w:jc w:val="both"/>
        <w:rPr>
          <w:sz w:val="24"/>
          <w:szCs w:val="24"/>
        </w:rPr>
      </w:pPr>
    </w:p>
    <w:p w:rsidR="00DE4226" w:rsidRPr="005E142B" w:rsidRDefault="00724C9F" w:rsidP="005E142B">
      <w:pPr>
        <w:autoSpaceDE w:val="0"/>
        <w:autoSpaceDN w:val="0"/>
        <w:adjustRightInd w:val="0"/>
        <w:spacing w:after="0" w:line="480" w:lineRule="auto"/>
        <w:jc w:val="both"/>
        <w:rPr>
          <w:sz w:val="24"/>
          <w:szCs w:val="24"/>
        </w:rPr>
      </w:pPr>
      <w:r w:rsidRPr="005E142B">
        <w:rPr>
          <w:sz w:val="24"/>
          <w:szCs w:val="24"/>
        </w:rPr>
        <w:t xml:space="preserve">A </w:t>
      </w:r>
      <w:r w:rsidR="002A2D4B">
        <w:rPr>
          <w:sz w:val="24"/>
          <w:szCs w:val="24"/>
        </w:rPr>
        <w:t xml:space="preserve">second </w:t>
      </w:r>
      <w:r w:rsidRPr="005E142B">
        <w:rPr>
          <w:sz w:val="24"/>
          <w:szCs w:val="24"/>
        </w:rPr>
        <w:t xml:space="preserve">case </w:t>
      </w:r>
      <w:r w:rsidR="008E1F17" w:rsidRPr="005E142B">
        <w:rPr>
          <w:sz w:val="24"/>
          <w:szCs w:val="24"/>
        </w:rPr>
        <w:t xml:space="preserve">is </w:t>
      </w:r>
      <w:r w:rsidR="00B74FAC" w:rsidRPr="005E142B">
        <w:rPr>
          <w:sz w:val="24"/>
          <w:szCs w:val="24"/>
        </w:rPr>
        <w:t xml:space="preserve">the </w:t>
      </w:r>
      <w:r w:rsidR="00405650">
        <w:rPr>
          <w:sz w:val="24"/>
          <w:szCs w:val="24"/>
        </w:rPr>
        <w:t xml:space="preserve">first </w:t>
      </w:r>
      <w:r w:rsidR="00D85620">
        <w:rPr>
          <w:sz w:val="24"/>
          <w:szCs w:val="24"/>
        </w:rPr>
        <w:t>year</w:t>
      </w:r>
      <w:r w:rsidR="00B74FAC" w:rsidRPr="005E142B">
        <w:rPr>
          <w:sz w:val="24"/>
          <w:szCs w:val="24"/>
        </w:rPr>
        <w:t xml:space="preserve"> of</w:t>
      </w:r>
      <w:r w:rsidRPr="005E142B">
        <w:rPr>
          <w:sz w:val="24"/>
          <w:szCs w:val="24"/>
        </w:rPr>
        <w:t xml:space="preserve"> President Donald Trump</w:t>
      </w:r>
      <w:r w:rsidR="00536283" w:rsidRPr="005E142B">
        <w:rPr>
          <w:sz w:val="24"/>
          <w:szCs w:val="24"/>
        </w:rPr>
        <w:t xml:space="preserve">, </w:t>
      </w:r>
      <w:r w:rsidR="00405650">
        <w:rPr>
          <w:sz w:val="24"/>
          <w:szCs w:val="24"/>
        </w:rPr>
        <w:t>who was inaugurated</w:t>
      </w:r>
      <w:r w:rsidR="003D5116" w:rsidRPr="005E142B">
        <w:rPr>
          <w:sz w:val="24"/>
          <w:szCs w:val="24"/>
        </w:rPr>
        <w:t xml:space="preserve"> on 20 January 2017</w:t>
      </w:r>
      <w:r w:rsidRPr="005E142B">
        <w:rPr>
          <w:sz w:val="24"/>
          <w:szCs w:val="24"/>
        </w:rPr>
        <w:t>.</w:t>
      </w:r>
      <w:r w:rsidR="00562045" w:rsidRPr="005E142B">
        <w:rPr>
          <w:sz w:val="24"/>
          <w:szCs w:val="24"/>
        </w:rPr>
        <w:t xml:space="preserve"> Trump pose</w:t>
      </w:r>
      <w:r w:rsidR="00B74FAC" w:rsidRPr="005E142B">
        <w:rPr>
          <w:sz w:val="24"/>
          <w:szCs w:val="24"/>
        </w:rPr>
        <w:t>d</w:t>
      </w:r>
      <w:r w:rsidR="00562045" w:rsidRPr="005E142B">
        <w:rPr>
          <w:sz w:val="24"/>
          <w:szCs w:val="24"/>
        </w:rPr>
        <w:t xml:space="preserve"> a greater challenge to the established</w:t>
      </w:r>
      <w:r w:rsidR="005B4AD6" w:rsidRPr="005E142B">
        <w:rPr>
          <w:sz w:val="24"/>
          <w:szCs w:val="24"/>
        </w:rPr>
        <w:t xml:space="preserve"> security</w:t>
      </w:r>
      <w:r w:rsidR="00562045" w:rsidRPr="005E142B">
        <w:rPr>
          <w:sz w:val="24"/>
          <w:szCs w:val="24"/>
        </w:rPr>
        <w:t xml:space="preserve"> order than any</w:t>
      </w:r>
      <w:r w:rsidR="00BC03F0" w:rsidRPr="005E142B">
        <w:rPr>
          <w:sz w:val="24"/>
          <w:szCs w:val="24"/>
        </w:rPr>
        <w:t xml:space="preserve"> incoming</w:t>
      </w:r>
      <w:r w:rsidR="00562045" w:rsidRPr="005E142B">
        <w:rPr>
          <w:sz w:val="24"/>
          <w:szCs w:val="24"/>
        </w:rPr>
        <w:t xml:space="preserve"> president since </w:t>
      </w:r>
      <w:r w:rsidR="00A47EE0" w:rsidRPr="005E142B">
        <w:rPr>
          <w:sz w:val="24"/>
          <w:szCs w:val="24"/>
        </w:rPr>
        <w:t>Nixon</w:t>
      </w:r>
      <w:r w:rsidR="00073B50">
        <w:rPr>
          <w:sz w:val="24"/>
          <w:szCs w:val="24"/>
        </w:rPr>
        <w:t>. He</w:t>
      </w:r>
      <w:r w:rsidR="00812CAE" w:rsidRPr="005E142B">
        <w:rPr>
          <w:sz w:val="24"/>
          <w:szCs w:val="24"/>
        </w:rPr>
        <w:t xml:space="preserve"> posed</w:t>
      </w:r>
      <w:r w:rsidR="00DE4226" w:rsidRPr="005E142B">
        <w:rPr>
          <w:sz w:val="24"/>
          <w:szCs w:val="24"/>
        </w:rPr>
        <w:t xml:space="preserve"> a revealing test case of the resilience of primacy</w:t>
      </w:r>
      <w:r w:rsidR="00577DB7" w:rsidRPr="005E142B">
        <w:rPr>
          <w:sz w:val="24"/>
          <w:szCs w:val="24"/>
        </w:rPr>
        <w:t>. A</w:t>
      </w:r>
      <w:r w:rsidR="00DE4226" w:rsidRPr="005E142B">
        <w:rPr>
          <w:sz w:val="24"/>
          <w:szCs w:val="24"/>
        </w:rPr>
        <w:t>s an outsider</w:t>
      </w:r>
      <w:r w:rsidR="00073B50">
        <w:rPr>
          <w:sz w:val="24"/>
          <w:szCs w:val="24"/>
        </w:rPr>
        <w:t>,</w:t>
      </w:r>
      <w:r w:rsidR="00577DB7" w:rsidRPr="005E142B">
        <w:rPr>
          <w:sz w:val="24"/>
          <w:szCs w:val="24"/>
        </w:rPr>
        <w:t xml:space="preserve"> he was</w:t>
      </w:r>
      <w:r w:rsidR="00DE4226" w:rsidRPr="005E142B">
        <w:rPr>
          <w:sz w:val="24"/>
          <w:szCs w:val="24"/>
        </w:rPr>
        <w:t xml:space="preserve"> elected on a wave of revolt against </w:t>
      </w:r>
      <w:r w:rsidR="00073B50">
        <w:rPr>
          <w:sz w:val="24"/>
          <w:szCs w:val="24"/>
        </w:rPr>
        <w:t>the established tenets of U.S. grand strategy and those who upheld it</w:t>
      </w:r>
      <w:r w:rsidR="00DE4226" w:rsidRPr="005E142B">
        <w:rPr>
          <w:sz w:val="24"/>
          <w:szCs w:val="24"/>
        </w:rPr>
        <w:t xml:space="preserve">. </w:t>
      </w:r>
      <w:r w:rsidR="00D85620" w:rsidRPr="005E142B">
        <w:rPr>
          <w:sz w:val="24"/>
          <w:szCs w:val="24"/>
        </w:rPr>
        <w:t xml:space="preserve">Trump rejected the bipartisan cause of American leadership, instead taking up the slogan of interwar isolationism and zero-sum nationalism, </w:t>
      </w:r>
      <w:r w:rsidR="0043754F">
        <w:rPr>
          <w:sz w:val="24"/>
          <w:szCs w:val="24"/>
        </w:rPr>
        <w:t>“</w:t>
      </w:r>
      <w:r w:rsidR="00D85620" w:rsidRPr="005E142B">
        <w:rPr>
          <w:sz w:val="24"/>
          <w:szCs w:val="24"/>
        </w:rPr>
        <w:t>America First.</w:t>
      </w:r>
      <w:r w:rsidR="0043754F">
        <w:rPr>
          <w:sz w:val="24"/>
          <w:szCs w:val="24"/>
        </w:rPr>
        <w:t>”</w:t>
      </w:r>
      <w:r w:rsidR="00D85620" w:rsidRPr="005E142B">
        <w:rPr>
          <w:sz w:val="24"/>
          <w:szCs w:val="24"/>
        </w:rPr>
        <w:t xml:space="preserve"> </w:t>
      </w:r>
      <w:r w:rsidR="00DE4226" w:rsidRPr="005E142B">
        <w:rPr>
          <w:sz w:val="24"/>
          <w:szCs w:val="24"/>
        </w:rPr>
        <w:t xml:space="preserve">The critical test </w:t>
      </w:r>
      <w:r w:rsidR="00577DB7" w:rsidRPr="005E142B">
        <w:rPr>
          <w:sz w:val="24"/>
          <w:szCs w:val="24"/>
        </w:rPr>
        <w:t>is how Trump behave</w:t>
      </w:r>
      <w:r w:rsidR="004C2BC9" w:rsidRPr="005E142B">
        <w:rPr>
          <w:sz w:val="24"/>
          <w:szCs w:val="24"/>
        </w:rPr>
        <w:t>d</w:t>
      </w:r>
      <w:r w:rsidR="00577DB7" w:rsidRPr="005E142B">
        <w:rPr>
          <w:sz w:val="24"/>
          <w:szCs w:val="24"/>
        </w:rPr>
        <w:t xml:space="preserve"> in office,</w:t>
      </w:r>
      <w:r w:rsidR="00DE4226" w:rsidRPr="005E142B">
        <w:rPr>
          <w:sz w:val="24"/>
          <w:szCs w:val="24"/>
        </w:rPr>
        <w:t xml:space="preserve"> </w:t>
      </w:r>
      <w:r w:rsidR="00577DB7" w:rsidRPr="005E142B">
        <w:rPr>
          <w:sz w:val="24"/>
          <w:szCs w:val="24"/>
        </w:rPr>
        <w:t>and whether</w:t>
      </w:r>
      <w:r w:rsidR="00DE4226" w:rsidRPr="005E142B">
        <w:rPr>
          <w:sz w:val="24"/>
          <w:szCs w:val="24"/>
        </w:rPr>
        <w:t xml:space="preserve"> </w:t>
      </w:r>
      <w:r w:rsidR="00080B00" w:rsidRPr="005E142B">
        <w:rPr>
          <w:sz w:val="24"/>
          <w:szCs w:val="24"/>
        </w:rPr>
        <w:t>an</w:t>
      </w:r>
      <w:r w:rsidR="00DE4226" w:rsidRPr="005E142B">
        <w:rPr>
          <w:sz w:val="24"/>
          <w:szCs w:val="24"/>
        </w:rPr>
        <w:t xml:space="preserve"> iconoclastic presidency</w:t>
      </w:r>
      <w:r w:rsidR="00080B00" w:rsidRPr="005E142B">
        <w:rPr>
          <w:sz w:val="24"/>
          <w:szCs w:val="24"/>
        </w:rPr>
        <w:t xml:space="preserve"> ended up</w:t>
      </w:r>
      <w:r w:rsidR="00DE4226" w:rsidRPr="005E142B">
        <w:rPr>
          <w:sz w:val="24"/>
          <w:szCs w:val="24"/>
        </w:rPr>
        <w:t xml:space="preserve"> </w:t>
      </w:r>
      <w:r w:rsidR="00DE4226" w:rsidRPr="005E142B">
        <w:rPr>
          <w:sz w:val="24"/>
          <w:szCs w:val="24"/>
        </w:rPr>
        <w:lastRenderedPageBreak/>
        <w:t>conform</w:t>
      </w:r>
      <w:r w:rsidR="00080B00" w:rsidRPr="005E142B">
        <w:rPr>
          <w:sz w:val="24"/>
          <w:szCs w:val="24"/>
        </w:rPr>
        <w:t>ing</w:t>
      </w:r>
      <w:r w:rsidR="00DE4226" w:rsidRPr="005E142B">
        <w:rPr>
          <w:sz w:val="24"/>
          <w:szCs w:val="24"/>
        </w:rPr>
        <w:t xml:space="preserve"> with core tenets of </w:t>
      </w:r>
      <w:r w:rsidR="008B44DE" w:rsidRPr="005E142B">
        <w:rPr>
          <w:sz w:val="24"/>
          <w:szCs w:val="24"/>
        </w:rPr>
        <w:t>primacy</w:t>
      </w:r>
      <w:r w:rsidR="00DE4226" w:rsidRPr="005E142B">
        <w:rPr>
          <w:sz w:val="24"/>
          <w:szCs w:val="24"/>
        </w:rPr>
        <w:t>.</w:t>
      </w:r>
      <w:r w:rsidR="00812CAE" w:rsidRPr="005E142B">
        <w:rPr>
          <w:sz w:val="24"/>
          <w:szCs w:val="24"/>
        </w:rPr>
        <w:t xml:space="preserve"> Preliminary observation suggest that his behaviour accords with my theory’s forecasts</w:t>
      </w:r>
      <w:r w:rsidR="00802D8A" w:rsidRPr="005E142B">
        <w:rPr>
          <w:sz w:val="24"/>
          <w:szCs w:val="24"/>
        </w:rPr>
        <w:t xml:space="preserve"> on most grand strategic questions</w:t>
      </w:r>
      <w:r w:rsidR="00812CAE" w:rsidRPr="005E142B">
        <w:rPr>
          <w:sz w:val="24"/>
          <w:szCs w:val="24"/>
        </w:rPr>
        <w:t>.</w:t>
      </w:r>
      <w:r w:rsidR="00FE38FD" w:rsidRPr="005E142B">
        <w:rPr>
          <w:sz w:val="24"/>
          <w:szCs w:val="24"/>
        </w:rPr>
        <w:t xml:space="preserve"> Trump is </w:t>
      </w:r>
      <w:r w:rsidR="00D85620">
        <w:rPr>
          <w:sz w:val="24"/>
          <w:szCs w:val="24"/>
        </w:rPr>
        <w:t>emphatically not a ‘normal’ president</w:t>
      </w:r>
      <w:r w:rsidR="00D8120E" w:rsidRPr="005E142B">
        <w:rPr>
          <w:sz w:val="24"/>
          <w:szCs w:val="24"/>
        </w:rPr>
        <w:t>.</w:t>
      </w:r>
      <w:r w:rsidR="00E248CF" w:rsidRPr="005E142B">
        <w:rPr>
          <w:sz w:val="24"/>
          <w:szCs w:val="24"/>
        </w:rPr>
        <w:t xml:space="preserve"> </w:t>
      </w:r>
      <w:r w:rsidR="00E568E3" w:rsidRPr="005E142B">
        <w:rPr>
          <w:sz w:val="24"/>
          <w:szCs w:val="24"/>
        </w:rPr>
        <w:t xml:space="preserve">But </w:t>
      </w:r>
      <w:r w:rsidR="00B409A7">
        <w:rPr>
          <w:sz w:val="24"/>
          <w:szCs w:val="24"/>
        </w:rPr>
        <w:t>for this ‘change’ candidate</w:t>
      </w:r>
      <w:r w:rsidR="00073B50">
        <w:rPr>
          <w:sz w:val="24"/>
          <w:szCs w:val="24"/>
        </w:rPr>
        <w:t>,</w:t>
      </w:r>
      <w:r w:rsidR="00FE38FD" w:rsidRPr="005E142B">
        <w:rPr>
          <w:sz w:val="24"/>
          <w:szCs w:val="24"/>
        </w:rPr>
        <w:t xml:space="preserve"> </w:t>
      </w:r>
      <w:r w:rsidR="000B1F54" w:rsidRPr="005E142B">
        <w:rPr>
          <w:sz w:val="24"/>
          <w:szCs w:val="24"/>
        </w:rPr>
        <w:t>the constraints of tradition tamed</w:t>
      </w:r>
      <w:r w:rsidR="00073B50">
        <w:rPr>
          <w:sz w:val="24"/>
          <w:szCs w:val="24"/>
        </w:rPr>
        <w:t xml:space="preserve"> </w:t>
      </w:r>
      <w:r w:rsidR="00B409A7">
        <w:rPr>
          <w:sz w:val="24"/>
          <w:szCs w:val="24"/>
        </w:rPr>
        <w:t>him</w:t>
      </w:r>
      <w:r w:rsidR="00FE38FD" w:rsidRPr="005E142B">
        <w:rPr>
          <w:sz w:val="24"/>
          <w:szCs w:val="24"/>
        </w:rPr>
        <w:t xml:space="preserve"> </w:t>
      </w:r>
      <w:r w:rsidR="00073B50">
        <w:rPr>
          <w:sz w:val="24"/>
          <w:szCs w:val="24"/>
        </w:rPr>
        <w:t>into conformity</w:t>
      </w:r>
      <w:r w:rsidR="00147971" w:rsidRPr="005E142B">
        <w:rPr>
          <w:sz w:val="24"/>
          <w:szCs w:val="24"/>
        </w:rPr>
        <w:t>.</w:t>
      </w:r>
    </w:p>
    <w:p w:rsidR="00DE4226" w:rsidRPr="005E142B" w:rsidRDefault="00DE4226" w:rsidP="005E142B">
      <w:pPr>
        <w:autoSpaceDE w:val="0"/>
        <w:autoSpaceDN w:val="0"/>
        <w:adjustRightInd w:val="0"/>
        <w:spacing w:after="0" w:line="480" w:lineRule="auto"/>
        <w:jc w:val="both"/>
        <w:rPr>
          <w:sz w:val="24"/>
          <w:szCs w:val="24"/>
        </w:rPr>
      </w:pPr>
    </w:p>
    <w:p w:rsidR="00D85620" w:rsidRDefault="00577DB7" w:rsidP="00D85620">
      <w:pPr>
        <w:autoSpaceDE w:val="0"/>
        <w:autoSpaceDN w:val="0"/>
        <w:adjustRightInd w:val="0"/>
        <w:spacing w:after="0" w:line="480" w:lineRule="auto"/>
        <w:ind w:firstLine="709"/>
        <w:jc w:val="both"/>
        <w:rPr>
          <w:sz w:val="24"/>
          <w:szCs w:val="24"/>
        </w:rPr>
      </w:pPr>
      <w:r w:rsidRPr="005E142B">
        <w:rPr>
          <w:sz w:val="24"/>
          <w:szCs w:val="24"/>
        </w:rPr>
        <w:t>Trump</w:t>
      </w:r>
      <w:r w:rsidR="005B4F87">
        <w:rPr>
          <w:sz w:val="24"/>
          <w:szCs w:val="24"/>
        </w:rPr>
        <w:t xml:space="preserve"> as a property tycoon and celebrity</w:t>
      </w:r>
      <w:r w:rsidR="007376A2" w:rsidRPr="005E142B">
        <w:rPr>
          <w:sz w:val="24"/>
          <w:szCs w:val="24"/>
        </w:rPr>
        <w:t xml:space="preserve"> ran </w:t>
      </w:r>
      <w:r w:rsidR="00A94532" w:rsidRPr="005E142B">
        <w:rPr>
          <w:sz w:val="24"/>
          <w:szCs w:val="24"/>
        </w:rPr>
        <w:t>for office as a</w:t>
      </w:r>
      <w:r w:rsidR="007025B2" w:rsidRPr="005E142B">
        <w:rPr>
          <w:sz w:val="24"/>
          <w:szCs w:val="24"/>
        </w:rPr>
        <w:t>n</w:t>
      </w:r>
      <w:r w:rsidR="00A94532" w:rsidRPr="005E142B">
        <w:rPr>
          <w:sz w:val="24"/>
          <w:szCs w:val="24"/>
        </w:rPr>
        <w:t xml:space="preserve"> insurgent against the establish</w:t>
      </w:r>
      <w:r w:rsidR="003D5116" w:rsidRPr="005E142B">
        <w:rPr>
          <w:sz w:val="24"/>
          <w:szCs w:val="24"/>
        </w:rPr>
        <w:t>ment</w:t>
      </w:r>
      <w:r w:rsidR="009E0FD3" w:rsidRPr="005E142B">
        <w:rPr>
          <w:sz w:val="24"/>
          <w:szCs w:val="24"/>
        </w:rPr>
        <w:t>.</w:t>
      </w:r>
      <w:r w:rsidR="00073B50">
        <w:rPr>
          <w:sz w:val="24"/>
          <w:szCs w:val="24"/>
        </w:rPr>
        <w:t xml:space="preserve"> He </w:t>
      </w:r>
      <w:r w:rsidR="00073B50" w:rsidRPr="005E142B">
        <w:rPr>
          <w:sz w:val="24"/>
          <w:szCs w:val="24"/>
        </w:rPr>
        <w:t xml:space="preserve">was an </w:t>
      </w:r>
      <w:r w:rsidR="0043754F">
        <w:rPr>
          <w:sz w:val="24"/>
          <w:szCs w:val="24"/>
        </w:rPr>
        <w:t>“</w:t>
      </w:r>
      <w:r w:rsidR="00073B50" w:rsidRPr="005E142B">
        <w:rPr>
          <w:sz w:val="24"/>
          <w:szCs w:val="24"/>
        </w:rPr>
        <w:t>outsider</w:t>
      </w:r>
      <w:r w:rsidR="0043754F">
        <w:rPr>
          <w:sz w:val="24"/>
          <w:szCs w:val="24"/>
        </w:rPr>
        <w:t>”</w:t>
      </w:r>
      <w:r w:rsidR="00073B50" w:rsidRPr="005E142B">
        <w:rPr>
          <w:sz w:val="24"/>
          <w:szCs w:val="24"/>
        </w:rPr>
        <w:t xml:space="preserve">, the first President without elective office experience since Eisenhower. </w:t>
      </w:r>
      <w:r w:rsidR="007025B2" w:rsidRPr="005E142B">
        <w:rPr>
          <w:sz w:val="24"/>
          <w:szCs w:val="24"/>
        </w:rPr>
        <w:t>He based h</w:t>
      </w:r>
      <w:r w:rsidR="00073B50">
        <w:rPr>
          <w:sz w:val="24"/>
          <w:szCs w:val="24"/>
        </w:rPr>
        <w:t xml:space="preserve">is campaign on hostility both to the </w:t>
      </w:r>
      <w:r w:rsidR="00073B50">
        <w:rPr>
          <w:i/>
          <w:sz w:val="24"/>
          <w:szCs w:val="24"/>
        </w:rPr>
        <w:t>status quo</w:t>
      </w:r>
      <w:r w:rsidR="00073B50">
        <w:rPr>
          <w:sz w:val="24"/>
          <w:szCs w:val="24"/>
        </w:rPr>
        <w:t xml:space="preserve"> and the policy elite that guar</w:t>
      </w:r>
      <w:r w:rsidR="00B409A7">
        <w:rPr>
          <w:sz w:val="24"/>
          <w:szCs w:val="24"/>
        </w:rPr>
        <w:t>ded it. Officials and lobbyists</w:t>
      </w:r>
      <w:r w:rsidR="007025B2" w:rsidRPr="005E142B">
        <w:rPr>
          <w:sz w:val="24"/>
          <w:szCs w:val="24"/>
        </w:rPr>
        <w:t xml:space="preserve"> he characterised as a failed, corrupt oligarchy, vowing to </w:t>
      </w:r>
      <w:r w:rsidR="0043754F">
        <w:rPr>
          <w:sz w:val="24"/>
          <w:szCs w:val="24"/>
        </w:rPr>
        <w:t>“</w:t>
      </w:r>
      <w:r w:rsidR="007025B2" w:rsidRPr="005E142B">
        <w:rPr>
          <w:sz w:val="24"/>
          <w:szCs w:val="24"/>
        </w:rPr>
        <w:t>drain the swamp</w:t>
      </w:r>
      <w:r w:rsidR="0043754F">
        <w:rPr>
          <w:sz w:val="24"/>
          <w:szCs w:val="24"/>
        </w:rPr>
        <w:t>”</w:t>
      </w:r>
      <w:r w:rsidR="007025B2" w:rsidRPr="005E142B">
        <w:rPr>
          <w:sz w:val="24"/>
          <w:szCs w:val="24"/>
        </w:rPr>
        <w:t xml:space="preserve"> and to </w:t>
      </w:r>
      <w:r w:rsidR="0043754F">
        <w:rPr>
          <w:sz w:val="24"/>
          <w:szCs w:val="24"/>
        </w:rPr>
        <w:t>“</w:t>
      </w:r>
      <w:r w:rsidR="007025B2" w:rsidRPr="005E142B">
        <w:rPr>
          <w:sz w:val="24"/>
          <w:szCs w:val="24"/>
        </w:rPr>
        <w:t>look for new people.</w:t>
      </w:r>
      <w:r w:rsidR="0043754F">
        <w:rPr>
          <w:sz w:val="24"/>
          <w:szCs w:val="24"/>
        </w:rPr>
        <w:t>”</w:t>
      </w:r>
      <w:r w:rsidR="007025B2" w:rsidRPr="005E142B">
        <w:rPr>
          <w:rStyle w:val="FootnoteReference"/>
          <w:sz w:val="24"/>
          <w:szCs w:val="24"/>
        </w:rPr>
        <w:footnoteReference w:id="156"/>
      </w:r>
      <w:r w:rsidR="00D85620">
        <w:rPr>
          <w:sz w:val="24"/>
          <w:szCs w:val="24"/>
        </w:rPr>
        <w:t xml:space="preserve"> Trump provoked the opposition of</w:t>
      </w:r>
      <w:r w:rsidR="007025B2" w:rsidRPr="005E142B">
        <w:rPr>
          <w:sz w:val="24"/>
          <w:szCs w:val="24"/>
        </w:rPr>
        <w:t xml:space="preserve"> </w:t>
      </w:r>
      <w:r w:rsidR="00D85620">
        <w:rPr>
          <w:sz w:val="24"/>
          <w:szCs w:val="24"/>
        </w:rPr>
        <w:t>f</w:t>
      </w:r>
      <w:r w:rsidR="00073B50" w:rsidRPr="005E142B">
        <w:rPr>
          <w:sz w:val="24"/>
          <w:szCs w:val="24"/>
        </w:rPr>
        <w:t xml:space="preserve">ormer senior security officials, </w:t>
      </w:r>
      <w:r w:rsidR="00073B50">
        <w:rPr>
          <w:sz w:val="24"/>
          <w:szCs w:val="24"/>
        </w:rPr>
        <w:t>defense</w:t>
      </w:r>
      <w:r w:rsidR="00073B50" w:rsidRPr="005E142B">
        <w:rPr>
          <w:sz w:val="24"/>
          <w:szCs w:val="24"/>
        </w:rPr>
        <w:t xml:space="preserve"> intellectuals, and ex-</w:t>
      </w:r>
      <w:r w:rsidR="00D85620">
        <w:rPr>
          <w:sz w:val="24"/>
          <w:szCs w:val="24"/>
        </w:rPr>
        <w:t xml:space="preserve">presidents, and both sides </w:t>
      </w:r>
      <w:r w:rsidR="00B409A7">
        <w:rPr>
          <w:sz w:val="24"/>
          <w:szCs w:val="24"/>
        </w:rPr>
        <w:t xml:space="preserve">not only attacked his </w:t>
      </w:r>
      <w:r w:rsidR="00B409A7" w:rsidRPr="005E142B">
        <w:rPr>
          <w:sz w:val="24"/>
          <w:szCs w:val="24"/>
        </w:rPr>
        <w:t>probity, sanity and legitimacy</w:t>
      </w:r>
      <w:r w:rsidR="00B409A7">
        <w:rPr>
          <w:sz w:val="24"/>
          <w:szCs w:val="24"/>
        </w:rPr>
        <w:t xml:space="preserve">, but </w:t>
      </w:r>
      <w:r w:rsidR="00D85620">
        <w:rPr>
          <w:sz w:val="24"/>
          <w:szCs w:val="24"/>
        </w:rPr>
        <w:t>presented the November 2016</w:t>
      </w:r>
      <w:r w:rsidR="00B409A7">
        <w:rPr>
          <w:sz w:val="24"/>
          <w:szCs w:val="24"/>
        </w:rPr>
        <w:t xml:space="preserve"> election</w:t>
      </w:r>
      <w:r w:rsidR="00D85620">
        <w:rPr>
          <w:sz w:val="24"/>
          <w:szCs w:val="24"/>
        </w:rPr>
        <w:t xml:space="preserve"> as a contest over the very fundamentals of America’s role in the world</w:t>
      </w:r>
      <w:r w:rsidR="00B409A7">
        <w:rPr>
          <w:sz w:val="24"/>
          <w:szCs w:val="24"/>
        </w:rPr>
        <w:t>.</w:t>
      </w:r>
      <w:r w:rsidR="00073B50" w:rsidRPr="005E142B">
        <w:rPr>
          <w:rStyle w:val="FootnoteReference"/>
          <w:sz w:val="24"/>
          <w:szCs w:val="24"/>
        </w:rPr>
        <w:footnoteReference w:id="157"/>
      </w:r>
      <w:r w:rsidR="00D85620">
        <w:rPr>
          <w:sz w:val="24"/>
          <w:szCs w:val="24"/>
        </w:rPr>
        <w:t xml:space="preserve"> </w:t>
      </w:r>
      <w:r w:rsidR="00F16A68">
        <w:rPr>
          <w:sz w:val="24"/>
          <w:szCs w:val="24"/>
        </w:rPr>
        <w:t>Trump threatened to shred traditional alliances, accommodate major adversaries, tolerate nuclear proliferation, abandon the frequent use of military force, and</w:t>
      </w:r>
      <w:r w:rsidR="00F16A68" w:rsidRPr="005E142B">
        <w:rPr>
          <w:sz w:val="24"/>
          <w:szCs w:val="24"/>
        </w:rPr>
        <w:t xml:space="preserve"> </w:t>
      </w:r>
      <w:r w:rsidR="00F16A68">
        <w:rPr>
          <w:sz w:val="24"/>
          <w:szCs w:val="24"/>
        </w:rPr>
        <w:t xml:space="preserve">exchange </w:t>
      </w:r>
      <w:r w:rsidR="00F16A68" w:rsidRPr="005E142B">
        <w:rPr>
          <w:sz w:val="24"/>
          <w:szCs w:val="24"/>
        </w:rPr>
        <w:t>free trade</w:t>
      </w:r>
      <w:r w:rsidR="00F16A68">
        <w:rPr>
          <w:sz w:val="24"/>
          <w:szCs w:val="24"/>
        </w:rPr>
        <w:t xml:space="preserve"> for protectionism</w:t>
      </w:r>
      <w:r w:rsidR="00F16A68" w:rsidRPr="005E142B">
        <w:rPr>
          <w:sz w:val="24"/>
          <w:szCs w:val="24"/>
        </w:rPr>
        <w:t>.</w:t>
      </w:r>
      <w:r w:rsidR="00852F64">
        <w:rPr>
          <w:sz w:val="24"/>
          <w:szCs w:val="24"/>
        </w:rPr>
        <w:t xml:space="preserve"> </w:t>
      </w:r>
      <w:r w:rsidR="00571768">
        <w:rPr>
          <w:sz w:val="24"/>
          <w:szCs w:val="24"/>
        </w:rPr>
        <w:t xml:space="preserve"> </w:t>
      </w:r>
    </w:p>
    <w:p w:rsidR="00D85620" w:rsidRDefault="00D85620" w:rsidP="00D85620">
      <w:pPr>
        <w:autoSpaceDE w:val="0"/>
        <w:autoSpaceDN w:val="0"/>
        <w:adjustRightInd w:val="0"/>
        <w:spacing w:after="0" w:line="480" w:lineRule="auto"/>
        <w:ind w:firstLine="709"/>
        <w:jc w:val="both"/>
        <w:rPr>
          <w:sz w:val="24"/>
          <w:szCs w:val="24"/>
        </w:rPr>
      </w:pPr>
    </w:p>
    <w:p w:rsidR="00D85620" w:rsidRDefault="00D85620" w:rsidP="00D85620">
      <w:pPr>
        <w:autoSpaceDE w:val="0"/>
        <w:autoSpaceDN w:val="0"/>
        <w:adjustRightInd w:val="0"/>
        <w:spacing w:after="0" w:line="480" w:lineRule="auto"/>
        <w:ind w:firstLine="709"/>
        <w:jc w:val="both"/>
        <w:rPr>
          <w:sz w:val="24"/>
          <w:szCs w:val="24"/>
        </w:rPr>
      </w:pPr>
      <w:r>
        <w:rPr>
          <w:sz w:val="24"/>
          <w:szCs w:val="24"/>
        </w:rPr>
        <w:t>As Trump</w:t>
      </w:r>
      <w:r w:rsidRPr="005E142B">
        <w:rPr>
          <w:sz w:val="24"/>
          <w:szCs w:val="24"/>
        </w:rPr>
        <w:t xml:space="preserve"> t</w:t>
      </w:r>
      <w:r>
        <w:rPr>
          <w:sz w:val="24"/>
          <w:szCs w:val="24"/>
        </w:rPr>
        <w:t>ook aim at all four of the core tenets of U.S. grand strategy, s</w:t>
      </w:r>
      <w:r w:rsidRPr="005E142B">
        <w:rPr>
          <w:sz w:val="24"/>
          <w:szCs w:val="24"/>
        </w:rPr>
        <w:t xml:space="preserve">ome predicted </w:t>
      </w:r>
      <w:r w:rsidR="00F16A68">
        <w:rPr>
          <w:sz w:val="24"/>
          <w:szCs w:val="24"/>
        </w:rPr>
        <w:t>he</w:t>
      </w:r>
      <w:r w:rsidRPr="005E142B">
        <w:rPr>
          <w:sz w:val="24"/>
          <w:szCs w:val="24"/>
        </w:rPr>
        <w:t xml:space="preserve"> would run an experiment in applying retrenchment-based strategies long advocated by academic realists, </w:t>
      </w:r>
      <w:r w:rsidR="00852F64">
        <w:rPr>
          <w:sz w:val="24"/>
          <w:szCs w:val="24"/>
        </w:rPr>
        <w:t>bring primacy to an end,</w:t>
      </w:r>
      <w:r w:rsidRPr="005E142B">
        <w:rPr>
          <w:rStyle w:val="FootnoteReference"/>
          <w:sz w:val="24"/>
          <w:szCs w:val="24"/>
        </w:rPr>
        <w:footnoteReference w:id="158"/>
      </w:r>
      <w:r w:rsidR="00852F64">
        <w:rPr>
          <w:sz w:val="24"/>
          <w:szCs w:val="24"/>
        </w:rPr>
        <w:t xml:space="preserve"> and convert the </w:t>
      </w:r>
      <w:r w:rsidR="00852F64">
        <w:rPr>
          <w:i/>
          <w:sz w:val="24"/>
          <w:szCs w:val="24"/>
        </w:rPr>
        <w:t xml:space="preserve">Pax Americana </w:t>
      </w:r>
      <w:r w:rsidR="00852F64">
        <w:rPr>
          <w:sz w:val="24"/>
          <w:szCs w:val="24"/>
        </w:rPr>
        <w:t xml:space="preserve">into a </w:t>
      </w:r>
      <w:r w:rsidR="00D877B7">
        <w:rPr>
          <w:sz w:val="24"/>
          <w:szCs w:val="24"/>
        </w:rPr>
        <w:t>“</w:t>
      </w:r>
      <w:r w:rsidR="00852F64">
        <w:rPr>
          <w:sz w:val="24"/>
          <w:szCs w:val="24"/>
        </w:rPr>
        <w:t>transactional protection racket.</w:t>
      </w:r>
      <w:r w:rsidR="00D877B7">
        <w:rPr>
          <w:sz w:val="24"/>
          <w:szCs w:val="24"/>
        </w:rPr>
        <w:t>”</w:t>
      </w:r>
      <w:r w:rsidR="00852F64">
        <w:rPr>
          <w:rStyle w:val="FootnoteReference"/>
          <w:sz w:val="24"/>
          <w:szCs w:val="24"/>
        </w:rPr>
        <w:footnoteReference w:id="159"/>
      </w:r>
      <w:r w:rsidR="00852F64">
        <w:rPr>
          <w:sz w:val="24"/>
          <w:szCs w:val="24"/>
        </w:rPr>
        <w:t xml:space="preserve"> </w:t>
      </w:r>
      <w:r w:rsidR="00C048E0">
        <w:rPr>
          <w:sz w:val="24"/>
          <w:szCs w:val="24"/>
        </w:rPr>
        <w:t>T</w:t>
      </w:r>
      <w:r>
        <w:rPr>
          <w:sz w:val="24"/>
          <w:szCs w:val="24"/>
        </w:rPr>
        <w:t>raditionalists feared</w:t>
      </w:r>
      <w:r w:rsidR="00C048E0">
        <w:rPr>
          <w:sz w:val="24"/>
          <w:szCs w:val="24"/>
        </w:rPr>
        <w:t xml:space="preserve"> that Trump</w:t>
      </w:r>
      <w:r>
        <w:rPr>
          <w:sz w:val="24"/>
          <w:szCs w:val="24"/>
        </w:rPr>
        <w:t xml:space="preserve"> both marked and stirred a popular tide against the burdens of U.S. primacy</w:t>
      </w:r>
      <w:r w:rsidR="00F16A68">
        <w:rPr>
          <w:sz w:val="24"/>
          <w:szCs w:val="24"/>
        </w:rPr>
        <w:t xml:space="preserve">, thus destroying the domestic basis for U.S. </w:t>
      </w:r>
      <w:r w:rsidR="00F16A68">
        <w:rPr>
          <w:sz w:val="24"/>
          <w:szCs w:val="24"/>
        </w:rPr>
        <w:lastRenderedPageBreak/>
        <w:t>primacy.</w:t>
      </w:r>
      <w:r w:rsidRPr="005E142B">
        <w:rPr>
          <w:sz w:val="24"/>
          <w:szCs w:val="24"/>
        </w:rPr>
        <w:t xml:space="preserve"> V</w:t>
      </w:r>
      <w:r>
        <w:rPr>
          <w:sz w:val="24"/>
          <w:szCs w:val="24"/>
        </w:rPr>
        <w:t>oters may not have elected</w:t>
      </w:r>
      <w:r w:rsidRPr="005E142B">
        <w:rPr>
          <w:sz w:val="24"/>
          <w:szCs w:val="24"/>
        </w:rPr>
        <w:t xml:space="preserve"> Trump primarily because of his stances on alliances or nuclear proliferation. They did</w:t>
      </w:r>
      <w:r w:rsidR="00E215A1">
        <w:rPr>
          <w:sz w:val="24"/>
          <w:szCs w:val="24"/>
        </w:rPr>
        <w:t>, however,</w:t>
      </w:r>
      <w:r w:rsidRPr="005E142B">
        <w:rPr>
          <w:sz w:val="24"/>
          <w:szCs w:val="24"/>
        </w:rPr>
        <w:t xml:space="preserve"> respond to his assaults on free trade</w:t>
      </w:r>
      <w:r w:rsidR="00E215A1">
        <w:rPr>
          <w:sz w:val="24"/>
          <w:szCs w:val="24"/>
        </w:rPr>
        <w:t>, failed wars and</w:t>
      </w:r>
      <w:r w:rsidRPr="005E142B">
        <w:rPr>
          <w:sz w:val="24"/>
          <w:szCs w:val="24"/>
        </w:rPr>
        <w:t xml:space="preserve"> his attacks on globalisation. Registered Trump voters ranked foreign policy high on their priorities, suggesting Trump’s broader message resonated, of putting America first, ending others countries’ free-riding at its expense, and that a self-serving establishment failed to secure US interests abroad.</w:t>
      </w:r>
      <w:r w:rsidRPr="005E142B">
        <w:rPr>
          <w:rStyle w:val="FootnoteReference"/>
          <w:sz w:val="24"/>
          <w:szCs w:val="24"/>
        </w:rPr>
        <w:footnoteReference w:id="160"/>
      </w:r>
      <w:r w:rsidRPr="005E142B">
        <w:rPr>
          <w:sz w:val="24"/>
          <w:szCs w:val="24"/>
        </w:rPr>
        <w:t xml:space="preserve"> </w:t>
      </w:r>
    </w:p>
    <w:p w:rsidR="00D85620" w:rsidRDefault="00D85620" w:rsidP="00571768">
      <w:pPr>
        <w:autoSpaceDE w:val="0"/>
        <w:autoSpaceDN w:val="0"/>
        <w:adjustRightInd w:val="0"/>
        <w:spacing w:after="0" w:line="480" w:lineRule="auto"/>
        <w:jc w:val="both"/>
        <w:rPr>
          <w:sz w:val="24"/>
          <w:szCs w:val="24"/>
        </w:rPr>
      </w:pPr>
    </w:p>
    <w:p w:rsidR="00D85620" w:rsidRDefault="00D85620" w:rsidP="00E215A1">
      <w:pPr>
        <w:spacing w:after="0" w:line="480" w:lineRule="auto"/>
        <w:ind w:firstLine="709"/>
        <w:jc w:val="both"/>
        <w:rPr>
          <w:sz w:val="24"/>
          <w:szCs w:val="24"/>
        </w:rPr>
      </w:pPr>
      <w:r>
        <w:rPr>
          <w:sz w:val="24"/>
          <w:szCs w:val="24"/>
        </w:rPr>
        <w:t>Yet when we consider Trump’s record in his first year</w:t>
      </w:r>
      <w:r w:rsidR="00F16A68">
        <w:rPr>
          <w:sz w:val="24"/>
          <w:szCs w:val="24"/>
        </w:rPr>
        <w:t xml:space="preserve"> across central grand strategic issues</w:t>
      </w:r>
      <w:r>
        <w:rPr>
          <w:sz w:val="24"/>
          <w:szCs w:val="24"/>
        </w:rPr>
        <w:t xml:space="preserve">, on alliances, </w:t>
      </w:r>
      <w:r w:rsidR="00F16A68">
        <w:rPr>
          <w:sz w:val="24"/>
          <w:szCs w:val="24"/>
        </w:rPr>
        <w:t>nuclear counter-proliferation and</w:t>
      </w:r>
      <w:r>
        <w:rPr>
          <w:sz w:val="24"/>
          <w:szCs w:val="24"/>
        </w:rPr>
        <w:t xml:space="preserve"> </w:t>
      </w:r>
      <w:r w:rsidR="00F16A68">
        <w:rPr>
          <w:sz w:val="24"/>
          <w:szCs w:val="24"/>
        </w:rPr>
        <w:t xml:space="preserve">military preponderance, </w:t>
      </w:r>
      <w:r w:rsidR="00F16A68" w:rsidRPr="005E142B">
        <w:rPr>
          <w:sz w:val="24"/>
          <w:szCs w:val="24"/>
        </w:rPr>
        <w:t xml:space="preserve">there was more continuity than change. </w:t>
      </w:r>
      <w:r w:rsidR="00571768">
        <w:rPr>
          <w:sz w:val="24"/>
          <w:szCs w:val="24"/>
        </w:rPr>
        <w:t xml:space="preserve">Within months, </w:t>
      </w:r>
      <w:r w:rsidR="00571768" w:rsidRPr="005E142B">
        <w:rPr>
          <w:sz w:val="24"/>
          <w:szCs w:val="24"/>
        </w:rPr>
        <w:t xml:space="preserve">Trump </w:t>
      </w:r>
      <w:r w:rsidR="00571768">
        <w:rPr>
          <w:sz w:val="24"/>
          <w:szCs w:val="24"/>
        </w:rPr>
        <w:t xml:space="preserve">had </w:t>
      </w:r>
      <w:r w:rsidR="00571768" w:rsidRPr="005E142B">
        <w:rPr>
          <w:sz w:val="24"/>
          <w:szCs w:val="24"/>
        </w:rPr>
        <w:t>‘abandoned stances that were at the bedrock of his establishment-bashing campaign.’</w:t>
      </w:r>
      <w:r w:rsidR="00571768" w:rsidRPr="005E142B">
        <w:rPr>
          <w:rStyle w:val="FootnoteReference"/>
          <w:sz w:val="24"/>
          <w:szCs w:val="24"/>
        </w:rPr>
        <w:footnoteReference w:id="161"/>
      </w:r>
      <w:r w:rsidR="00E215A1">
        <w:rPr>
          <w:sz w:val="24"/>
          <w:szCs w:val="24"/>
        </w:rPr>
        <w:t xml:space="preserve"> </w:t>
      </w:r>
      <w:r w:rsidR="00E215A1" w:rsidRPr="005E142B">
        <w:rPr>
          <w:sz w:val="24"/>
          <w:szCs w:val="24"/>
        </w:rPr>
        <w:t xml:space="preserve">The first fruits of </w:t>
      </w:r>
      <w:r w:rsidR="00E215A1">
        <w:rPr>
          <w:sz w:val="24"/>
          <w:szCs w:val="24"/>
        </w:rPr>
        <w:t>Trump’s</w:t>
      </w:r>
      <w:r w:rsidR="00E215A1" w:rsidRPr="005E142B">
        <w:rPr>
          <w:sz w:val="24"/>
          <w:szCs w:val="24"/>
        </w:rPr>
        <w:t xml:space="preserve"> national security team’s adjustments pleasantly surprised traditionalists, as reassuringly ‘mainstream.’</w:t>
      </w:r>
      <w:r w:rsidR="00E215A1" w:rsidRPr="005E142B">
        <w:rPr>
          <w:rStyle w:val="FootnoteReference"/>
          <w:sz w:val="24"/>
          <w:szCs w:val="24"/>
        </w:rPr>
        <w:footnoteReference w:id="162"/>
      </w:r>
      <w:r w:rsidR="00E215A1" w:rsidRPr="005E142B">
        <w:rPr>
          <w:sz w:val="24"/>
          <w:szCs w:val="24"/>
        </w:rPr>
        <w:t xml:space="preserve"> Realists who hoped for fundamental change were disappointed that Trump’s statecraft resembles his predecessors</w:t>
      </w:r>
      <w:r w:rsidR="00E215A1">
        <w:rPr>
          <w:sz w:val="24"/>
          <w:szCs w:val="24"/>
        </w:rPr>
        <w:t>’.</w:t>
      </w:r>
      <w:r w:rsidR="00E215A1" w:rsidRPr="005E142B">
        <w:rPr>
          <w:rStyle w:val="FootnoteReference"/>
          <w:sz w:val="24"/>
          <w:szCs w:val="24"/>
        </w:rPr>
        <w:footnoteReference w:id="163"/>
      </w:r>
      <w:r w:rsidR="00E215A1" w:rsidRPr="005E142B">
        <w:rPr>
          <w:sz w:val="24"/>
          <w:szCs w:val="24"/>
        </w:rPr>
        <w:t xml:space="preserve"> </w:t>
      </w:r>
      <w:r w:rsidR="00571768" w:rsidRPr="005E142B">
        <w:rPr>
          <w:sz w:val="24"/>
          <w:szCs w:val="24"/>
        </w:rPr>
        <w:t xml:space="preserve"> </w:t>
      </w:r>
      <w:r w:rsidR="00F16A68">
        <w:rPr>
          <w:sz w:val="24"/>
          <w:szCs w:val="24"/>
        </w:rPr>
        <w:t>It is not change but the sources of stability that need explaining. Only in the realm of economics may Trump be an insurgent, and this is not yet clear. Otherwise, t</w:t>
      </w:r>
      <w:r>
        <w:rPr>
          <w:sz w:val="24"/>
          <w:szCs w:val="24"/>
        </w:rPr>
        <w:t xml:space="preserve">he power of the </w:t>
      </w:r>
      <w:r w:rsidR="008E3104">
        <w:rPr>
          <w:sz w:val="24"/>
          <w:szCs w:val="24"/>
        </w:rPr>
        <w:t>“blob”</w:t>
      </w:r>
      <w:r>
        <w:rPr>
          <w:sz w:val="24"/>
          <w:szCs w:val="24"/>
        </w:rPr>
        <w:t xml:space="preserve"> and tradition constrained </w:t>
      </w:r>
      <w:r w:rsidR="00F16A68">
        <w:rPr>
          <w:sz w:val="24"/>
          <w:szCs w:val="24"/>
        </w:rPr>
        <w:t>Trump’s</w:t>
      </w:r>
      <w:r>
        <w:rPr>
          <w:sz w:val="24"/>
          <w:szCs w:val="24"/>
        </w:rPr>
        <w:t xml:space="preserve"> administration, making his stance towards U.S. global commitments more orthodox than was expected, in substance if not in style.</w:t>
      </w:r>
    </w:p>
    <w:p w:rsidR="00F16A68" w:rsidRDefault="00F16A68" w:rsidP="00F16A68">
      <w:pPr>
        <w:autoSpaceDE w:val="0"/>
        <w:autoSpaceDN w:val="0"/>
        <w:adjustRightInd w:val="0"/>
        <w:spacing w:after="0" w:line="480" w:lineRule="auto"/>
        <w:jc w:val="both"/>
        <w:rPr>
          <w:sz w:val="24"/>
          <w:szCs w:val="24"/>
        </w:rPr>
      </w:pPr>
    </w:p>
    <w:p w:rsidR="00F16A68" w:rsidRPr="00F16A68" w:rsidRDefault="00F16A68" w:rsidP="00F16A68">
      <w:pPr>
        <w:autoSpaceDE w:val="0"/>
        <w:autoSpaceDN w:val="0"/>
        <w:adjustRightInd w:val="0"/>
        <w:spacing w:after="0" w:line="480" w:lineRule="auto"/>
        <w:jc w:val="both"/>
        <w:rPr>
          <w:b/>
          <w:sz w:val="24"/>
          <w:szCs w:val="24"/>
        </w:rPr>
      </w:pPr>
      <w:r>
        <w:rPr>
          <w:b/>
          <w:sz w:val="24"/>
          <w:szCs w:val="24"/>
        </w:rPr>
        <w:t>Trump</w:t>
      </w:r>
      <w:r w:rsidR="00E03B6C">
        <w:rPr>
          <w:b/>
          <w:sz w:val="24"/>
          <w:szCs w:val="24"/>
        </w:rPr>
        <w:t>’s Continuity</w:t>
      </w:r>
    </w:p>
    <w:p w:rsidR="00F16A68" w:rsidRDefault="00BF501C" w:rsidP="00F16A68">
      <w:pPr>
        <w:autoSpaceDE w:val="0"/>
        <w:autoSpaceDN w:val="0"/>
        <w:adjustRightInd w:val="0"/>
        <w:spacing w:after="0" w:line="480" w:lineRule="auto"/>
        <w:jc w:val="both"/>
        <w:rPr>
          <w:sz w:val="24"/>
          <w:szCs w:val="24"/>
        </w:rPr>
      </w:pPr>
      <w:r>
        <w:rPr>
          <w:sz w:val="24"/>
          <w:szCs w:val="24"/>
        </w:rPr>
        <w:t>Before becoming president</w:t>
      </w:r>
      <w:r w:rsidR="00F16A68">
        <w:rPr>
          <w:sz w:val="24"/>
          <w:szCs w:val="24"/>
        </w:rPr>
        <w:t xml:space="preserve">, Trump </w:t>
      </w:r>
      <w:r w:rsidR="00CB4781">
        <w:rPr>
          <w:sz w:val="24"/>
          <w:szCs w:val="24"/>
        </w:rPr>
        <w:t>threatened</w:t>
      </w:r>
      <w:r w:rsidR="002C799F">
        <w:rPr>
          <w:sz w:val="24"/>
          <w:szCs w:val="24"/>
        </w:rPr>
        <w:t xml:space="preserve"> </w:t>
      </w:r>
      <w:r w:rsidR="009E0FD3" w:rsidRPr="005E142B">
        <w:rPr>
          <w:sz w:val="24"/>
          <w:szCs w:val="24"/>
        </w:rPr>
        <w:t>to shred</w:t>
      </w:r>
      <w:r w:rsidR="00A94532" w:rsidRPr="005E142B">
        <w:rPr>
          <w:sz w:val="24"/>
          <w:szCs w:val="24"/>
        </w:rPr>
        <w:t xml:space="preserve"> traditional alliances</w:t>
      </w:r>
      <w:r w:rsidR="00571768">
        <w:rPr>
          <w:sz w:val="24"/>
          <w:szCs w:val="24"/>
        </w:rPr>
        <w:t xml:space="preserve">. </w:t>
      </w:r>
      <w:r w:rsidR="008C56A4" w:rsidRPr="005E142B">
        <w:rPr>
          <w:sz w:val="24"/>
          <w:szCs w:val="24"/>
        </w:rPr>
        <w:t>He branded NATO</w:t>
      </w:r>
      <w:r w:rsidR="008C56A4">
        <w:rPr>
          <w:sz w:val="24"/>
          <w:szCs w:val="24"/>
        </w:rPr>
        <w:t xml:space="preserve"> out</w:t>
      </w:r>
      <w:r w:rsidR="00360131">
        <w:rPr>
          <w:sz w:val="24"/>
          <w:szCs w:val="24"/>
        </w:rPr>
        <w:t>moded</w:t>
      </w:r>
      <w:r w:rsidR="008C56A4">
        <w:rPr>
          <w:sz w:val="24"/>
          <w:szCs w:val="24"/>
        </w:rPr>
        <w:t>, expensive</w:t>
      </w:r>
      <w:r w:rsidR="00360131">
        <w:rPr>
          <w:sz w:val="24"/>
          <w:szCs w:val="24"/>
        </w:rPr>
        <w:t>, irrelevant to contemporary security problems</w:t>
      </w:r>
      <w:r w:rsidR="008C56A4">
        <w:rPr>
          <w:sz w:val="24"/>
          <w:szCs w:val="24"/>
        </w:rPr>
        <w:t xml:space="preserve"> and</w:t>
      </w:r>
      <w:r w:rsidR="008C56A4" w:rsidRPr="005E142B">
        <w:rPr>
          <w:sz w:val="24"/>
          <w:szCs w:val="24"/>
        </w:rPr>
        <w:t xml:space="preserve"> </w:t>
      </w:r>
      <w:r w:rsidR="000D1144">
        <w:rPr>
          <w:sz w:val="24"/>
          <w:szCs w:val="24"/>
        </w:rPr>
        <w:t>“</w:t>
      </w:r>
      <w:r w:rsidR="008C56A4" w:rsidRPr="005E142B">
        <w:rPr>
          <w:sz w:val="24"/>
          <w:szCs w:val="24"/>
        </w:rPr>
        <w:t>obsolete.</w:t>
      </w:r>
      <w:r w:rsidR="000D1144">
        <w:rPr>
          <w:sz w:val="24"/>
          <w:szCs w:val="24"/>
        </w:rPr>
        <w:t>”</w:t>
      </w:r>
      <w:r w:rsidR="008C56A4">
        <w:rPr>
          <w:rStyle w:val="FootnoteReference"/>
          <w:sz w:val="24"/>
          <w:szCs w:val="24"/>
        </w:rPr>
        <w:footnoteReference w:id="164"/>
      </w:r>
      <w:r w:rsidR="008C56A4" w:rsidRPr="005E142B">
        <w:rPr>
          <w:sz w:val="24"/>
          <w:szCs w:val="24"/>
        </w:rPr>
        <w:t xml:space="preserve"> </w:t>
      </w:r>
      <w:r w:rsidR="00571768">
        <w:rPr>
          <w:sz w:val="24"/>
          <w:szCs w:val="24"/>
        </w:rPr>
        <w:t xml:space="preserve">At other </w:t>
      </w:r>
      <w:r w:rsidR="00571768">
        <w:rPr>
          <w:sz w:val="24"/>
          <w:szCs w:val="24"/>
        </w:rPr>
        <w:lastRenderedPageBreak/>
        <w:t>times, he threatened</w:t>
      </w:r>
      <w:r w:rsidR="002C799F">
        <w:rPr>
          <w:sz w:val="24"/>
          <w:szCs w:val="24"/>
        </w:rPr>
        <w:t xml:space="preserve"> to</w:t>
      </w:r>
      <w:r w:rsidR="00571768">
        <w:rPr>
          <w:sz w:val="24"/>
          <w:szCs w:val="24"/>
        </w:rPr>
        <w:t xml:space="preserve"> change</w:t>
      </w:r>
      <w:r w:rsidR="006B765C">
        <w:rPr>
          <w:sz w:val="24"/>
          <w:szCs w:val="24"/>
        </w:rPr>
        <w:t xml:space="preserve"> the</w:t>
      </w:r>
      <w:r w:rsidR="00571768">
        <w:rPr>
          <w:sz w:val="24"/>
          <w:szCs w:val="24"/>
        </w:rPr>
        <w:t xml:space="preserve"> basis</w:t>
      </w:r>
      <w:r w:rsidR="006B765C">
        <w:rPr>
          <w:sz w:val="24"/>
          <w:szCs w:val="24"/>
        </w:rPr>
        <w:t xml:space="preserve"> of alliances</w:t>
      </w:r>
      <w:r w:rsidR="00571768">
        <w:rPr>
          <w:sz w:val="24"/>
          <w:szCs w:val="24"/>
        </w:rPr>
        <w:t>, making</w:t>
      </w:r>
      <w:r w:rsidR="00D85620">
        <w:rPr>
          <w:sz w:val="24"/>
          <w:szCs w:val="24"/>
        </w:rPr>
        <w:t xml:space="preserve"> </w:t>
      </w:r>
      <w:r w:rsidR="006B765C">
        <w:rPr>
          <w:sz w:val="24"/>
          <w:szCs w:val="24"/>
        </w:rPr>
        <w:t>what had been permanent U.S. commitments</w:t>
      </w:r>
      <w:r w:rsidR="00D85620">
        <w:rPr>
          <w:sz w:val="24"/>
          <w:szCs w:val="24"/>
        </w:rPr>
        <w:t xml:space="preserve"> </w:t>
      </w:r>
      <w:r w:rsidR="00571768">
        <w:rPr>
          <w:sz w:val="24"/>
          <w:szCs w:val="24"/>
        </w:rPr>
        <w:t xml:space="preserve">more </w:t>
      </w:r>
      <w:r w:rsidR="00D85620">
        <w:rPr>
          <w:sz w:val="24"/>
          <w:szCs w:val="24"/>
        </w:rPr>
        <w:t>conditional and</w:t>
      </w:r>
      <w:r w:rsidR="007025B2" w:rsidRPr="005E142B">
        <w:rPr>
          <w:sz w:val="24"/>
          <w:szCs w:val="24"/>
        </w:rPr>
        <w:t xml:space="preserve"> </w:t>
      </w:r>
      <w:r w:rsidR="00073B50">
        <w:rPr>
          <w:sz w:val="24"/>
          <w:szCs w:val="24"/>
        </w:rPr>
        <w:t>transactional</w:t>
      </w:r>
      <w:r w:rsidR="003958F2">
        <w:rPr>
          <w:sz w:val="24"/>
          <w:szCs w:val="24"/>
        </w:rPr>
        <w:t xml:space="preserve">, issuing threats </w:t>
      </w:r>
      <w:r w:rsidR="00FE51DB">
        <w:rPr>
          <w:sz w:val="24"/>
          <w:szCs w:val="24"/>
        </w:rPr>
        <w:t>to allies</w:t>
      </w:r>
      <w:r w:rsidR="00D0581F">
        <w:rPr>
          <w:sz w:val="24"/>
          <w:szCs w:val="24"/>
        </w:rPr>
        <w:t xml:space="preserve"> in Europe and Asia</w:t>
      </w:r>
      <w:r w:rsidR="00FE51DB">
        <w:rPr>
          <w:sz w:val="24"/>
          <w:szCs w:val="24"/>
        </w:rPr>
        <w:t xml:space="preserve"> that </w:t>
      </w:r>
      <w:r w:rsidR="00D0581F">
        <w:rPr>
          <w:sz w:val="24"/>
          <w:szCs w:val="24"/>
        </w:rPr>
        <w:t xml:space="preserve">the U.S. might abandon them if they </w:t>
      </w:r>
      <w:r w:rsidR="00FE51DB">
        <w:rPr>
          <w:sz w:val="24"/>
          <w:szCs w:val="24"/>
        </w:rPr>
        <w:t>did not pay up</w:t>
      </w:r>
      <w:r w:rsidR="00073B50">
        <w:rPr>
          <w:sz w:val="24"/>
          <w:szCs w:val="24"/>
        </w:rPr>
        <w:t>.</w:t>
      </w:r>
      <w:r w:rsidR="00FE51DB">
        <w:rPr>
          <w:rStyle w:val="FootnoteReference"/>
          <w:sz w:val="24"/>
          <w:szCs w:val="24"/>
        </w:rPr>
        <w:footnoteReference w:id="165"/>
      </w:r>
      <w:r w:rsidR="00C13CD6">
        <w:rPr>
          <w:sz w:val="24"/>
          <w:szCs w:val="24"/>
        </w:rPr>
        <w:t xml:space="preserve"> </w:t>
      </w:r>
      <w:r w:rsidR="008837C2">
        <w:rPr>
          <w:sz w:val="24"/>
          <w:szCs w:val="24"/>
        </w:rPr>
        <w:t>Trump implied similar policies for the Gulf. About</w:t>
      </w:r>
      <w:r w:rsidR="00C13CD6">
        <w:rPr>
          <w:sz w:val="24"/>
          <w:szCs w:val="24"/>
        </w:rPr>
        <w:t xml:space="preserve"> Saudi Arabia, the traditional bulwark of U.S. power-projection in the Gulf, Trump as candidate</w:t>
      </w:r>
      <w:r w:rsidR="008837C2">
        <w:rPr>
          <w:sz w:val="24"/>
          <w:szCs w:val="24"/>
        </w:rPr>
        <w:t xml:space="preserve"> argued it should pay more for America’s ‘tremendous service’, and</w:t>
      </w:r>
      <w:r w:rsidR="00C13CD6">
        <w:rPr>
          <w:sz w:val="24"/>
          <w:szCs w:val="24"/>
        </w:rPr>
        <w:t xml:space="preserve"> accused </w:t>
      </w:r>
      <w:r w:rsidR="008837C2">
        <w:rPr>
          <w:sz w:val="24"/>
          <w:szCs w:val="24"/>
        </w:rPr>
        <w:t>it</w:t>
      </w:r>
      <w:r w:rsidR="00C13CD6">
        <w:rPr>
          <w:sz w:val="24"/>
          <w:szCs w:val="24"/>
        </w:rPr>
        <w:t xml:space="preserve"> of complicity in the 9/11 attacks</w:t>
      </w:r>
      <w:r w:rsidR="0047473E">
        <w:rPr>
          <w:sz w:val="24"/>
          <w:szCs w:val="24"/>
        </w:rPr>
        <w:t>.</w:t>
      </w:r>
      <w:r w:rsidR="0047473E">
        <w:rPr>
          <w:rStyle w:val="FootnoteReference"/>
          <w:sz w:val="24"/>
          <w:szCs w:val="24"/>
        </w:rPr>
        <w:footnoteReference w:id="166"/>
      </w:r>
      <w:r w:rsidR="00C13CD6">
        <w:rPr>
          <w:sz w:val="24"/>
          <w:szCs w:val="24"/>
        </w:rPr>
        <w:t xml:space="preserve"> Trump</w:t>
      </w:r>
      <w:r w:rsidR="00073B50">
        <w:rPr>
          <w:sz w:val="24"/>
          <w:szCs w:val="24"/>
        </w:rPr>
        <w:t xml:space="preserve"> suggested</w:t>
      </w:r>
      <w:r w:rsidR="0047473E">
        <w:rPr>
          <w:sz w:val="24"/>
          <w:szCs w:val="24"/>
        </w:rPr>
        <w:t xml:space="preserve"> also that</w:t>
      </w:r>
      <w:r w:rsidR="00073B50">
        <w:rPr>
          <w:sz w:val="24"/>
          <w:szCs w:val="24"/>
        </w:rPr>
        <w:t xml:space="preserve"> he would</w:t>
      </w:r>
      <w:r w:rsidR="00BE7D54" w:rsidRPr="005E142B">
        <w:rPr>
          <w:sz w:val="24"/>
          <w:szCs w:val="24"/>
        </w:rPr>
        <w:t xml:space="preserve"> </w:t>
      </w:r>
      <w:r w:rsidR="007376A2" w:rsidRPr="005E142B">
        <w:rPr>
          <w:sz w:val="24"/>
          <w:szCs w:val="24"/>
        </w:rPr>
        <w:t>accommodate</w:t>
      </w:r>
      <w:r w:rsidR="0049071E" w:rsidRPr="005E142B">
        <w:rPr>
          <w:sz w:val="24"/>
          <w:szCs w:val="24"/>
        </w:rPr>
        <w:t xml:space="preserve"> America’s rivals</w:t>
      </w:r>
      <w:r w:rsidR="007376A2" w:rsidRPr="005E142B">
        <w:rPr>
          <w:sz w:val="24"/>
          <w:szCs w:val="24"/>
        </w:rPr>
        <w:t>,</w:t>
      </w:r>
      <w:r w:rsidR="00073B50">
        <w:rPr>
          <w:sz w:val="24"/>
          <w:szCs w:val="24"/>
        </w:rPr>
        <w:t xml:space="preserve"> especially Russia. </w:t>
      </w:r>
      <w:r w:rsidR="00D85620" w:rsidRPr="005E142B">
        <w:rPr>
          <w:sz w:val="24"/>
          <w:szCs w:val="24"/>
        </w:rPr>
        <w:t xml:space="preserve">He promised to give Russia, NATO’s resurgent adversary, a freer geopolitical hand. </w:t>
      </w:r>
      <w:r w:rsidR="00073B50">
        <w:rPr>
          <w:sz w:val="24"/>
          <w:szCs w:val="24"/>
        </w:rPr>
        <w:t>He would shift burdens by forcing</w:t>
      </w:r>
      <w:r w:rsidR="00A94532" w:rsidRPr="005E142B">
        <w:rPr>
          <w:sz w:val="24"/>
          <w:szCs w:val="24"/>
        </w:rPr>
        <w:t xml:space="preserve"> allies to pay for protection.</w:t>
      </w:r>
      <w:r w:rsidR="00B74C39" w:rsidRPr="005E142B">
        <w:rPr>
          <w:sz w:val="24"/>
          <w:szCs w:val="24"/>
        </w:rPr>
        <w:t xml:space="preserve"> </w:t>
      </w:r>
      <w:r w:rsidR="001735D3">
        <w:rPr>
          <w:sz w:val="24"/>
          <w:szCs w:val="24"/>
        </w:rPr>
        <w:t>While it is unclear whether Trump issued threats of abandonment genuinely in order to coerce allies into increasing their contributions. Regardless, such open threats struck against the grand strategy of primacy, which regards permanent commitments as essential even if the distribution of sacrifices is lopsided.</w:t>
      </w:r>
    </w:p>
    <w:p w:rsidR="003958F2" w:rsidRDefault="003958F2" w:rsidP="00F16A68">
      <w:pPr>
        <w:autoSpaceDE w:val="0"/>
        <w:autoSpaceDN w:val="0"/>
        <w:adjustRightInd w:val="0"/>
        <w:spacing w:after="0" w:line="480" w:lineRule="auto"/>
        <w:jc w:val="both"/>
        <w:rPr>
          <w:sz w:val="24"/>
          <w:szCs w:val="24"/>
        </w:rPr>
      </w:pPr>
    </w:p>
    <w:p w:rsidR="0081656C" w:rsidRDefault="00360131" w:rsidP="0081656C">
      <w:pPr>
        <w:autoSpaceDE w:val="0"/>
        <w:autoSpaceDN w:val="0"/>
        <w:adjustRightInd w:val="0"/>
        <w:spacing w:after="0" w:line="480" w:lineRule="auto"/>
        <w:ind w:firstLine="720"/>
        <w:jc w:val="both"/>
        <w:rPr>
          <w:sz w:val="24"/>
          <w:szCs w:val="24"/>
        </w:rPr>
      </w:pPr>
      <w:r>
        <w:rPr>
          <w:sz w:val="24"/>
          <w:szCs w:val="24"/>
        </w:rPr>
        <w:t>Within only months</w:t>
      </w:r>
      <w:r w:rsidR="005477A5">
        <w:rPr>
          <w:sz w:val="24"/>
          <w:szCs w:val="24"/>
        </w:rPr>
        <w:t xml:space="preserve"> of Trump’s presidency</w:t>
      </w:r>
      <w:r>
        <w:rPr>
          <w:sz w:val="24"/>
          <w:szCs w:val="24"/>
        </w:rPr>
        <w:t xml:space="preserve">, </w:t>
      </w:r>
      <w:r w:rsidR="005477A5">
        <w:rPr>
          <w:sz w:val="24"/>
          <w:szCs w:val="24"/>
        </w:rPr>
        <w:t xml:space="preserve">he </w:t>
      </w:r>
      <w:r w:rsidR="00B135FE">
        <w:rPr>
          <w:sz w:val="24"/>
          <w:szCs w:val="24"/>
        </w:rPr>
        <w:t>significantly</w:t>
      </w:r>
      <w:r>
        <w:rPr>
          <w:sz w:val="24"/>
          <w:szCs w:val="24"/>
        </w:rPr>
        <w:t xml:space="preserve"> altered both the rhetoric and substance of his stance towards alli</w:t>
      </w:r>
      <w:r w:rsidR="007743C6">
        <w:rPr>
          <w:sz w:val="24"/>
          <w:szCs w:val="24"/>
        </w:rPr>
        <w:t>es</w:t>
      </w:r>
      <w:r>
        <w:rPr>
          <w:sz w:val="24"/>
          <w:szCs w:val="24"/>
        </w:rPr>
        <w:t>. By April 2017, NATO was ‘no longer obsolete.’</w:t>
      </w:r>
      <w:r w:rsidR="00C13CD6">
        <w:rPr>
          <w:rStyle w:val="FootnoteReference"/>
          <w:sz w:val="24"/>
          <w:szCs w:val="24"/>
        </w:rPr>
        <w:footnoteReference w:id="167"/>
      </w:r>
      <w:r>
        <w:rPr>
          <w:sz w:val="24"/>
          <w:szCs w:val="24"/>
        </w:rPr>
        <w:t xml:space="preserve"> </w:t>
      </w:r>
      <w:r w:rsidR="000A6C1E">
        <w:rPr>
          <w:sz w:val="24"/>
          <w:szCs w:val="24"/>
        </w:rPr>
        <w:t>In May, Trump</w:t>
      </w:r>
      <w:r w:rsidR="00E05A95">
        <w:rPr>
          <w:sz w:val="24"/>
          <w:szCs w:val="24"/>
        </w:rPr>
        <w:t xml:space="preserve"> increased the existing European Reassurance Initiative by 40%, established to reassure allies with increased troops, infrastructure and exercises after Russia’s annexation of Crimea in 2014.</w:t>
      </w:r>
      <w:r w:rsidR="00E05A95">
        <w:rPr>
          <w:rStyle w:val="FootnoteReference"/>
          <w:sz w:val="24"/>
          <w:szCs w:val="24"/>
        </w:rPr>
        <w:footnoteReference w:id="168"/>
      </w:r>
      <w:r w:rsidR="00E05A95">
        <w:rPr>
          <w:sz w:val="24"/>
          <w:szCs w:val="24"/>
        </w:rPr>
        <w:t xml:space="preserve"> </w:t>
      </w:r>
      <w:r w:rsidR="00401886" w:rsidRPr="005E142B">
        <w:rPr>
          <w:sz w:val="24"/>
          <w:szCs w:val="24"/>
        </w:rPr>
        <w:t>Trump signalled support for NATO while insisting its members contribute more,</w:t>
      </w:r>
      <w:r w:rsidR="00401886">
        <w:rPr>
          <w:sz w:val="24"/>
          <w:szCs w:val="24"/>
        </w:rPr>
        <w:t xml:space="preserve"> most notably in his address at the alliance headquarters in Brussels in May 2017 and in Warsaw in July.</w:t>
      </w:r>
      <w:r w:rsidR="00401886">
        <w:rPr>
          <w:rStyle w:val="FootnoteReference"/>
          <w:sz w:val="24"/>
          <w:szCs w:val="24"/>
        </w:rPr>
        <w:footnoteReference w:id="169"/>
      </w:r>
      <w:r w:rsidR="00401886">
        <w:rPr>
          <w:sz w:val="24"/>
          <w:szCs w:val="24"/>
        </w:rPr>
        <w:t xml:space="preserve"> By June, he reaffirmed the commitment to Article Five of the NATO </w:t>
      </w:r>
      <w:r w:rsidR="00401886">
        <w:rPr>
          <w:sz w:val="24"/>
          <w:szCs w:val="24"/>
        </w:rPr>
        <w:lastRenderedPageBreak/>
        <w:t>Charter.</w:t>
      </w:r>
      <w:r w:rsidR="00401886">
        <w:rPr>
          <w:rStyle w:val="FootnoteReference"/>
          <w:sz w:val="24"/>
          <w:szCs w:val="24"/>
        </w:rPr>
        <w:footnoteReference w:id="170"/>
      </w:r>
      <w:r w:rsidR="00401886">
        <w:rPr>
          <w:sz w:val="24"/>
          <w:szCs w:val="24"/>
        </w:rPr>
        <w:t xml:space="preserve"> Having once dismissed the alliance, Trump at the urging of </w:t>
      </w:r>
      <w:r w:rsidR="00C47FCB">
        <w:rPr>
          <w:sz w:val="24"/>
          <w:szCs w:val="24"/>
        </w:rPr>
        <w:t>advisors</w:t>
      </w:r>
      <w:r w:rsidR="00401886">
        <w:rPr>
          <w:sz w:val="24"/>
          <w:szCs w:val="24"/>
        </w:rPr>
        <w:t xml:space="preserve"> now took only</w:t>
      </w:r>
      <w:r w:rsidR="00401886" w:rsidRPr="005E142B">
        <w:rPr>
          <w:sz w:val="24"/>
          <w:szCs w:val="24"/>
        </w:rPr>
        <w:t xml:space="preserve"> a more abrasive version of</w:t>
      </w:r>
      <w:r w:rsidR="00401886">
        <w:rPr>
          <w:sz w:val="24"/>
          <w:szCs w:val="24"/>
        </w:rPr>
        <w:t xml:space="preserve"> the position taken by</w:t>
      </w:r>
      <w:r w:rsidR="00401886" w:rsidRPr="005E142B">
        <w:rPr>
          <w:sz w:val="24"/>
          <w:szCs w:val="24"/>
        </w:rPr>
        <w:t xml:space="preserve"> every</w:t>
      </w:r>
      <w:r w:rsidR="00401886">
        <w:rPr>
          <w:sz w:val="24"/>
          <w:szCs w:val="24"/>
        </w:rPr>
        <w:t xml:space="preserve"> </w:t>
      </w:r>
      <w:r w:rsidR="00401886" w:rsidRPr="005E142B">
        <w:rPr>
          <w:sz w:val="24"/>
          <w:szCs w:val="24"/>
        </w:rPr>
        <w:t>president since Eisenhower</w:t>
      </w:r>
      <w:r w:rsidR="00401886">
        <w:rPr>
          <w:sz w:val="24"/>
          <w:szCs w:val="24"/>
        </w:rPr>
        <w:t>, that NATO is vital, but that member states should contribute more</w:t>
      </w:r>
      <w:r w:rsidR="00401886" w:rsidRPr="005E142B">
        <w:rPr>
          <w:sz w:val="24"/>
          <w:szCs w:val="24"/>
        </w:rPr>
        <w:t xml:space="preserve">. </w:t>
      </w:r>
      <w:r w:rsidR="000A6C1E">
        <w:rPr>
          <w:sz w:val="24"/>
          <w:szCs w:val="24"/>
        </w:rPr>
        <w:t xml:space="preserve">In the Middle East, </w:t>
      </w:r>
      <w:r w:rsidR="00130FB4">
        <w:rPr>
          <w:sz w:val="24"/>
          <w:szCs w:val="24"/>
        </w:rPr>
        <w:t>Trump e</w:t>
      </w:r>
      <w:r w:rsidR="00130FB4" w:rsidRPr="0032074A">
        <w:rPr>
          <w:sz w:val="24"/>
          <w:szCs w:val="24"/>
        </w:rPr>
        <w:t xml:space="preserve">mbraced </w:t>
      </w:r>
      <w:r w:rsidR="00130FB4">
        <w:rPr>
          <w:sz w:val="24"/>
          <w:szCs w:val="24"/>
        </w:rPr>
        <w:t xml:space="preserve">Saudi Arabia and the </w:t>
      </w:r>
      <w:r w:rsidR="00130FB4" w:rsidRPr="0032074A">
        <w:rPr>
          <w:sz w:val="24"/>
          <w:szCs w:val="24"/>
        </w:rPr>
        <w:t xml:space="preserve">Gulf monarchies </w:t>
      </w:r>
      <w:r w:rsidR="00130FB4">
        <w:rPr>
          <w:sz w:val="24"/>
          <w:szCs w:val="24"/>
        </w:rPr>
        <w:t>in</w:t>
      </w:r>
      <w:r w:rsidR="00130FB4" w:rsidRPr="0032074A">
        <w:rPr>
          <w:sz w:val="24"/>
          <w:szCs w:val="24"/>
        </w:rPr>
        <w:t xml:space="preserve"> America’s traditional role as armorer and protector, </w:t>
      </w:r>
      <w:r w:rsidR="007743C6">
        <w:rPr>
          <w:sz w:val="24"/>
          <w:szCs w:val="24"/>
        </w:rPr>
        <w:t xml:space="preserve">in his </w:t>
      </w:r>
      <w:r w:rsidR="00401886">
        <w:rPr>
          <w:sz w:val="24"/>
          <w:szCs w:val="24"/>
        </w:rPr>
        <w:t xml:space="preserve">May </w:t>
      </w:r>
      <w:r w:rsidR="007743C6">
        <w:rPr>
          <w:sz w:val="24"/>
          <w:szCs w:val="24"/>
        </w:rPr>
        <w:t>visit to Riyadh signing a $110 billion arms deal and jettisoning “America First” rhetoric in favour of “bipartisan internationalism.”</w:t>
      </w:r>
      <w:r w:rsidR="007743C6">
        <w:rPr>
          <w:rStyle w:val="FootnoteReference"/>
          <w:sz w:val="24"/>
          <w:szCs w:val="24"/>
        </w:rPr>
        <w:footnoteReference w:id="171"/>
      </w:r>
      <w:r w:rsidR="007743C6">
        <w:rPr>
          <w:sz w:val="24"/>
          <w:szCs w:val="24"/>
        </w:rPr>
        <w:t xml:space="preserve"> </w:t>
      </w:r>
      <w:r w:rsidR="00401886">
        <w:rPr>
          <w:sz w:val="24"/>
          <w:szCs w:val="24"/>
        </w:rPr>
        <w:t>Within six months, Trump’s strategic vision for the world’s key power centers – the Gulf, Europe and East Asia- held America to be</w:t>
      </w:r>
      <w:r w:rsidR="00130FB4" w:rsidRPr="005127BE">
        <w:rPr>
          <w:sz w:val="24"/>
          <w:szCs w:val="24"/>
        </w:rPr>
        <w:t xml:space="preserve"> </w:t>
      </w:r>
      <w:r w:rsidR="00401886">
        <w:rPr>
          <w:sz w:val="24"/>
          <w:szCs w:val="24"/>
        </w:rPr>
        <w:t>the principal security provider.</w:t>
      </w:r>
      <w:r w:rsidR="002F3A14">
        <w:rPr>
          <w:sz w:val="24"/>
          <w:szCs w:val="24"/>
        </w:rPr>
        <w:t xml:space="preserve"> In Asia, Trump</w:t>
      </w:r>
      <w:r w:rsidR="008C5466">
        <w:rPr>
          <w:sz w:val="24"/>
          <w:szCs w:val="24"/>
        </w:rPr>
        <w:t>’s Secretary of Defence</w:t>
      </w:r>
      <w:r w:rsidR="002F3A14" w:rsidRPr="005E142B">
        <w:rPr>
          <w:sz w:val="24"/>
          <w:szCs w:val="24"/>
        </w:rPr>
        <w:t xml:space="preserve"> reassured</w:t>
      </w:r>
      <w:r w:rsidR="008C5466">
        <w:rPr>
          <w:sz w:val="24"/>
          <w:szCs w:val="24"/>
        </w:rPr>
        <w:t xml:space="preserve"> Japan and</w:t>
      </w:r>
      <w:r w:rsidR="002F3A14" w:rsidRPr="005E142B">
        <w:rPr>
          <w:sz w:val="24"/>
          <w:szCs w:val="24"/>
        </w:rPr>
        <w:t xml:space="preserve"> South Korea of U</w:t>
      </w:r>
      <w:r w:rsidR="002F3A14">
        <w:rPr>
          <w:sz w:val="24"/>
          <w:szCs w:val="24"/>
        </w:rPr>
        <w:t>.S.</w:t>
      </w:r>
      <w:r w:rsidR="002F3A14" w:rsidRPr="005E142B">
        <w:rPr>
          <w:sz w:val="24"/>
          <w:szCs w:val="24"/>
        </w:rPr>
        <w:t xml:space="preserve"> commitment, affirming to Japanese premier Abe </w:t>
      </w:r>
      <w:r w:rsidR="002F3A14">
        <w:rPr>
          <w:sz w:val="24"/>
          <w:szCs w:val="24"/>
        </w:rPr>
        <w:t>“</w:t>
      </w:r>
      <w:r w:rsidR="002F3A14" w:rsidRPr="005E142B">
        <w:rPr>
          <w:sz w:val="24"/>
          <w:szCs w:val="24"/>
        </w:rPr>
        <w:t>that he would uphold America's alliances and military agreements in the region.</w:t>
      </w:r>
      <w:r w:rsidR="002F3A14">
        <w:rPr>
          <w:sz w:val="24"/>
          <w:szCs w:val="24"/>
        </w:rPr>
        <w:t>”</w:t>
      </w:r>
      <w:r w:rsidR="002F3A14" w:rsidRPr="005E142B">
        <w:rPr>
          <w:rStyle w:val="FootnoteReference"/>
          <w:sz w:val="24"/>
          <w:szCs w:val="24"/>
        </w:rPr>
        <w:footnoteReference w:id="172"/>
      </w:r>
      <w:r w:rsidR="0081656C">
        <w:rPr>
          <w:sz w:val="24"/>
          <w:szCs w:val="24"/>
        </w:rPr>
        <w:t xml:space="preserve"> Towards Russia, Trump </w:t>
      </w:r>
      <w:r w:rsidR="0081656C" w:rsidRPr="005E142B">
        <w:rPr>
          <w:sz w:val="24"/>
          <w:szCs w:val="24"/>
        </w:rPr>
        <w:t>did not lift sanctions against Russia over the Minsk agreement</w:t>
      </w:r>
      <w:r w:rsidR="00E03B6C">
        <w:rPr>
          <w:sz w:val="24"/>
          <w:szCs w:val="24"/>
        </w:rPr>
        <w:t xml:space="preserve">, </w:t>
      </w:r>
      <w:r w:rsidR="00E03B6C" w:rsidRPr="005E142B">
        <w:rPr>
          <w:sz w:val="24"/>
          <w:szCs w:val="24"/>
        </w:rPr>
        <w:t>demanding that Russia withdraw from the Crimea</w:t>
      </w:r>
      <w:r w:rsidR="00E03B6C">
        <w:rPr>
          <w:sz w:val="24"/>
          <w:szCs w:val="24"/>
        </w:rPr>
        <w:t>.</w:t>
      </w:r>
      <w:r w:rsidR="00C47FCB" w:rsidRPr="00C47FCB">
        <w:rPr>
          <w:sz w:val="24"/>
          <w:szCs w:val="24"/>
        </w:rPr>
        <w:t xml:space="preserve"> </w:t>
      </w:r>
      <w:r w:rsidR="00C47FCB" w:rsidRPr="005E142B">
        <w:rPr>
          <w:sz w:val="24"/>
          <w:szCs w:val="24"/>
        </w:rPr>
        <w:t xml:space="preserve">In other diplomatic areas, </w:t>
      </w:r>
      <w:r w:rsidR="00C47FCB">
        <w:rPr>
          <w:sz w:val="24"/>
          <w:szCs w:val="24"/>
        </w:rPr>
        <w:t>Trump showed general continuity with his predecessors, opposing</w:t>
      </w:r>
      <w:r w:rsidR="00C47FCB" w:rsidRPr="005E142B">
        <w:rPr>
          <w:sz w:val="24"/>
          <w:szCs w:val="24"/>
        </w:rPr>
        <w:t xml:space="preserve"> Israeli settlements in the West Bank</w:t>
      </w:r>
      <w:r w:rsidR="00C47FCB">
        <w:rPr>
          <w:sz w:val="24"/>
          <w:szCs w:val="24"/>
        </w:rPr>
        <w:t>, and</w:t>
      </w:r>
      <w:r w:rsidR="00C47FCB" w:rsidRPr="005E142B">
        <w:rPr>
          <w:sz w:val="24"/>
          <w:szCs w:val="24"/>
        </w:rPr>
        <w:t xml:space="preserve"> </w:t>
      </w:r>
      <w:r w:rsidR="00C47FCB">
        <w:rPr>
          <w:sz w:val="24"/>
          <w:szCs w:val="24"/>
        </w:rPr>
        <w:t>reaffirming</w:t>
      </w:r>
      <w:r w:rsidR="00C47FCB" w:rsidRPr="005E142B">
        <w:rPr>
          <w:sz w:val="24"/>
          <w:szCs w:val="24"/>
        </w:rPr>
        <w:t xml:space="preserve"> the </w:t>
      </w:r>
      <w:r w:rsidR="00492FAB">
        <w:rPr>
          <w:sz w:val="24"/>
          <w:szCs w:val="24"/>
        </w:rPr>
        <w:t>“</w:t>
      </w:r>
      <w:r w:rsidR="00C47FCB" w:rsidRPr="005E142B">
        <w:rPr>
          <w:sz w:val="24"/>
          <w:szCs w:val="24"/>
        </w:rPr>
        <w:t>One China</w:t>
      </w:r>
      <w:r w:rsidR="00492FAB">
        <w:rPr>
          <w:sz w:val="24"/>
          <w:szCs w:val="24"/>
        </w:rPr>
        <w:t>”</w:t>
      </w:r>
      <w:r w:rsidR="00C47FCB" w:rsidRPr="005E142B">
        <w:rPr>
          <w:sz w:val="24"/>
          <w:szCs w:val="24"/>
        </w:rPr>
        <w:t xml:space="preserve"> policy.</w:t>
      </w:r>
      <w:r w:rsidR="00C47FCB" w:rsidRPr="005E142B">
        <w:rPr>
          <w:rStyle w:val="FootnoteReference"/>
          <w:sz w:val="24"/>
          <w:szCs w:val="24"/>
        </w:rPr>
        <w:footnoteReference w:id="173"/>
      </w:r>
    </w:p>
    <w:p w:rsidR="00360131" w:rsidRDefault="00360131" w:rsidP="0081656C">
      <w:pPr>
        <w:autoSpaceDE w:val="0"/>
        <w:autoSpaceDN w:val="0"/>
        <w:adjustRightInd w:val="0"/>
        <w:spacing w:after="0" w:line="480" w:lineRule="auto"/>
        <w:jc w:val="both"/>
        <w:rPr>
          <w:sz w:val="24"/>
          <w:szCs w:val="24"/>
        </w:rPr>
      </w:pPr>
    </w:p>
    <w:p w:rsidR="002B627B" w:rsidRDefault="00E03B6C" w:rsidP="00E03B6C">
      <w:pPr>
        <w:autoSpaceDE w:val="0"/>
        <w:autoSpaceDN w:val="0"/>
        <w:adjustRightInd w:val="0"/>
        <w:spacing w:after="0" w:line="480" w:lineRule="auto"/>
        <w:ind w:firstLine="720"/>
        <w:jc w:val="both"/>
        <w:rPr>
          <w:sz w:val="24"/>
          <w:szCs w:val="24"/>
        </w:rPr>
      </w:pPr>
      <w:r>
        <w:rPr>
          <w:sz w:val="24"/>
          <w:szCs w:val="24"/>
        </w:rPr>
        <w:t xml:space="preserve">Trump has also rededicated the U.S. to military preponderance and the frequent use of force that is a hallmark of U.S. unipolarity. </w:t>
      </w:r>
      <w:r w:rsidR="004A75B1" w:rsidRPr="004A75B1">
        <w:rPr>
          <w:sz w:val="24"/>
          <w:szCs w:val="24"/>
        </w:rPr>
        <w:t>Campaigning for office,</w:t>
      </w:r>
      <w:r w:rsidR="00813A93">
        <w:rPr>
          <w:sz w:val="24"/>
          <w:szCs w:val="24"/>
        </w:rPr>
        <w:t xml:space="preserve"> Trump denounced his opponent’s hawkishness</w:t>
      </w:r>
      <w:r w:rsidR="002E344E">
        <w:rPr>
          <w:sz w:val="24"/>
          <w:szCs w:val="24"/>
        </w:rPr>
        <w:t>. He</w:t>
      </w:r>
      <w:r w:rsidR="00813A93">
        <w:rPr>
          <w:sz w:val="24"/>
          <w:szCs w:val="24"/>
        </w:rPr>
        <w:t xml:space="preserve"> promised to</w:t>
      </w:r>
      <w:r w:rsidR="004A75B1" w:rsidRPr="004A75B1">
        <w:rPr>
          <w:sz w:val="24"/>
          <w:szCs w:val="24"/>
        </w:rPr>
        <w:t xml:space="preserve"> reduce</w:t>
      </w:r>
      <w:r w:rsidR="001C6CDE">
        <w:rPr>
          <w:sz w:val="24"/>
          <w:szCs w:val="24"/>
        </w:rPr>
        <w:t xml:space="preserve"> and focus</w:t>
      </w:r>
      <w:r w:rsidR="004A75B1" w:rsidRPr="004A75B1">
        <w:rPr>
          <w:sz w:val="24"/>
          <w:szCs w:val="24"/>
        </w:rPr>
        <w:t xml:space="preserve"> </w:t>
      </w:r>
      <w:r w:rsidR="00813A93">
        <w:rPr>
          <w:sz w:val="24"/>
          <w:szCs w:val="24"/>
        </w:rPr>
        <w:t xml:space="preserve">the </w:t>
      </w:r>
      <w:r w:rsidR="004A75B1" w:rsidRPr="004A75B1">
        <w:rPr>
          <w:sz w:val="24"/>
          <w:szCs w:val="24"/>
        </w:rPr>
        <w:t xml:space="preserve">use of force, to </w:t>
      </w:r>
      <w:r w:rsidR="00D247DC">
        <w:rPr>
          <w:sz w:val="24"/>
          <w:szCs w:val="24"/>
        </w:rPr>
        <w:t>“</w:t>
      </w:r>
      <w:r w:rsidR="004A75B1" w:rsidRPr="004A75B1">
        <w:rPr>
          <w:sz w:val="24"/>
          <w:szCs w:val="24"/>
        </w:rPr>
        <w:t>stop racing to topple foreign regimes that we know nothing about, that we shouldn’t be involved with</w:t>
      </w:r>
      <w:r w:rsidR="00CD53D1">
        <w:rPr>
          <w:sz w:val="24"/>
          <w:szCs w:val="24"/>
        </w:rPr>
        <w:t>,</w:t>
      </w:r>
      <w:r w:rsidR="00D247DC">
        <w:rPr>
          <w:sz w:val="24"/>
          <w:szCs w:val="24"/>
        </w:rPr>
        <w:t>”</w:t>
      </w:r>
      <w:r w:rsidR="00CD53D1">
        <w:rPr>
          <w:sz w:val="24"/>
          <w:szCs w:val="24"/>
        </w:rPr>
        <w:t xml:space="preserve"> </w:t>
      </w:r>
      <w:r w:rsidR="00813A93">
        <w:rPr>
          <w:sz w:val="24"/>
          <w:szCs w:val="24"/>
        </w:rPr>
        <w:t xml:space="preserve">to </w:t>
      </w:r>
      <w:r w:rsidR="00CD53D1">
        <w:rPr>
          <w:sz w:val="24"/>
          <w:szCs w:val="24"/>
        </w:rPr>
        <w:t>withdraw from Afghanistan</w:t>
      </w:r>
      <w:r w:rsidR="00D247DC">
        <w:rPr>
          <w:sz w:val="24"/>
          <w:szCs w:val="24"/>
        </w:rPr>
        <w:t>,</w:t>
      </w:r>
      <w:r w:rsidR="00D247DC">
        <w:rPr>
          <w:rStyle w:val="FootnoteReference"/>
          <w:sz w:val="24"/>
          <w:szCs w:val="24"/>
        </w:rPr>
        <w:footnoteReference w:id="174"/>
      </w:r>
      <w:r w:rsidR="002E344E">
        <w:rPr>
          <w:sz w:val="24"/>
          <w:szCs w:val="24"/>
        </w:rPr>
        <w:t xml:space="preserve"> </w:t>
      </w:r>
      <w:r w:rsidR="00492FAB">
        <w:rPr>
          <w:sz w:val="24"/>
          <w:szCs w:val="24"/>
        </w:rPr>
        <w:t>to avoid</w:t>
      </w:r>
      <w:r w:rsidR="00D247DC">
        <w:rPr>
          <w:sz w:val="24"/>
          <w:szCs w:val="24"/>
        </w:rPr>
        <w:t xml:space="preserve"> nation-building expeditions,</w:t>
      </w:r>
      <w:r w:rsidR="004A75B1" w:rsidRPr="004A75B1">
        <w:rPr>
          <w:sz w:val="24"/>
          <w:szCs w:val="24"/>
        </w:rPr>
        <w:t xml:space="preserve"> </w:t>
      </w:r>
      <w:r w:rsidR="00D247DC">
        <w:rPr>
          <w:sz w:val="24"/>
          <w:szCs w:val="24"/>
        </w:rPr>
        <w:t xml:space="preserve">and to </w:t>
      </w:r>
      <w:r w:rsidR="004A75B1" w:rsidRPr="004A75B1">
        <w:rPr>
          <w:sz w:val="24"/>
          <w:szCs w:val="24"/>
        </w:rPr>
        <w:t xml:space="preserve">focus on ISIS </w:t>
      </w:r>
      <w:r w:rsidR="00492FAB">
        <w:rPr>
          <w:sz w:val="24"/>
          <w:szCs w:val="24"/>
        </w:rPr>
        <w:t>and</w:t>
      </w:r>
      <w:r w:rsidR="004A75B1" w:rsidRPr="004A75B1">
        <w:rPr>
          <w:sz w:val="24"/>
          <w:szCs w:val="24"/>
        </w:rPr>
        <w:t xml:space="preserve"> counter-terrorism</w:t>
      </w:r>
      <w:r w:rsidR="00D247DC">
        <w:rPr>
          <w:sz w:val="24"/>
          <w:szCs w:val="24"/>
        </w:rPr>
        <w:t>.</w:t>
      </w:r>
      <w:r w:rsidR="004A75B1">
        <w:rPr>
          <w:rStyle w:val="FootnoteReference"/>
          <w:sz w:val="24"/>
          <w:szCs w:val="24"/>
        </w:rPr>
        <w:footnoteReference w:id="175"/>
      </w:r>
      <w:r w:rsidR="00D247DC">
        <w:rPr>
          <w:sz w:val="24"/>
          <w:szCs w:val="24"/>
        </w:rPr>
        <w:t xml:space="preserve"> </w:t>
      </w:r>
    </w:p>
    <w:p w:rsidR="002B627B" w:rsidRDefault="002B627B" w:rsidP="00401886">
      <w:pPr>
        <w:autoSpaceDE w:val="0"/>
        <w:autoSpaceDN w:val="0"/>
        <w:adjustRightInd w:val="0"/>
        <w:spacing w:after="0" w:line="480" w:lineRule="auto"/>
        <w:jc w:val="both"/>
        <w:rPr>
          <w:sz w:val="24"/>
          <w:szCs w:val="24"/>
        </w:rPr>
      </w:pPr>
    </w:p>
    <w:p w:rsidR="003F25B1" w:rsidRPr="00C15659" w:rsidRDefault="00C61E5C" w:rsidP="003F25B1">
      <w:pPr>
        <w:autoSpaceDE w:val="0"/>
        <w:autoSpaceDN w:val="0"/>
        <w:adjustRightInd w:val="0"/>
        <w:spacing w:after="0" w:line="480" w:lineRule="auto"/>
        <w:ind w:firstLine="709"/>
        <w:jc w:val="both"/>
        <w:rPr>
          <w:sz w:val="24"/>
          <w:szCs w:val="24"/>
        </w:rPr>
      </w:pPr>
      <w:r>
        <w:rPr>
          <w:sz w:val="24"/>
          <w:szCs w:val="24"/>
        </w:rPr>
        <w:t xml:space="preserve">Since taking office, Trump </w:t>
      </w:r>
      <w:r w:rsidR="00D247DC">
        <w:rPr>
          <w:sz w:val="24"/>
          <w:szCs w:val="24"/>
        </w:rPr>
        <w:t>s</w:t>
      </w:r>
      <w:r>
        <w:rPr>
          <w:sz w:val="24"/>
          <w:szCs w:val="24"/>
        </w:rPr>
        <w:t>howed</w:t>
      </w:r>
      <w:r w:rsidR="00D247DC">
        <w:rPr>
          <w:sz w:val="24"/>
          <w:szCs w:val="24"/>
        </w:rPr>
        <w:t xml:space="preserve"> a propensity towards using and expanding the use of force</w:t>
      </w:r>
      <w:r>
        <w:rPr>
          <w:sz w:val="24"/>
          <w:szCs w:val="24"/>
        </w:rPr>
        <w:t>. He had</w:t>
      </w:r>
      <w:r w:rsidR="00D247DC">
        <w:rPr>
          <w:sz w:val="24"/>
          <w:szCs w:val="24"/>
        </w:rPr>
        <w:t xml:space="preserve"> a higher frequency of </w:t>
      </w:r>
      <w:r w:rsidR="00784A8E">
        <w:rPr>
          <w:sz w:val="24"/>
          <w:szCs w:val="24"/>
        </w:rPr>
        <w:t xml:space="preserve">bombing than </w:t>
      </w:r>
      <w:r w:rsidR="00D247DC">
        <w:rPr>
          <w:sz w:val="24"/>
          <w:szCs w:val="24"/>
        </w:rPr>
        <w:t>President Obama.</w:t>
      </w:r>
      <w:r w:rsidR="00EA1BB8">
        <w:rPr>
          <w:sz w:val="24"/>
          <w:szCs w:val="24"/>
        </w:rPr>
        <w:t xml:space="preserve"> </w:t>
      </w:r>
      <w:r w:rsidR="00D247DC">
        <w:rPr>
          <w:sz w:val="24"/>
          <w:szCs w:val="24"/>
        </w:rPr>
        <w:t>B</w:t>
      </w:r>
      <w:r w:rsidR="00EA1BB8">
        <w:rPr>
          <w:sz w:val="24"/>
          <w:szCs w:val="24"/>
        </w:rPr>
        <w:t xml:space="preserve">y 31 July 2017, </w:t>
      </w:r>
      <w:r w:rsidR="00D247DC">
        <w:rPr>
          <w:sz w:val="24"/>
          <w:szCs w:val="24"/>
        </w:rPr>
        <w:t xml:space="preserve">Trump had overseen the </w:t>
      </w:r>
      <w:r>
        <w:rPr>
          <w:sz w:val="24"/>
          <w:szCs w:val="24"/>
        </w:rPr>
        <w:t xml:space="preserve">unleashing </w:t>
      </w:r>
      <w:r w:rsidR="00D247DC">
        <w:rPr>
          <w:sz w:val="24"/>
          <w:szCs w:val="24"/>
        </w:rPr>
        <w:t xml:space="preserve">of </w:t>
      </w:r>
      <w:r w:rsidR="00EA1BB8">
        <w:rPr>
          <w:sz w:val="24"/>
          <w:szCs w:val="24"/>
        </w:rPr>
        <w:t xml:space="preserve">80% of the bombs dropped by </w:t>
      </w:r>
      <w:r w:rsidR="00D247DC">
        <w:rPr>
          <w:sz w:val="24"/>
          <w:szCs w:val="24"/>
        </w:rPr>
        <w:t xml:space="preserve">the </w:t>
      </w:r>
      <w:r w:rsidR="00EA1BB8">
        <w:rPr>
          <w:sz w:val="24"/>
          <w:szCs w:val="24"/>
        </w:rPr>
        <w:t xml:space="preserve">U.S. under Obama during </w:t>
      </w:r>
      <w:r w:rsidR="00D247DC">
        <w:rPr>
          <w:sz w:val="24"/>
          <w:szCs w:val="24"/>
        </w:rPr>
        <w:t>the whole of 2016, including the most</w:t>
      </w:r>
      <w:r w:rsidR="00EA1BB8">
        <w:rPr>
          <w:sz w:val="24"/>
          <w:szCs w:val="24"/>
        </w:rPr>
        <w:t xml:space="preserve"> bombs</w:t>
      </w:r>
      <w:r w:rsidR="00D247DC">
        <w:rPr>
          <w:sz w:val="24"/>
          <w:szCs w:val="24"/>
        </w:rPr>
        <w:t xml:space="preserve"> dropped</w:t>
      </w:r>
      <w:r w:rsidR="00EA1BB8">
        <w:rPr>
          <w:sz w:val="24"/>
          <w:szCs w:val="24"/>
        </w:rPr>
        <w:t xml:space="preserve"> on Afghanistan since 2012, including largest non-nuclear bomb ever dropped in combat</w:t>
      </w:r>
      <w:r w:rsidR="00D247DC">
        <w:rPr>
          <w:sz w:val="24"/>
          <w:szCs w:val="24"/>
        </w:rPr>
        <w:t>.</w:t>
      </w:r>
      <w:r w:rsidR="00EA1BB8">
        <w:rPr>
          <w:rStyle w:val="FootnoteReference"/>
          <w:sz w:val="24"/>
          <w:szCs w:val="24"/>
        </w:rPr>
        <w:footnoteReference w:id="176"/>
      </w:r>
      <w:r w:rsidR="009E0F17" w:rsidRPr="004A75B1">
        <w:rPr>
          <w:sz w:val="24"/>
          <w:szCs w:val="24"/>
        </w:rPr>
        <w:t xml:space="preserve"> </w:t>
      </w:r>
      <w:r w:rsidR="00D247DC">
        <w:rPr>
          <w:sz w:val="24"/>
          <w:szCs w:val="24"/>
        </w:rPr>
        <w:t>Trump also increased the U.S. ground commitment to Afghanistan</w:t>
      </w:r>
      <w:r w:rsidR="00230F4A">
        <w:rPr>
          <w:sz w:val="24"/>
          <w:szCs w:val="24"/>
        </w:rPr>
        <w:t>, added with intensive diplomacy in Central Asia</w:t>
      </w:r>
      <w:r w:rsidR="00D247DC">
        <w:rPr>
          <w:sz w:val="24"/>
          <w:szCs w:val="24"/>
        </w:rPr>
        <w:t>.</w:t>
      </w:r>
      <w:r w:rsidR="00230F4A">
        <w:rPr>
          <w:rStyle w:val="FootnoteReference"/>
          <w:sz w:val="24"/>
          <w:szCs w:val="24"/>
        </w:rPr>
        <w:footnoteReference w:id="177"/>
      </w:r>
      <w:r w:rsidR="009E0F17" w:rsidRPr="004A75B1">
        <w:rPr>
          <w:sz w:val="24"/>
          <w:szCs w:val="24"/>
        </w:rPr>
        <w:t xml:space="preserve"> </w:t>
      </w:r>
      <w:r w:rsidR="002B627B">
        <w:rPr>
          <w:sz w:val="24"/>
          <w:szCs w:val="24"/>
        </w:rPr>
        <w:t xml:space="preserve">In the name of deterring the use of chemical weapons, Trump bombed Bashar Al Assad’s regime in </w:t>
      </w:r>
      <w:r w:rsidR="009E0F17" w:rsidRPr="004A75B1">
        <w:rPr>
          <w:sz w:val="24"/>
          <w:szCs w:val="24"/>
        </w:rPr>
        <w:t>Syria</w:t>
      </w:r>
      <w:r w:rsidR="002B627B">
        <w:rPr>
          <w:sz w:val="24"/>
          <w:szCs w:val="24"/>
        </w:rPr>
        <w:t xml:space="preserve">. </w:t>
      </w:r>
      <w:r w:rsidR="002E344E">
        <w:rPr>
          <w:sz w:val="24"/>
          <w:szCs w:val="24"/>
        </w:rPr>
        <w:t>Trump also bolstered the</w:t>
      </w:r>
      <w:r w:rsidR="002B627B">
        <w:rPr>
          <w:sz w:val="24"/>
          <w:szCs w:val="24"/>
        </w:rPr>
        <w:t xml:space="preserve"> U.S.</w:t>
      </w:r>
      <w:r w:rsidR="002E344E">
        <w:rPr>
          <w:sz w:val="24"/>
          <w:szCs w:val="24"/>
        </w:rPr>
        <w:t>’</w:t>
      </w:r>
      <w:r w:rsidR="00401886" w:rsidRPr="0032074A">
        <w:rPr>
          <w:sz w:val="24"/>
          <w:szCs w:val="24"/>
        </w:rPr>
        <w:t xml:space="preserve"> </w:t>
      </w:r>
      <w:r w:rsidR="0081656C">
        <w:rPr>
          <w:sz w:val="24"/>
          <w:szCs w:val="24"/>
        </w:rPr>
        <w:t xml:space="preserve">military </w:t>
      </w:r>
      <w:r w:rsidR="00401886" w:rsidRPr="0032074A">
        <w:rPr>
          <w:sz w:val="24"/>
          <w:szCs w:val="24"/>
        </w:rPr>
        <w:t>deployments</w:t>
      </w:r>
      <w:r w:rsidR="002B627B">
        <w:rPr>
          <w:sz w:val="24"/>
          <w:szCs w:val="24"/>
        </w:rPr>
        <w:t xml:space="preserve"> to</w:t>
      </w:r>
      <w:r w:rsidR="0081656C">
        <w:rPr>
          <w:sz w:val="24"/>
          <w:szCs w:val="24"/>
        </w:rPr>
        <w:t xml:space="preserve"> NATO’s eastern flank</w:t>
      </w:r>
      <w:r w:rsidR="002B627B">
        <w:rPr>
          <w:sz w:val="24"/>
          <w:szCs w:val="24"/>
        </w:rPr>
        <w:t>.</w:t>
      </w:r>
      <w:r w:rsidR="00E03B6C" w:rsidRPr="00E03B6C">
        <w:rPr>
          <w:sz w:val="24"/>
          <w:szCs w:val="24"/>
        </w:rPr>
        <w:t xml:space="preserve"> </w:t>
      </w:r>
      <w:r w:rsidR="00E03B6C">
        <w:rPr>
          <w:sz w:val="24"/>
          <w:szCs w:val="24"/>
        </w:rPr>
        <w:t>Trump</w:t>
      </w:r>
      <w:r w:rsidR="00E03B6C" w:rsidRPr="005E142B">
        <w:rPr>
          <w:sz w:val="24"/>
          <w:szCs w:val="24"/>
        </w:rPr>
        <w:t xml:space="preserve"> declared an increased </w:t>
      </w:r>
      <w:r w:rsidR="00E03B6C">
        <w:rPr>
          <w:sz w:val="24"/>
          <w:szCs w:val="24"/>
        </w:rPr>
        <w:t>defense</w:t>
      </w:r>
      <w:r w:rsidR="00E03B6C" w:rsidRPr="005E142B">
        <w:rPr>
          <w:sz w:val="24"/>
          <w:szCs w:val="24"/>
        </w:rPr>
        <w:t xml:space="preserve"> budget and an ambition for nuclear supremacy. His combination of arm</w:t>
      </w:r>
      <w:r w:rsidR="00E03B6C">
        <w:rPr>
          <w:sz w:val="24"/>
          <w:szCs w:val="24"/>
        </w:rPr>
        <w:t>s build-up and budget expansion</w:t>
      </w:r>
      <w:r w:rsidR="00E03B6C" w:rsidRPr="005E142B">
        <w:rPr>
          <w:sz w:val="24"/>
          <w:szCs w:val="24"/>
        </w:rPr>
        <w:t xml:space="preserve"> amounted to ‘warmed-over Reaganism’, and like Reagan </w:t>
      </w:r>
      <w:r w:rsidR="00E03B6C">
        <w:rPr>
          <w:sz w:val="24"/>
          <w:szCs w:val="24"/>
        </w:rPr>
        <w:t>Trump</w:t>
      </w:r>
      <w:r w:rsidR="00E03B6C" w:rsidRPr="005E142B">
        <w:rPr>
          <w:sz w:val="24"/>
          <w:szCs w:val="24"/>
        </w:rPr>
        <w:t xml:space="preserve"> drew on the budget blueprint of the Heritage Foundation</w:t>
      </w:r>
      <w:r w:rsidR="009132CA">
        <w:rPr>
          <w:sz w:val="24"/>
          <w:szCs w:val="24"/>
        </w:rPr>
        <w:t>, not exactly a bastion of isolationism</w:t>
      </w:r>
      <w:r w:rsidR="00E03B6C" w:rsidRPr="005E142B">
        <w:rPr>
          <w:sz w:val="24"/>
          <w:szCs w:val="24"/>
        </w:rPr>
        <w:t>.</w:t>
      </w:r>
      <w:r w:rsidR="00E03B6C" w:rsidRPr="005E142B">
        <w:rPr>
          <w:rStyle w:val="FootnoteReference"/>
          <w:sz w:val="24"/>
          <w:szCs w:val="24"/>
        </w:rPr>
        <w:footnoteReference w:id="178"/>
      </w:r>
      <w:r w:rsidR="003F25B1" w:rsidRPr="003F25B1">
        <w:rPr>
          <w:sz w:val="24"/>
          <w:szCs w:val="24"/>
        </w:rPr>
        <w:t xml:space="preserve"> </w:t>
      </w:r>
      <w:r w:rsidR="003F25B1">
        <w:rPr>
          <w:sz w:val="24"/>
          <w:szCs w:val="24"/>
        </w:rPr>
        <w:t>Trump also conform</w:t>
      </w:r>
      <w:r w:rsidR="00F7610C">
        <w:rPr>
          <w:sz w:val="24"/>
          <w:szCs w:val="24"/>
        </w:rPr>
        <w:t>ed</w:t>
      </w:r>
      <w:r w:rsidR="003F25B1">
        <w:rPr>
          <w:sz w:val="24"/>
          <w:szCs w:val="24"/>
        </w:rPr>
        <w:t xml:space="preserve"> with the tradition of ‘inhibition’, forcefully confronting North Korea over its nuclear and missile programmes. While campaigning, h</w:t>
      </w:r>
      <w:r w:rsidR="003F25B1" w:rsidRPr="005E142B">
        <w:rPr>
          <w:sz w:val="24"/>
          <w:szCs w:val="24"/>
        </w:rPr>
        <w:t>e suggested he would tolerate nuclear proliferation by South K</w:t>
      </w:r>
      <w:r w:rsidR="003F25B1">
        <w:rPr>
          <w:sz w:val="24"/>
          <w:szCs w:val="24"/>
        </w:rPr>
        <w:t>orea, Japan and Saudi Arabia</w:t>
      </w:r>
      <w:r w:rsidR="005671D6">
        <w:rPr>
          <w:sz w:val="24"/>
          <w:szCs w:val="24"/>
        </w:rPr>
        <w:t xml:space="preserve">. He </w:t>
      </w:r>
      <w:r w:rsidR="003F25B1" w:rsidRPr="005E142B">
        <w:rPr>
          <w:sz w:val="24"/>
          <w:szCs w:val="24"/>
        </w:rPr>
        <w:t>imagined negotiating with the ‘rogue’ proliferator, North Korea’s ruler Kim Jong Un</w:t>
      </w:r>
      <w:r w:rsidR="005671D6">
        <w:rPr>
          <w:sz w:val="24"/>
          <w:szCs w:val="24"/>
        </w:rPr>
        <w:t>. A</w:t>
      </w:r>
      <w:r w:rsidR="004C6D93">
        <w:rPr>
          <w:sz w:val="24"/>
          <w:szCs w:val="24"/>
        </w:rPr>
        <w:t>nd</w:t>
      </w:r>
      <w:r w:rsidR="005671D6">
        <w:rPr>
          <w:sz w:val="24"/>
          <w:szCs w:val="24"/>
        </w:rPr>
        <w:t xml:space="preserve"> he</w:t>
      </w:r>
      <w:r w:rsidR="004C6D93">
        <w:rPr>
          <w:sz w:val="24"/>
          <w:szCs w:val="24"/>
        </w:rPr>
        <w:t xml:space="preserve"> suggested that nuclear proliferation was both inevitable and acceptable</w:t>
      </w:r>
      <w:r w:rsidR="003F25B1" w:rsidRPr="005E142B">
        <w:rPr>
          <w:sz w:val="24"/>
          <w:szCs w:val="24"/>
        </w:rPr>
        <w:t>.</w:t>
      </w:r>
      <w:r w:rsidR="00F7610C">
        <w:rPr>
          <w:rStyle w:val="FootnoteReference"/>
          <w:sz w:val="24"/>
          <w:szCs w:val="24"/>
        </w:rPr>
        <w:footnoteReference w:id="179"/>
      </w:r>
      <w:r w:rsidR="00F7610C">
        <w:t xml:space="preserve"> </w:t>
      </w:r>
      <w:r w:rsidR="005671D6">
        <w:rPr>
          <w:rStyle w:val="FootnoteReference"/>
          <w:sz w:val="24"/>
          <w:szCs w:val="24"/>
        </w:rPr>
        <w:t xml:space="preserve"> </w:t>
      </w:r>
      <w:r w:rsidR="005671D6">
        <w:rPr>
          <w:sz w:val="24"/>
          <w:szCs w:val="24"/>
        </w:rPr>
        <w:t xml:space="preserve">These sentiments violated decades of tradition, whereby the U.S. has actively inhibited proliferation through </w:t>
      </w:r>
      <w:r w:rsidR="005671D6" w:rsidRPr="005671D6">
        <w:rPr>
          <w:sz w:val="24"/>
          <w:szCs w:val="24"/>
        </w:rPr>
        <w:t>security guarantees, troop deployments, arms sales, nuclear umbrellas and sanctions threats.</w:t>
      </w:r>
      <w:r w:rsidR="00F7610C">
        <w:rPr>
          <w:rStyle w:val="FootnoteReference"/>
          <w:sz w:val="24"/>
          <w:szCs w:val="24"/>
        </w:rPr>
        <w:t xml:space="preserve"> </w:t>
      </w:r>
      <w:r w:rsidR="00C060CF">
        <w:rPr>
          <w:sz w:val="24"/>
          <w:szCs w:val="24"/>
        </w:rPr>
        <w:t>By the summer of 2017, Trump was engaged in brinksmanship with Pyongyang, attempting to coerce the ‘rogue state’ to abandon its nuclear ambitions.</w:t>
      </w:r>
      <w:r w:rsidR="00C15659">
        <w:rPr>
          <w:sz w:val="24"/>
          <w:szCs w:val="24"/>
        </w:rPr>
        <w:t xml:space="preserve"> </w:t>
      </w:r>
      <w:r w:rsidR="00C15659" w:rsidRPr="00C15659">
        <w:rPr>
          <w:sz w:val="24"/>
          <w:szCs w:val="24"/>
        </w:rPr>
        <w:t>Trump’s America exercises</w:t>
      </w:r>
      <w:r w:rsidR="00C060CF" w:rsidRPr="00C15659">
        <w:rPr>
          <w:sz w:val="24"/>
          <w:szCs w:val="24"/>
        </w:rPr>
        <w:t xml:space="preserve"> </w:t>
      </w:r>
      <w:r w:rsidR="00C15659" w:rsidRPr="00C15659">
        <w:rPr>
          <w:sz w:val="24"/>
          <w:szCs w:val="24"/>
        </w:rPr>
        <w:t xml:space="preserve">military </w:t>
      </w:r>
      <w:r w:rsidR="00C15659" w:rsidRPr="00C15659">
        <w:rPr>
          <w:sz w:val="24"/>
          <w:szCs w:val="24"/>
        </w:rPr>
        <w:lastRenderedPageBreak/>
        <w:t xml:space="preserve">preponderance, maintains alliances and pursues counterproliferation, even at the risk of war, in order to forestall the emergence </w:t>
      </w:r>
      <w:r w:rsidR="00CD17E8">
        <w:rPr>
          <w:sz w:val="24"/>
          <w:szCs w:val="24"/>
        </w:rPr>
        <w:t>of</w:t>
      </w:r>
      <w:r w:rsidR="00C15659" w:rsidRPr="00C15659">
        <w:rPr>
          <w:sz w:val="24"/>
          <w:szCs w:val="24"/>
        </w:rPr>
        <w:t xml:space="preserve"> challengers and prevent a return to multipolar disorder</w:t>
      </w:r>
      <w:r w:rsidR="00C15659">
        <w:rPr>
          <w:sz w:val="24"/>
          <w:szCs w:val="24"/>
        </w:rPr>
        <w:t>.</w:t>
      </w:r>
    </w:p>
    <w:p w:rsidR="00CD17E8" w:rsidRPr="003F25B1" w:rsidRDefault="00CD17E8" w:rsidP="00F16A68">
      <w:pPr>
        <w:autoSpaceDE w:val="0"/>
        <w:autoSpaceDN w:val="0"/>
        <w:adjustRightInd w:val="0"/>
        <w:spacing w:after="0" w:line="480" w:lineRule="auto"/>
        <w:jc w:val="both"/>
        <w:rPr>
          <w:sz w:val="24"/>
          <w:szCs w:val="24"/>
        </w:rPr>
      </w:pPr>
    </w:p>
    <w:p w:rsidR="00F16A68" w:rsidRPr="00F16A68" w:rsidRDefault="00E215A1" w:rsidP="00F16A68">
      <w:pPr>
        <w:autoSpaceDE w:val="0"/>
        <w:autoSpaceDN w:val="0"/>
        <w:adjustRightInd w:val="0"/>
        <w:spacing w:after="0" w:line="480" w:lineRule="auto"/>
        <w:jc w:val="both"/>
        <w:rPr>
          <w:b/>
          <w:sz w:val="24"/>
          <w:szCs w:val="24"/>
        </w:rPr>
      </w:pPr>
      <w:r>
        <w:rPr>
          <w:b/>
          <w:sz w:val="24"/>
          <w:szCs w:val="24"/>
        </w:rPr>
        <w:t xml:space="preserve">Explaining Continuity: Trump and the </w:t>
      </w:r>
      <w:r w:rsidR="008E3104">
        <w:rPr>
          <w:b/>
          <w:sz w:val="24"/>
          <w:szCs w:val="24"/>
        </w:rPr>
        <w:t>“blob”</w:t>
      </w:r>
    </w:p>
    <w:p w:rsidR="00F16A68" w:rsidRDefault="00DC5AD8" w:rsidP="00DC5AD8">
      <w:pPr>
        <w:autoSpaceDE w:val="0"/>
        <w:autoSpaceDN w:val="0"/>
        <w:adjustRightInd w:val="0"/>
        <w:spacing w:after="0" w:line="480" w:lineRule="auto"/>
        <w:jc w:val="both"/>
        <w:rPr>
          <w:sz w:val="24"/>
          <w:szCs w:val="24"/>
        </w:rPr>
      </w:pPr>
      <w:r>
        <w:rPr>
          <w:sz w:val="24"/>
          <w:szCs w:val="24"/>
        </w:rPr>
        <w:t>The pattern of Trump’</w:t>
      </w:r>
      <w:r w:rsidR="00247231">
        <w:rPr>
          <w:sz w:val="24"/>
          <w:szCs w:val="24"/>
        </w:rPr>
        <w:t xml:space="preserve">s conformity on major grand-strategic questions fits </w:t>
      </w:r>
      <w:r w:rsidR="00CD17E8">
        <w:rPr>
          <w:sz w:val="24"/>
          <w:szCs w:val="24"/>
        </w:rPr>
        <w:t>my theory’s</w:t>
      </w:r>
      <w:r w:rsidR="00247231">
        <w:rPr>
          <w:sz w:val="24"/>
          <w:szCs w:val="24"/>
        </w:rPr>
        <w:t xml:space="preserve"> predictions. Trump took office at a time when the electorate was buffeted by war weariness and the long-term stresses of the Global Financial Crisis. These pressures could have been a basis for grand strategic </w:t>
      </w:r>
      <w:r w:rsidR="00670327">
        <w:rPr>
          <w:sz w:val="24"/>
          <w:szCs w:val="24"/>
        </w:rPr>
        <w:t>revision</w:t>
      </w:r>
      <w:r w:rsidR="00247231">
        <w:rPr>
          <w:sz w:val="24"/>
          <w:szCs w:val="24"/>
        </w:rPr>
        <w:t xml:space="preserve">. Yet for all his campaign rhetoric and appeals to popular discontent, Trump is </w:t>
      </w:r>
      <w:r w:rsidR="00C15659">
        <w:rPr>
          <w:sz w:val="24"/>
          <w:szCs w:val="24"/>
        </w:rPr>
        <w:t>not trying to</w:t>
      </w:r>
      <w:r w:rsidR="00247231">
        <w:rPr>
          <w:sz w:val="24"/>
          <w:szCs w:val="24"/>
        </w:rPr>
        <w:t xml:space="preserve"> overhaul grand strategy. He has been unwilling to bear the domestic costs and spending of political capital that such a revision would entail. In the absence of a determined agent of change, the ad</w:t>
      </w:r>
      <w:r w:rsidR="00C15659">
        <w:rPr>
          <w:sz w:val="24"/>
          <w:szCs w:val="24"/>
        </w:rPr>
        <w:t xml:space="preserve">vantages of the </w:t>
      </w:r>
      <w:r w:rsidR="008E3104">
        <w:rPr>
          <w:sz w:val="24"/>
          <w:szCs w:val="24"/>
        </w:rPr>
        <w:t>“blob”</w:t>
      </w:r>
      <w:r w:rsidR="00C15659">
        <w:rPr>
          <w:sz w:val="24"/>
          <w:szCs w:val="24"/>
        </w:rPr>
        <w:t xml:space="preserve"> persist. The </w:t>
      </w:r>
      <w:r w:rsidR="008E3104">
        <w:rPr>
          <w:sz w:val="24"/>
          <w:szCs w:val="24"/>
        </w:rPr>
        <w:t>“blob”</w:t>
      </w:r>
      <w:r w:rsidR="00C15659">
        <w:rPr>
          <w:sz w:val="24"/>
          <w:szCs w:val="24"/>
        </w:rPr>
        <w:t xml:space="preserve"> has</w:t>
      </w:r>
      <w:r w:rsidR="00247231">
        <w:rPr>
          <w:sz w:val="24"/>
          <w:szCs w:val="24"/>
        </w:rPr>
        <w:t xml:space="preserve"> a privileged position in presidential </w:t>
      </w:r>
      <w:r w:rsidR="00C15659">
        <w:rPr>
          <w:sz w:val="24"/>
          <w:szCs w:val="24"/>
        </w:rPr>
        <w:t>staffing and security expertise, it exerts</w:t>
      </w:r>
      <w:r w:rsidR="00247231">
        <w:rPr>
          <w:sz w:val="24"/>
          <w:szCs w:val="24"/>
        </w:rPr>
        <w:t xml:space="preserve"> </w:t>
      </w:r>
      <w:r w:rsidR="00C15659">
        <w:rPr>
          <w:sz w:val="24"/>
          <w:szCs w:val="24"/>
        </w:rPr>
        <w:t>‘discourse dominance’,</w:t>
      </w:r>
      <w:r w:rsidR="00247231">
        <w:rPr>
          <w:sz w:val="24"/>
          <w:szCs w:val="24"/>
        </w:rPr>
        <w:t xml:space="preserve"> </w:t>
      </w:r>
      <w:r w:rsidR="003B584D">
        <w:rPr>
          <w:sz w:val="24"/>
          <w:szCs w:val="24"/>
        </w:rPr>
        <w:t>and</w:t>
      </w:r>
      <w:r w:rsidR="00C15659">
        <w:rPr>
          <w:sz w:val="24"/>
          <w:szCs w:val="24"/>
        </w:rPr>
        <w:t xml:space="preserve"> it is reinforced by</w:t>
      </w:r>
      <w:r w:rsidR="003B584D">
        <w:rPr>
          <w:sz w:val="24"/>
          <w:szCs w:val="24"/>
        </w:rPr>
        <w:t xml:space="preserve"> </w:t>
      </w:r>
      <w:r w:rsidR="00247231">
        <w:rPr>
          <w:sz w:val="24"/>
          <w:szCs w:val="24"/>
        </w:rPr>
        <w:t xml:space="preserve">the </w:t>
      </w:r>
      <w:r w:rsidR="003B584D">
        <w:rPr>
          <w:sz w:val="24"/>
          <w:szCs w:val="24"/>
        </w:rPr>
        <w:t xml:space="preserve">demands of allies. </w:t>
      </w:r>
      <w:r w:rsidR="00F15521">
        <w:rPr>
          <w:sz w:val="24"/>
          <w:szCs w:val="24"/>
        </w:rPr>
        <w:t xml:space="preserve"> </w:t>
      </w:r>
    </w:p>
    <w:p w:rsidR="00C15659" w:rsidRDefault="00C15659" w:rsidP="00DC5AD8">
      <w:pPr>
        <w:autoSpaceDE w:val="0"/>
        <w:autoSpaceDN w:val="0"/>
        <w:adjustRightInd w:val="0"/>
        <w:spacing w:after="0" w:line="480" w:lineRule="auto"/>
        <w:jc w:val="both"/>
        <w:rPr>
          <w:sz w:val="24"/>
          <w:szCs w:val="24"/>
        </w:rPr>
      </w:pPr>
    </w:p>
    <w:p w:rsidR="008C5466" w:rsidRDefault="00D90C75" w:rsidP="008C5466">
      <w:pPr>
        <w:spacing w:after="0" w:line="480" w:lineRule="auto"/>
        <w:ind w:firstLine="709"/>
        <w:jc w:val="both"/>
        <w:rPr>
          <w:sz w:val="24"/>
          <w:szCs w:val="24"/>
        </w:rPr>
      </w:pPr>
      <w:r w:rsidRPr="00D90C75">
        <w:rPr>
          <w:sz w:val="24"/>
          <w:szCs w:val="24"/>
        </w:rPr>
        <w:t>Trump’s volte-face</w:t>
      </w:r>
      <w:r w:rsidRPr="00D90C75">
        <w:rPr>
          <w:rStyle w:val="Emphasis"/>
          <w:sz w:val="24"/>
          <w:szCs w:val="24"/>
        </w:rPr>
        <w:t xml:space="preserve"> </w:t>
      </w:r>
      <w:r w:rsidRPr="00D90C75">
        <w:rPr>
          <w:sz w:val="24"/>
          <w:szCs w:val="24"/>
        </w:rPr>
        <w:t>is not the random shifting of a maverick. Rather, t</w:t>
      </w:r>
      <w:r w:rsidR="00B409A7" w:rsidRPr="00D90C75">
        <w:rPr>
          <w:sz w:val="24"/>
          <w:szCs w:val="24"/>
        </w:rPr>
        <w:t>he</w:t>
      </w:r>
      <w:r w:rsidR="00B409A7">
        <w:rPr>
          <w:sz w:val="24"/>
          <w:szCs w:val="24"/>
        </w:rPr>
        <w:t xml:space="preserve"> </w:t>
      </w:r>
      <w:r w:rsidR="008E3104">
        <w:rPr>
          <w:sz w:val="24"/>
          <w:szCs w:val="24"/>
        </w:rPr>
        <w:t>“blob”</w:t>
      </w:r>
      <w:r w:rsidR="00B409A7">
        <w:rPr>
          <w:sz w:val="24"/>
          <w:szCs w:val="24"/>
        </w:rPr>
        <w:t xml:space="preserve"> constrained</w:t>
      </w:r>
      <w:r>
        <w:rPr>
          <w:sz w:val="24"/>
          <w:szCs w:val="24"/>
        </w:rPr>
        <w:t xml:space="preserve"> him</w:t>
      </w:r>
      <w:r w:rsidR="00B409A7">
        <w:rPr>
          <w:sz w:val="24"/>
          <w:szCs w:val="24"/>
        </w:rPr>
        <w:t xml:space="preserve"> by both isolating him and dominating policymaking. </w:t>
      </w:r>
      <w:r w:rsidR="00595B9B">
        <w:rPr>
          <w:sz w:val="24"/>
          <w:szCs w:val="24"/>
        </w:rPr>
        <w:t>With</w:t>
      </w:r>
      <w:r w:rsidR="00C15659">
        <w:rPr>
          <w:sz w:val="24"/>
          <w:szCs w:val="24"/>
        </w:rPr>
        <w:t xml:space="preserve"> Trump </w:t>
      </w:r>
      <w:r w:rsidR="00C15659" w:rsidRPr="005E142B">
        <w:rPr>
          <w:sz w:val="24"/>
          <w:szCs w:val="24"/>
        </w:rPr>
        <w:t xml:space="preserve">elected, the </w:t>
      </w:r>
      <w:r w:rsidR="008E3104">
        <w:rPr>
          <w:sz w:val="24"/>
          <w:szCs w:val="24"/>
        </w:rPr>
        <w:t>“blob”</w:t>
      </w:r>
      <w:r w:rsidR="00C15659" w:rsidRPr="005E142B">
        <w:rPr>
          <w:sz w:val="24"/>
          <w:szCs w:val="24"/>
        </w:rPr>
        <w:t xml:space="preserve"> urged capable bureaucrats to boycott the administration. At the same time, they lobbied the president to uphold tradition.</w:t>
      </w:r>
      <w:r w:rsidR="00C15659" w:rsidRPr="005E142B">
        <w:rPr>
          <w:rStyle w:val="FootnoteReference"/>
          <w:sz w:val="24"/>
          <w:szCs w:val="24"/>
        </w:rPr>
        <w:footnoteReference w:id="180"/>
      </w:r>
      <w:r w:rsidR="00C15659" w:rsidRPr="005E142B">
        <w:rPr>
          <w:sz w:val="24"/>
          <w:szCs w:val="24"/>
        </w:rPr>
        <w:t xml:space="preserve"> </w:t>
      </w:r>
      <w:r w:rsidR="00B409A7" w:rsidRPr="005E142B">
        <w:rPr>
          <w:sz w:val="24"/>
          <w:szCs w:val="24"/>
        </w:rPr>
        <w:t xml:space="preserve">Trump suffered a staffing dilemma. To appoint experienced officials to key positions would install defenders of the </w:t>
      </w:r>
      <w:r w:rsidR="00B409A7" w:rsidRPr="005E142B">
        <w:rPr>
          <w:i/>
          <w:sz w:val="24"/>
          <w:szCs w:val="24"/>
        </w:rPr>
        <w:t>status quo</w:t>
      </w:r>
      <w:r w:rsidR="00B409A7">
        <w:rPr>
          <w:sz w:val="24"/>
          <w:szCs w:val="24"/>
        </w:rPr>
        <w:t xml:space="preserve">. Yet </w:t>
      </w:r>
      <w:r w:rsidR="00B409A7" w:rsidRPr="005E142B">
        <w:rPr>
          <w:sz w:val="24"/>
          <w:szCs w:val="24"/>
        </w:rPr>
        <w:t>to appoint untutored outsiders would raise risks of error, and to mix both groups would threaten coherence.</w:t>
      </w:r>
      <w:r w:rsidR="00B409A7" w:rsidRPr="005E142B">
        <w:rPr>
          <w:rStyle w:val="FootnoteReference"/>
          <w:sz w:val="24"/>
          <w:szCs w:val="24"/>
        </w:rPr>
        <w:footnoteReference w:id="181"/>
      </w:r>
      <w:r w:rsidR="00B409A7" w:rsidRPr="00B409A7">
        <w:rPr>
          <w:sz w:val="24"/>
          <w:szCs w:val="24"/>
        </w:rPr>
        <w:t xml:space="preserve"> </w:t>
      </w:r>
      <w:r w:rsidR="00B409A7" w:rsidRPr="005E142B">
        <w:rPr>
          <w:sz w:val="24"/>
          <w:szCs w:val="24"/>
        </w:rPr>
        <w:t xml:space="preserve">In forming his transition team, </w:t>
      </w:r>
      <w:r w:rsidR="00B409A7">
        <w:rPr>
          <w:sz w:val="24"/>
          <w:szCs w:val="24"/>
        </w:rPr>
        <w:t xml:space="preserve">Trump </w:t>
      </w:r>
      <w:r w:rsidR="00B409A7" w:rsidRPr="005E142B">
        <w:rPr>
          <w:sz w:val="24"/>
          <w:szCs w:val="24"/>
        </w:rPr>
        <w:t xml:space="preserve">leant heavily on ‘DC insiders’ that </w:t>
      </w:r>
      <w:r w:rsidR="00B409A7">
        <w:rPr>
          <w:sz w:val="24"/>
          <w:szCs w:val="24"/>
        </w:rPr>
        <w:t>he</w:t>
      </w:r>
      <w:r w:rsidR="00B409A7" w:rsidRPr="005E142B">
        <w:rPr>
          <w:sz w:val="24"/>
          <w:szCs w:val="24"/>
        </w:rPr>
        <w:t xml:space="preserve"> </w:t>
      </w:r>
      <w:r w:rsidR="008C5466">
        <w:rPr>
          <w:sz w:val="24"/>
          <w:szCs w:val="24"/>
        </w:rPr>
        <w:t xml:space="preserve">had </w:t>
      </w:r>
      <w:r w:rsidR="00B409A7" w:rsidRPr="005E142B">
        <w:rPr>
          <w:sz w:val="24"/>
          <w:szCs w:val="24"/>
        </w:rPr>
        <w:t xml:space="preserve">denounced, including former administration officials and corporate lobbyists. Trump reached into the ‘big </w:t>
      </w:r>
      <w:r w:rsidR="00B409A7" w:rsidRPr="005E142B">
        <w:rPr>
          <w:sz w:val="24"/>
          <w:szCs w:val="24"/>
        </w:rPr>
        <w:lastRenderedPageBreak/>
        <w:t>pool’ of his party for the ‘most highly qualified’ candidates</w:t>
      </w:r>
      <w:r w:rsidR="00B409A7">
        <w:rPr>
          <w:sz w:val="24"/>
          <w:szCs w:val="24"/>
        </w:rPr>
        <w:t>.</w:t>
      </w:r>
      <w:r w:rsidR="00B409A7" w:rsidRPr="005E142B">
        <w:rPr>
          <w:rStyle w:val="FootnoteReference"/>
          <w:sz w:val="24"/>
          <w:szCs w:val="24"/>
        </w:rPr>
        <w:footnoteReference w:id="182"/>
      </w:r>
      <w:r w:rsidR="00B409A7" w:rsidRPr="005E142B">
        <w:rPr>
          <w:sz w:val="24"/>
          <w:szCs w:val="24"/>
        </w:rPr>
        <w:t xml:space="preserve"> </w:t>
      </w:r>
      <w:r w:rsidR="008C5466">
        <w:rPr>
          <w:sz w:val="24"/>
          <w:szCs w:val="24"/>
        </w:rPr>
        <w:t xml:space="preserve">His </w:t>
      </w:r>
      <w:r w:rsidR="00B409A7" w:rsidRPr="005E142B">
        <w:rPr>
          <w:sz w:val="24"/>
          <w:szCs w:val="24"/>
        </w:rPr>
        <w:t xml:space="preserve">senior appointees were mostly ‘primacists’ who had the </w:t>
      </w:r>
      <w:r w:rsidR="008E3104">
        <w:rPr>
          <w:sz w:val="24"/>
          <w:szCs w:val="24"/>
        </w:rPr>
        <w:t>“blob”</w:t>
      </w:r>
      <w:r w:rsidR="00B409A7" w:rsidRPr="005E142B">
        <w:rPr>
          <w:sz w:val="24"/>
          <w:szCs w:val="24"/>
        </w:rPr>
        <w:t xml:space="preserve">s’ blessing. These included Secretary of </w:t>
      </w:r>
      <w:r w:rsidR="00B409A7">
        <w:rPr>
          <w:sz w:val="24"/>
          <w:szCs w:val="24"/>
        </w:rPr>
        <w:t>Defense</w:t>
      </w:r>
      <w:r w:rsidR="00B409A7" w:rsidRPr="005E142B">
        <w:rPr>
          <w:sz w:val="24"/>
          <w:szCs w:val="24"/>
        </w:rPr>
        <w:t xml:space="preserve"> Jim Mattis, a retired Marine General and former Hoover Institution Fellow, believer in primacy, and who with Vice President Pence assured NATO of America’s continued support.</w:t>
      </w:r>
      <w:r w:rsidR="00B409A7" w:rsidRPr="005E142B">
        <w:rPr>
          <w:rStyle w:val="FootnoteReference"/>
          <w:sz w:val="24"/>
          <w:szCs w:val="24"/>
        </w:rPr>
        <w:footnoteReference w:id="183"/>
      </w:r>
      <w:r w:rsidR="00B409A7" w:rsidRPr="005E142B">
        <w:rPr>
          <w:sz w:val="24"/>
          <w:szCs w:val="24"/>
        </w:rPr>
        <w:t xml:space="preserve"> Trump appointed CIA chief Mike Pompeo, with hawkish stances against nuclear proliferation and Russian adventurism, and support for arms sales to Israel and Taiwan.</w:t>
      </w:r>
      <w:r w:rsidR="00B409A7" w:rsidRPr="005E142B">
        <w:rPr>
          <w:rStyle w:val="FootnoteReference"/>
          <w:sz w:val="24"/>
          <w:szCs w:val="24"/>
        </w:rPr>
        <w:footnoteReference w:id="184"/>
      </w:r>
      <w:r w:rsidR="00B409A7" w:rsidRPr="005E142B">
        <w:rPr>
          <w:sz w:val="24"/>
          <w:szCs w:val="24"/>
        </w:rPr>
        <w:t xml:space="preserve"> Secretary of State Rex Tillerson, a former oil tycoon endorsed by Robert Gates, vowed to assert American primacy against China’s expansion and to oppose nuclear proliferation.</w:t>
      </w:r>
      <w:r w:rsidR="00B409A7" w:rsidRPr="005E142B">
        <w:rPr>
          <w:rStyle w:val="FootnoteReference"/>
          <w:sz w:val="24"/>
          <w:szCs w:val="24"/>
        </w:rPr>
        <w:footnoteReference w:id="185"/>
      </w:r>
      <w:r w:rsidR="00B409A7" w:rsidRPr="005E142B">
        <w:rPr>
          <w:sz w:val="24"/>
          <w:szCs w:val="24"/>
        </w:rPr>
        <w:t xml:space="preserve"> Trump appointed as National Security Advisor General H.R. McMaster</w:t>
      </w:r>
      <w:r w:rsidR="008C5466">
        <w:rPr>
          <w:sz w:val="24"/>
          <w:szCs w:val="24"/>
        </w:rPr>
        <w:t xml:space="preserve">, </w:t>
      </w:r>
      <w:r w:rsidR="00B409A7" w:rsidRPr="005E142B">
        <w:rPr>
          <w:sz w:val="24"/>
          <w:szCs w:val="24"/>
        </w:rPr>
        <w:t xml:space="preserve">a protégé of </w:t>
      </w:r>
      <w:r w:rsidR="008C5466">
        <w:rPr>
          <w:sz w:val="24"/>
          <w:szCs w:val="24"/>
        </w:rPr>
        <w:t>the orthodox</w:t>
      </w:r>
      <w:r w:rsidR="00B409A7" w:rsidRPr="005E142B">
        <w:rPr>
          <w:sz w:val="24"/>
          <w:szCs w:val="24"/>
        </w:rPr>
        <w:t xml:space="preserve"> General David Petraeus, who believes in the indispensability of America’s security provision, and that retrenchment will create dangerous vacuums.</w:t>
      </w:r>
      <w:r w:rsidR="00B409A7" w:rsidRPr="005E142B">
        <w:rPr>
          <w:rStyle w:val="FootnoteReference"/>
          <w:sz w:val="24"/>
          <w:szCs w:val="24"/>
        </w:rPr>
        <w:footnoteReference w:id="186"/>
      </w:r>
      <w:r w:rsidR="00B409A7" w:rsidRPr="005E142B">
        <w:rPr>
          <w:sz w:val="24"/>
          <w:szCs w:val="24"/>
        </w:rPr>
        <w:t xml:space="preserve"> He appointed former senator, lobbyist and diplomat Dan Coats as Director of National Intelligence. Trump appointed Putin critics to every major national security post, </w:t>
      </w:r>
      <w:r w:rsidR="00492FAB">
        <w:rPr>
          <w:sz w:val="24"/>
          <w:szCs w:val="24"/>
        </w:rPr>
        <w:t xml:space="preserve">significant given that Russia is </w:t>
      </w:r>
      <w:r w:rsidR="00B409A7" w:rsidRPr="005E142B">
        <w:rPr>
          <w:sz w:val="24"/>
          <w:szCs w:val="24"/>
        </w:rPr>
        <w:t xml:space="preserve">the focal point of criticisms that his diplomacy </w:t>
      </w:r>
      <w:r w:rsidR="00492FAB">
        <w:rPr>
          <w:sz w:val="24"/>
          <w:szCs w:val="24"/>
        </w:rPr>
        <w:t xml:space="preserve">is </w:t>
      </w:r>
      <w:r w:rsidR="00B409A7" w:rsidRPr="005E142B">
        <w:rPr>
          <w:sz w:val="24"/>
          <w:szCs w:val="24"/>
        </w:rPr>
        <w:t>compromised.</w:t>
      </w:r>
      <w:r w:rsidR="00B409A7" w:rsidRPr="005E142B">
        <w:rPr>
          <w:rStyle w:val="FootnoteReference"/>
          <w:sz w:val="24"/>
          <w:szCs w:val="24"/>
        </w:rPr>
        <w:footnoteReference w:id="187"/>
      </w:r>
      <w:r w:rsidR="00B409A7" w:rsidRPr="005E142B">
        <w:rPr>
          <w:sz w:val="24"/>
          <w:szCs w:val="24"/>
        </w:rPr>
        <w:t xml:space="preserve"> These </w:t>
      </w:r>
      <w:r w:rsidR="00492FAB">
        <w:rPr>
          <w:sz w:val="24"/>
          <w:szCs w:val="24"/>
        </w:rPr>
        <w:t>included</w:t>
      </w:r>
      <w:r w:rsidR="00B409A7" w:rsidRPr="005E142B">
        <w:rPr>
          <w:sz w:val="24"/>
          <w:szCs w:val="24"/>
        </w:rPr>
        <w:t xml:space="preserve"> former presidential candidate, governor and ambassador Jon Huntsman as Ambassador to Russia, and Fiona Hill, a Brookings Kremlin analyst sceptical of the possibility of a Russia-US accommodation, as White House senior director for Europe and Russia.</w:t>
      </w:r>
      <w:r w:rsidR="00B409A7" w:rsidRPr="005E142B">
        <w:rPr>
          <w:rStyle w:val="FootnoteReference"/>
          <w:sz w:val="24"/>
          <w:szCs w:val="24"/>
        </w:rPr>
        <w:footnoteReference w:id="188"/>
      </w:r>
      <w:r w:rsidR="00B409A7" w:rsidRPr="005E142B">
        <w:rPr>
          <w:sz w:val="24"/>
          <w:szCs w:val="24"/>
        </w:rPr>
        <w:t xml:space="preserve"> </w:t>
      </w:r>
    </w:p>
    <w:p w:rsidR="00B409A7" w:rsidRDefault="00F16A68" w:rsidP="008C5466">
      <w:pPr>
        <w:spacing w:after="0" w:line="480" w:lineRule="auto"/>
        <w:ind w:firstLine="709"/>
        <w:jc w:val="both"/>
        <w:rPr>
          <w:sz w:val="24"/>
          <w:szCs w:val="24"/>
        </w:rPr>
      </w:pPr>
      <w:r>
        <w:rPr>
          <w:sz w:val="24"/>
          <w:szCs w:val="24"/>
        </w:rPr>
        <w:t xml:space="preserve"> </w:t>
      </w:r>
    </w:p>
    <w:p w:rsidR="00695705" w:rsidRDefault="00670327" w:rsidP="0034173D">
      <w:pPr>
        <w:autoSpaceDE w:val="0"/>
        <w:autoSpaceDN w:val="0"/>
        <w:adjustRightInd w:val="0"/>
        <w:spacing w:after="0" w:line="480" w:lineRule="auto"/>
        <w:ind w:firstLine="709"/>
        <w:jc w:val="both"/>
        <w:rPr>
          <w:sz w:val="24"/>
          <w:szCs w:val="24"/>
        </w:rPr>
      </w:pPr>
      <w:r>
        <w:rPr>
          <w:sz w:val="24"/>
          <w:szCs w:val="24"/>
        </w:rPr>
        <w:lastRenderedPageBreak/>
        <w:t xml:space="preserve">Trump’s staffing problems underscore a difficulty in making grand strategic change. Hiring well-qualified implementers of such an overhaul is difficult, given the tradition in which most policymakers grow. </w:t>
      </w:r>
      <w:r w:rsidR="004305A3" w:rsidRPr="005E142B">
        <w:rPr>
          <w:sz w:val="24"/>
          <w:szCs w:val="24"/>
        </w:rPr>
        <w:t>Partly</w:t>
      </w:r>
      <w:r w:rsidR="00434893" w:rsidRPr="005E142B">
        <w:rPr>
          <w:sz w:val="24"/>
          <w:szCs w:val="24"/>
        </w:rPr>
        <w:t xml:space="preserve"> because </w:t>
      </w:r>
      <w:r w:rsidR="007B6107" w:rsidRPr="005E142B">
        <w:rPr>
          <w:sz w:val="24"/>
          <w:szCs w:val="24"/>
        </w:rPr>
        <w:t>of the mobilisation</w:t>
      </w:r>
      <w:r w:rsidR="00434893" w:rsidRPr="005E142B">
        <w:rPr>
          <w:sz w:val="24"/>
          <w:szCs w:val="24"/>
        </w:rPr>
        <w:t xml:space="preserve"> </w:t>
      </w:r>
      <w:r w:rsidR="008C5466">
        <w:rPr>
          <w:sz w:val="24"/>
          <w:szCs w:val="24"/>
        </w:rPr>
        <w:t xml:space="preserve">against the </w:t>
      </w:r>
      <w:r w:rsidR="007B6107" w:rsidRPr="005E142B">
        <w:rPr>
          <w:sz w:val="24"/>
          <w:szCs w:val="24"/>
        </w:rPr>
        <w:t xml:space="preserve">new president, the </w:t>
      </w:r>
      <w:r w:rsidR="00434893" w:rsidRPr="005E142B">
        <w:rPr>
          <w:sz w:val="24"/>
          <w:szCs w:val="24"/>
        </w:rPr>
        <w:t>administration remain</w:t>
      </w:r>
      <w:r w:rsidR="006D3A11" w:rsidRPr="005E142B">
        <w:rPr>
          <w:sz w:val="24"/>
          <w:szCs w:val="24"/>
        </w:rPr>
        <w:t>ed significantly understaffed</w:t>
      </w:r>
      <w:r w:rsidR="00C14961" w:rsidRPr="005E142B">
        <w:rPr>
          <w:sz w:val="24"/>
          <w:szCs w:val="24"/>
        </w:rPr>
        <w:t xml:space="preserve">. </w:t>
      </w:r>
      <w:r>
        <w:rPr>
          <w:sz w:val="24"/>
          <w:szCs w:val="24"/>
        </w:rPr>
        <w:t xml:space="preserve">The failure to appoint many subcabinet posts  meant that many senior advisors are career civil servants of </w:t>
      </w:r>
      <w:r w:rsidR="00695705">
        <w:rPr>
          <w:sz w:val="24"/>
          <w:szCs w:val="24"/>
        </w:rPr>
        <w:t xml:space="preserve">what Trump denounced as the </w:t>
      </w:r>
      <w:r w:rsidR="00C83010">
        <w:rPr>
          <w:sz w:val="24"/>
          <w:szCs w:val="24"/>
        </w:rPr>
        <w:t>“</w:t>
      </w:r>
      <w:r w:rsidR="00695705">
        <w:rPr>
          <w:sz w:val="24"/>
          <w:szCs w:val="24"/>
        </w:rPr>
        <w:t>permanent government</w:t>
      </w:r>
      <w:r>
        <w:rPr>
          <w:sz w:val="24"/>
          <w:szCs w:val="24"/>
        </w:rPr>
        <w:t>.</w:t>
      </w:r>
      <w:r w:rsidR="00C83010">
        <w:rPr>
          <w:sz w:val="24"/>
          <w:szCs w:val="24"/>
        </w:rPr>
        <w:t xml:space="preserve">” </w:t>
      </w:r>
      <w:r w:rsidR="00695705">
        <w:rPr>
          <w:sz w:val="24"/>
          <w:szCs w:val="24"/>
        </w:rPr>
        <w:t>Valuable expertise also explains the retention</w:t>
      </w:r>
      <w:r w:rsidR="00802D7E" w:rsidRPr="005E142B">
        <w:rPr>
          <w:sz w:val="24"/>
          <w:szCs w:val="24"/>
        </w:rPr>
        <w:t xml:space="preserve"> of holdovers from the </w:t>
      </w:r>
      <w:r w:rsidR="009A20DC" w:rsidRPr="005E142B">
        <w:rPr>
          <w:sz w:val="24"/>
          <w:szCs w:val="24"/>
        </w:rPr>
        <w:t xml:space="preserve">Obama administration, such as diplomat Brett McGurk </w:t>
      </w:r>
      <w:r w:rsidR="004305A3" w:rsidRPr="005E142B">
        <w:rPr>
          <w:sz w:val="24"/>
          <w:szCs w:val="24"/>
        </w:rPr>
        <w:t xml:space="preserve">due to </w:t>
      </w:r>
      <w:r w:rsidR="00492FAB">
        <w:rPr>
          <w:sz w:val="24"/>
          <w:szCs w:val="24"/>
        </w:rPr>
        <w:t>his “</w:t>
      </w:r>
      <w:r w:rsidR="009A20DC" w:rsidRPr="005E142B">
        <w:rPr>
          <w:sz w:val="24"/>
          <w:szCs w:val="24"/>
        </w:rPr>
        <w:t>almost impossible-to-replicate, case-specific knowledge</w:t>
      </w:r>
      <w:r w:rsidR="006D3A11" w:rsidRPr="005E142B">
        <w:rPr>
          <w:sz w:val="24"/>
          <w:szCs w:val="24"/>
        </w:rPr>
        <w:t>.</w:t>
      </w:r>
      <w:r w:rsidR="00492FAB">
        <w:rPr>
          <w:sz w:val="24"/>
          <w:szCs w:val="24"/>
        </w:rPr>
        <w:t>”</w:t>
      </w:r>
      <w:r w:rsidR="004266FB" w:rsidRPr="005E142B">
        <w:rPr>
          <w:rStyle w:val="FootnoteReference"/>
          <w:sz w:val="24"/>
          <w:szCs w:val="24"/>
        </w:rPr>
        <w:footnoteReference w:id="189"/>
      </w:r>
      <w:r w:rsidR="006D3A11" w:rsidRPr="005E142B">
        <w:rPr>
          <w:sz w:val="24"/>
          <w:szCs w:val="24"/>
        </w:rPr>
        <w:t xml:space="preserve"> </w:t>
      </w:r>
      <w:r w:rsidR="008C1248" w:rsidRPr="005E142B">
        <w:rPr>
          <w:sz w:val="24"/>
          <w:szCs w:val="24"/>
        </w:rPr>
        <w:t xml:space="preserve">Trump </w:t>
      </w:r>
      <w:r w:rsidR="004266FB" w:rsidRPr="005E142B">
        <w:rPr>
          <w:sz w:val="24"/>
          <w:szCs w:val="24"/>
        </w:rPr>
        <w:t>appointed</w:t>
      </w:r>
      <w:r w:rsidR="00CC3A24" w:rsidRPr="005E142B">
        <w:rPr>
          <w:sz w:val="24"/>
          <w:szCs w:val="24"/>
        </w:rPr>
        <w:t xml:space="preserve"> some</w:t>
      </w:r>
      <w:r w:rsidR="00EC1E93" w:rsidRPr="005E142B">
        <w:rPr>
          <w:sz w:val="24"/>
          <w:szCs w:val="24"/>
        </w:rPr>
        <w:t xml:space="preserve"> inexperienced</w:t>
      </w:r>
      <w:r w:rsidR="00492FAB">
        <w:rPr>
          <w:sz w:val="24"/>
          <w:szCs w:val="24"/>
        </w:rPr>
        <w:t xml:space="preserve"> “outsiders,”</w:t>
      </w:r>
      <w:r w:rsidR="008C1248" w:rsidRPr="005E142B">
        <w:rPr>
          <w:sz w:val="24"/>
          <w:szCs w:val="24"/>
        </w:rPr>
        <w:t xml:space="preserve"> his son-in-law </w:t>
      </w:r>
      <w:r w:rsidR="00CC3A24" w:rsidRPr="005E142B">
        <w:rPr>
          <w:sz w:val="24"/>
          <w:szCs w:val="24"/>
        </w:rPr>
        <w:t>Jared Kushner</w:t>
      </w:r>
      <w:r w:rsidR="00695705">
        <w:rPr>
          <w:sz w:val="24"/>
          <w:szCs w:val="24"/>
        </w:rPr>
        <w:t>, the National Security Advisor Mike Flynn,</w:t>
      </w:r>
      <w:r w:rsidR="00CC3A24" w:rsidRPr="005E142B">
        <w:rPr>
          <w:sz w:val="24"/>
          <w:szCs w:val="24"/>
        </w:rPr>
        <w:t xml:space="preserve"> and </w:t>
      </w:r>
      <w:r w:rsidR="00C83010">
        <w:rPr>
          <w:sz w:val="24"/>
          <w:szCs w:val="24"/>
        </w:rPr>
        <w:t xml:space="preserve">the </w:t>
      </w:r>
      <w:r w:rsidR="00695705">
        <w:rPr>
          <w:sz w:val="24"/>
          <w:szCs w:val="24"/>
        </w:rPr>
        <w:t xml:space="preserve">‘anti-globalist’ </w:t>
      </w:r>
      <w:r w:rsidR="00CC3A24" w:rsidRPr="005E142B">
        <w:rPr>
          <w:sz w:val="24"/>
          <w:szCs w:val="24"/>
        </w:rPr>
        <w:t>strategist Steve Bannon. But in the White House</w:t>
      </w:r>
      <w:r w:rsidR="00376315" w:rsidRPr="005E142B">
        <w:rPr>
          <w:sz w:val="24"/>
          <w:szCs w:val="24"/>
        </w:rPr>
        <w:t xml:space="preserve">, a </w:t>
      </w:r>
      <w:r w:rsidR="00F36F12" w:rsidRPr="005E142B">
        <w:rPr>
          <w:sz w:val="24"/>
          <w:szCs w:val="24"/>
        </w:rPr>
        <w:t>power centre emerged</w:t>
      </w:r>
      <w:r w:rsidR="00CC3A24" w:rsidRPr="005E142B">
        <w:rPr>
          <w:sz w:val="24"/>
          <w:szCs w:val="24"/>
        </w:rPr>
        <w:t xml:space="preserve"> </w:t>
      </w:r>
      <w:r w:rsidR="00F36F12" w:rsidRPr="005E142B">
        <w:rPr>
          <w:sz w:val="24"/>
          <w:szCs w:val="24"/>
        </w:rPr>
        <w:t xml:space="preserve">of </w:t>
      </w:r>
      <w:r w:rsidR="00CC3A24" w:rsidRPr="005E142B">
        <w:rPr>
          <w:sz w:val="24"/>
          <w:szCs w:val="24"/>
        </w:rPr>
        <w:t xml:space="preserve">traditionalist military figures </w:t>
      </w:r>
      <w:r w:rsidR="000B2275" w:rsidRPr="005E142B">
        <w:rPr>
          <w:sz w:val="24"/>
          <w:szCs w:val="24"/>
        </w:rPr>
        <w:t>with</w:t>
      </w:r>
      <w:r w:rsidR="00CC3A24" w:rsidRPr="005E142B">
        <w:rPr>
          <w:sz w:val="24"/>
          <w:szCs w:val="24"/>
        </w:rPr>
        <w:t xml:space="preserve"> a commitment to primacy</w:t>
      </w:r>
      <w:r w:rsidR="00316248" w:rsidRPr="005E142B">
        <w:rPr>
          <w:sz w:val="24"/>
          <w:szCs w:val="24"/>
        </w:rPr>
        <w:t>, who exert</w:t>
      </w:r>
      <w:r w:rsidR="00BA04F2" w:rsidRPr="005E142B">
        <w:rPr>
          <w:sz w:val="24"/>
          <w:szCs w:val="24"/>
        </w:rPr>
        <w:t>ed</w:t>
      </w:r>
      <w:r w:rsidR="00316248" w:rsidRPr="005E142B">
        <w:rPr>
          <w:sz w:val="24"/>
          <w:szCs w:val="24"/>
        </w:rPr>
        <w:t xml:space="preserve"> restraining influence</w:t>
      </w:r>
      <w:r w:rsidR="00CC3A24" w:rsidRPr="005E142B">
        <w:rPr>
          <w:sz w:val="24"/>
          <w:szCs w:val="24"/>
        </w:rPr>
        <w:t>.</w:t>
      </w:r>
      <w:r w:rsidR="00CC3A24" w:rsidRPr="005E142B">
        <w:rPr>
          <w:rStyle w:val="FootnoteReference"/>
          <w:sz w:val="24"/>
          <w:szCs w:val="24"/>
        </w:rPr>
        <w:footnoteReference w:id="190"/>
      </w:r>
      <w:r w:rsidR="00694026" w:rsidRPr="005E142B">
        <w:rPr>
          <w:sz w:val="24"/>
          <w:szCs w:val="24"/>
        </w:rPr>
        <w:t xml:space="preserve"> </w:t>
      </w:r>
      <w:r w:rsidR="00376315" w:rsidRPr="005E142B">
        <w:rPr>
          <w:sz w:val="24"/>
          <w:szCs w:val="24"/>
        </w:rPr>
        <w:t xml:space="preserve">Significantly, </w:t>
      </w:r>
      <w:r w:rsidR="00E34607" w:rsidRPr="005E142B">
        <w:rPr>
          <w:sz w:val="24"/>
          <w:szCs w:val="24"/>
        </w:rPr>
        <w:t xml:space="preserve">Trump stripped </w:t>
      </w:r>
      <w:r w:rsidR="00376315" w:rsidRPr="005E142B">
        <w:rPr>
          <w:sz w:val="24"/>
          <w:szCs w:val="24"/>
        </w:rPr>
        <w:t>Bannon of his role on the National Security Council</w:t>
      </w:r>
      <w:r w:rsidR="00E34607" w:rsidRPr="005E142B">
        <w:rPr>
          <w:sz w:val="24"/>
          <w:szCs w:val="24"/>
        </w:rPr>
        <w:t>,</w:t>
      </w:r>
      <w:r w:rsidR="00C83010">
        <w:rPr>
          <w:sz w:val="24"/>
          <w:szCs w:val="24"/>
        </w:rPr>
        <w:t xml:space="preserve"> </w:t>
      </w:r>
      <w:r w:rsidR="00E34607" w:rsidRPr="005E142B">
        <w:rPr>
          <w:sz w:val="24"/>
          <w:szCs w:val="24"/>
        </w:rPr>
        <w:t>restored the traditional roles of the chairman of the Joint Chiefs of Staff and the Director of National Intelligence</w:t>
      </w:r>
      <w:r w:rsidR="00C83010">
        <w:rPr>
          <w:sz w:val="24"/>
          <w:szCs w:val="24"/>
        </w:rPr>
        <w:t>, and Flynn was forced to resign</w:t>
      </w:r>
      <w:r w:rsidR="00E34607" w:rsidRPr="005E142B">
        <w:rPr>
          <w:sz w:val="24"/>
          <w:szCs w:val="24"/>
        </w:rPr>
        <w:t>.</w:t>
      </w:r>
      <w:r w:rsidR="00DE4061" w:rsidRPr="005E142B">
        <w:rPr>
          <w:rStyle w:val="FootnoteReference"/>
          <w:sz w:val="24"/>
          <w:szCs w:val="24"/>
        </w:rPr>
        <w:footnoteReference w:id="191"/>
      </w:r>
      <w:r w:rsidR="00376315" w:rsidRPr="005E142B">
        <w:rPr>
          <w:sz w:val="24"/>
          <w:szCs w:val="24"/>
        </w:rPr>
        <w:t xml:space="preserve"> </w:t>
      </w:r>
    </w:p>
    <w:p w:rsidR="00695705" w:rsidRDefault="00695705" w:rsidP="0034173D">
      <w:pPr>
        <w:autoSpaceDE w:val="0"/>
        <w:autoSpaceDN w:val="0"/>
        <w:adjustRightInd w:val="0"/>
        <w:spacing w:after="0" w:line="480" w:lineRule="auto"/>
        <w:ind w:firstLine="709"/>
        <w:jc w:val="both"/>
        <w:rPr>
          <w:sz w:val="24"/>
          <w:szCs w:val="24"/>
        </w:rPr>
      </w:pPr>
    </w:p>
    <w:p w:rsidR="00694026" w:rsidRDefault="00492FAB" w:rsidP="0034173D">
      <w:pPr>
        <w:autoSpaceDE w:val="0"/>
        <w:autoSpaceDN w:val="0"/>
        <w:adjustRightInd w:val="0"/>
        <w:spacing w:after="0" w:line="480" w:lineRule="auto"/>
        <w:ind w:firstLine="709"/>
        <w:jc w:val="both"/>
        <w:rPr>
          <w:sz w:val="24"/>
          <w:szCs w:val="24"/>
        </w:rPr>
      </w:pPr>
      <w:r>
        <w:rPr>
          <w:sz w:val="24"/>
          <w:szCs w:val="24"/>
        </w:rPr>
        <w:t>With the “anti-globalists”</w:t>
      </w:r>
      <w:r w:rsidR="0034173D">
        <w:rPr>
          <w:sz w:val="24"/>
          <w:szCs w:val="24"/>
        </w:rPr>
        <w:t xml:space="preserve"> side-lined, an intensive and coordinated briefing on 20 July 2017 by the traditionalists Pence, Mattis and Tillerson influenced Trump, </w:t>
      </w:r>
      <w:r w:rsidR="00695705">
        <w:rPr>
          <w:sz w:val="24"/>
          <w:szCs w:val="24"/>
        </w:rPr>
        <w:t>“</w:t>
      </w:r>
      <w:r w:rsidR="0034173D">
        <w:rPr>
          <w:sz w:val="24"/>
          <w:szCs w:val="24"/>
        </w:rPr>
        <w:t>explaining the critical importance of forward worldwide deployments</w:t>
      </w:r>
      <w:r w:rsidR="00695705">
        <w:rPr>
          <w:sz w:val="24"/>
          <w:szCs w:val="24"/>
        </w:rPr>
        <w:t>”</w:t>
      </w:r>
      <w:r w:rsidR="0034173D">
        <w:rPr>
          <w:sz w:val="24"/>
          <w:szCs w:val="24"/>
        </w:rPr>
        <w:t xml:space="preserve"> and dangers of retrenchment, tailoring the “Open Door” logic to Trump’s background, the value of “military, intellige</w:t>
      </w:r>
      <w:r>
        <w:rPr>
          <w:sz w:val="24"/>
          <w:szCs w:val="24"/>
        </w:rPr>
        <w:t>nce officers and diplomats” in “</w:t>
      </w:r>
      <w:r w:rsidR="0034173D">
        <w:rPr>
          <w:sz w:val="24"/>
          <w:szCs w:val="24"/>
        </w:rPr>
        <w:t>making the world safe for American businesses.”</w:t>
      </w:r>
      <w:r w:rsidR="0034173D">
        <w:rPr>
          <w:rStyle w:val="FootnoteReference"/>
          <w:sz w:val="24"/>
          <w:szCs w:val="24"/>
        </w:rPr>
        <w:footnoteReference w:id="192"/>
      </w:r>
      <w:r w:rsidR="0034173D">
        <w:rPr>
          <w:sz w:val="24"/>
          <w:szCs w:val="24"/>
        </w:rPr>
        <w:t xml:space="preserve"> </w:t>
      </w:r>
      <w:r w:rsidR="003540D6" w:rsidRPr="005E142B">
        <w:rPr>
          <w:sz w:val="24"/>
          <w:szCs w:val="24"/>
        </w:rPr>
        <w:t>In his inner convictions, Trump does not have to</w:t>
      </w:r>
      <w:r w:rsidR="005A54DC" w:rsidRPr="005E142B">
        <w:rPr>
          <w:sz w:val="24"/>
          <w:szCs w:val="24"/>
        </w:rPr>
        <w:t xml:space="preserve"> convert to primacy for primacy to persist. </w:t>
      </w:r>
      <w:r w:rsidR="003540D6" w:rsidRPr="005E142B">
        <w:rPr>
          <w:sz w:val="24"/>
          <w:szCs w:val="24"/>
        </w:rPr>
        <w:t>O</w:t>
      </w:r>
      <w:r w:rsidR="005A54DC" w:rsidRPr="005E142B">
        <w:rPr>
          <w:sz w:val="24"/>
          <w:szCs w:val="24"/>
        </w:rPr>
        <w:t>n major questions</w:t>
      </w:r>
      <w:r w:rsidR="003540D6" w:rsidRPr="005E142B">
        <w:rPr>
          <w:sz w:val="24"/>
          <w:szCs w:val="24"/>
        </w:rPr>
        <w:t>, he</w:t>
      </w:r>
      <w:r w:rsidR="0034173D">
        <w:rPr>
          <w:sz w:val="24"/>
          <w:szCs w:val="24"/>
        </w:rPr>
        <w:t xml:space="preserve"> felt</w:t>
      </w:r>
      <w:r w:rsidR="005A54DC" w:rsidRPr="005E142B">
        <w:rPr>
          <w:sz w:val="24"/>
          <w:szCs w:val="24"/>
        </w:rPr>
        <w:t xml:space="preserve"> </w:t>
      </w:r>
      <w:r w:rsidR="005A54DC" w:rsidRPr="005E142B">
        <w:rPr>
          <w:sz w:val="24"/>
          <w:szCs w:val="24"/>
        </w:rPr>
        <w:lastRenderedPageBreak/>
        <w:t>its constraints</w:t>
      </w:r>
      <w:r w:rsidR="0034173D">
        <w:rPr>
          <w:sz w:val="24"/>
          <w:szCs w:val="24"/>
        </w:rPr>
        <w:t xml:space="preserve">, even when watching television as he frequently did. </w:t>
      </w:r>
      <w:r w:rsidR="0034173D" w:rsidRPr="005E142B">
        <w:rPr>
          <w:sz w:val="24"/>
          <w:szCs w:val="24"/>
        </w:rPr>
        <w:t>As Daniel Drezner suggested, ‘the more mainstream foreign policy advisers are better at being on television.’</w:t>
      </w:r>
      <w:r w:rsidR="0034173D" w:rsidRPr="005E142B">
        <w:rPr>
          <w:rStyle w:val="FootnoteReference"/>
          <w:sz w:val="24"/>
          <w:szCs w:val="24"/>
        </w:rPr>
        <w:footnoteReference w:id="193"/>
      </w:r>
    </w:p>
    <w:p w:rsidR="00571768" w:rsidRPr="005E142B" w:rsidRDefault="00571768" w:rsidP="005E142B">
      <w:pPr>
        <w:spacing w:after="0" w:line="480" w:lineRule="auto"/>
        <w:ind w:firstLine="709"/>
        <w:jc w:val="both"/>
        <w:rPr>
          <w:sz w:val="24"/>
          <w:szCs w:val="24"/>
        </w:rPr>
      </w:pPr>
    </w:p>
    <w:p w:rsidR="000132AA" w:rsidRPr="005E142B" w:rsidRDefault="00935F9D" w:rsidP="005E142B">
      <w:pPr>
        <w:autoSpaceDE w:val="0"/>
        <w:autoSpaceDN w:val="0"/>
        <w:adjustRightInd w:val="0"/>
        <w:spacing w:after="0" w:line="480" w:lineRule="auto"/>
        <w:ind w:firstLine="709"/>
        <w:jc w:val="both"/>
        <w:rPr>
          <w:sz w:val="24"/>
          <w:szCs w:val="24"/>
        </w:rPr>
      </w:pPr>
      <w:r w:rsidRPr="005E142B">
        <w:rPr>
          <w:sz w:val="24"/>
          <w:szCs w:val="24"/>
        </w:rPr>
        <w:t xml:space="preserve">The </w:t>
      </w:r>
      <w:r w:rsidR="008E3104">
        <w:rPr>
          <w:sz w:val="24"/>
          <w:szCs w:val="24"/>
        </w:rPr>
        <w:t>“blob”</w:t>
      </w:r>
      <w:r w:rsidRPr="005E142B">
        <w:rPr>
          <w:sz w:val="24"/>
          <w:szCs w:val="24"/>
        </w:rPr>
        <w:t xml:space="preserve"> </w:t>
      </w:r>
      <w:r w:rsidR="00BA04F2" w:rsidRPr="005E142B">
        <w:rPr>
          <w:sz w:val="24"/>
          <w:szCs w:val="24"/>
        </w:rPr>
        <w:t>enjoys</w:t>
      </w:r>
      <w:r w:rsidRPr="005E142B">
        <w:rPr>
          <w:sz w:val="24"/>
          <w:szCs w:val="24"/>
        </w:rPr>
        <w:t xml:space="preserve"> a number of advantages. As well as </w:t>
      </w:r>
      <w:r w:rsidR="0017016B" w:rsidRPr="005E142B">
        <w:rPr>
          <w:sz w:val="24"/>
          <w:szCs w:val="24"/>
        </w:rPr>
        <w:t>influence</w:t>
      </w:r>
      <w:r w:rsidR="00AC2AFF" w:rsidRPr="005E142B">
        <w:rPr>
          <w:sz w:val="24"/>
          <w:szCs w:val="24"/>
        </w:rPr>
        <w:t xml:space="preserve"> within</w:t>
      </w:r>
      <w:r w:rsidRPr="005E142B">
        <w:rPr>
          <w:sz w:val="24"/>
          <w:szCs w:val="24"/>
        </w:rPr>
        <w:t xml:space="preserve"> Trump’s </w:t>
      </w:r>
      <w:r w:rsidR="00BA04F2" w:rsidRPr="005E142B">
        <w:rPr>
          <w:sz w:val="24"/>
          <w:szCs w:val="24"/>
        </w:rPr>
        <w:t>bureaucracy</w:t>
      </w:r>
      <w:r w:rsidRPr="005E142B">
        <w:rPr>
          <w:sz w:val="24"/>
          <w:szCs w:val="24"/>
        </w:rPr>
        <w:t xml:space="preserve">, it </w:t>
      </w:r>
      <w:r w:rsidR="00F737E5" w:rsidRPr="005E142B">
        <w:rPr>
          <w:sz w:val="24"/>
          <w:szCs w:val="24"/>
        </w:rPr>
        <w:t>retains ‘discourse dominance</w:t>
      </w:r>
      <w:r w:rsidRPr="005E142B">
        <w:rPr>
          <w:sz w:val="24"/>
          <w:szCs w:val="24"/>
        </w:rPr>
        <w:t>.</w:t>
      </w:r>
      <w:r w:rsidR="00F737E5" w:rsidRPr="005E142B">
        <w:rPr>
          <w:sz w:val="24"/>
          <w:szCs w:val="24"/>
        </w:rPr>
        <w:t>’</w:t>
      </w:r>
      <w:r w:rsidRPr="005E142B">
        <w:rPr>
          <w:sz w:val="24"/>
          <w:szCs w:val="24"/>
        </w:rPr>
        <w:t xml:space="preserve"> It </w:t>
      </w:r>
      <w:r w:rsidR="00C72902">
        <w:rPr>
          <w:sz w:val="24"/>
          <w:szCs w:val="24"/>
        </w:rPr>
        <w:t xml:space="preserve">can </w:t>
      </w:r>
      <w:r w:rsidR="00DF1A0C" w:rsidRPr="005E142B">
        <w:rPr>
          <w:sz w:val="24"/>
          <w:szCs w:val="24"/>
        </w:rPr>
        <w:t>attack the legitimacy of measures</w:t>
      </w:r>
      <w:r w:rsidRPr="005E142B">
        <w:rPr>
          <w:sz w:val="24"/>
          <w:szCs w:val="24"/>
        </w:rPr>
        <w:t xml:space="preserve"> that offend tradition</w:t>
      </w:r>
      <w:r w:rsidR="00985034" w:rsidRPr="005E142B">
        <w:rPr>
          <w:sz w:val="24"/>
          <w:szCs w:val="24"/>
        </w:rPr>
        <w:t>. It can act through the courts and the quiet resistance of civil servants, and can</w:t>
      </w:r>
      <w:r w:rsidR="00DF1A0C" w:rsidRPr="005E142B">
        <w:rPr>
          <w:sz w:val="24"/>
          <w:szCs w:val="24"/>
        </w:rPr>
        <w:t xml:space="preserve"> articulate alternatives through well-funded think-tanks.</w:t>
      </w:r>
      <w:r w:rsidR="00DF1A0C" w:rsidRPr="005E142B">
        <w:rPr>
          <w:rStyle w:val="FootnoteReference"/>
          <w:sz w:val="24"/>
          <w:szCs w:val="24"/>
        </w:rPr>
        <w:footnoteReference w:id="194"/>
      </w:r>
      <w:r w:rsidR="00985034" w:rsidRPr="005E142B">
        <w:rPr>
          <w:sz w:val="24"/>
          <w:szCs w:val="24"/>
        </w:rPr>
        <w:t xml:space="preserve"> It has strong institutional platforms in Congress,</w:t>
      </w:r>
      <w:r w:rsidR="003576D8" w:rsidRPr="005E142B">
        <w:rPr>
          <w:sz w:val="24"/>
          <w:szCs w:val="24"/>
        </w:rPr>
        <w:t xml:space="preserve"> links to</w:t>
      </w:r>
      <w:r w:rsidR="00985034" w:rsidRPr="005E142B">
        <w:rPr>
          <w:sz w:val="24"/>
          <w:szCs w:val="24"/>
        </w:rPr>
        <w:t xml:space="preserve"> a powerful business community, a</w:t>
      </w:r>
      <w:r w:rsidR="003576D8" w:rsidRPr="005E142B">
        <w:rPr>
          <w:sz w:val="24"/>
          <w:szCs w:val="24"/>
        </w:rPr>
        <w:t>nd a</w:t>
      </w:r>
      <w:r w:rsidR="00626F3C" w:rsidRPr="005E142B">
        <w:rPr>
          <w:sz w:val="24"/>
          <w:szCs w:val="24"/>
        </w:rPr>
        <w:t xml:space="preserve"> network of NGO</w:t>
      </w:r>
      <w:r w:rsidR="00985034" w:rsidRPr="005E142B">
        <w:rPr>
          <w:sz w:val="24"/>
          <w:szCs w:val="24"/>
        </w:rPr>
        <w:t>s.</w:t>
      </w:r>
      <w:r w:rsidR="00296540">
        <w:rPr>
          <w:rStyle w:val="FootnoteReference"/>
          <w:sz w:val="24"/>
          <w:szCs w:val="24"/>
        </w:rPr>
        <w:t xml:space="preserve"> </w:t>
      </w:r>
      <w:r w:rsidR="00D8120E" w:rsidRPr="005E142B">
        <w:rPr>
          <w:sz w:val="24"/>
          <w:szCs w:val="24"/>
        </w:rPr>
        <w:t xml:space="preserve">The new president </w:t>
      </w:r>
      <w:r w:rsidR="00C72902">
        <w:rPr>
          <w:sz w:val="24"/>
          <w:szCs w:val="24"/>
        </w:rPr>
        <w:t xml:space="preserve">with his inchoate world view </w:t>
      </w:r>
      <w:r w:rsidR="00F737E5" w:rsidRPr="005E142B">
        <w:rPr>
          <w:sz w:val="24"/>
          <w:szCs w:val="24"/>
        </w:rPr>
        <w:t>was</w:t>
      </w:r>
      <w:r w:rsidR="00D8120E" w:rsidRPr="005E142B">
        <w:rPr>
          <w:sz w:val="24"/>
          <w:szCs w:val="24"/>
        </w:rPr>
        <w:t xml:space="preserve"> </w:t>
      </w:r>
      <w:r w:rsidR="00296540">
        <w:rPr>
          <w:sz w:val="24"/>
          <w:szCs w:val="24"/>
        </w:rPr>
        <w:t>not a</w:t>
      </w:r>
      <w:r w:rsidR="0034173D">
        <w:rPr>
          <w:sz w:val="24"/>
          <w:szCs w:val="24"/>
        </w:rPr>
        <w:t xml:space="preserve"> determined </w:t>
      </w:r>
      <w:r w:rsidR="00296540">
        <w:rPr>
          <w:sz w:val="24"/>
          <w:szCs w:val="24"/>
        </w:rPr>
        <w:t>revisionist</w:t>
      </w:r>
      <w:r w:rsidR="0034173D">
        <w:rPr>
          <w:sz w:val="24"/>
          <w:szCs w:val="24"/>
        </w:rPr>
        <w:t xml:space="preserve"> </w:t>
      </w:r>
      <w:r w:rsidR="00C72902">
        <w:rPr>
          <w:sz w:val="24"/>
          <w:szCs w:val="24"/>
        </w:rPr>
        <w:t>who could overcome these obstacles, and quickly fell into line</w:t>
      </w:r>
      <w:r w:rsidR="008B2BEF" w:rsidRPr="005E142B">
        <w:rPr>
          <w:sz w:val="24"/>
          <w:szCs w:val="24"/>
        </w:rPr>
        <w:t xml:space="preserve">. </w:t>
      </w:r>
      <w:r w:rsidR="00296540">
        <w:rPr>
          <w:sz w:val="24"/>
          <w:szCs w:val="24"/>
        </w:rPr>
        <w:t xml:space="preserve"> </w:t>
      </w:r>
    </w:p>
    <w:p w:rsidR="00DC5AD8" w:rsidRPr="005E142B" w:rsidRDefault="00DC5AD8" w:rsidP="005E142B">
      <w:pPr>
        <w:autoSpaceDE w:val="0"/>
        <w:autoSpaceDN w:val="0"/>
        <w:adjustRightInd w:val="0"/>
        <w:spacing w:after="0" w:line="480" w:lineRule="auto"/>
        <w:jc w:val="both"/>
        <w:rPr>
          <w:sz w:val="24"/>
          <w:szCs w:val="24"/>
        </w:rPr>
      </w:pPr>
    </w:p>
    <w:p w:rsidR="00DF1A0C" w:rsidRDefault="00DF1A0C" w:rsidP="005E142B">
      <w:pPr>
        <w:spacing w:after="0" w:line="480" w:lineRule="auto"/>
        <w:jc w:val="center"/>
        <w:rPr>
          <w:b/>
          <w:sz w:val="24"/>
          <w:szCs w:val="24"/>
        </w:rPr>
      </w:pPr>
      <w:r w:rsidRPr="005E142B">
        <w:rPr>
          <w:b/>
          <w:sz w:val="24"/>
          <w:szCs w:val="24"/>
        </w:rPr>
        <w:t>Conclusion</w:t>
      </w:r>
    </w:p>
    <w:p w:rsidR="00BE4758" w:rsidRPr="005E142B" w:rsidRDefault="00BE4758" w:rsidP="005E142B">
      <w:pPr>
        <w:spacing w:after="0" w:line="480" w:lineRule="auto"/>
        <w:jc w:val="center"/>
        <w:rPr>
          <w:b/>
          <w:sz w:val="24"/>
          <w:szCs w:val="24"/>
        </w:rPr>
      </w:pPr>
    </w:p>
    <w:p w:rsidR="00181A43" w:rsidRDefault="00181A43" w:rsidP="00181A43">
      <w:pPr>
        <w:spacing w:after="0" w:line="480" w:lineRule="auto"/>
        <w:jc w:val="both"/>
        <w:rPr>
          <w:sz w:val="24"/>
          <w:szCs w:val="24"/>
        </w:rPr>
      </w:pPr>
      <w:r>
        <w:rPr>
          <w:sz w:val="24"/>
          <w:szCs w:val="24"/>
        </w:rPr>
        <w:t>What explains</w:t>
      </w:r>
      <w:r w:rsidR="004E3B5F">
        <w:rPr>
          <w:sz w:val="24"/>
          <w:szCs w:val="24"/>
        </w:rPr>
        <w:t xml:space="preserve"> the continuity of U.S. grand strategy? </w:t>
      </w:r>
      <w:r w:rsidR="00296540">
        <w:rPr>
          <w:sz w:val="24"/>
          <w:szCs w:val="24"/>
        </w:rPr>
        <w:t>I have argued that a combination of power and habit makes U.S. grand strategy stable and hard to change</w:t>
      </w:r>
      <w:r w:rsidR="00C72902">
        <w:rPr>
          <w:sz w:val="24"/>
          <w:szCs w:val="24"/>
        </w:rPr>
        <w:t>, even in adverse conditions</w:t>
      </w:r>
      <w:r w:rsidR="00296540">
        <w:rPr>
          <w:sz w:val="24"/>
          <w:szCs w:val="24"/>
        </w:rPr>
        <w:t xml:space="preserve">. </w:t>
      </w:r>
      <w:r w:rsidR="007E4118">
        <w:rPr>
          <w:sz w:val="24"/>
          <w:szCs w:val="24"/>
        </w:rPr>
        <w:t xml:space="preserve">Change is possible, but only </w:t>
      </w:r>
      <w:r w:rsidR="00B95882">
        <w:rPr>
          <w:sz w:val="24"/>
          <w:szCs w:val="24"/>
        </w:rPr>
        <w:t>in</w:t>
      </w:r>
      <w:r w:rsidR="007E4118">
        <w:rPr>
          <w:sz w:val="24"/>
          <w:szCs w:val="24"/>
        </w:rPr>
        <w:t xml:space="preserve"> conditions shocking enough to undermine assumptions, and even then, only when a president arrives who is determined to overhaul primacy and absorb the pain of doing so.  </w:t>
      </w:r>
      <w:r>
        <w:rPr>
          <w:sz w:val="24"/>
          <w:szCs w:val="24"/>
        </w:rPr>
        <w:t xml:space="preserve">This </w:t>
      </w:r>
      <w:r w:rsidRPr="005E142B">
        <w:rPr>
          <w:sz w:val="24"/>
          <w:szCs w:val="24"/>
        </w:rPr>
        <w:t xml:space="preserve">I have demonstrated through two </w:t>
      </w:r>
      <w:r>
        <w:rPr>
          <w:sz w:val="24"/>
          <w:szCs w:val="24"/>
        </w:rPr>
        <w:t>cases</w:t>
      </w:r>
      <w:r w:rsidRPr="005E142B">
        <w:rPr>
          <w:sz w:val="24"/>
          <w:szCs w:val="24"/>
        </w:rPr>
        <w:t>,</w:t>
      </w:r>
      <w:r>
        <w:rPr>
          <w:sz w:val="24"/>
          <w:szCs w:val="24"/>
        </w:rPr>
        <w:t xml:space="preserve"> presidents</w:t>
      </w:r>
      <w:r w:rsidRPr="005E142B">
        <w:rPr>
          <w:sz w:val="24"/>
          <w:szCs w:val="24"/>
        </w:rPr>
        <w:t xml:space="preserve"> Clinton and Trump. </w:t>
      </w:r>
      <w:r>
        <w:rPr>
          <w:sz w:val="24"/>
          <w:szCs w:val="24"/>
        </w:rPr>
        <w:t>In both cases,</w:t>
      </w:r>
      <w:r w:rsidRPr="00181A43">
        <w:rPr>
          <w:sz w:val="24"/>
          <w:szCs w:val="24"/>
        </w:rPr>
        <w:t xml:space="preserve"> </w:t>
      </w:r>
      <w:r>
        <w:rPr>
          <w:sz w:val="24"/>
          <w:szCs w:val="24"/>
        </w:rPr>
        <w:t xml:space="preserve">‘change’ candidates  came to office promising to revise the </w:t>
      </w:r>
      <w:r>
        <w:rPr>
          <w:i/>
          <w:sz w:val="24"/>
          <w:szCs w:val="24"/>
        </w:rPr>
        <w:t>status quo</w:t>
      </w:r>
      <w:r>
        <w:rPr>
          <w:sz w:val="24"/>
          <w:szCs w:val="24"/>
        </w:rPr>
        <w:t xml:space="preserve">, only for habitual assumptions and the foreign policy establishment (the </w:t>
      </w:r>
      <w:r w:rsidR="008E3104">
        <w:rPr>
          <w:sz w:val="24"/>
          <w:szCs w:val="24"/>
        </w:rPr>
        <w:t>“blob”</w:t>
      </w:r>
      <w:r>
        <w:rPr>
          <w:sz w:val="24"/>
          <w:szCs w:val="24"/>
        </w:rPr>
        <w:t>) to tame t</w:t>
      </w:r>
      <w:r w:rsidRPr="005E142B">
        <w:rPr>
          <w:sz w:val="24"/>
          <w:szCs w:val="24"/>
        </w:rPr>
        <w:t>he</w:t>
      </w:r>
      <w:r>
        <w:rPr>
          <w:sz w:val="24"/>
          <w:szCs w:val="24"/>
        </w:rPr>
        <w:t xml:space="preserve">m back towards maintaining primacy. In identifying the </w:t>
      </w:r>
      <w:r w:rsidR="008E3104">
        <w:rPr>
          <w:sz w:val="24"/>
          <w:szCs w:val="24"/>
        </w:rPr>
        <w:t>“blob”</w:t>
      </w:r>
      <w:r>
        <w:rPr>
          <w:sz w:val="24"/>
          <w:szCs w:val="24"/>
        </w:rPr>
        <w:t xml:space="preserve"> and its influence as a driving force in Washington, former presidential</w:t>
      </w:r>
      <w:r w:rsidR="007E4118">
        <w:rPr>
          <w:sz w:val="24"/>
          <w:szCs w:val="24"/>
        </w:rPr>
        <w:t xml:space="preserve"> advisor Ben Rhodes was right. </w:t>
      </w:r>
    </w:p>
    <w:p w:rsidR="00181A43" w:rsidRDefault="00181A43" w:rsidP="00181A43">
      <w:pPr>
        <w:spacing w:after="0" w:line="480" w:lineRule="auto"/>
        <w:jc w:val="both"/>
        <w:rPr>
          <w:sz w:val="24"/>
          <w:szCs w:val="24"/>
        </w:rPr>
      </w:pPr>
      <w:r>
        <w:rPr>
          <w:sz w:val="24"/>
          <w:szCs w:val="24"/>
        </w:rPr>
        <w:t xml:space="preserve"> </w:t>
      </w:r>
    </w:p>
    <w:p w:rsidR="00296540" w:rsidRDefault="00296540" w:rsidP="00181A43">
      <w:pPr>
        <w:spacing w:after="0" w:line="480" w:lineRule="auto"/>
        <w:ind w:firstLine="709"/>
        <w:jc w:val="both"/>
        <w:rPr>
          <w:sz w:val="24"/>
          <w:szCs w:val="24"/>
        </w:rPr>
      </w:pPr>
      <w:r>
        <w:rPr>
          <w:sz w:val="24"/>
          <w:szCs w:val="24"/>
        </w:rPr>
        <w:lastRenderedPageBreak/>
        <w:t>Washington’s capabilities give it the capacity to select a grand strategy of ‘primacy</w:t>
      </w:r>
      <w:r w:rsidR="004E3B5F">
        <w:rPr>
          <w:sz w:val="24"/>
          <w:szCs w:val="24"/>
        </w:rPr>
        <w:t>.</w:t>
      </w:r>
      <w:r>
        <w:rPr>
          <w:sz w:val="24"/>
          <w:szCs w:val="24"/>
        </w:rPr>
        <w:t xml:space="preserve">’ </w:t>
      </w:r>
      <w:r w:rsidR="004E3B5F">
        <w:rPr>
          <w:sz w:val="24"/>
          <w:szCs w:val="24"/>
        </w:rPr>
        <w:t>B</w:t>
      </w:r>
      <w:r>
        <w:rPr>
          <w:sz w:val="24"/>
          <w:szCs w:val="24"/>
        </w:rPr>
        <w:t>ut this does not tell us why it has maintained that choice</w:t>
      </w:r>
      <w:r w:rsidR="00181A43">
        <w:rPr>
          <w:sz w:val="24"/>
          <w:szCs w:val="24"/>
        </w:rPr>
        <w:t>,</w:t>
      </w:r>
      <w:r>
        <w:rPr>
          <w:sz w:val="24"/>
          <w:szCs w:val="24"/>
        </w:rPr>
        <w:t xml:space="preserve"> even in conditions </w:t>
      </w:r>
      <w:r w:rsidRPr="005E142B">
        <w:rPr>
          <w:sz w:val="24"/>
          <w:szCs w:val="24"/>
        </w:rPr>
        <w:t>that create opportunities for revision</w:t>
      </w:r>
      <w:r>
        <w:rPr>
          <w:sz w:val="24"/>
          <w:szCs w:val="24"/>
        </w:rPr>
        <w:t xml:space="preserve"> and incentives for change.</w:t>
      </w:r>
      <w:r w:rsidR="00817ABC">
        <w:rPr>
          <w:sz w:val="24"/>
          <w:szCs w:val="24"/>
        </w:rPr>
        <w:t xml:space="preserve"> Theories that stress the importance of ideas and the domestic are an important answer to the puzzle</w:t>
      </w:r>
      <w:r w:rsidR="006E321D">
        <w:rPr>
          <w:sz w:val="24"/>
          <w:szCs w:val="24"/>
        </w:rPr>
        <w:t>. B</w:t>
      </w:r>
      <w:r w:rsidR="00817ABC">
        <w:rPr>
          <w:sz w:val="24"/>
          <w:szCs w:val="24"/>
        </w:rPr>
        <w:t xml:space="preserve">ut </w:t>
      </w:r>
      <w:r w:rsidR="003739E5">
        <w:rPr>
          <w:i/>
          <w:sz w:val="24"/>
          <w:szCs w:val="24"/>
        </w:rPr>
        <w:t>how</w:t>
      </w:r>
      <w:r w:rsidR="003739E5">
        <w:rPr>
          <w:sz w:val="24"/>
          <w:szCs w:val="24"/>
        </w:rPr>
        <w:t xml:space="preserve"> ideas are transmitted is just as important as the </w:t>
      </w:r>
      <w:r w:rsidR="003739E5" w:rsidRPr="003739E5">
        <w:rPr>
          <w:i/>
          <w:sz w:val="24"/>
          <w:szCs w:val="24"/>
        </w:rPr>
        <w:t xml:space="preserve">content </w:t>
      </w:r>
      <w:r w:rsidR="003739E5">
        <w:rPr>
          <w:sz w:val="24"/>
          <w:szCs w:val="24"/>
        </w:rPr>
        <w:t>of those ideas.</w:t>
      </w:r>
      <w:r>
        <w:rPr>
          <w:sz w:val="24"/>
          <w:szCs w:val="24"/>
        </w:rPr>
        <w:t xml:space="preserve"> </w:t>
      </w:r>
      <w:r w:rsidR="003739E5">
        <w:rPr>
          <w:sz w:val="24"/>
          <w:szCs w:val="24"/>
        </w:rPr>
        <w:t xml:space="preserve">This is where </w:t>
      </w:r>
      <w:r w:rsidR="00C578B9">
        <w:rPr>
          <w:sz w:val="24"/>
          <w:szCs w:val="24"/>
        </w:rPr>
        <w:t xml:space="preserve">the process of </w:t>
      </w:r>
      <w:r w:rsidR="003739E5">
        <w:rPr>
          <w:sz w:val="24"/>
          <w:szCs w:val="24"/>
        </w:rPr>
        <w:t xml:space="preserve">habit and the foreign policy establishment – the </w:t>
      </w:r>
      <w:r w:rsidR="008E3104">
        <w:rPr>
          <w:sz w:val="24"/>
          <w:szCs w:val="24"/>
        </w:rPr>
        <w:t>“blob”</w:t>
      </w:r>
      <w:r w:rsidR="003739E5">
        <w:rPr>
          <w:sz w:val="24"/>
          <w:szCs w:val="24"/>
        </w:rPr>
        <w:t xml:space="preserve"> - intervene. </w:t>
      </w:r>
      <w:r>
        <w:rPr>
          <w:sz w:val="24"/>
          <w:szCs w:val="24"/>
        </w:rPr>
        <w:t>D</w:t>
      </w:r>
      <w:r w:rsidRPr="005E142B">
        <w:rPr>
          <w:sz w:val="24"/>
          <w:szCs w:val="24"/>
        </w:rPr>
        <w:t xml:space="preserve">ecades of </w:t>
      </w:r>
      <w:r w:rsidR="004E3B5F">
        <w:rPr>
          <w:sz w:val="24"/>
          <w:szCs w:val="24"/>
        </w:rPr>
        <w:t>being a superpower</w:t>
      </w:r>
      <w:r w:rsidRPr="005E142B">
        <w:rPr>
          <w:sz w:val="24"/>
          <w:szCs w:val="24"/>
        </w:rPr>
        <w:t xml:space="preserve"> </w:t>
      </w:r>
      <w:r w:rsidR="004E3B5F">
        <w:rPr>
          <w:sz w:val="24"/>
          <w:szCs w:val="24"/>
        </w:rPr>
        <w:t>left</w:t>
      </w:r>
      <w:r w:rsidRPr="005E142B">
        <w:rPr>
          <w:sz w:val="24"/>
          <w:szCs w:val="24"/>
        </w:rPr>
        <w:t xml:space="preserve"> Washington averse to revising fundamental assumptions</w:t>
      </w:r>
      <w:r w:rsidR="00181A43">
        <w:rPr>
          <w:sz w:val="24"/>
          <w:szCs w:val="24"/>
        </w:rPr>
        <w:t>,</w:t>
      </w:r>
      <w:r w:rsidRPr="005E142B">
        <w:rPr>
          <w:sz w:val="24"/>
          <w:szCs w:val="24"/>
        </w:rPr>
        <w:t xml:space="preserve"> narrowed the spectrum of possible choices and discouraged consideration of alternatives.</w:t>
      </w:r>
      <w:r w:rsidR="004E3B5F">
        <w:rPr>
          <w:sz w:val="24"/>
          <w:szCs w:val="24"/>
        </w:rPr>
        <w:t xml:space="preserve"> The </w:t>
      </w:r>
      <w:r w:rsidR="008E3104">
        <w:rPr>
          <w:sz w:val="24"/>
          <w:szCs w:val="24"/>
        </w:rPr>
        <w:t>“blob”</w:t>
      </w:r>
      <w:r w:rsidR="004E3B5F">
        <w:rPr>
          <w:sz w:val="24"/>
          <w:szCs w:val="24"/>
        </w:rPr>
        <w:t xml:space="preserve"> with its cohesive network of officials</w:t>
      </w:r>
      <w:r w:rsidR="00C578B9">
        <w:rPr>
          <w:sz w:val="24"/>
          <w:szCs w:val="24"/>
        </w:rPr>
        <w:t>,</w:t>
      </w:r>
      <w:r w:rsidR="004E3B5F">
        <w:rPr>
          <w:sz w:val="24"/>
          <w:szCs w:val="24"/>
        </w:rPr>
        <w:t xml:space="preserve"> security experts</w:t>
      </w:r>
      <w:r w:rsidR="00C578B9">
        <w:rPr>
          <w:sz w:val="24"/>
          <w:szCs w:val="24"/>
        </w:rPr>
        <w:t xml:space="preserve"> and commentators</w:t>
      </w:r>
      <w:r>
        <w:rPr>
          <w:sz w:val="24"/>
          <w:szCs w:val="24"/>
        </w:rPr>
        <w:t xml:space="preserve"> </w:t>
      </w:r>
      <w:r w:rsidR="004E3B5F">
        <w:rPr>
          <w:sz w:val="24"/>
          <w:szCs w:val="24"/>
        </w:rPr>
        <w:t>exerts a powerful constraining influence in narrowing discussion within decision-making circles.</w:t>
      </w:r>
      <w:r w:rsidR="002D3DEE">
        <w:rPr>
          <w:sz w:val="24"/>
          <w:szCs w:val="24"/>
        </w:rPr>
        <w:t xml:space="preserve"> It</w:t>
      </w:r>
      <w:r w:rsidR="003739E5">
        <w:rPr>
          <w:sz w:val="24"/>
          <w:szCs w:val="24"/>
        </w:rPr>
        <w:t>s members believe</w:t>
      </w:r>
      <w:r w:rsidR="002D3DEE">
        <w:rPr>
          <w:sz w:val="24"/>
          <w:szCs w:val="24"/>
        </w:rPr>
        <w:t xml:space="preserve"> that the assumptions underpinning </w:t>
      </w:r>
      <w:r w:rsidR="003739E5">
        <w:rPr>
          <w:sz w:val="24"/>
          <w:szCs w:val="24"/>
        </w:rPr>
        <w:t>‘primacy’</w:t>
      </w:r>
      <w:r w:rsidR="002D3DEE">
        <w:rPr>
          <w:sz w:val="24"/>
          <w:szCs w:val="24"/>
        </w:rPr>
        <w:t xml:space="preserve"> are self-evidently true and that grand strategies based on retrenchment are self-evidently imprudent</w:t>
      </w:r>
      <w:r w:rsidR="003739E5">
        <w:rPr>
          <w:sz w:val="24"/>
          <w:szCs w:val="24"/>
        </w:rPr>
        <w:t xml:space="preserve"> and unworthy of serious consideration. By direct and indirect means, the </w:t>
      </w:r>
      <w:r w:rsidR="008E3104">
        <w:rPr>
          <w:sz w:val="24"/>
          <w:szCs w:val="24"/>
        </w:rPr>
        <w:t>“blob”</w:t>
      </w:r>
      <w:r w:rsidR="002D3DEE">
        <w:rPr>
          <w:sz w:val="24"/>
          <w:szCs w:val="24"/>
        </w:rPr>
        <w:t xml:space="preserve"> ensures that in Washington, there is never a ‘fair fight’ between primacy and restraint.</w:t>
      </w:r>
      <w:r w:rsidR="003739E5">
        <w:rPr>
          <w:sz w:val="24"/>
          <w:szCs w:val="24"/>
        </w:rPr>
        <w:t xml:space="preserve"> </w:t>
      </w:r>
      <w:r w:rsidR="00C578B9">
        <w:rPr>
          <w:sz w:val="24"/>
          <w:szCs w:val="24"/>
        </w:rPr>
        <w:t>As a result, t</w:t>
      </w:r>
      <w:r w:rsidR="003739E5">
        <w:rPr>
          <w:sz w:val="24"/>
          <w:szCs w:val="24"/>
        </w:rPr>
        <w:t xml:space="preserve">he starting-point for most discussion of grand strategic questions is managerial: </w:t>
      </w:r>
      <w:r w:rsidR="003739E5" w:rsidRPr="00C578B9">
        <w:rPr>
          <w:i/>
          <w:sz w:val="24"/>
          <w:szCs w:val="24"/>
        </w:rPr>
        <w:t xml:space="preserve">how </w:t>
      </w:r>
      <w:r w:rsidR="003739E5">
        <w:rPr>
          <w:sz w:val="24"/>
          <w:szCs w:val="24"/>
        </w:rPr>
        <w:t xml:space="preserve">to implement primacy, not </w:t>
      </w:r>
      <w:r w:rsidR="003739E5" w:rsidRPr="00C578B9">
        <w:rPr>
          <w:i/>
          <w:sz w:val="24"/>
          <w:szCs w:val="24"/>
        </w:rPr>
        <w:t>whether</w:t>
      </w:r>
      <w:r w:rsidR="003739E5">
        <w:rPr>
          <w:sz w:val="24"/>
          <w:szCs w:val="24"/>
        </w:rPr>
        <w:t xml:space="preserve"> to.</w:t>
      </w:r>
      <w:r w:rsidR="006E321D">
        <w:rPr>
          <w:sz w:val="24"/>
          <w:szCs w:val="24"/>
        </w:rPr>
        <w:t xml:space="preserve"> Non-trivial disagreements over interventions, sanctions or treaties may seem to reflect fundamental divisions, yet they mostly reflect tactical disagreements about the execution of existing strategy.</w:t>
      </w:r>
      <w:r w:rsidR="00565DE0">
        <w:rPr>
          <w:sz w:val="24"/>
          <w:szCs w:val="24"/>
        </w:rPr>
        <w:t xml:space="preserve"> </w:t>
      </w:r>
    </w:p>
    <w:p w:rsidR="00296540" w:rsidRDefault="00181A43" w:rsidP="005E142B">
      <w:pPr>
        <w:spacing w:after="0" w:line="480" w:lineRule="auto"/>
        <w:jc w:val="both"/>
        <w:rPr>
          <w:sz w:val="24"/>
          <w:szCs w:val="24"/>
        </w:rPr>
      </w:pPr>
      <w:r>
        <w:rPr>
          <w:sz w:val="24"/>
          <w:szCs w:val="24"/>
        </w:rPr>
        <w:tab/>
      </w:r>
    </w:p>
    <w:p w:rsidR="004E3B5F" w:rsidRDefault="00783AA3" w:rsidP="00783AA3">
      <w:pPr>
        <w:spacing w:after="0" w:line="480" w:lineRule="auto"/>
        <w:ind w:firstLine="709"/>
        <w:jc w:val="both"/>
        <w:rPr>
          <w:sz w:val="24"/>
          <w:szCs w:val="24"/>
        </w:rPr>
      </w:pPr>
      <w:r w:rsidRPr="005E142B">
        <w:rPr>
          <w:sz w:val="24"/>
          <w:szCs w:val="24"/>
        </w:rPr>
        <w:t xml:space="preserve">Habit-driven style impoverishes decision-making. It insulates assumptions from scrutiny. It makes it </w:t>
      </w:r>
      <w:r>
        <w:rPr>
          <w:sz w:val="24"/>
          <w:szCs w:val="24"/>
        </w:rPr>
        <w:t>difficult</w:t>
      </w:r>
      <w:r w:rsidRPr="005E142B">
        <w:rPr>
          <w:sz w:val="24"/>
          <w:szCs w:val="24"/>
        </w:rPr>
        <w:t xml:space="preserve"> to anticipate and respond to change, and to evaluate success. </w:t>
      </w:r>
      <w:r w:rsidR="008C75DC" w:rsidRPr="005E142B">
        <w:rPr>
          <w:sz w:val="24"/>
          <w:szCs w:val="24"/>
        </w:rPr>
        <w:t>Defenders of primacy will resist the suggestion that entrenched assumptions drive U</w:t>
      </w:r>
      <w:r w:rsidR="00181A43">
        <w:rPr>
          <w:sz w:val="24"/>
          <w:szCs w:val="24"/>
        </w:rPr>
        <w:t>.</w:t>
      </w:r>
      <w:r w:rsidR="008C75DC" w:rsidRPr="005E142B">
        <w:rPr>
          <w:sz w:val="24"/>
          <w:szCs w:val="24"/>
        </w:rPr>
        <w:t>S</w:t>
      </w:r>
      <w:r w:rsidR="00181A43">
        <w:rPr>
          <w:sz w:val="24"/>
          <w:szCs w:val="24"/>
        </w:rPr>
        <w:t>.</w:t>
      </w:r>
      <w:r w:rsidR="008C75DC" w:rsidRPr="005E142B">
        <w:rPr>
          <w:sz w:val="24"/>
          <w:szCs w:val="24"/>
        </w:rPr>
        <w:t xml:space="preserve"> grand strategy, arguing that primacy endures because it is self-evidently the ‘best.’</w:t>
      </w:r>
      <w:r w:rsidR="00181A43">
        <w:rPr>
          <w:sz w:val="24"/>
          <w:szCs w:val="24"/>
        </w:rPr>
        <w:t xml:space="preserve"> </w:t>
      </w:r>
      <w:r>
        <w:rPr>
          <w:sz w:val="24"/>
          <w:szCs w:val="24"/>
        </w:rPr>
        <w:t>Even if it is the best strategy</w:t>
      </w:r>
      <w:r w:rsidR="00181A43">
        <w:rPr>
          <w:sz w:val="24"/>
          <w:szCs w:val="24"/>
        </w:rPr>
        <w:t xml:space="preserve">, the stakes are high enough to warrant more </w:t>
      </w:r>
      <w:r>
        <w:rPr>
          <w:sz w:val="24"/>
          <w:szCs w:val="24"/>
        </w:rPr>
        <w:t xml:space="preserve">systematic review. Primacy entails trillions of dollars of investment. It makes the U.S. prone to frequent uses of force. It poses challenges to the American constitution, by increasing the power of the state.  And it implicates </w:t>
      </w:r>
      <w:r>
        <w:rPr>
          <w:sz w:val="24"/>
          <w:szCs w:val="24"/>
        </w:rPr>
        <w:lastRenderedPageBreak/>
        <w:t>the country in potential conflicts worldwide.</w:t>
      </w:r>
      <w:r w:rsidR="00B705A1">
        <w:rPr>
          <w:sz w:val="24"/>
          <w:szCs w:val="24"/>
        </w:rPr>
        <w:t xml:space="preserve"> This is worth a proper review.</w:t>
      </w:r>
      <w:r>
        <w:rPr>
          <w:sz w:val="24"/>
          <w:szCs w:val="24"/>
        </w:rPr>
        <w:t xml:space="preserve"> </w:t>
      </w:r>
      <w:r w:rsidR="00B705A1">
        <w:rPr>
          <w:sz w:val="24"/>
          <w:szCs w:val="24"/>
        </w:rPr>
        <w:t>Yet i</w:t>
      </w:r>
      <w:r w:rsidR="007E4118">
        <w:rPr>
          <w:sz w:val="24"/>
          <w:szCs w:val="24"/>
        </w:rPr>
        <w:t xml:space="preserve">f my theory is correct, </w:t>
      </w:r>
      <w:r w:rsidR="00B705A1">
        <w:rPr>
          <w:sz w:val="24"/>
          <w:szCs w:val="24"/>
        </w:rPr>
        <w:t xml:space="preserve">current arrangements </w:t>
      </w:r>
      <w:r w:rsidR="007E4118">
        <w:rPr>
          <w:sz w:val="24"/>
          <w:szCs w:val="24"/>
        </w:rPr>
        <w:t>will endure</w:t>
      </w:r>
      <w:r w:rsidR="00B705A1">
        <w:rPr>
          <w:sz w:val="24"/>
          <w:szCs w:val="24"/>
        </w:rPr>
        <w:t xml:space="preserve"> without a review</w:t>
      </w:r>
      <w:r w:rsidR="007E4118">
        <w:rPr>
          <w:sz w:val="24"/>
          <w:szCs w:val="24"/>
        </w:rPr>
        <w:t xml:space="preserve"> until the rare conditions for change arrive. </w:t>
      </w:r>
    </w:p>
    <w:p w:rsidR="004E3B5F" w:rsidRDefault="004E3B5F" w:rsidP="008C75DC">
      <w:pPr>
        <w:spacing w:after="0" w:line="480" w:lineRule="auto"/>
        <w:ind w:firstLine="709"/>
        <w:jc w:val="both"/>
        <w:rPr>
          <w:sz w:val="24"/>
          <w:szCs w:val="24"/>
        </w:rPr>
      </w:pPr>
    </w:p>
    <w:p w:rsidR="00554F38" w:rsidRDefault="00554F38" w:rsidP="008C75DC">
      <w:pPr>
        <w:spacing w:after="0" w:line="480" w:lineRule="auto"/>
        <w:ind w:firstLine="709"/>
        <w:jc w:val="both"/>
        <w:rPr>
          <w:sz w:val="24"/>
          <w:szCs w:val="24"/>
        </w:rPr>
      </w:pPr>
      <w:r>
        <w:rPr>
          <w:sz w:val="24"/>
          <w:szCs w:val="24"/>
        </w:rPr>
        <w:t>For supporters of primacy,</w:t>
      </w:r>
      <w:r w:rsidR="0001732D">
        <w:rPr>
          <w:sz w:val="24"/>
          <w:szCs w:val="24"/>
        </w:rPr>
        <w:t xml:space="preserve"> from American traditionalists to allies anxious about U.S. commitments,</w:t>
      </w:r>
      <w:r>
        <w:rPr>
          <w:sz w:val="24"/>
          <w:szCs w:val="24"/>
        </w:rPr>
        <w:t xml:space="preserve"> my theory offers </w:t>
      </w:r>
      <w:r w:rsidR="0017516E">
        <w:rPr>
          <w:sz w:val="24"/>
          <w:szCs w:val="24"/>
        </w:rPr>
        <w:t xml:space="preserve">the </w:t>
      </w:r>
      <w:r>
        <w:rPr>
          <w:sz w:val="24"/>
          <w:szCs w:val="24"/>
        </w:rPr>
        <w:t>good news</w:t>
      </w:r>
      <w:r w:rsidR="0017516E">
        <w:rPr>
          <w:sz w:val="24"/>
          <w:szCs w:val="24"/>
        </w:rPr>
        <w:t xml:space="preserve"> that continuity is likely</w:t>
      </w:r>
      <w:r>
        <w:rPr>
          <w:sz w:val="24"/>
          <w:szCs w:val="24"/>
        </w:rPr>
        <w:t xml:space="preserve">. For critics, my theory should be sobering. </w:t>
      </w:r>
      <w:r w:rsidR="0048436A">
        <w:rPr>
          <w:sz w:val="24"/>
          <w:szCs w:val="24"/>
        </w:rPr>
        <w:t xml:space="preserve">For a grand strategy of restraint to supplant one of primacy, it would require a fundamental change to the way Washington conducts foreign policy deliberation. Otherwise, advocates of restraint </w:t>
      </w:r>
      <w:r w:rsidR="00E804B1">
        <w:rPr>
          <w:sz w:val="24"/>
          <w:szCs w:val="24"/>
        </w:rPr>
        <w:t>will</w:t>
      </w:r>
      <w:r w:rsidR="0048436A">
        <w:rPr>
          <w:sz w:val="24"/>
          <w:szCs w:val="24"/>
        </w:rPr>
        <w:t xml:space="preserve"> have to await conditions distressing enough to place the foundations of current strategy in question, and the arrival in the White House of a change agent willing to go to the trouble of overhauling</w:t>
      </w:r>
      <w:r w:rsidR="0017516E">
        <w:rPr>
          <w:sz w:val="24"/>
          <w:szCs w:val="24"/>
        </w:rPr>
        <w:t xml:space="preserve"> it.</w:t>
      </w:r>
      <w:r w:rsidR="0048436A">
        <w:rPr>
          <w:sz w:val="24"/>
          <w:szCs w:val="24"/>
        </w:rPr>
        <w:t xml:space="preserve">  Until that </w:t>
      </w:r>
      <w:r w:rsidR="00E804B1">
        <w:rPr>
          <w:sz w:val="24"/>
          <w:szCs w:val="24"/>
        </w:rPr>
        <w:t>hour</w:t>
      </w:r>
      <w:r w:rsidR="0017516E">
        <w:rPr>
          <w:sz w:val="24"/>
          <w:szCs w:val="24"/>
        </w:rPr>
        <w:t>, primacy</w:t>
      </w:r>
      <w:r w:rsidR="0048436A">
        <w:rPr>
          <w:sz w:val="24"/>
          <w:szCs w:val="24"/>
        </w:rPr>
        <w:t xml:space="preserve"> </w:t>
      </w:r>
      <w:r w:rsidR="00E804B1">
        <w:rPr>
          <w:sz w:val="24"/>
          <w:szCs w:val="24"/>
        </w:rPr>
        <w:t xml:space="preserve">in its fundamentals </w:t>
      </w:r>
      <w:r w:rsidR="0048436A">
        <w:rPr>
          <w:sz w:val="24"/>
          <w:szCs w:val="24"/>
        </w:rPr>
        <w:t>is unlikely to change.</w:t>
      </w:r>
      <w:r w:rsidR="00E804B1" w:rsidRPr="00E804B1">
        <w:rPr>
          <w:sz w:val="24"/>
          <w:szCs w:val="24"/>
        </w:rPr>
        <w:t xml:space="preserve"> </w:t>
      </w:r>
      <w:r w:rsidR="00383477">
        <w:rPr>
          <w:sz w:val="24"/>
          <w:szCs w:val="24"/>
        </w:rPr>
        <w:t>Washington’s decades-old design</w:t>
      </w:r>
      <w:r w:rsidR="00E804B1">
        <w:rPr>
          <w:sz w:val="24"/>
          <w:szCs w:val="24"/>
        </w:rPr>
        <w:t xml:space="preserve"> will endure without a proper audit, as</w:t>
      </w:r>
      <w:r w:rsidR="00E804B1" w:rsidRPr="005E142B">
        <w:rPr>
          <w:sz w:val="24"/>
          <w:szCs w:val="24"/>
        </w:rPr>
        <w:t xml:space="preserve"> the master, not the servant, of American democracy.  </w:t>
      </w:r>
      <w:r w:rsidR="00E804B1">
        <w:rPr>
          <w:sz w:val="24"/>
          <w:szCs w:val="24"/>
        </w:rPr>
        <w:t xml:space="preserve"> </w:t>
      </w:r>
    </w:p>
    <w:p w:rsidR="00783AA3" w:rsidRDefault="00783AA3" w:rsidP="008C75DC">
      <w:pPr>
        <w:spacing w:after="0" w:line="480" w:lineRule="auto"/>
        <w:ind w:firstLine="709"/>
        <w:jc w:val="both"/>
        <w:rPr>
          <w:sz w:val="24"/>
          <w:szCs w:val="24"/>
        </w:rPr>
      </w:pPr>
    </w:p>
    <w:p w:rsidR="008C75DC" w:rsidRDefault="008C75DC" w:rsidP="005E142B">
      <w:pPr>
        <w:spacing w:after="0" w:line="480" w:lineRule="auto"/>
        <w:ind w:firstLine="720"/>
        <w:jc w:val="both"/>
        <w:rPr>
          <w:sz w:val="24"/>
          <w:szCs w:val="24"/>
        </w:rPr>
      </w:pPr>
    </w:p>
    <w:p w:rsidR="00DF1A0C" w:rsidRPr="005E142B" w:rsidRDefault="00554F38" w:rsidP="005E142B">
      <w:pPr>
        <w:spacing w:after="0" w:line="480" w:lineRule="auto"/>
        <w:ind w:firstLine="720"/>
        <w:jc w:val="both"/>
        <w:rPr>
          <w:sz w:val="24"/>
          <w:szCs w:val="24"/>
        </w:rPr>
      </w:pPr>
      <w:r>
        <w:rPr>
          <w:sz w:val="24"/>
          <w:szCs w:val="24"/>
        </w:rPr>
        <w:t xml:space="preserve"> </w:t>
      </w:r>
    </w:p>
    <w:p w:rsidR="00C801D0" w:rsidRPr="005E142B" w:rsidRDefault="00C801D0" w:rsidP="005E142B">
      <w:pPr>
        <w:spacing w:after="0" w:line="480" w:lineRule="auto"/>
        <w:rPr>
          <w:b/>
          <w:sz w:val="24"/>
          <w:szCs w:val="24"/>
        </w:rPr>
      </w:pPr>
    </w:p>
    <w:p w:rsidR="00C801D0" w:rsidRPr="005E142B" w:rsidRDefault="00C801D0" w:rsidP="005E142B">
      <w:pPr>
        <w:spacing w:after="0" w:line="480" w:lineRule="auto"/>
        <w:rPr>
          <w:b/>
          <w:sz w:val="24"/>
          <w:szCs w:val="24"/>
        </w:rPr>
      </w:pPr>
      <w:r w:rsidRPr="005E142B">
        <w:rPr>
          <w:b/>
          <w:sz w:val="24"/>
          <w:szCs w:val="24"/>
        </w:rPr>
        <w:tab/>
      </w:r>
    </w:p>
    <w:p w:rsidR="00A06522" w:rsidRPr="005E142B" w:rsidRDefault="00A06522" w:rsidP="005E142B">
      <w:pPr>
        <w:spacing w:after="0" w:line="480" w:lineRule="auto"/>
        <w:rPr>
          <w:b/>
          <w:sz w:val="24"/>
          <w:szCs w:val="24"/>
        </w:rPr>
      </w:pPr>
    </w:p>
    <w:p w:rsidR="00A06522" w:rsidRPr="005E142B" w:rsidRDefault="00A06522" w:rsidP="005E142B">
      <w:pPr>
        <w:spacing w:after="0" w:line="480" w:lineRule="auto"/>
        <w:rPr>
          <w:b/>
          <w:sz w:val="24"/>
          <w:szCs w:val="24"/>
        </w:rPr>
      </w:pPr>
    </w:p>
    <w:p w:rsidR="00A06522" w:rsidRPr="005E142B" w:rsidRDefault="00A06522" w:rsidP="005E142B">
      <w:pPr>
        <w:spacing w:after="0" w:line="480" w:lineRule="auto"/>
        <w:rPr>
          <w:b/>
          <w:sz w:val="24"/>
          <w:szCs w:val="24"/>
        </w:rPr>
      </w:pPr>
    </w:p>
    <w:p w:rsidR="00A06522" w:rsidRPr="005E142B" w:rsidRDefault="00A06522" w:rsidP="005E142B">
      <w:pPr>
        <w:spacing w:after="0" w:line="480" w:lineRule="auto"/>
        <w:rPr>
          <w:b/>
          <w:sz w:val="24"/>
          <w:szCs w:val="24"/>
        </w:rPr>
      </w:pPr>
    </w:p>
    <w:sectPr w:rsidR="00A06522" w:rsidRPr="005E142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72E" w:rsidRDefault="0083672E" w:rsidP="000E3480">
      <w:pPr>
        <w:spacing w:after="0" w:line="240" w:lineRule="auto"/>
      </w:pPr>
      <w:r>
        <w:separator/>
      </w:r>
    </w:p>
  </w:endnote>
  <w:endnote w:type="continuationSeparator" w:id="0">
    <w:p w:rsidR="0083672E" w:rsidRDefault="0083672E" w:rsidP="000E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72E" w:rsidRDefault="0083672E" w:rsidP="000E3480">
      <w:pPr>
        <w:spacing w:after="0" w:line="240" w:lineRule="auto"/>
      </w:pPr>
      <w:r>
        <w:separator/>
      </w:r>
    </w:p>
  </w:footnote>
  <w:footnote w:type="continuationSeparator" w:id="0">
    <w:p w:rsidR="0083672E" w:rsidRDefault="0083672E" w:rsidP="000E3480">
      <w:pPr>
        <w:spacing w:after="0" w:line="240" w:lineRule="auto"/>
      </w:pPr>
      <w:r>
        <w:continuationSeparator/>
      </w:r>
    </w:p>
  </w:footnote>
  <w:footnote w:id="1">
    <w:p w:rsidR="0077004D" w:rsidRDefault="0077004D" w:rsidP="004E54BA">
      <w:pPr>
        <w:spacing w:after="0" w:line="240" w:lineRule="auto"/>
        <w:jc w:val="both"/>
        <w:rPr>
          <w:sz w:val="20"/>
          <w:szCs w:val="20"/>
        </w:rPr>
      </w:pPr>
      <w:r>
        <w:rPr>
          <w:sz w:val="20"/>
          <w:szCs w:val="20"/>
        </w:rPr>
        <w:t xml:space="preserve">For their advice and feedback, the author thanks the anonymous reviewers, David Blagden, </w:t>
      </w:r>
      <w:bookmarkStart w:id="0" w:name="_GoBack"/>
      <w:bookmarkEnd w:id="0"/>
      <w:r>
        <w:rPr>
          <w:sz w:val="20"/>
          <w:szCs w:val="20"/>
        </w:rPr>
        <w:t>Francis Gavin, Ted Hopf, Hal Brands, Stephane Baele, Beverley Loke, Gregorio Bettiza, Jason Reifler, Ryan Grauer, Catarina Thomson, Robert Saunders, Tarak Barkawi, Sergio Catignani, Huw Bennett, Peter Feaver,</w:t>
      </w:r>
      <w:r w:rsidR="00A67D03">
        <w:rPr>
          <w:sz w:val="20"/>
          <w:szCs w:val="20"/>
        </w:rPr>
        <w:t xml:space="preserve"> Burak Kadercan, Jonathan Golub, Tim Vlandas,</w:t>
      </w:r>
      <w:r>
        <w:rPr>
          <w:sz w:val="20"/>
          <w:szCs w:val="20"/>
        </w:rPr>
        <w:t xml:space="preserve"> the editors at </w:t>
      </w:r>
      <w:r>
        <w:rPr>
          <w:i/>
          <w:sz w:val="20"/>
          <w:szCs w:val="20"/>
        </w:rPr>
        <w:t>The National Interest</w:t>
      </w:r>
      <w:r>
        <w:rPr>
          <w:sz w:val="20"/>
          <w:szCs w:val="20"/>
        </w:rPr>
        <w:t xml:space="preserve">, and participants at seminars at the International Studies Association and the University of Exeter. </w:t>
      </w:r>
    </w:p>
    <w:p w:rsidR="0077004D" w:rsidRPr="00F9454B" w:rsidRDefault="0077004D" w:rsidP="004E54BA">
      <w:pPr>
        <w:spacing w:after="0" w:line="240" w:lineRule="auto"/>
        <w:jc w:val="both"/>
        <w:rPr>
          <w:sz w:val="20"/>
          <w:szCs w:val="20"/>
        </w:rPr>
      </w:pPr>
      <w:r w:rsidRPr="00F9454B">
        <w:rPr>
          <w:rStyle w:val="FootnoteReference"/>
          <w:sz w:val="20"/>
          <w:szCs w:val="20"/>
        </w:rPr>
        <w:footnoteRef/>
      </w:r>
      <w:r w:rsidRPr="00F9454B">
        <w:rPr>
          <w:sz w:val="20"/>
          <w:szCs w:val="20"/>
        </w:rPr>
        <w:t xml:space="preserve"> I draw this phrase from Barry R. Posen, </w:t>
      </w:r>
      <w:r w:rsidRPr="00F9454B">
        <w:rPr>
          <w:i/>
          <w:sz w:val="20"/>
          <w:szCs w:val="20"/>
        </w:rPr>
        <w:t xml:space="preserve">The Sources of Military Doctrine: France, Britain, and Germany between the World Wars </w:t>
      </w:r>
      <w:r w:rsidRPr="00F9454B">
        <w:rPr>
          <w:sz w:val="20"/>
          <w:szCs w:val="20"/>
        </w:rPr>
        <w:t>(Ithaca, N.Y.: Cornell University Press, 1984),</w:t>
      </w:r>
      <w:r w:rsidRPr="00F9454B">
        <w:rPr>
          <w:i/>
          <w:sz w:val="20"/>
          <w:szCs w:val="20"/>
        </w:rPr>
        <w:t xml:space="preserve"> </w:t>
      </w:r>
      <w:r w:rsidRPr="00F9454B">
        <w:rPr>
          <w:sz w:val="20"/>
          <w:szCs w:val="20"/>
        </w:rPr>
        <w:t>p.13.</w:t>
      </w:r>
    </w:p>
  </w:footnote>
  <w:footnote w:id="2">
    <w:p w:rsidR="0077004D" w:rsidRPr="00F9454B" w:rsidRDefault="0077004D" w:rsidP="00617DD8">
      <w:pPr>
        <w:pStyle w:val="FootnoteText"/>
        <w:jc w:val="both"/>
      </w:pPr>
      <w:r w:rsidRPr="00F9454B">
        <w:rPr>
          <w:rStyle w:val="FootnoteReference"/>
        </w:rPr>
        <w:footnoteRef/>
      </w:r>
      <w:r w:rsidRPr="00F9454B">
        <w:t xml:space="preserve"> For accounts of ‘primacy’, and the continuity in U.S. grand strategy since the Cold War, see Hal Brands, </w:t>
      </w:r>
      <w:r w:rsidRPr="00F9454B">
        <w:rPr>
          <w:i/>
        </w:rPr>
        <w:t>Making the Unipolar Moment: U</w:t>
      </w:r>
      <w:r>
        <w:rPr>
          <w:i/>
        </w:rPr>
        <w:t>.</w:t>
      </w:r>
      <w:r w:rsidRPr="00F9454B">
        <w:rPr>
          <w:i/>
        </w:rPr>
        <w:t>S</w:t>
      </w:r>
      <w:r>
        <w:rPr>
          <w:i/>
        </w:rPr>
        <w:t>.</w:t>
      </w:r>
      <w:r w:rsidRPr="00F9454B">
        <w:rPr>
          <w:i/>
        </w:rPr>
        <w:t xml:space="preserve"> Foreign Policy and the Rise of the Post Cold War Order </w:t>
      </w:r>
      <w:r w:rsidRPr="00F9454B">
        <w:t>(Ithaca, N.Y.: Cornell University Press, 2016),</w:t>
      </w:r>
      <w:r w:rsidRPr="00F9454B">
        <w:rPr>
          <w:b/>
        </w:rPr>
        <w:t xml:space="preserve"> </w:t>
      </w:r>
      <w:r w:rsidRPr="00F9454B">
        <w:t xml:space="preserve">pp.332-333; Colin Dueck, </w:t>
      </w:r>
      <w:r w:rsidRPr="00F9454B">
        <w:rPr>
          <w:i/>
        </w:rPr>
        <w:t xml:space="preserve">Reluctant Crusaders: Power, Culture and Change in American Grand Strategy </w:t>
      </w:r>
      <w:r w:rsidRPr="00F9454B">
        <w:t xml:space="preserve">(Princeton, N.J.: Princeton University Press, 2006), p.114; Stephen Biddle and Peter D. Feaver, “Assessing Strategic Choices in the War on Terror,” in James Burk, ed., </w:t>
      </w:r>
      <w:r w:rsidRPr="00F9454B">
        <w:rPr>
          <w:i/>
        </w:rPr>
        <w:t>How 9/11 Changed our Ways of War</w:t>
      </w:r>
      <w:r w:rsidRPr="00F9454B">
        <w:t xml:space="preserve"> (Stanford, Calif: Stanford University Press, 2013), pp.27-56, pp.28-29;</w:t>
      </w:r>
      <w:r w:rsidRPr="00F9454B">
        <w:rPr>
          <w:i/>
        </w:rPr>
        <w:t xml:space="preserve"> </w:t>
      </w:r>
      <w:r w:rsidRPr="00F9454B">
        <w:t xml:space="preserve">Paul D. Miller, </w:t>
      </w:r>
      <w:r w:rsidRPr="00F9454B">
        <w:rPr>
          <w:i/>
        </w:rPr>
        <w:t>American Power and Liberal Order: A Conservative Internationalist Grand Strategy</w:t>
      </w:r>
      <w:r w:rsidRPr="00F9454B">
        <w:t xml:space="preserve"> (Washington, DC.: Georgetown University Press, 2016), pp.17, 266; Barry R. Posen, </w:t>
      </w:r>
      <w:r w:rsidRPr="00F9454B">
        <w:rPr>
          <w:i/>
        </w:rPr>
        <w:t xml:space="preserve">Restraint: A New Foundation for US Grand Strategy </w:t>
      </w:r>
      <w:r w:rsidRPr="00F9454B">
        <w:t xml:space="preserve">(Ithaca, N.U.: Cornell University Press: 2014), pp.5-12; Christopher Layne, </w:t>
      </w:r>
      <w:r w:rsidRPr="00F9454B">
        <w:rPr>
          <w:i/>
          <w:iCs/>
        </w:rPr>
        <w:t xml:space="preserve">The Peace of Illusions: American Grand Strategy from 1940 to the Present </w:t>
      </w:r>
      <w:r w:rsidRPr="00F9454B">
        <w:t xml:space="preserve">(Ithaca, N.Y.: Cornell University Press, 2006), pp.105-117. </w:t>
      </w:r>
    </w:p>
  </w:footnote>
  <w:footnote w:id="3">
    <w:p w:rsidR="0077004D" w:rsidRPr="00F9454B" w:rsidRDefault="0077004D" w:rsidP="00617DD8">
      <w:pPr>
        <w:pStyle w:val="FootnoteText"/>
        <w:jc w:val="both"/>
      </w:pPr>
      <w:r w:rsidRPr="00F9454B">
        <w:rPr>
          <w:rStyle w:val="FootnoteReference"/>
        </w:rPr>
        <w:footnoteRef/>
      </w:r>
      <w:r w:rsidRPr="00F9454B">
        <w:t xml:space="preserve"> On the post-war evolution of U.S. strategy, see Melvyn P. Leffler, </w:t>
      </w:r>
      <w:r w:rsidRPr="00F9454B">
        <w:rPr>
          <w:i/>
        </w:rPr>
        <w:t xml:space="preserve">A Preponderance of Power: National Security, The Truman Administration, and the Cold War </w:t>
      </w:r>
      <w:r w:rsidRPr="00F9454B">
        <w:t xml:space="preserve">(Stanford, Calif: Stanford University Press, 1992), p.496; G. John Ikenberry, </w:t>
      </w:r>
      <w:r w:rsidRPr="00F9454B">
        <w:rPr>
          <w:i/>
        </w:rPr>
        <w:t xml:space="preserve">Liberal Leviathan: The Origins, Crisis and Transformation of the American World Order </w:t>
      </w:r>
      <w:r w:rsidRPr="00F9454B">
        <w:t xml:space="preserve">(Princeton, N.J.: Princeton University Press, 2011), pp.2, 169-193; Michael Lind, </w:t>
      </w:r>
      <w:r w:rsidRPr="00F9454B">
        <w:rPr>
          <w:i/>
        </w:rPr>
        <w:t xml:space="preserve">The American Way of Strategy: U.S. Foreign Policy and the American Way of Life </w:t>
      </w:r>
      <w:r w:rsidRPr="00F9454B">
        <w:t xml:space="preserve">(New York, N.Y: Oxford University Press, 2006), pp.3-42, 125-150; Stephen Brooks, G. John Ikenberry and William C. Wohlforth, “Don’t Come Home America: The Case against Retrenchment,” </w:t>
      </w:r>
      <w:r w:rsidRPr="00F9454B">
        <w:rPr>
          <w:i/>
        </w:rPr>
        <w:t>International Security</w:t>
      </w:r>
      <w:r w:rsidRPr="00F9454B">
        <w:t>,</w:t>
      </w:r>
      <w:r w:rsidRPr="00F9454B">
        <w:rPr>
          <w:i/>
        </w:rPr>
        <w:t xml:space="preserve"> </w:t>
      </w:r>
      <w:r w:rsidRPr="00F9454B">
        <w:t xml:space="preserve">Vol. 37, No. 3 (Winter 2012/2013), pp.7-51, pp.10-14; Robert Art, </w:t>
      </w:r>
      <w:r w:rsidRPr="00F9454B">
        <w:rPr>
          <w:i/>
        </w:rPr>
        <w:t xml:space="preserve">A Grand Strategy for America </w:t>
      </w:r>
      <w:r w:rsidRPr="00F9454B">
        <w:t xml:space="preserve">(Ithaca, N.Y.: Cornell University Press, 2003), p.140; John Lewis Gaddis, </w:t>
      </w:r>
      <w:r w:rsidRPr="00F9454B">
        <w:rPr>
          <w:i/>
        </w:rPr>
        <w:t xml:space="preserve">Strategies of Containment: A Critical Appraisal of American National Security Policy During the Cold War </w:t>
      </w:r>
      <w:r w:rsidRPr="00F9454B">
        <w:t xml:space="preserve">(Oxford: Oxford University Press, 1982). </w:t>
      </w:r>
      <w:r w:rsidRPr="00F9454B">
        <w:rPr>
          <w:i/>
        </w:rPr>
        <w:t xml:space="preserve"> </w:t>
      </w:r>
      <w:r w:rsidRPr="00F9454B">
        <w:t xml:space="preserve"> </w:t>
      </w:r>
    </w:p>
  </w:footnote>
  <w:footnote w:id="4">
    <w:p w:rsidR="0077004D" w:rsidRPr="00F9454B" w:rsidRDefault="0077004D" w:rsidP="00617DD8">
      <w:pPr>
        <w:pStyle w:val="FootnoteText"/>
        <w:jc w:val="both"/>
      </w:pPr>
      <w:r w:rsidRPr="00F9454B">
        <w:rPr>
          <w:rStyle w:val="FootnoteReference"/>
        </w:rPr>
        <w:footnoteRef/>
      </w:r>
      <w:r w:rsidRPr="00F9454B">
        <w:t xml:space="preserve"> On grand strategy within particular issue areas, see Michael Hogan, “Revival and Reform: America’s Twentieth Century Search for a New International Economic Order,” </w:t>
      </w:r>
      <w:r w:rsidRPr="00F9454B">
        <w:rPr>
          <w:i/>
        </w:rPr>
        <w:t>Diplomatic History</w:t>
      </w:r>
      <w:r w:rsidRPr="00F9454B">
        <w:t>, Vol.</w:t>
      </w:r>
      <w:r w:rsidRPr="00F9454B">
        <w:rPr>
          <w:i/>
        </w:rPr>
        <w:t xml:space="preserve"> </w:t>
      </w:r>
      <w:r w:rsidRPr="00F9454B">
        <w:t>8, No. 4</w:t>
      </w:r>
      <w:r w:rsidRPr="00F9454B">
        <w:rPr>
          <w:i/>
        </w:rPr>
        <w:t xml:space="preserve"> </w:t>
      </w:r>
      <w:r w:rsidRPr="00F9454B">
        <w:t>(Fall 1984), pp.287-310; Francis J. Gavin, “Strategies of Inhibition: U</w:t>
      </w:r>
      <w:r w:rsidR="00AE48D4">
        <w:t>.</w:t>
      </w:r>
      <w:r w:rsidRPr="00F9454B">
        <w:t>S</w:t>
      </w:r>
      <w:r w:rsidR="00AE48D4">
        <w:t>.</w:t>
      </w:r>
      <w:r w:rsidRPr="00F9454B">
        <w:t xml:space="preserve"> Grand Strategy, the Nuclear Revolution, and Non-proliferation,” </w:t>
      </w:r>
      <w:r w:rsidRPr="00F9454B">
        <w:rPr>
          <w:i/>
        </w:rPr>
        <w:t>International Security</w:t>
      </w:r>
      <w:r w:rsidRPr="00F9454B">
        <w:t>, Vol.</w:t>
      </w:r>
      <w:r w:rsidRPr="00F9454B">
        <w:rPr>
          <w:i/>
        </w:rPr>
        <w:t xml:space="preserve"> </w:t>
      </w:r>
      <w:r w:rsidRPr="00F9454B">
        <w:t xml:space="preserve">4, No.1 (Summer 2015), pp.9-46, pp.19-38; Charles L. Glaser &amp; Rosemary A. Kelanic, “Should the United States Stay in the Gulf?” in Glaser &amp; Kelanic eds., </w:t>
      </w:r>
      <w:r w:rsidRPr="00F9454B">
        <w:rPr>
          <w:i/>
        </w:rPr>
        <w:t xml:space="preserve">Crude Strategy: Rethinking the US Military Commitment to Protect Persian Gulf Oil </w:t>
      </w:r>
      <w:r w:rsidRPr="00F9454B">
        <w:t>(Washington, DC.: Georgetown University Press, 2016), pp.233-251, p.233.</w:t>
      </w:r>
    </w:p>
  </w:footnote>
  <w:footnote w:id="5">
    <w:p w:rsidR="0077004D" w:rsidRPr="00F9454B" w:rsidRDefault="0077004D" w:rsidP="00D53260">
      <w:pPr>
        <w:pStyle w:val="FootnoteText"/>
        <w:jc w:val="both"/>
      </w:pPr>
      <w:r w:rsidRPr="00F9454B">
        <w:rPr>
          <w:rStyle w:val="FootnoteReference"/>
        </w:rPr>
        <w:footnoteRef/>
      </w:r>
      <w:r w:rsidRPr="00F9454B">
        <w:t xml:space="preserve"> Kenneth Waltz, “The Emerging Structure of International Politics,” </w:t>
      </w:r>
      <w:r w:rsidRPr="00F9454B">
        <w:rPr>
          <w:i/>
        </w:rPr>
        <w:t>International Security</w:t>
      </w:r>
      <w:r w:rsidRPr="00F9454B">
        <w:t xml:space="preserve">, Vol.18, No. 2 (Fall 1993), pp.53-67, p.77; Michael Mastanduno and Ethan Kapstein, ‘Realism and State Strategies after the Cold War’ in </w:t>
      </w:r>
      <w:r w:rsidRPr="00F9454B">
        <w:rPr>
          <w:i/>
        </w:rPr>
        <w:t xml:space="preserve">Unipolar Politics </w:t>
      </w:r>
      <w:r w:rsidRPr="00F9454B">
        <w:t xml:space="preserve">(New York: Columbia University Press, 1999), pp.138-181, p.147; William C. Wohlforth, “The Stability of a Unipolar World,” </w:t>
      </w:r>
      <w:r w:rsidRPr="00F9454B">
        <w:rPr>
          <w:i/>
        </w:rPr>
        <w:t xml:space="preserve">International Security </w:t>
      </w:r>
      <w:r w:rsidRPr="00F9454B">
        <w:t>Vol.</w:t>
      </w:r>
      <w:r w:rsidRPr="00F9454B">
        <w:rPr>
          <w:i/>
        </w:rPr>
        <w:t xml:space="preserve"> </w:t>
      </w:r>
      <w:r w:rsidRPr="00F9454B">
        <w:t xml:space="preserve">24, No. 1 (Summer 1999), pp.5-41, p.37; John J. Mearsheimer, </w:t>
      </w:r>
      <w:r w:rsidRPr="00F9454B">
        <w:rPr>
          <w:i/>
        </w:rPr>
        <w:t xml:space="preserve">The Tragedy of Great Power Politics </w:t>
      </w:r>
      <w:r w:rsidRPr="00F9454B">
        <w:t>(N.Y, New York: WW Norton, 2001, 2014 edn.), pp.365-368;</w:t>
      </w:r>
      <w:r w:rsidRPr="00F9454B">
        <w:rPr>
          <w:i/>
        </w:rPr>
        <w:t xml:space="preserve"> </w:t>
      </w:r>
      <w:r w:rsidRPr="00F9454B">
        <w:t xml:space="preserve">Benjamin Miller, “Explaining Changes in US Grand Strategy,” </w:t>
      </w:r>
      <w:r w:rsidRPr="00F9454B">
        <w:rPr>
          <w:i/>
        </w:rPr>
        <w:t xml:space="preserve">Security Studies </w:t>
      </w:r>
      <w:r w:rsidRPr="00F9454B">
        <w:t>19 (2010), pp.26-65, pp.28-32.</w:t>
      </w:r>
    </w:p>
  </w:footnote>
  <w:footnote w:id="6">
    <w:p w:rsidR="0077004D" w:rsidRPr="00F9454B" w:rsidRDefault="0077004D" w:rsidP="00AD3E76">
      <w:pPr>
        <w:pStyle w:val="FootnoteText"/>
        <w:jc w:val="both"/>
      </w:pPr>
      <w:r w:rsidRPr="00F9454B">
        <w:rPr>
          <w:rStyle w:val="FootnoteReference"/>
        </w:rPr>
        <w:footnoteRef/>
      </w:r>
      <w:r w:rsidRPr="00F9454B">
        <w:t xml:space="preserve"> Colin Dueck, “Ideas and Alternatives in American Grand Strategy, 2000–2004,” </w:t>
      </w:r>
      <w:r w:rsidRPr="00F9454B">
        <w:rPr>
          <w:i/>
          <w:iCs/>
        </w:rPr>
        <w:t>Review of International Studies</w:t>
      </w:r>
      <w:r w:rsidRPr="00F9454B">
        <w:t xml:space="preserve">, Vol. 30, No.4 (2004), pp.511-535, p.512; Jeffrey W. Legro, </w:t>
      </w:r>
      <w:r w:rsidRPr="00F9454B">
        <w:rPr>
          <w:i/>
        </w:rPr>
        <w:t>Rethinking the World: Great Power Strategies and International Order</w:t>
      </w:r>
      <w:r w:rsidRPr="00F9454B">
        <w:t xml:space="preserve"> (Ithaca, N.Y.: Cornell Unive</w:t>
      </w:r>
      <w:r>
        <w:t>rsity Press, 2005), pp.7-8, p.</w:t>
      </w:r>
      <w:r w:rsidRPr="00F9454B">
        <w:t xml:space="preserve">15; Nuno P. Monteiro, </w:t>
      </w:r>
      <w:r w:rsidRPr="00F9454B">
        <w:rPr>
          <w:i/>
        </w:rPr>
        <w:t xml:space="preserve">Theory of Unipolar Politics </w:t>
      </w:r>
      <w:r w:rsidRPr="00F9454B">
        <w:t xml:space="preserve">(New York, N.Y.: Cambridge University Press, 2014), pp.70-71; Peter Feaver, “Debating American Grand Strategy After Major War,” </w:t>
      </w:r>
      <w:r w:rsidRPr="00F9454B">
        <w:rPr>
          <w:i/>
          <w:iCs/>
        </w:rPr>
        <w:t xml:space="preserve">Orbis </w:t>
      </w:r>
      <w:r w:rsidRPr="00F9454B">
        <w:rPr>
          <w:iCs/>
        </w:rPr>
        <w:t>Vol.</w:t>
      </w:r>
      <w:r w:rsidRPr="00F9454B">
        <w:t xml:space="preserve">53, No. 4 (2009), pp. </w:t>
      </w:r>
      <w:r w:rsidRPr="00F9454B">
        <w:rPr>
          <w:rStyle w:val="st"/>
        </w:rPr>
        <w:t xml:space="preserve">547-552, </w:t>
      </w:r>
      <w:r w:rsidRPr="00F9454B">
        <w:t xml:space="preserve">p.548; Christopher Layne, “From Preponderance to Offshore Balancing: America's Future Grand Strategy,” </w:t>
      </w:r>
      <w:r w:rsidRPr="00F9454B">
        <w:rPr>
          <w:i/>
        </w:rPr>
        <w:t>International Security</w:t>
      </w:r>
      <w:r w:rsidRPr="00F9454B">
        <w:t xml:space="preserve"> Vol.22, No. 1 (Summer 1997), pp.86-124, p.88; Peter Trubowitz, </w:t>
      </w:r>
      <w:r w:rsidRPr="00F9454B">
        <w:rPr>
          <w:i/>
        </w:rPr>
        <w:t xml:space="preserve">Politics and Strategy: Partisan Ambition &amp; American Statecraft </w:t>
      </w:r>
      <w:r w:rsidRPr="00F9454B">
        <w:t xml:space="preserve">(Princeton, N.J.: Princeton University Press, 2011), pp.9-10; Randall L. Schweller, </w:t>
      </w:r>
      <w:r w:rsidRPr="00F9454B">
        <w:rPr>
          <w:i/>
        </w:rPr>
        <w:t xml:space="preserve">Unanswered Threats: Political Constraints on the Balance of Power </w:t>
      </w:r>
      <w:r w:rsidRPr="00F9454B">
        <w:t xml:space="preserve">(Princeton, N.J.: Princeton University Press, 2008), pp.46-69; Richard N. Rosecrance </w:t>
      </w:r>
      <w:r w:rsidR="00D84E6C">
        <w:t>and Arthur A. Sein, eds.</w:t>
      </w:r>
      <w:r w:rsidRPr="00F9454B">
        <w:t xml:space="preserve">, </w:t>
      </w:r>
      <w:r w:rsidRPr="00F9454B">
        <w:rPr>
          <w:i/>
        </w:rPr>
        <w:t xml:space="preserve">The Domestic Bases of Grand Strategy </w:t>
      </w:r>
      <w:r w:rsidRPr="00F9454B">
        <w:t>(</w:t>
      </w:r>
      <w:r w:rsidR="00D84E6C">
        <w:t xml:space="preserve">Ithaca, N.Y.: </w:t>
      </w:r>
      <w:r w:rsidRPr="00F9454B">
        <w:t xml:space="preserve">Cornell University Press, 1993), pp.3-22; Stacie E. Goddard and Ronald R. Krebs, “Rhetoric, Legitimation and Grand Strategy,” </w:t>
      </w:r>
      <w:r w:rsidRPr="00F9454B">
        <w:rPr>
          <w:i/>
        </w:rPr>
        <w:t xml:space="preserve">Security Studies </w:t>
      </w:r>
      <w:r w:rsidRPr="00F9454B">
        <w:t xml:space="preserve">Vol. 24 (2015), pp.5-36, p.15; Brendan R. Green, “Two Concepts of Liberty: U.S. Cold War Grand Strategies and the Liberal Tradition,” </w:t>
      </w:r>
      <w:r w:rsidRPr="00F9454B">
        <w:rPr>
          <w:i/>
        </w:rPr>
        <w:t xml:space="preserve">International Security </w:t>
      </w:r>
      <w:r w:rsidRPr="00F9454B">
        <w:t>Vol.37, No.2 (Fall 2012), pp.9-43, pp.42-43.</w:t>
      </w:r>
    </w:p>
  </w:footnote>
  <w:footnote w:id="7">
    <w:p w:rsidR="0077004D" w:rsidRPr="00F9454B" w:rsidRDefault="0077004D" w:rsidP="002C590F">
      <w:pPr>
        <w:autoSpaceDE w:val="0"/>
        <w:autoSpaceDN w:val="0"/>
        <w:adjustRightInd w:val="0"/>
        <w:spacing w:after="0" w:line="240" w:lineRule="auto"/>
        <w:jc w:val="both"/>
        <w:rPr>
          <w:sz w:val="20"/>
          <w:szCs w:val="20"/>
        </w:rPr>
      </w:pPr>
      <w:r w:rsidRPr="00F9454B">
        <w:rPr>
          <w:rStyle w:val="FootnoteReference"/>
          <w:sz w:val="20"/>
          <w:szCs w:val="20"/>
        </w:rPr>
        <w:footnoteRef/>
      </w:r>
      <w:r w:rsidRPr="00F9454B">
        <w:rPr>
          <w:sz w:val="20"/>
          <w:szCs w:val="20"/>
        </w:rPr>
        <w:t xml:space="preserve"> Posen, </w:t>
      </w:r>
      <w:r w:rsidRPr="00F9454B">
        <w:rPr>
          <w:i/>
          <w:sz w:val="20"/>
          <w:szCs w:val="20"/>
        </w:rPr>
        <w:t>Restraint</w:t>
      </w:r>
      <w:r w:rsidRPr="00F9454B">
        <w:rPr>
          <w:sz w:val="20"/>
          <w:szCs w:val="20"/>
        </w:rPr>
        <w:t xml:space="preserve">, pp.69-131; Layne, </w:t>
      </w:r>
      <w:r w:rsidRPr="00F9454B">
        <w:rPr>
          <w:i/>
          <w:sz w:val="20"/>
          <w:szCs w:val="20"/>
        </w:rPr>
        <w:t>The Peace of Illusions</w:t>
      </w:r>
      <w:r w:rsidRPr="00F9454B">
        <w:rPr>
          <w:sz w:val="20"/>
          <w:szCs w:val="20"/>
        </w:rPr>
        <w:t xml:space="preserve">, pp.159-193; Eugene Gholz, Daryl G. Press &amp; Harvey M. Sapolsky, “Come Home America: The Strategy of Restraint in the Face of Temptation,” </w:t>
      </w:r>
      <w:r w:rsidRPr="00F9454B">
        <w:rPr>
          <w:i/>
          <w:sz w:val="20"/>
          <w:szCs w:val="20"/>
        </w:rPr>
        <w:t>International Security</w:t>
      </w:r>
      <w:r w:rsidRPr="00F9454B">
        <w:rPr>
          <w:sz w:val="20"/>
          <w:szCs w:val="20"/>
        </w:rPr>
        <w:t xml:space="preserve"> 21:4 (Spring 1997), pp.5-48; Joseph Parent &amp; Paul K. MacDonald, “Graceful Decline? The Surprising Success of Great Power Retrenchment,” </w:t>
      </w:r>
      <w:r w:rsidRPr="00F9454B">
        <w:rPr>
          <w:i/>
          <w:iCs/>
          <w:sz w:val="20"/>
          <w:szCs w:val="20"/>
        </w:rPr>
        <w:t>International Security</w:t>
      </w:r>
      <w:r w:rsidRPr="00F9454B">
        <w:rPr>
          <w:sz w:val="20"/>
          <w:szCs w:val="20"/>
        </w:rPr>
        <w:t>, Vol. 35, No. 4 (</w:t>
      </w:r>
      <w:r w:rsidR="00947F46">
        <w:rPr>
          <w:sz w:val="20"/>
          <w:szCs w:val="20"/>
        </w:rPr>
        <w:t xml:space="preserve">Spring </w:t>
      </w:r>
      <w:r w:rsidRPr="00F9454B">
        <w:rPr>
          <w:sz w:val="20"/>
          <w:szCs w:val="20"/>
        </w:rPr>
        <w:t>2011), pp.7-44</w:t>
      </w:r>
      <w:r w:rsidR="00366D6B">
        <w:rPr>
          <w:sz w:val="20"/>
          <w:szCs w:val="20"/>
        </w:rPr>
        <w:t>, pp.43-44</w:t>
      </w:r>
      <w:r w:rsidRPr="00F9454B">
        <w:rPr>
          <w:sz w:val="20"/>
          <w:szCs w:val="20"/>
        </w:rPr>
        <w:t xml:space="preserve">; Christopher A. Preble, </w:t>
      </w:r>
      <w:r w:rsidRPr="00F9454B">
        <w:rPr>
          <w:i/>
          <w:iCs/>
          <w:sz w:val="20"/>
          <w:szCs w:val="20"/>
        </w:rPr>
        <w:t xml:space="preserve">Power Problem: How American Military Dominance Makes Us Less Safe, Less Prosperous, and Less Free </w:t>
      </w:r>
      <w:r w:rsidRPr="00F9454B">
        <w:rPr>
          <w:sz w:val="20"/>
          <w:szCs w:val="20"/>
        </w:rPr>
        <w:t xml:space="preserve">(Ithaca, N.Y.: Cornell University Press, 2009), pp.135-164; Richard K. Betts, </w:t>
      </w:r>
      <w:r w:rsidRPr="00F9454B">
        <w:rPr>
          <w:rFonts w:eastAsia="Times New Roman"/>
          <w:sz w:val="20"/>
          <w:szCs w:val="20"/>
          <w:lang w:eastAsia="en-GB"/>
        </w:rPr>
        <w:t xml:space="preserve">“American Grand Strategy: Grand vs. Grandiose,” in Richard Fontaine and Kristin M. Lord, eds., </w:t>
      </w:r>
      <w:r w:rsidRPr="00F9454B">
        <w:rPr>
          <w:rFonts w:eastAsia="Times New Roman"/>
          <w:i/>
          <w:sz w:val="20"/>
          <w:szCs w:val="20"/>
          <w:lang w:eastAsia="en-GB"/>
        </w:rPr>
        <w:t>America’s Path: Grand Strategy for the Next Administration</w:t>
      </w:r>
      <w:r w:rsidRPr="00F9454B">
        <w:rPr>
          <w:rFonts w:eastAsia="Times New Roman"/>
          <w:sz w:val="20"/>
          <w:szCs w:val="20"/>
          <w:lang w:eastAsia="en-GB"/>
        </w:rPr>
        <w:t xml:space="preserve"> (Washington, D.C.: Center for A New American Security, 2012), pp.31-42, p.32; </w:t>
      </w:r>
      <w:r w:rsidRPr="00F9454B">
        <w:rPr>
          <w:sz w:val="20"/>
          <w:szCs w:val="20"/>
        </w:rPr>
        <w:t xml:space="preserve">Robert A. Pape, “Empire Falls,” </w:t>
      </w:r>
      <w:r w:rsidRPr="00F9454B">
        <w:rPr>
          <w:i/>
          <w:iCs/>
          <w:sz w:val="20"/>
          <w:szCs w:val="20"/>
        </w:rPr>
        <w:t xml:space="preserve">National Interest, </w:t>
      </w:r>
      <w:r w:rsidRPr="00F9454B">
        <w:rPr>
          <w:sz w:val="20"/>
          <w:szCs w:val="20"/>
        </w:rPr>
        <w:t xml:space="preserve">No. 99 (January/February 2009), pp. 21–34; Benjamin H. Friedman, Eugene Gholz, Daryl G. Press, and Harvey Sapolsky, “Restraining Order: For Strategic Modesty,” </w:t>
      </w:r>
      <w:r w:rsidRPr="00F9454B">
        <w:rPr>
          <w:i/>
          <w:iCs/>
          <w:sz w:val="20"/>
          <w:szCs w:val="20"/>
        </w:rPr>
        <w:t xml:space="preserve">World Affairs, </w:t>
      </w:r>
      <w:r w:rsidRPr="00F9454B">
        <w:rPr>
          <w:iCs/>
          <w:sz w:val="20"/>
          <w:szCs w:val="20"/>
        </w:rPr>
        <w:t>(</w:t>
      </w:r>
      <w:r w:rsidRPr="00F9454B">
        <w:rPr>
          <w:sz w:val="20"/>
          <w:szCs w:val="20"/>
        </w:rPr>
        <w:t xml:space="preserve">Fall 2009), pp. 84-94; John J. Mearsheimer and Stephen M. Walt, “The Case for Offshore Balancing: A Superior U.S. Grand Strategy,” </w:t>
      </w:r>
      <w:r w:rsidRPr="00F9454B">
        <w:rPr>
          <w:i/>
          <w:sz w:val="20"/>
          <w:szCs w:val="20"/>
        </w:rPr>
        <w:t xml:space="preserve">Foreign Affairs </w:t>
      </w:r>
      <w:r w:rsidRPr="00F9454B">
        <w:rPr>
          <w:sz w:val="20"/>
          <w:szCs w:val="20"/>
        </w:rPr>
        <w:t>Vol. 95, No. 4 (2016), pp.70-83.</w:t>
      </w:r>
    </w:p>
  </w:footnote>
  <w:footnote w:id="8">
    <w:p w:rsidR="0077004D" w:rsidRPr="00F9454B" w:rsidRDefault="0077004D" w:rsidP="004A17D3">
      <w:pPr>
        <w:pStyle w:val="FootnoteText"/>
        <w:jc w:val="both"/>
      </w:pPr>
      <w:r w:rsidRPr="00F9454B">
        <w:rPr>
          <w:rStyle w:val="FootnoteReference"/>
        </w:rPr>
        <w:footnoteRef/>
      </w:r>
      <w:r w:rsidRPr="00F9454B">
        <w:t xml:space="preserve"> Brooks, Ikenberry and Wohlforth, “Don’t Come Home America”; Robert J. Lieber, </w:t>
      </w:r>
      <w:r w:rsidRPr="00F9454B">
        <w:rPr>
          <w:i/>
        </w:rPr>
        <w:t>R</w:t>
      </w:r>
      <w:r w:rsidRPr="00F9454B">
        <w:rPr>
          <w:i/>
          <w:iCs/>
        </w:rPr>
        <w:t>etreat and Its Consequences: American Foreign Policy and the Problem of World Order</w:t>
      </w:r>
      <w:r w:rsidRPr="00F9454B">
        <w:t xml:space="preserve"> (Cambridge: Cambridge University Press, 2016), pp.89-139; </w:t>
      </w:r>
      <w:r w:rsidRPr="00F9454B">
        <w:rPr>
          <w:color w:val="000000"/>
        </w:rPr>
        <w:t>James R. Holmes and Toshi Yoshihara, “An Ocean Too Far: Offshore Balancing in the Indi</w:t>
      </w:r>
      <w:r w:rsidRPr="00F9454B">
        <w:rPr>
          <w:color w:val="000000"/>
        </w:rPr>
        <w:softHyphen/>
        <w:t xml:space="preserve">an Ocean,” </w:t>
      </w:r>
      <w:r w:rsidRPr="00F9454B">
        <w:rPr>
          <w:i/>
          <w:iCs/>
          <w:color w:val="000000"/>
        </w:rPr>
        <w:t>Asian Security</w:t>
      </w:r>
      <w:r w:rsidRPr="00F9454B">
        <w:rPr>
          <w:color w:val="000000"/>
        </w:rPr>
        <w:t>, Vol. 8, No. 1 (2012), pp. 1-26</w:t>
      </w:r>
      <w:r w:rsidR="008831DB">
        <w:rPr>
          <w:color w:val="000000"/>
        </w:rPr>
        <w:t>, pp.21-22</w:t>
      </w:r>
      <w:r w:rsidRPr="00F9454B">
        <w:rPr>
          <w:color w:val="000000"/>
        </w:rPr>
        <w:t xml:space="preserve">; Hal Brands and Peter D. Feaver, “Should America Retrench?” </w:t>
      </w:r>
      <w:r w:rsidRPr="00F9454B">
        <w:rPr>
          <w:i/>
          <w:color w:val="000000"/>
        </w:rPr>
        <w:t xml:space="preserve">Foreign Affairs </w:t>
      </w:r>
      <w:r w:rsidRPr="00F9454B">
        <w:rPr>
          <w:color w:val="000000"/>
        </w:rPr>
        <w:t>(2016), Vol. 95, No. 6,</w:t>
      </w:r>
      <w:r w:rsidRPr="00F9454B">
        <w:rPr>
          <w:i/>
          <w:color w:val="000000"/>
        </w:rPr>
        <w:t xml:space="preserve"> </w:t>
      </w:r>
      <w:r w:rsidR="00F876B9">
        <w:rPr>
          <w:color w:val="000000"/>
        </w:rPr>
        <w:t>pp.164-172, pp.168-169.</w:t>
      </w:r>
    </w:p>
  </w:footnote>
  <w:footnote w:id="9">
    <w:p w:rsidR="0077004D" w:rsidRPr="00F9454B" w:rsidRDefault="0077004D" w:rsidP="00541D12">
      <w:pPr>
        <w:autoSpaceDE w:val="0"/>
        <w:autoSpaceDN w:val="0"/>
        <w:adjustRightInd w:val="0"/>
        <w:spacing w:after="0" w:line="240" w:lineRule="auto"/>
        <w:jc w:val="both"/>
        <w:rPr>
          <w:sz w:val="20"/>
          <w:szCs w:val="20"/>
        </w:rPr>
      </w:pPr>
      <w:r w:rsidRPr="00F9454B">
        <w:rPr>
          <w:rStyle w:val="FootnoteReference"/>
          <w:sz w:val="20"/>
          <w:szCs w:val="20"/>
        </w:rPr>
        <w:footnoteRef/>
      </w:r>
      <w:r w:rsidRPr="00F9454B">
        <w:rPr>
          <w:sz w:val="20"/>
          <w:szCs w:val="20"/>
        </w:rPr>
        <w:t xml:space="preserve"> The aim of this article is to explain U</w:t>
      </w:r>
      <w:r w:rsidR="00F876B9">
        <w:rPr>
          <w:sz w:val="20"/>
          <w:szCs w:val="20"/>
        </w:rPr>
        <w:t>.</w:t>
      </w:r>
      <w:r w:rsidRPr="00F9454B">
        <w:rPr>
          <w:sz w:val="20"/>
          <w:szCs w:val="20"/>
        </w:rPr>
        <w:t>S</w:t>
      </w:r>
      <w:r w:rsidR="00F876B9">
        <w:rPr>
          <w:sz w:val="20"/>
          <w:szCs w:val="20"/>
        </w:rPr>
        <w:t>.</w:t>
      </w:r>
      <w:r w:rsidRPr="00F9454B">
        <w:rPr>
          <w:sz w:val="20"/>
          <w:szCs w:val="20"/>
        </w:rPr>
        <w:t xml:space="preserve"> grand strategy</w:t>
      </w:r>
      <w:r>
        <w:rPr>
          <w:sz w:val="20"/>
          <w:szCs w:val="20"/>
        </w:rPr>
        <w:t xml:space="preserve">. </w:t>
      </w:r>
      <w:r w:rsidRPr="00F9454B">
        <w:rPr>
          <w:sz w:val="20"/>
          <w:szCs w:val="20"/>
        </w:rPr>
        <w:t xml:space="preserve">Elsewhere, I </w:t>
      </w:r>
      <w:r>
        <w:rPr>
          <w:sz w:val="20"/>
          <w:szCs w:val="20"/>
        </w:rPr>
        <w:t>argue</w:t>
      </w:r>
      <w:r w:rsidRPr="00F9454B">
        <w:rPr>
          <w:sz w:val="20"/>
          <w:szCs w:val="20"/>
        </w:rPr>
        <w:t xml:space="preserve"> that a grand strategy of res</w:t>
      </w:r>
      <w:r>
        <w:rPr>
          <w:sz w:val="20"/>
          <w:szCs w:val="20"/>
        </w:rPr>
        <w:t>traint and power-sharing is a</w:t>
      </w:r>
      <w:r w:rsidRPr="00F9454B">
        <w:rPr>
          <w:sz w:val="20"/>
          <w:szCs w:val="20"/>
        </w:rPr>
        <w:t xml:space="preserve"> prudent</w:t>
      </w:r>
      <w:r>
        <w:rPr>
          <w:sz w:val="20"/>
          <w:szCs w:val="20"/>
        </w:rPr>
        <w:t xml:space="preserve"> alternative</w:t>
      </w:r>
      <w:r w:rsidRPr="00F9454B">
        <w:rPr>
          <w:sz w:val="20"/>
          <w:szCs w:val="20"/>
        </w:rPr>
        <w:t xml:space="preserve">: </w:t>
      </w:r>
      <w:r w:rsidRPr="00F9454B">
        <w:rPr>
          <w:i/>
          <w:iCs/>
          <w:sz w:val="20"/>
          <w:szCs w:val="20"/>
        </w:rPr>
        <w:t>Sharing Power? Prospects for a U</w:t>
      </w:r>
      <w:r>
        <w:rPr>
          <w:i/>
          <w:iCs/>
          <w:sz w:val="20"/>
          <w:szCs w:val="20"/>
        </w:rPr>
        <w:t>.</w:t>
      </w:r>
      <w:r w:rsidRPr="00F9454B">
        <w:rPr>
          <w:i/>
          <w:iCs/>
          <w:sz w:val="20"/>
          <w:szCs w:val="20"/>
        </w:rPr>
        <w:t>S</w:t>
      </w:r>
      <w:r>
        <w:rPr>
          <w:i/>
          <w:iCs/>
          <w:sz w:val="20"/>
          <w:szCs w:val="20"/>
        </w:rPr>
        <w:t>.</w:t>
      </w:r>
      <w:r w:rsidRPr="00F9454B">
        <w:rPr>
          <w:i/>
          <w:iCs/>
          <w:sz w:val="20"/>
          <w:szCs w:val="20"/>
        </w:rPr>
        <w:t xml:space="preserve"> Concert-Balance Strategy </w:t>
      </w:r>
      <w:r w:rsidRPr="00F9454B">
        <w:rPr>
          <w:sz w:val="20"/>
          <w:szCs w:val="20"/>
        </w:rPr>
        <w:t xml:space="preserve">(Carlisle, PA: Strategic Studies Institute, 2013). </w:t>
      </w:r>
      <w:r>
        <w:rPr>
          <w:sz w:val="20"/>
          <w:szCs w:val="20"/>
        </w:rPr>
        <w:t xml:space="preserve"> </w:t>
      </w:r>
    </w:p>
  </w:footnote>
  <w:footnote w:id="10">
    <w:p w:rsidR="0077004D" w:rsidRPr="00F9454B" w:rsidRDefault="0077004D" w:rsidP="00DE7E2C">
      <w:pPr>
        <w:pStyle w:val="FootnoteText"/>
        <w:jc w:val="both"/>
      </w:pPr>
      <w:r w:rsidRPr="00F9454B">
        <w:rPr>
          <w:rStyle w:val="FootnoteReference"/>
        </w:rPr>
        <w:footnoteRef/>
      </w:r>
      <w:r w:rsidRPr="00F9454B">
        <w:t xml:space="preserve"> Max Weber, </w:t>
      </w:r>
      <w:r w:rsidRPr="00F9454B">
        <w:rPr>
          <w:i/>
          <w:iCs/>
          <w:color w:val="000000"/>
        </w:rPr>
        <w:t>On the Methodology of the Social Sciences</w:t>
      </w:r>
      <w:r w:rsidRPr="00F9454B">
        <w:rPr>
          <w:color w:val="000000"/>
        </w:rPr>
        <w:t xml:space="preserve"> (Glencoe: Free Press, 1949), p.112; </w:t>
      </w:r>
      <w:r w:rsidRPr="00F9454B">
        <w:t xml:space="preserve">Ted Hopf, “The logic of habit in International Relations,” </w:t>
      </w:r>
      <w:r w:rsidRPr="00F9454B">
        <w:rPr>
          <w:i/>
        </w:rPr>
        <w:t xml:space="preserve">European Journal of International Relations </w:t>
      </w:r>
      <w:r w:rsidRPr="00F9454B">
        <w:t>Vol.16, No.4 (June 2010), pp.539-561, p.541.</w:t>
      </w:r>
    </w:p>
  </w:footnote>
  <w:footnote w:id="11">
    <w:p w:rsidR="0077004D" w:rsidRPr="00F9454B" w:rsidRDefault="0077004D" w:rsidP="00DE7E2C">
      <w:pPr>
        <w:pStyle w:val="FootnoteText"/>
        <w:jc w:val="both"/>
      </w:pPr>
      <w:r w:rsidRPr="00F9454B">
        <w:rPr>
          <w:rStyle w:val="FootnoteReference"/>
        </w:rPr>
        <w:footnoteRef/>
      </w:r>
      <w:r w:rsidRPr="00F9454B">
        <w:t xml:space="preserve"> See David Samuels, “The Aspiring Novelist who Became Obama’s Foreign Policy Guru,” </w:t>
      </w:r>
      <w:r w:rsidRPr="00F9454B">
        <w:rPr>
          <w:i/>
        </w:rPr>
        <w:t>The New York Times Magazine</w:t>
      </w:r>
      <w:r>
        <w:t xml:space="preserve"> May 5, 2016, p.27</w:t>
      </w:r>
      <w:r w:rsidRPr="00F9454B">
        <w:t xml:space="preserve">.  </w:t>
      </w:r>
    </w:p>
  </w:footnote>
  <w:footnote w:id="12">
    <w:p w:rsidR="0077004D" w:rsidRPr="00F9454B" w:rsidRDefault="0077004D" w:rsidP="006F5F69">
      <w:pPr>
        <w:pStyle w:val="FootnoteText"/>
        <w:jc w:val="both"/>
      </w:pPr>
      <w:r w:rsidRPr="00F9454B">
        <w:rPr>
          <w:rStyle w:val="FootnoteReference"/>
        </w:rPr>
        <w:footnoteRef/>
      </w:r>
      <w:r w:rsidRPr="00F9454B">
        <w:t xml:space="preserve"> </w:t>
      </w:r>
      <w:r w:rsidR="00896572">
        <w:t xml:space="preserve">As </w:t>
      </w:r>
      <w:r w:rsidRPr="00F9454B">
        <w:t>Nuno Monteiro</w:t>
      </w:r>
      <w:r w:rsidR="00896572">
        <w:t xml:space="preserve"> argues</w:t>
      </w:r>
      <w:r w:rsidRPr="00F9454B">
        <w:t xml:space="preserve">, “Unrest assured: Why Unipolarity is not Peaceful,” </w:t>
      </w:r>
      <w:r w:rsidRPr="00F9454B">
        <w:rPr>
          <w:i/>
        </w:rPr>
        <w:t>International Security</w:t>
      </w:r>
      <w:r w:rsidR="00AE48D4">
        <w:t>,</w:t>
      </w:r>
      <w:r w:rsidRPr="00F9454B">
        <w:rPr>
          <w:i/>
        </w:rPr>
        <w:t xml:space="preserve"> </w:t>
      </w:r>
      <w:r w:rsidRPr="00F9454B">
        <w:t>Vol.36, No. 3 (Winter 2011/12), pp.9-40, pp.11, pp.19-20.</w:t>
      </w:r>
    </w:p>
  </w:footnote>
  <w:footnote w:id="13">
    <w:p w:rsidR="0077004D" w:rsidRPr="00F9454B" w:rsidRDefault="0077004D" w:rsidP="00873FA3">
      <w:pPr>
        <w:pStyle w:val="FootnoteText"/>
        <w:jc w:val="both"/>
      </w:pPr>
      <w:r w:rsidRPr="00F9454B">
        <w:rPr>
          <w:rStyle w:val="FootnoteReference"/>
        </w:rPr>
        <w:footnoteRef/>
      </w:r>
      <w:r w:rsidRPr="00F9454B">
        <w:t xml:space="preserve"> </w:t>
      </w:r>
      <w:r w:rsidRPr="00F9454B">
        <w:rPr>
          <w:rStyle w:val="st"/>
        </w:rPr>
        <w:t xml:space="preserve">Steven Lobell, Norrin Ripsman &amp; Jeffrey Taliaferro, </w:t>
      </w:r>
      <w:r w:rsidRPr="00F9454B">
        <w:rPr>
          <w:i/>
        </w:rPr>
        <w:t>Neoclassical Realism and the State</w:t>
      </w:r>
      <w:r w:rsidRPr="00F9454B">
        <w:t xml:space="preserve"> (Cambridge: Cambridge University Press, 2009),</w:t>
      </w:r>
      <w:r w:rsidRPr="00F9454B">
        <w:rPr>
          <w:i/>
        </w:rPr>
        <w:t xml:space="preserve"> </w:t>
      </w:r>
      <w:r w:rsidRPr="00F9454B">
        <w:t>p.2.</w:t>
      </w:r>
    </w:p>
  </w:footnote>
  <w:footnote w:id="14">
    <w:p w:rsidR="0077004D" w:rsidRPr="00F9454B" w:rsidRDefault="0077004D" w:rsidP="00226830">
      <w:pPr>
        <w:pStyle w:val="FootnoteText"/>
        <w:jc w:val="both"/>
      </w:pPr>
      <w:r w:rsidRPr="00F9454B">
        <w:rPr>
          <w:rStyle w:val="FootnoteReference"/>
        </w:rPr>
        <w:footnoteRef/>
      </w:r>
      <w:r w:rsidRPr="00F9454B">
        <w:t xml:space="preserve"> Benjamin H. Friedman and Justin Logan, “Why Washington Doesn’t Debate Grand Strategy,” </w:t>
      </w:r>
      <w:r w:rsidRPr="00F9454B">
        <w:rPr>
          <w:i/>
        </w:rPr>
        <w:t>Strategic Studies Quarterly</w:t>
      </w:r>
      <w:r>
        <w:rPr>
          <w:i/>
        </w:rPr>
        <w:t xml:space="preserve"> </w:t>
      </w:r>
      <w:r>
        <w:t>Vol. 10, No. 4</w:t>
      </w:r>
      <w:r w:rsidRPr="00F9454B">
        <w:rPr>
          <w:i/>
        </w:rPr>
        <w:t xml:space="preserve"> </w:t>
      </w:r>
      <w:r w:rsidRPr="00F9454B">
        <w:t xml:space="preserve">(2016), pp.14-45, pp.14-17; Christopher Fettweis, </w:t>
      </w:r>
      <w:r w:rsidRPr="00F9454B">
        <w:rPr>
          <w:i/>
        </w:rPr>
        <w:t>Pathologies of Power: Fear, Honour, Glory, and Hubris in U</w:t>
      </w:r>
      <w:r>
        <w:rPr>
          <w:i/>
        </w:rPr>
        <w:t>.</w:t>
      </w:r>
      <w:r w:rsidRPr="00F9454B">
        <w:rPr>
          <w:i/>
        </w:rPr>
        <w:t>S</w:t>
      </w:r>
      <w:r>
        <w:rPr>
          <w:i/>
        </w:rPr>
        <w:t>.</w:t>
      </w:r>
      <w:r w:rsidRPr="00F9454B">
        <w:rPr>
          <w:i/>
        </w:rPr>
        <w:t xml:space="preserve"> Foreign Policy </w:t>
      </w:r>
      <w:r w:rsidRPr="00F9454B">
        <w:t>(Cambridge: Cambridge University Press, 2013),</w:t>
      </w:r>
      <w:r w:rsidRPr="00F9454B">
        <w:rPr>
          <w:b/>
        </w:rPr>
        <w:t xml:space="preserve"> </w:t>
      </w:r>
      <w:r w:rsidRPr="00F9454B">
        <w:t xml:space="preserve">pp.227-253; Hal Brands </w:t>
      </w:r>
      <w:r>
        <w:t>and</w:t>
      </w:r>
      <w:r w:rsidRPr="00F9454B">
        <w:t xml:space="preserve"> Peter Feaver, </w:t>
      </w:r>
      <w:r>
        <w:t>“</w:t>
      </w:r>
      <w:r w:rsidRPr="00F9454B">
        <w:t xml:space="preserve">Stress-Testing American Grand Strategy,” </w:t>
      </w:r>
      <w:r w:rsidRPr="00F9454B">
        <w:rPr>
          <w:i/>
        </w:rPr>
        <w:t>Survival</w:t>
      </w:r>
      <w:r>
        <w:t>,</w:t>
      </w:r>
      <w:r w:rsidRPr="00F9454B">
        <w:rPr>
          <w:i/>
        </w:rPr>
        <w:t xml:space="preserve"> </w:t>
      </w:r>
      <w:r w:rsidRPr="00F9454B">
        <w:t>Vol.58, No.6 (2016), pp.93-120, p.93.</w:t>
      </w:r>
    </w:p>
  </w:footnote>
  <w:footnote w:id="15">
    <w:p w:rsidR="0077004D" w:rsidRPr="00F9454B" w:rsidRDefault="0077004D" w:rsidP="00433945">
      <w:pPr>
        <w:pStyle w:val="FootnoteText"/>
        <w:jc w:val="both"/>
      </w:pPr>
      <w:r w:rsidRPr="00F9454B">
        <w:rPr>
          <w:rStyle w:val="FootnoteReference"/>
        </w:rPr>
        <w:footnoteRef/>
      </w:r>
      <w:r w:rsidRPr="00F9454B">
        <w:t xml:space="preserve"> </w:t>
      </w:r>
      <w:r w:rsidR="005C16F1">
        <w:t xml:space="preserve">See </w:t>
      </w:r>
      <w:r w:rsidRPr="00F9454B">
        <w:t xml:space="preserve">Zeki Sarigil, “Showing the path to path dependence,” </w:t>
      </w:r>
      <w:r w:rsidRPr="00F9454B">
        <w:rPr>
          <w:i/>
        </w:rPr>
        <w:t>European Political Science Review</w:t>
      </w:r>
      <w:r>
        <w:t>,</w:t>
      </w:r>
      <w:r w:rsidRPr="00F9454B">
        <w:rPr>
          <w:i/>
        </w:rPr>
        <w:t xml:space="preserve"> </w:t>
      </w:r>
      <w:r w:rsidRPr="00F9454B">
        <w:t xml:space="preserve">Vol.7, No.2 (2015), pp.221-242. </w:t>
      </w:r>
    </w:p>
  </w:footnote>
  <w:footnote w:id="16">
    <w:p w:rsidR="0077004D" w:rsidRPr="00F9454B" w:rsidRDefault="0077004D" w:rsidP="004D1545">
      <w:pPr>
        <w:pStyle w:val="FootnoteText"/>
        <w:jc w:val="both"/>
      </w:pPr>
      <w:r w:rsidRPr="00F9454B">
        <w:rPr>
          <w:rStyle w:val="FootnoteReference"/>
        </w:rPr>
        <w:footnoteRef/>
      </w:r>
      <w:r w:rsidRPr="00F9454B">
        <w:t xml:space="preserve"> Vincent Pouliot, “The logic of practicality: a theory of practice of security communities,” </w:t>
      </w:r>
      <w:r w:rsidRPr="00F9454B">
        <w:rPr>
          <w:i/>
        </w:rPr>
        <w:t>International Organisation</w:t>
      </w:r>
      <w:r>
        <w:t>,</w:t>
      </w:r>
      <w:r w:rsidRPr="00F9454B">
        <w:rPr>
          <w:i/>
        </w:rPr>
        <w:t xml:space="preserve"> </w:t>
      </w:r>
      <w:r w:rsidRPr="00F9454B">
        <w:t>Vol.62, No.2 (2008), pp.257-288, p.257.</w:t>
      </w:r>
    </w:p>
  </w:footnote>
  <w:footnote w:id="17">
    <w:p w:rsidR="0077004D" w:rsidRPr="00F9454B" w:rsidRDefault="0077004D" w:rsidP="006B2B63">
      <w:pPr>
        <w:pStyle w:val="FootnoteText"/>
        <w:jc w:val="both"/>
      </w:pPr>
      <w:r w:rsidRPr="00F9454B">
        <w:rPr>
          <w:rStyle w:val="FootnoteReference"/>
        </w:rPr>
        <w:footnoteRef/>
      </w:r>
      <w:r w:rsidRPr="00F9454B">
        <w:t xml:space="preserve"> Graham T. Allison, </w:t>
      </w:r>
      <w:r w:rsidRPr="00F9454B">
        <w:rPr>
          <w:i/>
        </w:rPr>
        <w:t xml:space="preserve">Essence of Decision: Explaining the Cuban Missile Crisis </w:t>
      </w:r>
      <w:r w:rsidRPr="00F9454B">
        <w:t xml:space="preserve">(Boston, Mass.: Little Brown, 1971); Morton H. Halperin, </w:t>
      </w:r>
      <w:r w:rsidRPr="00F9454B">
        <w:rPr>
          <w:i/>
        </w:rPr>
        <w:t xml:space="preserve">Bureaucratic Politics and Foreign Policy </w:t>
      </w:r>
      <w:r w:rsidRPr="00F9454B">
        <w:t>(Washington, D.C.: Brookings Institution, 1994).</w:t>
      </w:r>
    </w:p>
  </w:footnote>
  <w:footnote w:id="18">
    <w:p w:rsidR="0077004D" w:rsidRPr="00F9454B" w:rsidRDefault="0077004D" w:rsidP="00EC74B5">
      <w:pPr>
        <w:pStyle w:val="FootnoteText"/>
        <w:jc w:val="both"/>
      </w:pPr>
      <w:r w:rsidRPr="00F9454B">
        <w:rPr>
          <w:rStyle w:val="FootnoteReference"/>
        </w:rPr>
        <w:footnoteRef/>
      </w:r>
      <w:r w:rsidRPr="00F9454B">
        <w:t xml:space="preserve"> Ernest R. May, “The Nature of Foreign Policy: The Calculated versus the Axiomatic,” </w:t>
      </w:r>
      <w:r w:rsidRPr="00F9454B">
        <w:rPr>
          <w:i/>
        </w:rPr>
        <w:t>Daedelus</w:t>
      </w:r>
      <w:r>
        <w:t>,</w:t>
      </w:r>
      <w:r w:rsidRPr="00F9454B">
        <w:rPr>
          <w:i/>
        </w:rPr>
        <w:t xml:space="preserve"> </w:t>
      </w:r>
      <w:r w:rsidRPr="00F9454B">
        <w:t>Vol.91, No.4 (1962), pp.653-667, pp.666-7.</w:t>
      </w:r>
    </w:p>
  </w:footnote>
  <w:footnote w:id="19">
    <w:p w:rsidR="0077004D" w:rsidRPr="00F9454B" w:rsidRDefault="0077004D" w:rsidP="00A07B0A">
      <w:pPr>
        <w:autoSpaceDE w:val="0"/>
        <w:autoSpaceDN w:val="0"/>
        <w:adjustRightInd w:val="0"/>
        <w:spacing w:after="0" w:line="240" w:lineRule="auto"/>
        <w:jc w:val="both"/>
        <w:rPr>
          <w:sz w:val="20"/>
          <w:szCs w:val="20"/>
        </w:rPr>
      </w:pPr>
      <w:r w:rsidRPr="00F9454B">
        <w:rPr>
          <w:rStyle w:val="FootnoteReference"/>
          <w:sz w:val="20"/>
          <w:szCs w:val="20"/>
        </w:rPr>
        <w:footnoteRef/>
      </w:r>
      <w:r w:rsidRPr="00F9454B">
        <w:rPr>
          <w:sz w:val="20"/>
          <w:szCs w:val="20"/>
        </w:rPr>
        <w:t xml:space="preserve"> Winston Churchill, </w:t>
      </w:r>
      <w:r w:rsidRPr="00F9454B">
        <w:rPr>
          <w:i/>
          <w:iCs/>
          <w:sz w:val="20"/>
          <w:szCs w:val="20"/>
        </w:rPr>
        <w:t>The Second World War</w:t>
      </w:r>
      <w:r w:rsidRPr="00F9454B">
        <w:rPr>
          <w:sz w:val="20"/>
          <w:szCs w:val="20"/>
        </w:rPr>
        <w:t>, Vol. 1 (London: Cassell and Co., 1948), p.162.</w:t>
      </w:r>
    </w:p>
  </w:footnote>
  <w:footnote w:id="20">
    <w:p w:rsidR="0077004D" w:rsidRPr="00F9454B" w:rsidRDefault="0077004D" w:rsidP="007E391B">
      <w:pPr>
        <w:pStyle w:val="Default"/>
        <w:jc w:val="both"/>
        <w:rPr>
          <w:rFonts w:eastAsiaTheme="minorHAnsi"/>
          <w:sz w:val="20"/>
          <w:szCs w:val="20"/>
          <w:lang w:eastAsia="en-US"/>
        </w:rPr>
      </w:pPr>
      <w:r w:rsidRPr="00F9454B">
        <w:rPr>
          <w:rStyle w:val="FootnoteReference"/>
          <w:sz w:val="20"/>
          <w:szCs w:val="20"/>
        </w:rPr>
        <w:footnoteRef/>
      </w:r>
      <w:r w:rsidRPr="00F9454B">
        <w:rPr>
          <w:sz w:val="20"/>
          <w:szCs w:val="20"/>
        </w:rPr>
        <w:t xml:space="preserve"> </w:t>
      </w:r>
      <w:r>
        <w:rPr>
          <w:sz w:val="20"/>
          <w:szCs w:val="20"/>
        </w:rPr>
        <w:t>S</w:t>
      </w:r>
      <w:r w:rsidRPr="00F9454B">
        <w:rPr>
          <w:sz w:val="20"/>
          <w:szCs w:val="20"/>
        </w:rPr>
        <w:t xml:space="preserve">ee Paul Kennedy, </w:t>
      </w:r>
      <w:r w:rsidRPr="00F9454B">
        <w:rPr>
          <w:i/>
          <w:sz w:val="20"/>
          <w:szCs w:val="20"/>
        </w:rPr>
        <w:t>The Rise and Fall of Great Powers</w:t>
      </w:r>
      <w:r w:rsidRPr="00F9454B">
        <w:rPr>
          <w:sz w:val="20"/>
          <w:szCs w:val="20"/>
        </w:rPr>
        <w:t xml:space="preserve"> (New York, N.Y.: Random House, 198</w:t>
      </w:r>
      <w:r>
        <w:rPr>
          <w:sz w:val="20"/>
          <w:szCs w:val="20"/>
        </w:rPr>
        <w:t>7</w:t>
      </w:r>
      <w:r w:rsidRPr="00F9454B">
        <w:rPr>
          <w:sz w:val="20"/>
          <w:szCs w:val="20"/>
        </w:rPr>
        <w:t>), pp. 357</w:t>
      </w:r>
      <w:r w:rsidR="005C16F1">
        <w:rPr>
          <w:sz w:val="20"/>
          <w:szCs w:val="20"/>
        </w:rPr>
        <w:t>-</w:t>
      </w:r>
      <w:r w:rsidRPr="00F9454B">
        <w:rPr>
          <w:sz w:val="20"/>
          <w:szCs w:val="20"/>
        </w:rPr>
        <w:t>60.</w:t>
      </w:r>
    </w:p>
  </w:footnote>
  <w:footnote w:id="21">
    <w:p w:rsidR="0077004D" w:rsidRPr="00F9454B" w:rsidRDefault="0077004D" w:rsidP="0055775B">
      <w:pPr>
        <w:pStyle w:val="Default"/>
        <w:jc w:val="both"/>
        <w:rPr>
          <w:rFonts w:eastAsiaTheme="minorHAnsi"/>
          <w:sz w:val="20"/>
          <w:szCs w:val="20"/>
          <w:lang w:eastAsia="en-US"/>
        </w:rPr>
      </w:pPr>
      <w:r w:rsidRPr="00F9454B">
        <w:rPr>
          <w:rStyle w:val="FootnoteReference"/>
          <w:sz w:val="20"/>
          <w:szCs w:val="20"/>
        </w:rPr>
        <w:footnoteRef/>
      </w:r>
      <w:r w:rsidRPr="00F9454B">
        <w:rPr>
          <w:sz w:val="20"/>
          <w:szCs w:val="20"/>
        </w:rPr>
        <w:t xml:space="preserve"> Nicholas Kitchen, “Systemic Pressures and Domestic Ideas: A Neoclassical Realist Model of Grand Strategy Formation,” </w:t>
      </w:r>
      <w:r w:rsidRPr="00F9454B">
        <w:rPr>
          <w:i/>
          <w:sz w:val="20"/>
          <w:szCs w:val="20"/>
        </w:rPr>
        <w:t>Review of International Studies</w:t>
      </w:r>
      <w:r>
        <w:rPr>
          <w:sz w:val="20"/>
          <w:szCs w:val="20"/>
        </w:rPr>
        <w:t>,</w:t>
      </w:r>
      <w:r w:rsidRPr="00F9454B">
        <w:rPr>
          <w:sz w:val="20"/>
          <w:szCs w:val="20"/>
        </w:rPr>
        <w:t xml:space="preserve"> Vol. 36, No. 1 (2010), pp. 117-43, p.141.</w:t>
      </w:r>
    </w:p>
  </w:footnote>
  <w:footnote w:id="22">
    <w:p w:rsidR="0077004D" w:rsidRPr="00F9454B" w:rsidRDefault="0077004D" w:rsidP="00F00218">
      <w:pPr>
        <w:pStyle w:val="FootnoteText"/>
        <w:jc w:val="both"/>
      </w:pPr>
      <w:r w:rsidRPr="00F9454B">
        <w:rPr>
          <w:rStyle w:val="FootnoteReference"/>
        </w:rPr>
        <w:footnoteRef/>
      </w:r>
      <w:r w:rsidRPr="00F9454B">
        <w:t xml:space="preserve"> See David Ekbladh, “Present at the Creation: Edward Mead Earle and the Depression Era Origins of Security Studies,” </w:t>
      </w:r>
      <w:r w:rsidRPr="00F9454B">
        <w:rPr>
          <w:i/>
        </w:rPr>
        <w:t>International Security</w:t>
      </w:r>
      <w:r>
        <w:t>,</w:t>
      </w:r>
      <w:r w:rsidRPr="00F9454B">
        <w:t xml:space="preserve"> Vol.36, No.3 (</w:t>
      </w:r>
      <w:r>
        <w:t xml:space="preserve">Winter </w:t>
      </w:r>
      <w:r w:rsidRPr="00F9454B">
        <w:t>2011</w:t>
      </w:r>
      <w:r>
        <w:t>/12</w:t>
      </w:r>
      <w:r w:rsidRPr="00F9454B">
        <w:t>), pp.107-41.</w:t>
      </w:r>
    </w:p>
  </w:footnote>
  <w:footnote w:id="23">
    <w:p w:rsidR="0077004D" w:rsidRPr="00F9454B" w:rsidRDefault="0077004D" w:rsidP="00F56577">
      <w:pPr>
        <w:pStyle w:val="Default"/>
        <w:jc w:val="both"/>
        <w:rPr>
          <w:sz w:val="20"/>
          <w:szCs w:val="20"/>
        </w:rPr>
      </w:pPr>
      <w:r w:rsidRPr="00F9454B">
        <w:rPr>
          <w:rStyle w:val="FootnoteReference"/>
          <w:sz w:val="20"/>
          <w:szCs w:val="20"/>
        </w:rPr>
        <w:footnoteRef/>
      </w:r>
      <w:r w:rsidRPr="00F9454B">
        <w:rPr>
          <w:sz w:val="20"/>
          <w:szCs w:val="20"/>
        </w:rPr>
        <w:t xml:space="preserve"> Daniel Yergin, </w:t>
      </w:r>
      <w:r w:rsidRPr="00F9454B">
        <w:rPr>
          <w:i/>
          <w:sz w:val="20"/>
          <w:szCs w:val="20"/>
        </w:rPr>
        <w:t>Shattered Peace: The Origins of the Cold War and the National Security State</w:t>
      </w:r>
      <w:r w:rsidRPr="00F9454B">
        <w:rPr>
          <w:sz w:val="20"/>
          <w:szCs w:val="20"/>
        </w:rPr>
        <w:t xml:space="preserve"> (New York, N.Y.: Houghton Mifflin, 1978), pp.193-220; Melvyn P. Leffler, “The American Conception of National Security and the Beginnings of the Cold War,” </w:t>
      </w:r>
      <w:r w:rsidRPr="00F9454B">
        <w:rPr>
          <w:i/>
          <w:sz w:val="20"/>
          <w:szCs w:val="20"/>
        </w:rPr>
        <w:t>The American Historical Review</w:t>
      </w:r>
      <w:r>
        <w:rPr>
          <w:sz w:val="20"/>
          <w:szCs w:val="20"/>
        </w:rPr>
        <w:t>, Vol. 89, No.</w:t>
      </w:r>
      <w:r w:rsidRPr="00F9454B">
        <w:rPr>
          <w:sz w:val="20"/>
          <w:szCs w:val="20"/>
        </w:rPr>
        <w:t xml:space="preserve">2 (1984), pp. 346-81, pp.349-365; Michael S. Sherry, </w:t>
      </w:r>
      <w:r w:rsidRPr="00F9454B">
        <w:rPr>
          <w:i/>
          <w:sz w:val="20"/>
          <w:szCs w:val="20"/>
        </w:rPr>
        <w:t xml:space="preserve">In the Shadow of War: The United States since the 1930’s </w:t>
      </w:r>
      <w:r w:rsidRPr="00F9454B">
        <w:rPr>
          <w:sz w:val="20"/>
          <w:szCs w:val="20"/>
        </w:rPr>
        <w:t>(New Haven, Conn.: Yale University Press, 1995),</w:t>
      </w:r>
      <w:r w:rsidRPr="00F9454B">
        <w:rPr>
          <w:i/>
          <w:sz w:val="20"/>
          <w:szCs w:val="20"/>
        </w:rPr>
        <w:t xml:space="preserve"> </w:t>
      </w:r>
      <w:r w:rsidRPr="00F9454B">
        <w:rPr>
          <w:sz w:val="20"/>
          <w:szCs w:val="20"/>
        </w:rPr>
        <w:t xml:space="preserve">p.35.  </w:t>
      </w:r>
    </w:p>
  </w:footnote>
  <w:footnote w:id="24">
    <w:p w:rsidR="0077004D" w:rsidRPr="00F9454B" w:rsidRDefault="0077004D" w:rsidP="00C24A57">
      <w:pPr>
        <w:pStyle w:val="FootnoteText"/>
        <w:jc w:val="both"/>
      </w:pPr>
      <w:r w:rsidRPr="00F9454B">
        <w:rPr>
          <w:rStyle w:val="FootnoteReference"/>
        </w:rPr>
        <w:footnoteRef/>
      </w:r>
      <w:r w:rsidRPr="00F9454B">
        <w:t xml:space="preserve"> Godfrey Hodgson, </w:t>
      </w:r>
      <w:r w:rsidRPr="00F9454B">
        <w:rPr>
          <w:i/>
        </w:rPr>
        <w:t xml:space="preserve">The Colonel: The Life and Wars of Henry Stimson 1867-1950 </w:t>
      </w:r>
      <w:r w:rsidRPr="00F9454B">
        <w:t xml:space="preserve">(New York, N.Y.: Alfred A. Knopf, 1990), p.386. </w:t>
      </w:r>
    </w:p>
  </w:footnote>
  <w:footnote w:id="25">
    <w:p w:rsidR="0077004D" w:rsidRPr="00F9454B" w:rsidRDefault="0077004D" w:rsidP="00641549">
      <w:pPr>
        <w:pStyle w:val="FootnoteText"/>
        <w:jc w:val="both"/>
      </w:pPr>
      <w:r w:rsidRPr="00F9454B">
        <w:rPr>
          <w:rStyle w:val="FootnoteReference"/>
        </w:rPr>
        <w:footnoteRef/>
      </w:r>
      <w:r w:rsidRPr="00F9454B">
        <w:t xml:space="preserve"> Carl Gershman, “The Rise and Fall of the New Foreign Policy Establishment,” </w:t>
      </w:r>
      <w:r w:rsidRPr="00F9454B">
        <w:rPr>
          <w:i/>
        </w:rPr>
        <w:t>Commentary</w:t>
      </w:r>
      <w:r>
        <w:t>,</w:t>
      </w:r>
      <w:r w:rsidRPr="00F9454B">
        <w:rPr>
          <w:i/>
        </w:rPr>
        <w:t xml:space="preserve"> </w:t>
      </w:r>
      <w:r w:rsidRPr="00F9454B">
        <w:t xml:space="preserve">Vol.70, No.1 (1980), pp.13-24; James Mann, </w:t>
      </w:r>
      <w:r w:rsidRPr="00F9454B">
        <w:rPr>
          <w:i/>
        </w:rPr>
        <w:t xml:space="preserve">Rise of the Vulcans: The History of Bush’s War Cabinet </w:t>
      </w:r>
      <w:r w:rsidRPr="00F9454B">
        <w:t>(London: Penguin, 2004),</w:t>
      </w:r>
      <w:r w:rsidRPr="00F9454B">
        <w:rPr>
          <w:i/>
        </w:rPr>
        <w:t xml:space="preserve"> </w:t>
      </w:r>
      <w:r w:rsidRPr="00F9454B">
        <w:t>p.110.</w:t>
      </w:r>
    </w:p>
  </w:footnote>
  <w:footnote w:id="26">
    <w:p w:rsidR="0077004D" w:rsidRPr="00F9454B" w:rsidRDefault="0077004D" w:rsidP="00D6687E">
      <w:pPr>
        <w:autoSpaceDE w:val="0"/>
        <w:autoSpaceDN w:val="0"/>
        <w:adjustRightInd w:val="0"/>
        <w:spacing w:after="0" w:line="240" w:lineRule="auto"/>
        <w:jc w:val="both"/>
        <w:rPr>
          <w:sz w:val="20"/>
          <w:szCs w:val="20"/>
        </w:rPr>
      </w:pPr>
      <w:r w:rsidRPr="00F9454B">
        <w:rPr>
          <w:rStyle w:val="FootnoteReference"/>
          <w:sz w:val="20"/>
          <w:szCs w:val="20"/>
        </w:rPr>
        <w:footnoteRef/>
      </w:r>
      <w:r w:rsidRPr="00F9454B">
        <w:rPr>
          <w:sz w:val="20"/>
          <w:szCs w:val="20"/>
        </w:rPr>
        <w:t xml:space="preserve"> Lawrence Jacobs and Benjamin I. Page, “Who Influences U.S. Foreign Policy?” </w:t>
      </w:r>
      <w:r w:rsidRPr="00F9454B">
        <w:rPr>
          <w:i/>
          <w:iCs/>
          <w:sz w:val="20"/>
          <w:szCs w:val="20"/>
        </w:rPr>
        <w:t>American Political Science Review</w:t>
      </w:r>
      <w:r>
        <w:rPr>
          <w:iCs/>
          <w:sz w:val="20"/>
          <w:szCs w:val="20"/>
        </w:rPr>
        <w:t>,</w:t>
      </w:r>
      <w:r w:rsidRPr="00F9454B">
        <w:rPr>
          <w:i/>
          <w:iCs/>
          <w:sz w:val="20"/>
          <w:szCs w:val="20"/>
        </w:rPr>
        <w:t xml:space="preserve"> </w:t>
      </w:r>
      <w:r w:rsidRPr="00F9454B">
        <w:rPr>
          <w:iCs/>
          <w:sz w:val="20"/>
          <w:szCs w:val="20"/>
        </w:rPr>
        <w:t>Vol.</w:t>
      </w:r>
      <w:r w:rsidRPr="00F9454B">
        <w:rPr>
          <w:sz w:val="20"/>
          <w:szCs w:val="20"/>
        </w:rPr>
        <w:t>99, No.1 (2005), pp.107-123, p.121.</w:t>
      </w:r>
    </w:p>
  </w:footnote>
  <w:footnote w:id="27">
    <w:p w:rsidR="0077004D" w:rsidRPr="00F9454B" w:rsidRDefault="0077004D" w:rsidP="0016226E">
      <w:pPr>
        <w:pStyle w:val="FootnoteText"/>
        <w:jc w:val="both"/>
      </w:pPr>
      <w:r w:rsidRPr="00F9454B">
        <w:rPr>
          <w:rStyle w:val="FootnoteReference"/>
        </w:rPr>
        <w:footnoteRef/>
      </w:r>
      <w:r w:rsidRPr="00F9454B">
        <w:t xml:space="preserve"> Walter Isaacson and Evan Thomas, </w:t>
      </w:r>
      <w:r w:rsidRPr="00F9454B">
        <w:rPr>
          <w:i/>
        </w:rPr>
        <w:t xml:space="preserve">The Wise Men: Six Friends and the World They Made </w:t>
      </w:r>
      <w:r w:rsidRPr="00F9454B">
        <w:t>(New York, N.Y.: Simon and Schuster, 1986), p.25.</w:t>
      </w:r>
    </w:p>
  </w:footnote>
  <w:footnote w:id="28">
    <w:p w:rsidR="0077004D" w:rsidRPr="00F9454B" w:rsidRDefault="0077004D" w:rsidP="00DC06B0">
      <w:pPr>
        <w:pStyle w:val="FootnoteText"/>
        <w:jc w:val="both"/>
      </w:pPr>
      <w:r w:rsidRPr="00F9454B">
        <w:rPr>
          <w:rStyle w:val="FootnoteReference"/>
        </w:rPr>
        <w:footnoteRef/>
      </w:r>
      <w:r w:rsidRPr="00F9454B">
        <w:t xml:space="preserve"> Priscilla Roberts, “All the Right People: The Historiography of the American Foreign Policy Establishment,” </w:t>
      </w:r>
      <w:r w:rsidRPr="00F9454B">
        <w:rPr>
          <w:i/>
        </w:rPr>
        <w:t>Journal of American Studies</w:t>
      </w:r>
      <w:r>
        <w:t>,</w:t>
      </w:r>
      <w:r w:rsidRPr="00F9454B">
        <w:rPr>
          <w:i/>
        </w:rPr>
        <w:t xml:space="preserve"> </w:t>
      </w:r>
      <w:r w:rsidRPr="00F9454B">
        <w:t xml:space="preserve">Vol.26, No.3 (1992), pp.409-434; Inderjeet Parmar, </w:t>
      </w:r>
      <w:r w:rsidRPr="00F9454B">
        <w:rPr>
          <w:i/>
        </w:rPr>
        <w:t xml:space="preserve">Foundations of the Twentieth Century: The Ford, Carnegie and Rockefeller Foundations in the Rise of American Power </w:t>
      </w:r>
      <w:r w:rsidRPr="00F9454B">
        <w:t>(New York, N.Y.: Columbia University Press, 2012), pp.1-65,</w:t>
      </w:r>
      <w:r>
        <w:t xml:space="preserve"> pp.</w:t>
      </w:r>
      <w:r w:rsidRPr="00F9454B">
        <w:t xml:space="preserve"> 221-256.</w:t>
      </w:r>
    </w:p>
  </w:footnote>
  <w:footnote w:id="29">
    <w:p w:rsidR="0077004D" w:rsidRPr="00F9454B" w:rsidRDefault="0077004D" w:rsidP="00DC06B0">
      <w:pPr>
        <w:pStyle w:val="FootnoteText"/>
        <w:jc w:val="both"/>
      </w:pPr>
      <w:r w:rsidRPr="00F9454B">
        <w:rPr>
          <w:rStyle w:val="FootnoteReference"/>
        </w:rPr>
        <w:footnoteRef/>
      </w:r>
      <w:r w:rsidRPr="00F9454B">
        <w:t xml:space="preserve"> Bastian Van Apeldoorn and Nana de Graaff, “Corporate Elite Networks and US post-Cold War grand strategy from Clinton to Obama,” </w:t>
      </w:r>
      <w:r w:rsidRPr="00F9454B">
        <w:rPr>
          <w:i/>
        </w:rPr>
        <w:t>European Journal of International Relations</w:t>
      </w:r>
      <w:r>
        <w:t>,</w:t>
      </w:r>
      <w:r w:rsidRPr="00F9454B">
        <w:rPr>
          <w:i/>
        </w:rPr>
        <w:t xml:space="preserve"> </w:t>
      </w:r>
      <w:r w:rsidRPr="00F9454B">
        <w:t>Vol.20, No.1</w:t>
      </w:r>
      <w:r w:rsidRPr="00F9454B">
        <w:rPr>
          <w:i/>
        </w:rPr>
        <w:t xml:space="preserve"> </w:t>
      </w:r>
      <w:r w:rsidRPr="00F9454B">
        <w:t xml:space="preserve">(2014), pp.29-55, </w:t>
      </w:r>
      <w:r>
        <w:t>p.</w:t>
      </w:r>
      <w:r w:rsidRPr="00F9454B">
        <w:t>34,</w:t>
      </w:r>
      <w:r>
        <w:t xml:space="preserve"> pp.</w:t>
      </w:r>
      <w:r w:rsidRPr="00F9454B">
        <w:t xml:space="preserve"> 44-45.</w:t>
      </w:r>
    </w:p>
  </w:footnote>
  <w:footnote w:id="30">
    <w:p w:rsidR="0077004D" w:rsidRPr="00F9454B" w:rsidRDefault="0077004D" w:rsidP="00964A1C">
      <w:pPr>
        <w:pStyle w:val="FootnoteText"/>
        <w:jc w:val="both"/>
      </w:pPr>
      <w:r w:rsidRPr="00F9454B">
        <w:rPr>
          <w:rStyle w:val="FootnoteReference"/>
        </w:rPr>
        <w:footnoteRef/>
      </w:r>
      <w:r w:rsidRPr="00F9454B">
        <w:t xml:space="preserve"> White House, </w:t>
      </w:r>
      <w:r w:rsidRPr="00F9454B">
        <w:rPr>
          <w:i/>
        </w:rPr>
        <w:t>A National Security Strategy of Engagement and Enlargement</w:t>
      </w:r>
      <w:r w:rsidRPr="00F9454B">
        <w:t xml:space="preserve"> (Washington DC: July 1994), p.5.</w:t>
      </w:r>
    </w:p>
  </w:footnote>
  <w:footnote w:id="31">
    <w:p w:rsidR="0077004D" w:rsidRPr="00F9454B" w:rsidRDefault="0077004D" w:rsidP="008F4B07">
      <w:pPr>
        <w:pStyle w:val="FootnoteText"/>
        <w:jc w:val="both"/>
      </w:pPr>
      <w:r w:rsidRPr="00F9454B">
        <w:rPr>
          <w:rStyle w:val="FootnoteReference"/>
        </w:rPr>
        <w:footnoteRef/>
      </w:r>
      <w:r w:rsidRPr="00F9454B">
        <w:t xml:space="preserve"> Richard N. Haass, Director, Policy Planning Staff, “Think Tanks and U.S. Foreign Policy,” November </w:t>
      </w:r>
      <w:r>
        <w:t xml:space="preserve">1, </w:t>
      </w:r>
      <w:r w:rsidRPr="00F9454B">
        <w:t>2002, https://2001-2009.state.gov/s/p/rem/15506.htm.</w:t>
      </w:r>
    </w:p>
  </w:footnote>
  <w:footnote w:id="32">
    <w:p w:rsidR="0077004D" w:rsidRPr="00F9454B" w:rsidRDefault="0077004D" w:rsidP="00964A1C">
      <w:pPr>
        <w:pStyle w:val="FootnoteText"/>
        <w:jc w:val="both"/>
      </w:pPr>
      <w:r w:rsidRPr="00F9454B">
        <w:rPr>
          <w:rStyle w:val="FootnoteReference"/>
        </w:rPr>
        <w:footnoteRef/>
      </w:r>
      <w:r w:rsidRPr="00F9454B">
        <w:t xml:space="preserve"> </w:t>
      </w:r>
      <w:r w:rsidRPr="00F9454B">
        <w:rPr>
          <w:iCs/>
        </w:rPr>
        <w:t xml:space="preserve">Leslie H. Gelb and Jeanne-Paloma Zelmati, “Mission Not Accomplished,” </w:t>
      </w:r>
      <w:r w:rsidRPr="00F9454B">
        <w:rPr>
          <w:i/>
          <w:iCs/>
        </w:rPr>
        <w:t xml:space="preserve">Democracy </w:t>
      </w:r>
      <w:r w:rsidRPr="00F9454B">
        <w:rPr>
          <w:iCs/>
        </w:rPr>
        <w:t>Vol. 13 (2009), pp. 1-24.</w:t>
      </w:r>
    </w:p>
  </w:footnote>
  <w:footnote w:id="33">
    <w:p w:rsidR="0077004D" w:rsidRPr="00F9454B" w:rsidRDefault="0077004D" w:rsidP="008F4B07">
      <w:pPr>
        <w:pStyle w:val="FootnoteText"/>
        <w:jc w:val="both"/>
      </w:pPr>
      <w:r w:rsidRPr="00F9454B">
        <w:rPr>
          <w:rStyle w:val="FootnoteReference"/>
        </w:rPr>
        <w:footnoteRef/>
      </w:r>
      <w:r w:rsidRPr="00F9454B">
        <w:rPr>
          <w:iCs/>
        </w:rPr>
        <w:t xml:space="preserve"> Derek Chollet, </w:t>
      </w:r>
      <w:r w:rsidRPr="00F9454B">
        <w:rPr>
          <w:i/>
          <w:iCs/>
        </w:rPr>
        <w:t>The Long Game: How Obama Defied Washington and Redefined America’s Role in the World</w:t>
      </w:r>
      <w:r w:rsidRPr="00F9454B">
        <w:rPr>
          <w:iCs/>
        </w:rPr>
        <w:t xml:space="preserve"> (New York, N.Y.: Public Affairs, 2016),</w:t>
      </w:r>
      <w:r w:rsidRPr="00F9454B">
        <w:rPr>
          <w:i/>
          <w:iCs/>
        </w:rPr>
        <w:t xml:space="preserve"> </w:t>
      </w:r>
      <w:r w:rsidRPr="00F9454B">
        <w:rPr>
          <w:iCs/>
        </w:rPr>
        <w:t>pp. xii, xviii.</w:t>
      </w:r>
    </w:p>
  </w:footnote>
  <w:footnote w:id="34">
    <w:p w:rsidR="0077004D" w:rsidRPr="00F9454B" w:rsidRDefault="0077004D" w:rsidP="008F4B07">
      <w:pPr>
        <w:pStyle w:val="FootnoteText"/>
        <w:jc w:val="both"/>
      </w:pPr>
      <w:r w:rsidRPr="00F9454B">
        <w:rPr>
          <w:rStyle w:val="FootnoteReference"/>
        </w:rPr>
        <w:footnoteRef/>
      </w:r>
      <w:r w:rsidRPr="00F9454B">
        <w:t xml:space="preserve"> Michael Mandelbaum, </w:t>
      </w:r>
      <w:r w:rsidRPr="00F9454B">
        <w:rPr>
          <w:i/>
        </w:rPr>
        <w:t xml:space="preserve">The Frugal Superpower: America’s Global Leadership in a Cash-Strapped Era </w:t>
      </w:r>
      <w:r w:rsidRPr="00F9454B">
        <w:t xml:space="preserve">(New York, N.Y.: Public Affairs, 2010), p.32. </w:t>
      </w:r>
    </w:p>
  </w:footnote>
  <w:footnote w:id="35">
    <w:p w:rsidR="0077004D" w:rsidRPr="00F9454B" w:rsidRDefault="0077004D" w:rsidP="0036270E">
      <w:pPr>
        <w:autoSpaceDE w:val="0"/>
        <w:autoSpaceDN w:val="0"/>
        <w:adjustRightInd w:val="0"/>
        <w:spacing w:after="0" w:line="240" w:lineRule="auto"/>
        <w:jc w:val="both"/>
        <w:rPr>
          <w:i/>
          <w:iCs/>
          <w:sz w:val="20"/>
          <w:szCs w:val="20"/>
        </w:rPr>
      </w:pPr>
      <w:r w:rsidRPr="00F9454B">
        <w:rPr>
          <w:rStyle w:val="FootnoteReference"/>
          <w:sz w:val="20"/>
          <w:szCs w:val="20"/>
        </w:rPr>
        <w:footnoteRef/>
      </w:r>
      <w:r w:rsidRPr="00F9454B">
        <w:rPr>
          <w:sz w:val="20"/>
          <w:szCs w:val="20"/>
        </w:rPr>
        <w:t xml:space="preserve"> See Chaim Kauffman, “Threat Inflation and the Failure of the Marketplace of Ideas,” </w:t>
      </w:r>
      <w:r w:rsidRPr="00F9454B">
        <w:rPr>
          <w:i/>
          <w:sz w:val="20"/>
          <w:szCs w:val="20"/>
        </w:rPr>
        <w:t>International Security</w:t>
      </w:r>
      <w:r>
        <w:rPr>
          <w:sz w:val="20"/>
          <w:szCs w:val="20"/>
        </w:rPr>
        <w:t>,</w:t>
      </w:r>
      <w:r w:rsidRPr="00F9454B">
        <w:rPr>
          <w:i/>
          <w:sz w:val="20"/>
          <w:szCs w:val="20"/>
        </w:rPr>
        <w:t xml:space="preserve"> </w:t>
      </w:r>
      <w:r w:rsidRPr="00F9454B">
        <w:rPr>
          <w:sz w:val="20"/>
          <w:szCs w:val="20"/>
        </w:rPr>
        <w:t>Vol.29, No.1 (Summer 2004), pp.5-48, p.5.</w:t>
      </w:r>
    </w:p>
  </w:footnote>
  <w:footnote w:id="36">
    <w:p w:rsidR="0077004D" w:rsidRPr="00F9454B" w:rsidRDefault="0077004D" w:rsidP="00B44640">
      <w:pPr>
        <w:pStyle w:val="FootnoteText"/>
        <w:jc w:val="both"/>
      </w:pPr>
      <w:r w:rsidRPr="00F9454B">
        <w:rPr>
          <w:rStyle w:val="FootnoteReference"/>
        </w:rPr>
        <w:footnoteRef/>
      </w:r>
      <w:r w:rsidRPr="00F9454B">
        <w:t xml:space="preserve"> John Darwin, “British Decolonisation since 1945: A Pattern or a Puzzle?” </w:t>
      </w:r>
      <w:r w:rsidRPr="00F9454B">
        <w:rPr>
          <w:i/>
        </w:rPr>
        <w:t>The Journal of Imperial and Commonwealth History</w:t>
      </w:r>
      <w:r>
        <w:t>,</w:t>
      </w:r>
      <w:r w:rsidRPr="00F9454B">
        <w:t xml:space="preserve"> Vol.12, No.2 (1984), pp.187-209, p.188. </w:t>
      </w:r>
    </w:p>
  </w:footnote>
  <w:footnote w:id="37">
    <w:p w:rsidR="0077004D" w:rsidRPr="00F9454B" w:rsidRDefault="0077004D" w:rsidP="005E1ACD">
      <w:pPr>
        <w:pStyle w:val="FootnoteText"/>
        <w:jc w:val="both"/>
      </w:pPr>
      <w:r w:rsidRPr="00F9454B">
        <w:rPr>
          <w:rStyle w:val="FootnoteReference"/>
        </w:rPr>
        <w:footnoteRef/>
      </w:r>
      <w:r w:rsidRPr="00F9454B">
        <w:t xml:space="preserve"> On this case, see Hal Brands, </w:t>
      </w:r>
      <w:r w:rsidRPr="00F9454B">
        <w:rPr>
          <w:i/>
        </w:rPr>
        <w:t xml:space="preserve">What Good is Grand Strategy? </w:t>
      </w:r>
      <w:r w:rsidRPr="00F9454B">
        <w:t>(New York, N.Y: Cornell University Press, 2014), pp.85-86.</w:t>
      </w:r>
    </w:p>
  </w:footnote>
  <w:footnote w:id="38">
    <w:p w:rsidR="0077004D" w:rsidRPr="00F9454B" w:rsidRDefault="0077004D" w:rsidP="00791777">
      <w:pPr>
        <w:pStyle w:val="FootnoteText"/>
        <w:jc w:val="both"/>
      </w:pPr>
      <w:r w:rsidRPr="00F9454B">
        <w:rPr>
          <w:rStyle w:val="FootnoteReference"/>
        </w:rPr>
        <w:footnoteRef/>
      </w:r>
      <w:r w:rsidRPr="00F9454B">
        <w:t xml:space="preserve"> Dan Caldwell, “The Legitimation of the Nixon-Kissinger Grand Design and Grand Strategy,” </w:t>
      </w:r>
      <w:r w:rsidRPr="00F9454B">
        <w:rPr>
          <w:i/>
        </w:rPr>
        <w:t>Diplomatic History</w:t>
      </w:r>
      <w:r>
        <w:t>,</w:t>
      </w:r>
      <w:r w:rsidRPr="00F9454B">
        <w:rPr>
          <w:i/>
        </w:rPr>
        <w:t xml:space="preserve"> </w:t>
      </w:r>
      <w:r w:rsidRPr="00F9454B">
        <w:t>Vol.33, No. 4 (2009), pp.633-652, pp.634-642.</w:t>
      </w:r>
    </w:p>
  </w:footnote>
  <w:footnote w:id="39">
    <w:p w:rsidR="0077004D" w:rsidRPr="00F9454B" w:rsidRDefault="0077004D" w:rsidP="003776C0">
      <w:pPr>
        <w:pStyle w:val="FootnoteText"/>
        <w:jc w:val="both"/>
      </w:pPr>
      <w:r w:rsidRPr="00F9454B">
        <w:rPr>
          <w:rStyle w:val="FootnoteReference"/>
        </w:rPr>
        <w:footnoteRef/>
      </w:r>
      <w:r w:rsidRPr="00F9454B">
        <w:t xml:space="preserve"> Robert Jervis, “Understanding Beliefs,” </w:t>
      </w:r>
      <w:r w:rsidRPr="00F9454B">
        <w:rPr>
          <w:i/>
        </w:rPr>
        <w:t>Political Psychology</w:t>
      </w:r>
      <w:r>
        <w:t>,</w:t>
      </w:r>
      <w:r w:rsidRPr="00F9454B">
        <w:rPr>
          <w:i/>
        </w:rPr>
        <w:t xml:space="preserve"> </w:t>
      </w:r>
      <w:r w:rsidRPr="00F9454B">
        <w:t>Vol.27, No.5 (2006), pp.641-663.</w:t>
      </w:r>
    </w:p>
  </w:footnote>
  <w:footnote w:id="40">
    <w:p w:rsidR="0077004D" w:rsidRPr="00F9454B" w:rsidRDefault="0077004D" w:rsidP="00351517">
      <w:pPr>
        <w:pStyle w:val="Default"/>
        <w:ind w:right="-46"/>
        <w:jc w:val="both"/>
        <w:rPr>
          <w:sz w:val="20"/>
          <w:szCs w:val="20"/>
        </w:rPr>
      </w:pPr>
      <w:r w:rsidRPr="00F9454B">
        <w:rPr>
          <w:rStyle w:val="FootnoteReference"/>
          <w:sz w:val="20"/>
          <w:szCs w:val="20"/>
        </w:rPr>
        <w:footnoteRef/>
      </w:r>
      <w:r w:rsidRPr="00F9454B">
        <w:rPr>
          <w:sz w:val="20"/>
          <w:szCs w:val="20"/>
        </w:rPr>
        <w:t xml:space="preserve"> Charles A. Kupchan, </w:t>
      </w:r>
      <w:r w:rsidRPr="00F9454B">
        <w:rPr>
          <w:i/>
          <w:sz w:val="20"/>
          <w:szCs w:val="20"/>
        </w:rPr>
        <w:t xml:space="preserve">The Vulnerability of Empire </w:t>
      </w:r>
      <w:r w:rsidRPr="00F9454B">
        <w:rPr>
          <w:sz w:val="20"/>
          <w:szCs w:val="20"/>
        </w:rPr>
        <w:t xml:space="preserve">(Ithaca, N.Y.: Cornell University Press, 1994), pp.3-4, 33-105.  </w:t>
      </w:r>
    </w:p>
  </w:footnote>
  <w:footnote w:id="41">
    <w:p w:rsidR="0077004D" w:rsidRPr="00F9454B" w:rsidRDefault="0077004D" w:rsidP="008222D7">
      <w:pPr>
        <w:pStyle w:val="FootnoteText"/>
        <w:jc w:val="both"/>
        <w:rPr>
          <w:i/>
        </w:rPr>
      </w:pPr>
      <w:r w:rsidRPr="00F9454B">
        <w:rPr>
          <w:rStyle w:val="FootnoteReference"/>
        </w:rPr>
        <w:footnoteRef/>
      </w:r>
      <w:r w:rsidRPr="00F9454B">
        <w:t xml:space="preserve"> On the continuities of the Bush Doctrine with historical precedents, see Melvyn P. Leffler, “9/11 in Retrospect: George W. Bush’s Grand Strategy, Reconsidered,” </w:t>
      </w:r>
      <w:r w:rsidRPr="00F9454B">
        <w:rPr>
          <w:i/>
        </w:rPr>
        <w:t xml:space="preserve">Foreign Affairs </w:t>
      </w:r>
      <w:r w:rsidRPr="00F9454B">
        <w:t xml:space="preserve">Vol.90, No.5 (2011), pp.36-44; John Lewis Gaddis, </w:t>
      </w:r>
      <w:r w:rsidRPr="00F9454B">
        <w:rPr>
          <w:i/>
        </w:rPr>
        <w:t xml:space="preserve">Surprise, Security and the American Experience </w:t>
      </w:r>
      <w:r w:rsidRPr="00F9454B">
        <w:t>(Cambridge, Mass.: Harvard University Press, 2004),</w:t>
      </w:r>
      <w:r w:rsidRPr="00F9454B">
        <w:rPr>
          <w:i/>
        </w:rPr>
        <w:t xml:space="preserve"> </w:t>
      </w:r>
      <w:r w:rsidRPr="00F9454B">
        <w:t>p.37.</w:t>
      </w:r>
    </w:p>
  </w:footnote>
  <w:footnote w:id="42">
    <w:p w:rsidR="0077004D" w:rsidRPr="00F9454B" w:rsidRDefault="0077004D" w:rsidP="004D1545">
      <w:pPr>
        <w:pStyle w:val="FootnoteText"/>
        <w:jc w:val="both"/>
      </w:pPr>
      <w:r w:rsidRPr="00F9454B">
        <w:rPr>
          <w:rStyle w:val="FootnoteReference"/>
        </w:rPr>
        <w:footnoteRef/>
      </w:r>
      <w:r w:rsidRPr="00F9454B">
        <w:t xml:space="preserve"> For the history, see James D. Boys, </w:t>
      </w:r>
      <w:r w:rsidRPr="00F9454B">
        <w:rPr>
          <w:i/>
        </w:rPr>
        <w:t xml:space="preserve">Clinton's Grand Strategy: U.S. Foreign Policy in a Post-Cold War World </w:t>
      </w:r>
      <w:r w:rsidRPr="00F9454B">
        <w:t xml:space="preserve">(New York: Bloomsbury, 2015); James Goldgeier &amp; Derek Chollet, </w:t>
      </w:r>
      <w:r w:rsidRPr="00F9454B">
        <w:rPr>
          <w:i/>
        </w:rPr>
        <w:t xml:space="preserve">America Between the Wars: From 11/9 to 9/11 </w:t>
      </w:r>
      <w:r w:rsidRPr="00F9454B">
        <w:t>(New York: Public Affairs, 2008).</w:t>
      </w:r>
    </w:p>
  </w:footnote>
  <w:footnote w:id="43">
    <w:p w:rsidR="0077004D" w:rsidRPr="00F9454B" w:rsidRDefault="0077004D" w:rsidP="001774C0">
      <w:pPr>
        <w:pStyle w:val="Default"/>
        <w:jc w:val="both"/>
        <w:rPr>
          <w:rFonts w:eastAsiaTheme="minorHAnsi"/>
          <w:sz w:val="20"/>
          <w:szCs w:val="20"/>
          <w:lang w:eastAsia="en-US"/>
        </w:rPr>
      </w:pPr>
      <w:r w:rsidRPr="00F9454B">
        <w:rPr>
          <w:rStyle w:val="FootnoteReference"/>
          <w:sz w:val="20"/>
          <w:szCs w:val="20"/>
        </w:rPr>
        <w:footnoteRef/>
      </w:r>
      <w:r w:rsidRPr="00F9454B">
        <w:rPr>
          <w:sz w:val="20"/>
          <w:szCs w:val="20"/>
        </w:rPr>
        <w:t xml:space="preserve"> See Harry Eckstein, “Case Studies and Theory in Political Science,” in Fred Greenstein and Nelson W. Polsby, eds., </w:t>
      </w:r>
      <w:r w:rsidRPr="00F9454B">
        <w:rPr>
          <w:i/>
          <w:iCs/>
          <w:sz w:val="20"/>
          <w:szCs w:val="20"/>
        </w:rPr>
        <w:t>Handbook of Political Science</w:t>
      </w:r>
      <w:r w:rsidRPr="00F9454B">
        <w:rPr>
          <w:sz w:val="20"/>
          <w:szCs w:val="20"/>
        </w:rPr>
        <w:t xml:space="preserve">, Vol. VII, </w:t>
      </w:r>
      <w:r w:rsidRPr="00F9454B">
        <w:rPr>
          <w:i/>
          <w:iCs/>
          <w:sz w:val="20"/>
          <w:szCs w:val="20"/>
        </w:rPr>
        <w:t>Strategies of Inquiry</w:t>
      </w:r>
      <w:r w:rsidRPr="00F9454B">
        <w:rPr>
          <w:sz w:val="20"/>
          <w:szCs w:val="20"/>
        </w:rPr>
        <w:t>, (Reading: Addison-Wesley, 1975), pp.79-137.</w:t>
      </w:r>
    </w:p>
  </w:footnote>
  <w:footnote w:id="44">
    <w:p w:rsidR="0077004D" w:rsidRPr="00F9454B" w:rsidRDefault="0077004D" w:rsidP="004D1545">
      <w:pPr>
        <w:pStyle w:val="FootnoteText"/>
        <w:jc w:val="both"/>
      </w:pPr>
      <w:r w:rsidRPr="00F9454B">
        <w:rPr>
          <w:rStyle w:val="FootnoteReference"/>
        </w:rPr>
        <w:footnoteRef/>
      </w:r>
      <w:r w:rsidRPr="00F9454B">
        <w:t xml:space="preserve"> For the rationale, see Zbigniew Brzezinski, </w:t>
      </w:r>
      <w:r w:rsidRPr="00F9454B">
        <w:rPr>
          <w:i/>
        </w:rPr>
        <w:t xml:space="preserve">The Grand Chessboard: American Primacy and its Geostrategic Imperatives </w:t>
      </w:r>
      <w:r w:rsidRPr="00F9454B">
        <w:t>(New York, N.Y.: Basic Books, 1997), pp.30-57.</w:t>
      </w:r>
    </w:p>
  </w:footnote>
  <w:footnote w:id="45">
    <w:p w:rsidR="0077004D" w:rsidRPr="00F9454B" w:rsidRDefault="0077004D" w:rsidP="004D1545">
      <w:pPr>
        <w:pStyle w:val="FootnoteText"/>
        <w:jc w:val="both"/>
      </w:pPr>
      <w:r w:rsidRPr="00F9454B">
        <w:rPr>
          <w:rStyle w:val="FootnoteReference"/>
        </w:rPr>
        <w:footnoteRef/>
      </w:r>
      <w:r w:rsidRPr="00F9454B">
        <w:t xml:space="preserve"> Michael C. Desch, “America’s Liberal Illiberalism: The Ideological Origins of Overreaction in U.S. Foreign Policy,” </w:t>
      </w:r>
      <w:r w:rsidRPr="00F9454B">
        <w:rPr>
          <w:i/>
        </w:rPr>
        <w:t>International Security</w:t>
      </w:r>
      <w:r>
        <w:t>,</w:t>
      </w:r>
      <w:r w:rsidRPr="00F9454B">
        <w:rPr>
          <w:i/>
        </w:rPr>
        <w:t xml:space="preserve"> </w:t>
      </w:r>
      <w:r w:rsidRPr="00F9454B">
        <w:t>Vol. 32, No. 3 (Winter 2007/8), pp.7-43, p.17.</w:t>
      </w:r>
    </w:p>
  </w:footnote>
  <w:footnote w:id="46">
    <w:p w:rsidR="0077004D" w:rsidRPr="00F9454B" w:rsidRDefault="0077004D" w:rsidP="00F01ECC">
      <w:pPr>
        <w:pStyle w:val="FootnoteText"/>
        <w:jc w:val="both"/>
      </w:pPr>
      <w:r w:rsidRPr="00F9454B">
        <w:rPr>
          <w:rStyle w:val="FootnoteReference"/>
        </w:rPr>
        <w:footnoteRef/>
      </w:r>
      <w:r w:rsidRPr="00F9454B">
        <w:t xml:space="preserve"> Barry R. Posen, “Command of the Commons: The Military Foundations of US Hegemony,” </w:t>
      </w:r>
      <w:r w:rsidRPr="00F9454B">
        <w:rPr>
          <w:i/>
        </w:rPr>
        <w:t>International Security</w:t>
      </w:r>
      <w:r>
        <w:t>,</w:t>
      </w:r>
      <w:r w:rsidRPr="00F9454B">
        <w:rPr>
          <w:i/>
        </w:rPr>
        <w:t xml:space="preserve"> </w:t>
      </w:r>
      <w:r w:rsidRPr="00F9454B">
        <w:t>Vol. 28, No.1 (Summer 2003), pp.5-46, pp.8-9.</w:t>
      </w:r>
    </w:p>
  </w:footnote>
  <w:footnote w:id="47">
    <w:p w:rsidR="0077004D" w:rsidRPr="00F9454B" w:rsidRDefault="0077004D" w:rsidP="004D1545">
      <w:pPr>
        <w:pStyle w:val="Default"/>
        <w:jc w:val="both"/>
        <w:rPr>
          <w:sz w:val="20"/>
          <w:szCs w:val="20"/>
        </w:rPr>
      </w:pPr>
      <w:r w:rsidRPr="00F9454B">
        <w:rPr>
          <w:rStyle w:val="FootnoteReference"/>
          <w:sz w:val="20"/>
          <w:szCs w:val="20"/>
        </w:rPr>
        <w:footnoteRef/>
      </w:r>
      <w:r>
        <w:rPr>
          <w:sz w:val="20"/>
          <w:szCs w:val="20"/>
        </w:rPr>
        <w:t xml:space="preserve"> NSC 68, “</w:t>
      </w:r>
      <w:r w:rsidRPr="00F9454B">
        <w:rPr>
          <w:sz w:val="20"/>
          <w:szCs w:val="20"/>
        </w:rPr>
        <w:t xml:space="preserve">United States Objectives and </w:t>
      </w:r>
      <w:r>
        <w:rPr>
          <w:sz w:val="20"/>
          <w:szCs w:val="20"/>
        </w:rPr>
        <w:t>Programs for National Security,”</w:t>
      </w:r>
      <w:r w:rsidRPr="00F9454B">
        <w:rPr>
          <w:sz w:val="20"/>
          <w:szCs w:val="20"/>
        </w:rPr>
        <w:t xml:space="preserve"> April,</w:t>
      </w:r>
      <w:r>
        <w:rPr>
          <w:sz w:val="20"/>
          <w:szCs w:val="20"/>
        </w:rPr>
        <w:t xml:space="preserve"> 14</w:t>
      </w:r>
      <w:r w:rsidRPr="00F9454B">
        <w:rPr>
          <w:sz w:val="20"/>
          <w:szCs w:val="20"/>
        </w:rPr>
        <w:t xml:space="preserve"> 1950, </w:t>
      </w:r>
      <w:r w:rsidRPr="00F9454B">
        <w:rPr>
          <w:i/>
          <w:sz w:val="20"/>
          <w:szCs w:val="20"/>
        </w:rPr>
        <w:t>Naval War College Review</w:t>
      </w:r>
      <w:r w:rsidRPr="00F9454B">
        <w:rPr>
          <w:sz w:val="20"/>
          <w:szCs w:val="20"/>
        </w:rPr>
        <w:t xml:space="preserve"> Vol. 27, No. 6 (1975), pp. 51-108, Part IV. </w:t>
      </w:r>
    </w:p>
  </w:footnote>
  <w:footnote w:id="48">
    <w:p w:rsidR="0077004D" w:rsidRPr="00F9454B" w:rsidRDefault="0077004D" w:rsidP="00D56078">
      <w:pPr>
        <w:pStyle w:val="FootnoteText"/>
        <w:jc w:val="both"/>
      </w:pPr>
      <w:r w:rsidRPr="00F9454B">
        <w:rPr>
          <w:rStyle w:val="FootnoteReference"/>
        </w:rPr>
        <w:footnoteRef/>
      </w:r>
      <w:r w:rsidRPr="00F9454B">
        <w:t xml:space="preserve"> The two main challenges failed: the</w:t>
      </w:r>
      <w:r>
        <w:t xml:space="preserve"> Senate defeated the</w:t>
      </w:r>
      <w:r w:rsidRPr="00F9454B">
        <w:t xml:space="preserve"> ‘Mansfield Amendment’ to halve US troop commitments to Europe in May 1971, and President Jimmy Carter</w:t>
      </w:r>
      <w:r>
        <w:t xml:space="preserve"> abandoned his</w:t>
      </w:r>
      <w:r w:rsidRPr="00F9454B">
        <w:t xml:space="preserve"> proposal in 1976 to withdraw troops from South Korea.</w:t>
      </w:r>
    </w:p>
  </w:footnote>
  <w:footnote w:id="49">
    <w:p w:rsidR="0077004D" w:rsidRPr="00F9454B" w:rsidRDefault="0077004D" w:rsidP="00DC26F2">
      <w:pPr>
        <w:pStyle w:val="FootnoteText"/>
        <w:jc w:val="both"/>
      </w:pPr>
      <w:r w:rsidRPr="00F9454B">
        <w:rPr>
          <w:rStyle w:val="FootnoteReference"/>
        </w:rPr>
        <w:footnoteRef/>
      </w:r>
      <w:r w:rsidRPr="00F9454B">
        <w:t xml:space="preserve"> As Anthony Lake explained, “Confronting Backlash States,” </w:t>
      </w:r>
      <w:r w:rsidRPr="00F9454B">
        <w:rPr>
          <w:i/>
        </w:rPr>
        <w:t>Foreign Affairs</w:t>
      </w:r>
      <w:r>
        <w:t>,</w:t>
      </w:r>
      <w:r w:rsidRPr="00F9454B">
        <w:rPr>
          <w:i/>
        </w:rPr>
        <w:t xml:space="preserve"> </w:t>
      </w:r>
      <w:r w:rsidRPr="00F9454B">
        <w:t>Vol.</w:t>
      </w:r>
      <w:r w:rsidRPr="00F9454B">
        <w:rPr>
          <w:i/>
        </w:rPr>
        <w:t xml:space="preserve"> </w:t>
      </w:r>
      <w:r w:rsidRPr="00F9454B">
        <w:t xml:space="preserve">73, No. 2 (1994), pp.45-55, </w:t>
      </w:r>
      <w:r>
        <w:t>pp.</w:t>
      </w:r>
      <w:r w:rsidRPr="00F9454B">
        <w:t>47-48.</w:t>
      </w:r>
    </w:p>
  </w:footnote>
  <w:footnote w:id="50">
    <w:p w:rsidR="0077004D" w:rsidRPr="00F9454B" w:rsidRDefault="0077004D" w:rsidP="004D1545">
      <w:pPr>
        <w:spacing w:after="0" w:line="240" w:lineRule="auto"/>
        <w:jc w:val="both"/>
        <w:rPr>
          <w:sz w:val="20"/>
          <w:szCs w:val="20"/>
        </w:rPr>
      </w:pPr>
      <w:r w:rsidRPr="00F9454B">
        <w:rPr>
          <w:rStyle w:val="FootnoteReference"/>
          <w:sz w:val="20"/>
          <w:szCs w:val="20"/>
        </w:rPr>
        <w:footnoteRef/>
      </w:r>
      <w:r w:rsidRPr="00F9454B">
        <w:rPr>
          <w:sz w:val="20"/>
          <w:szCs w:val="20"/>
        </w:rPr>
        <w:t xml:space="preserve"> See the dataset of Ann Rivlin, “The Diversionary Theory of Foreign Policy?” </w:t>
      </w:r>
      <w:r>
        <w:rPr>
          <w:sz w:val="20"/>
          <w:szCs w:val="20"/>
        </w:rPr>
        <w:t>(</w:t>
      </w:r>
      <w:r w:rsidRPr="00F9454B">
        <w:rPr>
          <w:sz w:val="20"/>
          <w:szCs w:val="20"/>
        </w:rPr>
        <w:t>Doctoral dissertation, University of Wisconsin-Madison, 2008</w:t>
      </w:r>
      <w:r>
        <w:rPr>
          <w:sz w:val="20"/>
          <w:szCs w:val="20"/>
        </w:rPr>
        <w:t>)</w:t>
      </w:r>
      <w:r w:rsidRPr="00F9454B">
        <w:rPr>
          <w:sz w:val="20"/>
          <w:szCs w:val="20"/>
        </w:rPr>
        <w:t xml:space="preserve">, </w:t>
      </w:r>
      <w:r>
        <w:rPr>
          <w:sz w:val="20"/>
          <w:szCs w:val="20"/>
        </w:rPr>
        <w:t xml:space="preserve">Table: </w:t>
      </w:r>
      <w:r w:rsidRPr="00F9454B">
        <w:rPr>
          <w:sz w:val="20"/>
          <w:szCs w:val="20"/>
        </w:rPr>
        <w:t>‘Uses of Force by President’, p.65.</w:t>
      </w:r>
    </w:p>
  </w:footnote>
  <w:footnote w:id="51">
    <w:p w:rsidR="0077004D" w:rsidRPr="00F9454B" w:rsidRDefault="0077004D" w:rsidP="004D1545">
      <w:pPr>
        <w:pStyle w:val="FootnoteText"/>
        <w:jc w:val="both"/>
        <w:rPr>
          <w:b/>
        </w:rPr>
      </w:pPr>
      <w:r w:rsidRPr="00F9454B">
        <w:rPr>
          <w:rStyle w:val="FootnoteReference"/>
        </w:rPr>
        <w:footnoteRef/>
      </w:r>
      <w:r>
        <w:t xml:space="preserve"> Michael Mastanduno, “</w:t>
      </w:r>
      <w:r w:rsidRPr="00F9454B">
        <w:t>Preserving the Unipolar Moment: Realist Theories and U.S. Gr</w:t>
      </w:r>
      <w:r>
        <w:t>and Strategy after the Cold War,”</w:t>
      </w:r>
      <w:r w:rsidRPr="00F9454B">
        <w:t xml:space="preserve"> </w:t>
      </w:r>
      <w:r w:rsidRPr="00F9454B">
        <w:rPr>
          <w:i/>
        </w:rPr>
        <w:t>International Security</w:t>
      </w:r>
      <w:r>
        <w:t>,</w:t>
      </w:r>
      <w:r w:rsidRPr="00F9454B">
        <w:rPr>
          <w:i/>
        </w:rPr>
        <w:t xml:space="preserve"> </w:t>
      </w:r>
      <w:r w:rsidRPr="00F9454B">
        <w:t>Vol.21, No. 4 (Spring 1997), pp.49-88, pp.87-88.</w:t>
      </w:r>
    </w:p>
  </w:footnote>
  <w:footnote w:id="52">
    <w:p w:rsidR="0077004D" w:rsidRPr="00F9454B" w:rsidRDefault="0077004D" w:rsidP="004D1545">
      <w:pPr>
        <w:spacing w:after="0" w:line="240" w:lineRule="auto"/>
        <w:jc w:val="both"/>
        <w:rPr>
          <w:sz w:val="20"/>
          <w:szCs w:val="20"/>
        </w:rPr>
      </w:pPr>
      <w:r w:rsidRPr="00F9454B">
        <w:rPr>
          <w:rStyle w:val="FootnoteReference"/>
          <w:sz w:val="20"/>
          <w:szCs w:val="20"/>
        </w:rPr>
        <w:footnoteRef/>
      </w:r>
      <w:r w:rsidRPr="00F9454B">
        <w:rPr>
          <w:sz w:val="20"/>
          <w:szCs w:val="20"/>
        </w:rPr>
        <w:t xml:space="preserve"> National Security Council and National Security Coun</w:t>
      </w:r>
      <w:r>
        <w:rPr>
          <w:sz w:val="20"/>
          <w:szCs w:val="20"/>
        </w:rPr>
        <w:t>cil Records Management Office, “</w:t>
      </w:r>
      <w:r w:rsidRPr="00F9454B">
        <w:rPr>
          <w:sz w:val="20"/>
          <w:szCs w:val="20"/>
        </w:rPr>
        <w:t xml:space="preserve">PDD-29 - Security </w:t>
      </w:r>
      <w:r>
        <w:rPr>
          <w:sz w:val="20"/>
          <w:szCs w:val="20"/>
        </w:rPr>
        <w:t>Policy Coordination, 9/16/1994,”</w:t>
      </w:r>
      <w:r w:rsidRPr="00F9454B">
        <w:rPr>
          <w:sz w:val="20"/>
          <w:szCs w:val="20"/>
        </w:rPr>
        <w:t xml:space="preserve"> </w:t>
      </w:r>
      <w:r w:rsidRPr="00F9454B">
        <w:rPr>
          <w:rStyle w:val="Emphasis"/>
          <w:sz w:val="20"/>
          <w:szCs w:val="20"/>
        </w:rPr>
        <w:t>Clinton Digital Library</w:t>
      </w:r>
      <w:r>
        <w:rPr>
          <w:rStyle w:val="Emphasis"/>
          <w:sz w:val="20"/>
          <w:szCs w:val="20"/>
        </w:rPr>
        <w:t xml:space="preserve"> </w:t>
      </w:r>
      <w:r>
        <w:rPr>
          <w:rStyle w:val="Emphasis"/>
          <w:i w:val="0"/>
          <w:sz w:val="20"/>
          <w:szCs w:val="20"/>
        </w:rPr>
        <w:t>(CDL)</w:t>
      </w:r>
      <w:r w:rsidRPr="00F9454B">
        <w:rPr>
          <w:sz w:val="20"/>
          <w:szCs w:val="20"/>
        </w:rPr>
        <w:t>, September</w:t>
      </w:r>
      <w:r>
        <w:rPr>
          <w:sz w:val="20"/>
          <w:szCs w:val="20"/>
        </w:rPr>
        <w:t xml:space="preserve"> 16,</w:t>
      </w:r>
      <w:r w:rsidRPr="00F9454B">
        <w:rPr>
          <w:sz w:val="20"/>
          <w:szCs w:val="20"/>
        </w:rPr>
        <w:t xml:space="preserve"> 1994, accessed </w:t>
      </w:r>
      <w:r>
        <w:rPr>
          <w:sz w:val="20"/>
          <w:szCs w:val="20"/>
        </w:rPr>
        <w:t xml:space="preserve"> March 14,</w:t>
      </w:r>
      <w:r w:rsidRPr="00F9454B">
        <w:rPr>
          <w:sz w:val="20"/>
          <w:szCs w:val="20"/>
        </w:rPr>
        <w:t xml:space="preserve"> 2015.</w:t>
      </w:r>
    </w:p>
  </w:footnote>
  <w:footnote w:id="53">
    <w:p w:rsidR="0077004D" w:rsidRPr="00F9454B" w:rsidRDefault="0077004D" w:rsidP="002862C2">
      <w:pPr>
        <w:pStyle w:val="FootnoteText"/>
        <w:jc w:val="both"/>
        <w:rPr>
          <w:rStyle w:val="docdate1"/>
          <w:rFonts w:ascii="Times New Roman" w:hAnsi="Times New Roman" w:cs="Times New Roman"/>
          <w:i w:val="0"/>
          <w:color w:val="auto"/>
        </w:rPr>
      </w:pPr>
      <w:r w:rsidRPr="00F9454B">
        <w:rPr>
          <w:rStyle w:val="FootnoteReference"/>
        </w:rPr>
        <w:footnoteRef/>
      </w:r>
      <w:r w:rsidRPr="00F9454B">
        <w:t xml:space="preserve"> His first State of the Union address devoted little space to foreign policy: </w:t>
      </w:r>
      <w:r>
        <w:rPr>
          <w:rStyle w:val="docdate1"/>
          <w:rFonts w:ascii="Times New Roman" w:hAnsi="Times New Roman" w:cs="Times New Roman"/>
          <w:i w:val="0"/>
        </w:rPr>
        <w:t>“</w:t>
      </w:r>
      <w:r w:rsidRPr="00F9454B">
        <w:rPr>
          <w:rStyle w:val="paperstitle"/>
        </w:rPr>
        <w:t>Address Before a Joint Session of Congress on Administration Goals</w:t>
      </w:r>
      <w:r>
        <w:rPr>
          <w:rStyle w:val="paperstitle"/>
        </w:rPr>
        <w:t>”</w:t>
      </w:r>
      <w:r w:rsidRPr="00F9454B">
        <w:rPr>
          <w:rStyle w:val="docdate1"/>
          <w:rFonts w:ascii="Times New Roman" w:hAnsi="Times New Roman" w:cs="Times New Roman"/>
        </w:rPr>
        <w:t xml:space="preserve">, </w:t>
      </w:r>
      <w:r w:rsidRPr="00F9454B">
        <w:rPr>
          <w:rStyle w:val="docdate1"/>
          <w:rFonts w:ascii="Times New Roman" w:hAnsi="Times New Roman" w:cs="Times New Roman"/>
          <w:i w:val="0"/>
          <w:color w:val="auto"/>
        </w:rPr>
        <w:t>February</w:t>
      </w:r>
      <w:r>
        <w:rPr>
          <w:rStyle w:val="docdate1"/>
          <w:rFonts w:ascii="Times New Roman" w:hAnsi="Times New Roman" w:cs="Times New Roman"/>
          <w:i w:val="0"/>
          <w:color w:val="auto"/>
        </w:rPr>
        <w:t xml:space="preserve"> 17,</w:t>
      </w:r>
      <w:r w:rsidRPr="00F9454B">
        <w:rPr>
          <w:rStyle w:val="docdate1"/>
          <w:rFonts w:ascii="Times New Roman" w:hAnsi="Times New Roman" w:cs="Times New Roman"/>
          <w:i w:val="0"/>
          <w:color w:val="auto"/>
        </w:rPr>
        <w:t xml:space="preserve"> 1993</w:t>
      </w:r>
      <w:r w:rsidRPr="00F9454B">
        <w:rPr>
          <w:rStyle w:val="docdate1"/>
          <w:rFonts w:ascii="Times New Roman" w:hAnsi="Times New Roman" w:cs="Times New Roman"/>
          <w:i w:val="0"/>
        </w:rPr>
        <w:t xml:space="preserve">, </w:t>
      </w:r>
      <w:r w:rsidRPr="00F9454B">
        <w:rPr>
          <w:rStyle w:val="docdate1"/>
          <w:rFonts w:ascii="Times New Roman" w:hAnsi="Times New Roman" w:cs="Times New Roman"/>
          <w:i w:val="0"/>
          <w:color w:val="auto"/>
        </w:rPr>
        <w:t xml:space="preserve">at </w:t>
      </w:r>
    </w:p>
    <w:p w:rsidR="0077004D" w:rsidRPr="00F9454B" w:rsidRDefault="0077004D" w:rsidP="002862C2">
      <w:pPr>
        <w:pStyle w:val="FootnoteText"/>
        <w:jc w:val="both"/>
        <w:rPr>
          <w:iCs/>
          <w:color w:val="666666"/>
        </w:rPr>
      </w:pPr>
      <w:r w:rsidRPr="00F9454B">
        <w:rPr>
          <w:rStyle w:val="docdate1"/>
          <w:rFonts w:ascii="Times New Roman" w:hAnsi="Times New Roman" w:cs="Times New Roman"/>
          <w:i w:val="0"/>
          <w:color w:val="auto"/>
        </w:rPr>
        <w:t>http://www.presidency.ucsb.edu/ws/?pid=47232.</w:t>
      </w:r>
    </w:p>
  </w:footnote>
  <w:footnote w:id="54">
    <w:p w:rsidR="0077004D" w:rsidRPr="00F9454B" w:rsidRDefault="0077004D" w:rsidP="002862C2">
      <w:pPr>
        <w:pStyle w:val="FootnoteText"/>
        <w:jc w:val="both"/>
      </w:pPr>
      <w:r w:rsidRPr="00F9454B">
        <w:rPr>
          <w:rStyle w:val="FootnoteReference"/>
        </w:rPr>
        <w:footnoteRef/>
      </w:r>
      <w:r w:rsidRPr="00F9454B">
        <w:t xml:space="preserve"> See Charles Krauthammer, “The Unipolar Moment,” </w:t>
      </w:r>
      <w:r w:rsidRPr="00F9454B">
        <w:rPr>
          <w:i/>
        </w:rPr>
        <w:t>Foreign Affairs</w:t>
      </w:r>
      <w:r>
        <w:t>,</w:t>
      </w:r>
      <w:r w:rsidRPr="00F9454B">
        <w:rPr>
          <w:i/>
        </w:rPr>
        <w:t xml:space="preserve"> </w:t>
      </w:r>
      <w:r w:rsidRPr="00F9454B">
        <w:t xml:space="preserve">Vol.70, No. 1 (1990), pp.23-33; Jean Kirkpatrick, </w:t>
      </w:r>
      <w:r w:rsidRPr="00F9454B">
        <w:rPr>
          <w:rStyle w:val="body"/>
        </w:rPr>
        <w:t xml:space="preserve">“A Normal Country in a Normal Time,” </w:t>
      </w:r>
      <w:r w:rsidRPr="00F9454B">
        <w:rPr>
          <w:rStyle w:val="body"/>
          <w:i/>
        </w:rPr>
        <w:t>The National Interest</w:t>
      </w:r>
      <w:r>
        <w:rPr>
          <w:rStyle w:val="body"/>
        </w:rPr>
        <w:t>,</w:t>
      </w:r>
      <w:r w:rsidRPr="00F9454B">
        <w:rPr>
          <w:rStyle w:val="body"/>
        </w:rPr>
        <w:t xml:space="preserve"> Vol.21 (1990)</w:t>
      </w:r>
      <w:r w:rsidRPr="00F9454B">
        <w:rPr>
          <w:rStyle w:val="st"/>
        </w:rPr>
        <w:t xml:space="preserve">, pp. 40-45; </w:t>
      </w:r>
      <w:r w:rsidRPr="00F9454B">
        <w:t xml:space="preserve">William Kristol and Robert Kagan, “Toward a Neo-Reaganite Foreign Policy,” </w:t>
      </w:r>
      <w:r w:rsidRPr="00F9454B">
        <w:rPr>
          <w:i/>
        </w:rPr>
        <w:t>Foreign Affairs</w:t>
      </w:r>
      <w:r w:rsidRPr="00F9454B">
        <w:t xml:space="preserve">, Vol. 75, No. 4 (1996), pp. 18-32; Barry R. Posen and Andrew L. Ross, “Competing Visions for U.S. Grand Strategy,” </w:t>
      </w:r>
      <w:r w:rsidRPr="00F9454B">
        <w:rPr>
          <w:i/>
          <w:iCs/>
        </w:rPr>
        <w:t xml:space="preserve">International Security </w:t>
      </w:r>
      <w:r w:rsidRPr="00F9454B">
        <w:rPr>
          <w:iCs/>
        </w:rPr>
        <w:t>Vol.</w:t>
      </w:r>
      <w:r w:rsidRPr="00F9454B">
        <w:rPr>
          <w:i/>
          <w:iCs/>
        </w:rPr>
        <w:t xml:space="preserve"> </w:t>
      </w:r>
      <w:r w:rsidRPr="00F9454B">
        <w:t>21, No. 3 (</w:t>
      </w:r>
      <w:r>
        <w:t xml:space="preserve">Winter </w:t>
      </w:r>
      <w:r w:rsidRPr="00F9454B">
        <w:t>1996</w:t>
      </w:r>
      <w:r>
        <w:t>/1997</w:t>
      </w:r>
      <w:r w:rsidRPr="00F9454B">
        <w:t>), pp.5-53; John Mueller, “A New Concert of Europe</w:t>
      </w:r>
      <w:r>
        <w:t>,</w:t>
      </w:r>
      <w:r w:rsidRPr="00F9454B">
        <w:t xml:space="preserve">” </w:t>
      </w:r>
      <w:r w:rsidRPr="00F9454B">
        <w:rPr>
          <w:i/>
        </w:rPr>
        <w:t>Foreign Policy</w:t>
      </w:r>
      <w:r>
        <w:t>,</w:t>
      </w:r>
      <w:r w:rsidRPr="00F9454B">
        <w:rPr>
          <w:i/>
        </w:rPr>
        <w:t xml:space="preserve"> </w:t>
      </w:r>
      <w:r>
        <w:t>77 (1990), pp.3-16;</w:t>
      </w:r>
      <w:r w:rsidRPr="00F9454B">
        <w:t xml:space="preserve"> Gholz, Press </w:t>
      </w:r>
      <w:r>
        <w:t>and</w:t>
      </w:r>
      <w:r w:rsidRPr="00F9454B">
        <w:t xml:space="preserve"> Sapolsky, “Come Home America.”</w:t>
      </w:r>
    </w:p>
  </w:footnote>
  <w:footnote w:id="55">
    <w:p w:rsidR="0077004D" w:rsidRPr="00F9454B" w:rsidRDefault="0077004D" w:rsidP="002862C2">
      <w:pPr>
        <w:pStyle w:val="FootnoteText"/>
        <w:jc w:val="both"/>
      </w:pPr>
      <w:r w:rsidRPr="00F9454B">
        <w:rPr>
          <w:rStyle w:val="FootnoteReference"/>
        </w:rPr>
        <w:footnoteRef/>
      </w:r>
      <w:r w:rsidRPr="00F9454B">
        <w:t xml:space="preserve"> See James Boys, </w:t>
      </w:r>
      <w:r w:rsidRPr="00F9454B">
        <w:rPr>
          <w:i/>
        </w:rPr>
        <w:t>Clinton’s Grand Strategy</w:t>
      </w:r>
      <w:r w:rsidRPr="00F9454B">
        <w:t>, p.42, n.9,10,</w:t>
      </w:r>
      <w:r w:rsidRPr="00F9454B">
        <w:rPr>
          <w:i/>
        </w:rPr>
        <w:t xml:space="preserve"> </w:t>
      </w:r>
      <w:r w:rsidRPr="00F9454B">
        <w:t xml:space="preserve">based on interviews with former National Security Advisor to the Vice President Leon Furth and Morton Halperin, former Special Assistant to the President, National Security Council.  </w:t>
      </w:r>
    </w:p>
  </w:footnote>
  <w:footnote w:id="56">
    <w:p w:rsidR="0077004D" w:rsidRPr="00F9454B" w:rsidRDefault="0077004D" w:rsidP="002862C2">
      <w:pPr>
        <w:spacing w:after="0" w:line="240" w:lineRule="auto"/>
        <w:jc w:val="both"/>
        <w:rPr>
          <w:sz w:val="20"/>
          <w:szCs w:val="20"/>
        </w:rPr>
      </w:pPr>
      <w:r w:rsidRPr="00F9454B">
        <w:rPr>
          <w:rStyle w:val="FootnoteReference"/>
          <w:sz w:val="20"/>
          <w:szCs w:val="20"/>
        </w:rPr>
        <w:footnoteRef/>
      </w:r>
      <w:r w:rsidRPr="00F9454B">
        <w:rPr>
          <w:sz w:val="20"/>
          <w:szCs w:val="20"/>
        </w:rPr>
        <w:t xml:space="preserve"> Strobe Talbott, </w:t>
      </w:r>
      <w:r w:rsidRPr="00F9454B">
        <w:rPr>
          <w:i/>
          <w:iCs/>
          <w:sz w:val="20"/>
          <w:szCs w:val="20"/>
        </w:rPr>
        <w:t xml:space="preserve">The Russia Hand: A Memoir of Diplomacy </w:t>
      </w:r>
      <w:r w:rsidRPr="00F9454B">
        <w:rPr>
          <w:sz w:val="20"/>
          <w:szCs w:val="20"/>
        </w:rPr>
        <w:t>(New York, N</w:t>
      </w:r>
      <w:r>
        <w:rPr>
          <w:sz w:val="20"/>
          <w:szCs w:val="20"/>
        </w:rPr>
        <w:t>.</w:t>
      </w:r>
      <w:r w:rsidRPr="00F9454B">
        <w:rPr>
          <w:sz w:val="20"/>
          <w:szCs w:val="20"/>
        </w:rPr>
        <w:t>Y</w:t>
      </w:r>
      <w:r>
        <w:rPr>
          <w:sz w:val="20"/>
          <w:szCs w:val="20"/>
        </w:rPr>
        <w:t>.</w:t>
      </w:r>
      <w:r w:rsidRPr="00F9454B">
        <w:rPr>
          <w:sz w:val="20"/>
          <w:szCs w:val="20"/>
        </w:rPr>
        <w:t>: Random House, 2002), p.133.</w:t>
      </w:r>
    </w:p>
  </w:footnote>
  <w:footnote w:id="57">
    <w:p w:rsidR="0077004D" w:rsidRPr="00F9454B" w:rsidRDefault="0077004D" w:rsidP="002862C2">
      <w:pPr>
        <w:pStyle w:val="FootnoteText"/>
        <w:jc w:val="both"/>
      </w:pPr>
      <w:r w:rsidRPr="00F9454B">
        <w:rPr>
          <w:rStyle w:val="FootnoteReference"/>
        </w:rPr>
        <w:footnoteRef/>
      </w:r>
      <w:r w:rsidRPr="00F9454B">
        <w:t xml:space="preserve"> See anonymous reports to Thomas L. Friedman, “Clinton Keeping Foreign Policy on a Back Burner,” </w:t>
      </w:r>
      <w:r>
        <w:rPr>
          <w:i/>
        </w:rPr>
        <w:t xml:space="preserve">The </w:t>
      </w:r>
      <w:r w:rsidRPr="00F9454B">
        <w:rPr>
          <w:i/>
        </w:rPr>
        <w:t>New York Times</w:t>
      </w:r>
      <w:r>
        <w:t>,</w:t>
      </w:r>
      <w:r w:rsidRPr="00F9454B">
        <w:rPr>
          <w:i/>
        </w:rPr>
        <w:t xml:space="preserve"> </w:t>
      </w:r>
      <w:r w:rsidRPr="00F9454B">
        <w:t>February</w:t>
      </w:r>
      <w:r>
        <w:t xml:space="preserve"> 8,</w:t>
      </w:r>
      <w:r w:rsidRPr="00F9454B">
        <w:t xml:space="preserve"> 1993, A9; Richard Reeves, “Why Clinton wishes he were JFK,” </w:t>
      </w:r>
      <w:r w:rsidRPr="00F9454B">
        <w:rPr>
          <w:i/>
        </w:rPr>
        <w:t xml:space="preserve">Washington Monthly </w:t>
      </w:r>
      <w:r w:rsidRPr="00F9454B">
        <w:t>Vol.</w:t>
      </w:r>
      <w:r w:rsidRPr="00F9454B">
        <w:rPr>
          <w:i/>
        </w:rPr>
        <w:t xml:space="preserve"> </w:t>
      </w:r>
      <w:r w:rsidRPr="00F9454B">
        <w:t>27, No.9 (1995), pp.16-20, p.19.</w:t>
      </w:r>
    </w:p>
  </w:footnote>
  <w:footnote w:id="58">
    <w:p w:rsidR="0077004D" w:rsidRPr="00F9454B" w:rsidRDefault="0077004D" w:rsidP="002862C2">
      <w:pPr>
        <w:pStyle w:val="FootnoteText"/>
        <w:jc w:val="both"/>
      </w:pPr>
      <w:r w:rsidRPr="00F9454B">
        <w:rPr>
          <w:rStyle w:val="FootnoteReference"/>
        </w:rPr>
        <w:footnoteRef/>
      </w:r>
      <w:r w:rsidRPr="00F9454B">
        <w:t xml:space="preserve"> Interview, Peter Feaver, </w:t>
      </w:r>
      <w:r>
        <w:t>(</w:t>
      </w:r>
      <w:r w:rsidRPr="00F9454B">
        <w:t>a former Director for Defense Policy and Arms Control from 1993–1994</w:t>
      </w:r>
      <w:r>
        <w:t>)</w:t>
      </w:r>
      <w:r w:rsidRPr="00F9454B">
        <w:t>, February</w:t>
      </w:r>
      <w:r>
        <w:t xml:space="preserve"> 19,</w:t>
      </w:r>
      <w:r w:rsidRPr="00F9454B">
        <w:t xml:space="preserve"> 2017.</w:t>
      </w:r>
    </w:p>
  </w:footnote>
  <w:footnote w:id="59">
    <w:p w:rsidR="0077004D" w:rsidRPr="00F9454B" w:rsidRDefault="0077004D" w:rsidP="00ED1591">
      <w:pPr>
        <w:pStyle w:val="FootnoteText"/>
        <w:jc w:val="both"/>
      </w:pPr>
      <w:r w:rsidRPr="00F9454B">
        <w:rPr>
          <w:rStyle w:val="FootnoteReference"/>
        </w:rPr>
        <w:footnoteRef/>
      </w:r>
      <w:r w:rsidRPr="00F9454B">
        <w:t xml:space="preserve"> President George H.W. Bush, </w:t>
      </w:r>
      <w:r w:rsidRPr="00F9454B">
        <w:rPr>
          <w:i/>
        </w:rPr>
        <w:t>National Security Review</w:t>
      </w:r>
      <w:r w:rsidRPr="00F9454B">
        <w:t xml:space="preserve"> 12 (Washington, D</w:t>
      </w:r>
      <w:r>
        <w:t>.</w:t>
      </w:r>
      <w:r w:rsidRPr="00F9454B">
        <w:t>C</w:t>
      </w:r>
      <w:r>
        <w:t xml:space="preserve">.: The White House, </w:t>
      </w:r>
      <w:r w:rsidRPr="00F9454B">
        <w:t>March</w:t>
      </w:r>
      <w:r>
        <w:t xml:space="preserve"> 3,</w:t>
      </w:r>
      <w:r w:rsidRPr="00F9454B">
        <w:t xml:space="preserve"> 1989), p.2.</w:t>
      </w:r>
    </w:p>
  </w:footnote>
  <w:footnote w:id="60">
    <w:p w:rsidR="0077004D" w:rsidRPr="00F9454B" w:rsidRDefault="0077004D" w:rsidP="00ED1591">
      <w:pPr>
        <w:pStyle w:val="FootnoteText"/>
        <w:jc w:val="both"/>
      </w:pPr>
      <w:r w:rsidRPr="00F9454B">
        <w:rPr>
          <w:rStyle w:val="FootnoteReference"/>
        </w:rPr>
        <w:footnoteRef/>
      </w:r>
      <w:r w:rsidRPr="00F9454B">
        <w:t xml:space="preserve"> Bush’s direction was confirmed by the </w:t>
      </w:r>
      <w:r w:rsidRPr="00F9454B">
        <w:rPr>
          <w:i/>
        </w:rPr>
        <w:t xml:space="preserve">National Security Strategy </w:t>
      </w:r>
      <w:r w:rsidRPr="00F9454B">
        <w:t>(Washington, D</w:t>
      </w:r>
      <w:r>
        <w:t>.</w:t>
      </w:r>
      <w:r w:rsidRPr="00F9454B">
        <w:t xml:space="preserve">C.:1991), pp.27-31, and Secretary of Defense Dick Cheney’s </w:t>
      </w:r>
      <w:r w:rsidRPr="00F9454B">
        <w:rPr>
          <w:i/>
        </w:rPr>
        <w:t xml:space="preserve">Defense Strategy for the 1990’s: The Regional Defense Strategy </w:t>
      </w:r>
      <w:r w:rsidRPr="00F9454B">
        <w:t xml:space="preserve">(January 1993), pp.14-16; see Alexandra Homolar, “How to Last Alone at the Top: US Strategic Planning for the Unipolar Era” </w:t>
      </w:r>
      <w:r w:rsidRPr="00F9454B">
        <w:rPr>
          <w:i/>
        </w:rPr>
        <w:t>Journal of Strategic Studies</w:t>
      </w:r>
      <w:r>
        <w:t>,</w:t>
      </w:r>
      <w:r w:rsidRPr="00F9454B">
        <w:rPr>
          <w:i/>
        </w:rPr>
        <w:t xml:space="preserve"> </w:t>
      </w:r>
      <w:r w:rsidRPr="00F9454B">
        <w:t>Vol.</w:t>
      </w:r>
      <w:r w:rsidRPr="00F9454B">
        <w:rPr>
          <w:i/>
        </w:rPr>
        <w:t xml:space="preserve"> </w:t>
      </w:r>
      <w:r w:rsidRPr="00F9454B">
        <w:t>34, No.2 (2011), pp.189-217, p.194.</w:t>
      </w:r>
      <w:r w:rsidRPr="00F9454B">
        <w:rPr>
          <w:i/>
        </w:rPr>
        <w:t xml:space="preserve"> </w:t>
      </w:r>
      <w:r w:rsidRPr="00F9454B">
        <w:rPr>
          <w:color w:val="000000"/>
        </w:rPr>
        <w:t xml:space="preserve"> </w:t>
      </w:r>
    </w:p>
  </w:footnote>
  <w:footnote w:id="61">
    <w:p w:rsidR="0077004D" w:rsidRPr="00F9454B" w:rsidRDefault="0077004D" w:rsidP="002862C2">
      <w:pPr>
        <w:pStyle w:val="FootnoteText"/>
        <w:jc w:val="both"/>
      </w:pPr>
      <w:r w:rsidRPr="00F9454B">
        <w:rPr>
          <w:rStyle w:val="FootnoteReference"/>
        </w:rPr>
        <w:footnoteRef/>
      </w:r>
      <w:r w:rsidRPr="00F9454B">
        <w:t xml:space="preserve"> See Douglas Brinkley’s account, based on interviews, in “Democratic Enlargement: The Clinton Doctrine</w:t>
      </w:r>
      <w:r>
        <w:t>,</w:t>
      </w:r>
      <w:r w:rsidRPr="00F9454B">
        <w:t xml:space="preserve">” </w:t>
      </w:r>
      <w:r w:rsidRPr="00F9454B">
        <w:rPr>
          <w:i/>
        </w:rPr>
        <w:t xml:space="preserve">Foreign Policy </w:t>
      </w:r>
      <w:r w:rsidRPr="00F9454B">
        <w:t xml:space="preserve">Vol. 106 (1997), pp.111-127, p.114; Lake and Boorstin interviews with Goldgeier &amp; Chollet, </w:t>
      </w:r>
      <w:r w:rsidRPr="00F9454B">
        <w:rPr>
          <w:i/>
        </w:rPr>
        <w:t>America Between the Wars</w:t>
      </w:r>
      <w:r w:rsidRPr="00F9454B">
        <w:t>, pp.67, 71.</w:t>
      </w:r>
    </w:p>
  </w:footnote>
  <w:footnote w:id="62">
    <w:p w:rsidR="0077004D" w:rsidRPr="00F9454B" w:rsidRDefault="0077004D" w:rsidP="002862C2">
      <w:pPr>
        <w:pStyle w:val="FootnoteText"/>
        <w:jc w:val="both"/>
      </w:pPr>
      <w:r w:rsidRPr="00F9454B">
        <w:rPr>
          <w:rStyle w:val="FootnoteReference"/>
        </w:rPr>
        <w:footnoteRef/>
      </w:r>
      <w:r w:rsidRPr="00F9454B">
        <w:t xml:space="preserve"> </w:t>
      </w:r>
      <w:r w:rsidRPr="00F9454B">
        <w:rPr>
          <w:rStyle w:val="firstname"/>
        </w:rPr>
        <w:t>Warren</w:t>
      </w:r>
      <w:r w:rsidRPr="00F9454B">
        <w:rPr>
          <w:rStyle w:val="author"/>
        </w:rPr>
        <w:t xml:space="preserve"> </w:t>
      </w:r>
      <w:r w:rsidRPr="00F9454B">
        <w:rPr>
          <w:rStyle w:val="surname"/>
        </w:rPr>
        <w:t>Christopher</w:t>
      </w:r>
      <w:r w:rsidRPr="00F9454B">
        <w:rPr>
          <w:rStyle w:val="bibliomset"/>
        </w:rPr>
        <w:t>, “Building Peace in the Middle East</w:t>
      </w:r>
      <w:r w:rsidRPr="00F9454B">
        <w:rPr>
          <w:rStyle w:val="article"/>
        </w:rPr>
        <w:t xml:space="preserve">,” </w:t>
      </w:r>
      <w:r w:rsidRPr="00F9454B">
        <w:rPr>
          <w:rStyle w:val="italic"/>
          <w:i/>
          <w:iCs/>
        </w:rPr>
        <w:t>US Department of State Dispatch</w:t>
      </w:r>
      <w:r w:rsidRPr="00F9454B">
        <w:rPr>
          <w:rStyle w:val="bibliomset"/>
        </w:rPr>
        <w:t xml:space="preserve"> </w:t>
      </w:r>
      <w:r>
        <w:rPr>
          <w:rStyle w:val="bibliomset"/>
        </w:rPr>
        <w:t>Vol.</w:t>
      </w:r>
      <w:r w:rsidRPr="00F9454B">
        <w:rPr>
          <w:rStyle w:val="volumenum"/>
        </w:rPr>
        <w:t>4</w:t>
      </w:r>
      <w:r>
        <w:rPr>
          <w:rStyle w:val="bibliomset"/>
        </w:rPr>
        <w:t xml:space="preserve">, No. </w:t>
      </w:r>
      <w:r w:rsidRPr="00F9454B">
        <w:rPr>
          <w:rStyle w:val="issuenum"/>
        </w:rPr>
        <w:t>39</w:t>
      </w:r>
      <w:r w:rsidRPr="00F9454B">
        <w:rPr>
          <w:rStyle w:val="bibliomset"/>
        </w:rPr>
        <w:t xml:space="preserve"> (September 27, </w:t>
      </w:r>
      <w:r w:rsidRPr="00F9454B">
        <w:rPr>
          <w:rStyle w:val="pubdate"/>
        </w:rPr>
        <w:t>1993</w:t>
      </w:r>
      <w:r w:rsidRPr="00F9454B">
        <w:rPr>
          <w:rStyle w:val="bibliomset"/>
        </w:rPr>
        <w:t xml:space="preserve">), p. </w:t>
      </w:r>
      <w:r w:rsidRPr="00F9454B">
        <w:rPr>
          <w:rStyle w:val="pagenums"/>
        </w:rPr>
        <w:t>654</w:t>
      </w:r>
      <w:r w:rsidRPr="00F9454B">
        <w:t>.</w:t>
      </w:r>
    </w:p>
  </w:footnote>
  <w:footnote w:id="63">
    <w:p w:rsidR="0077004D" w:rsidRPr="00F9454B" w:rsidRDefault="0077004D" w:rsidP="002862C2">
      <w:pPr>
        <w:pStyle w:val="FootnoteText"/>
        <w:jc w:val="both"/>
      </w:pPr>
      <w:r w:rsidRPr="00F9454B">
        <w:rPr>
          <w:rStyle w:val="FootnoteReference"/>
        </w:rPr>
        <w:footnoteRef/>
      </w:r>
      <w:r w:rsidRPr="00F9454B">
        <w:t xml:space="preserve"> </w:t>
      </w:r>
      <w:r w:rsidRPr="00F9454B">
        <w:rPr>
          <w:rStyle w:val="Emphasis"/>
          <w:i w:val="0"/>
        </w:rPr>
        <w:t>Anthony Lake</w:t>
      </w:r>
      <w:r w:rsidRPr="00F9454B">
        <w:rPr>
          <w:rStyle w:val="st"/>
        </w:rPr>
        <w:t xml:space="preserve">, “From </w:t>
      </w:r>
      <w:r w:rsidRPr="00F9454B">
        <w:rPr>
          <w:rStyle w:val="Emphasis"/>
          <w:i w:val="0"/>
        </w:rPr>
        <w:t>Containment</w:t>
      </w:r>
      <w:r w:rsidRPr="00F9454B">
        <w:rPr>
          <w:rStyle w:val="st"/>
          <w:i/>
        </w:rPr>
        <w:t xml:space="preserve"> </w:t>
      </w:r>
      <w:r w:rsidRPr="00F9454B">
        <w:rPr>
          <w:rStyle w:val="st"/>
        </w:rPr>
        <w:t xml:space="preserve">to Enlargement,” </w:t>
      </w:r>
      <w:r w:rsidRPr="00F9454B">
        <w:rPr>
          <w:rStyle w:val="st"/>
          <w:i/>
        </w:rPr>
        <w:t xml:space="preserve">U.S. Department of State </w:t>
      </w:r>
      <w:r w:rsidRPr="00F9454B">
        <w:rPr>
          <w:rStyle w:val="Emphasis"/>
        </w:rPr>
        <w:t>Dispatch</w:t>
      </w:r>
      <w:r w:rsidRPr="00F9454B">
        <w:rPr>
          <w:rStyle w:val="st"/>
          <w:i/>
        </w:rPr>
        <w:t>,</w:t>
      </w:r>
      <w:r w:rsidRPr="00F9454B">
        <w:rPr>
          <w:rStyle w:val="st"/>
        </w:rPr>
        <w:t xml:space="preserve"> </w:t>
      </w:r>
      <w:r>
        <w:rPr>
          <w:rStyle w:val="st"/>
        </w:rPr>
        <w:t>Vol.4, No.</w:t>
      </w:r>
      <w:r w:rsidRPr="00F9454B">
        <w:rPr>
          <w:rStyle w:val="st"/>
        </w:rPr>
        <w:t>39 (September 27, 1993), pp. 658-664.</w:t>
      </w:r>
    </w:p>
  </w:footnote>
  <w:footnote w:id="64">
    <w:p w:rsidR="0077004D" w:rsidRPr="00F9454B" w:rsidRDefault="0077004D" w:rsidP="00EC2D1D">
      <w:pPr>
        <w:pStyle w:val="FootnoteText"/>
        <w:jc w:val="both"/>
      </w:pPr>
      <w:r w:rsidRPr="00F9454B">
        <w:rPr>
          <w:rStyle w:val="FootnoteReference"/>
        </w:rPr>
        <w:footnoteRef/>
      </w:r>
      <w:r w:rsidRPr="00F9454B">
        <w:t xml:space="preserve"> John Lewis Gaddis, “Foreign Policy by Autopilot,” </w:t>
      </w:r>
      <w:r w:rsidRPr="00F9454B">
        <w:rPr>
          <w:i/>
        </w:rPr>
        <w:t xml:space="preserve">Hoover Digest </w:t>
      </w:r>
      <w:r w:rsidRPr="00F9454B">
        <w:t xml:space="preserve">3 (July 30, 2000). </w:t>
      </w:r>
    </w:p>
  </w:footnote>
  <w:footnote w:id="65">
    <w:p w:rsidR="0077004D" w:rsidRPr="00F9454B" w:rsidRDefault="0077004D" w:rsidP="004D1545">
      <w:pPr>
        <w:pStyle w:val="Heading1"/>
        <w:spacing w:before="0" w:after="0"/>
        <w:jc w:val="both"/>
        <w:rPr>
          <w:rFonts w:ascii="Times New Roman" w:hAnsi="Times New Roman" w:cs="Times New Roman"/>
          <w:b w:val="0"/>
          <w:kern w:val="36"/>
          <w:sz w:val="20"/>
          <w:szCs w:val="20"/>
        </w:rPr>
      </w:pPr>
      <w:r w:rsidRPr="00F9454B">
        <w:rPr>
          <w:rStyle w:val="FootnoteReference"/>
          <w:rFonts w:ascii="Times New Roman" w:hAnsi="Times New Roman" w:cs="Times New Roman"/>
          <w:b w:val="0"/>
          <w:sz w:val="20"/>
          <w:szCs w:val="20"/>
        </w:rPr>
        <w:footnoteRef/>
      </w:r>
      <w:r w:rsidRPr="00F9454B">
        <w:rPr>
          <w:rFonts w:ascii="Times New Roman" w:hAnsi="Times New Roman" w:cs="Times New Roman"/>
          <w:b w:val="0"/>
          <w:sz w:val="20"/>
          <w:szCs w:val="20"/>
        </w:rPr>
        <w:t xml:space="preserve"> “Clinton assails Bush over ‘Erratic’ Foreign Policy,” </w:t>
      </w:r>
      <w:r w:rsidRPr="00F9454B">
        <w:rPr>
          <w:rFonts w:ascii="Times New Roman" w:hAnsi="Times New Roman" w:cs="Times New Roman"/>
          <w:b w:val="0"/>
          <w:i/>
          <w:sz w:val="20"/>
          <w:szCs w:val="20"/>
        </w:rPr>
        <w:t>Los Angeles Times</w:t>
      </w:r>
      <w:r w:rsidRPr="00F9454B">
        <w:rPr>
          <w:rFonts w:ascii="Times New Roman" w:hAnsi="Times New Roman" w:cs="Times New Roman"/>
          <w:b w:val="0"/>
          <w:sz w:val="20"/>
          <w:szCs w:val="20"/>
        </w:rPr>
        <w:t>,</w:t>
      </w:r>
      <w:r w:rsidRPr="00F9454B">
        <w:rPr>
          <w:rFonts w:ascii="Times New Roman" w:hAnsi="Times New Roman" w:cs="Times New Roman"/>
          <w:b w:val="0"/>
          <w:i/>
          <w:sz w:val="20"/>
          <w:szCs w:val="20"/>
        </w:rPr>
        <w:t xml:space="preserve"> </w:t>
      </w:r>
      <w:r w:rsidRPr="00F9454B">
        <w:rPr>
          <w:rFonts w:ascii="Times New Roman" w:hAnsi="Times New Roman" w:cs="Times New Roman"/>
          <w:b w:val="0"/>
          <w:sz w:val="20"/>
          <w:szCs w:val="20"/>
        </w:rPr>
        <w:t xml:space="preserve">April 2, 1992.  </w:t>
      </w:r>
    </w:p>
  </w:footnote>
  <w:footnote w:id="66">
    <w:p w:rsidR="0077004D" w:rsidRPr="00F9454B" w:rsidRDefault="0077004D" w:rsidP="006C438D">
      <w:pPr>
        <w:pStyle w:val="Default"/>
        <w:jc w:val="both"/>
        <w:rPr>
          <w:sz w:val="20"/>
          <w:szCs w:val="20"/>
          <w:lang w:eastAsia="en-US"/>
        </w:rPr>
      </w:pPr>
      <w:r w:rsidRPr="00F9454B">
        <w:rPr>
          <w:rStyle w:val="FootnoteReference"/>
          <w:sz w:val="20"/>
          <w:szCs w:val="20"/>
        </w:rPr>
        <w:footnoteRef/>
      </w:r>
      <w:r w:rsidRPr="00F9454B">
        <w:rPr>
          <w:sz w:val="20"/>
          <w:szCs w:val="20"/>
        </w:rPr>
        <w:t xml:space="preserve"> </w:t>
      </w:r>
      <w:r w:rsidRPr="00F9454B">
        <w:rPr>
          <w:sz w:val="20"/>
          <w:szCs w:val="20"/>
          <w:lang w:eastAsia="en-US"/>
        </w:rPr>
        <w:t xml:space="preserve">Patrick E. Tyler, “U.S. Strategy Plan Calls for Insuring No Rivals Develop,” </w:t>
      </w:r>
      <w:r>
        <w:rPr>
          <w:i/>
          <w:sz w:val="20"/>
          <w:szCs w:val="20"/>
          <w:lang w:eastAsia="en-US"/>
        </w:rPr>
        <w:t xml:space="preserve">The </w:t>
      </w:r>
      <w:r w:rsidRPr="00F9454B">
        <w:rPr>
          <w:i/>
          <w:sz w:val="20"/>
          <w:szCs w:val="20"/>
          <w:lang w:eastAsia="en-US"/>
        </w:rPr>
        <w:t>New York Times</w:t>
      </w:r>
      <w:r w:rsidRPr="00F9454B">
        <w:rPr>
          <w:sz w:val="20"/>
          <w:szCs w:val="20"/>
          <w:lang w:eastAsia="en-US"/>
        </w:rPr>
        <w:t>, March 8, 1992, p.14.</w:t>
      </w:r>
    </w:p>
  </w:footnote>
  <w:footnote w:id="67">
    <w:p w:rsidR="0077004D" w:rsidRPr="00F9454B" w:rsidRDefault="0077004D" w:rsidP="0077017E">
      <w:pPr>
        <w:pStyle w:val="FootnoteText"/>
        <w:jc w:val="both"/>
        <w:rPr>
          <w:i/>
        </w:rPr>
      </w:pPr>
      <w:r w:rsidRPr="00F9454B">
        <w:rPr>
          <w:rStyle w:val="FootnoteReference"/>
        </w:rPr>
        <w:footnoteRef/>
      </w:r>
      <w:r w:rsidRPr="00F9454B">
        <w:t xml:space="preserve"> Les Aspin, </w:t>
      </w:r>
      <w:r w:rsidRPr="00F9454B">
        <w:rPr>
          <w:i/>
        </w:rPr>
        <w:t xml:space="preserve">Report on the Bottom Up Review </w:t>
      </w:r>
      <w:r w:rsidRPr="00F9454B">
        <w:t>(October, 1993),</w:t>
      </w:r>
      <w:r w:rsidRPr="00F9454B">
        <w:rPr>
          <w:i/>
        </w:rPr>
        <w:t xml:space="preserve"> </w:t>
      </w:r>
      <w:r w:rsidRPr="00F9454B">
        <w:t xml:space="preserve">at </w:t>
      </w:r>
      <w:r w:rsidRPr="00F9454B">
        <w:rPr>
          <w:rStyle w:val="HTMLCite"/>
          <w:i w:val="0"/>
        </w:rPr>
        <w:t>www.dtic.mil/get-tr-doc/pdf?AD=ADA359953.</w:t>
      </w:r>
    </w:p>
  </w:footnote>
  <w:footnote w:id="68">
    <w:p w:rsidR="0077004D" w:rsidRPr="00F9454B" w:rsidRDefault="0077004D" w:rsidP="004D1545">
      <w:pPr>
        <w:pStyle w:val="FootnoteText"/>
        <w:jc w:val="both"/>
      </w:pPr>
      <w:r w:rsidRPr="00F9454B">
        <w:rPr>
          <w:rStyle w:val="FootnoteReference"/>
        </w:rPr>
        <w:footnoteRef/>
      </w:r>
      <w:r w:rsidRPr="00F9454B">
        <w:t xml:space="preserve"> Barry R. Posen, “Defending America: CDI Options for Military Spending,” </w:t>
      </w:r>
      <w:r w:rsidRPr="00F9454B">
        <w:rPr>
          <w:i/>
        </w:rPr>
        <w:t>The Defense Monitor</w:t>
      </w:r>
      <w:r w:rsidRPr="00F9454B">
        <w:t>, Vol. 21, No. 4 (1992), p.4.</w:t>
      </w:r>
    </w:p>
  </w:footnote>
  <w:footnote w:id="69">
    <w:p w:rsidR="0077004D" w:rsidRPr="00F9454B" w:rsidRDefault="0077004D" w:rsidP="00AC53BA">
      <w:pPr>
        <w:pStyle w:val="FootnoteText"/>
        <w:jc w:val="both"/>
      </w:pPr>
      <w:r w:rsidRPr="00F9454B">
        <w:rPr>
          <w:rStyle w:val="FootnoteReference"/>
        </w:rPr>
        <w:footnoteRef/>
      </w:r>
      <w:r w:rsidRPr="00F9454B">
        <w:t xml:space="preserve"> International Institute for Strategic Studies (IISS) (Oxford: Oxford University Press, 2000), </w:t>
      </w:r>
      <w:r w:rsidRPr="00F9454B">
        <w:rPr>
          <w:i/>
        </w:rPr>
        <w:t>The Military Balance 2000-2001,</w:t>
      </w:r>
      <w:r w:rsidRPr="00F9454B">
        <w:t xml:space="preserve"> Table 38,</w:t>
      </w:r>
      <w:r w:rsidRPr="00F9454B">
        <w:rPr>
          <w:i/>
        </w:rPr>
        <w:t xml:space="preserve"> </w:t>
      </w:r>
      <w:r w:rsidRPr="00F9454B">
        <w:t>p.297.</w:t>
      </w:r>
    </w:p>
  </w:footnote>
  <w:footnote w:id="70">
    <w:p w:rsidR="0077004D" w:rsidRPr="00F9454B" w:rsidRDefault="0077004D" w:rsidP="00AC53BA">
      <w:pPr>
        <w:pStyle w:val="FootnoteText"/>
      </w:pPr>
      <w:r w:rsidRPr="00F9454B">
        <w:rPr>
          <w:rStyle w:val="FootnoteReference"/>
        </w:rPr>
        <w:footnoteRef/>
      </w:r>
      <w:r w:rsidRPr="00F9454B">
        <w:t xml:space="preserve"> Calculated from </w:t>
      </w:r>
      <w:r w:rsidRPr="00F9454B">
        <w:rPr>
          <w:i/>
        </w:rPr>
        <w:t>The Military Balance 1995-6</w:t>
      </w:r>
      <w:r w:rsidRPr="00F9454B">
        <w:t>, pp.264-269.</w:t>
      </w:r>
    </w:p>
  </w:footnote>
  <w:footnote w:id="71">
    <w:p w:rsidR="0077004D" w:rsidRPr="00F9454B" w:rsidRDefault="0077004D" w:rsidP="00AC53BA">
      <w:pPr>
        <w:autoSpaceDE w:val="0"/>
        <w:autoSpaceDN w:val="0"/>
        <w:adjustRightInd w:val="0"/>
        <w:spacing w:after="0" w:line="240" w:lineRule="auto"/>
        <w:jc w:val="both"/>
        <w:rPr>
          <w:sz w:val="20"/>
          <w:szCs w:val="20"/>
        </w:rPr>
      </w:pPr>
      <w:r w:rsidRPr="00F9454B">
        <w:rPr>
          <w:rStyle w:val="FootnoteReference"/>
          <w:sz w:val="20"/>
          <w:szCs w:val="20"/>
        </w:rPr>
        <w:footnoteRef/>
      </w:r>
      <w:r w:rsidRPr="00F9454B">
        <w:rPr>
          <w:sz w:val="20"/>
          <w:szCs w:val="20"/>
        </w:rPr>
        <w:t xml:space="preserve"> “World Military Expenditures and Arms Transfers”, 1999-2000 (US Department of State, Bureau of Verification and Compliance, June 2002), p.4. </w:t>
      </w:r>
    </w:p>
  </w:footnote>
  <w:footnote w:id="72">
    <w:p w:rsidR="0077004D" w:rsidRPr="00F9454B" w:rsidRDefault="0077004D" w:rsidP="00AC53BA">
      <w:pPr>
        <w:pStyle w:val="FootnoteText"/>
        <w:jc w:val="both"/>
      </w:pPr>
      <w:r w:rsidRPr="00F9454B">
        <w:rPr>
          <w:rStyle w:val="FootnoteReference"/>
        </w:rPr>
        <w:footnoteRef/>
      </w:r>
      <w:r w:rsidRPr="00F9454B">
        <w:t xml:space="preserve"> See Federation of American Scientists, “Russian Military Budget,” 7 December 2000, at https://fas.org/nuke/guide/russia/agency/mo-budget.htm.</w:t>
      </w:r>
    </w:p>
  </w:footnote>
  <w:footnote w:id="73">
    <w:p w:rsidR="0077004D" w:rsidRPr="00F9454B" w:rsidRDefault="0077004D" w:rsidP="00AC53BA">
      <w:pPr>
        <w:pStyle w:val="FootnoteText"/>
        <w:jc w:val="both"/>
      </w:pPr>
      <w:r w:rsidRPr="00F9454B">
        <w:rPr>
          <w:rStyle w:val="FootnoteReference"/>
        </w:rPr>
        <w:footnoteRef/>
      </w:r>
      <w:r w:rsidRPr="00F9454B">
        <w:t xml:space="preserve"> </w:t>
      </w:r>
      <w:r w:rsidRPr="00F9454B">
        <w:rPr>
          <w:i/>
        </w:rPr>
        <w:t>The Military Balance 2000-2001</w:t>
      </w:r>
      <w:r w:rsidRPr="00F9454B">
        <w:t>, pp.18-19.</w:t>
      </w:r>
    </w:p>
  </w:footnote>
  <w:footnote w:id="74">
    <w:p w:rsidR="0077004D" w:rsidRPr="00F9454B" w:rsidRDefault="0077004D" w:rsidP="00A05EE8">
      <w:pPr>
        <w:pStyle w:val="FootnoteText"/>
        <w:jc w:val="both"/>
      </w:pPr>
      <w:r w:rsidRPr="00F9454B">
        <w:rPr>
          <w:rStyle w:val="FootnoteReference"/>
        </w:rPr>
        <w:footnoteRef/>
      </w:r>
      <w:r w:rsidRPr="00F9454B">
        <w:t xml:space="preserve"> Aspin, </w:t>
      </w:r>
      <w:r w:rsidRPr="00F9454B">
        <w:rPr>
          <w:i/>
          <w:iCs/>
        </w:rPr>
        <w:t>Report on the Bottom-Up Review</w:t>
      </w:r>
      <w:r w:rsidRPr="00F9454B">
        <w:t>, p. 1.</w:t>
      </w:r>
    </w:p>
  </w:footnote>
  <w:footnote w:id="75">
    <w:p w:rsidR="0077004D" w:rsidRPr="00F9454B" w:rsidRDefault="0077004D" w:rsidP="00A05EE8">
      <w:pPr>
        <w:pStyle w:val="FootnoteText"/>
        <w:jc w:val="both"/>
      </w:pPr>
      <w:r w:rsidRPr="00F9454B">
        <w:rPr>
          <w:rStyle w:val="FootnoteReference"/>
        </w:rPr>
        <w:footnoteRef/>
      </w:r>
      <w:r w:rsidRPr="00F9454B">
        <w:t xml:space="preserve"> Eliot Cohen, “Beyond Bottom Up,” </w:t>
      </w:r>
      <w:r w:rsidRPr="00F9454B">
        <w:rPr>
          <w:i/>
        </w:rPr>
        <w:t xml:space="preserve">The National Review </w:t>
      </w:r>
      <w:r w:rsidRPr="00F9454B">
        <w:t>Vol. 65, No. 22 (1993)</w:t>
      </w:r>
      <w:r>
        <w:t>, pp.40-43</w:t>
      </w:r>
      <w:r w:rsidRPr="00F9454B">
        <w:t xml:space="preserve">; Lawrence Korb, “Shock Therapy for the Pentagon,” </w:t>
      </w:r>
      <w:r w:rsidRPr="00F9454B">
        <w:rPr>
          <w:i/>
        </w:rPr>
        <w:t>The</w:t>
      </w:r>
      <w:r w:rsidRPr="00F9454B">
        <w:t xml:space="preserve"> </w:t>
      </w:r>
      <w:r w:rsidRPr="00F9454B">
        <w:rPr>
          <w:i/>
        </w:rPr>
        <w:t>New York Times</w:t>
      </w:r>
      <w:r w:rsidRPr="00F9454B">
        <w:t>, February 15, 1994, p.A21.</w:t>
      </w:r>
    </w:p>
  </w:footnote>
  <w:footnote w:id="76">
    <w:p w:rsidR="0077004D" w:rsidRPr="00F9454B" w:rsidRDefault="0077004D" w:rsidP="001611F4">
      <w:pPr>
        <w:spacing w:after="0" w:line="240" w:lineRule="auto"/>
        <w:jc w:val="both"/>
        <w:rPr>
          <w:rFonts w:eastAsia="Times New Roman"/>
          <w:sz w:val="20"/>
          <w:szCs w:val="20"/>
          <w:lang w:eastAsia="en-GB"/>
        </w:rPr>
      </w:pPr>
      <w:r w:rsidRPr="00F9454B">
        <w:rPr>
          <w:rStyle w:val="FootnoteReference"/>
          <w:sz w:val="20"/>
          <w:szCs w:val="20"/>
        </w:rPr>
        <w:footnoteRef/>
      </w:r>
      <w:r w:rsidRPr="00F9454B">
        <w:rPr>
          <w:sz w:val="20"/>
          <w:szCs w:val="20"/>
        </w:rPr>
        <w:t xml:space="preserve"> Richard K. </w:t>
      </w:r>
      <w:r w:rsidRPr="00F9454B">
        <w:rPr>
          <w:rFonts w:eastAsia="Times New Roman"/>
          <w:sz w:val="20"/>
          <w:szCs w:val="20"/>
          <w:lang w:eastAsia="en-GB"/>
        </w:rPr>
        <w:t xml:space="preserve">Betts, </w:t>
      </w:r>
      <w:r w:rsidRPr="00F9454B">
        <w:rPr>
          <w:rFonts w:eastAsia="Times New Roman"/>
          <w:i/>
          <w:sz w:val="20"/>
          <w:szCs w:val="20"/>
          <w:lang w:eastAsia="en-GB"/>
        </w:rPr>
        <w:t xml:space="preserve">U.S. National Security Strategy: Lenses and Landmarks </w:t>
      </w:r>
      <w:r w:rsidRPr="00F9454B">
        <w:rPr>
          <w:rFonts w:eastAsia="Times New Roman"/>
          <w:sz w:val="20"/>
          <w:szCs w:val="20"/>
          <w:lang w:eastAsia="en-GB"/>
        </w:rPr>
        <w:t>(Princeton, NJ: Princeton University, Woodrow Wilson School of Public and International Affairs, 2005), pp.17-18.</w:t>
      </w:r>
    </w:p>
  </w:footnote>
  <w:footnote w:id="77">
    <w:p w:rsidR="0077004D" w:rsidRPr="00F9454B" w:rsidRDefault="0077004D" w:rsidP="001611F4">
      <w:pPr>
        <w:pStyle w:val="FootnoteText"/>
      </w:pPr>
      <w:r w:rsidRPr="00F9454B">
        <w:rPr>
          <w:rStyle w:val="FootnoteReference"/>
        </w:rPr>
        <w:footnoteRef/>
      </w:r>
      <w:r w:rsidRPr="00F9454B">
        <w:t xml:space="preserve"> </w:t>
      </w:r>
      <w:r w:rsidRPr="00F9454B">
        <w:rPr>
          <w:i/>
        </w:rPr>
        <w:t>Defense Strategy for the 1990’s</w:t>
      </w:r>
      <w:r w:rsidRPr="00F9454B">
        <w:t>,</w:t>
      </w:r>
      <w:r w:rsidRPr="00F9454B">
        <w:rPr>
          <w:i/>
        </w:rPr>
        <w:t xml:space="preserve"> </w:t>
      </w:r>
      <w:r w:rsidRPr="00F9454B">
        <w:t>pp.14-16.</w:t>
      </w:r>
      <w:r w:rsidRPr="00F9454B">
        <w:rPr>
          <w:i/>
        </w:rPr>
        <w:t xml:space="preserve"> </w:t>
      </w:r>
      <w:r w:rsidRPr="00F9454B">
        <w:rPr>
          <w:color w:val="000000"/>
        </w:rPr>
        <w:t xml:space="preserve"> </w:t>
      </w:r>
    </w:p>
  </w:footnote>
  <w:footnote w:id="78">
    <w:p w:rsidR="0077004D" w:rsidRPr="00F9454B" w:rsidRDefault="0077004D" w:rsidP="00AC53BA">
      <w:pPr>
        <w:pStyle w:val="FootnoteText"/>
        <w:jc w:val="both"/>
      </w:pPr>
      <w:r w:rsidRPr="00F9454B">
        <w:rPr>
          <w:rStyle w:val="FootnoteReference"/>
        </w:rPr>
        <w:footnoteRef/>
      </w:r>
      <w:r w:rsidRPr="00F9454B">
        <w:t xml:space="preserve"> U.S. Department of Defense, </w:t>
      </w:r>
      <w:r w:rsidRPr="00F9454B">
        <w:rPr>
          <w:rStyle w:val="Emphasis"/>
        </w:rPr>
        <w:t>Report of the Quadrennial Defense Review</w:t>
      </w:r>
      <w:r w:rsidRPr="00F9454B">
        <w:t>, May 1997;</w:t>
      </w:r>
      <w:r w:rsidRPr="00F9454B">
        <w:rPr>
          <w:i/>
        </w:rPr>
        <w:t xml:space="preserve"> </w:t>
      </w:r>
      <w:r w:rsidRPr="00F9454B">
        <w:t xml:space="preserve">David Isenberg, </w:t>
      </w:r>
      <w:r w:rsidRPr="00F9454B">
        <w:rPr>
          <w:i/>
        </w:rPr>
        <w:t xml:space="preserve">The Quadrennial Defense Review: Reiterating the Tired Status Quo </w:t>
      </w:r>
      <w:r w:rsidRPr="00F9454B">
        <w:t xml:space="preserve">(CATO Policy Analysis No.317, September 17, 1998), pp.13, </w:t>
      </w:r>
      <w:r>
        <w:t>pp.</w:t>
      </w:r>
      <w:r w:rsidRPr="00F9454B">
        <w:t xml:space="preserve">15-16, </w:t>
      </w:r>
      <w:r>
        <w:t>p.</w:t>
      </w:r>
      <w:r w:rsidRPr="00F9454B">
        <w:t xml:space="preserve">19. </w:t>
      </w:r>
    </w:p>
  </w:footnote>
  <w:footnote w:id="79">
    <w:p w:rsidR="0077004D" w:rsidRPr="00F9454B" w:rsidRDefault="0077004D" w:rsidP="004E2288">
      <w:pPr>
        <w:pStyle w:val="FootnoteText"/>
        <w:jc w:val="both"/>
      </w:pPr>
      <w:r w:rsidRPr="00F9454B">
        <w:rPr>
          <w:rStyle w:val="FootnoteReference"/>
        </w:rPr>
        <w:footnoteRef/>
      </w:r>
      <w:r w:rsidRPr="00F9454B">
        <w:t xml:space="preserve"> Pub. L. 104-201, div. A, title IX, subtitle B (Sec. 921-26), “Military Force Structure Review Act of 1996,” September 23, 1996.</w:t>
      </w:r>
    </w:p>
  </w:footnote>
  <w:footnote w:id="80">
    <w:p w:rsidR="0077004D" w:rsidRPr="00F9454B" w:rsidRDefault="0077004D" w:rsidP="00AC53BA">
      <w:pPr>
        <w:pStyle w:val="FootnoteText"/>
        <w:jc w:val="both"/>
      </w:pPr>
      <w:r w:rsidRPr="00F9454B">
        <w:rPr>
          <w:rStyle w:val="FootnoteReference"/>
        </w:rPr>
        <w:footnoteRef/>
      </w:r>
      <w:r w:rsidRPr="00F9454B">
        <w:t xml:space="preserve"> Bradley Graham, “Pentagon’s Plan for Future Draws Heavily from Cold War Past,” </w:t>
      </w:r>
      <w:r w:rsidRPr="00F9454B">
        <w:rPr>
          <w:i/>
        </w:rPr>
        <w:t>Washington Post</w:t>
      </w:r>
      <w:r w:rsidRPr="00F9454B">
        <w:t>,</w:t>
      </w:r>
      <w:r w:rsidRPr="00F9454B">
        <w:rPr>
          <w:i/>
        </w:rPr>
        <w:t xml:space="preserve"> </w:t>
      </w:r>
      <w:r w:rsidRPr="00F9454B">
        <w:t>May 11 1997, p.19.</w:t>
      </w:r>
    </w:p>
  </w:footnote>
  <w:footnote w:id="81">
    <w:p w:rsidR="0077004D" w:rsidRPr="00F9454B" w:rsidRDefault="0077004D" w:rsidP="00AC53BA">
      <w:pPr>
        <w:pStyle w:val="FootnoteText"/>
        <w:jc w:val="both"/>
      </w:pPr>
      <w:r w:rsidRPr="00F9454B">
        <w:rPr>
          <w:rStyle w:val="FootnoteReference"/>
        </w:rPr>
        <w:footnoteRef/>
      </w:r>
      <w:r w:rsidRPr="00F9454B">
        <w:t xml:space="preserve"> U.S. Department of Defense, </w:t>
      </w:r>
      <w:r w:rsidRPr="00F9454B">
        <w:rPr>
          <w:rStyle w:val="Emphasis"/>
        </w:rPr>
        <w:t>Quadrennial Defense Review</w:t>
      </w:r>
      <w:r w:rsidRPr="00F9454B">
        <w:t xml:space="preserve">, May 1997, p. 12. </w:t>
      </w:r>
    </w:p>
  </w:footnote>
  <w:footnote w:id="82">
    <w:p w:rsidR="0077004D" w:rsidRPr="00F9454B" w:rsidRDefault="0077004D" w:rsidP="005959CE">
      <w:pPr>
        <w:spacing w:after="0" w:line="240" w:lineRule="auto"/>
        <w:jc w:val="both"/>
        <w:rPr>
          <w:sz w:val="20"/>
          <w:szCs w:val="20"/>
        </w:rPr>
      </w:pPr>
      <w:r w:rsidRPr="00F9454B">
        <w:rPr>
          <w:rStyle w:val="FootnoteReference"/>
          <w:sz w:val="20"/>
          <w:szCs w:val="20"/>
        </w:rPr>
        <w:footnoteRef/>
      </w:r>
      <w:r w:rsidRPr="00F9454B">
        <w:rPr>
          <w:sz w:val="20"/>
          <w:szCs w:val="20"/>
        </w:rPr>
        <w:t xml:space="preserve"> See James M. Goldgeier, </w:t>
      </w:r>
      <w:r w:rsidRPr="00F9454B">
        <w:rPr>
          <w:i/>
          <w:sz w:val="20"/>
          <w:szCs w:val="20"/>
        </w:rPr>
        <w:t xml:space="preserve">Not Whether but When: The US Decision to Enlarge NATO </w:t>
      </w:r>
      <w:r w:rsidRPr="00F9454B">
        <w:rPr>
          <w:sz w:val="20"/>
          <w:szCs w:val="20"/>
        </w:rPr>
        <w:t xml:space="preserve">(Washington: Brookings Institution Press, 1999); Ronald D. Asmus, </w:t>
      </w:r>
      <w:r w:rsidRPr="00F9454B">
        <w:rPr>
          <w:i/>
          <w:sz w:val="20"/>
          <w:szCs w:val="20"/>
        </w:rPr>
        <w:t>Opening NATO’s Door: How the Alliance Remade Itself for a New Era</w:t>
      </w:r>
      <w:r w:rsidRPr="00F9454B">
        <w:rPr>
          <w:sz w:val="20"/>
          <w:szCs w:val="20"/>
        </w:rPr>
        <w:t>, (New York, N.Y.: Columbia University Press, 2002).</w:t>
      </w:r>
    </w:p>
  </w:footnote>
  <w:footnote w:id="83">
    <w:p w:rsidR="0077004D" w:rsidRPr="00F9454B" w:rsidRDefault="0077004D" w:rsidP="00DC6BE8">
      <w:pPr>
        <w:pStyle w:val="FootnoteText"/>
        <w:jc w:val="both"/>
        <w:rPr>
          <w:bCs/>
        </w:rPr>
      </w:pPr>
      <w:r w:rsidRPr="00F9454B">
        <w:rPr>
          <w:rStyle w:val="FootnoteReference"/>
        </w:rPr>
        <w:footnoteRef/>
      </w:r>
      <w:r w:rsidRPr="00F9454B">
        <w:t xml:space="preserve"> “U.S. and NATO Objectives and Interests in Kosovo,”  March 26, 1999, U.S. Department of State, Washington DC, at http://1997-2001</w:t>
      </w:r>
      <w:r w:rsidRPr="00F9454B">
        <w:rPr>
          <w:bCs/>
        </w:rPr>
        <w:t>.</w:t>
      </w:r>
    </w:p>
    <w:p w:rsidR="0077004D" w:rsidRPr="00F9454B" w:rsidRDefault="0077004D" w:rsidP="00DC6BE8">
      <w:pPr>
        <w:pStyle w:val="FootnoteText"/>
        <w:jc w:val="both"/>
      </w:pPr>
      <w:r w:rsidRPr="00F9454B">
        <w:rPr>
          <w:bCs/>
        </w:rPr>
        <w:t>state.gov/www/regions/eur/fs_990326_ksvobjectives.html</w:t>
      </w:r>
      <w:r w:rsidRPr="00F9454B">
        <w:t>.</w:t>
      </w:r>
    </w:p>
  </w:footnote>
  <w:footnote w:id="84">
    <w:p w:rsidR="0077004D" w:rsidRPr="00F9454B" w:rsidRDefault="0077004D" w:rsidP="005959CE">
      <w:pPr>
        <w:pStyle w:val="FootnoteText"/>
        <w:jc w:val="both"/>
      </w:pPr>
      <w:r w:rsidRPr="00F9454B">
        <w:rPr>
          <w:rStyle w:val="FootnoteReference"/>
        </w:rPr>
        <w:footnoteRef/>
      </w:r>
      <w:r w:rsidRPr="00F9454B">
        <w:t xml:space="preserve"> Richard Holbrooke, “America, a European Power,” </w:t>
      </w:r>
      <w:r w:rsidRPr="00F9454B">
        <w:rPr>
          <w:i/>
        </w:rPr>
        <w:t xml:space="preserve">Foreign Affairs </w:t>
      </w:r>
      <w:r w:rsidRPr="00F9454B">
        <w:t>Vol.74, No. 2 (1995), pp.38-51, p.38.</w:t>
      </w:r>
    </w:p>
  </w:footnote>
  <w:footnote w:id="85">
    <w:p w:rsidR="0077004D" w:rsidRPr="00F9454B" w:rsidRDefault="0077004D" w:rsidP="005959CE">
      <w:pPr>
        <w:pStyle w:val="FootnoteText"/>
        <w:jc w:val="both"/>
      </w:pPr>
      <w:r w:rsidRPr="00F9454B">
        <w:rPr>
          <w:rStyle w:val="FootnoteReference"/>
        </w:rPr>
        <w:footnoteRef/>
      </w:r>
      <w:r w:rsidRPr="00F9454B">
        <w:t xml:space="preserve"> See Mary Sarotte, “Perpetuating U.S. Preeminence: The 1990 Deals to ‘Bribe the Soviets Out’ and Move NATO In,” </w:t>
      </w:r>
      <w:r w:rsidRPr="00F9454B">
        <w:rPr>
          <w:i/>
        </w:rPr>
        <w:t>International Security</w:t>
      </w:r>
      <w:r>
        <w:t>,</w:t>
      </w:r>
      <w:r w:rsidRPr="00F9454B">
        <w:rPr>
          <w:i/>
        </w:rPr>
        <w:t xml:space="preserve"> </w:t>
      </w:r>
      <w:r w:rsidRPr="00F9454B">
        <w:t>Vol.35, No.1 (Summer 2010), pp.110-137, p.115.</w:t>
      </w:r>
    </w:p>
  </w:footnote>
  <w:footnote w:id="86">
    <w:p w:rsidR="0077004D" w:rsidRPr="00F9454B" w:rsidRDefault="0077004D" w:rsidP="005959CE">
      <w:pPr>
        <w:pStyle w:val="FootnoteText"/>
        <w:jc w:val="both"/>
      </w:pPr>
      <w:r w:rsidRPr="00F9454B">
        <w:rPr>
          <w:rStyle w:val="FootnoteReference"/>
        </w:rPr>
        <w:footnoteRef/>
      </w:r>
      <w:r w:rsidRPr="00F9454B">
        <w:t xml:space="preserve"> Philip Zelikow and Condoleezza Rice, </w:t>
      </w:r>
      <w:r w:rsidRPr="00F9454B">
        <w:rPr>
          <w:i/>
        </w:rPr>
        <w:t xml:space="preserve">Germany Unified and Europe Transformed: A Study in Statecraft </w:t>
      </w:r>
      <w:r w:rsidRPr="00F9454B">
        <w:t xml:space="preserve">(Cambridge, Mass.: Harvard University Press, 1995), pp.169-70; George Bush and Brent Scowcroft, </w:t>
      </w:r>
      <w:r w:rsidRPr="00F9454B">
        <w:rPr>
          <w:i/>
        </w:rPr>
        <w:t xml:space="preserve">A World Transformed </w:t>
      </w:r>
      <w:r w:rsidRPr="00F9454B">
        <w:t>(New York, N.Y.: Knopf, 1998), pp.230-1.</w:t>
      </w:r>
    </w:p>
  </w:footnote>
  <w:footnote w:id="87">
    <w:p w:rsidR="0077004D" w:rsidRPr="00F9454B" w:rsidRDefault="0077004D" w:rsidP="005959CE">
      <w:pPr>
        <w:pStyle w:val="FootnoteText"/>
        <w:jc w:val="both"/>
      </w:pPr>
      <w:r w:rsidRPr="00F9454B">
        <w:rPr>
          <w:rStyle w:val="FootnoteReference"/>
        </w:rPr>
        <w:footnoteRef/>
      </w:r>
      <w:r w:rsidRPr="00F9454B">
        <w:t xml:space="preserve"> See Joshua R. Itzkowitz Shifrinson, “Deal or No Deal? The End of the Cold War and the U</w:t>
      </w:r>
      <w:r>
        <w:t>.</w:t>
      </w:r>
      <w:r w:rsidRPr="00F9454B">
        <w:t>S</w:t>
      </w:r>
      <w:r>
        <w:t>.</w:t>
      </w:r>
      <w:r w:rsidRPr="00F9454B">
        <w:t xml:space="preserve"> Offer to Limit NATO Expansion,” </w:t>
      </w:r>
      <w:r w:rsidRPr="00F9454B">
        <w:rPr>
          <w:i/>
        </w:rPr>
        <w:t>International Security</w:t>
      </w:r>
      <w:r>
        <w:t>,</w:t>
      </w:r>
      <w:r w:rsidRPr="00F9454B">
        <w:rPr>
          <w:i/>
        </w:rPr>
        <w:t xml:space="preserve"> </w:t>
      </w:r>
      <w:r w:rsidRPr="00F9454B">
        <w:t>Vol.40, No. 4 (Spring 2016), pp.7-44,</w:t>
      </w:r>
      <w:r w:rsidRPr="00F9454B">
        <w:rPr>
          <w:i/>
        </w:rPr>
        <w:t xml:space="preserve"> </w:t>
      </w:r>
      <w:r w:rsidRPr="00F9454B">
        <w:t>38-39.</w:t>
      </w:r>
    </w:p>
  </w:footnote>
  <w:footnote w:id="88">
    <w:p w:rsidR="0077004D" w:rsidRPr="00F9454B" w:rsidRDefault="0077004D" w:rsidP="004D1545">
      <w:pPr>
        <w:pStyle w:val="FootnoteText"/>
        <w:jc w:val="both"/>
      </w:pPr>
      <w:r w:rsidRPr="00F9454B">
        <w:rPr>
          <w:rStyle w:val="FootnoteReference"/>
        </w:rPr>
        <w:footnoteRef/>
      </w:r>
      <w:r>
        <w:t xml:space="preserve"> Colin L. Powell, “</w:t>
      </w:r>
      <w:r w:rsidRPr="00F9454B">
        <w:t>National Se</w:t>
      </w:r>
      <w:r>
        <w:t>curity Challenges in the 1990’s”</w:t>
      </w:r>
      <w:r w:rsidRPr="00F9454B">
        <w:t>, Speech at the Army War College, May</w:t>
      </w:r>
      <w:r>
        <w:t xml:space="preserve"> 16,</w:t>
      </w:r>
      <w:r w:rsidRPr="00F9454B">
        <w:t xml:space="preserve"> 1989</w:t>
      </w:r>
      <w:r>
        <w:t>,</w:t>
      </w:r>
      <w:r w:rsidRPr="00F9454B">
        <w:t xml:space="preserve"> </w:t>
      </w:r>
      <w:r w:rsidRPr="00F9454B">
        <w:rPr>
          <w:i/>
        </w:rPr>
        <w:t xml:space="preserve">Army </w:t>
      </w:r>
      <w:r>
        <w:t>(July 1989), pp.12-14; “</w:t>
      </w:r>
      <w:r w:rsidRPr="00F9454B">
        <w:t>U</w:t>
      </w:r>
      <w:r>
        <w:t>.</w:t>
      </w:r>
      <w:r w:rsidRPr="00F9454B">
        <w:t>S</w:t>
      </w:r>
      <w:r>
        <w:t>.</w:t>
      </w:r>
      <w:r w:rsidRPr="00F9454B">
        <w:t xml:space="preserve"> Foreign</w:t>
      </w:r>
      <w:r>
        <w:t xml:space="preserve"> Policy in a Time of Transition”</w:t>
      </w:r>
      <w:r w:rsidRPr="00F9454B">
        <w:t>, Address bef</w:t>
      </w:r>
      <w:r>
        <w:t xml:space="preserve">ore the National Press Club, </w:t>
      </w:r>
      <w:r w:rsidRPr="00F9454B">
        <w:t>October</w:t>
      </w:r>
      <w:r>
        <w:t xml:space="preserve"> 27,</w:t>
      </w:r>
      <w:r w:rsidRPr="00F9454B">
        <w:t xml:space="preserve"> 1988, Transcript, U</w:t>
      </w:r>
      <w:r>
        <w:t>.</w:t>
      </w:r>
      <w:r w:rsidRPr="00F9454B">
        <w:t>S</w:t>
      </w:r>
      <w:r>
        <w:t>.</w:t>
      </w:r>
      <w:r w:rsidRPr="00F9454B">
        <w:t xml:space="preserve"> Department of State Bulletin</w:t>
      </w:r>
      <w:r>
        <w:t>, January 1989; “</w:t>
      </w:r>
      <w:r w:rsidRPr="00F9454B">
        <w:t xml:space="preserve">A View to 1994: The Base </w:t>
      </w:r>
      <w:r>
        <w:t>Force,” (</w:t>
      </w:r>
      <w:r w:rsidRPr="00F9454B">
        <w:t xml:space="preserve">Washington DC: </w:t>
      </w:r>
      <w:r>
        <w:t xml:space="preserve">CJCS Working Paper, </w:t>
      </w:r>
      <w:r w:rsidRPr="00F9454B">
        <w:t>May</w:t>
      </w:r>
      <w:r>
        <w:t xml:space="preserve"> 12,</w:t>
      </w:r>
      <w:r w:rsidRPr="00F9454B">
        <w:t xml:space="preserve"> 1990</w:t>
      </w:r>
      <w:r>
        <w:t>)</w:t>
      </w:r>
      <w:r w:rsidRPr="00F9454B">
        <w:t>.</w:t>
      </w:r>
    </w:p>
  </w:footnote>
  <w:footnote w:id="89">
    <w:p w:rsidR="0077004D" w:rsidRPr="00F9454B" w:rsidRDefault="0077004D" w:rsidP="004D1545">
      <w:pPr>
        <w:pStyle w:val="FootnoteText"/>
        <w:jc w:val="both"/>
      </w:pPr>
      <w:r w:rsidRPr="00F9454B">
        <w:rPr>
          <w:rStyle w:val="FootnoteReference"/>
        </w:rPr>
        <w:footnoteRef/>
      </w:r>
      <w:r w:rsidRPr="00F9454B">
        <w:t xml:space="preserve">  </w:t>
      </w:r>
      <w:r w:rsidRPr="00F9454B">
        <w:rPr>
          <w:i/>
        </w:rPr>
        <w:t xml:space="preserve">National Military Strategy of the United States, </w:t>
      </w:r>
      <w:r w:rsidRPr="00F9454B">
        <w:t xml:space="preserve">August 1991 at http://fas.org/man/docs/918015-nss.htm.  </w:t>
      </w:r>
    </w:p>
  </w:footnote>
  <w:footnote w:id="90">
    <w:p w:rsidR="0077004D" w:rsidRPr="00F9454B" w:rsidRDefault="0077004D" w:rsidP="004D1545">
      <w:pPr>
        <w:pStyle w:val="FootnoteText"/>
        <w:jc w:val="both"/>
      </w:pPr>
      <w:r w:rsidRPr="00F9454B">
        <w:rPr>
          <w:rStyle w:val="FootnoteReference"/>
        </w:rPr>
        <w:footnoteRef/>
      </w:r>
      <w:r w:rsidRPr="00F9454B">
        <w:t xml:space="preserve"> Colin Powell, </w:t>
      </w:r>
      <w:r w:rsidRPr="00F9454B">
        <w:rPr>
          <w:i/>
        </w:rPr>
        <w:t xml:space="preserve">A Soldier’s Way: An Autobiography </w:t>
      </w:r>
      <w:r w:rsidRPr="00F9454B">
        <w:t>(New York: Random House, 1995), pp.444, 451, 579.</w:t>
      </w:r>
    </w:p>
  </w:footnote>
  <w:footnote w:id="91">
    <w:p w:rsidR="0077004D" w:rsidRPr="00F9454B" w:rsidRDefault="0077004D" w:rsidP="001E4F69">
      <w:pPr>
        <w:pStyle w:val="FootnoteText"/>
        <w:jc w:val="both"/>
      </w:pPr>
      <w:r w:rsidRPr="00F9454B">
        <w:rPr>
          <w:rStyle w:val="FootnoteReference"/>
        </w:rPr>
        <w:footnoteRef/>
      </w:r>
      <w:r w:rsidRPr="00F9454B">
        <w:t xml:space="preserve"> Memorandum, Anthony Lake to Governor Clinton, October</w:t>
      </w:r>
      <w:r>
        <w:t xml:space="preserve"> 1,</w:t>
      </w:r>
      <w:r w:rsidRPr="00F9454B">
        <w:t xml:space="preserve"> 1991, Box 11 Folder 6, Anthony Lake Papers</w:t>
      </w:r>
      <w:r>
        <w:t xml:space="preserve"> (ALP)</w:t>
      </w:r>
      <w:r w:rsidRPr="00F9454B">
        <w:t>, Library of Congress</w:t>
      </w:r>
      <w:r>
        <w:t>, Washington D.C.</w:t>
      </w:r>
      <w:r w:rsidRPr="00F9454B">
        <w:t xml:space="preserve"> </w:t>
      </w:r>
    </w:p>
  </w:footnote>
  <w:footnote w:id="92">
    <w:p w:rsidR="0077004D" w:rsidRPr="00F9454B" w:rsidRDefault="0077004D" w:rsidP="001E4F69">
      <w:pPr>
        <w:pStyle w:val="FootnoteText"/>
        <w:jc w:val="both"/>
      </w:pPr>
      <w:r w:rsidRPr="00F9454B">
        <w:rPr>
          <w:rStyle w:val="FootnoteReference"/>
        </w:rPr>
        <w:footnoteRef/>
      </w:r>
      <w:r w:rsidRPr="00F9454B">
        <w:t xml:space="preserve"> Memo</w:t>
      </w:r>
      <w:r>
        <w:t>randum</w:t>
      </w:r>
      <w:r w:rsidRPr="00F9454B">
        <w:t xml:space="preserve"> to Governor Clinton, August 22, 1992, Box 10, Folder 10</w:t>
      </w:r>
      <w:r>
        <w:t>, ALP</w:t>
      </w:r>
      <w:r w:rsidRPr="00F9454B">
        <w:t>.</w:t>
      </w:r>
    </w:p>
  </w:footnote>
  <w:footnote w:id="93">
    <w:p w:rsidR="0077004D" w:rsidRPr="00F9454B" w:rsidRDefault="0077004D" w:rsidP="001E4F69">
      <w:pPr>
        <w:pStyle w:val="FootnoteText"/>
        <w:jc w:val="both"/>
      </w:pPr>
      <w:r w:rsidRPr="00F9454B">
        <w:rPr>
          <w:rStyle w:val="FootnoteReference"/>
        </w:rPr>
        <w:footnoteRef/>
      </w:r>
      <w:r>
        <w:t xml:space="preserve"> “</w:t>
      </w:r>
      <w:r w:rsidRPr="00F9454B">
        <w:t>En</w:t>
      </w:r>
      <w:r>
        <w:t>largement: Purpose and Practice,”</w:t>
      </w:r>
      <w:r w:rsidRPr="00F9454B">
        <w:t xml:space="preserve"> Remarks to the </w:t>
      </w:r>
      <w:r>
        <w:t>Council on Foreign Relations,</w:t>
      </w:r>
      <w:r w:rsidRPr="00F9454B">
        <w:t xml:space="preserve"> December</w:t>
      </w:r>
      <w:r>
        <w:t xml:space="preserve"> 14,</w:t>
      </w:r>
      <w:r w:rsidRPr="00F9454B">
        <w:t xml:space="preserve"> 1993, National Security Council, Speechwriting Office, </w:t>
      </w:r>
      <w:r w:rsidRPr="007631F3">
        <w:rPr>
          <w:rStyle w:val="Emphasis"/>
          <w:i w:val="0"/>
        </w:rPr>
        <w:t>CDL</w:t>
      </w:r>
      <w:r w:rsidRPr="00F9454B">
        <w:t xml:space="preserve">, accessed March 23, 2015; ‘The Need for Engagement’ </w:t>
      </w:r>
      <w:r w:rsidRPr="00F9454B">
        <w:rPr>
          <w:i/>
        </w:rPr>
        <w:t>State Department Dispatch</w:t>
      </w:r>
      <w:r>
        <w:t xml:space="preserve"> </w:t>
      </w:r>
      <w:r w:rsidRPr="00F9454B">
        <w:t>December</w:t>
      </w:r>
      <w:r>
        <w:t xml:space="preserve"> 5m 1994, p.804; “Foreign Policy Talking Points,” </w:t>
      </w:r>
      <w:r w:rsidRPr="00F9454B">
        <w:t xml:space="preserve"> January</w:t>
      </w:r>
      <w:r>
        <w:t xml:space="preserve"> 18 1996</w:t>
      </w:r>
      <w:r w:rsidRPr="00F9454B">
        <w:t>, Box 51 Folder 4</w:t>
      </w:r>
      <w:r>
        <w:t>,</w:t>
      </w:r>
      <w:r w:rsidRPr="00A22D80">
        <w:t xml:space="preserve"> </w:t>
      </w:r>
      <w:r>
        <w:t>ALP</w:t>
      </w:r>
      <w:r w:rsidRPr="00F9454B">
        <w:t>.</w:t>
      </w:r>
    </w:p>
  </w:footnote>
  <w:footnote w:id="94">
    <w:p w:rsidR="0077004D" w:rsidRPr="00F9454B" w:rsidRDefault="0077004D" w:rsidP="001A6E20">
      <w:pPr>
        <w:pStyle w:val="FootnoteText"/>
        <w:jc w:val="both"/>
      </w:pPr>
      <w:r w:rsidRPr="00F9454B">
        <w:rPr>
          <w:rStyle w:val="FootnoteReference"/>
        </w:rPr>
        <w:footnoteRef/>
      </w:r>
      <w:r w:rsidRPr="00F9454B">
        <w:t xml:space="preserve"> J.A. Edwards, “Staying the course as world leader: Bill Clinton and the use of historical analogies,” </w:t>
      </w:r>
      <w:r w:rsidRPr="00F9454B">
        <w:rPr>
          <w:rStyle w:val="Emphasis"/>
        </w:rPr>
        <w:t>White House Studies</w:t>
      </w:r>
      <w:r>
        <w:rPr>
          <w:rStyle w:val="Emphasis"/>
          <w:i w:val="0"/>
        </w:rPr>
        <w:t>,</w:t>
      </w:r>
      <w:r w:rsidRPr="00F9454B">
        <w:t xml:space="preserve"> Vol.7, No.1 (2007), pp. 53-71, pp.56-57.</w:t>
      </w:r>
    </w:p>
  </w:footnote>
  <w:footnote w:id="95">
    <w:p w:rsidR="0077004D" w:rsidRPr="00F9454B" w:rsidRDefault="0077004D" w:rsidP="001A6E20">
      <w:pPr>
        <w:spacing w:after="0" w:line="240" w:lineRule="auto"/>
        <w:jc w:val="both"/>
        <w:rPr>
          <w:rFonts w:eastAsia="Times New Roman"/>
          <w:sz w:val="20"/>
          <w:szCs w:val="20"/>
          <w:lang w:eastAsia="en-GB"/>
        </w:rPr>
      </w:pPr>
      <w:r w:rsidRPr="00F9454B">
        <w:rPr>
          <w:rStyle w:val="FootnoteReference"/>
          <w:sz w:val="20"/>
          <w:szCs w:val="20"/>
        </w:rPr>
        <w:footnoteRef/>
      </w:r>
      <w:r w:rsidRPr="00F9454B">
        <w:rPr>
          <w:sz w:val="20"/>
          <w:szCs w:val="20"/>
        </w:rPr>
        <w:t xml:space="preserve"> </w:t>
      </w:r>
      <w:r w:rsidRPr="00F9454B">
        <w:rPr>
          <w:rFonts w:eastAsia="Times New Roman"/>
          <w:sz w:val="20"/>
          <w:szCs w:val="20"/>
          <w:lang w:eastAsia="en-GB"/>
        </w:rPr>
        <w:t xml:space="preserve">“Remarks by President Bill Clinton to AFSCME (American Federation of State, County, and Municipal Employees) Conference,” </w:t>
      </w:r>
      <w:r w:rsidRPr="00F9454B">
        <w:rPr>
          <w:rFonts w:eastAsia="Times New Roman"/>
          <w:i/>
          <w:sz w:val="20"/>
          <w:szCs w:val="20"/>
          <w:lang w:eastAsia="en-GB"/>
        </w:rPr>
        <w:t>Federal News Service</w:t>
      </w:r>
      <w:r w:rsidRPr="00F9454B">
        <w:rPr>
          <w:rFonts w:eastAsia="Times New Roman"/>
          <w:sz w:val="20"/>
          <w:szCs w:val="20"/>
          <w:lang w:eastAsia="en-GB"/>
        </w:rPr>
        <w:t xml:space="preserve">, March 23, 1999. </w:t>
      </w:r>
    </w:p>
  </w:footnote>
  <w:footnote w:id="96">
    <w:p w:rsidR="0077004D" w:rsidRPr="00F9454B" w:rsidRDefault="0077004D" w:rsidP="001A6E20">
      <w:pPr>
        <w:autoSpaceDE w:val="0"/>
        <w:autoSpaceDN w:val="0"/>
        <w:adjustRightInd w:val="0"/>
        <w:spacing w:after="0" w:line="240" w:lineRule="auto"/>
        <w:jc w:val="both"/>
        <w:rPr>
          <w:sz w:val="20"/>
          <w:szCs w:val="20"/>
        </w:rPr>
      </w:pPr>
      <w:r w:rsidRPr="00F9454B">
        <w:rPr>
          <w:rStyle w:val="FootnoteReference"/>
          <w:sz w:val="20"/>
          <w:szCs w:val="20"/>
        </w:rPr>
        <w:footnoteRef/>
      </w:r>
      <w:r w:rsidRPr="00F9454B">
        <w:rPr>
          <w:sz w:val="20"/>
          <w:szCs w:val="20"/>
        </w:rPr>
        <w:t xml:space="preserve"> “Remarks to the Nixon Center for Peace and Freedom Policy Conference,” March 1, 1995, </w:t>
      </w:r>
      <w:r w:rsidRPr="00F9454B">
        <w:rPr>
          <w:i/>
          <w:iCs/>
          <w:sz w:val="20"/>
          <w:szCs w:val="20"/>
        </w:rPr>
        <w:t>Public Papers</w:t>
      </w:r>
      <w:r>
        <w:rPr>
          <w:i/>
          <w:iCs/>
          <w:sz w:val="20"/>
          <w:szCs w:val="20"/>
        </w:rPr>
        <w:t xml:space="preserve"> of the Presidents of the United States </w:t>
      </w:r>
      <w:r>
        <w:rPr>
          <w:iCs/>
          <w:sz w:val="20"/>
          <w:szCs w:val="20"/>
        </w:rPr>
        <w:t>(PPPUS)</w:t>
      </w:r>
      <w:r w:rsidRPr="00F9454B">
        <w:rPr>
          <w:i/>
          <w:iCs/>
          <w:sz w:val="20"/>
          <w:szCs w:val="20"/>
        </w:rPr>
        <w:t xml:space="preserve"> </w:t>
      </w:r>
      <w:r w:rsidRPr="00F9454B">
        <w:rPr>
          <w:sz w:val="20"/>
          <w:szCs w:val="20"/>
        </w:rPr>
        <w:t>(Washington D.C.: USGPO, 1996), pp.283-289, p.285.</w:t>
      </w:r>
    </w:p>
  </w:footnote>
  <w:footnote w:id="97">
    <w:p w:rsidR="0077004D" w:rsidRPr="00F9454B" w:rsidRDefault="0077004D" w:rsidP="001A6E20">
      <w:pPr>
        <w:autoSpaceDE w:val="0"/>
        <w:autoSpaceDN w:val="0"/>
        <w:adjustRightInd w:val="0"/>
        <w:spacing w:after="0" w:line="240" w:lineRule="auto"/>
        <w:jc w:val="both"/>
        <w:rPr>
          <w:sz w:val="20"/>
          <w:szCs w:val="20"/>
        </w:rPr>
      </w:pPr>
      <w:r w:rsidRPr="00F9454B">
        <w:rPr>
          <w:rStyle w:val="FootnoteReference"/>
          <w:sz w:val="20"/>
          <w:szCs w:val="20"/>
        </w:rPr>
        <w:footnoteRef/>
      </w:r>
      <w:r w:rsidRPr="00F9454B">
        <w:rPr>
          <w:sz w:val="20"/>
          <w:szCs w:val="20"/>
        </w:rPr>
        <w:t xml:space="preserve"> “Remarks on United States Foreign Policy in San Francisco,” February 26, 1999, </w:t>
      </w:r>
      <w:r>
        <w:rPr>
          <w:iCs/>
          <w:sz w:val="20"/>
          <w:szCs w:val="20"/>
        </w:rPr>
        <w:t xml:space="preserve">PPPUS, </w:t>
      </w:r>
      <w:r w:rsidRPr="00F9454B">
        <w:rPr>
          <w:sz w:val="20"/>
          <w:szCs w:val="20"/>
        </w:rPr>
        <w:t>(Washington D.C.: USGPO, 2000), p.27.</w:t>
      </w:r>
    </w:p>
  </w:footnote>
  <w:footnote w:id="98">
    <w:p w:rsidR="0077004D" w:rsidRPr="00F9454B" w:rsidRDefault="0077004D" w:rsidP="004D1545">
      <w:pPr>
        <w:autoSpaceDE w:val="0"/>
        <w:autoSpaceDN w:val="0"/>
        <w:adjustRightInd w:val="0"/>
        <w:spacing w:after="0" w:line="240" w:lineRule="auto"/>
        <w:jc w:val="both"/>
        <w:rPr>
          <w:sz w:val="20"/>
          <w:szCs w:val="20"/>
        </w:rPr>
      </w:pPr>
      <w:r w:rsidRPr="00F9454B">
        <w:rPr>
          <w:rStyle w:val="FootnoteReference"/>
          <w:sz w:val="20"/>
          <w:szCs w:val="20"/>
        </w:rPr>
        <w:footnoteRef/>
      </w:r>
      <w:r>
        <w:rPr>
          <w:sz w:val="20"/>
          <w:szCs w:val="20"/>
        </w:rPr>
        <w:t xml:space="preserve"> Les Aspin, “</w:t>
      </w:r>
      <w:r w:rsidRPr="00F9454B">
        <w:rPr>
          <w:sz w:val="20"/>
          <w:szCs w:val="20"/>
        </w:rPr>
        <w:t>An Approach to Sizing American Conventional Forces for the Post-Soviet Era: Four Illustrative Optio</w:t>
      </w:r>
      <w:r>
        <w:rPr>
          <w:sz w:val="20"/>
          <w:szCs w:val="20"/>
        </w:rPr>
        <w:t>ns,”</w:t>
      </w:r>
      <w:r w:rsidRPr="00F9454B">
        <w:rPr>
          <w:sz w:val="20"/>
          <w:szCs w:val="20"/>
        </w:rPr>
        <w:t xml:space="preserve"> White Paper (Washington D</w:t>
      </w:r>
      <w:r>
        <w:rPr>
          <w:sz w:val="20"/>
          <w:szCs w:val="20"/>
        </w:rPr>
        <w:t>.</w:t>
      </w:r>
      <w:r w:rsidRPr="00F9454B">
        <w:rPr>
          <w:sz w:val="20"/>
          <w:szCs w:val="20"/>
        </w:rPr>
        <w:t>C</w:t>
      </w:r>
      <w:r>
        <w:rPr>
          <w:sz w:val="20"/>
          <w:szCs w:val="20"/>
        </w:rPr>
        <w:t>.</w:t>
      </w:r>
      <w:r w:rsidRPr="00F9454B">
        <w:rPr>
          <w:sz w:val="20"/>
          <w:szCs w:val="20"/>
        </w:rPr>
        <w:t>: House Armed Services Committee</w:t>
      </w:r>
      <w:r>
        <w:rPr>
          <w:sz w:val="20"/>
          <w:szCs w:val="20"/>
        </w:rPr>
        <w:t>, February 25,</w:t>
      </w:r>
      <w:r w:rsidRPr="00F9454B">
        <w:rPr>
          <w:sz w:val="20"/>
          <w:szCs w:val="20"/>
        </w:rPr>
        <w:t xml:space="preserve"> </w:t>
      </w:r>
      <w:r>
        <w:rPr>
          <w:sz w:val="20"/>
          <w:szCs w:val="20"/>
        </w:rPr>
        <w:t>1992), pp.2-3; Michael Gordon, “</w:t>
      </w:r>
      <w:r w:rsidRPr="00F9454B">
        <w:rPr>
          <w:sz w:val="20"/>
          <w:szCs w:val="20"/>
        </w:rPr>
        <w:t xml:space="preserve">Cuts </w:t>
      </w:r>
      <w:r>
        <w:rPr>
          <w:sz w:val="20"/>
          <w:szCs w:val="20"/>
        </w:rPr>
        <w:t>Force Review of War Strategies,”</w:t>
      </w:r>
      <w:r w:rsidRPr="00F9454B">
        <w:rPr>
          <w:sz w:val="20"/>
          <w:szCs w:val="20"/>
        </w:rPr>
        <w:t xml:space="preserve"> </w:t>
      </w:r>
      <w:r>
        <w:rPr>
          <w:i/>
          <w:sz w:val="20"/>
          <w:szCs w:val="20"/>
        </w:rPr>
        <w:t xml:space="preserve">The </w:t>
      </w:r>
      <w:r w:rsidRPr="00F9454B">
        <w:rPr>
          <w:i/>
          <w:iCs/>
          <w:sz w:val="20"/>
          <w:szCs w:val="20"/>
        </w:rPr>
        <w:t>New York Times</w:t>
      </w:r>
      <w:r w:rsidRPr="00F9454B">
        <w:rPr>
          <w:sz w:val="20"/>
          <w:szCs w:val="20"/>
        </w:rPr>
        <w:t>,</w:t>
      </w:r>
      <w:r>
        <w:rPr>
          <w:sz w:val="20"/>
          <w:szCs w:val="20"/>
        </w:rPr>
        <w:t xml:space="preserve"> </w:t>
      </w:r>
      <w:r w:rsidRPr="00F9454B">
        <w:rPr>
          <w:sz w:val="20"/>
          <w:szCs w:val="20"/>
        </w:rPr>
        <w:t xml:space="preserve"> May</w:t>
      </w:r>
      <w:r>
        <w:rPr>
          <w:sz w:val="20"/>
          <w:szCs w:val="20"/>
        </w:rPr>
        <w:t xml:space="preserve"> 30,</w:t>
      </w:r>
      <w:r w:rsidRPr="00F9454B">
        <w:rPr>
          <w:sz w:val="20"/>
          <w:szCs w:val="20"/>
        </w:rPr>
        <w:t xml:space="preserve"> 1993; Barton Gellman </w:t>
      </w:r>
      <w:r>
        <w:rPr>
          <w:sz w:val="20"/>
          <w:szCs w:val="20"/>
        </w:rPr>
        <w:t>and</w:t>
      </w:r>
      <w:r w:rsidRPr="00F9454B">
        <w:rPr>
          <w:sz w:val="20"/>
          <w:szCs w:val="20"/>
        </w:rPr>
        <w:t xml:space="preserve"> John Lancaster,</w:t>
      </w:r>
      <w:r>
        <w:rPr>
          <w:sz w:val="20"/>
          <w:szCs w:val="20"/>
        </w:rPr>
        <w:t xml:space="preserve"> “</w:t>
      </w:r>
      <w:r w:rsidRPr="00F9454B">
        <w:rPr>
          <w:sz w:val="20"/>
          <w:szCs w:val="20"/>
        </w:rPr>
        <w:t>U.S. May Drop Two War Capability</w:t>
      </w:r>
      <w:r>
        <w:rPr>
          <w:sz w:val="20"/>
          <w:szCs w:val="20"/>
        </w:rPr>
        <w:t>,”</w:t>
      </w:r>
      <w:r w:rsidRPr="00F9454B">
        <w:rPr>
          <w:sz w:val="20"/>
          <w:szCs w:val="20"/>
        </w:rPr>
        <w:t xml:space="preserve"> </w:t>
      </w:r>
      <w:r w:rsidRPr="00F9454B">
        <w:rPr>
          <w:i/>
          <w:sz w:val="20"/>
          <w:szCs w:val="20"/>
        </w:rPr>
        <w:t>Washington Post</w:t>
      </w:r>
      <w:r>
        <w:rPr>
          <w:sz w:val="20"/>
          <w:szCs w:val="20"/>
        </w:rPr>
        <w:t>,</w:t>
      </w:r>
      <w:r w:rsidRPr="00F9454B">
        <w:rPr>
          <w:i/>
          <w:sz w:val="20"/>
          <w:szCs w:val="20"/>
        </w:rPr>
        <w:t xml:space="preserve"> </w:t>
      </w:r>
      <w:r w:rsidRPr="00F9454B">
        <w:rPr>
          <w:sz w:val="20"/>
          <w:szCs w:val="20"/>
        </w:rPr>
        <w:t xml:space="preserve">June </w:t>
      </w:r>
      <w:r>
        <w:rPr>
          <w:sz w:val="20"/>
          <w:szCs w:val="20"/>
        </w:rPr>
        <w:t xml:space="preserve">17, </w:t>
      </w:r>
      <w:r w:rsidRPr="00F9454B">
        <w:rPr>
          <w:sz w:val="20"/>
          <w:szCs w:val="20"/>
        </w:rPr>
        <w:t>1993.</w:t>
      </w:r>
    </w:p>
  </w:footnote>
  <w:footnote w:id="99">
    <w:p w:rsidR="0077004D" w:rsidRPr="00F9454B" w:rsidRDefault="0077004D" w:rsidP="007622F0">
      <w:pPr>
        <w:spacing w:after="0" w:line="240" w:lineRule="auto"/>
        <w:jc w:val="both"/>
        <w:rPr>
          <w:rFonts w:eastAsia="Times New Roman"/>
          <w:sz w:val="20"/>
          <w:szCs w:val="20"/>
          <w:lang w:eastAsia="en-GB"/>
        </w:rPr>
      </w:pPr>
      <w:r w:rsidRPr="00F9454B">
        <w:rPr>
          <w:rStyle w:val="FootnoteReference"/>
          <w:sz w:val="20"/>
          <w:szCs w:val="20"/>
        </w:rPr>
        <w:footnoteRef/>
      </w:r>
      <w:r w:rsidRPr="00F9454B">
        <w:rPr>
          <w:sz w:val="20"/>
          <w:szCs w:val="20"/>
        </w:rPr>
        <w:t xml:space="preserve"> </w:t>
      </w:r>
      <w:r>
        <w:rPr>
          <w:rFonts w:eastAsia="Times New Roman"/>
          <w:sz w:val="20"/>
          <w:szCs w:val="20"/>
          <w:lang w:eastAsia="en-GB"/>
        </w:rPr>
        <w:t>Dov S. Zakheim, “A New Name for Winning: Losing,”</w:t>
      </w:r>
      <w:r w:rsidRPr="00F9454B">
        <w:rPr>
          <w:rFonts w:eastAsia="Times New Roman"/>
          <w:sz w:val="20"/>
          <w:szCs w:val="20"/>
          <w:lang w:eastAsia="en-GB"/>
        </w:rPr>
        <w:t xml:space="preserve"> </w:t>
      </w:r>
      <w:r>
        <w:rPr>
          <w:rFonts w:eastAsia="Times New Roman"/>
          <w:i/>
          <w:sz w:val="20"/>
          <w:szCs w:val="20"/>
          <w:lang w:eastAsia="en-GB"/>
        </w:rPr>
        <w:t xml:space="preserve">The </w:t>
      </w:r>
      <w:r w:rsidRPr="00F9454B">
        <w:rPr>
          <w:rFonts w:eastAsia="Times New Roman"/>
          <w:i/>
          <w:sz w:val="20"/>
          <w:szCs w:val="20"/>
          <w:lang w:eastAsia="en-GB"/>
        </w:rPr>
        <w:t>New York Times</w:t>
      </w:r>
      <w:r>
        <w:rPr>
          <w:rFonts w:eastAsia="Times New Roman"/>
          <w:sz w:val="20"/>
          <w:szCs w:val="20"/>
          <w:lang w:eastAsia="en-GB"/>
        </w:rPr>
        <w:t>,</w:t>
      </w:r>
      <w:r w:rsidRPr="00F9454B">
        <w:rPr>
          <w:rFonts w:eastAsia="Times New Roman"/>
          <w:i/>
          <w:sz w:val="20"/>
          <w:szCs w:val="20"/>
          <w:lang w:eastAsia="en-GB"/>
        </w:rPr>
        <w:t xml:space="preserve"> </w:t>
      </w:r>
      <w:r>
        <w:rPr>
          <w:rFonts w:eastAsia="Times New Roman"/>
          <w:sz w:val="20"/>
          <w:szCs w:val="20"/>
          <w:lang w:eastAsia="en-GB"/>
        </w:rPr>
        <w:t xml:space="preserve">June 19, 1993; </w:t>
      </w:r>
      <w:r w:rsidRPr="007622F0">
        <w:rPr>
          <w:rFonts w:eastAsia="Times New Roman"/>
          <w:sz w:val="20"/>
          <w:szCs w:val="20"/>
          <w:lang w:eastAsia="en-GB"/>
        </w:rPr>
        <w:t xml:space="preserve">John T. Correll, “Two at A Time,” </w:t>
      </w:r>
      <w:r w:rsidRPr="007622F0">
        <w:rPr>
          <w:rFonts w:eastAsia="Times New Roman"/>
          <w:i/>
          <w:sz w:val="20"/>
          <w:szCs w:val="20"/>
          <w:lang w:eastAsia="en-GB"/>
        </w:rPr>
        <w:t>Air Force Magazine</w:t>
      </w:r>
      <w:r w:rsidRPr="007622F0">
        <w:rPr>
          <w:rFonts w:eastAsia="Times New Roman"/>
          <w:sz w:val="20"/>
          <w:szCs w:val="20"/>
          <w:lang w:eastAsia="en-GB"/>
        </w:rPr>
        <w:t>,</w:t>
      </w:r>
      <w:r>
        <w:rPr>
          <w:rFonts w:eastAsia="Times New Roman"/>
          <w:sz w:val="20"/>
          <w:szCs w:val="20"/>
          <w:lang w:eastAsia="en-GB"/>
        </w:rPr>
        <w:t xml:space="preserve"> Vol. 76, No. 9, (</w:t>
      </w:r>
      <w:r w:rsidRPr="007622F0">
        <w:rPr>
          <w:rFonts w:eastAsia="Times New Roman"/>
          <w:sz w:val="20"/>
          <w:szCs w:val="20"/>
          <w:lang w:eastAsia="en-GB"/>
        </w:rPr>
        <w:t>1993</w:t>
      </w:r>
      <w:r>
        <w:rPr>
          <w:rFonts w:eastAsia="Times New Roman"/>
          <w:sz w:val="20"/>
          <w:szCs w:val="20"/>
          <w:lang w:eastAsia="en-GB"/>
        </w:rPr>
        <w:t>); Barton Gellman and John Lancaster, “US May Drop 2 War Capability,”</w:t>
      </w:r>
      <w:r w:rsidRPr="00F9454B">
        <w:rPr>
          <w:rFonts w:eastAsia="Times New Roman"/>
          <w:sz w:val="20"/>
          <w:szCs w:val="20"/>
          <w:lang w:eastAsia="en-GB"/>
        </w:rPr>
        <w:t xml:space="preserve"> </w:t>
      </w:r>
      <w:r w:rsidRPr="00F9454B">
        <w:rPr>
          <w:rFonts w:eastAsia="Times New Roman"/>
          <w:i/>
          <w:sz w:val="20"/>
          <w:szCs w:val="20"/>
          <w:lang w:eastAsia="en-GB"/>
        </w:rPr>
        <w:t>The Washington Post</w:t>
      </w:r>
      <w:r>
        <w:rPr>
          <w:rFonts w:eastAsia="Times New Roman"/>
          <w:sz w:val="20"/>
          <w:szCs w:val="20"/>
          <w:lang w:eastAsia="en-GB"/>
        </w:rPr>
        <w:t>,</w:t>
      </w:r>
      <w:r w:rsidRPr="00F9454B">
        <w:rPr>
          <w:rFonts w:eastAsia="Times New Roman"/>
          <w:i/>
          <w:sz w:val="20"/>
          <w:szCs w:val="20"/>
          <w:lang w:eastAsia="en-GB"/>
        </w:rPr>
        <w:t xml:space="preserve"> </w:t>
      </w:r>
      <w:r w:rsidRPr="00F9454B">
        <w:rPr>
          <w:rFonts w:eastAsia="Times New Roman"/>
          <w:sz w:val="20"/>
          <w:szCs w:val="20"/>
          <w:lang w:eastAsia="en-GB"/>
        </w:rPr>
        <w:t>June</w:t>
      </w:r>
      <w:r>
        <w:rPr>
          <w:rFonts w:eastAsia="Times New Roman"/>
          <w:sz w:val="20"/>
          <w:szCs w:val="20"/>
          <w:lang w:eastAsia="en-GB"/>
        </w:rPr>
        <w:t xml:space="preserve"> 17,</w:t>
      </w:r>
      <w:r w:rsidRPr="00F9454B">
        <w:rPr>
          <w:rFonts w:eastAsia="Times New Roman"/>
          <w:sz w:val="20"/>
          <w:szCs w:val="20"/>
          <w:lang w:eastAsia="en-GB"/>
        </w:rPr>
        <w:t xml:space="preserve"> 1993.</w:t>
      </w:r>
    </w:p>
  </w:footnote>
  <w:footnote w:id="100">
    <w:p w:rsidR="0077004D" w:rsidRPr="00F9454B" w:rsidRDefault="0077004D" w:rsidP="007622F0">
      <w:pPr>
        <w:pStyle w:val="FootnoteText"/>
      </w:pPr>
      <w:r w:rsidRPr="00F9454B">
        <w:rPr>
          <w:rStyle w:val="FootnoteReference"/>
        </w:rPr>
        <w:footnoteRef/>
      </w:r>
      <w:r>
        <w:t xml:space="preserve"> Jim Mann, “</w:t>
      </w:r>
      <w:r w:rsidRPr="00F9454B">
        <w:t xml:space="preserve">New U.S. </w:t>
      </w:r>
      <w:r>
        <w:t>Military Strategy worries Seoul,”</w:t>
      </w:r>
      <w:r w:rsidRPr="00F9454B">
        <w:t xml:space="preserve"> </w:t>
      </w:r>
      <w:r w:rsidRPr="00F9454B">
        <w:rPr>
          <w:i/>
        </w:rPr>
        <w:t>Los Angeles Times</w:t>
      </w:r>
      <w:r>
        <w:t>,</w:t>
      </w:r>
      <w:r w:rsidRPr="00F9454B">
        <w:rPr>
          <w:i/>
        </w:rPr>
        <w:t xml:space="preserve"> </w:t>
      </w:r>
      <w:r w:rsidRPr="00F9454B">
        <w:t>June</w:t>
      </w:r>
      <w:r>
        <w:t xml:space="preserve"> 19,</w:t>
      </w:r>
      <w:r w:rsidRPr="00F9454B">
        <w:t xml:space="preserve"> 1993.</w:t>
      </w:r>
    </w:p>
  </w:footnote>
  <w:footnote w:id="101">
    <w:p w:rsidR="0077004D" w:rsidRPr="00F9454B" w:rsidRDefault="0077004D" w:rsidP="004D1545">
      <w:pPr>
        <w:autoSpaceDE w:val="0"/>
        <w:autoSpaceDN w:val="0"/>
        <w:adjustRightInd w:val="0"/>
        <w:spacing w:after="0" w:line="240" w:lineRule="auto"/>
        <w:jc w:val="both"/>
        <w:rPr>
          <w:sz w:val="20"/>
          <w:szCs w:val="20"/>
        </w:rPr>
      </w:pPr>
      <w:r w:rsidRPr="00F9454B">
        <w:rPr>
          <w:rStyle w:val="FootnoteReference"/>
          <w:sz w:val="20"/>
          <w:szCs w:val="20"/>
        </w:rPr>
        <w:footnoteRef/>
      </w:r>
      <w:r w:rsidRPr="00F9454B">
        <w:rPr>
          <w:sz w:val="20"/>
          <w:szCs w:val="20"/>
        </w:rPr>
        <w:t xml:space="preserve"> Michael O'Hanlon, </w:t>
      </w:r>
      <w:r w:rsidRPr="00F9454B">
        <w:rPr>
          <w:i/>
          <w:sz w:val="20"/>
          <w:szCs w:val="20"/>
        </w:rPr>
        <w:t>Defense Policy Choices for the Bush Administration 2001-2005</w:t>
      </w:r>
      <w:r w:rsidRPr="00F9454B">
        <w:rPr>
          <w:sz w:val="20"/>
          <w:szCs w:val="20"/>
        </w:rPr>
        <w:t xml:space="preserve"> (Washington: Brookings Institution 2001), p.75. </w:t>
      </w:r>
    </w:p>
  </w:footnote>
  <w:footnote w:id="102">
    <w:p w:rsidR="0077004D" w:rsidRPr="00F9454B" w:rsidRDefault="0077004D" w:rsidP="004D1545">
      <w:pPr>
        <w:spacing w:after="0" w:line="240" w:lineRule="auto"/>
        <w:jc w:val="both"/>
        <w:rPr>
          <w:sz w:val="20"/>
          <w:szCs w:val="20"/>
        </w:rPr>
      </w:pPr>
      <w:r w:rsidRPr="00F9454B">
        <w:rPr>
          <w:rStyle w:val="FootnoteReference"/>
          <w:sz w:val="20"/>
          <w:szCs w:val="20"/>
        </w:rPr>
        <w:footnoteRef/>
      </w:r>
      <w:r w:rsidRPr="00F9454B">
        <w:rPr>
          <w:sz w:val="20"/>
          <w:szCs w:val="20"/>
        </w:rPr>
        <w:t xml:space="preserve"> Les Aspin, Speech, Andrews Air Force Base, 24 June, 1993.</w:t>
      </w:r>
    </w:p>
  </w:footnote>
  <w:footnote w:id="103">
    <w:p w:rsidR="0077004D" w:rsidRPr="00F9454B" w:rsidRDefault="0077004D" w:rsidP="004D1545">
      <w:pPr>
        <w:pStyle w:val="FootnoteText"/>
        <w:jc w:val="both"/>
      </w:pPr>
      <w:r w:rsidRPr="00F9454B">
        <w:rPr>
          <w:rStyle w:val="FootnoteReference"/>
        </w:rPr>
        <w:footnoteRef/>
      </w:r>
      <w:r>
        <w:t xml:space="preserve"> Elliot Negin, “</w:t>
      </w:r>
      <w:r w:rsidRPr="00F9454B">
        <w:t>News Media Coverage</w:t>
      </w:r>
      <w:r>
        <w:t xml:space="preserve"> of the Defense Budget” in Leon V. Sigal ed.,</w:t>
      </w:r>
      <w:r w:rsidRPr="00F9454B">
        <w:t xml:space="preserve"> </w:t>
      </w:r>
      <w:r w:rsidRPr="00F9454B">
        <w:rPr>
          <w:i/>
        </w:rPr>
        <w:t>The Changing Dynamics of US Defense Spending</w:t>
      </w:r>
      <w:r w:rsidRPr="00F9454B">
        <w:t xml:space="preserve"> (London: Praeger, 1999), pp.107-</w:t>
      </w:r>
      <w:r>
        <w:t>135, pp.107-</w:t>
      </w:r>
      <w:r w:rsidRPr="00F9454B">
        <w:t>109.</w:t>
      </w:r>
    </w:p>
  </w:footnote>
  <w:footnote w:id="104">
    <w:p w:rsidR="0077004D" w:rsidRPr="00F9454B" w:rsidRDefault="0077004D" w:rsidP="004D1545">
      <w:pPr>
        <w:pStyle w:val="FootnoteText"/>
      </w:pPr>
      <w:r w:rsidRPr="00F9454B">
        <w:rPr>
          <w:rStyle w:val="FootnoteReference"/>
        </w:rPr>
        <w:footnoteRef/>
      </w:r>
      <w:r w:rsidRPr="00F9454B">
        <w:t xml:space="preserve"> Negin, p.109.</w:t>
      </w:r>
    </w:p>
  </w:footnote>
  <w:footnote w:id="105">
    <w:p w:rsidR="0077004D" w:rsidRPr="00F9454B" w:rsidRDefault="0077004D" w:rsidP="00243414">
      <w:pPr>
        <w:pStyle w:val="FootnoteText"/>
        <w:jc w:val="both"/>
      </w:pPr>
      <w:r w:rsidRPr="00F9454B">
        <w:rPr>
          <w:rStyle w:val="FootnoteReference"/>
        </w:rPr>
        <w:footnoteRef/>
      </w:r>
      <w:r w:rsidRPr="00F9454B">
        <w:t xml:space="preserve"> Daniel Williams </w:t>
      </w:r>
      <w:r>
        <w:t>and John M. Goshko, “</w:t>
      </w:r>
      <w:r w:rsidRPr="00F9454B">
        <w:t>Reduced US World</w:t>
      </w:r>
      <w:r>
        <w:t xml:space="preserve"> Role Outlined But Soon Altered,”</w:t>
      </w:r>
      <w:r w:rsidRPr="00F9454B">
        <w:t xml:space="preserve"> </w:t>
      </w:r>
      <w:r>
        <w:rPr>
          <w:i/>
        </w:rPr>
        <w:t>Washington Post</w:t>
      </w:r>
      <w:r>
        <w:t>,</w:t>
      </w:r>
      <w:r w:rsidRPr="00F9454B">
        <w:t xml:space="preserve"> May</w:t>
      </w:r>
      <w:r>
        <w:t xml:space="preserve"> 26,</w:t>
      </w:r>
      <w:r w:rsidRPr="00F9454B">
        <w:t xml:space="preserve"> 1993.</w:t>
      </w:r>
    </w:p>
  </w:footnote>
  <w:footnote w:id="106">
    <w:p w:rsidR="0077004D" w:rsidRPr="00F9454B" w:rsidRDefault="0077004D" w:rsidP="007B49F3">
      <w:pPr>
        <w:pStyle w:val="FootnoteText"/>
        <w:jc w:val="both"/>
      </w:pPr>
      <w:r w:rsidRPr="00F9454B">
        <w:rPr>
          <w:rStyle w:val="FootnoteReference"/>
        </w:rPr>
        <w:footnoteRef/>
      </w:r>
      <w:r>
        <w:t xml:space="preserve"> “</w:t>
      </w:r>
      <w:r w:rsidRPr="00F9454B">
        <w:t>The Clinton F</w:t>
      </w:r>
      <w:r>
        <w:t>oreign Policy, 1977-81, 1993-97,”</w:t>
      </w:r>
      <w:r w:rsidRPr="00F9454B">
        <w:t xml:space="preserve"> </w:t>
      </w:r>
      <w:r w:rsidRPr="00F9454B">
        <w:rPr>
          <w:i/>
        </w:rPr>
        <w:t>Washington Times</w:t>
      </w:r>
      <w:r>
        <w:t xml:space="preserve"> editorial, </w:t>
      </w:r>
      <w:r w:rsidRPr="00F9454B">
        <w:t>May</w:t>
      </w:r>
      <w:r>
        <w:t xml:space="preserve"> 27, 1993; Martin Fletcher, “</w:t>
      </w:r>
      <w:r w:rsidRPr="00F9454B">
        <w:t>White House Denies U.S. Wil</w:t>
      </w:r>
      <w:r>
        <w:t>l Withdraw from Leadership Role,”</w:t>
      </w:r>
      <w:r w:rsidRPr="00F9454B">
        <w:t xml:space="preserve"> </w:t>
      </w:r>
      <w:r>
        <w:rPr>
          <w:i/>
        </w:rPr>
        <w:t xml:space="preserve">The </w:t>
      </w:r>
      <w:r w:rsidRPr="00F9454B">
        <w:rPr>
          <w:i/>
        </w:rPr>
        <w:t>New York Times</w:t>
      </w:r>
      <w:r>
        <w:t>,</w:t>
      </w:r>
      <w:r w:rsidRPr="00F9454B">
        <w:rPr>
          <w:i/>
        </w:rPr>
        <w:t xml:space="preserve"> </w:t>
      </w:r>
      <w:r w:rsidRPr="00F9454B">
        <w:t>May</w:t>
      </w:r>
      <w:r>
        <w:t xml:space="preserve"> 27 1993; Mark Matthews, “</w:t>
      </w:r>
      <w:r w:rsidRPr="00F9454B">
        <w:t>Clinton Foreign Policy Appears to Retreat from</w:t>
      </w:r>
      <w:r>
        <w:t xml:space="preserve"> Decades of US World Leadership,”</w:t>
      </w:r>
      <w:r w:rsidRPr="00F9454B">
        <w:t xml:space="preserve"> </w:t>
      </w:r>
      <w:r w:rsidRPr="00F9454B">
        <w:rPr>
          <w:i/>
        </w:rPr>
        <w:t>Baltimore Sun</w:t>
      </w:r>
      <w:r>
        <w:t>,</w:t>
      </w:r>
      <w:r w:rsidRPr="00F9454B">
        <w:rPr>
          <w:i/>
        </w:rPr>
        <w:t xml:space="preserve"> </w:t>
      </w:r>
      <w:r w:rsidRPr="00F9454B">
        <w:t>May</w:t>
      </w:r>
      <w:r>
        <w:t xml:space="preserve"> 27, 1993; “</w:t>
      </w:r>
      <w:r w:rsidRPr="00F9454B">
        <w:t>White House: U</w:t>
      </w:r>
      <w:r>
        <w:t>.</w:t>
      </w:r>
      <w:r w:rsidRPr="00F9454B">
        <w:t>S</w:t>
      </w:r>
      <w:r>
        <w:t>. not abdicating Global Role,”</w:t>
      </w:r>
      <w:r w:rsidRPr="00F9454B">
        <w:t xml:space="preserve"> </w:t>
      </w:r>
      <w:r w:rsidRPr="00F9454B">
        <w:rPr>
          <w:i/>
        </w:rPr>
        <w:t>Chicago Tribune</w:t>
      </w:r>
      <w:r>
        <w:t>,</w:t>
      </w:r>
      <w:r w:rsidRPr="00F9454B">
        <w:rPr>
          <w:i/>
        </w:rPr>
        <w:t xml:space="preserve"> </w:t>
      </w:r>
      <w:r>
        <w:t xml:space="preserve"> </w:t>
      </w:r>
      <w:r w:rsidRPr="00F9454B">
        <w:t>May</w:t>
      </w:r>
      <w:r>
        <w:t xml:space="preserve"> 27,</w:t>
      </w:r>
      <w:r w:rsidRPr="00F9454B">
        <w:t xml:space="preserve"> 1993.</w:t>
      </w:r>
    </w:p>
  </w:footnote>
  <w:footnote w:id="107">
    <w:p w:rsidR="0077004D" w:rsidRPr="00F9454B" w:rsidRDefault="0077004D" w:rsidP="007B49F3">
      <w:pPr>
        <w:pStyle w:val="FootnoteText"/>
        <w:jc w:val="both"/>
      </w:pPr>
      <w:r w:rsidRPr="00F9454B">
        <w:rPr>
          <w:rStyle w:val="FootnoteReference"/>
        </w:rPr>
        <w:footnoteRef/>
      </w:r>
      <w:r w:rsidRPr="00F9454B">
        <w:t xml:space="preserve"> On coverage and the White House and Sta</w:t>
      </w:r>
      <w:r>
        <w:t>te response, see Jim Anderson, “The Tarnoff Affair,”</w:t>
      </w:r>
      <w:r w:rsidRPr="00F9454B">
        <w:t xml:space="preserve"> </w:t>
      </w:r>
      <w:r w:rsidRPr="00F9454B">
        <w:rPr>
          <w:i/>
        </w:rPr>
        <w:t xml:space="preserve">American Journalism Review </w:t>
      </w:r>
      <w:r w:rsidRPr="00F9454B">
        <w:t>16</w:t>
      </w:r>
      <w:r w:rsidRPr="00F9454B">
        <w:rPr>
          <w:i/>
        </w:rPr>
        <w:t xml:space="preserve"> </w:t>
      </w:r>
      <w:r w:rsidRPr="00F9454B">
        <w:t>(1994), pp.40-44.</w:t>
      </w:r>
    </w:p>
  </w:footnote>
  <w:footnote w:id="108">
    <w:p w:rsidR="0077004D" w:rsidRPr="00F9454B" w:rsidRDefault="0077004D" w:rsidP="007B49F3">
      <w:pPr>
        <w:pStyle w:val="FootnoteText"/>
        <w:jc w:val="both"/>
      </w:pPr>
      <w:r w:rsidRPr="00F9454B">
        <w:rPr>
          <w:rStyle w:val="FootnoteReference"/>
        </w:rPr>
        <w:footnoteRef/>
      </w:r>
      <w:r>
        <w:t xml:space="preserve"> “</w:t>
      </w:r>
      <w:r w:rsidRPr="00F9454B">
        <w:t>U</w:t>
      </w:r>
      <w:r>
        <w:t>.</w:t>
      </w:r>
      <w:r w:rsidRPr="00F9454B">
        <w:t>S</w:t>
      </w:r>
      <w:r>
        <w:t>.</w:t>
      </w:r>
      <w:r w:rsidRPr="00F9454B">
        <w:t xml:space="preserve"> Won’t Shirk Role as W</w:t>
      </w:r>
      <w:r>
        <w:t>orld’s Leader, Christopher Says,”</w:t>
      </w:r>
      <w:r w:rsidRPr="00F9454B">
        <w:t xml:space="preserve"> </w:t>
      </w:r>
      <w:r w:rsidRPr="00F9454B">
        <w:rPr>
          <w:i/>
        </w:rPr>
        <w:t>Indianapolis Star</w:t>
      </w:r>
      <w:r>
        <w:t xml:space="preserve">, </w:t>
      </w:r>
      <w:r w:rsidRPr="00F9454B">
        <w:t>May</w:t>
      </w:r>
      <w:r>
        <w:t xml:space="preserve"> 27,</w:t>
      </w:r>
      <w:r w:rsidRPr="00F9454B">
        <w:t xml:space="preserve"> 1993.</w:t>
      </w:r>
    </w:p>
  </w:footnote>
  <w:footnote w:id="109">
    <w:p w:rsidR="0077004D" w:rsidRPr="00F9454B" w:rsidRDefault="0077004D" w:rsidP="007B49F3">
      <w:pPr>
        <w:pStyle w:val="FootnoteText"/>
        <w:jc w:val="both"/>
      </w:pPr>
      <w:r w:rsidRPr="00F9454B">
        <w:rPr>
          <w:rStyle w:val="FootnoteReference"/>
        </w:rPr>
        <w:footnoteRef/>
      </w:r>
      <w:r w:rsidRPr="00F9454B">
        <w:t xml:space="preserve"> Chollet </w:t>
      </w:r>
      <w:r>
        <w:t>and</w:t>
      </w:r>
      <w:r w:rsidRPr="00F9454B">
        <w:t xml:space="preserve"> Goldgeier, </w:t>
      </w:r>
      <w:r w:rsidRPr="00F9454B">
        <w:rPr>
          <w:i/>
        </w:rPr>
        <w:t xml:space="preserve">America Between the Wars </w:t>
      </w:r>
      <w:r w:rsidRPr="00F9454B">
        <w:t>(New York: Public Affairs, 2008), p.65.</w:t>
      </w:r>
    </w:p>
  </w:footnote>
  <w:footnote w:id="110">
    <w:p w:rsidR="0077004D" w:rsidRPr="00F9454B" w:rsidRDefault="0077004D" w:rsidP="007B49F3">
      <w:pPr>
        <w:pStyle w:val="FootnoteText"/>
        <w:jc w:val="both"/>
      </w:pPr>
      <w:r w:rsidRPr="00F9454B">
        <w:rPr>
          <w:rStyle w:val="FootnoteReference"/>
        </w:rPr>
        <w:footnoteRef/>
      </w:r>
      <w:r>
        <w:t xml:space="preserve"> Warren Christopher, “</w:t>
      </w:r>
      <w:r w:rsidRPr="00F9454B">
        <w:t>US Support for Russian Reform: An I</w:t>
      </w:r>
      <w:r>
        <w:t xml:space="preserve">nvestment in America's Security,” </w:t>
      </w:r>
      <w:r w:rsidRPr="00F9454B">
        <w:t>Address at the Hubert H. Humphrey Institute of Public Affairs, Universit</w:t>
      </w:r>
      <w:r>
        <w:t xml:space="preserve">y of Minnesota, Minneapolis, </w:t>
      </w:r>
      <w:r w:rsidRPr="00F9454B">
        <w:t>May</w:t>
      </w:r>
      <w:r>
        <w:t xml:space="preserve"> 27,</w:t>
      </w:r>
      <w:r w:rsidRPr="00F9454B">
        <w:t xml:space="preserve"> 1993; </w:t>
      </w:r>
      <w:r w:rsidRPr="00F9454B">
        <w:rPr>
          <w:i/>
        </w:rPr>
        <w:t>In the Stream</w:t>
      </w:r>
      <w:r w:rsidRPr="00F9454B">
        <w:t xml:space="preserve"> </w:t>
      </w:r>
      <w:r w:rsidRPr="00F9454B">
        <w:rPr>
          <w:i/>
        </w:rPr>
        <w:t>of History</w:t>
      </w:r>
      <w:r w:rsidRPr="00F9454B">
        <w:t xml:space="preserve">, pp.39-40, p.40; pp.51-60.  </w:t>
      </w:r>
    </w:p>
  </w:footnote>
  <w:footnote w:id="111">
    <w:p w:rsidR="0077004D" w:rsidRPr="00F9454B" w:rsidRDefault="0077004D" w:rsidP="004D1545">
      <w:pPr>
        <w:pStyle w:val="FootnoteText"/>
        <w:jc w:val="both"/>
      </w:pPr>
      <w:r w:rsidRPr="00F9454B">
        <w:rPr>
          <w:rStyle w:val="FootnoteReference"/>
        </w:rPr>
        <w:footnoteRef/>
      </w:r>
      <w:r w:rsidRPr="00F9454B">
        <w:t xml:space="preserve"> Andrew Krepinevich </w:t>
      </w:r>
      <w:r>
        <w:t>and</w:t>
      </w:r>
      <w:r w:rsidRPr="00F9454B">
        <w:t xml:space="preserve"> Barry Watts, </w:t>
      </w:r>
      <w:r w:rsidRPr="00F9454B">
        <w:rPr>
          <w:i/>
        </w:rPr>
        <w:t xml:space="preserve">The Last Warrior: Andrew Marshall and the Shaping of Modern American Defense Strategy </w:t>
      </w:r>
      <w:r w:rsidRPr="00F9454B">
        <w:t>(New York: Basic Books, 2015), p.194.</w:t>
      </w:r>
    </w:p>
  </w:footnote>
  <w:footnote w:id="112">
    <w:p w:rsidR="0077004D" w:rsidRPr="00F9454B" w:rsidRDefault="0077004D" w:rsidP="004D1545">
      <w:pPr>
        <w:pStyle w:val="FootnoteText"/>
        <w:jc w:val="both"/>
      </w:pPr>
      <w:r w:rsidRPr="00F9454B">
        <w:rPr>
          <w:rStyle w:val="FootnoteReference"/>
        </w:rPr>
        <w:footnoteRef/>
      </w:r>
      <w:r>
        <w:t xml:space="preserve"> A.W. Marshall, “</w:t>
      </w:r>
      <w:r w:rsidRPr="00F9454B">
        <w:t>Some T</w:t>
      </w:r>
      <w:r>
        <w:t>houghts on Military Revolutions,”</w:t>
      </w:r>
      <w:r w:rsidRPr="00F9454B">
        <w:t xml:space="preserve"> OSD/</w:t>
      </w:r>
      <w:r>
        <w:t>NA memorandum for the record,</w:t>
      </w:r>
      <w:r w:rsidRPr="00F9454B">
        <w:t xml:space="preserve"> July</w:t>
      </w:r>
      <w:r>
        <w:t xml:space="preserve"> 27</w:t>
      </w:r>
      <w:r w:rsidRPr="00F9454B">
        <w:t>, 1993, p.3.</w:t>
      </w:r>
    </w:p>
  </w:footnote>
  <w:footnote w:id="113">
    <w:p w:rsidR="0077004D" w:rsidRPr="00F9454B" w:rsidRDefault="0077004D" w:rsidP="004D1545">
      <w:pPr>
        <w:autoSpaceDE w:val="0"/>
        <w:autoSpaceDN w:val="0"/>
        <w:adjustRightInd w:val="0"/>
        <w:spacing w:after="0" w:line="240" w:lineRule="auto"/>
        <w:jc w:val="both"/>
        <w:rPr>
          <w:sz w:val="20"/>
          <w:szCs w:val="20"/>
        </w:rPr>
      </w:pPr>
      <w:r w:rsidRPr="00F9454B">
        <w:rPr>
          <w:rStyle w:val="FootnoteReference"/>
          <w:sz w:val="20"/>
          <w:szCs w:val="20"/>
        </w:rPr>
        <w:footnoteRef/>
      </w:r>
      <w:r w:rsidRPr="00F9454B">
        <w:rPr>
          <w:sz w:val="20"/>
          <w:szCs w:val="20"/>
        </w:rPr>
        <w:t xml:space="preserve"> </w:t>
      </w:r>
      <w:r>
        <w:rPr>
          <w:sz w:val="20"/>
          <w:szCs w:val="20"/>
        </w:rPr>
        <w:t>“</w:t>
      </w:r>
      <w:r w:rsidRPr="00F9454B">
        <w:rPr>
          <w:sz w:val="20"/>
          <w:szCs w:val="20"/>
        </w:rPr>
        <w:t xml:space="preserve">Force Structure </w:t>
      </w:r>
      <w:r>
        <w:rPr>
          <w:sz w:val="20"/>
          <w:szCs w:val="20"/>
        </w:rPr>
        <w:t>Levels in the Bottom-Up Review,”</w:t>
      </w:r>
      <w:r w:rsidRPr="00F9454B">
        <w:rPr>
          <w:sz w:val="20"/>
          <w:szCs w:val="20"/>
        </w:rPr>
        <w:t xml:space="preserve"> </w:t>
      </w:r>
      <w:r w:rsidRPr="00F9454B">
        <w:rPr>
          <w:i/>
          <w:iCs/>
          <w:sz w:val="20"/>
          <w:szCs w:val="20"/>
        </w:rPr>
        <w:t>Department of Defense Authorization for Appropriations for Fiscal Year 1995 and the Future Years Defense Program</w:t>
      </w:r>
      <w:r>
        <w:rPr>
          <w:sz w:val="20"/>
          <w:szCs w:val="20"/>
        </w:rPr>
        <w:t xml:space="preserve"> (</w:t>
      </w:r>
      <w:r w:rsidRPr="00F9454B">
        <w:rPr>
          <w:sz w:val="20"/>
          <w:szCs w:val="20"/>
        </w:rPr>
        <w:t>Washington, D.C.: Government Printing Office, March</w:t>
      </w:r>
      <w:r>
        <w:rPr>
          <w:sz w:val="20"/>
          <w:szCs w:val="20"/>
        </w:rPr>
        <w:t xml:space="preserve"> 9</w:t>
      </w:r>
      <w:r w:rsidRPr="00F9454B">
        <w:rPr>
          <w:sz w:val="20"/>
          <w:szCs w:val="20"/>
        </w:rPr>
        <w:t>, 1994</w:t>
      </w:r>
      <w:r>
        <w:rPr>
          <w:sz w:val="20"/>
          <w:szCs w:val="20"/>
        </w:rPr>
        <w:t>)</w:t>
      </w:r>
      <w:r w:rsidRPr="00F9454B">
        <w:rPr>
          <w:sz w:val="20"/>
          <w:szCs w:val="20"/>
        </w:rPr>
        <w:t>, pp. 687-753, 695, 723, 724.</w:t>
      </w:r>
    </w:p>
  </w:footnote>
  <w:footnote w:id="114">
    <w:p w:rsidR="0077004D" w:rsidRPr="00F9454B" w:rsidRDefault="0077004D" w:rsidP="004D1545">
      <w:pPr>
        <w:pStyle w:val="FootnoteText"/>
      </w:pPr>
      <w:r w:rsidRPr="00F9454B">
        <w:rPr>
          <w:rStyle w:val="FootnoteReference"/>
        </w:rPr>
        <w:footnoteRef/>
      </w:r>
      <w:r w:rsidRPr="00F9454B">
        <w:t xml:space="preserve"> National Defense Panel, </w:t>
      </w:r>
      <w:r w:rsidRPr="00F9454B">
        <w:rPr>
          <w:i/>
        </w:rPr>
        <w:t>Assessment of the May 1997 Quadrennial Defense Review</w:t>
      </w:r>
      <w:r w:rsidRPr="00F9454B">
        <w:t>, May 1997.</w:t>
      </w:r>
    </w:p>
  </w:footnote>
  <w:footnote w:id="115">
    <w:p w:rsidR="0077004D" w:rsidRPr="00F9454B" w:rsidRDefault="0077004D" w:rsidP="004D1545">
      <w:pPr>
        <w:spacing w:after="0" w:line="240" w:lineRule="auto"/>
        <w:jc w:val="both"/>
        <w:rPr>
          <w:sz w:val="20"/>
          <w:szCs w:val="20"/>
        </w:rPr>
      </w:pPr>
      <w:r w:rsidRPr="00F9454B">
        <w:rPr>
          <w:rStyle w:val="FootnoteReference"/>
          <w:sz w:val="20"/>
          <w:szCs w:val="20"/>
        </w:rPr>
        <w:footnoteRef/>
      </w:r>
      <w:r w:rsidRPr="00F9454B">
        <w:rPr>
          <w:sz w:val="20"/>
          <w:szCs w:val="20"/>
        </w:rPr>
        <w:t xml:space="preserve"> For a critique, see Carl Conetta, </w:t>
      </w:r>
      <w:r w:rsidRPr="00F9454B">
        <w:rPr>
          <w:i/>
          <w:sz w:val="20"/>
          <w:szCs w:val="20"/>
        </w:rPr>
        <w:t xml:space="preserve">Future Tense: An Assessment of the Report of the National Defense Panel </w:t>
      </w:r>
      <w:r w:rsidRPr="00F9454B">
        <w:rPr>
          <w:sz w:val="20"/>
          <w:szCs w:val="20"/>
        </w:rPr>
        <w:t>(Cambridge: Project on Defense Alternatives, December</w:t>
      </w:r>
      <w:r>
        <w:rPr>
          <w:sz w:val="20"/>
          <w:szCs w:val="20"/>
        </w:rPr>
        <w:t xml:space="preserve"> 6</w:t>
      </w:r>
      <w:r w:rsidRPr="00F9454B">
        <w:rPr>
          <w:sz w:val="20"/>
          <w:szCs w:val="20"/>
        </w:rPr>
        <w:t>, 1997), pp.4-5.</w:t>
      </w:r>
    </w:p>
  </w:footnote>
  <w:footnote w:id="116">
    <w:p w:rsidR="0077004D" w:rsidRPr="00F9454B" w:rsidRDefault="0077004D" w:rsidP="004D1545">
      <w:pPr>
        <w:pStyle w:val="FootnoteText"/>
        <w:jc w:val="both"/>
      </w:pPr>
      <w:r w:rsidRPr="00F9454B">
        <w:rPr>
          <w:rStyle w:val="FootnoteReference"/>
        </w:rPr>
        <w:footnoteRef/>
      </w:r>
      <w:r w:rsidRPr="00F9454B">
        <w:t xml:space="preserve"> Report of the National Defense Panel, </w:t>
      </w:r>
      <w:r w:rsidRPr="00F9454B">
        <w:rPr>
          <w:i/>
        </w:rPr>
        <w:t>Transforming Defense: National Security in the 21</w:t>
      </w:r>
      <w:r w:rsidRPr="00F9454B">
        <w:rPr>
          <w:i/>
          <w:vertAlign w:val="superscript"/>
        </w:rPr>
        <w:t>st</w:t>
      </w:r>
      <w:r w:rsidRPr="00F9454B">
        <w:rPr>
          <w:i/>
        </w:rPr>
        <w:t xml:space="preserve"> Century </w:t>
      </w:r>
      <w:r w:rsidRPr="00F9454B">
        <w:t>(December 1997),</w:t>
      </w:r>
      <w:r w:rsidRPr="00F9454B">
        <w:rPr>
          <w:i/>
        </w:rPr>
        <w:t xml:space="preserve"> </w:t>
      </w:r>
      <w:r w:rsidRPr="00F9454B">
        <w:t>pp.19-20.</w:t>
      </w:r>
    </w:p>
  </w:footnote>
  <w:footnote w:id="117">
    <w:p w:rsidR="0077004D" w:rsidRPr="00F9454B" w:rsidRDefault="0077004D" w:rsidP="004D1545">
      <w:pPr>
        <w:spacing w:after="0" w:line="240" w:lineRule="auto"/>
        <w:jc w:val="both"/>
        <w:rPr>
          <w:sz w:val="20"/>
          <w:szCs w:val="20"/>
        </w:rPr>
      </w:pPr>
      <w:r w:rsidRPr="00F9454B">
        <w:rPr>
          <w:rStyle w:val="FootnoteReference"/>
          <w:sz w:val="20"/>
          <w:szCs w:val="20"/>
        </w:rPr>
        <w:footnoteRef/>
      </w:r>
      <w:r>
        <w:rPr>
          <w:sz w:val="20"/>
          <w:szCs w:val="20"/>
        </w:rPr>
        <w:t xml:space="preserve"> Robert Holzer, “</w:t>
      </w:r>
      <w:r w:rsidRPr="00F9454B">
        <w:rPr>
          <w:sz w:val="20"/>
          <w:szCs w:val="20"/>
        </w:rPr>
        <w:t>Pentagon Diminishes Hop</w:t>
      </w:r>
      <w:r>
        <w:rPr>
          <w:sz w:val="20"/>
          <w:szCs w:val="20"/>
        </w:rPr>
        <w:t>es QDR Effort Will Spur Reform,”</w:t>
      </w:r>
      <w:r w:rsidRPr="00F9454B">
        <w:rPr>
          <w:sz w:val="20"/>
          <w:szCs w:val="20"/>
        </w:rPr>
        <w:t xml:space="preserve"> </w:t>
      </w:r>
      <w:r w:rsidRPr="00F9454B">
        <w:rPr>
          <w:i/>
          <w:sz w:val="20"/>
          <w:szCs w:val="20"/>
        </w:rPr>
        <w:t>Defense News</w:t>
      </w:r>
      <w:r>
        <w:rPr>
          <w:sz w:val="20"/>
          <w:szCs w:val="20"/>
        </w:rPr>
        <w:t>,</w:t>
      </w:r>
      <w:r w:rsidRPr="00F9454B">
        <w:rPr>
          <w:sz w:val="20"/>
          <w:szCs w:val="20"/>
        </w:rPr>
        <w:t xml:space="preserve"> December 15-21, 1997.</w:t>
      </w:r>
    </w:p>
  </w:footnote>
  <w:footnote w:id="118">
    <w:p w:rsidR="0077004D" w:rsidRPr="00F9454B" w:rsidRDefault="0077004D" w:rsidP="004D1545">
      <w:pPr>
        <w:pStyle w:val="FootnoteText"/>
      </w:pPr>
      <w:r w:rsidRPr="00F9454B">
        <w:rPr>
          <w:rStyle w:val="FootnoteReference"/>
        </w:rPr>
        <w:footnoteRef/>
      </w:r>
      <w:r w:rsidRPr="00F9454B">
        <w:t xml:space="preserve"> </w:t>
      </w:r>
      <w:r w:rsidRPr="00F9454B">
        <w:rPr>
          <w:rStyle w:val="firstname"/>
        </w:rPr>
        <w:t>Martin</w:t>
      </w:r>
      <w:r w:rsidRPr="00F9454B">
        <w:rPr>
          <w:rStyle w:val="author"/>
        </w:rPr>
        <w:t xml:space="preserve"> </w:t>
      </w:r>
      <w:r w:rsidRPr="00F9454B">
        <w:rPr>
          <w:rStyle w:val="surname"/>
        </w:rPr>
        <w:t>Fletcher</w:t>
      </w:r>
      <w:r>
        <w:rPr>
          <w:rStyle w:val="bibliomset"/>
        </w:rPr>
        <w:t>, “</w:t>
      </w:r>
      <w:r w:rsidRPr="00F9454B">
        <w:rPr>
          <w:rStyle w:val="bibliomset"/>
        </w:rPr>
        <w:t xml:space="preserve">Foreign Capitals </w:t>
      </w:r>
      <w:r>
        <w:rPr>
          <w:rStyle w:val="bibliomset"/>
        </w:rPr>
        <w:t>Braced for New White House Face,”</w:t>
      </w:r>
      <w:r w:rsidRPr="00F9454B">
        <w:rPr>
          <w:rStyle w:val="article"/>
        </w:rPr>
        <w:t xml:space="preserve"> </w:t>
      </w:r>
      <w:r w:rsidRPr="00F9454B">
        <w:rPr>
          <w:rStyle w:val="italic"/>
          <w:i/>
          <w:iCs/>
        </w:rPr>
        <w:t>The Times</w:t>
      </w:r>
      <w:r>
        <w:rPr>
          <w:rStyle w:val="bibliomset"/>
        </w:rPr>
        <w:t>,</w:t>
      </w:r>
      <w:r w:rsidRPr="00F9454B">
        <w:rPr>
          <w:rStyle w:val="bibliomset"/>
        </w:rPr>
        <w:t xml:space="preserve"> October</w:t>
      </w:r>
      <w:r>
        <w:rPr>
          <w:rStyle w:val="bibliomset"/>
        </w:rPr>
        <w:t xml:space="preserve"> 14</w:t>
      </w:r>
      <w:r w:rsidRPr="00F9454B">
        <w:rPr>
          <w:rStyle w:val="bibliomset"/>
        </w:rPr>
        <w:t xml:space="preserve">, </w:t>
      </w:r>
      <w:r w:rsidRPr="00F9454B">
        <w:rPr>
          <w:rStyle w:val="pubdate"/>
        </w:rPr>
        <w:t>1992</w:t>
      </w:r>
      <w:r w:rsidRPr="00F9454B">
        <w:rPr>
          <w:rStyle w:val="bibliomset"/>
        </w:rPr>
        <w:t>.</w:t>
      </w:r>
    </w:p>
  </w:footnote>
  <w:footnote w:id="119">
    <w:p w:rsidR="0077004D" w:rsidRPr="00F9454B" w:rsidRDefault="0077004D" w:rsidP="004D1545">
      <w:pPr>
        <w:pStyle w:val="FootnoteText"/>
      </w:pPr>
      <w:r w:rsidRPr="00F9454B">
        <w:rPr>
          <w:rStyle w:val="FootnoteReference"/>
        </w:rPr>
        <w:footnoteRef/>
      </w:r>
      <w:r>
        <w:t xml:space="preserve"> “</w:t>
      </w:r>
      <w:r w:rsidRPr="00F9454B">
        <w:t xml:space="preserve">A Who’s </w:t>
      </w:r>
      <w:r>
        <w:t xml:space="preserve">Who of the Men Advising Clinton,” </w:t>
      </w:r>
      <w:r>
        <w:rPr>
          <w:i/>
        </w:rPr>
        <w:t>The</w:t>
      </w:r>
      <w:r w:rsidRPr="00F9454B">
        <w:t xml:space="preserve"> </w:t>
      </w:r>
      <w:r w:rsidRPr="00F9454B">
        <w:rPr>
          <w:i/>
        </w:rPr>
        <w:t>New York Times</w:t>
      </w:r>
      <w:r>
        <w:t xml:space="preserve">, </w:t>
      </w:r>
      <w:r w:rsidRPr="00F9454B">
        <w:t>September</w:t>
      </w:r>
      <w:r>
        <w:t xml:space="preserve"> 13,</w:t>
      </w:r>
      <w:r w:rsidRPr="00F9454B">
        <w:t xml:space="preserve"> 1992.</w:t>
      </w:r>
    </w:p>
  </w:footnote>
  <w:footnote w:id="120">
    <w:p w:rsidR="0077004D" w:rsidRPr="00F9454B" w:rsidRDefault="0077004D" w:rsidP="004D1545">
      <w:pPr>
        <w:pStyle w:val="FootnoteText"/>
        <w:jc w:val="both"/>
      </w:pPr>
      <w:r w:rsidRPr="00F9454B">
        <w:rPr>
          <w:rStyle w:val="FootnoteReference"/>
        </w:rPr>
        <w:footnoteRef/>
      </w:r>
      <w:r w:rsidRPr="00F9454B">
        <w:t xml:space="preserve"> </w:t>
      </w:r>
      <w:r>
        <w:t>FOIA 2006-0460-F, Robert (Bob) Boorstin, “</w:t>
      </w:r>
      <w:r w:rsidRPr="00F9454B">
        <w:t>Thoug</w:t>
      </w:r>
      <w:r>
        <w:t>hts for your Breakfast Tomorrow,”</w:t>
      </w:r>
      <w:r w:rsidRPr="00F9454B">
        <w:t xml:space="preserve"> </w:t>
      </w:r>
      <w:r>
        <w:t>n.d,</w:t>
      </w:r>
      <w:r w:rsidRPr="00F9454B">
        <w:t xml:space="preserve"> mid-1993, Clinton Presidential Records, National Security Council, Robert Boorstin (Speechwriting) </w:t>
      </w:r>
      <w:r>
        <w:rPr>
          <w:rStyle w:val="Emphasis"/>
          <w:i w:val="0"/>
        </w:rPr>
        <w:t>CDL</w:t>
      </w:r>
      <w:r w:rsidRPr="00F9454B">
        <w:t>, accessed March 23, 2015.</w:t>
      </w:r>
    </w:p>
  </w:footnote>
  <w:footnote w:id="121">
    <w:p w:rsidR="0077004D" w:rsidRPr="00F9454B" w:rsidRDefault="0077004D" w:rsidP="004D1545">
      <w:pPr>
        <w:pStyle w:val="FootnoteText"/>
        <w:jc w:val="both"/>
      </w:pPr>
      <w:r w:rsidRPr="00F9454B">
        <w:rPr>
          <w:rStyle w:val="FootnoteReference"/>
        </w:rPr>
        <w:footnoteRef/>
      </w:r>
      <w:r w:rsidRPr="00F9454B">
        <w:t xml:space="preserve"> In 1996, concerned Harvard scholars and former diplomats warned that Clinton’s fecklessness threatens ‘our values, our fortunes, and indeed our lives.'</w:t>
      </w:r>
      <w:r w:rsidRPr="00F9454B">
        <w:rPr>
          <w:rStyle w:val="FootnoteReference"/>
        </w:rPr>
        <w:t xml:space="preserve"> </w:t>
      </w:r>
      <w:r w:rsidRPr="00F9454B">
        <w:rPr>
          <w:i/>
        </w:rPr>
        <w:t xml:space="preserve">A Report from The Commission on </w:t>
      </w:r>
      <w:r w:rsidRPr="00F9454B">
        <w:rPr>
          <w:rStyle w:val="bibitemspan"/>
          <w:i/>
          <w:iCs/>
        </w:rPr>
        <w:t>America’s National Interests</w:t>
      </w:r>
      <w:r w:rsidRPr="00F9454B">
        <w:rPr>
          <w:rStyle w:val="bibitemspan"/>
        </w:rPr>
        <w:t xml:space="preserve"> (July 1996), p.1, at </w:t>
      </w:r>
      <w:r w:rsidRPr="0036724A">
        <w:t>https://www.belfercenter.org/sites/default/files/legacy/files/americas_interests.pdf</w:t>
      </w:r>
      <w:r w:rsidRPr="00F9454B">
        <w:rPr>
          <w:rStyle w:val="bibitemspan"/>
        </w:rPr>
        <w:t xml:space="preserve">; </w:t>
      </w:r>
      <w:r w:rsidRPr="00F9454B">
        <w:t xml:space="preserve">Joshua Muravchik, </w:t>
      </w:r>
      <w:r w:rsidRPr="00F9454B">
        <w:rPr>
          <w:i/>
        </w:rPr>
        <w:t xml:space="preserve">The Imperative of American Leadership: A Challenge to Neo-Isolationism </w:t>
      </w:r>
      <w:r w:rsidRPr="00F9454B">
        <w:t>(Washington DC: American Enterprise Institute, 1996), p.3.</w:t>
      </w:r>
    </w:p>
  </w:footnote>
  <w:footnote w:id="122">
    <w:p w:rsidR="0077004D" w:rsidRPr="00F9454B" w:rsidRDefault="0077004D" w:rsidP="004D1545">
      <w:pPr>
        <w:pStyle w:val="FootnoteText"/>
        <w:jc w:val="both"/>
      </w:pPr>
      <w:r w:rsidRPr="00F9454B">
        <w:rPr>
          <w:rStyle w:val="FootnoteReference"/>
        </w:rPr>
        <w:footnoteRef/>
      </w:r>
      <w:r w:rsidRPr="00F9454B">
        <w:t xml:space="preserve"> The speech was informed by advice from </w:t>
      </w:r>
      <w:r>
        <w:t>“blob”</w:t>
      </w:r>
      <w:r w:rsidRPr="00F9454B">
        <w:t xml:space="preserve"> members Walter Russel Mead, Robert Reich and Sherle Schwenninger, 30 December 1993: Clinton Presidential Records, State of the Union 1994, Carter Wilkie, </w:t>
      </w:r>
      <w:r>
        <w:t xml:space="preserve">CDL, </w:t>
      </w:r>
      <w:r w:rsidRPr="00F9454B">
        <w:t>OA/Box 4273.</w:t>
      </w:r>
    </w:p>
  </w:footnote>
  <w:footnote w:id="123">
    <w:p w:rsidR="0077004D" w:rsidRPr="00F9454B" w:rsidRDefault="0077004D" w:rsidP="00630C97">
      <w:pPr>
        <w:pStyle w:val="FootnoteText"/>
        <w:jc w:val="both"/>
      </w:pPr>
      <w:r w:rsidRPr="00F9454B">
        <w:rPr>
          <w:rStyle w:val="FootnoteReference"/>
        </w:rPr>
        <w:footnoteRef/>
      </w:r>
      <w:r w:rsidRPr="00F9454B">
        <w:t xml:space="preserve"> Memorandum, Tara Sonenshine &amp; Tom Ross to Mark Gearan, Six</w:t>
      </w:r>
      <w:r>
        <w:t>-Month Public Affairs Strategy “</w:t>
      </w:r>
      <w:r w:rsidRPr="00F9454B">
        <w:t>FOIA 2006-</w:t>
      </w:r>
      <w:r>
        <w:t>0460-F - Robert (Bob) Boorstin,”</w:t>
      </w:r>
      <w:r w:rsidRPr="00F9454B">
        <w:t xml:space="preserve"> </w:t>
      </w:r>
      <w:r>
        <w:rPr>
          <w:rStyle w:val="Emphasis"/>
          <w:i w:val="0"/>
        </w:rPr>
        <w:t>CDL</w:t>
      </w:r>
      <w:r w:rsidRPr="00F9454B">
        <w:t>, accessed February 8, 2017.</w:t>
      </w:r>
    </w:p>
  </w:footnote>
  <w:footnote w:id="124">
    <w:p w:rsidR="0077004D" w:rsidRPr="00F9454B" w:rsidRDefault="0077004D" w:rsidP="004D1545">
      <w:pPr>
        <w:pStyle w:val="FootnoteText"/>
        <w:jc w:val="both"/>
      </w:pPr>
      <w:r w:rsidRPr="00F9454B">
        <w:rPr>
          <w:rStyle w:val="FootnoteReference"/>
        </w:rPr>
        <w:footnoteRef/>
      </w:r>
      <w:r w:rsidRPr="00F9454B">
        <w:t xml:space="preserve"> Bob Boorstin to Anthony Lake re: POTUS Speeches September-December, Clinton Presidential Records, NSC, Robert Boorstin (Speechwriting) OA/Box Number 420 1994 Principles Schedules, ‘FOIA 2006-0460-F - Robert (Bob) Boorstin,’ </w:t>
      </w:r>
      <w:r>
        <w:rPr>
          <w:rStyle w:val="Emphasis"/>
          <w:i w:val="0"/>
        </w:rPr>
        <w:t>CDL</w:t>
      </w:r>
      <w:r w:rsidRPr="00F9454B">
        <w:t>, accessed February 8, 2017.</w:t>
      </w:r>
    </w:p>
  </w:footnote>
  <w:footnote w:id="125">
    <w:p w:rsidR="0077004D" w:rsidRPr="00F9454B" w:rsidRDefault="0077004D" w:rsidP="004D1545">
      <w:pPr>
        <w:pStyle w:val="FootnoteText"/>
        <w:jc w:val="both"/>
      </w:pPr>
      <w:r w:rsidRPr="00F9454B">
        <w:rPr>
          <w:rStyle w:val="FootnoteReference"/>
        </w:rPr>
        <w:footnoteRef/>
      </w:r>
      <w:r w:rsidRPr="00F9454B">
        <w:t xml:space="preserve"> Memorandum to Communications Group, February</w:t>
      </w:r>
      <w:r>
        <w:t xml:space="preserve"> 17</w:t>
      </w:r>
      <w:r w:rsidRPr="00F9454B">
        <w:t xml:space="preserve"> 1995, National Security Council, Speechwriting O</w:t>
      </w:r>
      <w:r>
        <w:t>ffice, &amp; Robert Boorstin, “</w:t>
      </w:r>
      <w:r w:rsidRPr="00F9454B">
        <w:t>Declassified Documents concerning Rob</w:t>
      </w:r>
      <w:r>
        <w:t>ert Boorstin, NSC Speechwriter,”</w:t>
      </w:r>
      <w:r w:rsidRPr="00F9454B">
        <w:t xml:space="preserve"> </w:t>
      </w:r>
      <w:r>
        <w:rPr>
          <w:rStyle w:val="Emphasis"/>
          <w:i w:val="0"/>
        </w:rPr>
        <w:t>CDL,</w:t>
      </w:r>
      <w:r w:rsidRPr="00F9454B">
        <w:t xml:space="preserve"> accessed December 19, 2015.</w:t>
      </w:r>
    </w:p>
  </w:footnote>
  <w:footnote w:id="126">
    <w:p w:rsidR="0077004D" w:rsidRPr="00F9454B" w:rsidRDefault="0077004D" w:rsidP="004D1545">
      <w:pPr>
        <w:pStyle w:val="FootnoteText"/>
        <w:jc w:val="both"/>
      </w:pPr>
      <w:r w:rsidRPr="00F9454B">
        <w:rPr>
          <w:rStyle w:val="FootnoteReference"/>
        </w:rPr>
        <w:footnoteRef/>
      </w:r>
      <w:r>
        <w:t xml:space="preserve"> “Outreach to Thinkers” initiative, </w:t>
      </w:r>
      <w:r w:rsidRPr="00F9454B">
        <w:t>August</w:t>
      </w:r>
      <w:r>
        <w:t xml:space="preserve"> 10</w:t>
      </w:r>
      <w:r w:rsidRPr="00F9454B">
        <w:t xml:space="preserve"> 1994, National Security Council, Speechwriting Office, and </w:t>
      </w:r>
      <w:r>
        <w:t>Robert Boorstin, “Foreign Policy - Influentials,”</w:t>
      </w:r>
      <w:r w:rsidRPr="00F9454B">
        <w:t xml:space="preserve"> </w:t>
      </w:r>
      <w:r>
        <w:rPr>
          <w:rStyle w:val="Emphasis"/>
          <w:i w:val="0"/>
        </w:rPr>
        <w:t>CDL</w:t>
      </w:r>
      <w:r w:rsidRPr="00F9454B">
        <w:t>, accessed April 22, 2016.</w:t>
      </w:r>
    </w:p>
  </w:footnote>
  <w:footnote w:id="127">
    <w:p w:rsidR="0077004D" w:rsidRPr="00F9454B" w:rsidRDefault="0077004D" w:rsidP="00010E6A">
      <w:pPr>
        <w:pStyle w:val="FootnoteText"/>
        <w:jc w:val="both"/>
      </w:pPr>
      <w:r w:rsidRPr="00F9454B">
        <w:rPr>
          <w:rStyle w:val="FootnoteReference"/>
        </w:rPr>
        <w:footnoteRef/>
      </w:r>
      <w:r>
        <w:t xml:space="preserve"> “</w:t>
      </w:r>
      <w:r w:rsidRPr="00F9454B">
        <w:t>Summary of Conclusions for Meeting of NSC Principals Committee,</w:t>
      </w:r>
      <w:r>
        <w:t>” October 18, 1993.</w:t>
      </w:r>
    </w:p>
  </w:footnote>
  <w:footnote w:id="128">
    <w:p w:rsidR="0077004D" w:rsidRPr="00F9454B" w:rsidRDefault="0077004D" w:rsidP="00010E6A">
      <w:pPr>
        <w:spacing w:after="0" w:line="240" w:lineRule="auto"/>
        <w:jc w:val="both"/>
        <w:rPr>
          <w:sz w:val="20"/>
          <w:szCs w:val="20"/>
        </w:rPr>
      </w:pPr>
      <w:r w:rsidRPr="00F9454B">
        <w:rPr>
          <w:rStyle w:val="FootnoteReference"/>
          <w:sz w:val="20"/>
          <w:szCs w:val="20"/>
        </w:rPr>
        <w:footnoteRef/>
      </w:r>
      <w:r>
        <w:rPr>
          <w:sz w:val="20"/>
          <w:szCs w:val="20"/>
        </w:rPr>
        <w:t xml:space="preserve"> “The President’s News Conference,” </w:t>
      </w:r>
      <w:r w:rsidRPr="00F9454B">
        <w:rPr>
          <w:sz w:val="20"/>
          <w:szCs w:val="20"/>
        </w:rPr>
        <w:t>June</w:t>
      </w:r>
      <w:r>
        <w:rPr>
          <w:sz w:val="20"/>
          <w:szCs w:val="20"/>
        </w:rPr>
        <w:t xml:space="preserve"> 17,</w:t>
      </w:r>
      <w:r w:rsidRPr="00F9454B">
        <w:rPr>
          <w:sz w:val="20"/>
          <w:szCs w:val="20"/>
        </w:rPr>
        <w:t xml:space="preserve"> 1993, </w:t>
      </w:r>
      <w:r>
        <w:rPr>
          <w:sz w:val="20"/>
          <w:szCs w:val="20"/>
        </w:rPr>
        <w:t>PPPUS</w:t>
      </w:r>
      <w:r w:rsidRPr="00F9454B">
        <w:rPr>
          <w:sz w:val="20"/>
          <w:szCs w:val="20"/>
        </w:rPr>
        <w:t>, 1993, Book I (Government Prin</w:t>
      </w:r>
      <w:r>
        <w:rPr>
          <w:sz w:val="20"/>
          <w:szCs w:val="20"/>
        </w:rPr>
        <w:t>ting Office, 1994), pp.868-69; “</w:t>
      </w:r>
      <w:r w:rsidRPr="00F9454B">
        <w:rPr>
          <w:sz w:val="20"/>
          <w:szCs w:val="20"/>
        </w:rPr>
        <w:t xml:space="preserve">Exchange with Reporters Prior to Discussion with Prime Minister </w:t>
      </w:r>
      <w:r>
        <w:rPr>
          <w:sz w:val="20"/>
          <w:szCs w:val="20"/>
        </w:rPr>
        <w:t xml:space="preserve">Ruud Lubbers of the Netherlands,” </w:t>
      </w:r>
      <w:r w:rsidRPr="00F9454B">
        <w:rPr>
          <w:sz w:val="20"/>
          <w:szCs w:val="20"/>
        </w:rPr>
        <w:t>January</w:t>
      </w:r>
      <w:r>
        <w:rPr>
          <w:sz w:val="20"/>
          <w:szCs w:val="20"/>
        </w:rPr>
        <w:t xml:space="preserve"> 4,</w:t>
      </w:r>
      <w:r w:rsidRPr="00F9454B">
        <w:rPr>
          <w:sz w:val="20"/>
          <w:szCs w:val="20"/>
        </w:rPr>
        <w:t xml:space="preserve"> 1994, </w:t>
      </w:r>
      <w:r>
        <w:rPr>
          <w:sz w:val="20"/>
          <w:szCs w:val="20"/>
        </w:rPr>
        <w:t>PPPUS</w:t>
      </w:r>
      <w:r w:rsidRPr="00F9454B">
        <w:rPr>
          <w:i/>
          <w:sz w:val="20"/>
          <w:szCs w:val="20"/>
        </w:rPr>
        <w:t xml:space="preserve"> </w:t>
      </w:r>
      <w:r w:rsidRPr="00F9454B">
        <w:rPr>
          <w:sz w:val="20"/>
          <w:szCs w:val="20"/>
        </w:rPr>
        <w:t xml:space="preserve">1994 Book I (1995), pp.5-6; interviews in Asmus, </w:t>
      </w:r>
      <w:r>
        <w:rPr>
          <w:i/>
          <w:sz w:val="20"/>
          <w:szCs w:val="20"/>
        </w:rPr>
        <w:t xml:space="preserve">Opening NATO’s </w:t>
      </w:r>
      <w:r w:rsidRPr="007A3CA9">
        <w:rPr>
          <w:i/>
          <w:sz w:val="20"/>
          <w:szCs w:val="20"/>
        </w:rPr>
        <w:t>Door</w:t>
      </w:r>
      <w:r>
        <w:rPr>
          <w:sz w:val="20"/>
          <w:szCs w:val="20"/>
        </w:rPr>
        <w:t xml:space="preserve">, </w:t>
      </w:r>
      <w:r w:rsidRPr="007A3CA9">
        <w:rPr>
          <w:sz w:val="20"/>
          <w:szCs w:val="20"/>
        </w:rPr>
        <w:t>p</w:t>
      </w:r>
      <w:r w:rsidRPr="00F9454B">
        <w:rPr>
          <w:sz w:val="20"/>
          <w:szCs w:val="20"/>
        </w:rPr>
        <w:t>.24.</w:t>
      </w:r>
    </w:p>
  </w:footnote>
  <w:footnote w:id="129">
    <w:p w:rsidR="0077004D" w:rsidRPr="00F9454B" w:rsidRDefault="0077004D" w:rsidP="00010E6A">
      <w:pPr>
        <w:pStyle w:val="FootnoteText"/>
        <w:jc w:val="both"/>
      </w:pPr>
      <w:r w:rsidRPr="00F9454B">
        <w:rPr>
          <w:rStyle w:val="FootnoteReference"/>
        </w:rPr>
        <w:footnoteRef/>
      </w:r>
      <w:r>
        <w:t xml:space="preserve"> Cited in Tyler Marshall, “</w:t>
      </w:r>
      <w:r w:rsidRPr="00F9454B">
        <w:t xml:space="preserve">NATO’s Eastern </w:t>
      </w:r>
      <w:r>
        <w:t>Growth a Giant Step or Stumble?”</w:t>
      </w:r>
      <w:r w:rsidRPr="00F9454B">
        <w:t xml:space="preserve"> </w:t>
      </w:r>
      <w:r w:rsidRPr="00F9454B">
        <w:rPr>
          <w:i/>
        </w:rPr>
        <w:t>Los Angeles Times</w:t>
      </w:r>
      <w:r>
        <w:t>,</w:t>
      </w:r>
      <w:r w:rsidRPr="00F9454B">
        <w:rPr>
          <w:i/>
        </w:rPr>
        <w:t xml:space="preserve"> </w:t>
      </w:r>
      <w:r w:rsidRPr="00F9454B">
        <w:t>April</w:t>
      </w:r>
      <w:r>
        <w:t xml:space="preserve"> 13,</w:t>
      </w:r>
      <w:r w:rsidRPr="00F9454B">
        <w:t xml:space="preserve"> 1997.</w:t>
      </w:r>
    </w:p>
  </w:footnote>
  <w:footnote w:id="130">
    <w:p w:rsidR="0077004D" w:rsidRPr="00F9454B" w:rsidRDefault="0077004D" w:rsidP="00010E6A">
      <w:pPr>
        <w:pStyle w:val="FootnoteText"/>
        <w:jc w:val="both"/>
      </w:pPr>
      <w:r w:rsidRPr="00F9454B">
        <w:rPr>
          <w:rStyle w:val="FootnoteReference"/>
        </w:rPr>
        <w:footnoteRef/>
      </w:r>
      <w:r w:rsidRPr="00F9454B">
        <w:t xml:space="preserve"> Jame</w:t>
      </w:r>
      <w:r>
        <w:t>s Goldgeier, “</w:t>
      </w:r>
      <w:r w:rsidRPr="00F9454B">
        <w:t>NATO expan</w:t>
      </w:r>
      <w:r>
        <w:t>sion: The Anatomy of a Decision,”</w:t>
      </w:r>
      <w:r w:rsidRPr="00F9454B">
        <w:t xml:space="preserve"> </w:t>
      </w:r>
      <w:r w:rsidRPr="00F9454B">
        <w:rPr>
          <w:i/>
        </w:rPr>
        <w:t xml:space="preserve">Washington Quarterly </w:t>
      </w:r>
      <w:r w:rsidRPr="00F9454B">
        <w:t>21 (1998), pp.85-102, pp.86-87.</w:t>
      </w:r>
    </w:p>
  </w:footnote>
  <w:footnote w:id="131">
    <w:p w:rsidR="0077004D" w:rsidRPr="00F9454B" w:rsidRDefault="0077004D" w:rsidP="00010E6A">
      <w:pPr>
        <w:spacing w:after="0" w:line="240" w:lineRule="auto"/>
        <w:jc w:val="both"/>
        <w:rPr>
          <w:sz w:val="20"/>
          <w:szCs w:val="20"/>
        </w:rPr>
      </w:pPr>
      <w:r w:rsidRPr="00F9454B">
        <w:rPr>
          <w:rStyle w:val="FootnoteReference"/>
          <w:sz w:val="20"/>
          <w:szCs w:val="20"/>
        </w:rPr>
        <w:footnoteRef/>
      </w:r>
      <w:r w:rsidRPr="00F9454B">
        <w:rPr>
          <w:sz w:val="20"/>
          <w:szCs w:val="20"/>
        </w:rPr>
        <w:t xml:space="preserve"> Memorandum of Conversation, Luncheon with British Prime Minister Blair, 29 May 1997, Clinton Presidential Records, National Security Council and</w:t>
      </w:r>
      <w:r>
        <w:rPr>
          <w:sz w:val="20"/>
          <w:szCs w:val="20"/>
        </w:rPr>
        <w:t xml:space="preserve"> Records Management Office, “</w:t>
      </w:r>
      <w:r w:rsidRPr="00F9454B">
        <w:rPr>
          <w:sz w:val="20"/>
          <w:szCs w:val="20"/>
        </w:rPr>
        <w:t>Declassified d</w:t>
      </w:r>
      <w:r>
        <w:rPr>
          <w:sz w:val="20"/>
          <w:szCs w:val="20"/>
        </w:rPr>
        <w:t>ocuments concerning Tony Blair,”</w:t>
      </w:r>
      <w:r w:rsidRPr="00F9454B">
        <w:rPr>
          <w:sz w:val="20"/>
          <w:szCs w:val="20"/>
        </w:rPr>
        <w:t xml:space="preserve"> </w:t>
      </w:r>
      <w:r>
        <w:rPr>
          <w:rStyle w:val="Emphasis"/>
          <w:i w:val="0"/>
          <w:sz w:val="20"/>
          <w:szCs w:val="20"/>
        </w:rPr>
        <w:t>CDL</w:t>
      </w:r>
      <w:r w:rsidRPr="00F9454B">
        <w:rPr>
          <w:sz w:val="20"/>
          <w:szCs w:val="20"/>
        </w:rPr>
        <w:t>, accessed February 23, 2016,</w:t>
      </w:r>
    </w:p>
    <w:p w:rsidR="0077004D" w:rsidRPr="00F9454B" w:rsidRDefault="0077004D" w:rsidP="00010E6A">
      <w:pPr>
        <w:spacing w:after="0" w:line="240" w:lineRule="auto"/>
        <w:jc w:val="both"/>
        <w:rPr>
          <w:sz w:val="20"/>
          <w:szCs w:val="20"/>
        </w:rPr>
      </w:pPr>
      <w:r w:rsidRPr="00F9454B">
        <w:rPr>
          <w:sz w:val="20"/>
          <w:szCs w:val="20"/>
        </w:rPr>
        <w:t xml:space="preserve"> http://clinton.presidentiallibraries.us/items/show/48779. </w:t>
      </w:r>
    </w:p>
  </w:footnote>
  <w:footnote w:id="132">
    <w:p w:rsidR="0077004D" w:rsidRPr="00F9454B" w:rsidRDefault="0077004D" w:rsidP="00010E6A">
      <w:pPr>
        <w:pStyle w:val="FootnoteText"/>
      </w:pPr>
      <w:r w:rsidRPr="00F9454B">
        <w:rPr>
          <w:rStyle w:val="FootnoteReference"/>
        </w:rPr>
        <w:footnoteRef/>
      </w:r>
      <w:r>
        <w:t xml:space="preserve"> Douglas Waller, “</w:t>
      </w:r>
      <w:r w:rsidRPr="00F9454B">
        <w:t>How Clinton Decided on NATO Expansion</w:t>
      </w:r>
      <w:r>
        <w:t>,”</w:t>
      </w:r>
      <w:r w:rsidRPr="00F9454B">
        <w:t xml:space="preserve"> </w:t>
      </w:r>
      <w:r w:rsidRPr="00F9454B">
        <w:rPr>
          <w:i/>
        </w:rPr>
        <w:t xml:space="preserve">Time </w:t>
      </w:r>
      <w:r>
        <w:t xml:space="preserve">Vol. 150, No. </w:t>
      </w:r>
      <w:r w:rsidRPr="00F9454B">
        <w:t>2 (1997), p.58.</w:t>
      </w:r>
    </w:p>
  </w:footnote>
  <w:footnote w:id="133">
    <w:p w:rsidR="0077004D" w:rsidRPr="00F9454B" w:rsidRDefault="0077004D" w:rsidP="004D1545">
      <w:pPr>
        <w:pStyle w:val="FootnoteText"/>
        <w:jc w:val="both"/>
      </w:pPr>
      <w:r w:rsidRPr="00F9454B">
        <w:rPr>
          <w:rStyle w:val="FootnoteReference"/>
        </w:rPr>
        <w:footnoteRef/>
      </w:r>
      <w:r>
        <w:t xml:space="preserve"> As John Lewis Gaddis argued, “</w:t>
      </w:r>
      <w:r w:rsidRPr="00F9454B">
        <w:t>History, Gran</w:t>
      </w:r>
      <w:r>
        <w:t>d Strategy and NATO Enlargement,”</w:t>
      </w:r>
      <w:r w:rsidRPr="00F9454B">
        <w:t xml:space="preserve"> </w:t>
      </w:r>
      <w:r w:rsidRPr="00F9454B">
        <w:rPr>
          <w:i/>
        </w:rPr>
        <w:t xml:space="preserve">Survival </w:t>
      </w:r>
      <w:r>
        <w:t>Vol. 40, No.</w:t>
      </w:r>
      <w:r w:rsidRPr="00F9454B">
        <w:t>1 (1998), pp.145-151, p.149.</w:t>
      </w:r>
    </w:p>
  </w:footnote>
  <w:footnote w:id="134">
    <w:p w:rsidR="0077004D" w:rsidRPr="00F9454B" w:rsidRDefault="0077004D" w:rsidP="004D1545">
      <w:pPr>
        <w:spacing w:after="0" w:line="240" w:lineRule="auto"/>
        <w:jc w:val="both"/>
        <w:rPr>
          <w:sz w:val="20"/>
          <w:szCs w:val="20"/>
        </w:rPr>
      </w:pPr>
      <w:r w:rsidRPr="00F9454B">
        <w:rPr>
          <w:rStyle w:val="FootnoteReference"/>
          <w:sz w:val="20"/>
          <w:szCs w:val="20"/>
        </w:rPr>
        <w:footnoteRef/>
      </w:r>
      <w:r>
        <w:rPr>
          <w:sz w:val="20"/>
          <w:szCs w:val="20"/>
        </w:rPr>
        <w:t xml:space="preserve"> See “</w:t>
      </w:r>
      <w:r w:rsidRPr="00F9454B">
        <w:rPr>
          <w:sz w:val="20"/>
          <w:szCs w:val="20"/>
        </w:rPr>
        <w:t>Memorandum of Conversation from the President’s Meeting with Ital</w:t>
      </w:r>
      <w:r>
        <w:rPr>
          <w:sz w:val="20"/>
          <w:szCs w:val="20"/>
        </w:rPr>
        <w:t xml:space="preserve">ian Prime Minister Carlo Ciampi,” </w:t>
      </w:r>
      <w:r w:rsidRPr="00F9454B">
        <w:rPr>
          <w:sz w:val="20"/>
          <w:szCs w:val="20"/>
        </w:rPr>
        <w:t>September</w:t>
      </w:r>
      <w:r>
        <w:rPr>
          <w:sz w:val="20"/>
          <w:szCs w:val="20"/>
        </w:rPr>
        <w:t xml:space="preserve"> 17,</w:t>
      </w:r>
      <w:r w:rsidRPr="00F9454B">
        <w:rPr>
          <w:sz w:val="20"/>
          <w:szCs w:val="20"/>
        </w:rPr>
        <w:t xml:space="preserve"> 1993, cited in Asmus,</w:t>
      </w:r>
      <w:r>
        <w:rPr>
          <w:sz w:val="20"/>
          <w:szCs w:val="20"/>
        </w:rPr>
        <w:t xml:space="preserve"> </w:t>
      </w:r>
      <w:r>
        <w:rPr>
          <w:i/>
          <w:sz w:val="20"/>
          <w:szCs w:val="20"/>
        </w:rPr>
        <w:t>Opening NATO’s Door</w:t>
      </w:r>
      <w:r>
        <w:rPr>
          <w:sz w:val="20"/>
          <w:szCs w:val="20"/>
        </w:rPr>
        <w:t>,</w:t>
      </w:r>
      <w:r w:rsidRPr="00F9454B">
        <w:rPr>
          <w:sz w:val="20"/>
          <w:szCs w:val="20"/>
        </w:rPr>
        <w:t xml:space="preserve"> p.312, n.26.</w:t>
      </w:r>
    </w:p>
  </w:footnote>
  <w:footnote w:id="135">
    <w:p w:rsidR="0077004D" w:rsidRPr="00F9454B" w:rsidRDefault="0077004D">
      <w:pPr>
        <w:pStyle w:val="FootnoteText"/>
      </w:pPr>
      <w:r w:rsidRPr="00F9454B">
        <w:rPr>
          <w:rStyle w:val="FootnoteReference"/>
        </w:rPr>
        <w:footnoteRef/>
      </w:r>
      <w:r w:rsidRPr="00F9454B">
        <w:t xml:space="preserve"> Asmus, </w:t>
      </w:r>
      <w:r w:rsidRPr="00F9454B">
        <w:rPr>
          <w:i/>
        </w:rPr>
        <w:t>Opening NATO’s Door</w:t>
      </w:r>
      <w:r w:rsidRPr="00F9454B">
        <w:t>, p.178.</w:t>
      </w:r>
    </w:p>
  </w:footnote>
  <w:footnote w:id="136">
    <w:p w:rsidR="0077004D" w:rsidRPr="00F9454B" w:rsidRDefault="0077004D" w:rsidP="004D1545">
      <w:pPr>
        <w:pStyle w:val="FootnoteText"/>
        <w:jc w:val="both"/>
      </w:pPr>
      <w:r w:rsidRPr="00F9454B">
        <w:rPr>
          <w:rStyle w:val="FootnoteReference"/>
        </w:rPr>
        <w:footnoteRef/>
      </w:r>
      <w:r w:rsidRPr="00F9454B">
        <w:t xml:space="preserve"> “Declassified Documents concerning Presidential Review Directive 36 (PRD 36),”  July 5, 1993, p.1, </w:t>
      </w:r>
      <w:r>
        <w:rPr>
          <w:rStyle w:val="Emphasis"/>
          <w:i w:val="0"/>
        </w:rPr>
        <w:t>CDL</w:t>
      </w:r>
      <w:r w:rsidRPr="00F9454B">
        <w:t>, accessed February 8, 2017.</w:t>
      </w:r>
    </w:p>
  </w:footnote>
  <w:footnote w:id="137">
    <w:p w:rsidR="0077004D" w:rsidRPr="00F9454B" w:rsidRDefault="0077004D" w:rsidP="004D1545">
      <w:pPr>
        <w:pStyle w:val="FootnoteText"/>
        <w:jc w:val="both"/>
      </w:pPr>
      <w:r w:rsidRPr="00F9454B">
        <w:rPr>
          <w:rStyle w:val="FootnoteReference"/>
        </w:rPr>
        <w:footnoteRef/>
      </w:r>
      <w:r w:rsidRPr="00F9454B">
        <w:t xml:space="preserve"> Douglas Brinkley, “Democratic Enlargement: The Clinton Doctrine,” </w:t>
      </w:r>
      <w:r w:rsidRPr="00F9454B">
        <w:rPr>
          <w:i/>
        </w:rPr>
        <w:t xml:space="preserve">Foreign Policy </w:t>
      </w:r>
      <w:r w:rsidRPr="00F9454B">
        <w:t xml:space="preserve">Vol.106 (1997), pp.111-127, </w:t>
      </w:r>
      <w:r>
        <w:t>pp.</w:t>
      </w:r>
      <w:r w:rsidRPr="00F9454B">
        <w:t>118-119.</w:t>
      </w:r>
    </w:p>
  </w:footnote>
  <w:footnote w:id="138">
    <w:p w:rsidR="0077004D" w:rsidRPr="00F9454B" w:rsidRDefault="0077004D" w:rsidP="004D1545">
      <w:pPr>
        <w:pStyle w:val="FootnoteText"/>
        <w:jc w:val="both"/>
      </w:pPr>
      <w:r w:rsidRPr="00F9454B">
        <w:rPr>
          <w:rStyle w:val="FootnoteReference"/>
        </w:rPr>
        <w:footnoteRef/>
      </w:r>
      <w:r w:rsidRPr="00F9454B">
        <w:t xml:space="preserve"> See James Goldgeier, “NATO expansion: The Anatomy of a Decision,” </w:t>
      </w:r>
      <w:r w:rsidRPr="00F9454B">
        <w:rPr>
          <w:i/>
        </w:rPr>
        <w:t>Washington Quarterly</w:t>
      </w:r>
      <w:r w:rsidRPr="00F9454B">
        <w:t>,</w:t>
      </w:r>
      <w:r w:rsidRPr="00F9454B">
        <w:rPr>
          <w:i/>
        </w:rPr>
        <w:t xml:space="preserve"> </w:t>
      </w:r>
      <w:r w:rsidRPr="00F9454B">
        <w:t>Vol. 21 (1998), pp.85-102, pp.96-7.</w:t>
      </w:r>
    </w:p>
  </w:footnote>
  <w:footnote w:id="139">
    <w:p w:rsidR="0077004D" w:rsidRPr="00F9454B" w:rsidRDefault="0077004D" w:rsidP="004D1545">
      <w:pPr>
        <w:pStyle w:val="FootnoteText"/>
        <w:jc w:val="both"/>
      </w:pPr>
      <w:r w:rsidRPr="00F9454B">
        <w:rPr>
          <w:rStyle w:val="FootnoteReference"/>
        </w:rPr>
        <w:footnoteRef/>
      </w:r>
      <w:r w:rsidRPr="00F9454B">
        <w:t xml:space="preserve"> “</w:t>
      </w:r>
      <w:r w:rsidRPr="00F9454B">
        <w:rPr>
          <w:rStyle w:val="paperstitle"/>
        </w:rPr>
        <w:t>The President's News Conference With Visegrad Leaders in Prague,”</w:t>
      </w:r>
      <w:r>
        <w:rPr>
          <w:rStyle w:val="paperstitle"/>
        </w:rPr>
        <w:t xml:space="preserve"> </w:t>
      </w:r>
      <w:r w:rsidRPr="00F9454B">
        <w:rPr>
          <w:rStyle w:val="paperstitle"/>
        </w:rPr>
        <w:t>January 12,</w:t>
      </w:r>
      <w:r w:rsidRPr="00F9454B">
        <w:t xml:space="preserve"> </w:t>
      </w:r>
      <w:r w:rsidRPr="00F9454B">
        <w:rPr>
          <w:rStyle w:val="docdate"/>
        </w:rPr>
        <w:t>1994</w:t>
      </w:r>
      <w:r w:rsidRPr="00F9454B">
        <w:t xml:space="preserve"> at </w:t>
      </w:r>
      <w:r w:rsidRPr="00F9454B">
        <w:rPr>
          <w:rStyle w:val="docdate"/>
        </w:rPr>
        <w:t>http://www.presidency.ucsb.edu/ws/?pid=49832</w:t>
      </w:r>
    </w:p>
  </w:footnote>
  <w:footnote w:id="140">
    <w:p w:rsidR="0077004D" w:rsidRPr="00F9454B" w:rsidRDefault="0077004D" w:rsidP="004D1545">
      <w:pPr>
        <w:pStyle w:val="FootnoteText"/>
      </w:pPr>
      <w:r w:rsidRPr="00F9454B">
        <w:rPr>
          <w:rStyle w:val="FootnoteReference"/>
        </w:rPr>
        <w:footnoteRef/>
      </w:r>
      <w:r w:rsidRPr="00F9454B">
        <w:t xml:space="preserve"> See James M. Goldgeier, “The U</w:t>
      </w:r>
      <w:r>
        <w:t>.</w:t>
      </w:r>
      <w:r w:rsidRPr="00F9454B">
        <w:t>S</w:t>
      </w:r>
      <w:r>
        <w:t>.</w:t>
      </w:r>
      <w:r w:rsidRPr="00F9454B">
        <w:t xml:space="preserve"> Decision to Enlarge NATO,” </w:t>
      </w:r>
      <w:r w:rsidRPr="00F9454B">
        <w:rPr>
          <w:i/>
        </w:rPr>
        <w:t>Brookings Review</w:t>
      </w:r>
      <w:r w:rsidRPr="00F9454B">
        <w:t>,</w:t>
      </w:r>
      <w:r w:rsidRPr="00F9454B">
        <w:rPr>
          <w:i/>
        </w:rPr>
        <w:t xml:space="preserve"> </w:t>
      </w:r>
      <w:r w:rsidRPr="00F9454B">
        <w:t>June 1</w:t>
      </w:r>
      <w:r>
        <w:t>,</w:t>
      </w:r>
      <w:r w:rsidRPr="00F9454B">
        <w:t xml:space="preserve"> 1999, p.20.</w:t>
      </w:r>
    </w:p>
  </w:footnote>
  <w:footnote w:id="141">
    <w:p w:rsidR="0077004D" w:rsidRPr="00F9454B" w:rsidRDefault="0077004D" w:rsidP="004D1545">
      <w:pPr>
        <w:pStyle w:val="FootnoteText"/>
      </w:pPr>
      <w:r w:rsidRPr="00F9454B">
        <w:rPr>
          <w:rStyle w:val="FootnoteReference"/>
        </w:rPr>
        <w:footnoteRef/>
      </w:r>
      <w:r w:rsidRPr="00F9454B">
        <w:t xml:space="preserve"> Talbott, </w:t>
      </w:r>
      <w:r w:rsidRPr="00F9454B">
        <w:rPr>
          <w:i/>
        </w:rPr>
        <w:t>Russia Hand</w:t>
      </w:r>
      <w:r w:rsidRPr="00F9454B">
        <w:t>, p.99.</w:t>
      </w:r>
    </w:p>
  </w:footnote>
  <w:footnote w:id="142">
    <w:p w:rsidR="0077004D" w:rsidRPr="00F9454B" w:rsidRDefault="0077004D" w:rsidP="004D1545">
      <w:pPr>
        <w:pStyle w:val="FootnoteText"/>
      </w:pPr>
      <w:r w:rsidRPr="00F9454B">
        <w:rPr>
          <w:rStyle w:val="FootnoteReference"/>
        </w:rPr>
        <w:footnoteRef/>
      </w:r>
      <w:r w:rsidRPr="00F9454B">
        <w:t xml:space="preserve"> Asmus, </w:t>
      </w:r>
      <w:r w:rsidRPr="00F9454B">
        <w:rPr>
          <w:i/>
        </w:rPr>
        <w:t>Opening NATO’s Door</w:t>
      </w:r>
      <w:r w:rsidRPr="00F9454B">
        <w:t>,</w:t>
      </w:r>
      <w:r w:rsidRPr="00F9454B">
        <w:rPr>
          <w:i/>
        </w:rPr>
        <w:t xml:space="preserve"> </w:t>
      </w:r>
      <w:r w:rsidRPr="00F9454B">
        <w:t>pp.256-7.</w:t>
      </w:r>
    </w:p>
  </w:footnote>
  <w:footnote w:id="143">
    <w:p w:rsidR="0077004D" w:rsidRPr="00F9454B" w:rsidRDefault="0077004D" w:rsidP="004D1545">
      <w:pPr>
        <w:spacing w:after="0" w:line="240" w:lineRule="auto"/>
        <w:jc w:val="both"/>
        <w:rPr>
          <w:sz w:val="20"/>
          <w:szCs w:val="20"/>
        </w:rPr>
      </w:pPr>
      <w:r w:rsidRPr="00F9454B">
        <w:rPr>
          <w:rStyle w:val="FootnoteReference"/>
          <w:sz w:val="20"/>
          <w:szCs w:val="20"/>
        </w:rPr>
        <w:footnoteRef/>
      </w:r>
      <w:r w:rsidRPr="00F9454B">
        <w:rPr>
          <w:sz w:val="20"/>
          <w:szCs w:val="20"/>
        </w:rPr>
        <w:t xml:space="preserve"> Its board included Richard Holbrooke, Anthony Lake, Paul Wolfowitz and Robert Zoellick.</w:t>
      </w:r>
    </w:p>
  </w:footnote>
  <w:footnote w:id="144">
    <w:p w:rsidR="0077004D" w:rsidRPr="00F9454B" w:rsidRDefault="0077004D" w:rsidP="004D1545">
      <w:pPr>
        <w:pStyle w:val="FootnoteText"/>
      </w:pPr>
      <w:r w:rsidRPr="00F9454B">
        <w:rPr>
          <w:rStyle w:val="FootnoteReference"/>
        </w:rPr>
        <w:footnoteRef/>
      </w:r>
      <w:r w:rsidRPr="00F9454B">
        <w:t xml:space="preserve"> Asmus, </w:t>
      </w:r>
      <w:r w:rsidRPr="00F9454B">
        <w:rPr>
          <w:i/>
        </w:rPr>
        <w:t>Opening NATO’s Door</w:t>
      </w:r>
      <w:r w:rsidRPr="00F9454B">
        <w:t>, p.260.</w:t>
      </w:r>
    </w:p>
  </w:footnote>
  <w:footnote w:id="145">
    <w:p w:rsidR="0077004D" w:rsidRPr="00F9454B" w:rsidRDefault="0077004D" w:rsidP="004D1545">
      <w:pPr>
        <w:spacing w:after="0" w:line="240" w:lineRule="auto"/>
        <w:jc w:val="both"/>
        <w:rPr>
          <w:sz w:val="20"/>
          <w:szCs w:val="20"/>
        </w:rPr>
      </w:pPr>
      <w:r w:rsidRPr="00F9454B">
        <w:rPr>
          <w:rStyle w:val="FootnoteReference"/>
          <w:sz w:val="20"/>
          <w:szCs w:val="20"/>
        </w:rPr>
        <w:footnoteRef/>
      </w:r>
      <w:r w:rsidRPr="00F9454B">
        <w:rPr>
          <w:sz w:val="20"/>
          <w:szCs w:val="20"/>
        </w:rPr>
        <w:t xml:space="preserve"> John Isaacs, “</w:t>
      </w:r>
      <w:r w:rsidRPr="00F9454B">
        <w:rPr>
          <w:rStyle w:val="Emphasis"/>
          <w:i w:val="0"/>
          <w:sz w:val="20"/>
          <w:szCs w:val="20"/>
        </w:rPr>
        <w:t>Congress Snoozes,</w:t>
      </w:r>
      <w:r w:rsidRPr="00F9454B">
        <w:rPr>
          <w:rStyle w:val="st"/>
          <w:sz w:val="20"/>
          <w:szCs w:val="20"/>
        </w:rPr>
        <w:t xml:space="preserve">” </w:t>
      </w:r>
      <w:r w:rsidRPr="00F9454B">
        <w:rPr>
          <w:rStyle w:val="Emphasis"/>
          <w:sz w:val="20"/>
          <w:szCs w:val="20"/>
        </w:rPr>
        <w:t>Bulletin</w:t>
      </w:r>
      <w:r w:rsidRPr="00F9454B">
        <w:rPr>
          <w:rStyle w:val="st"/>
          <w:sz w:val="20"/>
          <w:szCs w:val="20"/>
        </w:rPr>
        <w:t xml:space="preserve"> </w:t>
      </w:r>
      <w:r w:rsidRPr="00F9454B">
        <w:rPr>
          <w:rStyle w:val="st"/>
          <w:i/>
          <w:sz w:val="20"/>
          <w:szCs w:val="20"/>
        </w:rPr>
        <w:t>of Atomic Scientists</w:t>
      </w:r>
      <w:r w:rsidRPr="00F9454B">
        <w:rPr>
          <w:rStyle w:val="st"/>
          <w:sz w:val="20"/>
          <w:szCs w:val="20"/>
        </w:rPr>
        <w:t>, Vol. 53, No.2 (1997), pp.15-17, p.15.</w:t>
      </w:r>
    </w:p>
  </w:footnote>
  <w:footnote w:id="146">
    <w:p w:rsidR="0077004D" w:rsidRPr="00F9454B" w:rsidRDefault="0077004D" w:rsidP="00D07D2B">
      <w:pPr>
        <w:pStyle w:val="FootnoteText"/>
        <w:jc w:val="both"/>
      </w:pPr>
      <w:r w:rsidRPr="00F9454B">
        <w:rPr>
          <w:rStyle w:val="FootnoteReference"/>
        </w:rPr>
        <w:footnoteRef/>
      </w:r>
      <w:r w:rsidRPr="00F9454B">
        <w:t xml:space="preserve"> Cited in Robert W. Ruchhaus, </w:t>
      </w:r>
      <w:r w:rsidRPr="00F9454B">
        <w:rPr>
          <w:i/>
        </w:rPr>
        <w:t xml:space="preserve">Explaining NATO Enlargement </w:t>
      </w:r>
      <w:r w:rsidRPr="00F9454B">
        <w:t>(London: Routledge, 2013), Appendix 4, pp.203-4.</w:t>
      </w:r>
    </w:p>
  </w:footnote>
  <w:footnote w:id="147">
    <w:p w:rsidR="0077004D" w:rsidRPr="00F9454B" w:rsidRDefault="0077004D" w:rsidP="004D1545">
      <w:pPr>
        <w:pStyle w:val="FootnoteText"/>
        <w:jc w:val="both"/>
      </w:pPr>
      <w:r w:rsidRPr="00F9454B">
        <w:rPr>
          <w:rStyle w:val="FootnoteReference"/>
        </w:rPr>
        <w:footnoteRef/>
      </w:r>
      <w:r w:rsidRPr="00F9454B">
        <w:t xml:space="preserve"> Council on Foreign Relations, “Expanding NATO: Will it Weaken the Alliance?” Transcript,  December 9, 1996, at http://www.cfr.org/nato/expanding-nato-weaken-alliance/p74.  </w:t>
      </w:r>
    </w:p>
  </w:footnote>
  <w:footnote w:id="148">
    <w:p w:rsidR="0077004D" w:rsidRPr="00F9454B" w:rsidRDefault="0077004D" w:rsidP="00311087">
      <w:pPr>
        <w:pStyle w:val="FootnoteText"/>
        <w:jc w:val="both"/>
      </w:pPr>
      <w:r w:rsidRPr="00F9454B">
        <w:rPr>
          <w:rStyle w:val="FootnoteReference"/>
        </w:rPr>
        <w:footnoteRef/>
      </w:r>
      <w:r w:rsidRPr="00F9454B">
        <w:t xml:space="preserve"> See Jeffrey Meiser, </w:t>
      </w:r>
      <w:r w:rsidRPr="00F9454B">
        <w:rPr>
          <w:i/>
        </w:rPr>
        <w:t>Power and Restraint: The Rise of the United States 1898-1941</w:t>
      </w:r>
      <w:r w:rsidRPr="00F9454B">
        <w:t xml:space="preserve"> (Washington, DC: Georgetown University Press, 2015).</w:t>
      </w:r>
    </w:p>
  </w:footnote>
  <w:footnote w:id="149">
    <w:p w:rsidR="0077004D" w:rsidRPr="00F9454B" w:rsidRDefault="0077004D" w:rsidP="004D1545">
      <w:pPr>
        <w:spacing w:after="0" w:line="240" w:lineRule="auto"/>
        <w:jc w:val="both"/>
        <w:rPr>
          <w:sz w:val="20"/>
          <w:szCs w:val="20"/>
        </w:rPr>
      </w:pPr>
      <w:r w:rsidRPr="00F9454B">
        <w:rPr>
          <w:rStyle w:val="FootnoteReference"/>
          <w:sz w:val="20"/>
          <w:szCs w:val="20"/>
        </w:rPr>
        <w:footnoteRef/>
      </w:r>
      <w:r w:rsidR="00896572">
        <w:rPr>
          <w:sz w:val="20"/>
          <w:szCs w:val="20"/>
        </w:rPr>
        <w:t xml:space="preserve"> See Jeffrey Legro, “</w:t>
      </w:r>
      <w:r w:rsidRPr="00F9454B">
        <w:rPr>
          <w:sz w:val="20"/>
          <w:szCs w:val="20"/>
        </w:rPr>
        <w:t>W</w:t>
      </w:r>
      <w:r w:rsidR="00896572">
        <w:rPr>
          <w:sz w:val="20"/>
          <w:szCs w:val="20"/>
        </w:rPr>
        <w:t>hence American Internationalism,”</w:t>
      </w:r>
      <w:r w:rsidRPr="00F9454B">
        <w:rPr>
          <w:sz w:val="20"/>
          <w:szCs w:val="20"/>
        </w:rPr>
        <w:t xml:space="preserve"> </w:t>
      </w:r>
      <w:r w:rsidRPr="00F9454B">
        <w:rPr>
          <w:i/>
          <w:sz w:val="20"/>
          <w:szCs w:val="20"/>
        </w:rPr>
        <w:t>International Organisation</w:t>
      </w:r>
      <w:r w:rsidRPr="00F9454B">
        <w:rPr>
          <w:sz w:val="20"/>
          <w:szCs w:val="20"/>
        </w:rPr>
        <w:t>, Vol.</w:t>
      </w:r>
      <w:r w:rsidRPr="00F9454B">
        <w:rPr>
          <w:i/>
          <w:sz w:val="20"/>
          <w:szCs w:val="20"/>
        </w:rPr>
        <w:t xml:space="preserve"> </w:t>
      </w:r>
      <w:r w:rsidRPr="00F9454B">
        <w:rPr>
          <w:sz w:val="20"/>
          <w:szCs w:val="20"/>
        </w:rPr>
        <w:t>54, No.2</w:t>
      </w:r>
      <w:r w:rsidRPr="00F9454B">
        <w:rPr>
          <w:i/>
          <w:sz w:val="20"/>
          <w:szCs w:val="20"/>
        </w:rPr>
        <w:t xml:space="preserve"> </w:t>
      </w:r>
      <w:r w:rsidRPr="00F9454B">
        <w:rPr>
          <w:sz w:val="20"/>
          <w:szCs w:val="20"/>
        </w:rPr>
        <w:t>(2000), pp.253-289.</w:t>
      </w:r>
    </w:p>
  </w:footnote>
  <w:footnote w:id="150">
    <w:p w:rsidR="0077004D" w:rsidRPr="00F9454B" w:rsidRDefault="0077004D" w:rsidP="004D1545">
      <w:pPr>
        <w:pStyle w:val="FootnoteText"/>
        <w:jc w:val="both"/>
      </w:pPr>
      <w:r w:rsidRPr="00F9454B">
        <w:rPr>
          <w:rStyle w:val="FootnoteReference"/>
        </w:rPr>
        <w:footnoteRef/>
      </w:r>
      <w:r w:rsidRPr="00F9454B">
        <w:t xml:space="preserve"> See Melvyn P. Leffler, “The emergence of an American grand strategy, 1945-1952,” in Leffler and Odd Arne Westad, eds., </w:t>
      </w:r>
      <w:r w:rsidRPr="00F9454B">
        <w:rPr>
          <w:i/>
        </w:rPr>
        <w:t xml:space="preserve">The Cambridge History of the Cold War </w:t>
      </w:r>
      <w:r w:rsidRPr="00F9454B">
        <w:t>(Cambridge: Cambridge University Press, 2010),</w:t>
      </w:r>
      <w:r w:rsidRPr="00F9454B">
        <w:rPr>
          <w:i/>
        </w:rPr>
        <w:t xml:space="preserve"> </w:t>
      </w:r>
      <w:r w:rsidRPr="00F9454B">
        <w:t>Vol.1 pp.67-90, 69-70.</w:t>
      </w:r>
    </w:p>
  </w:footnote>
  <w:footnote w:id="151">
    <w:p w:rsidR="0077004D" w:rsidRPr="00F9454B" w:rsidRDefault="0077004D" w:rsidP="004D1545">
      <w:pPr>
        <w:pStyle w:val="FootnoteText"/>
        <w:jc w:val="both"/>
      </w:pPr>
      <w:r w:rsidRPr="00F9454B">
        <w:rPr>
          <w:rStyle w:val="FootnoteReference"/>
        </w:rPr>
        <w:footnoteRef/>
      </w:r>
      <w:r w:rsidRPr="00F9454B">
        <w:t xml:space="preserve"> Robert Jervis, “The Impact of the Korean War,” </w:t>
      </w:r>
      <w:r w:rsidRPr="00F9454B">
        <w:rPr>
          <w:i/>
        </w:rPr>
        <w:t>Journal of Conflict Resolution</w:t>
      </w:r>
      <w:r w:rsidRPr="00F9454B">
        <w:t>,</w:t>
      </w:r>
      <w:r w:rsidRPr="00F9454B">
        <w:rPr>
          <w:i/>
        </w:rPr>
        <w:t xml:space="preserve"> </w:t>
      </w:r>
      <w:r w:rsidRPr="00F9454B">
        <w:t>Vol. 24 (1980), pp.563-92, 573-4.</w:t>
      </w:r>
    </w:p>
  </w:footnote>
  <w:footnote w:id="152">
    <w:p w:rsidR="0077004D" w:rsidRPr="00F9454B" w:rsidRDefault="0077004D" w:rsidP="00DC6BE8">
      <w:pPr>
        <w:pStyle w:val="FootnoteText"/>
        <w:jc w:val="both"/>
      </w:pPr>
      <w:r w:rsidRPr="00F9454B">
        <w:rPr>
          <w:rStyle w:val="FootnoteReference"/>
        </w:rPr>
        <w:footnoteRef/>
      </w:r>
      <w:r w:rsidRPr="00F9454B">
        <w:t xml:space="preserve"> In a January 1994 ABC/</w:t>
      </w:r>
      <w:r w:rsidRPr="00F9454B">
        <w:rPr>
          <w:i/>
        </w:rPr>
        <w:t xml:space="preserve">Washington Post </w:t>
      </w:r>
      <w:r w:rsidRPr="00F9454B">
        <w:t xml:space="preserve">poll, 67% agreed that the US should reduce its involvement in world affairs as opposed to “taking the leading role”; in a June 1995 Times Mirror Poll, 74% favoured a “shared leadership role”, while only 13% favoured being the “single world leader”; in a 1996 PIPA poll, 74% preferred to share power with other countries, while 13% wanted a “pre-eminent world leader”: Steven Kull, “Americans Have Not Turned Isolationist,” </w:t>
      </w:r>
      <w:r w:rsidRPr="00F9454B">
        <w:rPr>
          <w:i/>
        </w:rPr>
        <w:t xml:space="preserve">The Public Perspective  </w:t>
      </w:r>
      <w:r w:rsidRPr="00F9454B">
        <w:t>Vol.8, No.5</w:t>
      </w:r>
      <w:r w:rsidRPr="00F9454B">
        <w:rPr>
          <w:i/>
        </w:rPr>
        <w:t xml:space="preserve"> </w:t>
      </w:r>
      <w:r w:rsidRPr="00F9454B">
        <w:t xml:space="preserve">(1997), pp.1-4; Daniel W. Drezner, “The Realist Tradition in American Public Opinion,” </w:t>
      </w:r>
      <w:r w:rsidRPr="00F9454B">
        <w:rPr>
          <w:i/>
        </w:rPr>
        <w:t xml:space="preserve">Perspectives on Politics </w:t>
      </w:r>
      <w:r w:rsidRPr="00F9454B">
        <w:t>Vol.</w:t>
      </w:r>
      <w:r w:rsidRPr="00F9454B">
        <w:rPr>
          <w:i/>
        </w:rPr>
        <w:t xml:space="preserve"> </w:t>
      </w:r>
      <w:r w:rsidRPr="00F9454B">
        <w:t>6, No. 1 (2008), pp. 51-70, pp.58-61.</w:t>
      </w:r>
    </w:p>
  </w:footnote>
  <w:footnote w:id="153">
    <w:p w:rsidR="0077004D" w:rsidRPr="00F9454B" w:rsidRDefault="0077004D" w:rsidP="00DC6BE8">
      <w:pPr>
        <w:pStyle w:val="FootnoteText"/>
        <w:jc w:val="both"/>
      </w:pPr>
      <w:r w:rsidRPr="00F9454B">
        <w:rPr>
          <w:rStyle w:val="FootnoteReference"/>
        </w:rPr>
        <w:footnoteRef/>
      </w:r>
      <w:r w:rsidRPr="00F9454B">
        <w:t xml:space="preserve"> John Reilly, </w:t>
      </w:r>
      <w:r w:rsidRPr="00F9454B">
        <w:rPr>
          <w:i/>
        </w:rPr>
        <w:t>American Public Opinion and U.S. Foreign Policy</w:t>
      </w:r>
      <w:r w:rsidRPr="00F9454B">
        <w:t xml:space="preserve"> (Chicago: Chicago Council on Foreign Relations), studies of 1975, 1979, 1983, 1987, 1991, 1995, 1999; Ole R. Holsti, “Public Opinion and U.S. Foreign Policy,” in James M. Scott (ed.) </w:t>
      </w:r>
      <w:r w:rsidRPr="00F9454B">
        <w:rPr>
          <w:i/>
        </w:rPr>
        <w:t xml:space="preserve">After the End: Making U.S. Foreign Policy in the Post-Cold War </w:t>
      </w:r>
      <w:r w:rsidRPr="00F9454B">
        <w:t>(Durham, MC: Duke University Press, 1998), pp.138-166, p.164.</w:t>
      </w:r>
    </w:p>
  </w:footnote>
  <w:footnote w:id="154">
    <w:p w:rsidR="0077004D" w:rsidRPr="00F9454B" w:rsidRDefault="0077004D" w:rsidP="00DC6BE8">
      <w:pPr>
        <w:pStyle w:val="FootnoteText"/>
        <w:jc w:val="both"/>
      </w:pPr>
      <w:r w:rsidRPr="00F9454B">
        <w:rPr>
          <w:rStyle w:val="FootnoteReference"/>
        </w:rPr>
        <w:footnoteRef/>
      </w:r>
      <w:r w:rsidRPr="00F9454B">
        <w:t xml:space="preserve"> See Paul Abramson, </w:t>
      </w:r>
      <w:r w:rsidRPr="00F9454B">
        <w:rPr>
          <w:i/>
        </w:rPr>
        <w:t>Change and Continuity in the 1996 Elections</w:t>
      </w:r>
      <w:r w:rsidRPr="00F9454B">
        <w:t xml:space="preserve"> (Washington, D.C.: Congressional Quarterly, 1996), p.124.</w:t>
      </w:r>
    </w:p>
  </w:footnote>
  <w:footnote w:id="155">
    <w:p w:rsidR="0077004D" w:rsidRPr="00F9454B" w:rsidRDefault="0077004D" w:rsidP="00DC6BE8">
      <w:pPr>
        <w:pStyle w:val="FootnoteText"/>
        <w:jc w:val="both"/>
      </w:pPr>
      <w:r w:rsidRPr="00F9454B">
        <w:rPr>
          <w:rStyle w:val="FootnoteReference"/>
        </w:rPr>
        <w:footnoteRef/>
      </w:r>
      <w:r w:rsidRPr="00F9454B">
        <w:t xml:space="preserve"> It could be objected that Clinton was susceptible to military advice for separate reasons, because of his personal lack of military service and opposition to Vietnam. The record suggests otherwise: he resisted the advice of the Pentagon or the Joint Chiefs of Staff on several occasions: he froze military pay, introduced the ‘Don’t ask, Don’t tell’ Directive, and intervened in Haiti.   </w:t>
      </w:r>
    </w:p>
  </w:footnote>
  <w:footnote w:id="156">
    <w:p w:rsidR="0077004D" w:rsidRPr="00F9454B" w:rsidRDefault="0077004D" w:rsidP="007025B2">
      <w:pPr>
        <w:pStyle w:val="FootnoteText"/>
      </w:pPr>
      <w:r w:rsidRPr="00F9454B">
        <w:rPr>
          <w:rStyle w:val="FootnoteReference"/>
        </w:rPr>
        <w:footnoteRef/>
      </w:r>
      <w:r w:rsidRPr="00F9454B">
        <w:t xml:space="preserve"> Doug Bandow, “Donald Trump Dismisses US Foreign Policy Elite,” </w:t>
      </w:r>
      <w:r w:rsidRPr="00F9454B">
        <w:rPr>
          <w:i/>
        </w:rPr>
        <w:t>Forbes</w:t>
      </w:r>
      <w:r w:rsidRPr="00F9454B">
        <w:t>,</w:t>
      </w:r>
      <w:r w:rsidRPr="00F9454B">
        <w:rPr>
          <w:i/>
        </w:rPr>
        <w:t xml:space="preserve"> </w:t>
      </w:r>
      <w:r w:rsidRPr="00F9454B">
        <w:t xml:space="preserve">May 16, 2016. </w:t>
      </w:r>
    </w:p>
  </w:footnote>
  <w:footnote w:id="157">
    <w:p w:rsidR="0077004D" w:rsidRPr="00F9454B" w:rsidRDefault="0077004D" w:rsidP="00073B50">
      <w:pPr>
        <w:pStyle w:val="FootnoteText"/>
        <w:jc w:val="both"/>
      </w:pPr>
      <w:r w:rsidRPr="00F9454B">
        <w:rPr>
          <w:rStyle w:val="FootnoteReference"/>
        </w:rPr>
        <w:footnoteRef/>
      </w:r>
      <w:r w:rsidRPr="00F9454B">
        <w:t xml:space="preserve"> David E. Sanger and Maggie Haberman, “50 G.O.P. Officials Warn Donald Trump would Put Nation’s Security at Risk,” </w:t>
      </w:r>
      <w:r w:rsidRPr="00F9454B">
        <w:rPr>
          <w:i/>
        </w:rPr>
        <w:t>New York Times</w:t>
      </w:r>
      <w:r w:rsidRPr="00F9454B">
        <w:t xml:space="preserve">, August 8, 2016; Joe Barns, “Donald Trump vs. The Blob,” </w:t>
      </w:r>
      <w:r w:rsidRPr="00F9454B">
        <w:rPr>
          <w:i/>
        </w:rPr>
        <w:t>The National Interest</w:t>
      </w:r>
      <w:r w:rsidRPr="00F9454B">
        <w:t>,</w:t>
      </w:r>
      <w:r w:rsidRPr="00F9454B">
        <w:rPr>
          <w:i/>
        </w:rPr>
        <w:t xml:space="preserve"> </w:t>
      </w:r>
      <w:r w:rsidRPr="00F9454B">
        <w:t>August 14, 2016.</w:t>
      </w:r>
    </w:p>
  </w:footnote>
  <w:footnote w:id="158">
    <w:p w:rsidR="0077004D" w:rsidRPr="00F9454B" w:rsidRDefault="0077004D" w:rsidP="00D85620">
      <w:pPr>
        <w:pStyle w:val="FootnoteText"/>
        <w:jc w:val="both"/>
      </w:pPr>
      <w:r w:rsidRPr="00F9454B">
        <w:rPr>
          <w:rStyle w:val="FootnoteReference"/>
        </w:rPr>
        <w:footnoteRef/>
      </w:r>
      <w:r w:rsidRPr="00F9454B">
        <w:t xml:space="preserve"> Rosa Brooks, “Donald Trump has a Coherent, Realist Foreign Policy,” </w:t>
      </w:r>
      <w:r w:rsidRPr="00F9454B">
        <w:rPr>
          <w:i/>
        </w:rPr>
        <w:t>Foreign Policy</w:t>
      </w:r>
      <w:r w:rsidRPr="00F9454B">
        <w:t>,</w:t>
      </w:r>
      <w:r w:rsidRPr="00F9454B">
        <w:rPr>
          <w:i/>
        </w:rPr>
        <w:t xml:space="preserve"> </w:t>
      </w:r>
      <w:r w:rsidRPr="00F9454B">
        <w:t xml:space="preserve">April 12, 2016; Kori Schake, “Will Washington Abandon the Order? The False Logic of Retreat,” </w:t>
      </w:r>
      <w:r w:rsidRPr="00F9454B">
        <w:rPr>
          <w:i/>
        </w:rPr>
        <w:t xml:space="preserve">Foreign Affairs </w:t>
      </w:r>
      <w:r w:rsidRPr="00F9454B">
        <w:t xml:space="preserve">Vol. 96, No.1 (2017), pp.41-46; Stewart M. Patrick “Trump and World Order: The Return of Self-Help,” </w:t>
      </w:r>
      <w:r w:rsidRPr="00F9454B">
        <w:rPr>
          <w:i/>
        </w:rPr>
        <w:t xml:space="preserve">Foreign Affairs </w:t>
      </w:r>
      <w:r w:rsidRPr="00F9454B">
        <w:t>Vol.96, No.2 (2017), pp.52-57.</w:t>
      </w:r>
    </w:p>
  </w:footnote>
  <w:footnote w:id="159">
    <w:p w:rsidR="0077004D" w:rsidRPr="00F9454B" w:rsidRDefault="0077004D">
      <w:pPr>
        <w:pStyle w:val="FootnoteText"/>
      </w:pPr>
      <w:r w:rsidRPr="00F9454B">
        <w:rPr>
          <w:rStyle w:val="FootnoteReference"/>
        </w:rPr>
        <w:footnoteRef/>
      </w:r>
      <w:r w:rsidRPr="00F9454B">
        <w:t xml:space="preserve"> Steve Coll, “Global Trump,” </w:t>
      </w:r>
      <w:r w:rsidRPr="00F9454B">
        <w:rPr>
          <w:i/>
        </w:rPr>
        <w:t>The New Yorker</w:t>
      </w:r>
      <w:r w:rsidRPr="00F9454B">
        <w:t>,</w:t>
      </w:r>
      <w:r w:rsidRPr="00F9454B">
        <w:rPr>
          <w:i/>
        </w:rPr>
        <w:t xml:space="preserve"> </w:t>
      </w:r>
      <w:r w:rsidRPr="00F9454B">
        <w:t>April 11, 2016.</w:t>
      </w:r>
    </w:p>
  </w:footnote>
  <w:footnote w:id="160">
    <w:p w:rsidR="0077004D" w:rsidRPr="00F9454B" w:rsidRDefault="0077004D" w:rsidP="00D85620">
      <w:pPr>
        <w:pStyle w:val="FootnoteText"/>
      </w:pPr>
      <w:r w:rsidRPr="00F9454B">
        <w:rPr>
          <w:rStyle w:val="FootnoteReference"/>
        </w:rPr>
        <w:footnoteRef/>
      </w:r>
      <w:r w:rsidRPr="00F9454B">
        <w:t xml:space="preserve"> Pew Research Centre, </w:t>
      </w:r>
      <w:r w:rsidRPr="00F9454B">
        <w:rPr>
          <w:i/>
        </w:rPr>
        <w:t xml:space="preserve">2016 Campaign: Strong Interest, Widespread Dissatisfaction </w:t>
      </w:r>
      <w:r w:rsidRPr="00F9454B">
        <w:t>(July 7, 2016), p.32.</w:t>
      </w:r>
    </w:p>
  </w:footnote>
  <w:footnote w:id="161">
    <w:p w:rsidR="0077004D" w:rsidRPr="00F9454B" w:rsidRDefault="0077004D" w:rsidP="00571768">
      <w:pPr>
        <w:pStyle w:val="FootnoteText"/>
        <w:jc w:val="both"/>
      </w:pPr>
      <w:r w:rsidRPr="00F9454B">
        <w:rPr>
          <w:rStyle w:val="FootnoteReference"/>
        </w:rPr>
        <w:footnoteRef/>
      </w:r>
      <w:r w:rsidRPr="00F9454B">
        <w:t xml:space="preserve"> Stephen Collinson, ‘Trump’s stunning u-turns on NATO, China, Russia and Syria’ </w:t>
      </w:r>
      <w:r w:rsidRPr="00F9454B">
        <w:rPr>
          <w:i/>
        </w:rPr>
        <w:t>CNN</w:t>
      </w:r>
      <w:r w:rsidRPr="00F9454B">
        <w:t xml:space="preserve"> 13 April 2017.</w:t>
      </w:r>
    </w:p>
  </w:footnote>
  <w:footnote w:id="162">
    <w:p w:rsidR="0077004D" w:rsidRPr="00F9454B" w:rsidRDefault="0077004D" w:rsidP="00E215A1">
      <w:pPr>
        <w:pStyle w:val="FootnoteText"/>
        <w:jc w:val="both"/>
      </w:pPr>
      <w:r w:rsidRPr="00F9454B">
        <w:rPr>
          <w:rStyle w:val="FootnoteReference"/>
        </w:rPr>
        <w:footnoteRef/>
      </w:r>
      <w:r w:rsidRPr="00F9454B">
        <w:t xml:space="preserve"> Michael O’Hanlon and David Gordon, “Surprise! Trump’s Foreign Policy is turning out OK,” </w:t>
      </w:r>
      <w:r w:rsidRPr="00F9454B">
        <w:rPr>
          <w:i/>
        </w:rPr>
        <w:t>USA Today</w:t>
      </w:r>
      <w:r w:rsidRPr="00F9454B">
        <w:t>,</w:t>
      </w:r>
      <w:r w:rsidRPr="00F9454B">
        <w:rPr>
          <w:i/>
        </w:rPr>
        <w:t xml:space="preserve"> </w:t>
      </w:r>
      <w:r w:rsidRPr="00F9454B">
        <w:t xml:space="preserve"> February 23, 2017; James Jay Carafano, “The Most Shocking Thing about Trump So Far: How Boring He’s Been,” </w:t>
      </w:r>
      <w:r w:rsidRPr="00F9454B">
        <w:rPr>
          <w:i/>
        </w:rPr>
        <w:t>The National Interest</w:t>
      </w:r>
      <w:r w:rsidRPr="00F9454B">
        <w:t>,</w:t>
      </w:r>
      <w:r w:rsidRPr="00F9454B">
        <w:rPr>
          <w:i/>
        </w:rPr>
        <w:t xml:space="preserve"> </w:t>
      </w:r>
      <w:r w:rsidRPr="00F9454B">
        <w:t xml:space="preserve">March 13, 2017; Elliott Abrams, “Trump the Traditionalist: A Surprisingly Standard Foreign Policy,” </w:t>
      </w:r>
      <w:r w:rsidRPr="00F9454B">
        <w:rPr>
          <w:i/>
        </w:rPr>
        <w:t xml:space="preserve">Foreign Affairs </w:t>
      </w:r>
      <w:r w:rsidRPr="00F9454B">
        <w:t xml:space="preserve">Vol. 96, No. 4 (2017), pp.10-16. </w:t>
      </w:r>
    </w:p>
  </w:footnote>
  <w:footnote w:id="163">
    <w:p w:rsidR="0077004D" w:rsidRPr="00F9454B" w:rsidRDefault="0077004D" w:rsidP="00E215A1">
      <w:pPr>
        <w:pStyle w:val="FootnoteText"/>
        <w:jc w:val="both"/>
      </w:pPr>
      <w:r w:rsidRPr="00F9454B">
        <w:rPr>
          <w:rStyle w:val="FootnoteReference"/>
        </w:rPr>
        <w:footnoteRef/>
      </w:r>
      <w:r w:rsidRPr="00F9454B">
        <w:t xml:space="preserve"> Ted Galen Carpenter, “Welcome to the Foreign Policy Reassurance Tour,” </w:t>
      </w:r>
      <w:r w:rsidRPr="00F9454B">
        <w:rPr>
          <w:i/>
        </w:rPr>
        <w:t>The National Interest</w:t>
      </w:r>
      <w:r w:rsidRPr="00F9454B">
        <w:t>, February 9, 2017.</w:t>
      </w:r>
    </w:p>
  </w:footnote>
  <w:footnote w:id="164">
    <w:p w:rsidR="0077004D" w:rsidRPr="00F9454B" w:rsidRDefault="0077004D" w:rsidP="00360131">
      <w:pPr>
        <w:pStyle w:val="FootnoteText"/>
        <w:jc w:val="both"/>
      </w:pPr>
      <w:r w:rsidRPr="00F9454B">
        <w:rPr>
          <w:rStyle w:val="FootnoteReference"/>
        </w:rPr>
        <w:footnoteRef/>
      </w:r>
      <w:r w:rsidRPr="00F9454B">
        <w:t xml:space="preserve"> “Full Transcript of Interview with Donald Trump,” </w:t>
      </w:r>
      <w:r w:rsidRPr="00F9454B">
        <w:rPr>
          <w:i/>
        </w:rPr>
        <w:t>The Times</w:t>
      </w:r>
      <w:r w:rsidRPr="00F9454B">
        <w:t>, January 16, 2017.</w:t>
      </w:r>
    </w:p>
  </w:footnote>
  <w:footnote w:id="165">
    <w:p w:rsidR="0077004D" w:rsidRPr="00F9454B" w:rsidRDefault="0077004D" w:rsidP="00FE51DB">
      <w:pPr>
        <w:pStyle w:val="FootnoteText"/>
        <w:jc w:val="both"/>
      </w:pPr>
      <w:r w:rsidRPr="00F9454B">
        <w:rPr>
          <w:rStyle w:val="FootnoteReference"/>
        </w:rPr>
        <w:footnoteRef/>
      </w:r>
      <w:r w:rsidRPr="00F9454B">
        <w:t xml:space="preserve"> David E. Sanger and Maggie Haberman, “Transcript: Donald Trump on NATO,” </w:t>
      </w:r>
      <w:r w:rsidRPr="00F9454B">
        <w:rPr>
          <w:i/>
        </w:rPr>
        <w:t>New York Times</w:t>
      </w:r>
      <w:r w:rsidRPr="00F9454B">
        <w:t xml:space="preserve">, July 21, 2016; Jesse Johnson, “Trump Rips U.S. Defence of Japan as One-Sided, Too Expensive,” </w:t>
      </w:r>
      <w:r w:rsidRPr="00F9454B">
        <w:rPr>
          <w:i/>
        </w:rPr>
        <w:t>Japan Times</w:t>
      </w:r>
      <w:r w:rsidRPr="00F9454B">
        <w:t>,</w:t>
      </w:r>
      <w:r w:rsidRPr="00F9454B">
        <w:rPr>
          <w:i/>
        </w:rPr>
        <w:t xml:space="preserve"> </w:t>
      </w:r>
      <w:r w:rsidRPr="00F9454B">
        <w:t>August 6, 2016.</w:t>
      </w:r>
    </w:p>
  </w:footnote>
  <w:footnote w:id="166">
    <w:p w:rsidR="0077004D" w:rsidRPr="00F9454B" w:rsidRDefault="0077004D" w:rsidP="00A66521">
      <w:pPr>
        <w:pStyle w:val="FootnoteText"/>
        <w:jc w:val="both"/>
      </w:pPr>
      <w:r w:rsidRPr="00F9454B">
        <w:rPr>
          <w:rStyle w:val="FootnoteReference"/>
        </w:rPr>
        <w:footnoteRef/>
      </w:r>
      <w:r w:rsidRPr="00F9454B">
        <w:t xml:space="preserve"> Christine Rushton, “Donald Trump: 9/11 Report Excerpt Will Reveal Saudi Arabia’s ‘Profound’ Role in the Attacks,” </w:t>
      </w:r>
      <w:r w:rsidRPr="00F9454B">
        <w:rPr>
          <w:i/>
        </w:rPr>
        <w:t>Los Angeles Times</w:t>
      </w:r>
      <w:r w:rsidRPr="00F9454B">
        <w:t>,</w:t>
      </w:r>
      <w:r w:rsidRPr="00F9454B">
        <w:rPr>
          <w:i/>
        </w:rPr>
        <w:t xml:space="preserve"> </w:t>
      </w:r>
      <w:r w:rsidRPr="00F9454B">
        <w:t>April 19, 2016.</w:t>
      </w:r>
    </w:p>
  </w:footnote>
  <w:footnote w:id="167">
    <w:p w:rsidR="0077004D" w:rsidRPr="00F9454B" w:rsidRDefault="0077004D" w:rsidP="00C13CD6">
      <w:pPr>
        <w:pStyle w:val="FootnoteText"/>
        <w:jc w:val="both"/>
      </w:pPr>
      <w:r w:rsidRPr="00F9454B">
        <w:rPr>
          <w:rStyle w:val="FootnoteReference"/>
        </w:rPr>
        <w:footnoteRef/>
      </w:r>
      <w:r w:rsidRPr="00F9454B">
        <w:t xml:space="preserve"> Jenna Johnson, “Trump on NATO: I Said it Was Obsolete. It’s No Longer Obsolete,” </w:t>
      </w:r>
      <w:r w:rsidRPr="00F9454B">
        <w:rPr>
          <w:i/>
        </w:rPr>
        <w:t>Washington Post</w:t>
      </w:r>
      <w:r w:rsidRPr="00F9454B">
        <w:t>,</w:t>
      </w:r>
      <w:r w:rsidRPr="00F9454B">
        <w:rPr>
          <w:i/>
        </w:rPr>
        <w:t xml:space="preserve"> </w:t>
      </w:r>
      <w:r w:rsidRPr="00F9454B">
        <w:t>April 12, 2017.</w:t>
      </w:r>
    </w:p>
  </w:footnote>
  <w:footnote w:id="168">
    <w:p w:rsidR="0077004D" w:rsidRPr="00F9454B" w:rsidRDefault="0077004D" w:rsidP="00E05A95">
      <w:pPr>
        <w:pStyle w:val="FootnoteText"/>
      </w:pPr>
      <w:r w:rsidRPr="00F9454B">
        <w:rPr>
          <w:rStyle w:val="FootnoteReference"/>
        </w:rPr>
        <w:footnoteRef/>
      </w:r>
      <w:r w:rsidRPr="00F9454B">
        <w:t xml:space="preserve"> David M. Herszenstorn, “NATO Cheers Trump’s Military Budget,” </w:t>
      </w:r>
      <w:r w:rsidRPr="00F9454B">
        <w:rPr>
          <w:i/>
        </w:rPr>
        <w:t>Politico</w:t>
      </w:r>
      <w:r w:rsidRPr="00F9454B">
        <w:t>, 24 May 2017.</w:t>
      </w:r>
    </w:p>
  </w:footnote>
  <w:footnote w:id="169">
    <w:p w:rsidR="0077004D" w:rsidRPr="00F9454B" w:rsidRDefault="0077004D" w:rsidP="002F3A14">
      <w:pPr>
        <w:pStyle w:val="FootnoteText"/>
        <w:jc w:val="both"/>
      </w:pPr>
      <w:r w:rsidRPr="00F9454B">
        <w:rPr>
          <w:rStyle w:val="FootnoteReference"/>
        </w:rPr>
        <w:footnoteRef/>
      </w:r>
      <w:r w:rsidRPr="00F9454B">
        <w:t xml:space="preserve"> “Remarks by President Trump at NATO Unveiling of the Article Five and Berlin Wall Memorials,” May 25, 2017, https://www.whitehouse.gov/the-press-office/2017/05/25/remarks-president-trump-nato-unveiling-article-5-and-berlin-wall.</w:t>
      </w:r>
    </w:p>
  </w:footnote>
  <w:footnote w:id="170">
    <w:p w:rsidR="0077004D" w:rsidRPr="00F9454B" w:rsidRDefault="0077004D" w:rsidP="00401886">
      <w:pPr>
        <w:pStyle w:val="FootnoteText"/>
        <w:jc w:val="both"/>
      </w:pPr>
      <w:r w:rsidRPr="00F9454B">
        <w:rPr>
          <w:rStyle w:val="FootnoteReference"/>
        </w:rPr>
        <w:footnoteRef/>
      </w:r>
      <w:r w:rsidRPr="00F9454B">
        <w:t xml:space="preserve"> Jeremy Herb, “Trump Commits to NATO’s Article 5,” </w:t>
      </w:r>
      <w:r w:rsidRPr="00F9454B">
        <w:rPr>
          <w:i/>
        </w:rPr>
        <w:t>CNN</w:t>
      </w:r>
      <w:r w:rsidRPr="00F9454B">
        <w:t>,</w:t>
      </w:r>
      <w:r w:rsidRPr="00F9454B">
        <w:rPr>
          <w:i/>
        </w:rPr>
        <w:t xml:space="preserve"> </w:t>
      </w:r>
      <w:r w:rsidRPr="00F9454B">
        <w:t>June 9, 2017.</w:t>
      </w:r>
    </w:p>
  </w:footnote>
  <w:footnote w:id="171">
    <w:p w:rsidR="0077004D" w:rsidRPr="00F9454B" w:rsidRDefault="0077004D" w:rsidP="00EE4478">
      <w:pPr>
        <w:pStyle w:val="FootnoteText"/>
        <w:jc w:val="both"/>
      </w:pPr>
      <w:r w:rsidRPr="00F9454B">
        <w:rPr>
          <w:rStyle w:val="FootnoteReference"/>
        </w:rPr>
        <w:footnoteRef/>
      </w:r>
      <w:r w:rsidRPr="00F9454B">
        <w:t xml:space="preserve"> David M. Drucker, “Trump’s Speech in Saudi Arabia Reassures Foreign Policy Critics,” </w:t>
      </w:r>
      <w:r w:rsidRPr="00F9454B">
        <w:rPr>
          <w:i/>
        </w:rPr>
        <w:t>Washington Examiner</w:t>
      </w:r>
      <w:r w:rsidRPr="00F9454B">
        <w:t>, May 21, 2017.</w:t>
      </w:r>
    </w:p>
  </w:footnote>
  <w:footnote w:id="172">
    <w:p w:rsidR="0077004D" w:rsidRPr="00F9454B" w:rsidRDefault="0077004D" w:rsidP="002F3A14">
      <w:pPr>
        <w:pStyle w:val="FootnoteText"/>
        <w:jc w:val="both"/>
      </w:pPr>
      <w:r w:rsidRPr="00F9454B">
        <w:rPr>
          <w:rStyle w:val="FootnoteReference"/>
        </w:rPr>
        <w:footnoteRef/>
      </w:r>
      <w:r w:rsidRPr="00F9454B">
        <w:t xml:space="preserve"> Peter Nicholas and Carol E. Lee, “Donald Trump’s Diplomatic Moderation,” </w:t>
      </w:r>
      <w:r w:rsidRPr="00F9454B">
        <w:rPr>
          <w:i/>
        </w:rPr>
        <w:t>Wall Street Journal</w:t>
      </w:r>
      <w:r w:rsidRPr="00F9454B">
        <w:t>, February 12, 2017.</w:t>
      </w:r>
    </w:p>
  </w:footnote>
  <w:footnote w:id="173">
    <w:p w:rsidR="0077004D" w:rsidRPr="00F9454B" w:rsidRDefault="0077004D" w:rsidP="00C47FCB">
      <w:pPr>
        <w:pStyle w:val="FootnoteText"/>
        <w:jc w:val="both"/>
      </w:pPr>
      <w:r w:rsidRPr="00F9454B">
        <w:rPr>
          <w:rStyle w:val="FootnoteReference"/>
        </w:rPr>
        <w:footnoteRef/>
      </w:r>
      <w:r w:rsidRPr="00F9454B">
        <w:t xml:space="preserve"> Mark Landler, Peter Baker and David E. Sanger, “Trump Embraces Pillars of Obama’s Foreign Policy,” </w:t>
      </w:r>
      <w:r w:rsidRPr="00F9454B">
        <w:rPr>
          <w:i/>
        </w:rPr>
        <w:t>New York Times</w:t>
      </w:r>
      <w:r w:rsidRPr="00F9454B">
        <w:t>, February 2, 2017.</w:t>
      </w:r>
    </w:p>
  </w:footnote>
  <w:footnote w:id="174">
    <w:p w:rsidR="0077004D" w:rsidRPr="00F9454B" w:rsidRDefault="0077004D" w:rsidP="002E0732">
      <w:pPr>
        <w:pStyle w:val="FootnoteText"/>
        <w:jc w:val="both"/>
      </w:pPr>
      <w:r w:rsidRPr="00F9454B">
        <w:rPr>
          <w:rStyle w:val="FootnoteReference"/>
        </w:rPr>
        <w:footnoteRef/>
      </w:r>
      <w:r w:rsidRPr="00F9454B">
        <w:t xml:space="preserve"> Samuel Ramani, “What a Trump Presidency Would Mean for Afghanistan,” </w:t>
      </w:r>
      <w:r w:rsidRPr="00F9454B">
        <w:rPr>
          <w:i/>
        </w:rPr>
        <w:t>The Diplomat</w:t>
      </w:r>
      <w:r w:rsidRPr="00F9454B">
        <w:t>,</w:t>
      </w:r>
      <w:r w:rsidRPr="00F9454B">
        <w:rPr>
          <w:i/>
        </w:rPr>
        <w:t xml:space="preserve"> </w:t>
      </w:r>
      <w:r w:rsidRPr="00F9454B">
        <w:t>August 2, 2016.</w:t>
      </w:r>
    </w:p>
  </w:footnote>
  <w:footnote w:id="175">
    <w:p w:rsidR="0077004D" w:rsidRPr="00F9454B" w:rsidRDefault="0077004D" w:rsidP="000F78CA">
      <w:pPr>
        <w:pStyle w:val="FootnoteText"/>
        <w:jc w:val="both"/>
      </w:pPr>
      <w:r w:rsidRPr="00F9454B">
        <w:rPr>
          <w:rStyle w:val="FootnoteReference"/>
        </w:rPr>
        <w:footnoteRef/>
      </w:r>
      <w:r w:rsidRPr="00F9454B">
        <w:t xml:space="preserve"> Sabbrina Siddiqui and Ben Jacobs, “Donald Trump: We Will Stop Racing to Topple Regimes,” </w:t>
      </w:r>
      <w:r w:rsidRPr="00F9454B">
        <w:rPr>
          <w:i/>
        </w:rPr>
        <w:t>Guardian</w:t>
      </w:r>
      <w:r w:rsidRPr="00F9454B">
        <w:t>,</w:t>
      </w:r>
      <w:r w:rsidRPr="00F9454B">
        <w:rPr>
          <w:i/>
        </w:rPr>
        <w:t xml:space="preserve"> </w:t>
      </w:r>
      <w:r w:rsidRPr="00F9454B">
        <w:t xml:space="preserve">7 December 2016. </w:t>
      </w:r>
    </w:p>
  </w:footnote>
  <w:footnote w:id="176">
    <w:p w:rsidR="0077004D" w:rsidRPr="00F9454B" w:rsidRDefault="0077004D" w:rsidP="00EA1BB8">
      <w:pPr>
        <w:pStyle w:val="FootnoteText"/>
        <w:jc w:val="both"/>
      </w:pPr>
      <w:r w:rsidRPr="00F9454B">
        <w:rPr>
          <w:rStyle w:val="FootnoteReference"/>
        </w:rPr>
        <w:footnoteRef/>
      </w:r>
      <w:r w:rsidRPr="00F9454B">
        <w:t xml:space="preserve"> Micah Zenko and Jennifer Wilson, “Donald Trump is Dropping Bombs at Unprecedented Levels,” </w:t>
      </w:r>
      <w:r w:rsidRPr="00F9454B">
        <w:rPr>
          <w:i/>
        </w:rPr>
        <w:t>Foreign Policy</w:t>
      </w:r>
      <w:r w:rsidRPr="00F9454B">
        <w:t>,</w:t>
      </w:r>
      <w:r w:rsidRPr="00F9454B">
        <w:rPr>
          <w:i/>
        </w:rPr>
        <w:t xml:space="preserve"> </w:t>
      </w:r>
      <w:r w:rsidRPr="00F9454B">
        <w:t xml:space="preserve">August 9, 2017. </w:t>
      </w:r>
    </w:p>
  </w:footnote>
  <w:footnote w:id="177">
    <w:p w:rsidR="0077004D" w:rsidRPr="00230F4A" w:rsidRDefault="0077004D">
      <w:pPr>
        <w:pStyle w:val="FootnoteText"/>
      </w:pPr>
      <w:r>
        <w:rPr>
          <w:rStyle w:val="FootnoteReference"/>
        </w:rPr>
        <w:footnoteRef/>
      </w:r>
      <w:r>
        <w:t xml:space="preserve"> “Trump Outlines New U.S. Strategy in Afghanistan” </w:t>
      </w:r>
      <w:r>
        <w:rPr>
          <w:i/>
        </w:rPr>
        <w:t>CBS News</w:t>
      </w:r>
      <w:r>
        <w:t>,</w:t>
      </w:r>
      <w:r>
        <w:rPr>
          <w:i/>
        </w:rPr>
        <w:t xml:space="preserve"> </w:t>
      </w:r>
      <w:r>
        <w:t>August 21, 2017.</w:t>
      </w:r>
    </w:p>
  </w:footnote>
  <w:footnote w:id="178">
    <w:p w:rsidR="0077004D" w:rsidRPr="00F9454B" w:rsidRDefault="0077004D" w:rsidP="00E03B6C">
      <w:pPr>
        <w:pStyle w:val="FootnoteText"/>
      </w:pPr>
      <w:r w:rsidRPr="00F9454B">
        <w:rPr>
          <w:rStyle w:val="FootnoteReference"/>
        </w:rPr>
        <w:footnoteRef/>
      </w:r>
      <w:r w:rsidRPr="00F9454B">
        <w:t xml:space="preserve"> Michael Lind, “Whatever Happened to Trumpism,” </w:t>
      </w:r>
      <w:r w:rsidRPr="00F9454B">
        <w:rPr>
          <w:i/>
        </w:rPr>
        <w:t>Coffee House</w:t>
      </w:r>
      <w:r w:rsidRPr="00F9454B">
        <w:t>, March 18, 2017.</w:t>
      </w:r>
    </w:p>
  </w:footnote>
  <w:footnote w:id="179">
    <w:p w:rsidR="00F7610C" w:rsidRPr="00F9454B" w:rsidRDefault="00F7610C" w:rsidP="00F7610C">
      <w:pPr>
        <w:pStyle w:val="FootnoteText"/>
        <w:jc w:val="both"/>
      </w:pPr>
      <w:r w:rsidRPr="00F9454B">
        <w:rPr>
          <w:rStyle w:val="FootnoteReference"/>
        </w:rPr>
        <w:footnoteRef/>
      </w:r>
      <w:r w:rsidRPr="00F9454B">
        <w:t xml:space="preserve"> Gene Gerzhoy and Nicholas Miller, “Donald Trump Thinks More Countries Should Have Nuclear Weapons,” </w:t>
      </w:r>
      <w:r w:rsidRPr="00F9454B">
        <w:rPr>
          <w:i/>
        </w:rPr>
        <w:t>Washington Post</w:t>
      </w:r>
      <w:r w:rsidRPr="00F9454B">
        <w:t>, April 6, 2016.</w:t>
      </w:r>
    </w:p>
  </w:footnote>
  <w:footnote w:id="180">
    <w:p w:rsidR="0077004D" w:rsidRPr="00F9454B" w:rsidRDefault="0077004D" w:rsidP="00C15659">
      <w:pPr>
        <w:pStyle w:val="FootnoteText"/>
        <w:jc w:val="both"/>
      </w:pPr>
      <w:r w:rsidRPr="00F9454B">
        <w:rPr>
          <w:rStyle w:val="FootnoteReference"/>
        </w:rPr>
        <w:footnoteRef/>
      </w:r>
      <w:r w:rsidRPr="00F9454B">
        <w:t xml:space="preserve"> See the Brookings Institute manifesto, authored by security experts and former high-ranking officials in the administrations of George W. Bush and Barack Obama: </w:t>
      </w:r>
      <w:r w:rsidRPr="00F9454B">
        <w:rPr>
          <w:i/>
        </w:rPr>
        <w:t xml:space="preserve">Building Situations of Strength: A National Security Strategy for the United States </w:t>
      </w:r>
      <w:r w:rsidRPr="00F9454B">
        <w:t>(Washington, DC.: Brookings Institute, 2017).</w:t>
      </w:r>
    </w:p>
  </w:footnote>
  <w:footnote w:id="181">
    <w:p w:rsidR="0077004D" w:rsidRPr="00F9454B" w:rsidRDefault="0077004D" w:rsidP="002E0732">
      <w:pPr>
        <w:pStyle w:val="FootnoteText"/>
        <w:jc w:val="both"/>
      </w:pPr>
      <w:r w:rsidRPr="00F9454B">
        <w:rPr>
          <w:rStyle w:val="FootnoteReference"/>
        </w:rPr>
        <w:footnoteRef/>
      </w:r>
      <w:r w:rsidRPr="00F9454B">
        <w:t xml:space="preserve"> As Stephen M. Walt suggested, “The Donald Versus the Blob,” </w:t>
      </w:r>
      <w:r w:rsidRPr="00F9454B">
        <w:rPr>
          <w:i/>
        </w:rPr>
        <w:t>ISSF Policy Series</w:t>
      </w:r>
      <w:r w:rsidRPr="00F9454B">
        <w:t xml:space="preserve">, February 14, 2017, p.4.  </w:t>
      </w:r>
    </w:p>
  </w:footnote>
  <w:footnote w:id="182">
    <w:p w:rsidR="0077004D" w:rsidRPr="00F9454B" w:rsidRDefault="0077004D" w:rsidP="00B409A7">
      <w:pPr>
        <w:pStyle w:val="FootnoteText"/>
        <w:jc w:val="both"/>
      </w:pPr>
      <w:r w:rsidRPr="00F9454B">
        <w:rPr>
          <w:rStyle w:val="FootnoteReference"/>
        </w:rPr>
        <w:footnoteRef/>
      </w:r>
      <w:r w:rsidRPr="00F9454B">
        <w:t xml:space="preserve"> Andrew Restuccia, Isaac Arnsdorf and Nancy Cook, “Insurgent Trump Taps GOP Insiders, lobbyists for transition,” </w:t>
      </w:r>
      <w:r w:rsidRPr="00F9454B">
        <w:rPr>
          <w:i/>
        </w:rPr>
        <w:t>Politico</w:t>
      </w:r>
      <w:r w:rsidRPr="00F9454B">
        <w:t>,</w:t>
      </w:r>
      <w:r w:rsidRPr="00F9454B">
        <w:rPr>
          <w:i/>
        </w:rPr>
        <w:t xml:space="preserve"> </w:t>
      </w:r>
      <w:r w:rsidRPr="00F9454B">
        <w:t xml:space="preserve">November 11, 2016. </w:t>
      </w:r>
    </w:p>
  </w:footnote>
  <w:footnote w:id="183">
    <w:p w:rsidR="0077004D" w:rsidRPr="00F9454B" w:rsidRDefault="0077004D" w:rsidP="00B409A7">
      <w:pPr>
        <w:pStyle w:val="FootnoteText"/>
        <w:jc w:val="both"/>
      </w:pPr>
      <w:r w:rsidRPr="00F9454B">
        <w:rPr>
          <w:rStyle w:val="FootnoteReference"/>
        </w:rPr>
        <w:footnoteRef/>
      </w:r>
      <w:r w:rsidRPr="00F9454B">
        <w:t xml:space="preserve"> Jim Mattis, “A New American Grand Strategy,” </w:t>
      </w:r>
      <w:r w:rsidRPr="00F9454B">
        <w:rPr>
          <w:i/>
        </w:rPr>
        <w:t>Hoover Institution</w:t>
      </w:r>
      <w:r w:rsidRPr="00F9454B">
        <w:t xml:space="preserve">,  February 26, 2015; Julie Smith and Jim Townsend, “It’s Mattis and Pence to the Rescue of the Transatlantic Alliance,” </w:t>
      </w:r>
      <w:r w:rsidRPr="00F9454B">
        <w:rPr>
          <w:i/>
        </w:rPr>
        <w:t>Foreign Policy</w:t>
      </w:r>
      <w:r w:rsidRPr="00F9454B">
        <w:t>,</w:t>
      </w:r>
      <w:r w:rsidRPr="00F9454B">
        <w:rPr>
          <w:i/>
        </w:rPr>
        <w:t xml:space="preserve"> </w:t>
      </w:r>
      <w:r w:rsidRPr="00F9454B">
        <w:t>February 13, 2017.</w:t>
      </w:r>
    </w:p>
  </w:footnote>
  <w:footnote w:id="184">
    <w:p w:rsidR="0077004D" w:rsidRPr="00F9454B" w:rsidRDefault="0077004D" w:rsidP="00B409A7">
      <w:pPr>
        <w:pStyle w:val="FootnoteText"/>
        <w:jc w:val="both"/>
      </w:pPr>
      <w:r w:rsidRPr="00F9454B">
        <w:rPr>
          <w:rStyle w:val="FootnoteReference"/>
        </w:rPr>
        <w:footnoteRef/>
      </w:r>
      <w:r w:rsidRPr="00F9454B">
        <w:t xml:space="preserve"> Phil Stewart and Patricia Zengerle, “Trump’s Picks to lead Pentagon, CIA take tough stand on Russia,” </w:t>
      </w:r>
      <w:r w:rsidRPr="00F9454B">
        <w:rPr>
          <w:i/>
        </w:rPr>
        <w:t>The Globe and Mail</w:t>
      </w:r>
      <w:r w:rsidRPr="00F9454B">
        <w:t>, January 13, 2017.</w:t>
      </w:r>
    </w:p>
  </w:footnote>
  <w:footnote w:id="185">
    <w:p w:rsidR="0077004D" w:rsidRPr="00F9454B" w:rsidRDefault="0077004D" w:rsidP="00B409A7">
      <w:pPr>
        <w:pStyle w:val="FootnoteText"/>
        <w:jc w:val="both"/>
      </w:pPr>
      <w:r w:rsidRPr="00F9454B">
        <w:rPr>
          <w:rStyle w:val="FootnoteReference"/>
        </w:rPr>
        <w:footnoteRef/>
      </w:r>
      <w:r w:rsidRPr="00F9454B">
        <w:t xml:space="preserve"> Charles Clover, “Tillerson sets stage for clash with Beijing over South China Sea,” </w:t>
      </w:r>
      <w:r w:rsidRPr="00F9454B">
        <w:rPr>
          <w:i/>
        </w:rPr>
        <w:t>Financial Times</w:t>
      </w:r>
      <w:r w:rsidRPr="00F9454B">
        <w:t>, January  12, 2017.</w:t>
      </w:r>
    </w:p>
  </w:footnote>
  <w:footnote w:id="186">
    <w:p w:rsidR="0077004D" w:rsidRPr="00F9454B" w:rsidRDefault="0077004D" w:rsidP="00B409A7">
      <w:pPr>
        <w:pStyle w:val="FootnoteText"/>
        <w:jc w:val="both"/>
      </w:pPr>
      <w:r w:rsidRPr="00F9454B">
        <w:rPr>
          <w:rStyle w:val="FootnoteReference"/>
        </w:rPr>
        <w:footnoteRef/>
      </w:r>
      <w:r w:rsidRPr="00F9454B">
        <w:t xml:space="preserve"> “General McMaster Knows where the West Went Wrong,” </w:t>
      </w:r>
      <w:r w:rsidRPr="00F9454B">
        <w:rPr>
          <w:i/>
        </w:rPr>
        <w:t>Policy Exchange</w:t>
      </w:r>
      <w:r w:rsidRPr="00F9454B">
        <w:t>,</w:t>
      </w:r>
      <w:r w:rsidRPr="00F9454B">
        <w:rPr>
          <w:i/>
        </w:rPr>
        <w:t xml:space="preserve"> </w:t>
      </w:r>
      <w:r w:rsidRPr="00F9454B">
        <w:t>February 23, 2017 at https://policyexchange.org.uk/general-mcmaster-knows-where-the-west-went-wrong-and-can-help-president-trump-make-it-right/</w:t>
      </w:r>
    </w:p>
  </w:footnote>
  <w:footnote w:id="187">
    <w:p w:rsidR="0077004D" w:rsidRPr="00F9454B" w:rsidRDefault="0077004D" w:rsidP="00B409A7">
      <w:pPr>
        <w:pStyle w:val="FootnoteText"/>
        <w:jc w:val="both"/>
      </w:pPr>
      <w:r w:rsidRPr="00F9454B">
        <w:rPr>
          <w:rStyle w:val="FootnoteReference"/>
        </w:rPr>
        <w:footnoteRef/>
      </w:r>
      <w:r w:rsidRPr="00F9454B">
        <w:t xml:space="preserve"> As Matthew Kroenig observes, “The Case for Trump’s Foreign Policy,” </w:t>
      </w:r>
      <w:r w:rsidRPr="00F9454B">
        <w:rPr>
          <w:i/>
        </w:rPr>
        <w:t xml:space="preserve">Foreign Affairs </w:t>
      </w:r>
      <w:r w:rsidRPr="00F9454B">
        <w:t>Vol. 96, No. 3 (2017), pp.30-34, p.33.</w:t>
      </w:r>
    </w:p>
  </w:footnote>
  <w:footnote w:id="188">
    <w:p w:rsidR="0077004D" w:rsidRPr="00F9454B" w:rsidRDefault="0077004D" w:rsidP="00B409A7">
      <w:pPr>
        <w:pStyle w:val="FootnoteText"/>
        <w:jc w:val="both"/>
      </w:pPr>
      <w:r w:rsidRPr="00F9454B">
        <w:rPr>
          <w:rStyle w:val="FootnoteReference"/>
        </w:rPr>
        <w:footnoteRef/>
      </w:r>
      <w:r w:rsidRPr="00F9454B">
        <w:t xml:space="preserve"> Lisa Riley Roche, “Huntsman’s Official Announcement as Ambassador to Russia may still be weeks away,” </w:t>
      </w:r>
      <w:r w:rsidRPr="00F9454B">
        <w:rPr>
          <w:i/>
        </w:rPr>
        <w:t>Deseret News</w:t>
      </w:r>
      <w:r w:rsidRPr="00F9454B">
        <w:t>,</w:t>
      </w:r>
      <w:r w:rsidRPr="00F9454B">
        <w:rPr>
          <w:i/>
        </w:rPr>
        <w:t xml:space="preserve"> </w:t>
      </w:r>
      <w:r w:rsidRPr="00F9454B">
        <w:t>April 11, 2017.</w:t>
      </w:r>
    </w:p>
  </w:footnote>
  <w:footnote w:id="189">
    <w:p w:rsidR="0077004D" w:rsidRPr="00F9454B" w:rsidRDefault="0077004D" w:rsidP="00C72902">
      <w:pPr>
        <w:pStyle w:val="FootnoteText"/>
        <w:jc w:val="both"/>
      </w:pPr>
      <w:r w:rsidRPr="00F9454B">
        <w:rPr>
          <w:rStyle w:val="FootnoteReference"/>
        </w:rPr>
        <w:footnoteRef/>
      </w:r>
      <w:r w:rsidRPr="00F9454B">
        <w:t xml:space="preserve"> Mark Landler, “Meet the Obama Holdovers Who Survived Trump’s Sweep,” </w:t>
      </w:r>
      <w:r>
        <w:rPr>
          <w:i/>
        </w:rPr>
        <w:t xml:space="preserve">The </w:t>
      </w:r>
      <w:r w:rsidRPr="00F9454B">
        <w:rPr>
          <w:i/>
        </w:rPr>
        <w:t>New York Times</w:t>
      </w:r>
      <w:r w:rsidRPr="00F9454B">
        <w:t>,</w:t>
      </w:r>
      <w:r w:rsidRPr="00F9454B">
        <w:rPr>
          <w:i/>
        </w:rPr>
        <w:t xml:space="preserve"> </w:t>
      </w:r>
      <w:r w:rsidRPr="00F9454B">
        <w:t>April 1, 2017.</w:t>
      </w:r>
    </w:p>
  </w:footnote>
  <w:footnote w:id="190">
    <w:p w:rsidR="0077004D" w:rsidRPr="00F9454B" w:rsidRDefault="0077004D" w:rsidP="004D1545">
      <w:pPr>
        <w:pStyle w:val="FootnoteText"/>
        <w:jc w:val="both"/>
      </w:pPr>
      <w:r w:rsidRPr="00F9454B">
        <w:rPr>
          <w:rStyle w:val="FootnoteReference"/>
        </w:rPr>
        <w:footnoteRef/>
      </w:r>
      <w:r w:rsidRPr="00F9454B">
        <w:t xml:space="preserve"> Vivian Salama and Julie Pace, “Trio of Military Men gain growing influence with Trump,” </w:t>
      </w:r>
      <w:r w:rsidRPr="00F9454B">
        <w:rPr>
          <w:i/>
        </w:rPr>
        <w:t>Associated Press</w:t>
      </w:r>
      <w:r w:rsidRPr="00F9454B">
        <w:t>, February 23, 2017.</w:t>
      </w:r>
    </w:p>
  </w:footnote>
  <w:footnote w:id="191">
    <w:p w:rsidR="0077004D" w:rsidRPr="00F9454B" w:rsidRDefault="0077004D" w:rsidP="00295A32">
      <w:pPr>
        <w:pStyle w:val="FootnoteText"/>
        <w:jc w:val="both"/>
      </w:pPr>
      <w:r w:rsidRPr="00F9454B">
        <w:rPr>
          <w:rStyle w:val="FootnoteReference"/>
        </w:rPr>
        <w:footnoteRef/>
      </w:r>
      <w:r w:rsidRPr="00F9454B">
        <w:t xml:space="preserve"> President of the United States, Memorandum, “Organisation of the National Security Council, the Homeland Security Council, and Subcommittees,” April 4, 2017.</w:t>
      </w:r>
    </w:p>
  </w:footnote>
  <w:footnote w:id="192">
    <w:p w:rsidR="0077004D" w:rsidRPr="00F9454B" w:rsidRDefault="0077004D" w:rsidP="0034173D">
      <w:pPr>
        <w:pStyle w:val="FootnoteText"/>
        <w:jc w:val="both"/>
      </w:pPr>
      <w:r w:rsidRPr="00F9454B">
        <w:rPr>
          <w:rStyle w:val="FootnoteReference"/>
        </w:rPr>
        <w:footnoteRef/>
      </w:r>
      <w:r w:rsidRPr="00F9454B">
        <w:t xml:space="preserve"> Matthew Lee and Jonathan Lemire, “How Trump’s advisers schooled him on Globalism,” </w:t>
      </w:r>
      <w:r w:rsidRPr="00F9454B">
        <w:rPr>
          <w:i/>
        </w:rPr>
        <w:t>AP News</w:t>
      </w:r>
      <w:r w:rsidRPr="00F9454B">
        <w:t>, September 18, 2017.</w:t>
      </w:r>
    </w:p>
  </w:footnote>
  <w:footnote w:id="193">
    <w:p w:rsidR="0077004D" w:rsidRPr="00F9454B" w:rsidRDefault="0077004D" w:rsidP="0034173D">
      <w:pPr>
        <w:pStyle w:val="FootnoteText"/>
        <w:jc w:val="both"/>
      </w:pPr>
      <w:r w:rsidRPr="00F9454B">
        <w:rPr>
          <w:rStyle w:val="FootnoteReference"/>
        </w:rPr>
        <w:footnoteRef/>
      </w:r>
      <w:r w:rsidRPr="00F9454B">
        <w:t xml:space="preserve"> Daniel W. Drezner, “Trump fought the Blob and the Blob Won. Why?” </w:t>
      </w:r>
      <w:r w:rsidRPr="00F9454B">
        <w:rPr>
          <w:i/>
        </w:rPr>
        <w:t>Washington Post</w:t>
      </w:r>
      <w:r w:rsidRPr="00F9454B">
        <w:t>,</w:t>
      </w:r>
      <w:r w:rsidRPr="00F9454B">
        <w:rPr>
          <w:i/>
        </w:rPr>
        <w:t xml:space="preserve"> </w:t>
      </w:r>
      <w:r w:rsidRPr="00F9454B">
        <w:t>April 13, 2017.</w:t>
      </w:r>
    </w:p>
  </w:footnote>
  <w:footnote w:id="194">
    <w:p w:rsidR="0077004D" w:rsidRPr="00F9454B" w:rsidRDefault="0077004D" w:rsidP="004D1545">
      <w:pPr>
        <w:pStyle w:val="FootnoteText"/>
        <w:jc w:val="both"/>
      </w:pPr>
      <w:r w:rsidRPr="00F9454B">
        <w:rPr>
          <w:rStyle w:val="FootnoteReference"/>
        </w:rPr>
        <w:footnoteRef/>
      </w:r>
      <w:r w:rsidRPr="00F9454B">
        <w:t xml:space="preserve"> Melinda Henneberger, “How the government could resist President Trump’s Orders,” </w:t>
      </w:r>
      <w:r w:rsidRPr="00F9454B">
        <w:rPr>
          <w:i/>
        </w:rPr>
        <w:t>Washington Post</w:t>
      </w:r>
      <w:r w:rsidRPr="00F9454B">
        <w:t>,</w:t>
      </w:r>
      <w:r w:rsidRPr="00F9454B">
        <w:rPr>
          <w:i/>
        </w:rPr>
        <w:t xml:space="preserve"> </w:t>
      </w:r>
      <w:r w:rsidRPr="00F9454B">
        <w:t xml:space="preserve"> September 9,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463210"/>
      <w:docPartObj>
        <w:docPartGallery w:val="Page Numbers (Top of Page)"/>
        <w:docPartUnique/>
      </w:docPartObj>
    </w:sdtPr>
    <w:sdtEndPr>
      <w:rPr>
        <w:noProof/>
      </w:rPr>
    </w:sdtEndPr>
    <w:sdtContent>
      <w:p w:rsidR="0077004D" w:rsidRDefault="0077004D">
        <w:pPr>
          <w:pStyle w:val="Header"/>
        </w:pPr>
        <w:r>
          <w:fldChar w:fldCharType="begin"/>
        </w:r>
        <w:r>
          <w:instrText xml:space="preserve"> PAGE   \* MERGEFORMAT </w:instrText>
        </w:r>
        <w:r>
          <w:fldChar w:fldCharType="separate"/>
        </w:r>
        <w:r w:rsidR="00245484">
          <w:rPr>
            <w:noProof/>
          </w:rPr>
          <w:t>21</w:t>
        </w:r>
        <w:r>
          <w:rPr>
            <w:noProof/>
          </w:rPr>
          <w:fldChar w:fldCharType="end"/>
        </w:r>
      </w:p>
    </w:sdtContent>
  </w:sdt>
  <w:p w:rsidR="0077004D" w:rsidRDefault="00770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90D77"/>
    <w:multiLevelType w:val="hybridMultilevel"/>
    <w:tmpl w:val="6948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D63A4"/>
    <w:multiLevelType w:val="hybridMultilevel"/>
    <w:tmpl w:val="EEBE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F7444"/>
    <w:multiLevelType w:val="hybridMultilevel"/>
    <w:tmpl w:val="23F0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F7"/>
    <w:rsid w:val="00001245"/>
    <w:rsid w:val="000030E0"/>
    <w:rsid w:val="00004E07"/>
    <w:rsid w:val="00005416"/>
    <w:rsid w:val="00005776"/>
    <w:rsid w:val="00007156"/>
    <w:rsid w:val="000072A2"/>
    <w:rsid w:val="00007546"/>
    <w:rsid w:val="000106CF"/>
    <w:rsid w:val="00010E6A"/>
    <w:rsid w:val="0001180D"/>
    <w:rsid w:val="000132AA"/>
    <w:rsid w:val="000136BA"/>
    <w:rsid w:val="000142EA"/>
    <w:rsid w:val="00014CF7"/>
    <w:rsid w:val="0001518C"/>
    <w:rsid w:val="00015EEB"/>
    <w:rsid w:val="0001732D"/>
    <w:rsid w:val="000220E8"/>
    <w:rsid w:val="000224A4"/>
    <w:rsid w:val="00025187"/>
    <w:rsid w:val="000270FC"/>
    <w:rsid w:val="000273B8"/>
    <w:rsid w:val="0003052E"/>
    <w:rsid w:val="00031611"/>
    <w:rsid w:val="000325C3"/>
    <w:rsid w:val="00032731"/>
    <w:rsid w:val="00032C43"/>
    <w:rsid w:val="000334F5"/>
    <w:rsid w:val="00033829"/>
    <w:rsid w:val="000348DB"/>
    <w:rsid w:val="000360B0"/>
    <w:rsid w:val="0003618C"/>
    <w:rsid w:val="00036A98"/>
    <w:rsid w:val="000412A1"/>
    <w:rsid w:val="00043853"/>
    <w:rsid w:val="00043E31"/>
    <w:rsid w:val="00046042"/>
    <w:rsid w:val="00052EB5"/>
    <w:rsid w:val="00052EEE"/>
    <w:rsid w:val="00053AF7"/>
    <w:rsid w:val="00053D13"/>
    <w:rsid w:val="00053F4E"/>
    <w:rsid w:val="00054494"/>
    <w:rsid w:val="00054515"/>
    <w:rsid w:val="0005624C"/>
    <w:rsid w:val="0005697E"/>
    <w:rsid w:val="00057445"/>
    <w:rsid w:val="00057CAE"/>
    <w:rsid w:val="00061A3E"/>
    <w:rsid w:val="00062017"/>
    <w:rsid w:val="0006230D"/>
    <w:rsid w:val="00062B8B"/>
    <w:rsid w:val="00065C9B"/>
    <w:rsid w:val="00066943"/>
    <w:rsid w:val="0007069A"/>
    <w:rsid w:val="00070B8F"/>
    <w:rsid w:val="00070C6B"/>
    <w:rsid w:val="00073B50"/>
    <w:rsid w:val="00074BAE"/>
    <w:rsid w:val="00076425"/>
    <w:rsid w:val="0007657E"/>
    <w:rsid w:val="000776E1"/>
    <w:rsid w:val="0008043B"/>
    <w:rsid w:val="00080A17"/>
    <w:rsid w:val="00080B00"/>
    <w:rsid w:val="00081660"/>
    <w:rsid w:val="00082DE2"/>
    <w:rsid w:val="00083093"/>
    <w:rsid w:val="00083691"/>
    <w:rsid w:val="00085C15"/>
    <w:rsid w:val="00085E33"/>
    <w:rsid w:val="00086517"/>
    <w:rsid w:val="00087C16"/>
    <w:rsid w:val="00090661"/>
    <w:rsid w:val="00091B45"/>
    <w:rsid w:val="0009218A"/>
    <w:rsid w:val="000927BF"/>
    <w:rsid w:val="00094B7D"/>
    <w:rsid w:val="000956B4"/>
    <w:rsid w:val="000968AE"/>
    <w:rsid w:val="000974E1"/>
    <w:rsid w:val="00097A5C"/>
    <w:rsid w:val="000A3576"/>
    <w:rsid w:val="000A4BFD"/>
    <w:rsid w:val="000A6C1E"/>
    <w:rsid w:val="000B0B7F"/>
    <w:rsid w:val="000B1F54"/>
    <w:rsid w:val="000B2275"/>
    <w:rsid w:val="000B242F"/>
    <w:rsid w:val="000B26C1"/>
    <w:rsid w:val="000B296A"/>
    <w:rsid w:val="000B2C0D"/>
    <w:rsid w:val="000B3708"/>
    <w:rsid w:val="000B3FB4"/>
    <w:rsid w:val="000B450D"/>
    <w:rsid w:val="000B5D4B"/>
    <w:rsid w:val="000B7051"/>
    <w:rsid w:val="000C14F3"/>
    <w:rsid w:val="000C1D3F"/>
    <w:rsid w:val="000C2080"/>
    <w:rsid w:val="000C2F96"/>
    <w:rsid w:val="000C3FBE"/>
    <w:rsid w:val="000C55B8"/>
    <w:rsid w:val="000C7B76"/>
    <w:rsid w:val="000D1144"/>
    <w:rsid w:val="000D13BD"/>
    <w:rsid w:val="000D1D46"/>
    <w:rsid w:val="000D5C85"/>
    <w:rsid w:val="000D61AA"/>
    <w:rsid w:val="000D7CE2"/>
    <w:rsid w:val="000E0FA1"/>
    <w:rsid w:val="000E10AE"/>
    <w:rsid w:val="000E3337"/>
    <w:rsid w:val="000E3480"/>
    <w:rsid w:val="000E3F82"/>
    <w:rsid w:val="000E4F96"/>
    <w:rsid w:val="000E52AF"/>
    <w:rsid w:val="000E5BA8"/>
    <w:rsid w:val="000E7A27"/>
    <w:rsid w:val="000F1BEA"/>
    <w:rsid w:val="000F695B"/>
    <w:rsid w:val="000F6B4C"/>
    <w:rsid w:val="000F78CA"/>
    <w:rsid w:val="0010302E"/>
    <w:rsid w:val="00104143"/>
    <w:rsid w:val="001043EF"/>
    <w:rsid w:val="00104B25"/>
    <w:rsid w:val="00105FAA"/>
    <w:rsid w:val="001063A5"/>
    <w:rsid w:val="00106878"/>
    <w:rsid w:val="001077CF"/>
    <w:rsid w:val="00110468"/>
    <w:rsid w:val="00113089"/>
    <w:rsid w:val="001130CB"/>
    <w:rsid w:val="00115175"/>
    <w:rsid w:val="00115FEB"/>
    <w:rsid w:val="0011668A"/>
    <w:rsid w:val="001212DB"/>
    <w:rsid w:val="001229D8"/>
    <w:rsid w:val="00123D09"/>
    <w:rsid w:val="0012438D"/>
    <w:rsid w:val="001254C7"/>
    <w:rsid w:val="001257FE"/>
    <w:rsid w:val="0013034E"/>
    <w:rsid w:val="00130D89"/>
    <w:rsid w:val="00130EB4"/>
    <w:rsid w:val="00130FB4"/>
    <w:rsid w:val="0013187A"/>
    <w:rsid w:val="00131A9B"/>
    <w:rsid w:val="00131B15"/>
    <w:rsid w:val="00131DC7"/>
    <w:rsid w:val="0013271F"/>
    <w:rsid w:val="001327CC"/>
    <w:rsid w:val="00133690"/>
    <w:rsid w:val="0013587A"/>
    <w:rsid w:val="001362A4"/>
    <w:rsid w:val="00141439"/>
    <w:rsid w:val="00142755"/>
    <w:rsid w:val="0014430E"/>
    <w:rsid w:val="00145339"/>
    <w:rsid w:val="00145E9F"/>
    <w:rsid w:val="00147235"/>
    <w:rsid w:val="00147971"/>
    <w:rsid w:val="001504B9"/>
    <w:rsid w:val="0015510C"/>
    <w:rsid w:val="0015771F"/>
    <w:rsid w:val="001611F4"/>
    <w:rsid w:val="0016226E"/>
    <w:rsid w:val="001625E4"/>
    <w:rsid w:val="00162629"/>
    <w:rsid w:val="00162A22"/>
    <w:rsid w:val="00163A08"/>
    <w:rsid w:val="00165BBA"/>
    <w:rsid w:val="00165CAE"/>
    <w:rsid w:val="0016713B"/>
    <w:rsid w:val="00167C37"/>
    <w:rsid w:val="00167C40"/>
    <w:rsid w:val="0017016B"/>
    <w:rsid w:val="00171AF9"/>
    <w:rsid w:val="00172B6A"/>
    <w:rsid w:val="001735D3"/>
    <w:rsid w:val="0017416A"/>
    <w:rsid w:val="0017516E"/>
    <w:rsid w:val="00175D71"/>
    <w:rsid w:val="00176FBC"/>
    <w:rsid w:val="001774C0"/>
    <w:rsid w:val="00180749"/>
    <w:rsid w:val="00180958"/>
    <w:rsid w:val="0018176F"/>
    <w:rsid w:val="00181A43"/>
    <w:rsid w:val="00181D47"/>
    <w:rsid w:val="0018208F"/>
    <w:rsid w:val="0018295F"/>
    <w:rsid w:val="001832E4"/>
    <w:rsid w:val="00184B81"/>
    <w:rsid w:val="00184E91"/>
    <w:rsid w:val="0018605A"/>
    <w:rsid w:val="00186EBA"/>
    <w:rsid w:val="001902CC"/>
    <w:rsid w:val="00194168"/>
    <w:rsid w:val="00194B14"/>
    <w:rsid w:val="00194D78"/>
    <w:rsid w:val="00194F89"/>
    <w:rsid w:val="001955C1"/>
    <w:rsid w:val="00197235"/>
    <w:rsid w:val="00197B4C"/>
    <w:rsid w:val="001A07E6"/>
    <w:rsid w:val="001A4A9C"/>
    <w:rsid w:val="001A59B0"/>
    <w:rsid w:val="001A5A4E"/>
    <w:rsid w:val="001A6E20"/>
    <w:rsid w:val="001A722A"/>
    <w:rsid w:val="001A75F5"/>
    <w:rsid w:val="001B31BF"/>
    <w:rsid w:val="001B4328"/>
    <w:rsid w:val="001B4CA5"/>
    <w:rsid w:val="001B7885"/>
    <w:rsid w:val="001C065F"/>
    <w:rsid w:val="001C1815"/>
    <w:rsid w:val="001C21D9"/>
    <w:rsid w:val="001C3346"/>
    <w:rsid w:val="001C3BBF"/>
    <w:rsid w:val="001C45DF"/>
    <w:rsid w:val="001C4BAB"/>
    <w:rsid w:val="001C514B"/>
    <w:rsid w:val="001C55C1"/>
    <w:rsid w:val="001C5A00"/>
    <w:rsid w:val="001C6CDE"/>
    <w:rsid w:val="001D00F8"/>
    <w:rsid w:val="001D1408"/>
    <w:rsid w:val="001D1981"/>
    <w:rsid w:val="001D2416"/>
    <w:rsid w:val="001D26C0"/>
    <w:rsid w:val="001D2DB6"/>
    <w:rsid w:val="001D309F"/>
    <w:rsid w:val="001D3840"/>
    <w:rsid w:val="001D398F"/>
    <w:rsid w:val="001D464C"/>
    <w:rsid w:val="001D6DFC"/>
    <w:rsid w:val="001D702B"/>
    <w:rsid w:val="001E09E9"/>
    <w:rsid w:val="001E185B"/>
    <w:rsid w:val="001E255E"/>
    <w:rsid w:val="001E2A71"/>
    <w:rsid w:val="001E43BF"/>
    <w:rsid w:val="001E4451"/>
    <w:rsid w:val="001E465B"/>
    <w:rsid w:val="001E4F69"/>
    <w:rsid w:val="001E5278"/>
    <w:rsid w:val="001E55B7"/>
    <w:rsid w:val="001F0E27"/>
    <w:rsid w:val="001F1A10"/>
    <w:rsid w:val="001F1A38"/>
    <w:rsid w:val="001F39DD"/>
    <w:rsid w:val="001F6749"/>
    <w:rsid w:val="001F6879"/>
    <w:rsid w:val="0020001E"/>
    <w:rsid w:val="002017E0"/>
    <w:rsid w:val="00201ACC"/>
    <w:rsid w:val="00202A0E"/>
    <w:rsid w:val="0020697B"/>
    <w:rsid w:val="0020716A"/>
    <w:rsid w:val="002100D4"/>
    <w:rsid w:val="0021107C"/>
    <w:rsid w:val="002133B6"/>
    <w:rsid w:val="00214845"/>
    <w:rsid w:val="00215197"/>
    <w:rsid w:val="002158C9"/>
    <w:rsid w:val="00215C94"/>
    <w:rsid w:val="0021634C"/>
    <w:rsid w:val="002167FD"/>
    <w:rsid w:val="00216D65"/>
    <w:rsid w:val="00217C31"/>
    <w:rsid w:val="00217C54"/>
    <w:rsid w:val="00220FF6"/>
    <w:rsid w:val="00221031"/>
    <w:rsid w:val="002222CF"/>
    <w:rsid w:val="00225323"/>
    <w:rsid w:val="00225D76"/>
    <w:rsid w:val="00225DFF"/>
    <w:rsid w:val="00226830"/>
    <w:rsid w:val="00227D8F"/>
    <w:rsid w:val="00230F4A"/>
    <w:rsid w:val="002334F5"/>
    <w:rsid w:val="00233F52"/>
    <w:rsid w:val="00235191"/>
    <w:rsid w:val="00240764"/>
    <w:rsid w:val="00242800"/>
    <w:rsid w:val="002431D7"/>
    <w:rsid w:val="00243414"/>
    <w:rsid w:val="00245484"/>
    <w:rsid w:val="00247231"/>
    <w:rsid w:val="00247267"/>
    <w:rsid w:val="00247476"/>
    <w:rsid w:val="00250141"/>
    <w:rsid w:val="002503E6"/>
    <w:rsid w:val="00251731"/>
    <w:rsid w:val="00252567"/>
    <w:rsid w:val="00252602"/>
    <w:rsid w:val="0025284D"/>
    <w:rsid w:val="0025289B"/>
    <w:rsid w:val="0025455E"/>
    <w:rsid w:val="00254EF2"/>
    <w:rsid w:val="00257722"/>
    <w:rsid w:val="002624D7"/>
    <w:rsid w:val="00262882"/>
    <w:rsid w:val="002631AB"/>
    <w:rsid w:val="002663D6"/>
    <w:rsid w:val="002667AA"/>
    <w:rsid w:val="00270100"/>
    <w:rsid w:val="00271FF1"/>
    <w:rsid w:val="002740F4"/>
    <w:rsid w:val="00277303"/>
    <w:rsid w:val="002779B0"/>
    <w:rsid w:val="00280E7F"/>
    <w:rsid w:val="00280FAC"/>
    <w:rsid w:val="002834B8"/>
    <w:rsid w:val="00284CC2"/>
    <w:rsid w:val="002851AC"/>
    <w:rsid w:val="002862C2"/>
    <w:rsid w:val="002876F3"/>
    <w:rsid w:val="00290B5B"/>
    <w:rsid w:val="00290DE9"/>
    <w:rsid w:val="00291B30"/>
    <w:rsid w:val="00292EA1"/>
    <w:rsid w:val="00295280"/>
    <w:rsid w:val="00295A32"/>
    <w:rsid w:val="00296306"/>
    <w:rsid w:val="00296424"/>
    <w:rsid w:val="00296540"/>
    <w:rsid w:val="002A2D4B"/>
    <w:rsid w:val="002A34D8"/>
    <w:rsid w:val="002A47E8"/>
    <w:rsid w:val="002A59D3"/>
    <w:rsid w:val="002A5AA6"/>
    <w:rsid w:val="002B27E7"/>
    <w:rsid w:val="002B3403"/>
    <w:rsid w:val="002B627B"/>
    <w:rsid w:val="002B68D8"/>
    <w:rsid w:val="002B6CF6"/>
    <w:rsid w:val="002C0FB9"/>
    <w:rsid w:val="002C1D17"/>
    <w:rsid w:val="002C1D7F"/>
    <w:rsid w:val="002C1DF0"/>
    <w:rsid w:val="002C2188"/>
    <w:rsid w:val="002C2466"/>
    <w:rsid w:val="002C344A"/>
    <w:rsid w:val="002C3643"/>
    <w:rsid w:val="002C3AF8"/>
    <w:rsid w:val="002C4112"/>
    <w:rsid w:val="002C5854"/>
    <w:rsid w:val="002C590F"/>
    <w:rsid w:val="002C74E8"/>
    <w:rsid w:val="002C799F"/>
    <w:rsid w:val="002D02DE"/>
    <w:rsid w:val="002D158E"/>
    <w:rsid w:val="002D22FD"/>
    <w:rsid w:val="002D3DEE"/>
    <w:rsid w:val="002D599C"/>
    <w:rsid w:val="002D67DA"/>
    <w:rsid w:val="002E0732"/>
    <w:rsid w:val="002E0B7D"/>
    <w:rsid w:val="002E24DF"/>
    <w:rsid w:val="002E344E"/>
    <w:rsid w:val="002E3C1A"/>
    <w:rsid w:val="002F0C00"/>
    <w:rsid w:val="002F3A14"/>
    <w:rsid w:val="002F45C7"/>
    <w:rsid w:val="002F7DFB"/>
    <w:rsid w:val="00302226"/>
    <w:rsid w:val="00302988"/>
    <w:rsid w:val="00305418"/>
    <w:rsid w:val="003061FE"/>
    <w:rsid w:val="00307187"/>
    <w:rsid w:val="00307536"/>
    <w:rsid w:val="00307DB7"/>
    <w:rsid w:val="003101FF"/>
    <w:rsid w:val="00311087"/>
    <w:rsid w:val="00311310"/>
    <w:rsid w:val="00311BC7"/>
    <w:rsid w:val="003153D8"/>
    <w:rsid w:val="00315CC3"/>
    <w:rsid w:val="00316248"/>
    <w:rsid w:val="003172BD"/>
    <w:rsid w:val="00317771"/>
    <w:rsid w:val="003200FC"/>
    <w:rsid w:val="0032074A"/>
    <w:rsid w:val="0032452C"/>
    <w:rsid w:val="00325135"/>
    <w:rsid w:val="00325545"/>
    <w:rsid w:val="00325F41"/>
    <w:rsid w:val="0032678E"/>
    <w:rsid w:val="00330A8B"/>
    <w:rsid w:val="00330E84"/>
    <w:rsid w:val="00330EB6"/>
    <w:rsid w:val="0033611B"/>
    <w:rsid w:val="0033670E"/>
    <w:rsid w:val="00337730"/>
    <w:rsid w:val="003377A8"/>
    <w:rsid w:val="00340100"/>
    <w:rsid w:val="00340FD9"/>
    <w:rsid w:val="0034173D"/>
    <w:rsid w:val="00341C49"/>
    <w:rsid w:val="0034444C"/>
    <w:rsid w:val="0034584F"/>
    <w:rsid w:val="00345DE7"/>
    <w:rsid w:val="003465B4"/>
    <w:rsid w:val="00347116"/>
    <w:rsid w:val="0034767E"/>
    <w:rsid w:val="00350AC4"/>
    <w:rsid w:val="00350E13"/>
    <w:rsid w:val="00351517"/>
    <w:rsid w:val="00351A5A"/>
    <w:rsid w:val="00353091"/>
    <w:rsid w:val="003531E1"/>
    <w:rsid w:val="003540D6"/>
    <w:rsid w:val="00355224"/>
    <w:rsid w:val="003556F1"/>
    <w:rsid w:val="0035758E"/>
    <w:rsid w:val="003576D8"/>
    <w:rsid w:val="00357ABB"/>
    <w:rsid w:val="00357CC5"/>
    <w:rsid w:val="00360131"/>
    <w:rsid w:val="003601AC"/>
    <w:rsid w:val="00360CBD"/>
    <w:rsid w:val="0036150E"/>
    <w:rsid w:val="00361EA8"/>
    <w:rsid w:val="0036270E"/>
    <w:rsid w:val="00364F6B"/>
    <w:rsid w:val="003656B6"/>
    <w:rsid w:val="00366D6B"/>
    <w:rsid w:val="0036724A"/>
    <w:rsid w:val="0037113E"/>
    <w:rsid w:val="0037182A"/>
    <w:rsid w:val="003739E5"/>
    <w:rsid w:val="00373F04"/>
    <w:rsid w:val="00374282"/>
    <w:rsid w:val="00374306"/>
    <w:rsid w:val="00376315"/>
    <w:rsid w:val="00376F9B"/>
    <w:rsid w:val="003776C0"/>
    <w:rsid w:val="00377EA5"/>
    <w:rsid w:val="00380517"/>
    <w:rsid w:val="00381F70"/>
    <w:rsid w:val="00382181"/>
    <w:rsid w:val="003828F1"/>
    <w:rsid w:val="00383477"/>
    <w:rsid w:val="003842CA"/>
    <w:rsid w:val="00384577"/>
    <w:rsid w:val="003871E0"/>
    <w:rsid w:val="00391A1A"/>
    <w:rsid w:val="003938A8"/>
    <w:rsid w:val="003958F2"/>
    <w:rsid w:val="00395913"/>
    <w:rsid w:val="00395B3F"/>
    <w:rsid w:val="003978E2"/>
    <w:rsid w:val="003A12B4"/>
    <w:rsid w:val="003A12D3"/>
    <w:rsid w:val="003A14BF"/>
    <w:rsid w:val="003A17B6"/>
    <w:rsid w:val="003A26BB"/>
    <w:rsid w:val="003A4F0E"/>
    <w:rsid w:val="003A5401"/>
    <w:rsid w:val="003A613E"/>
    <w:rsid w:val="003A67CA"/>
    <w:rsid w:val="003A77CE"/>
    <w:rsid w:val="003A7B44"/>
    <w:rsid w:val="003B17E0"/>
    <w:rsid w:val="003B1C81"/>
    <w:rsid w:val="003B3305"/>
    <w:rsid w:val="003B4709"/>
    <w:rsid w:val="003B479E"/>
    <w:rsid w:val="003B48DE"/>
    <w:rsid w:val="003B584D"/>
    <w:rsid w:val="003B5F9B"/>
    <w:rsid w:val="003C1BD1"/>
    <w:rsid w:val="003C2545"/>
    <w:rsid w:val="003C3A01"/>
    <w:rsid w:val="003C4925"/>
    <w:rsid w:val="003C4B1C"/>
    <w:rsid w:val="003C4EB8"/>
    <w:rsid w:val="003C5364"/>
    <w:rsid w:val="003C5B07"/>
    <w:rsid w:val="003C6500"/>
    <w:rsid w:val="003D1241"/>
    <w:rsid w:val="003D1CDE"/>
    <w:rsid w:val="003D1F19"/>
    <w:rsid w:val="003D3950"/>
    <w:rsid w:val="003D42A9"/>
    <w:rsid w:val="003D45BA"/>
    <w:rsid w:val="003D50B5"/>
    <w:rsid w:val="003D5116"/>
    <w:rsid w:val="003D526C"/>
    <w:rsid w:val="003D612D"/>
    <w:rsid w:val="003D7ACD"/>
    <w:rsid w:val="003E0E9E"/>
    <w:rsid w:val="003E12D2"/>
    <w:rsid w:val="003E2086"/>
    <w:rsid w:val="003E31E9"/>
    <w:rsid w:val="003E46E0"/>
    <w:rsid w:val="003E56B9"/>
    <w:rsid w:val="003E7650"/>
    <w:rsid w:val="003F0DC4"/>
    <w:rsid w:val="003F25B1"/>
    <w:rsid w:val="003F41CE"/>
    <w:rsid w:val="003F50A3"/>
    <w:rsid w:val="003F7577"/>
    <w:rsid w:val="003F7C77"/>
    <w:rsid w:val="0040092F"/>
    <w:rsid w:val="00400C97"/>
    <w:rsid w:val="00401886"/>
    <w:rsid w:val="0040278A"/>
    <w:rsid w:val="00402B4B"/>
    <w:rsid w:val="00405650"/>
    <w:rsid w:val="00405F29"/>
    <w:rsid w:val="0040667B"/>
    <w:rsid w:val="00406C75"/>
    <w:rsid w:val="004120D8"/>
    <w:rsid w:val="004140F3"/>
    <w:rsid w:val="004146A0"/>
    <w:rsid w:val="004165D0"/>
    <w:rsid w:val="00416BC5"/>
    <w:rsid w:val="004175C7"/>
    <w:rsid w:val="004178BC"/>
    <w:rsid w:val="00420429"/>
    <w:rsid w:val="004204DF"/>
    <w:rsid w:val="00420EDE"/>
    <w:rsid w:val="00421781"/>
    <w:rsid w:val="00421889"/>
    <w:rsid w:val="0042194F"/>
    <w:rsid w:val="0042221C"/>
    <w:rsid w:val="00422616"/>
    <w:rsid w:val="00422FCF"/>
    <w:rsid w:val="00423984"/>
    <w:rsid w:val="0042479A"/>
    <w:rsid w:val="004266FB"/>
    <w:rsid w:val="00427CCA"/>
    <w:rsid w:val="004305A3"/>
    <w:rsid w:val="00431548"/>
    <w:rsid w:val="00431736"/>
    <w:rsid w:val="00433945"/>
    <w:rsid w:val="00434782"/>
    <w:rsid w:val="00434893"/>
    <w:rsid w:val="00434B41"/>
    <w:rsid w:val="00434E92"/>
    <w:rsid w:val="00435559"/>
    <w:rsid w:val="00436076"/>
    <w:rsid w:val="004366A5"/>
    <w:rsid w:val="004367C4"/>
    <w:rsid w:val="00436AD3"/>
    <w:rsid w:val="00437087"/>
    <w:rsid w:val="0043754F"/>
    <w:rsid w:val="00437705"/>
    <w:rsid w:val="00437B79"/>
    <w:rsid w:val="00440839"/>
    <w:rsid w:val="00442470"/>
    <w:rsid w:val="00443273"/>
    <w:rsid w:val="0044356D"/>
    <w:rsid w:val="004448D9"/>
    <w:rsid w:val="00444D14"/>
    <w:rsid w:val="004515E2"/>
    <w:rsid w:val="004537F3"/>
    <w:rsid w:val="004568AB"/>
    <w:rsid w:val="00456B5D"/>
    <w:rsid w:val="00457294"/>
    <w:rsid w:val="00457738"/>
    <w:rsid w:val="004606B2"/>
    <w:rsid w:val="00461294"/>
    <w:rsid w:val="00461F22"/>
    <w:rsid w:val="004620E5"/>
    <w:rsid w:val="00462960"/>
    <w:rsid w:val="004634E8"/>
    <w:rsid w:val="00464ECF"/>
    <w:rsid w:val="00465335"/>
    <w:rsid w:val="00467B31"/>
    <w:rsid w:val="00471F28"/>
    <w:rsid w:val="00473625"/>
    <w:rsid w:val="00473CE3"/>
    <w:rsid w:val="00474011"/>
    <w:rsid w:val="0047473E"/>
    <w:rsid w:val="00475123"/>
    <w:rsid w:val="00477888"/>
    <w:rsid w:val="0047799F"/>
    <w:rsid w:val="004804A0"/>
    <w:rsid w:val="004813B4"/>
    <w:rsid w:val="00481603"/>
    <w:rsid w:val="00481A3E"/>
    <w:rsid w:val="0048436A"/>
    <w:rsid w:val="0049071E"/>
    <w:rsid w:val="0049133F"/>
    <w:rsid w:val="0049207E"/>
    <w:rsid w:val="00492E7C"/>
    <w:rsid w:val="00492F4B"/>
    <w:rsid w:val="00492FAB"/>
    <w:rsid w:val="004930D4"/>
    <w:rsid w:val="00493D0A"/>
    <w:rsid w:val="00495397"/>
    <w:rsid w:val="00495469"/>
    <w:rsid w:val="0049724E"/>
    <w:rsid w:val="0049747D"/>
    <w:rsid w:val="004A0A5E"/>
    <w:rsid w:val="004A1131"/>
    <w:rsid w:val="004A17D3"/>
    <w:rsid w:val="004A1C11"/>
    <w:rsid w:val="004A2A24"/>
    <w:rsid w:val="004A67C2"/>
    <w:rsid w:val="004A75B1"/>
    <w:rsid w:val="004B1E7E"/>
    <w:rsid w:val="004B339D"/>
    <w:rsid w:val="004B47AF"/>
    <w:rsid w:val="004B61A9"/>
    <w:rsid w:val="004B6DBD"/>
    <w:rsid w:val="004B6FE7"/>
    <w:rsid w:val="004B7DCA"/>
    <w:rsid w:val="004C1F05"/>
    <w:rsid w:val="004C1F45"/>
    <w:rsid w:val="004C2BC9"/>
    <w:rsid w:val="004C3A6D"/>
    <w:rsid w:val="004C4EFB"/>
    <w:rsid w:val="004C6D93"/>
    <w:rsid w:val="004C7791"/>
    <w:rsid w:val="004D02DC"/>
    <w:rsid w:val="004D0561"/>
    <w:rsid w:val="004D1545"/>
    <w:rsid w:val="004D1FA3"/>
    <w:rsid w:val="004D4D3A"/>
    <w:rsid w:val="004E1383"/>
    <w:rsid w:val="004E1D3A"/>
    <w:rsid w:val="004E1F26"/>
    <w:rsid w:val="004E2288"/>
    <w:rsid w:val="004E2E06"/>
    <w:rsid w:val="004E2F3F"/>
    <w:rsid w:val="004E3B5F"/>
    <w:rsid w:val="004E487A"/>
    <w:rsid w:val="004E519D"/>
    <w:rsid w:val="004E54BA"/>
    <w:rsid w:val="004E60B8"/>
    <w:rsid w:val="004E65EF"/>
    <w:rsid w:val="004F1AB6"/>
    <w:rsid w:val="004F1E3D"/>
    <w:rsid w:val="004F3B3A"/>
    <w:rsid w:val="004F56EF"/>
    <w:rsid w:val="004F6498"/>
    <w:rsid w:val="004F7922"/>
    <w:rsid w:val="00501646"/>
    <w:rsid w:val="005024B9"/>
    <w:rsid w:val="00503C20"/>
    <w:rsid w:val="00503DB2"/>
    <w:rsid w:val="005061BD"/>
    <w:rsid w:val="00506E22"/>
    <w:rsid w:val="00510932"/>
    <w:rsid w:val="00510DE9"/>
    <w:rsid w:val="0051244B"/>
    <w:rsid w:val="005127BE"/>
    <w:rsid w:val="00513083"/>
    <w:rsid w:val="005133FC"/>
    <w:rsid w:val="00516C0D"/>
    <w:rsid w:val="00521F2A"/>
    <w:rsid w:val="005229FA"/>
    <w:rsid w:val="00523A97"/>
    <w:rsid w:val="005241A0"/>
    <w:rsid w:val="00525E87"/>
    <w:rsid w:val="00526325"/>
    <w:rsid w:val="005324F1"/>
    <w:rsid w:val="00533EA6"/>
    <w:rsid w:val="00535857"/>
    <w:rsid w:val="00536283"/>
    <w:rsid w:val="005363FB"/>
    <w:rsid w:val="005403DF"/>
    <w:rsid w:val="00540509"/>
    <w:rsid w:val="00540D4F"/>
    <w:rsid w:val="00541D12"/>
    <w:rsid w:val="00542530"/>
    <w:rsid w:val="0054262F"/>
    <w:rsid w:val="00542F3D"/>
    <w:rsid w:val="0054441E"/>
    <w:rsid w:val="005461B3"/>
    <w:rsid w:val="005477A5"/>
    <w:rsid w:val="00552170"/>
    <w:rsid w:val="00552212"/>
    <w:rsid w:val="00552F2E"/>
    <w:rsid w:val="005532DC"/>
    <w:rsid w:val="00553D9A"/>
    <w:rsid w:val="005546C8"/>
    <w:rsid w:val="00554A54"/>
    <w:rsid w:val="00554D8E"/>
    <w:rsid w:val="00554F38"/>
    <w:rsid w:val="00554F83"/>
    <w:rsid w:val="00555AC3"/>
    <w:rsid w:val="0055665E"/>
    <w:rsid w:val="0055775B"/>
    <w:rsid w:val="005577F5"/>
    <w:rsid w:val="0056125B"/>
    <w:rsid w:val="00562045"/>
    <w:rsid w:val="0056388F"/>
    <w:rsid w:val="00565DE0"/>
    <w:rsid w:val="005671D6"/>
    <w:rsid w:val="0056784B"/>
    <w:rsid w:val="005702E7"/>
    <w:rsid w:val="005710FE"/>
    <w:rsid w:val="00571768"/>
    <w:rsid w:val="0057196E"/>
    <w:rsid w:val="00573FD9"/>
    <w:rsid w:val="0057641C"/>
    <w:rsid w:val="005767D8"/>
    <w:rsid w:val="00577DB7"/>
    <w:rsid w:val="00580E28"/>
    <w:rsid w:val="00581D5C"/>
    <w:rsid w:val="0058413D"/>
    <w:rsid w:val="005848FC"/>
    <w:rsid w:val="00585667"/>
    <w:rsid w:val="00590ACA"/>
    <w:rsid w:val="00591D5E"/>
    <w:rsid w:val="005929FA"/>
    <w:rsid w:val="005959CE"/>
    <w:rsid w:val="00595B9B"/>
    <w:rsid w:val="005969B2"/>
    <w:rsid w:val="005A08E3"/>
    <w:rsid w:val="005A54DC"/>
    <w:rsid w:val="005A61B4"/>
    <w:rsid w:val="005B11A7"/>
    <w:rsid w:val="005B1BAA"/>
    <w:rsid w:val="005B240A"/>
    <w:rsid w:val="005B3112"/>
    <w:rsid w:val="005B350C"/>
    <w:rsid w:val="005B3923"/>
    <w:rsid w:val="005B4AD6"/>
    <w:rsid w:val="005B4C88"/>
    <w:rsid w:val="005B4F87"/>
    <w:rsid w:val="005B5B6C"/>
    <w:rsid w:val="005C16F1"/>
    <w:rsid w:val="005C2108"/>
    <w:rsid w:val="005C211B"/>
    <w:rsid w:val="005C501E"/>
    <w:rsid w:val="005C5D55"/>
    <w:rsid w:val="005C64A9"/>
    <w:rsid w:val="005C6EAC"/>
    <w:rsid w:val="005C7671"/>
    <w:rsid w:val="005D073A"/>
    <w:rsid w:val="005D4E20"/>
    <w:rsid w:val="005D773E"/>
    <w:rsid w:val="005D7E85"/>
    <w:rsid w:val="005E0698"/>
    <w:rsid w:val="005E10D0"/>
    <w:rsid w:val="005E142B"/>
    <w:rsid w:val="005E1ACD"/>
    <w:rsid w:val="005E204F"/>
    <w:rsid w:val="005E270E"/>
    <w:rsid w:val="005E2923"/>
    <w:rsid w:val="005E3922"/>
    <w:rsid w:val="005E3FBE"/>
    <w:rsid w:val="005E3FF5"/>
    <w:rsid w:val="005E577C"/>
    <w:rsid w:val="005E609C"/>
    <w:rsid w:val="005E61F0"/>
    <w:rsid w:val="005E763B"/>
    <w:rsid w:val="005E7D93"/>
    <w:rsid w:val="005F06CA"/>
    <w:rsid w:val="005F3367"/>
    <w:rsid w:val="005F3F1C"/>
    <w:rsid w:val="005F4A1C"/>
    <w:rsid w:val="005F6F63"/>
    <w:rsid w:val="0060435A"/>
    <w:rsid w:val="00604C7A"/>
    <w:rsid w:val="00605896"/>
    <w:rsid w:val="00606EA1"/>
    <w:rsid w:val="00610F64"/>
    <w:rsid w:val="0061141D"/>
    <w:rsid w:val="0061343E"/>
    <w:rsid w:val="00613529"/>
    <w:rsid w:val="006138FC"/>
    <w:rsid w:val="006162C3"/>
    <w:rsid w:val="006170D8"/>
    <w:rsid w:val="00617DD8"/>
    <w:rsid w:val="006207A9"/>
    <w:rsid w:val="00620A66"/>
    <w:rsid w:val="00620B6B"/>
    <w:rsid w:val="0062107C"/>
    <w:rsid w:val="00621EF8"/>
    <w:rsid w:val="00622702"/>
    <w:rsid w:val="00623F2D"/>
    <w:rsid w:val="0062649C"/>
    <w:rsid w:val="00626F3C"/>
    <w:rsid w:val="0062721E"/>
    <w:rsid w:val="006274F1"/>
    <w:rsid w:val="006301DF"/>
    <w:rsid w:val="00630C97"/>
    <w:rsid w:val="0063217D"/>
    <w:rsid w:val="00633307"/>
    <w:rsid w:val="00633952"/>
    <w:rsid w:val="00634283"/>
    <w:rsid w:val="006375F3"/>
    <w:rsid w:val="00637F87"/>
    <w:rsid w:val="00641549"/>
    <w:rsid w:val="006430C9"/>
    <w:rsid w:val="0064473F"/>
    <w:rsid w:val="006449EA"/>
    <w:rsid w:val="00646D0C"/>
    <w:rsid w:val="0064798F"/>
    <w:rsid w:val="00650EC0"/>
    <w:rsid w:val="0065430D"/>
    <w:rsid w:val="006570EC"/>
    <w:rsid w:val="00662033"/>
    <w:rsid w:val="006621C6"/>
    <w:rsid w:val="006628A2"/>
    <w:rsid w:val="006632FC"/>
    <w:rsid w:val="00670327"/>
    <w:rsid w:val="00670973"/>
    <w:rsid w:val="00672E84"/>
    <w:rsid w:val="0067505A"/>
    <w:rsid w:val="00675164"/>
    <w:rsid w:val="0067516D"/>
    <w:rsid w:val="006751F8"/>
    <w:rsid w:val="006761CD"/>
    <w:rsid w:val="00677871"/>
    <w:rsid w:val="00681025"/>
    <w:rsid w:val="00681563"/>
    <w:rsid w:val="00682E9A"/>
    <w:rsid w:val="00684A80"/>
    <w:rsid w:val="00685E37"/>
    <w:rsid w:val="006871C9"/>
    <w:rsid w:val="00690759"/>
    <w:rsid w:val="006913CC"/>
    <w:rsid w:val="006922A1"/>
    <w:rsid w:val="00692891"/>
    <w:rsid w:val="00694026"/>
    <w:rsid w:val="00695705"/>
    <w:rsid w:val="006958D8"/>
    <w:rsid w:val="006A0366"/>
    <w:rsid w:val="006A07E3"/>
    <w:rsid w:val="006A0A5B"/>
    <w:rsid w:val="006A0BDE"/>
    <w:rsid w:val="006A2116"/>
    <w:rsid w:val="006A3547"/>
    <w:rsid w:val="006A45C5"/>
    <w:rsid w:val="006A5721"/>
    <w:rsid w:val="006A634D"/>
    <w:rsid w:val="006A6877"/>
    <w:rsid w:val="006A77D7"/>
    <w:rsid w:val="006A7EB8"/>
    <w:rsid w:val="006B12DE"/>
    <w:rsid w:val="006B2B63"/>
    <w:rsid w:val="006B3483"/>
    <w:rsid w:val="006B3DB1"/>
    <w:rsid w:val="006B4245"/>
    <w:rsid w:val="006B52DD"/>
    <w:rsid w:val="006B64F1"/>
    <w:rsid w:val="006B6A0D"/>
    <w:rsid w:val="006B75F3"/>
    <w:rsid w:val="006B765C"/>
    <w:rsid w:val="006C378B"/>
    <w:rsid w:val="006C3C6C"/>
    <w:rsid w:val="006C438D"/>
    <w:rsid w:val="006C5000"/>
    <w:rsid w:val="006C7685"/>
    <w:rsid w:val="006D0843"/>
    <w:rsid w:val="006D16EA"/>
    <w:rsid w:val="006D17BF"/>
    <w:rsid w:val="006D29D3"/>
    <w:rsid w:val="006D3A11"/>
    <w:rsid w:val="006D5F91"/>
    <w:rsid w:val="006D7E90"/>
    <w:rsid w:val="006E1778"/>
    <w:rsid w:val="006E321D"/>
    <w:rsid w:val="006E5355"/>
    <w:rsid w:val="006E60A7"/>
    <w:rsid w:val="006E6775"/>
    <w:rsid w:val="006E6B9D"/>
    <w:rsid w:val="006E6E47"/>
    <w:rsid w:val="006E7079"/>
    <w:rsid w:val="006E71B6"/>
    <w:rsid w:val="006E755D"/>
    <w:rsid w:val="006E75D4"/>
    <w:rsid w:val="006F13A1"/>
    <w:rsid w:val="006F26F0"/>
    <w:rsid w:val="006F3435"/>
    <w:rsid w:val="006F4349"/>
    <w:rsid w:val="006F561B"/>
    <w:rsid w:val="006F5C96"/>
    <w:rsid w:val="006F5F69"/>
    <w:rsid w:val="006F68D0"/>
    <w:rsid w:val="006F7147"/>
    <w:rsid w:val="006F7A15"/>
    <w:rsid w:val="00700D5B"/>
    <w:rsid w:val="00701EF3"/>
    <w:rsid w:val="007020BC"/>
    <w:rsid w:val="0070233B"/>
    <w:rsid w:val="007025B2"/>
    <w:rsid w:val="0070406C"/>
    <w:rsid w:val="00705463"/>
    <w:rsid w:val="00706025"/>
    <w:rsid w:val="007078B0"/>
    <w:rsid w:val="00707D54"/>
    <w:rsid w:val="00710840"/>
    <w:rsid w:val="00710E6A"/>
    <w:rsid w:val="007111B2"/>
    <w:rsid w:val="00712F2B"/>
    <w:rsid w:val="007142A8"/>
    <w:rsid w:val="00715875"/>
    <w:rsid w:val="00717BFD"/>
    <w:rsid w:val="00720CC3"/>
    <w:rsid w:val="0072153E"/>
    <w:rsid w:val="00721863"/>
    <w:rsid w:val="00721FC6"/>
    <w:rsid w:val="007248EC"/>
    <w:rsid w:val="00724C9F"/>
    <w:rsid w:val="00727175"/>
    <w:rsid w:val="00730088"/>
    <w:rsid w:val="0073027E"/>
    <w:rsid w:val="007306DA"/>
    <w:rsid w:val="0073239F"/>
    <w:rsid w:val="0073490F"/>
    <w:rsid w:val="007351E0"/>
    <w:rsid w:val="007357B4"/>
    <w:rsid w:val="007360F5"/>
    <w:rsid w:val="007376A2"/>
    <w:rsid w:val="00737F63"/>
    <w:rsid w:val="0074267B"/>
    <w:rsid w:val="007445BF"/>
    <w:rsid w:val="0074530A"/>
    <w:rsid w:val="0074674A"/>
    <w:rsid w:val="0075106F"/>
    <w:rsid w:val="0075361D"/>
    <w:rsid w:val="007539EA"/>
    <w:rsid w:val="00754243"/>
    <w:rsid w:val="00755183"/>
    <w:rsid w:val="00755EAF"/>
    <w:rsid w:val="007564C2"/>
    <w:rsid w:val="0075701E"/>
    <w:rsid w:val="00760A04"/>
    <w:rsid w:val="007622F0"/>
    <w:rsid w:val="00762658"/>
    <w:rsid w:val="00762A98"/>
    <w:rsid w:val="007631F3"/>
    <w:rsid w:val="00764342"/>
    <w:rsid w:val="007654F7"/>
    <w:rsid w:val="00765797"/>
    <w:rsid w:val="00765CE3"/>
    <w:rsid w:val="007668A3"/>
    <w:rsid w:val="00767EEC"/>
    <w:rsid w:val="0077004D"/>
    <w:rsid w:val="0077017E"/>
    <w:rsid w:val="007705F2"/>
    <w:rsid w:val="007706F6"/>
    <w:rsid w:val="007728E9"/>
    <w:rsid w:val="0077300F"/>
    <w:rsid w:val="0077369B"/>
    <w:rsid w:val="00773B53"/>
    <w:rsid w:val="00773BA0"/>
    <w:rsid w:val="007743C6"/>
    <w:rsid w:val="00774677"/>
    <w:rsid w:val="0077524F"/>
    <w:rsid w:val="00775513"/>
    <w:rsid w:val="00775D74"/>
    <w:rsid w:val="007762ED"/>
    <w:rsid w:val="00776588"/>
    <w:rsid w:val="00777577"/>
    <w:rsid w:val="007775FD"/>
    <w:rsid w:val="007779C6"/>
    <w:rsid w:val="00780979"/>
    <w:rsid w:val="00783AA3"/>
    <w:rsid w:val="00784A8E"/>
    <w:rsid w:val="007861F3"/>
    <w:rsid w:val="0078712A"/>
    <w:rsid w:val="0079015E"/>
    <w:rsid w:val="00790EC3"/>
    <w:rsid w:val="00791189"/>
    <w:rsid w:val="007912B7"/>
    <w:rsid w:val="00791777"/>
    <w:rsid w:val="00791778"/>
    <w:rsid w:val="00791FFA"/>
    <w:rsid w:val="007920F0"/>
    <w:rsid w:val="0079255D"/>
    <w:rsid w:val="00794560"/>
    <w:rsid w:val="007946B8"/>
    <w:rsid w:val="00794867"/>
    <w:rsid w:val="007964DE"/>
    <w:rsid w:val="00796CAB"/>
    <w:rsid w:val="007A3631"/>
    <w:rsid w:val="007A3CA9"/>
    <w:rsid w:val="007A507A"/>
    <w:rsid w:val="007A5464"/>
    <w:rsid w:val="007B12EE"/>
    <w:rsid w:val="007B3AA4"/>
    <w:rsid w:val="007B49F3"/>
    <w:rsid w:val="007B6107"/>
    <w:rsid w:val="007B7805"/>
    <w:rsid w:val="007B794B"/>
    <w:rsid w:val="007B7B22"/>
    <w:rsid w:val="007C01FF"/>
    <w:rsid w:val="007C0B56"/>
    <w:rsid w:val="007C3AE1"/>
    <w:rsid w:val="007C406A"/>
    <w:rsid w:val="007C44C8"/>
    <w:rsid w:val="007C504F"/>
    <w:rsid w:val="007C52EB"/>
    <w:rsid w:val="007C5701"/>
    <w:rsid w:val="007C6C1D"/>
    <w:rsid w:val="007C7CE8"/>
    <w:rsid w:val="007D0855"/>
    <w:rsid w:val="007D1127"/>
    <w:rsid w:val="007D1970"/>
    <w:rsid w:val="007D20A4"/>
    <w:rsid w:val="007D2CDC"/>
    <w:rsid w:val="007D391F"/>
    <w:rsid w:val="007D4D54"/>
    <w:rsid w:val="007D54F4"/>
    <w:rsid w:val="007D769E"/>
    <w:rsid w:val="007E16F9"/>
    <w:rsid w:val="007E29A1"/>
    <w:rsid w:val="007E391B"/>
    <w:rsid w:val="007E4118"/>
    <w:rsid w:val="007E4AD2"/>
    <w:rsid w:val="007E4D1D"/>
    <w:rsid w:val="007E5E0A"/>
    <w:rsid w:val="007E5FA6"/>
    <w:rsid w:val="007E6B02"/>
    <w:rsid w:val="007E732F"/>
    <w:rsid w:val="007F0709"/>
    <w:rsid w:val="007F44FD"/>
    <w:rsid w:val="007F4D19"/>
    <w:rsid w:val="007F5DB4"/>
    <w:rsid w:val="007F5F9D"/>
    <w:rsid w:val="00800A45"/>
    <w:rsid w:val="008015C2"/>
    <w:rsid w:val="0080267C"/>
    <w:rsid w:val="00802877"/>
    <w:rsid w:val="00802D7E"/>
    <w:rsid w:val="00802D8A"/>
    <w:rsid w:val="0080381E"/>
    <w:rsid w:val="00804D79"/>
    <w:rsid w:val="0080545C"/>
    <w:rsid w:val="00805BCC"/>
    <w:rsid w:val="00805DE5"/>
    <w:rsid w:val="0081051C"/>
    <w:rsid w:val="00812CAE"/>
    <w:rsid w:val="00813A93"/>
    <w:rsid w:val="00813CC6"/>
    <w:rsid w:val="00815ADD"/>
    <w:rsid w:val="00816105"/>
    <w:rsid w:val="0081653E"/>
    <w:rsid w:val="0081656C"/>
    <w:rsid w:val="00816B8B"/>
    <w:rsid w:val="00817A78"/>
    <w:rsid w:val="00817ABC"/>
    <w:rsid w:val="00817FCF"/>
    <w:rsid w:val="00821971"/>
    <w:rsid w:val="008222D7"/>
    <w:rsid w:val="008238F7"/>
    <w:rsid w:val="008242E3"/>
    <w:rsid w:val="008256B2"/>
    <w:rsid w:val="00827E1D"/>
    <w:rsid w:val="00831045"/>
    <w:rsid w:val="00831C50"/>
    <w:rsid w:val="0083271D"/>
    <w:rsid w:val="00832D70"/>
    <w:rsid w:val="0083672E"/>
    <w:rsid w:val="00836C03"/>
    <w:rsid w:val="0083783B"/>
    <w:rsid w:val="00841B68"/>
    <w:rsid w:val="00841FF8"/>
    <w:rsid w:val="0084248F"/>
    <w:rsid w:val="008430D3"/>
    <w:rsid w:val="00843A6B"/>
    <w:rsid w:val="00843C44"/>
    <w:rsid w:val="00844194"/>
    <w:rsid w:val="00844632"/>
    <w:rsid w:val="00845EEC"/>
    <w:rsid w:val="008465B6"/>
    <w:rsid w:val="00847EEA"/>
    <w:rsid w:val="008519A2"/>
    <w:rsid w:val="00852EAB"/>
    <w:rsid w:val="00852F64"/>
    <w:rsid w:val="00853CEC"/>
    <w:rsid w:val="00854D25"/>
    <w:rsid w:val="00854DC3"/>
    <w:rsid w:val="008559B3"/>
    <w:rsid w:val="008562BA"/>
    <w:rsid w:val="008562BF"/>
    <w:rsid w:val="008565AB"/>
    <w:rsid w:val="00857BB4"/>
    <w:rsid w:val="00860B1D"/>
    <w:rsid w:val="00860D49"/>
    <w:rsid w:val="00861870"/>
    <w:rsid w:val="00862A63"/>
    <w:rsid w:val="00862A6A"/>
    <w:rsid w:val="008632ED"/>
    <w:rsid w:val="00863E9D"/>
    <w:rsid w:val="00864222"/>
    <w:rsid w:val="00870DF0"/>
    <w:rsid w:val="00872BC7"/>
    <w:rsid w:val="00872F02"/>
    <w:rsid w:val="00872F3E"/>
    <w:rsid w:val="00873FA3"/>
    <w:rsid w:val="00874424"/>
    <w:rsid w:val="008749AE"/>
    <w:rsid w:val="008751D9"/>
    <w:rsid w:val="00875215"/>
    <w:rsid w:val="00875BEE"/>
    <w:rsid w:val="0087600C"/>
    <w:rsid w:val="008831DB"/>
    <w:rsid w:val="008837C2"/>
    <w:rsid w:val="008838DB"/>
    <w:rsid w:val="0088506E"/>
    <w:rsid w:val="00887F13"/>
    <w:rsid w:val="00890CA3"/>
    <w:rsid w:val="00891093"/>
    <w:rsid w:val="00891FAC"/>
    <w:rsid w:val="0089245C"/>
    <w:rsid w:val="0089535E"/>
    <w:rsid w:val="00895AB0"/>
    <w:rsid w:val="0089655F"/>
    <w:rsid w:val="00896572"/>
    <w:rsid w:val="008973A2"/>
    <w:rsid w:val="00897728"/>
    <w:rsid w:val="008A11C8"/>
    <w:rsid w:val="008A217C"/>
    <w:rsid w:val="008A3108"/>
    <w:rsid w:val="008A3E2C"/>
    <w:rsid w:val="008A4641"/>
    <w:rsid w:val="008B0134"/>
    <w:rsid w:val="008B1645"/>
    <w:rsid w:val="008B21F8"/>
    <w:rsid w:val="008B281D"/>
    <w:rsid w:val="008B28DD"/>
    <w:rsid w:val="008B2BE9"/>
    <w:rsid w:val="008B2BEF"/>
    <w:rsid w:val="008B44DE"/>
    <w:rsid w:val="008B507F"/>
    <w:rsid w:val="008B6C93"/>
    <w:rsid w:val="008C0E73"/>
    <w:rsid w:val="008C1248"/>
    <w:rsid w:val="008C381F"/>
    <w:rsid w:val="008C47BC"/>
    <w:rsid w:val="008C4D81"/>
    <w:rsid w:val="008C5466"/>
    <w:rsid w:val="008C56A4"/>
    <w:rsid w:val="008C6156"/>
    <w:rsid w:val="008C6ABB"/>
    <w:rsid w:val="008C75DC"/>
    <w:rsid w:val="008D04DD"/>
    <w:rsid w:val="008D342A"/>
    <w:rsid w:val="008D3F55"/>
    <w:rsid w:val="008D4DB2"/>
    <w:rsid w:val="008D5A98"/>
    <w:rsid w:val="008D657B"/>
    <w:rsid w:val="008D6DEE"/>
    <w:rsid w:val="008D762F"/>
    <w:rsid w:val="008D7A29"/>
    <w:rsid w:val="008E03DB"/>
    <w:rsid w:val="008E0E8C"/>
    <w:rsid w:val="008E1F17"/>
    <w:rsid w:val="008E3104"/>
    <w:rsid w:val="008E40F7"/>
    <w:rsid w:val="008E45BE"/>
    <w:rsid w:val="008E4838"/>
    <w:rsid w:val="008E55EB"/>
    <w:rsid w:val="008E5798"/>
    <w:rsid w:val="008E5B44"/>
    <w:rsid w:val="008F009E"/>
    <w:rsid w:val="008F1715"/>
    <w:rsid w:val="008F239F"/>
    <w:rsid w:val="008F3102"/>
    <w:rsid w:val="008F3451"/>
    <w:rsid w:val="008F4B07"/>
    <w:rsid w:val="008F61D1"/>
    <w:rsid w:val="008F6935"/>
    <w:rsid w:val="008F7022"/>
    <w:rsid w:val="008F73C1"/>
    <w:rsid w:val="009010AA"/>
    <w:rsid w:val="00901362"/>
    <w:rsid w:val="00901BDB"/>
    <w:rsid w:val="00902229"/>
    <w:rsid w:val="0090243E"/>
    <w:rsid w:val="00903397"/>
    <w:rsid w:val="00903563"/>
    <w:rsid w:val="00903C8B"/>
    <w:rsid w:val="00904662"/>
    <w:rsid w:val="00904B29"/>
    <w:rsid w:val="0090759B"/>
    <w:rsid w:val="00907E8C"/>
    <w:rsid w:val="009108FD"/>
    <w:rsid w:val="00910B1B"/>
    <w:rsid w:val="00910C1F"/>
    <w:rsid w:val="00911F84"/>
    <w:rsid w:val="009132CA"/>
    <w:rsid w:val="00913461"/>
    <w:rsid w:val="00913ED7"/>
    <w:rsid w:val="009156A2"/>
    <w:rsid w:val="00915A88"/>
    <w:rsid w:val="00917065"/>
    <w:rsid w:val="00920309"/>
    <w:rsid w:val="0092077E"/>
    <w:rsid w:val="00920EB2"/>
    <w:rsid w:val="00922F2E"/>
    <w:rsid w:val="00925477"/>
    <w:rsid w:val="00925950"/>
    <w:rsid w:val="00926D07"/>
    <w:rsid w:val="0092731E"/>
    <w:rsid w:val="009273A2"/>
    <w:rsid w:val="009277E8"/>
    <w:rsid w:val="00932610"/>
    <w:rsid w:val="0093278E"/>
    <w:rsid w:val="00934FB9"/>
    <w:rsid w:val="009350D9"/>
    <w:rsid w:val="00935F9D"/>
    <w:rsid w:val="00936163"/>
    <w:rsid w:val="00937668"/>
    <w:rsid w:val="00940FC5"/>
    <w:rsid w:val="009414A4"/>
    <w:rsid w:val="00941D1E"/>
    <w:rsid w:val="009437AA"/>
    <w:rsid w:val="009442DB"/>
    <w:rsid w:val="009452F1"/>
    <w:rsid w:val="00945F89"/>
    <w:rsid w:val="00946FD5"/>
    <w:rsid w:val="00947350"/>
    <w:rsid w:val="009479ED"/>
    <w:rsid w:val="00947F46"/>
    <w:rsid w:val="00950071"/>
    <w:rsid w:val="0095027F"/>
    <w:rsid w:val="0095216C"/>
    <w:rsid w:val="00953A8D"/>
    <w:rsid w:val="009543D5"/>
    <w:rsid w:val="00954E62"/>
    <w:rsid w:val="0095520F"/>
    <w:rsid w:val="00955B35"/>
    <w:rsid w:val="0095743B"/>
    <w:rsid w:val="00957AED"/>
    <w:rsid w:val="00960463"/>
    <w:rsid w:val="00960D77"/>
    <w:rsid w:val="00960E8F"/>
    <w:rsid w:val="009636AA"/>
    <w:rsid w:val="009639BF"/>
    <w:rsid w:val="00964A1C"/>
    <w:rsid w:val="00965687"/>
    <w:rsid w:val="0096595E"/>
    <w:rsid w:val="00966427"/>
    <w:rsid w:val="009673E1"/>
    <w:rsid w:val="00970557"/>
    <w:rsid w:val="00970937"/>
    <w:rsid w:val="00970E17"/>
    <w:rsid w:val="00971040"/>
    <w:rsid w:val="00974210"/>
    <w:rsid w:val="00975B4B"/>
    <w:rsid w:val="00982E54"/>
    <w:rsid w:val="00985034"/>
    <w:rsid w:val="00985508"/>
    <w:rsid w:val="0098599F"/>
    <w:rsid w:val="00985FDF"/>
    <w:rsid w:val="00986F64"/>
    <w:rsid w:val="009877E0"/>
    <w:rsid w:val="00990290"/>
    <w:rsid w:val="0099130A"/>
    <w:rsid w:val="0099186A"/>
    <w:rsid w:val="00991FD7"/>
    <w:rsid w:val="00992C72"/>
    <w:rsid w:val="009A1352"/>
    <w:rsid w:val="009A20DC"/>
    <w:rsid w:val="009A35E1"/>
    <w:rsid w:val="009A423D"/>
    <w:rsid w:val="009A5F5C"/>
    <w:rsid w:val="009A6677"/>
    <w:rsid w:val="009A6D14"/>
    <w:rsid w:val="009B1CFA"/>
    <w:rsid w:val="009B1D1D"/>
    <w:rsid w:val="009B211D"/>
    <w:rsid w:val="009B2BB2"/>
    <w:rsid w:val="009B4279"/>
    <w:rsid w:val="009B4D2E"/>
    <w:rsid w:val="009B51C9"/>
    <w:rsid w:val="009B57A2"/>
    <w:rsid w:val="009B5C14"/>
    <w:rsid w:val="009B6B4D"/>
    <w:rsid w:val="009B7FCB"/>
    <w:rsid w:val="009C47BA"/>
    <w:rsid w:val="009C5706"/>
    <w:rsid w:val="009C5C5D"/>
    <w:rsid w:val="009C67D4"/>
    <w:rsid w:val="009C68A9"/>
    <w:rsid w:val="009C6985"/>
    <w:rsid w:val="009C6AC5"/>
    <w:rsid w:val="009C70B4"/>
    <w:rsid w:val="009D2229"/>
    <w:rsid w:val="009D5200"/>
    <w:rsid w:val="009D6238"/>
    <w:rsid w:val="009D646F"/>
    <w:rsid w:val="009D6677"/>
    <w:rsid w:val="009E0425"/>
    <w:rsid w:val="009E0F17"/>
    <w:rsid w:val="009E0FD3"/>
    <w:rsid w:val="009E13E6"/>
    <w:rsid w:val="009E16EF"/>
    <w:rsid w:val="009E1721"/>
    <w:rsid w:val="009E461F"/>
    <w:rsid w:val="009E7ED3"/>
    <w:rsid w:val="009F10E3"/>
    <w:rsid w:val="009F2552"/>
    <w:rsid w:val="009F2E90"/>
    <w:rsid w:val="009F37B0"/>
    <w:rsid w:val="009F543A"/>
    <w:rsid w:val="009F5DF3"/>
    <w:rsid w:val="009F67F5"/>
    <w:rsid w:val="009F7E35"/>
    <w:rsid w:val="00A00E86"/>
    <w:rsid w:val="00A00F1C"/>
    <w:rsid w:val="00A01C1F"/>
    <w:rsid w:val="00A038A2"/>
    <w:rsid w:val="00A0410A"/>
    <w:rsid w:val="00A05EE8"/>
    <w:rsid w:val="00A0640B"/>
    <w:rsid w:val="00A06522"/>
    <w:rsid w:val="00A07B0A"/>
    <w:rsid w:val="00A10A66"/>
    <w:rsid w:val="00A11BCC"/>
    <w:rsid w:val="00A12B61"/>
    <w:rsid w:val="00A15B0A"/>
    <w:rsid w:val="00A17087"/>
    <w:rsid w:val="00A1712D"/>
    <w:rsid w:val="00A17B8C"/>
    <w:rsid w:val="00A22516"/>
    <w:rsid w:val="00A226D6"/>
    <w:rsid w:val="00A22D80"/>
    <w:rsid w:val="00A238FC"/>
    <w:rsid w:val="00A2606F"/>
    <w:rsid w:val="00A27358"/>
    <w:rsid w:val="00A27EF2"/>
    <w:rsid w:val="00A27FC2"/>
    <w:rsid w:val="00A30497"/>
    <w:rsid w:val="00A310A7"/>
    <w:rsid w:val="00A3585E"/>
    <w:rsid w:val="00A37AF9"/>
    <w:rsid w:val="00A407E1"/>
    <w:rsid w:val="00A40E3C"/>
    <w:rsid w:val="00A42067"/>
    <w:rsid w:val="00A441CB"/>
    <w:rsid w:val="00A45BFD"/>
    <w:rsid w:val="00A46EDF"/>
    <w:rsid w:val="00A47B27"/>
    <w:rsid w:val="00A47B34"/>
    <w:rsid w:val="00A47EE0"/>
    <w:rsid w:val="00A50F0C"/>
    <w:rsid w:val="00A511DE"/>
    <w:rsid w:val="00A5131F"/>
    <w:rsid w:val="00A51456"/>
    <w:rsid w:val="00A526B6"/>
    <w:rsid w:val="00A52CC8"/>
    <w:rsid w:val="00A5393E"/>
    <w:rsid w:val="00A54149"/>
    <w:rsid w:val="00A54985"/>
    <w:rsid w:val="00A5499F"/>
    <w:rsid w:val="00A54F61"/>
    <w:rsid w:val="00A551AE"/>
    <w:rsid w:val="00A57161"/>
    <w:rsid w:val="00A6023A"/>
    <w:rsid w:val="00A607EC"/>
    <w:rsid w:val="00A60A87"/>
    <w:rsid w:val="00A62A67"/>
    <w:rsid w:val="00A64226"/>
    <w:rsid w:val="00A652C4"/>
    <w:rsid w:val="00A66521"/>
    <w:rsid w:val="00A67D03"/>
    <w:rsid w:val="00A723EA"/>
    <w:rsid w:val="00A7469D"/>
    <w:rsid w:val="00A760F2"/>
    <w:rsid w:val="00A77175"/>
    <w:rsid w:val="00A77334"/>
    <w:rsid w:val="00A779B4"/>
    <w:rsid w:val="00A8176E"/>
    <w:rsid w:val="00A82859"/>
    <w:rsid w:val="00A8293E"/>
    <w:rsid w:val="00A82D18"/>
    <w:rsid w:val="00A84AA7"/>
    <w:rsid w:val="00A862AC"/>
    <w:rsid w:val="00A90E41"/>
    <w:rsid w:val="00A9162D"/>
    <w:rsid w:val="00A9261B"/>
    <w:rsid w:val="00A92D86"/>
    <w:rsid w:val="00A93AC0"/>
    <w:rsid w:val="00A93B48"/>
    <w:rsid w:val="00A94532"/>
    <w:rsid w:val="00A94540"/>
    <w:rsid w:val="00A94F37"/>
    <w:rsid w:val="00A96D98"/>
    <w:rsid w:val="00A96F55"/>
    <w:rsid w:val="00AA0325"/>
    <w:rsid w:val="00AA38EF"/>
    <w:rsid w:val="00AA4AB5"/>
    <w:rsid w:val="00AA4B01"/>
    <w:rsid w:val="00AA4C13"/>
    <w:rsid w:val="00AB0E75"/>
    <w:rsid w:val="00AB100E"/>
    <w:rsid w:val="00AB20D6"/>
    <w:rsid w:val="00AB41E0"/>
    <w:rsid w:val="00AB5D8C"/>
    <w:rsid w:val="00AB7356"/>
    <w:rsid w:val="00AC04E1"/>
    <w:rsid w:val="00AC2AFF"/>
    <w:rsid w:val="00AC3188"/>
    <w:rsid w:val="00AC5195"/>
    <w:rsid w:val="00AC5203"/>
    <w:rsid w:val="00AC53BA"/>
    <w:rsid w:val="00AC72E4"/>
    <w:rsid w:val="00AC7B9C"/>
    <w:rsid w:val="00AC7E8B"/>
    <w:rsid w:val="00AD3239"/>
    <w:rsid w:val="00AD38E9"/>
    <w:rsid w:val="00AD3E76"/>
    <w:rsid w:val="00AD4777"/>
    <w:rsid w:val="00AD6649"/>
    <w:rsid w:val="00AD68DF"/>
    <w:rsid w:val="00AD74AD"/>
    <w:rsid w:val="00AD7DC0"/>
    <w:rsid w:val="00AE39CB"/>
    <w:rsid w:val="00AE3E0E"/>
    <w:rsid w:val="00AE48D4"/>
    <w:rsid w:val="00AE5240"/>
    <w:rsid w:val="00AE527F"/>
    <w:rsid w:val="00AE64CE"/>
    <w:rsid w:val="00AE6B26"/>
    <w:rsid w:val="00AE7552"/>
    <w:rsid w:val="00AF082E"/>
    <w:rsid w:val="00AF09FF"/>
    <w:rsid w:val="00AF0E1C"/>
    <w:rsid w:val="00AF3EEF"/>
    <w:rsid w:val="00AF4F78"/>
    <w:rsid w:val="00AF5F80"/>
    <w:rsid w:val="00AF665B"/>
    <w:rsid w:val="00B004F5"/>
    <w:rsid w:val="00B00C92"/>
    <w:rsid w:val="00B010ED"/>
    <w:rsid w:val="00B02B23"/>
    <w:rsid w:val="00B02B35"/>
    <w:rsid w:val="00B06E53"/>
    <w:rsid w:val="00B074CB"/>
    <w:rsid w:val="00B127F7"/>
    <w:rsid w:val="00B129B0"/>
    <w:rsid w:val="00B135FE"/>
    <w:rsid w:val="00B15C2F"/>
    <w:rsid w:val="00B160DC"/>
    <w:rsid w:val="00B171C6"/>
    <w:rsid w:val="00B17258"/>
    <w:rsid w:val="00B1734B"/>
    <w:rsid w:val="00B20240"/>
    <w:rsid w:val="00B222FB"/>
    <w:rsid w:val="00B231EE"/>
    <w:rsid w:val="00B2422D"/>
    <w:rsid w:val="00B24957"/>
    <w:rsid w:val="00B25E17"/>
    <w:rsid w:val="00B2617B"/>
    <w:rsid w:val="00B26975"/>
    <w:rsid w:val="00B30207"/>
    <w:rsid w:val="00B30358"/>
    <w:rsid w:val="00B3073E"/>
    <w:rsid w:val="00B31D6D"/>
    <w:rsid w:val="00B32E50"/>
    <w:rsid w:val="00B3421E"/>
    <w:rsid w:val="00B35832"/>
    <w:rsid w:val="00B366B0"/>
    <w:rsid w:val="00B37CDA"/>
    <w:rsid w:val="00B409A7"/>
    <w:rsid w:val="00B409B9"/>
    <w:rsid w:val="00B41A51"/>
    <w:rsid w:val="00B420DC"/>
    <w:rsid w:val="00B426B7"/>
    <w:rsid w:val="00B426C6"/>
    <w:rsid w:val="00B42B04"/>
    <w:rsid w:val="00B43276"/>
    <w:rsid w:val="00B436A3"/>
    <w:rsid w:val="00B43714"/>
    <w:rsid w:val="00B44640"/>
    <w:rsid w:val="00B44A5E"/>
    <w:rsid w:val="00B4503E"/>
    <w:rsid w:val="00B46B40"/>
    <w:rsid w:val="00B47D00"/>
    <w:rsid w:val="00B50F68"/>
    <w:rsid w:val="00B5183E"/>
    <w:rsid w:val="00B51AF6"/>
    <w:rsid w:val="00B52BD2"/>
    <w:rsid w:val="00B53507"/>
    <w:rsid w:val="00B53BF7"/>
    <w:rsid w:val="00B5417D"/>
    <w:rsid w:val="00B607CC"/>
    <w:rsid w:val="00B609F4"/>
    <w:rsid w:val="00B61D40"/>
    <w:rsid w:val="00B6313F"/>
    <w:rsid w:val="00B631BA"/>
    <w:rsid w:val="00B639C3"/>
    <w:rsid w:val="00B64574"/>
    <w:rsid w:val="00B6492A"/>
    <w:rsid w:val="00B64DFA"/>
    <w:rsid w:val="00B664DB"/>
    <w:rsid w:val="00B67A26"/>
    <w:rsid w:val="00B705A1"/>
    <w:rsid w:val="00B71562"/>
    <w:rsid w:val="00B72912"/>
    <w:rsid w:val="00B72BCF"/>
    <w:rsid w:val="00B72F68"/>
    <w:rsid w:val="00B74C39"/>
    <w:rsid w:val="00B74FAC"/>
    <w:rsid w:val="00B752A2"/>
    <w:rsid w:val="00B76A2A"/>
    <w:rsid w:val="00B77CA0"/>
    <w:rsid w:val="00B80247"/>
    <w:rsid w:val="00B80440"/>
    <w:rsid w:val="00B84598"/>
    <w:rsid w:val="00B84AB4"/>
    <w:rsid w:val="00B8516E"/>
    <w:rsid w:val="00B8697D"/>
    <w:rsid w:val="00B873CF"/>
    <w:rsid w:val="00B90461"/>
    <w:rsid w:val="00B9091D"/>
    <w:rsid w:val="00B91EA1"/>
    <w:rsid w:val="00B921B9"/>
    <w:rsid w:val="00B92424"/>
    <w:rsid w:val="00B9357B"/>
    <w:rsid w:val="00B941D0"/>
    <w:rsid w:val="00B9480D"/>
    <w:rsid w:val="00B94AE2"/>
    <w:rsid w:val="00B95882"/>
    <w:rsid w:val="00B96E57"/>
    <w:rsid w:val="00BA04F2"/>
    <w:rsid w:val="00BA0B2D"/>
    <w:rsid w:val="00BA1A17"/>
    <w:rsid w:val="00BA4238"/>
    <w:rsid w:val="00BA4990"/>
    <w:rsid w:val="00BA4EEC"/>
    <w:rsid w:val="00BA73BA"/>
    <w:rsid w:val="00BA73F1"/>
    <w:rsid w:val="00BB0F17"/>
    <w:rsid w:val="00BB1CD8"/>
    <w:rsid w:val="00BB252B"/>
    <w:rsid w:val="00BB3A1F"/>
    <w:rsid w:val="00BB3FA7"/>
    <w:rsid w:val="00BB440B"/>
    <w:rsid w:val="00BB48B1"/>
    <w:rsid w:val="00BB6235"/>
    <w:rsid w:val="00BB7236"/>
    <w:rsid w:val="00BB72F1"/>
    <w:rsid w:val="00BC0049"/>
    <w:rsid w:val="00BC03F0"/>
    <w:rsid w:val="00BC1348"/>
    <w:rsid w:val="00BC192E"/>
    <w:rsid w:val="00BC3193"/>
    <w:rsid w:val="00BD0C45"/>
    <w:rsid w:val="00BD0F26"/>
    <w:rsid w:val="00BD0FA0"/>
    <w:rsid w:val="00BD2B32"/>
    <w:rsid w:val="00BD34E6"/>
    <w:rsid w:val="00BD4BFA"/>
    <w:rsid w:val="00BD5073"/>
    <w:rsid w:val="00BD661B"/>
    <w:rsid w:val="00BE0622"/>
    <w:rsid w:val="00BE0912"/>
    <w:rsid w:val="00BE1DA3"/>
    <w:rsid w:val="00BE2CF9"/>
    <w:rsid w:val="00BE3CDA"/>
    <w:rsid w:val="00BE4758"/>
    <w:rsid w:val="00BE6C3D"/>
    <w:rsid w:val="00BE79C3"/>
    <w:rsid w:val="00BE7D54"/>
    <w:rsid w:val="00BF1D8C"/>
    <w:rsid w:val="00BF2747"/>
    <w:rsid w:val="00BF3C42"/>
    <w:rsid w:val="00BF46D5"/>
    <w:rsid w:val="00BF4A6C"/>
    <w:rsid w:val="00BF501C"/>
    <w:rsid w:val="00BF52D6"/>
    <w:rsid w:val="00BF546B"/>
    <w:rsid w:val="00BF5558"/>
    <w:rsid w:val="00BF65BA"/>
    <w:rsid w:val="00BF72D4"/>
    <w:rsid w:val="00C048E0"/>
    <w:rsid w:val="00C05F31"/>
    <w:rsid w:val="00C060CF"/>
    <w:rsid w:val="00C07434"/>
    <w:rsid w:val="00C11062"/>
    <w:rsid w:val="00C11FDF"/>
    <w:rsid w:val="00C123D3"/>
    <w:rsid w:val="00C13912"/>
    <w:rsid w:val="00C13CD6"/>
    <w:rsid w:val="00C14961"/>
    <w:rsid w:val="00C14D57"/>
    <w:rsid w:val="00C15659"/>
    <w:rsid w:val="00C15FEA"/>
    <w:rsid w:val="00C1664D"/>
    <w:rsid w:val="00C16AD1"/>
    <w:rsid w:val="00C17785"/>
    <w:rsid w:val="00C20318"/>
    <w:rsid w:val="00C20C8D"/>
    <w:rsid w:val="00C20CB7"/>
    <w:rsid w:val="00C20CC5"/>
    <w:rsid w:val="00C20ED4"/>
    <w:rsid w:val="00C20F49"/>
    <w:rsid w:val="00C21E06"/>
    <w:rsid w:val="00C220E0"/>
    <w:rsid w:val="00C24A57"/>
    <w:rsid w:val="00C26192"/>
    <w:rsid w:val="00C26715"/>
    <w:rsid w:val="00C31C4F"/>
    <w:rsid w:val="00C32E50"/>
    <w:rsid w:val="00C33515"/>
    <w:rsid w:val="00C33C44"/>
    <w:rsid w:val="00C344C5"/>
    <w:rsid w:val="00C34A53"/>
    <w:rsid w:val="00C34E7A"/>
    <w:rsid w:val="00C34F3A"/>
    <w:rsid w:val="00C361E2"/>
    <w:rsid w:val="00C361F5"/>
    <w:rsid w:val="00C36477"/>
    <w:rsid w:val="00C372EB"/>
    <w:rsid w:val="00C37B6E"/>
    <w:rsid w:val="00C40018"/>
    <w:rsid w:val="00C418E6"/>
    <w:rsid w:val="00C43753"/>
    <w:rsid w:val="00C443FA"/>
    <w:rsid w:val="00C447F6"/>
    <w:rsid w:val="00C44B42"/>
    <w:rsid w:val="00C47FCB"/>
    <w:rsid w:val="00C50EDC"/>
    <w:rsid w:val="00C5132A"/>
    <w:rsid w:val="00C52D36"/>
    <w:rsid w:val="00C550EA"/>
    <w:rsid w:val="00C56DE5"/>
    <w:rsid w:val="00C572E0"/>
    <w:rsid w:val="00C57796"/>
    <w:rsid w:val="00C578B9"/>
    <w:rsid w:val="00C60CEF"/>
    <w:rsid w:val="00C61E5C"/>
    <w:rsid w:val="00C61E5E"/>
    <w:rsid w:val="00C62366"/>
    <w:rsid w:val="00C623B6"/>
    <w:rsid w:val="00C62425"/>
    <w:rsid w:val="00C65207"/>
    <w:rsid w:val="00C65942"/>
    <w:rsid w:val="00C67D26"/>
    <w:rsid w:val="00C72902"/>
    <w:rsid w:val="00C7393E"/>
    <w:rsid w:val="00C7555A"/>
    <w:rsid w:val="00C75781"/>
    <w:rsid w:val="00C77C14"/>
    <w:rsid w:val="00C801D0"/>
    <w:rsid w:val="00C80612"/>
    <w:rsid w:val="00C811A3"/>
    <w:rsid w:val="00C812EE"/>
    <w:rsid w:val="00C83010"/>
    <w:rsid w:val="00C8363F"/>
    <w:rsid w:val="00C8419F"/>
    <w:rsid w:val="00C86CAA"/>
    <w:rsid w:val="00C87AAA"/>
    <w:rsid w:val="00C87F63"/>
    <w:rsid w:val="00C900C3"/>
    <w:rsid w:val="00C91629"/>
    <w:rsid w:val="00C91C60"/>
    <w:rsid w:val="00C92C87"/>
    <w:rsid w:val="00C96066"/>
    <w:rsid w:val="00C97B71"/>
    <w:rsid w:val="00CA00B1"/>
    <w:rsid w:val="00CA06AC"/>
    <w:rsid w:val="00CA0851"/>
    <w:rsid w:val="00CA0F9D"/>
    <w:rsid w:val="00CA4263"/>
    <w:rsid w:val="00CA5128"/>
    <w:rsid w:val="00CA70C0"/>
    <w:rsid w:val="00CB061C"/>
    <w:rsid w:val="00CB091F"/>
    <w:rsid w:val="00CB4781"/>
    <w:rsid w:val="00CB524C"/>
    <w:rsid w:val="00CB6A4C"/>
    <w:rsid w:val="00CB6BC7"/>
    <w:rsid w:val="00CB746C"/>
    <w:rsid w:val="00CB796C"/>
    <w:rsid w:val="00CC0092"/>
    <w:rsid w:val="00CC0499"/>
    <w:rsid w:val="00CC0515"/>
    <w:rsid w:val="00CC1CBA"/>
    <w:rsid w:val="00CC2CBE"/>
    <w:rsid w:val="00CC3A24"/>
    <w:rsid w:val="00CC425B"/>
    <w:rsid w:val="00CC562F"/>
    <w:rsid w:val="00CD17E8"/>
    <w:rsid w:val="00CD1AB7"/>
    <w:rsid w:val="00CD1B42"/>
    <w:rsid w:val="00CD48D8"/>
    <w:rsid w:val="00CD4B57"/>
    <w:rsid w:val="00CD53D1"/>
    <w:rsid w:val="00CD5418"/>
    <w:rsid w:val="00CD5785"/>
    <w:rsid w:val="00CD5FC5"/>
    <w:rsid w:val="00CD6562"/>
    <w:rsid w:val="00CD7289"/>
    <w:rsid w:val="00CD7623"/>
    <w:rsid w:val="00CD770E"/>
    <w:rsid w:val="00CE0D75"/>
    <w:rsid w:val="00CE1BDA"/>
    <w:rsid w:val="00CE2F2F"/>
    <w:rsid w:val="00CE300B"/>
    <w:rsid w:val="00CE42D9"/>
    <w:rsid w:val="00CE4825"/>
    <w:rsid w:val="00CF1360"/>
    <w:rsid w:val="00CF1BE5"/>
    <w:rsid w:val="00CF494A"/>
    <w:rsid w:val="00CF53ED"/>
    <w:rsid w:val="00CF57B5"/>
    <w:rsid w:val="00CF5C91"/>
    <w:rsid w:val="00CF767C"/>
    <w:rsid w:val="00D0248F"/>
    <w:rsid w:val="00D03565"/>
    <w:rsid w:val="00D0471F"/>
    <w:rsid w:val="00D0581F"/>
    <w:rsid w:val="00D06147"/>
    <w:rsid w:val="00D0614F"/>
    <w:rsid w:val="00D07D2B"/>
    <w:rsid w:val="00D13C9A"/>
    <w:rsid w:val="00D15068"/>
    <w:rsid w:val="00D164E8"/>
    <w:rsid w:val="00D1780E"/>
    <w:rsid w:val="00D17F9D"/>
    <w:rsid w:val="00D211B5"/>
    <w:rsid w:val="00D2180E"/>
    <w:rsid w:val="00D2225F"/>
    <w:rsid w:val="00D247DC"/>
    <w:rsid w:val="00D258A8"/>
    <w:rsid w:val="00D266EB"/>
    <w:rsid w:val="00D26C81"/>
    <w:rsid w:val="00D27108"/>
    <w:rsid w:val="00D2751F"/>
    <w:rsid w:val="00D30A7C"/>
    <w:rsid w:val="00D3213D"/>
    <w:rsid w:val="00D35B6E"/>
    <w:rsid w:val="00D35F16"/>
    <w:rsid w:val="00D4006B"/>
    <w:rsid w:val="00D440B4"/>
    <w:rsid w:val="00D446CC"/>
    <w:rsid w:val="00D448C0"/>
    <w:rsid w:val="00D46489"/>
    <w:rsid w:val="00D51C57"/>
    <w:rsid w:val="00D52304"/>
    <w:rsid w:val="00D527CF"/>
    <w:rsid w:val="00D53260"/>
    <w:rsid w:val="00D5370B"/>
    <w:rsid w:val="00D56078"/>
    <w:rsid w:val="00D56F1B"/>
    <w:rsid w:val="00D5729B"/>
    <w:rsid w:val="00D5739D"/>
    <w:rsid w:val="00D57AD0"/>
    <w:rsid w:val="00D61121"/>
    <w:rsid w:val="00D622DF"/>
    <w:rsid w:val="00D6245A"/>
    <w:rsid w:val="00D629F8"/>
    <w:rsid w:val="00D62A40"/>
    <w:rsid w:val="00D62D95"/>
    <w:rsid w:val="00D62EF3"/>
    <w:rsid w:val="00D64531"/>
    <w:rsid w:val="00D656F0"/>
    <w:rsid w:val="00D6687E"/>
    <w:rsid w:val="00D668B2"/>
    <w:rsid w:val="00D67541"/>
    <w:rsid w:val="00D704C6"/>
    <w:rsid w:val="00D70E26"/>
    <w:rsid w:val="00D7318C"/>
    <w:rsid w:val="00D73852"/>
    <w:rsid w:val="00D74157"/>
    <w:rsid w:val="00D74C3F"/>
    <w:rsid w:val="00D75391"/>
    <w:rsid w:val="00D76D58"/>
    <w:rsid w:val="00D80ED9"/>
    <w:rsid w:val="00D8120E"/>
    <w:rsid w:val="00D81DDB"/>
    <w:rsid w:val="00D84222"/>
    <w:rsid w:val="00D84347"/>
    <w:rsid w:val="00D84E6C"/>
    <w:rsid w:val="00D85620"/>
    <w:rsid w:val="00D868D0"/>
    <w:rsid w:val="00D8724A"/>
    <w:rsid w:val="00D877B7"/>
    <w:rsid w:val="00D908EA"/>
    <w:rsid w:val="00D90C75"/>
    <w:rsid w:val="00D90DBE"/>
    <w:rsid w:val="00D929F4"/>
    <w:rsid w:val="00D9393F"/>
    <w:rsid w:val="00D948C4"/>
    <w:rsid w:val="00D951E1"/>
    <w:rsid w:val="00D963A9"/>
    <w:rsid w:val="00D97D0D"/>
    <w:rsid w:val="00DA0299"/>
    <w:rsid w:val="00DA21AC"/>
    <w:rsid w:val="00DA44F6"/>
    <w:rsid w:val="00DA5551"/>
    <w:rsid w:val="00DA61E9"/>
    <w:rsid w:val="00DA7FE0"/>
    <w:rsid w:val="00DB0620"/>
    <w:rsid w:val="00DB1546"/>
    <w:rsid w:val="00DB17A6"/>
    <w:rsid w:val="00DB2061"/>
    <w:rsid w:val="00DB2DEE"/>
    <w:rsid w:val="00DB4923"/>
    <w:rsid w:val="00DB4F30"/>
    <w:rsid w:val="00DB5002"/>
    <w:rsid w:val="00DB69E1"/>
    <w:rsid w:val="00DC03DA"/>
    <w:rsid w:val="00DC06B0"/>
    <w:rsid w:val="00DC0FBF"/>
    <w:rsid w:val="00DC1EF9"/>
    <w:rsid w:val="00DC1F5A"/>
    <w:rsid w:val="00DC22E6"/>
    <w:rsid w:val="00DC26F2"/>
    <w:rsid w:val="00DC2BB1"/>
    <w:rsid w:val="00DC4276"/>
    <w:rsid w:val="00DC5AD8"/>
    <w:rsid w:val="00DC6752"/>
    <w:rsid w:val="00DC6BE8"/>
    <w:rsid w:val="00DC6ECA"/>
    <w:rsid w:val="00DC78F2"/>
    <w:rsid w:val="00DC7998"/>
    <w:rsid w:val="00DC7D22"/>
    <w:rsid w:val="00DD066A"/>
    <w:rsid w:val="00DD127F"/>
    <w:rsid w:val="00DD2584"/>
    <w:rsid w:val="00DD40C5"/>
    <w:rsid w:val="00DD6793"/>
    <w:rsid w:val="00DD7AB7"/>
    <w:rsid w:val="00DD7B09"/>
    <w:rsid w:val="00DE07C4"/>
    <w:rsid w:val="00DE4061"/>
    <w:rsid w:val="00DE4226"/>
    <w:rsid w:val="00DE6D38"/>
    <w:rsid w:val="00DE7E2C"/>
    <w:rsid w:val="00DF048A"/>
    <w:rsid w:val="00DF0EE1"/>
    <w:rsid w:val="00DF19AA"/>
    <w:rsid w:val="00DF1A0C"/>
    <w:rsid w:val="00DF2FC1"/>
    <w:rsid w:val="00DF7299"/>
    <w:rsid w:val="00DF7DD6"/>
    <w:rsid w:val="00E02CA0"/>
    <w:rsid w:val="00E03B6C"/>
    <w:rsid w:val="00E03D04"/>
    <w:rsid w:val="00E05A95"/>
    <w:rsid w:val="00E06446"/>
    <w:rsid w:val="00E110F3"/>
    <w:rsid w:val="00E125AD"/>
    <w:rsid w:val="00E1389A"/>
    <w:rsid w:val="00E138D7"/>
    <w:rsid w:val="00E13E3F"/>
    <w:rsid w:val="00E144C2"/>
    <w:rsid w:val="00E149A5"/>
    <w:rsid w:val="00E215A1"/>
    <w:rsid w:val="00E2345B"/>
    <w:rsid w:val="00E248CF"/>
    <w:rsid w:val="00E25567"/>
    <w:rsid w:val="00E25C14"/>
    <w:rsid w:val="00E30085"/>
    <w:rsid w:val="00E30813"/>
    <w:rsid w:val="00E30A27"/>
    <w:rsid w:val="00E3146F"/>
    <w:rsid w:val="00E32732"/>
    <w:rsid w:val="00E33285"/>
    <w:rsid w:val="00E33352"/>
    <w:rsid w:val="00E34607"/>
    <w:rsid w:val="00E34A51"/>
    <w:rsid w:val="00E36FDE"/>
    <w:rsid w:val="00E4033A"/>
    <w:rsid w:val="00E40833"/>
    <w:rsid w:val="00E43EE9"/>
    <w:rsid w:val="00E44EFF"/>
    <w:rsid w:val="00E46CD2"/>
    <w:rsid w:val="00E47934"/>
    <w:rsid w:val="00E50893"/>
    <w:rsid w:val="00E5136D"/>
    <w:rsid w:val="00E54021"/>
    <w:rsid w:val="00E56767"/>
    <w:rsid w:val="00E568E3"/>
    <w:rsid w:val="00E571B0"/>
    <w:rsid w:val="00E60321"/>
    <w:rsid w:val="00E60BD2"/>
    <w:rsid w:val="00E60FFD"/>
    <w:rsid w:val="00E61C10"/>
    <w:rsid w:val="00E62CBF"/>
    <w:rsid w:val="00E65871"/>
    <w:rsid w:val="00E65E11"/>
    <w:rsid w:val="00E66599"/>
    <w:rsid w:val="00E70CC3"/>
    <w:rsid w:val="00E73965"/>
    <w:rsid w:val="00E747C5"/>
    <w:rsid w:val="00E74A00"/>
    <w:rsid w:val="00E7573C"/>
    <w:rsid w:val="00E77CB1"/>
    <w:rsid w:val="00E804B1"/>
    <w:rsid w:val="00E80861"/>
    <w:rsid w:val="00E80B78"/>
    <w:rsid w:val="00E80D74"/>
    <w:rsid w:val="00E81167"/>
    <w:rsid w:val="00E81D60"/>
    <w:rsid w:val="00E82F7B"/>
    <w:rsid w:val="00E83C36"/>
    <w:rsid w:val="00E86A89"/>
    <w:rsid w:val="00E87FEE"/>
    <w:rsid w:val="00E90532"/>
    <w:rsid w:val="00E9088E"/>
    <w:rsid w:val="00E90CC5"/>
    <w:rsid w:val="00E92C5B"/>
    <w:rsid w:val="00E93375"/>
    <w:rsid w:val="00E9403C"/>
    <w:rsid w:val="00E952A8"/>
    <w:rsid w:val="00E95B47"/>
    <w:rsid w:val="00E9626C"/>
    <w:rsid w:val="00EA10EE"/>
    <w:rsid w:val="00EA1BB8"/>
    <w:rsid w:val="00EA6C66"/>
    <w:rsid w:val="00EA7A38"/>
    <w:rsid w:val="00EA7F1E"/>
    <w:rsid w:val="00EB1EA1"/>
    <w:rsid w:val="00EB32B4"/>
    <w:rsid w:val="00EB429B"/>
    <w:rsid w:val="00EB5261"/>
    <w:rsid w:val="00EB5869"/>
    <w:rsid w:val="00EB70CC"/>
    <w:rsid w:val="00EC0FE1"/>
    <w:rsid w:val="00EC10DC"/>
    <w:rsid w:val="00EC1760"/>
    <w:rsid w:val="00EC1E93"/>
    <w:rsid w:val="00EC2AC3"/>
    <w:rsid w:val="00EC2D1D"/>
    <w:rsid w:val="00EC33D6"/>
    <w:rsid w:val="00EC3DE7"/>
    <w:rsid w:val="00EC5FEF"/>
    <w:rsid w:val="00EC715C"/>
    <w:rsid w:val="00EC741F"/>
    <w:rsid w:val="00EC74B5"/>
    <w:rsid w:val="00ED054E"/>
    <w:rsid w:val="00ED1591"/>
    <w:rsid w:val="00ED1B36"/>
    <w:rsid w:val="00ED25DA"/>
    <w:rsid w:val="00ED2C08"/>
    <w:rsid w:val="00ED34BC"/>
    <w:rsid w:val="00ED3A80"/>
    <w:rsid w:val="00ED4C43"/>
    <w:rsid w:val="00ED5BE5"/>
    <w:rsid w:val="00ED5E0E"/>
    <w:rsid w:val="00ED78A8"/>
    <w:rsid w:val="00EE20DA"/>
    <w:rsid w:val="00EE41CF"/>
    <w:rsid w:val="00EE4478"/>
    <w:rsid w:val="00EE6E48"/>
    <w:rsid w:val="00EF0980"/>
    <w:rsid w:val="00EF3BB9"/>
    <w:rsid w:val="00EF4A22"/>
    <w:rsid w:val="00EF51AB"/>
    <w:rsid w:val="00EF62EB"/>
    <w:rsid w:val="00F00218"/>
    <w:rsid w:val="00F007CD"/>
    <w:rsid w:val="00F00CD5"/>
    <w:rsid w:val="00F01ECC"/>
    <w:rsid w:val="00F022E2"/>
    <w:rsid w:val="00F025C0"/>
    <w:rsid w:val="00F0331D"/>
    <w:rsid w:val="00F10726"/>
    <w:rsid w:val="00F1266D"/>
    <w:rsid w:val="00F1320B"/>
    <w:rsid w:val="00F13422"/>
    <w:rsid w:val="00F1474C"/>
    <w:rsid w:val="00F14AD7"/>
    <w:rsid w:val="00F15521"/>
    <w:rsid w:val="00F16545"/>
    <w:rsid w:val="00F16A68"/>
    <w:rsid w:val="00F178C0"/>
    <w:rsid w:val="00F21424"/>
    <w:rsid w:val="00F22DEE"/>
    <w:rsid w:val="00F236F0"/>
    <w:rsid w:val="00F2553A"/>
    <w:rsid w:val="00F25B37"/>
    <w:rsid w:val="00F27324"/>
    <w:rsid w:val="00F30B50"/>
    <w:rsid w:val="00F32496"/>
    <w:rsid w:val="00F32C19"/>
    <w:rsid w:val="00F343B6"/>
    <w:rsid w:val="00F34DB0"/>
    <w:rsid w:val="00F34E69"/>
    <w:rsid w:val="00F3515D"/>
    <w:rsid w:val="00F364CD"/>
    <w:rsid w:val="00F3679A"/>
    <w:rsid w:val="00F36F12"/>
    <w:rsid w:val="00F3706A"/>
    <w:rsid w:val="00F37C30"/>
    <w:rsid w:val="00F40273"/>
    <w:rsid w:val="00F41040"/>
    <w:rsid w:val="00F4264F"/>
    <w:rsid w:val="00F44A80"/>
    <w:rsid w:val="00F44E54"/>
    <w:rsid w:val="00F44E9B"/>
    <w:rsid w:val="00F4587C"/>
    <w:rsid w:val="00F47672"/>
    <w:rsid w:val="00F51D2A"/>
    <w:rsid w:val="00F51E48"/>
    <w:rsid w:val="00F52916"/>
    <w:rsid w:val="00F543B6"/>
    <w:rsid w:val="00F56577"/>
    <w:rsid w:val="00F57FE7"/>
    <w:rsid w:val="00F60E0C"/>
    <w:rsid w:val="00F61A33"/>
    <w:rsid w:val="00F6266E"/>
    <w:rsid w:val="00F64833"/>
    <w:rsid w:val="00F64932"/>
    <w:rsid w:val="00F660FE"/>
    <w:rsid w:val="00F708B9"/>
    <w:rsid w:val="00F70B46"/>
    <w:rsid w:val="00F737E5"/>
    <w:rsid w:val="00F760A5"/>
    <w:rsid w:val="00F7610C"/>
    <w:rsid w:val="00F76484"/>
    <w:rsid w:val="00F764DF"/>
    <w:rsid w:val="00F76C38"/>
    <w:rsid w:val="00F76D3A"/>
    <w:rsid w:val="00F777FE"/>
    <w:rsid w:val="00F77A5E"/>
    <w:rsid w:val="00F80478"/>
    <w:rsid w:val="00F806EC"/>
    <w:rsid w:val="00F8127F"/>
    <w:rsid w:val="00F83D20"/>
    <w:rsid w:val="00F85A3C"/>
    <w:rsid w:val="00F86AC8"/>
    <w:rsid w:val="00F876B9"/>
    <w:rsid w:val="00F87C44"/>
    <w:rsid w:val="00F91099"/>
    <w:rsid w:val="00F91125"/>
    <w:rsid w:val="00F9113C"/>
    <w:rsid w:val="00F920F1"/>
    <w:rsid w:val="00F9328C"/>
    <w:rsid w:val="00F93F53"/>
    <w:rsid w:val="00F94345"/>
    <w:rsid w:val="00F9454B"/>
    <w:rsid w:val="00F95C7A"/>
    <w:rsid w:val="00F95D70"/>
    <w:rsid w:val="00F96544"/>
    <w:rsid w:val="00FA1D88"/>
    <w:rsid w:val="00FA2933"/>
    <w:rsid w:val="00FA488E"/>
    <w:rsid w:val="00FA6804"/>
    <w:rsid w:val="00FB0588"/>
    <w:rsid w:val="00FB1A52"/>
    <w:rsid w:val="00FB2223"/>
    <w:rsid w:val="00FB31F4"/>
    <w:rsid w:val="00FB54F6"/>
    <w:rsid w:val="00FB589C"/>
    <w:rsid w:val="00FB60BD"/>
    <w:rsid w:val="00FC19F4"/>
    <w:rsid w:val="00FC30BE"/>
    <w:rsid w:val="00FC44C4"/>
    <w:rsid w:val="00FC4AC1"/>
    <w:rsid w:val="00FC57C4"/>
    <w:rsid w:val="00FC68C4"/>
    <w:rsid w:val="00FC73C0"/>
    <w:rsid w:val="00FC7DD3"/>
    <w:rsid w:val="00FD0AE9"/>
    <w:rsid w:val="00FD23C0"/>
    <w:rsid w:val="00FD2A9F"/>
    <w:rsid w:val="00FD412F"/>
    <w:rsid w:val="00FE0FF7"/>
    <w:rsid w:val="00FE16D9"/>
    <w:rsid w:val="00FE38FD"/>
    <w:rsid w:val="00FE3913"/>
    <w:rsid w:val="00FE3EFD"/>
    <w:rsid w:val="00FE45F9"/>
    <w:rsid w:val="00FE4B19"/>
    <w:rsid w:val="00FE51B1"/>
    <w:rsid w:val="00FE51DB"/>
    <w:rsid w:val="00FE557C"/>
    <w:rsid w:val="00FE5FCC"/>
    <w:rsid w:val="00FE6BB7"/>
    <w:rsid w:val="00FE7598"/>
    <w:rsid w:val="00FE7EBB"/>
    <w:rsid w:val="00FF05C5"/>
    <w:rsid w:val="00FF283D"/>
    <w:rsid w:val="00FF2B52"/>
    <w:rsid w:val="00FF5328"/>
    <w:rsid w:val="00FF564E"/>
    <w:rsid w:val="00FF598E"/>
    <w:rsid w:val="00FF652C"/>
    <w:rsid w:val="00FF6CE4"/>
    <w:rsid w:val="00FF7807"/>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3B3C"/>
  <w15:chartTrackingRefBased/>
  <w15:docId w15:val="{D9287098-9AB0-485F-B8FE-A08B7818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24C9F"/>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0E3480"/>
    <w:rPr>
      <w:vertAlign w:val="superscript"/>
    </w:rPr>
  </w:style>
  <w:style w:type="paragraph" w:styleId="FootnoteText">
    <w:name w:val="footnote text"/>
    <w:basedOn w:val="Normal"/>
    <w:link w:val="FootnoteTextChar"/>
    <w:uiPriority w:val="99"/>
    <w:unhideWhenUsed/>
    <w:rsid w:val="004204DF"/>
    <w:pPr>
      <w:spacing w:after="0" w:line="240" w:lineRule="auto"/>
    </w:pPr>
    <w:rPr>
      <w:sz w:val="20"/>
      <w:szCs w:val="20"/>
    </w:rPr>
  </w:style>
  <w:style w:type="character" w:customStyle="1" w:styleId="FootnoteTextChar">
    <w:name w:val="Footnote Text Char"/>
    <w:basedOn w:val="DefaultParagraphFont"/>
    <w:link w:val="FootnoteText"/>
    <w:rsid w:val="004204DF"/>
    <w:rPr>
      <w:sz w:val="20"/>
      <w:szCs w:val="20"/>
    </w:rPr>
  </w:style>
  <w:style w:type="paragraph" w:styleId="Header">
    <w:name w:val="header"/>
    <w:basedOn w:val="Normal"/>
    <w:link w:val="HeaderChar"/>
    <w:uiPriority w:val="99"/>
    <w:unhideWhenUsed/>
    <w:rsid w:val="00685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E37"/>
  </w:style>
  <w:style w:type="paragraph" w:styleId="Footer">
    <w:name w:val="footer"/>
    <w:basedOn w:val="Normal"/>
    <w:link w:val="FooterChar"/>
    <w:uiPriority w:val="99"/>
    <w:unhideWhenUsed/>
    <w:rsid w:val="00685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E37"/>
  </w:style>
  <w:style w:type="character" w:customStyle="1" w:styleId="st">
    <w:name w:val="st"/>
    <w:basedOn w:val="DefaultParagraphFont"/>
    <w:rsid w:val="003656B6"/>
  </w:style>
  <w:style w:type="paragraph" w:customStyle="1" w:styleId="Default">
    <w:name w:val="Default"/>
    <w:rsid w:val="00A30497"/>
    <w:pPr>
      <w:autoSpaceDE w:val="0"/>
      <w:autoSpaceDN w:val="0"/>
      <w:adjustRightInd w:val="0"/>
      <w:spacing w:after="0" w:line="240" w:lineRule="auto"/>
    </w:pPr>
    <w:rPr>
      <w:rFonts w:eastAsia="Times New Roman"/>
      <w:color w:val="000000"/>
      <w:sz w:val="24"/>
      <w:szCs w:val="24"/>
      <w:lang w:eastAsia="en-GB"/>
    </w:rPr>
  </w:style>
  <w:style w:type="character" w:customStyle="1" w:styleId="highlight">
    <w:name w:val="highlight"/>
    <w:basedOn w:val="DefaultParagraphFont"/>
    <w:rsid w:val="00CF1360"/>
  </w:style>
  <w:style w:type="character" w:styleId="Emphasis">
    <w:name w:val="Emphasis"/>
    <w:basedOn w:val="DefaultParagraphFont"/>
    <w:uiPriority w:val="20"/>
    <w:qFormat/>
    <w:rsid w:val="00D62EF3"/>
    <w:rPr>
      <w:i/>
      <w:iCs/>
    </w:rPr>
  </w:style>
  <w:style w:type="character" w:customStyle="1" w:styleId="paperstitle">
    <w:name w:val="paperstitle"/>
    <w:rsid w:val="00D62EF3"/>
  </w:style>
  <w:style w:type="character" w:customStyle="1" w:styleId="paperstitle1">
    <w:name w:val="paperstitle1"/>
    <w:rsid w:val="00D62EF3"/>
    <w:rPr>
      <w:rFonts w:ascii="Georgia" w:hAnsi="Georgia" w:hint="default"/>
      <w:b/>
      <w:bCs/>
      <w:color w:val="333333"/>
      <w:sz w:val="22"/>
      <w:szCs w:val="22"/>
    </w:rPr>
  </w:style>
  <w:style w:type="character" w:customStyle="1" w:styleId="docdate1">
    <w:name w:val="docdate1"/>
    <w:rsid w:val="00D62EF3"/>
    <w:rPr>
      <w:rFonts w:ascii="Arial" w:hAnsi="Arial" w:cs="Arial" w:hint="default"/>
      <w:i/>
      <w:iCs/>
      <w:color w:val="666666"/>
      <w:sz w:val="20"/>
      <w:szCs w:val="20"/>
    </w:rPr>
  </w:style>
  <w:style w:type="character" w:customStyle="1" w:styleId="body">
    <w:name w:val="body"/>
    <w:basedOn w:val="DefaultParagraphFont"/>
    <w:rsid w:val="00D62EF3"/>
  </w:style>
  <w:style w:type="character" w:customStyle="1" w:styleId="bibliomset">
    <w:name w:val="bibliomset"/>
    <w:basedOn w:val="DefaultParagraphFont"/>
    <w:rsid w:val="00B43714"/>
  </w:style>
  <w:style w:type="character" w:customStyle="1" w:styleId="author">
    <w:name w:val="author"/>
    <w:basedOn w:val="DefaultParagraphFont"/>
    <w:rsid w:val="00B43714"/>
  </w:style>
  <w:style w:type="character" w:customStyle="1" w:styleId="firstname">
    <w:name w:val="firstname"/>
    <w:basedOn w:val="DefaultParagraphFont"/>
    <w:rsid w:val="00B43714"/>
  </w:style>
  <w:style w:type="character" w:customStyle="1" w:styleId="surname">
    <w:name w:val="surname"/>
    <w:basedOn w:val="DefaultParagraphFont"/>
    <w:rsid w:val="00B43714"/>
  </w:style>
  <w:style w:type="character" w:customStyle="1" w:styleId="article">
    <w:name w:val="article"/>
    <w:basedOn w:val="DefaultParagraphFont"/>
    <w:rsid w:val="00B43714"/>
  </w:style>
  <w:style w:type="character" w:customStyle="1" w:styleId="italic">
    <w:name w:val="italic"/>
    <w:basedOn w:val="DefaultParagraphFont"/>
    <w:rsid w:val="00B43714"/>
  </w:style>
  <w:style w:type="character" w:customStyle="1" w:styleId="pubdate">
    <w:name w:val="pubdate"/>
    <w:basedOn w:val="DefaultParagraphFont"/>
    <w:rsid w:val="00B43714"/>
  </w:style>
  <w:style w:type="character" w:customStyle="1" w:styleId="volumenum">
    <w:name w:val="volumenum"/>
    <w:basedOn w:val="DefaultParagraphFont"/>
    <w:rsid w:val="00B43714"/>
  </w:style>
  <w:style w:type="character" w:customStyle="1" w:styleId="issuenum">
    <w:name w:val="issuenum"/>
    <w:basedOn w:val="DefaultParagraphFont"/>
    <w:rsid w:val="00B43714"/>
  </w:style>
  <w:style w:type="character" w:customStyle="1" w:styleId="pagenums">
    <w:name w:val="pagenums"/>
    <w:basedOn w:val="DefaultParagraphFont"/>
    <w:rsid w:val="00B43714"/>
  </w:style>
  <w:style w:type="character" w:customStyle="1" w:styleId="Heading1Char">
    <w:name w:val="Heading 1 Char"/>
    <w:basedOn w:val="DefaultParagraphFont"/>
    <w:link w:val="Heading1"/>
    <w:rsid w:val="00724C9F"/>
    <w:rPr>
      <w:rFonts w:ascii="Arial" w:eastAsia="Times New Roman" w:hAnsi="Arial" w:cs="Arial"/>
      <w:b/>
      <w:bCs/>
      <w:kern w:val="32"/>
      <w:sz w:val="32"/>
      <w:szCs w:val="32"/>
      <w:lang w:eastAsia="en-GB"/>
    </w:rPr>
  </w:style>
  <w:style w:type="character" w:styleId="Hyperlink">
    <w:name w:val="Hyperlink"/>
    <w:basedOn w:val="DefaultParagraphFont"/>
    <w:uiPriority w:val="99"/>
    <w:unhideWhenUsed/>
    <w:rsid w:val="00724C9F"/>
    <w:rPr>
      <w:color w:val="0000FF"/>
      <w:u w:val="single"/>
    </w:rPr>
  </w:style>
  <w:style w:type="character" w:customStyle="1" w:styleId="st1">
    <w:name w:val="st1"/>
    <w:basedOn w:val="DefaultParagraphFont"/>
    <w:rsid w:val="00724C9F"/>
  </w:style>
  <w:style w:type="character" w:customStyle="1" w:styleId="bibitemspan">
    <w:name w:val="bibitemspan"/>
    <w:rsid w:val="00724C9F"/>
  </w:style>
  <w:style w:type="character" w:customStyle="1" w:styleId="docdate">
    <w:name w:val="docdate"/>
    <w:rsid w:val="00724C9F"/>
  </w:style>
  <w:style w:type="paragraph" w:styleId="ListParagraph">
    <w:name w:val="List Paragraph"/>
    <w:basedOn w:val="Normal"/>
    <w:uiPriority w:val="34"/>
    <w:qFormat/>
    <w:rsid w:val="00724C9F"/>
    <w:pPr>
      <w:ind w:left="720"/>
      <w:contextualSpacing/>
    </w:pPr>
  </w:style>
  <w:style w:type="character" w:styleId="Strong">
    <w:name w:val="Strong"/>
    <w:uiPriority w:val="22"/>
    <w:qFormat/>
    <w:rsid w:val="00724C9F"/>
    <w:rPr>
      <w:b/>
      <w:bCs/>
    </w:rPr>
  </w:style>
  <w:style w:type="paragraph" w:customStyle="1" w:styleId="Pa17">
    <w:name w:val="Pa17"/>
    <w:basedOn w:val="Default"/>
    <w:next w:val="Default"/>
    <w:uiPriority w:val="99"/>
    <w:rsid w:val="003E31E9"/>
    <w:pPr>
      <w:spacing w:line="171" w:lineRule="atLeast"/>
    </w:pPr>
    <w:rPr>
      <w:rFonts w:ascii="Minion Pro" w:eastAsiaTheme="minorHAnsi" w:hAnsi="Minion Pro"/>
      <w:color w:val="auto"/>
      <w:lang w:eastAsia="en-US"/>
    </w:rPr>
  </w:style>
  <w:style w:type="paragraph" w:styleId="NormalWeb">
    <w:name w:val="Normal (Web)"/>
    <w:basedOn w:val="Normal"/>
    <w:uiPriority w:val="99"/>
    <w:semiHidden/>
    <w:unhideWhenUsed/>
    <w:rsid w:val="00EE20DA"/>
    <w:pPr>
      <w:spacing w:before="100" w:beforeAutospacing="1" w:after="100" w:afterAutospacing="1" w:line="240" w:lineRule="auto"/>
    </w:pPr>
    <w:rPr>
      <w:rFonts w:eastAsia="Times New Roman"/>
      <w:sz w:val="24"/>
      <w:szCs w:val="24"/>
      <w:lang w:eastAsia="en-GB"/>
    </w:rPr>
  </w:style>
  <w:style w:type="character" w:customStyle="1" w:styleId="reference-text">
    <w:name w:val="reference-text"/>
    <w:basedOn w:val="DefaultParagraphFont"/>
    <w:rsid w:val="00ED34BC"/>
  </w:style>
  <w:style w:type="character" w:customStyle="1" w:styleId="ver10">
    <w:name w:val="ver10"/>
    <w:basedOn w:val="DefaultParagraphFont"/>
    <w:rsid w:val="00B72F68"/>
  </w:style>
  <w:style w:type="paragraph" w:styleId="BalloonText">
    <w:name w:val="Balloon Text"/>
    <w:basedOn w:val="Normal"/>
    <w:link w:val="BalloonTextChar"/>
    <w:uiPriority w:val="99"/>
    <w:semiHidden/>
    <w:unhideWhenUsed/>
    <w:rsid w:val="00E2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67"/>
    <w:rPr>
      <w:rFonts w:ascii="Segoe UI" w:hAnsi="Segoe UI" w:cs="Segoe UI"/>
      <w:sz w:val="18"/>
      <w:szCs w:val="18"/>
    </w:rPr>
  </w:style>
  <w:style w:type="character" w:styleId="HTMLCite">
    <w:name w:val="HTML Cite"/>
    <w:basedOn w:val="DefaultParagraphFont"/>
    <w:uiPriority w:val="99"/>
    <w:semiHidden/>
    <w:unhideWhenUsed/>
    <w:rsid w:val="0077017E"/>
    <w:rPr>
      <w:i/>
      <w:iCs/>
    </w:rPr>
  </w:style>
  <w:style w:type="character" w:styleId="UnresolvedMention">
    <w:name w:val="Unresolved Mention"/>
    <w:basedOn w:val="DefaultParagraphFont"/>
    <w:uiPriority w:val="99"/>
    <w:semiHidden/>
    <w:unhideWhenUsed/>
    <w:rsid w:val="001A6E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2569">
      <w:bodyDiv w:val="1"/>
      <w:marLeft w:val="0"/>
      <w:marRight w:val="0"/>
      <w:marTop w:val="0"/>
      <w:marBottom w:val="0"/>
      <w:divBdr>
        <w:top w:val="none" w:sz="0" w:space="0" w:color="auto"/>
        <w:left w:val="none" w:sz="0" w:space="0" w:color="auto"/>
        <w:bottom w:val="none" w:sz="0" w:space="0" w:color="auto"/>
        <w:right w:val="none" w:sz="0" w:space="0" w:color="auto"/>
      </w:divBdr>
    </w:div>
    <w:div w:id="482964022">
      <w:bodyDiv w:val="1"/>
      <w:marLeft w:val="0"/>
      <w:marRight w:val="0"/>
      <w:marTop w:val="0"/>
      <w:marBottom w:val="0"/>
      <w:divBdr>
        <w:top w:val="none" w:sz="0" w:space="0" w:color="auto"/>
        <w:left w:val="none" w:sz="0" w:space="0" w:color="auto"/>
        <w:bottom w:val="none" w:sz="0" w:space="0" w:color="auto"/>
        <w:right w:val="none" w:sz="0" w:space="0" w:color="auto"/>
      </w:divBdr>
      <w:divsChild>
        <w:div w:id="1287926441">
          <w:marLeft w:val="0"/>
          <w:marRight w:val="0"/>
          <w:marTop w:val="0"/>
          <w:marBottom w:val="0"/>
          <w:divBdr>
            <w:top w:val="none" w:sz="0" w:space="0" w:color="auto"/>
            <w:left w:val="none" w:sz="0" w:space="0" w:color="auto"/>
            <w:bottom w:val="none" w:sz="0" w:space="0" w:color="auto"/>
            <w:right w:val="none" w:sz="0" w:space="0" w:color="auto"/>
          </w:divBdr>
        </w:div>
        <w:div w:id="301229519">
          <w:marLeft w:val="0"/>
          <w:marRight w:val="0"/>
          <w:marTop w:val="0"/>
          <w:marBottom w:val="0"/>
          <w:divBdr>
            <w:top w:val="none" w:sz="0" w:space="0" w:color="auto"/>
            <w:left w:val="none" w:sz="0" w:space="0" w:color="auto"/>
            <w:bottom w:val="none" w:sz="0" w:space="0" w:color="auto"/>
            <w:right w:val="none" w:sz="0" w:space="0" w:color="auto"/>
          </w:divBdr>
        </w:div>
        <w:div w:id="1766534599">
          <w:marLeft w:val="0"/>
          <w:marRight w:val="0"/>
          <w:marTop w:val="0"/>
          <w:marBottom w:val="0"/>
          <w:divBdr>
            <w:top w:val="none" w:sz="0" w:space="0" w:color="auto"/>
            <w:left w:val="none" w:sz="0" w:space="0" w:color="auto"/>
            <w:bottom w:val="none" w:sz="0" w:space="0" w:color="auto"/>
            <w:right w:val="none" w:sz="0" w:space="0" w:color="auto"/>
          </w:divBdr>
        </w:div>
        <w:div w:id="974530435">
          <w:marLeft w:val="0"/>
          <w:marRight w:val="0"/>
          <w:marTop w:val="0"/>
          <w:marBottom w:val="0"/>
          <w:divBdr>
            <w:top w:val="none" w:sz="0" w:space="0" w:color="auto"/>
            <w:left w:val="none" w:sz="0" w:space="0" w:color="auto"/>
            <w:bottom w:val="none" w:sz="0" w:space="0" w:color="auto"/>
            <w:right w:val="none" w:sz="0" w:space="0" w:color="auto"/>
          </w:divBdr>
        </w:div>
        <w:div w:id="1864585626">
          <w:marLeft w:val="0"/>
          <w:marRight w:val="0"/>
          <w:marTop w:val="0"/>
          <w:marBottom w:val="0"/>
          <w:divBdr>
            <w:top w:val="none" w:sz="0" w:space="0" w:color="auto"/>
            <w:left w:val="none" w:sz="0" w:space="0" w:color="auto"/>
            <w:bottom w:val="none" w:sz="0" w:space="0" w:color="auto"/>
            <w:right w:val="none" w:sz="0" w:space="0" w:color="auto"/>
          </w:divBdr>
        </w:div>
      </w:divsChild>
    </w:div>
    <w:div w:id="780956762">
      <w:bodyDiv w:val="1"/>
      <w:marLeft w:val="0"/>
      <w:marRight w:val="0"/>
      <w:marTop w:val="0"/>
      <w:marBottom w:val="0"/>
      <w:divBdr>
        <w:top w:val="none" w:sz="0" w:space="0" w:color="auto"/>
        <w:left w:val="none" w:sz="0" w:space="0" w:color="auto"/>
        <w:bottom w:val="none" w:sz="0" w:space="0" w:color="auto"/>
        <w:right w:val="none" w:sz="0" w:space="0" w:color="auto"/>
      </w:divBdr>
      <w:divsChild>
        <w:div w:id="19475042">
          <w:marLeft w:val="0"/>
          <w:marRight w:val="0"/>
          <w:marTop w:val="0"/>
          <w:marBottom w:val="0"/>
          <w:divBdr>
            <w:top w:val="none" w:sz="0" w:space="0" w:color="auto"/>
            <w:left w:val="none" w:sz="0" w:space="0" w:color="auto"/>
            <w:bottom w:val="none" w:sz="0" w:space="0" w:color="auto"/>
            <w:right w:val="none" w:sz="0" w:space="0" w:color="auto"/>
          </w:divBdr>
        </w:div>
        <w:div w:id="2038770542">
          <w:marLeft w:val="0"/>
          <w:marRight w:val="0"/>
          <w:marTop w:val="0"/>
          <w:marBottom w:val="0"/>
          <w:divBdr>
            <w:top w:val="none" w:sz="0" w:space="0" w:color="auto"/>
            <w:left w:val="none" w:sz="0" w:space="0" w:color="auto"/>
            <w:bottom w:val="none" w:sz="0" w:space="0" w:color="auto"/>
            <w:right w:val="none" w:sz="0" w:space="0" w:color="auto"/>
          </w:divBdr>
        </w:div>
      </w:divsChild>
    </w:div>
    <w:div w:id="790854564">
      <w:bodyDiv w:val="1"/>
      <w:marLeft w:val="0"/>
      <w:marRight w:val="0"/>
      <w:marTop w:val="0"/>
      <w:marBottom w:val="0"/>
      <w:divBdr>
        <w:top w:val="none" w:sz="0" w:space="0" w:color="auto"/>
        <w:left w:val="none" w:sz="0" w:space="0" w:color="auto"/>
        <w:bottom w:val="none" w:sz="0" w:space="0" w:color="auto"/>
        <w:right w:val="none" w:sz="0" w:space="0" w:color="auto"/>
      </w:divBdr>
      <w:divsChild>
        <w:div w:id="1086538466">
          <w:marLeft w:val="0"/>
          <w:marRight w:val="0"/>
          <w:marTop w:val="0"/>
          <w:marBottom w:val="0"/>
          <w:divBdr>
            <w:top w:val="none" w:sz="0" w:space="0" w:color="auto"/>
            <w:left w:val="none" w:sz="0" w:space="0" w:color="auto"/>
            <w:bottom w:val="none" w:sz="0" w:space="0" w:color="auto"/>
            <w:right w:val="none" w:sz="0" w:space="0" w:color="auto"/>
          </w:divBdr>
        </w:div>
        <w:div w:id="1774665686">
          <w:marLeft w:val="0"/>
          <w:marRight w:val="0"/>
          <w:marTop w:val="0"/>
          <w:marBottom w:val="0"/>
          <w:divBdr>
            <w:top w:val="none" w:sz="0" w:space="0" w:color="auto"/>
            <w:left w:val="none" w:sz="0" w:space="0" w:color="auto"/>
            <w:bottom w:val="none" w:sz="0" w:space="0" w:color="auto"/>
            <w:right w:val="none" w:sz="0" w:space="0" w:color="auto"/>
          </w:divBdr>
        </w:div>
        <w:div w:id="235939129">
          <w:marLeft w:val="0"/>
          <w:marRight w:val="0"/>
          <w:marTop w:val="0"/>
          <w:marBottom w:val="0"/>
          <w:divBdr>
            <w:top w:val="none" w:sz="0" w:space="0" w:color="auto"/>
            <w:left w:val="none" w:sz="0" w:space="0" w:color="auto"/>
            <w:bottom w:val="none" w:sz="0" w:space="0" w:color="auto"/>
            <w:right w:val="none" w:sz="0" w:space="0" w:color="auto"/>
          </w:divBdr>
        </w:div>
        <w:div w:id="2099863016">
          <w:marLeft w:val="0"/>
          <w:marRight w:val="0"/>
          <w:marTop w:val="0"/>
          <w:marBottom w:val="0"/>
          <w:divBdr>
            <w:top w:val="none" w:sz="0" w:space="0" w:color="auto"/>
            <w:left w:val="none" w:sz="0" w:space="0" w:color="auto"/>
            <w:bottom w:val="none" w:sz="0" w:space="0" w:color="auto"/>
            <w:right w:val="none" w:sz="0" w:space="0" w:color="auto"/>
          </w:divBdr>
        </w:div>
      </w:divsChild>
    </w:div>
    <w:div w:id="1149829940">
      <w:bodyDiv w:val="1"/>
      <w:marLeft w:val="0"/>
      <w:marRight w:val="0"/>
      <w:marTop w:val="0"/>
      <w:marBottom w:val="0"/>
      <w:divBdr>
        <w:top w:val="none" w:sz="0" w:space="0" w:color="auto"/>
        <w:left w:val="none" w:sz="0" w:space="0" w:color="auto"/>
        <w:bottom w:val="none" w:sz="0" w:space="0" w:color="auto"/>
        <w:right w:val="none" w:sz="0" w:space="0" w:color="auto"/>
      </w:divBdr>
      <w:divsChild>
        <w:div w:id="1501850273">
          <w:marLeft w:val="0"/>
          <w:marRight w:val="0"/>
          <w:marTop w:val="0"/>
          <w:marBottom w:val="0"/>
          <w:divBdr>
            <w:top w:val="none" w:sz="0" w:space="0" w:color="auto"/>
            <w:left w:val="none" w:sz="0" w:space="0" w:color="auto"/>
            <w:bottom w:val="none" w:sz="0" w:space="0" w:color="auto"/>
            <w:right w:val="none" w:sz="0" w:space="0" w:color="auto"/>
          </w:divBdr>
        </w:div>
        <w:div w:id="1504318202">
          <w:marLeft w:val="0"/>
          <w:marRight w:val="0"/>
          <w:marTop w:val="0"/>
          <w:marBottom w:val="0"/>
          <w:divBdr>
            <w:top w:val="none" w:sz="0" w:space="0" w:color="auto"/>
            <w:left w:val="none" w:sz="0" w:space="0" w:color="auto"/>
            <w:bottom w:val="none" w:sz="0" w:space="0" w:color="auto"/>
            <w:right w:val="none" w:sz="0" w:space="0" w:color="auto"/>
          </w:divBdr>
        </w:div>
        <w:div w:id="45690635">
          <w:marLeft w:val="0"/>
          <w:marRight w:val="0"/>
          <w:marTop w:val="0"/>
          <w:marBottom w:val="0"/>
          <w:divBdr>
            <w:top w:val="none" w:sz="0" w:space="0" w:color="auto"/>
            <w:left w:val="none" w:sz="0" w:space="0" w:color="auto"/>
            <w:bottom w:val="none" w:sz="0" w:space="0" w:color="auto"/>
            <w:right w:val="none" w:sz="0" w:space="0" w:color="auto"/>
          </w:divBdr>
        </w:div>
      </w:divsChild>
    </w:div>
    <w:div w:id="1539271790">
      <w:bodyDiv w:val="1"/>
      <w:marLeft w:val="0"/>
      <w:marRight w:val="0"/>
      <w:marTop w:val="0"/>
      <w:marBottom w:val="0"/>
      <w:divBdr>
        <w:top w:val="none" w:sz="0" w:space="0" w:color="auto"/>
        <w:left w:val="none" w:sz="0" w:space="0" w:color="auto"/>
        <w:bottom w:val="none" w:sz="0" w:space="0" w:color="auto"/>
        <w:right w:val="none" w:sz="0" w:space="0" w:color="auto"/>
      </w:divBdr>
      <w:divsChild>
        <w:div w:id="1943998487">
          <w:marLeft w:val="0"/>
          <w:marRight w:val="0"/>
          <w:marTop w:val="0"/>
          <w:marBottom w:val="0"/>
          <w:divBdr>
            <w:top w:val="none" w:sz="0" w:space="0" w:color="auto"/>
            <w:left w:val="none" w:sz="0" w:space="0" w:color="auto"/>
            <w:bottom w:val="none" w:sz="0" w:space="0" w:color="auto"/>
            <w:right w:val="none" w:sz="0" w:space="0" w:color="auto"/>
          </w:divBdr>
        </w:div>
        <w:div w:id="1278024368">
          <w:marLeft w:val="0"/>
          <w:marRight w:val="0"/>
          <w:marTop w:val="0"/>
          <w:marBottom w:val="0"/>
          <w:divBdr>
            <w:top w:val="none" w:sz="0" w:space="0" w:color="auto"/>
            <w:left w:val="none" w:sz="0" w:space="0" w:color="auto"/>
            <w:bottom w:val="none" w:sz="0" w:space="0" w:color="auto"/>
            <w:right w:val="none" w:sz="0" w:space="0" w:color="auto"/>
          </w:divBdr>
        </w:div>
      </w:divsChild>
    </w:div>
    <w:div w:id="1657033479">
      <w:bodyDiv w:val="1"/>
      <w:marLeft w:val="0"/>
      <w:marRight w:val="0"/>
      <w:marTop w:val="0"/>
      <w:marBottom w:val="0"/>
      <w:divBdr>
        <w:top w:val="none" w:sz="0" w:space="0" w:color="auto"/>
        <w:left w:val="none" w:sz="0" w:space="0" w:color="auto"/>
        <w:bottom w:val="none" w:sz="0" w:space="0" w:color="auto"/>
        <w:right w:val="none" w:sz="0" w:space="0" w:color="auto"/>
      </w:divBdr>
      <w:divsChild>
        <w:div w:id="1317758150">
          <w:marLeft w:val="0"/>
          <w:marRight w:val="0"/>
          <w:marTop w:val="0"/>
          <w:marBottom w:val="0"/>
          <w:divBdr>
            <w:top w:val="none" w:sz="0" w:space="0" w:color="auto"/>
            <w:left w:val="none" w:sz="0" w:space="0" w:color="auto"/>
            <w:bottom w:val="none" w:sz="0" w:space="0" w:color="auto"/>
            <w:right w:val="none" w:sz="0" w:space="0" w:color="auto"/>
          </w:divBdr>
        </w:div>
        <w:div w:id="823818514">
          <w:marLeft w:val="0"/>
          <w:marRight w:val="0"/>
          <w:marTop w:val="0"/>
          <w:marBottom w:val="0"/>
          <w:divBdr>
            <w:top w:val="none" w:sz="0" w:space="0" w:color="auto"/>
            <w:left w:val="none" w:sz="0" w:space="0" w:color="auto"/>
            <w:bottom w:val="none" w:sz="0" w:space="0" w:color="auto"/>
            <w:right w:val="none" w:sz="0" w:space="0" w:color="auto"/>
          </w:divBdr>
        </w:div>
        <w:div w:id="1497453480">
          <w:marLeft w:val="0"/>
          <w:marRight w:val="0"/>
          <w:marTop w:val="0"/>
          <w:marBottom w:val="0"/>
          <w:divBdr>
            <w:top w:val="none" w:sz="0" w:space="0" w:color="auto"/>
            <w:left w:val="none" w:sz="0" w:space="0" w:color="auto"/>
            <w:bottom w:val="none" w:sz="0" w:space="0" w:color="auto"/>
            <w:right w:val="none" w:sz="0" w:space="0" w:color="auto"/>
          </w:divBdr>
        </w:div>
      </w:divsChild>
    </w:div>
    <w:div w:id="1673098965">
      <w:bodyDiv w:val="1"/>
      <w:marLeft w:val="0"/>
      <w:marRight w:val="0"/>
      <w:marTop w:val="0"/>
      <w:marBottom w:val="0"/>
      <w:divBdr>
        <w:top w:val="none" w:sz="0" w:space="0" w:color="auto"/>
        <w:left w:val="none" w:sz="0" w:space="0" w:color="auto"/>
        <w:bottom w:val="none" w:sz="0" w:space="0" w:color="auto"/>
        <w:right w:val="none" w:sz="0" w:space="0" w:color="auto"/>
      </w:divBdr>
      <w:divsChild>
        <w:div w:id="1895847393">
          <w:marLeft w:val="0"/>
          <w:marRight w:val="0"/>
          <w:marTop w:val="0"/>
          <w:marBottom w:val="0"/>
          <w:divBdr>
            <w:top w:val="none" w:sz="0" w:space="0" w:color="auto"/>
            <w:left w:val="none" w:sz="0" w:space="0" w:color="auto"/>
            <w:bottom w:val="none" w:sz="0" w:space="0" w:color="auto"/>
            <w:right w:val="none" w:sz="0" w:space="0" w:color="auto"/>
          </w:divBdr>
        </w:div>
        <w:div w:id="733117885">
          <w:marLeft w:val="0"/>
          <w:marRight w:val="0"/>
          <w:marTop w:val="0"/>
          <w:marBottom w:val="0"/>
          <w:divBdr>
            <w:top w:val="none" w:sz="0" w:space="0" w:color="auto"/>
            <w:left w:val="none" w:sz="0" w:space="0" w:color="auto"/>
            <w:bottom w:val="none" w:sz="0" w:space="0" w:color="auto"/>
            <w:right w:val="none" w:sz="0" w:space="0" w:color="auto"/>
          </w:divBdr>
        </w:div>
      </w:divsChild>
    </w:div>
    <w:div w:id="2069187758">
      <w:bodyDiv w:val="1"/>
      <w:marLeft w:val="0"/>
      <w:marRight w:val="0"/>
      <w:marTop w:val="0"/>
      <w:marBottom w:val="0"/>
      <w:divBdr>
        <w:top w:val="none" w:sz="0" w:space="0" w:color="auto"/>
        <w:left w:val="none" w:sz="0" w:space="0" w:color="auto"/>
        <w:bottom w:val="none" w:sz="0" w:space="0" w:color="auto"/>
        <w:right w:val="none" w:sz="0" w:space="0" w:color="auto"/>
      </w:divBdr>
      <w:divsChild>
        <w:div w:id="1605722839">
          <w:marLeft w:val="0"/>
          <w:marRight w:val="0"/>
          <w:marTop w:val="0"/>
          <w:marBottom w:val="0"/>
          <w:divBdr>
            <w:top w:val="none" w:sz="0" w:space="0" w:color="auto"/>
            <w:left w:val="none" w:sz="0" w:space="0" w:color="auto"/>
            <w:bottom w:val="none" w:sz="0" w:space="0" w:color="auto"/>
            <w:right w:val="none" w:sz="0" w:space="0" w:color="auto"/>
          </w:divBdr>
        </w:div>
        <w:div w:id="1925188607">
          <w:marLeft w:val="0"/>
          <w:marRight w:val="0"/>
          <w:marTop w:val="0"/>
          <w:marBottom w:val="0"/>
          <w:divBdr>
            <w:top w:val="none" w:sz="0" w:space="0" w:color="auto"/>
            <w:left w:val="none" w:sz="0" w:space="0" w:color="auto"/>
            <w:bottom w:val="none" w:sz="0" w:space="0" w:color="auto"/>
            <w:right w:val="none" w:sz="0" w:space="0" w:color="auto"/>
          </w:divBdr>
        </w:div>
        <w:div w:id="825626543">
          <w:marLeft w:val="0"/>
          <w:marRight w:val="0"/>
          <w:marTop w:val="0"/>
          <w:marBottom w:val="0"/>
          <w:divBdr>
            <w:top w:val="none" w:sz="0" w:space="0" w:color="auto"/>
            <w:left w:val="none" w:sz="0" w:space="0" w:color="auto"/>
            <w:bottom w:val="none" w:sz="0" w:space="0" w:color="auto"/>
            <w:right w:val="none" w:sz="0" w:space="0" w:color="auto"/>
          </w:divBdr>
        </w:div>
        <w:div w:id="1016690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722E-6BDD-4AC2-824E-100DE2B2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53</Pages>
  <Words>12694</Words>
  <Characters>72360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Lynn-Jones, Sean</dc:creator>
  <cp:keywords/>
  <dc:description/>
  <cp:lastModifiedBy>Patrick Porter</cp:lastModifiedBy>
  <cp:revision>405</cp:revision>
  <cp:lastPrinted>2017-06-16T20:39:00Z</cp:lastPrinted>
  <dcterms:created xsi:type="dcterms:W3CDTF">2017-10-12T12:33:00Z</dcterms:created>
  <dcterms:modified xsi:type="dcterms:W3CDTF">2017-11-25T15:06:00Z</dcterms:modified>
</cp:coreProperties>
</file>