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389" w:rsidRPr="008736A7" w:rsidRDefault="006E7389" w:rsidP="00C718A9">
      <w:pPr>
        <w:jc w:val="both"/>
        <w:rPr>
          <w:rFonts w:ascii="Times New Roman" w:eastAsia="Times New Roman" w:hAnsi="Times New Roman" w:cs="Times New Roman"/>
          <w:sz w:val="20"/>
          <w:szCs w:val="20"/>
        </w:rPr>
      </w:pPr>
    </w:p>
    <w:p w:rsidR="006E7389" w:rsidRPr="008736A7" w:rsidRDefault="006E7389" w:rsidP="00C718A9">
      <w:pPr>
        <w:jc w:val="both"/>
        <w:rPr>
          <w:rFonts w:ascii="Times New Roman" w:eastAsia="Times New Roman" w:hAnsi="Times New Roman" w:cs="Times New Roman"/>
          <w:sz w:val="20"/>
          <w:szCs w:val="20"/>
        </w:rPr>
      </w:pPr>
    </w:p>
    <w:p w:rsidR="006E7389" w:rsidRPr="008736A7" w:rsidRDefault="006E7389" w:rsidP="00C718A9">
      <w:pPr>
        <w:jc w:val="both"/>
        <w:rPr>
          <w:rFonts w:ascii="Times New Roman" w:eastAsia="Times New Roman" w:hAnsi="Times New Roman" w:cs="Times New Roman"/>
          <w:sz w:val="20"/>
          <w:szCs w:val="20"/>
        </w:rPr>
      </w:pPr>
    </w:p>
    <w:p w:rsidR="006E7389" w:rsidRPr="008736A7" w:rsidRDefault="006E7389" w:rsidP="00C718A9">
      <w:pPr>
        <w:jc w:val="both"/>
        <w:rPr>
          <w:rFonts w:ascii="Times New Roman" w:eastAsia="Times New Roman" w:hAnsi="Times New Roman" w:cs="Times New Roman"/>
          <w:sz w:val="20"/>
          <w:szCs w:val="20"/>
        </w:rPr>
      </w:pPr>
    </w:p>
    <w:p w:rsidR="006E7389" w:rsidRPr="008736A7" w:rsidRDefault="006E7389" w:rsidP="00C718A9">
      <w:pPr>
        <w:jc w:val="both"/>
        <w:rPr>
          <w:rFonts w:ascii="Times New Roman" w:eastAsia="Times New Roman" w:hAnsi="Times New Roman" w:cs="Times New Roman"/>
          <w:sz w:val="20"/>
          <w:szCs w:val="20"/>
        </w:rPr>
      </w:pPr>
    </w:p>
    <w:p w:rsidR="006E7389" w:rsidRPr="008736A7" w:rsidRDefault="00090084" w:rsidP="00090084">
      <w:pPr>
        <w:tabs>
          <w:tab w:val="left" w:pos="9243"/>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6E7389" w:rsidRPr="008736A7" w:rsidRDefault="006E7389" w:rsidP="00C718A9">
      <w:pPr>
        <w:jc w:val="both"/>
        <w:rPr>
          <w:rFonts w:ascii="Times New Roman" w:eastAsia="Times New Roman" w:hAnsi="Times New Roman" w:cs="Times New Roman"/>
          <w:sz w:val="20"/>
          <w:szCs w:val="20"/>
        </w:rPr>
      </w:pPr>
    </w:p>
    <w:p w:rsidR="006E7389" w:rsidRDefault="006E7389" w:rsidP="00C718A9">
      <w:pPr>
        <w:spacing w:before="6"/>
        <w:jc w:val="both"/>
        <w:rPr>
          <w:rFonts w:ascii="Times New Roman" w:eastAsia="Times New Roman" w:hAnsi="Times New Roman" w:cs="Times New Roman"/>
          <w:sz w:val="20"/>
          <w:szCs w:val="20"/>
        </w:rPr>
      </w:pPr>
    </w:p>
    <w:p w:rsidR="00415504" w:rsidRPr="008736A7" w:rsidRDefault="00415504" w:rsidP="00C718A9">
      <w:pPr>
        <w:spacing w:before="6"/>
        <w:jc w:val="both"/>
        <w:rPr>
          <w:rFonts w:ascii="Times New Roman" w:eastAsia="Times New Roman" w:hAnsi="Times New Roman" w:cs="Times New Roman"/>
          <w:sz w:val="23"/>
          <w:szCs w:val="23"/>
        </w:rPr>
      </w:pPr>
    </w:p>
    <w:p w:rsidR="00415504" w:rsidRDefault="00705EBE" w:rsidP="00415504">
      <w:pPr>
        <w:spacing w:before="59" w:line="280" w:lineRule="auto"/>
        <w:ind w:left="2271" w:right="862"/>
        <w:jc w:val="both"/>
        <w:rPr>
          <w:rFonts w:ascii="Times New Roman" w:hAnsi="Times New Roman" w:cs="Times New Roman"/>
          <w:b/>
          <w:w w:val="95"/>
          <w:sz w:val="24"/>
        </w:rPr>
      </w:pPr>
      <w:r w:rsidRPr="008736A7">
        <w:rPr>
          <w:rFonts w:ascii="Times New Roman" w:hAnsi="Times New Roman" w:cs="Times New Roman"/>
          <w:b/>
        </w:rPr>
        <w:t>Reassessing Climate and pre-Columbian Drivers of Paleofire Activity in the Bolivian Amazon</w:t>
      </w:r>
    </w:p>
    <w:p w:rsidR="00705EBE" w:rsidRPr="00415504" w:rsidRDefault="00705EBE" w:rsidP="00415504">
      <w:pPr>
        <w:spacing w:before="59" w:line="280" w:lineRule="auto"/>
        <w:ind w:left="2271" w:right="862"/>
        <w:jc w:val="both"/>
        <w:rPr>
          <w:rFonts w:ascii="Times New Roman" w:hAnsi="Times New Roman" w:cs="Times New Roman"/>
          <w:b/>
          <w:w w:val="95"/>
          <w:sz w:val="24"/>
          <w:lang w:val="pt-BR"/>
        </w:rPr>
      </w:pPr>
      <w:r w:rsidRPr="008736A7">
        <w:rPr>
          <w:rFonts w:ascii="Times New Roman" w:hAnsi="Times New Roman" w:cs="Times New Roman"/>
          <w:sz w:val="20"/>
          <w:szCs w:val="20"/>
          <w:lang w:val="pt-BR"/>
        </w:rPr>
        <w:t>S. Yoshi Maezumi</w:t>
      </w:r>
      <w:r w:rsidRPr="008736A7">
        <w:rPr>
          <w:rFonts w:ascii="Times New Roman" w:hAnsi="Times New Roman" w:cs="Times New Roman"/>
          <w:sz w:val="20"/>
          <w:szCs w:val="20"/>
          <w:vertAlign w:val="superscript"/>
          <w:lang w:val="pt-BR"/>
        </w:rPr>
        <w:t>1</w:t>
      </w:r>
      <w:r w:rsidR="00415504">
        <w:rPr>
          <w:rStyle w:val="FootnoteReference"/>
          <w:rFonts w:ascii="Times New Roman" w:hAnsi="Times New Roman" w:cs="Times New Roman"/>
          <w:sz w:val="20"/>
          <w:szCs w:val="20"/>
          <w:lang w:val="pt-BR"/>
        </w:rPr>
        <w:footnoteReference w:id="1"/>
      </w:r>
      <w:r w:rsidRPr="008736A7">
        <w:rPr>
          <w:rFonts w:ascii="Times New Roman" w:hAnsi="Times New Roman" w:cs="Times New Roman"/>
          <w:sz w:val="20"/>
          <w:szCs w:val="20"/>
          <w:lang w:val="pt-BR"/>
        </w:rPr>
        <w:t>, Bronwen S. Whitney</w:t>
      </w:r>
      <w:r w:rsidRPr="008736A7">
        <w:rPr>
          <w:rFonts w:ascii="Times New Roman" w:hAnsi="Times New Roman" w:cs="Times New Roman"/>
          <w:sz w:val="20"/>
          <w:szCs w:val="20"/>
          <w:vertAlign w:val="superscript"/>
          <w:lang w:val="pt-BR"/>
        </w:rPr>
        <w:t>2</w:t>
      </w:r>
      <w:r w:rsidRPr="008736A7">
        <w:rPr>
          <w:rFonts w:ascii="Times New Roman" w:hAnsi="Times New Roman" w:cs="Times New Roman"/>
          <w:sz w:val="20"/>
          <w:szCs w:val="20"/>
          <w:lang w:val="pt-BR"/>
        </w:rPr>
        <w:t>, Francis E. Mayle</w:t>
      </w:r>
      <w:r w:rsidRPr="008736A7">
        <w:rPr>
          <w:rFonts w:ascii="Times New Roman" w:hAnsi="Times New Roman" w:cs="Times New Roman"/>
          <w:sz w:val="20"/>
          <w:szCs w:val="20"/>
          <w:vertAlign w:val="superscript"/>
          <w:lang w:val="pt-BR"/>
        </w:rPr>
        <w:t>3</w:t>
      </w:r>
      <w:r w:rsidRPr="008736A7">
        <w:rPr>
          <w:rFonts w:ascii="Times New Roman" w:hAnsi="Times New Roman" w:cs="Times New Roman"/>
          <w:sz w:val="20"/>
          <w:szCs w:val="20"/>
          <w:lang w:val="pt-BR"/>
        </w:rPr>
        <w:t>,</w:t>
      </w:r>
      <w:r w:rsidRPr="008736A7">
        <w:rPr>
          <w:rFonts w:ascii="Times New Roman" w:hAnsi="Times New Roman" w:cs="Times New Roman"/>
          <w:color w:val="000000"/>
          <w:sz w:val="20"/>
          <w:szCs w:val="20"/>
          <w:lang w:val="pt-BR"/>
        </w:rPr>
        <w:t xml:space="preserve"> Jonas Gregorio de Souza</w:t>
      </w:r>
      <w:r w:rsidRPr="008736A7">
        <w:rPr>
          <w:rFonts w:ascii="Times New Roman" w:hAnsi="Times New Roman" w:cs="Times New Roman"/>
          <w:color w:val="000000"/>
          <w:sz w:val="20"/>
          <w:szCs w:val="20"/>
          <w:vertAlign w:val="superscript"/>
          <w:lang w:val="pt-BR"/>
        </w:rPr>
        <w:t>1</w:t>
      </w:r>
      <w:r w:rsidRPr="008736A7">
        <w:rPr>
          <w:rFonts w:ascii="Times New Roman" w:hAnsi="Times New Roman" w:cs="Times New Roman"/>
          <w:color w:val="000000"/>
          <w:sz w:val="20"/>
          <w:szCs w:val="20"/>
          <w:lang w:val="pt-BR"/>
        </w:rPr>
        <w:t xml:space="preserve"> , </w:t>
      </w:r>
      <w:r w:rsidRPr="008736A7">
        <w:rPr>
          <w:rFonts w:ascii="Times New Roman" w:hAnsi="Times New Roman" w:cs="Times New Roman"/>
          <w:sz w:val="20"/>
          <w:szCs w:val="20"/>
          <w:lang w:val="pt-BR"/>
        </w:rPr>
        <w:t>Jose Iriarte</w:t>
      </w:r>
      <w:r w:rsidRPr="008736A7">
        <w:rPr>
          <w:rFonts w:ascii="Times New Roman" w:hAnsi="Times New Roman" w:cs="Times New Roman"/>
          <w:sz w:val="20"/>
          <w:szCs w:val="20"/>
          <w:vertAlign w:val="superscript"/>
          <w:lang w:val="pt-BR"/>
        </w:rPr>
        <w:t>1</w:t>
      </w:r>
    </w:p>
    <w:p w:rsidR="00705EBE" w:rsidRPr="008736A7" w:rsidRDefault="00705EBE" w:rsidP="00705EBE">
      <w:pPr>
        <w:spacing w:before="59" w:line="280" w:lineRule="auto"/>
        <w:ind w:left="2271" w:right="862"/>
        <w:jc w:val="both"/>
        <w:rPr>
          <w:rFonts w:ascii="Times New Roman" w:hAnsi="Times New Roman" w:cs="Times New Roman"/>
          <w:b/>
          <w:w w:val="95"/>
          <w:sz w:val="24"/>
          <w:szCs w:val="24"/>
          <w:lang w:val="en-GB"/>
        </w:rPr>
      </w:pPr>
      <w:r w:rsidRPr="008736A7">
        <w:rPr>
          <w:rFonts w:ascii="Times New Roman" w:hAnsi="Times New Roman" w:cs="Times New Roman"/>
          <w:i/>
          <w:sz w:val="20"/>
          <w:szCs w:val="20"/>
          <w:vertAlign w:val="superscript"/>
        </w:rPr>
        <w:t>1</w:t>
      </w:r>
      <w:r w:rsidRPr="008736A7">
        <w:rPr>
          <w:rFonts w:ascii="Times New Roman" w:hAnsi="Times New Roman" w:cs="Times New Roman"/>
          <w:i/>
          <w:sz w:val="20"/>
          <w:szCs w:val="20"/>
        </w:rPr>
        <w:t>Department of Archaeology, College of Humanities, University of Exeter, Laver Building, North Park Road, Exeter EX4 4QE, UK</w:t>
      </w:r>
      <w:r w:rsidRPr="008736A7">
        <w:rPr>
          <w:rFonts w:ascii="Times New Roman" w:hAnsi="Times New Roman" w:cs="Times New Roman"/>
          <w:b/>
          <w:w w:val="95"/>
        </w:rPr>
        <w:t xml:space="preserve">, </w:t>
      </w:r>
      <w:r w:rsidRPr="008736A7">
        <w:rPr>
          <w:rFonts w:ascii="Times New Roman" w:hAnsi="Times New Roman" w:cs="Times New Roman"/>
          <w:i/>
          <w:sz w:val="20"/>
          <w:szCs w:val="20"/>
          <w:vertAlign w:val="superscript"/>
        </w:rPr>
        <w:t>2</w:t>
      </w:r>
      <w:r w:rsidRPr="008736A7">
        <w:rPr>
          <w:rFonts w:ascii="Times New Roman" w:hAnsi="Times New Roman" w:cs="Times New Roman"/>
          <w:i/>
          <w:sz w:val="20"/>
          <w:szCs w:val="20"/>
        </w:rPr>
        <w:t>Department of Geography and Environment Sciences, Northumbria University, Ellison Place, Newcastle-upon-Tyne, NE1 8ST Drummond Street</w:t>
      </w:r>
      <w:r w:rsidRPr="008736A7">
        <w:rPr>
          <w:rFonts w:ascii="Times New Roman" w:hAnsi="Times New Roman" w:cs="Times New Roman"/>
          <w:b/>
          <w:w w:val="95"/>
          <w:lang w:val="en-GB"/>
        </w:rPr>
        <w:t xml:space="preserve">, </w:t>
      </w:r>
      <w:r w:rsidRPr="008736A7">
        <w:rPr>
          <w:rFonts w:ascii="Times New Roman" w:hAnsi="Times New Roman" w:cs="Times New Roman"/>
          <w:i/>
          <w:sz w:val="20"/>
          <w:szCs w:val="20"/>
          <w:vertAlign w:val="superscript"/>
        </w:rPr>
        <w:t>3</w:t>
      </w:r>
      <w:r w:rsidRPr="008736A7">
        <w:rPr>
          <w:rFonts w:ascii="Times New Roman" w:hAnsi="Times New Roman" w:cs="Times New Roman"/>
          <w:i/>
          <w:sz w:val="20"/>
          <w:szCs w:val="20"/>
        </w:rPr>
        <w:t>Department of Geography and Environmental Science, University of Reading, Whiteknights, PO Box 227, Reading RG6, UK555</w:t>
      </w:r>
    </w:p>
    <w:p w:rsidR="00705EBE" w:rsidRPr="008736A7" w:rsidRDefault="00705EBE" w:rsidP="008736A7">
      <w:pPr>
        <w:spacing w:before="158"/>
        <w:ind w:left="2275" w:right="869"/>
        <w:jc w:val="center"/>
        <w:rPr>
          <w:rFonts w:ascii="Times New Roman" w:hAnsi="Times New Roman" w:cs="Times New Roman"/>
          <w:sz w:val="16"/>
          <w:szCs w:val="24"/>
        </w:rPr>
      </w:pPr>
      <w:r w:rsidRPr="008736A7">
        <w:rPr>
          <w:rFonts w:ascii="Times New Roman" w:hAnsi="Times New Roman" w:cs="Times New Roman"/>
          <w:i/>
          <w:sz w:val="18"/>
          <w:szCs w:val="18"/>
        </w:rPr>
        <w:t xml:space="preserve"> (Received December 28 2016, Accepted 30 November 2017)</w:t>
      </w:r>
    </w:p>
    <w:p w:rsidR="006E7389" w:rsidRPr="008736A7" w:rsidRDefault="006E7389" w:rsidP="00C718A9">
      <w:pPr>
        <w:jc w:val="both"/>
        <w:rPr>
          <w:rFonts w:ascii="Times New Roman" w:eastAsia="Century" w:hAnsi="Times New Roman" w:cs="Times New Roman"/>
          <w:sz w:val="16"/>
          <w:szCs w:val="16"/>
        </w:rPr>
      </w:pPr>
    </w:p>
    <w:p w:rsidR="00705EBE" w:rsidRPr="008736A7" w:rsidRDefault="00705EBE" w:rsidP="00705EBE">
      <w:pPr>
        <w:spacing w:line="200" w:lineRule="exact"/>
        <w:ind w:left="2391" w:right="981"/>
        <w:jc w:val="both"/>
        <w:rPr>
          <w:rFonts w:ascii="Times New Roman" w:hAnsi="Times New Roman" w:cs="Times New Roman"/>
          <w:sz w:val="18"/>
          <w:szCs w:val="24"/>
        </w:rPr>
      </w:pPr>
      <w:r w:rsidRPr="008736A7">
        <w:rPr>
          <w:rFonts w:ascii="Times New Roman" w:hAnsi="Times New Roman" w:cs="Times New Roman"/>
          <w:sz w:val="18"/>
          <w:szCs w:val="18"/>
        </w:rPr>
        <w:t xml:space="preserve">A 50,000-year-old sediment core record from Laguna Chaplin is reanalyzed to explore potential paleoecological methods to detect the extent of pre-Columbian disturbance in the Bolivian Amazon. High-resolution (sub-centennial) macrocharcoal data are analyzed using statistical algorithm software including Regime Shift Detection and CHAR Analysis to detect changes in past fire regimes. These data are compared with existing charcoal records from throughout the Bolivian lowlands to provide a regional scale context of past biomass burning. During the mid-Holocene, changes in precipitation are the dominant driver of fire activity and biomass burning at Laguna Chaplin and across the Bolivian lowlands.  During the late Holocene, increased fire activity across ecosystems ranging from fire-adapted to fire-intolerant forests is attributed to the apex of pre-Columbian activity. These data suggest human-caused ignitions during the late Holocene are the driving factor of regional scale fire activity in the Bolivian lowlands.  After ca. 650 cal yr BP, there is an increase in biomass burning and fire frequency synchronous with the expansion of Moraceae/Urticaceae pollen (&gt;50%) at Laguna Chaplin. This occurs during the time-transgressive southward expansion of the rainforest boundary, during the apex of pre-Columbian activity in the region. The increase in biomass burning at Laguna Chaplin is reflected at other sites in the region with known human occupation histories. The presence of </w:t>
      </w:r>
      <w:r w:rsidRPr="008736A7">
        <w:rPr>
          <w:rFonts w:ascii="Times New Roman" w:hAnsi="Times New Roman" w:cs="Times New Roman"/>
          <w:i/>
          <w:sz w:val="18"/>
          <w:szCs w:val="18"/>
        </w:rPr>
        <w:t xml:space="preserve">Zea mays </w:t>
      </w:r>
      <w:r w:rsidRPr="008736A7">
        <w:rPr>
          <w:rFonts w:ascii="Times New Roman" w:hAnsi="Times New Roman" w:cs="Times New Roman"/>
          <w:sz w:val="18"/>
          <w:szCs w:val="18"/>
        </w:rPr>
        <w:t>ca. 970 to 170 cal yr BP</w:t>
      </w:r>
      <w:r w:rsidRPr="008736A7">
        <w:rPr>
          <w:rFonts w:ascii="Times New Roman" w:hAnsi="Times New Roman" w:cs="Times New Roman"/>
          <w:i/>
          <w:sz w:val="18"/>
          <w:szCs w:val="18"/>
        </w:rPr>
        <w:t xml:space="preserve"> </w:t>
      </w:r>
      <w:r w:rsidRPr="008736A7">
        <w:rPr>
          <w:rFonts w:ascii="Times New Roman" w:hAnsi="Times New Roman" w:cs="Times New Roman"/>
          <w:sz w:val="18"/>
          <w:szCs w:val="18"/>
        </w:rPr>
        <w:t>indicates maize cultivation is practiced in the immediate vicinity surrounding Laguna Chaplin. The simultaneous increase in fire activity with the expansion of the less flammable humid rainforest vegetation suggests human fire management practices. These data are interpreted as the use of frequent, low severity, human-caused fires to clear the croplands from encroaching rainforest vegetation. Despite evidence of pre-Columbian fire management during the late Holocene, vegetation and fire data indicate the extent of human-landscape modification and fire management at Laguna Chaplin, is not enough to inhibit the climate-driven regional forest expansion of the savanna-rainforest ecotonal</w:t>
      </w:r>
      <w:r w:rsidRPr="008736A7">
        <w:rPr>
          <w:rFonts w:ascii="Times New Roman" w:hAnsi="Times New Roman" w:cs="Times New Roman"/>
          <w:i/>
          <w:sz w:val="18"/>
          <w:szCs w:val="18"/>
        </w:rPr>
        <w:t xml:space="preserve"> </w:t>
      </w:r>
      <w:r w:rsidRPr="008736A7">
        <w:rPr>
          <w:rFonts w:ascii="Times New Roman" w:hAnsi="Times New Roman" w:cs="Times New Roman"/>
          <w:sz w:val="18"/>
          <w:szCs w:val="18"/>
        </w:rPr>
        <w:t xml:space="preserve">boundary to its most southern extent in the last 50,000 years. This study demonstrates the utility of applying a multi-proxy, high-resolution paleoecological method to disentangle climate and pre-Columbian disturbance in the Bolivian Amazon. </w:t>
      </w:r>
    </w:p>
    <w:p w:rsidR="00705EBE" w:rsidRPr="008736A7" w:rsidRDefault="00705EBE" w:rsidP="00705EBE">
      <w:pPr>
        <w:spacing w:line="200" w:lineRule="exact"/>
        <w:ind w:left="2391" w:right="981"/>
        <w:jc w:val="both"/>
        <w:rPr>
          <w:rFonts w:ascii="Times New Roman" w:eastAsia="Century" w:hAnsi="Times New Roman" w:cs="Times New Roman"/>
          <w:sz w:val="18"/>
          <w:szCs w:val="18"/>
        </w:rPr>
      </w:pPr>
    </w:p>
    <w:p w:rsidR="00705EBE" w:rsidRPr="008736A7" w:rsidRDefault="00705EBE" w:rsidP="00705EBE">
      <w:pPr>
        <w:spacing w:before="2"/>
        <w:jc w:val="both"/>
        <w:rPr>
          <w:rFonts w:ascii="Times New Roman" w:eastAsia="Century" w:hAnsi="Times New Roman" w:cs="Times New Roman"/>
          <w:sz w:val="18"/>
          <w:szCs w:val="18"/>
        </w:rPr>
      </w:pPr>
    </w:p>
    <w:p w:rsidR="00705EBE" w:rsidRPr="008736A7" w:rsidRDefault="00705EBE" w:rsidP="00705EBE">
      <w:pPr>
        <w:spacing w:line="200" w:lineRule="exact"/>
        <w:ind w:left="2391" w:right="806"/>
        <w:jc w:val="both"/>
        <w:rPr>
          <w:rFonts w:ascii="Times New Roman" w:eastAsia="Century" w:hAnsi="Times New Roman" w:cs="Times New Roman"/>
          <w:sz w:val="18"/>
          <w:szCs w:val="18"/>
        </w:rPr>
      </w:pPr>
      <w:r w:rsidRPr="008736A7">
        <w:rPr>
          <w:rFonts w:ascii="Times New Roman" w:hAnsi="Times New Roman" w:cs="Times New Roman"/>
          <w:b/>
          <w:spacing w:val="-1"/>
          <w:sz w:val="18"/>
        </w:rPr>
        <w:t>Keywords:</w:t>
      </w:r>
      <w:r w:rsidRPr="008736A7">
        <w:rPr>
          <w:rFonts w:ascii="Times New Roman" w:hAnsi="Times New Roman" w:cs="Times New Roman"/>
          <w:b/>
          <w:spacing w:val="-7"/>
          <w:sz w:val="18"/>
        </w:rPr>
        <w:t xml:space="preserve"> </w:t>
      </w:r>
      <w:r w:rsidRPr="008736A7">
        <w:rPr>
          <w:rFonts w:ascii="Times New Roman" w:hAnsi="Times New Roman" w:cs="Times New Roman"/>
          <w:sz w:val="18"/>
          <w:szCs w:val="18"/>
        </w:rPr>
        <w:t>Paleofire; Charcoal; Pre-Columbian; Fire Management; Maize cultivation; Bolivian Amazon</w:t>
      </w:r>
    </w:p>
    <w:p w:rsidR="006E7389" w:rsidRPr="008736A7" w:rsidRDefault="006E7389" w:rsidP="00C718A9">
      <w:pPr>
        <w:spacing w:before="6"/>
        <w:jc w:val="both"/>
        <w:rPr>
          <w:rFonts w:ascii="Times New Roman" w:eastAsia="Century" w:hAnsi="Times New Roman" w:cs="Times New Roman"/>
          <w:sz w:val="26"/>
          <w:szCs w:val="26"/>
        </w:rPr>
      </w:pPr>
    </w:p>
    <w:p w:rsidR="008736A7" w:rsidRPr="008736A7" w:rsidRDefault="00760579" w:rsidP="00090084">
      <w:pPr>
        <w:pStyle w:val="Heading1"/>
        <w:numPr>
          <w:ilvl w:val="0"/>
          <w:numId w:val="5"/>
        </w:numPr>
        <w:tabs>
          <w:tab w:val="left" w:pos="2359"/>
        </w:tabs>
        <w:ind w:right="150" w:hanging="446"/>
        <w:jc w:val="both"/>
        <w:rPr>
          <w:rFonts w:ascii="Times New Roman" w:hAnsi="Times New Roman" w:cs="Times New Roman"/>
          <w:b w:val="0"/>
          <w:bCs w:val="0"/>
        </w:rPr>
      </w:pPr>
      <w:r w:rsidRPr="008736A7">
        <w:rPr>
          <w:rFonts w:ascii="Times New Roman" w:hAnsi="Times New Roman" w:cs="Times New Roman"/>
        </w:rPr>
        <w:t>Introduction</w:t>
      </w:r>
    </w:p>
    <w:p w:rsidR="008736A7" w:rsidRPr="008736A7" w:rsidRDefault="008736A7" w:rsidP="00090084">
      <w:pPr>
        <w:pStyle w:val="Heading1"/>
        <w:tabs>
          <w:tab w:val="left" w:pos="2359"/>
        </w:tabs>
        <w:ind w:right="150" w:firstLine="0"/>
        <w:jc w:val="both"/>
        <w:rPr>
          <w:rFonts w:ascii="Times New Roman" w:hAnsi="Times New Roman" w:cs="Times New Roman"/>
          <w:b w:val="0"/>
          <w:bCs w:val="0"/>
        </w:rPr>
      </w:pPr>
    </w:p>
    <w:p w:rsidR="008736A7" w:rsidRDefault="00705EBE" w:rsidP="00090084">
      <w:pPr>
        <w:pStyle w:val="Heading1"/>
        <w:tabs>
          <w:tab w:val="left" w:pos="1890"/>
          <w:tab w:val="left" w:pos="9720"/>
        </w:tabs>
        <w:ind w:left="1890" w:right="150" w:firstLine="0"/>
        <w:jc w:val="both"/>
        <w:rPr>
          <w:rFonts w:ascii="Times New Roman" w:hAnsi="Times New Roman" w:cs="Times New Roman"/>
          <w:b w:val="0"/>
        </w:rPr>
      </w:pPr>
      <w:r w:rsidRPr="008736A7">
        <w:rPr>
          <w:rFonts w:ascii="Times New Roman" w:hAnsi="Times New Roman" w:cs="Times New Roman"/>
          <w:b w:val="0"/>
        </w:rPr>
        <w:t>Recent evidence of pre-Columbian (before AD 1492) landscape modifications</w:t>
      </w:r>
      <w:r w:rsidR="008736A7">
        <w:rPr>
          <w:rFonts w:ascii="Times New Roman" w:hAnsi="Times New Roman" w:cs="Times New Roman"/>
          <w:b w:val="0"/>
        </w:rPr>
        <w:t xml:space="preserve"> in </w:t>
      </w:r>
      <w:r w:rsidRPr="008736A7">
        <w:rPr>
          <w:rFonts w:ascii="Times New Roman" w:hAnsi="Times New Roman" w:cs="Times New Roman"/>
          <w:b w:val="0"/>
        </w:rPr>
        <w:t xml:space="preserve">Amazonia including earthen mounds, </w:t>
      </w:r>
      <w:r w:rsidR="008736A7">
        <w:rPr>
          <w:rFonts w:ascii="Times New Roman" w:hAnsi="Times New Roman" w:cs="Times New Roman"/>
          <w:b w:val="0"/>
        </w:rPr>
        <w:t xml:space="preserve">canals, causeways and geometric </w:t>
      </w:r>
      <w:r w:rsidRPr="008736A7">
        <w:rPr>
          <w:rFonts w:ascii="Times New Roman" w:hAnsi="Times New Roman" w:cs="Times New Roman"/>
          <w:b w:val="0"/>
        </w:rPr>
        <w:t xml:space="preserve">earthworks </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"ISSN" : "1424-2818", "author" : [ { "dropping-particle" : "", "family" : "Erickson", "given" : "Clark L.", "non-dropping-particle" : "", "parse-names" : false, "suffix" : "" } ], "container-title" : "Diversity", "id" : "ITEM-1", "issued" : { "date-parts" : [ [ "2010", "4", "19" ] ] }, "page" : "618-652", "title" : "The transformation of environment into landscape: The historical ecology of monumental earthwork construction in the Bolivian Amazon", "type" : "article-journal", "volume" : "2" }, "uris" : [ "http://www.mendeley.com/documents/?uuid=5bb5e5e6-98d1-4c2e-a995-e900d3a64fe7" ] }, { "id" : "ITEM-2", "itemData" : { "ISSN" : "0014-4738", "author" : [ { "dropping-particle" : "", "family" : "Erickson", "given" : "Clark L", "non-dropping-particle" : "", "parse-names" : false, "suffix" : "" } ], "container-title" : "Expedition", "id" : "ITEM-2", "issued" : { "date-parts" : [ [ "2001" ] ] }, "page" : "21-30", "publisher" : "THE UNIVERSITY OF PENNSYLVANIA MUSEUM", "title" : "Pre-Columbian roads of the Amazon", "type" : "article-journal", "volume" : "43" }, "uris" : [ "http://www.mendeley.com/documents/?uuid=ffd8c787-8986-45ec-94d4-7131ab1cf14f" ] }, { "id" : "ITEM-3", "itemData" : { "author" : [ { "dropping-particle" : "", "family" : "Erickson", "given" : "Clark L", "non-dropping-particle" : "", "parse-names" : false, "suffix" : "" }, { "dropping-particle" : "", "family" : "Bal\u00e9e", "given" : "William", "non-dropping-particle" : "", "parse-names" : false, "suffix" : "" } ], "container-title" : "Time and complexity in historical ecology: Studies in the neotropical lowlands", "editor" : [ { "dropping-particle" : "", "family" : "Balee", "given" : "W.", "non-dropping-particle" : "", "parse-names" : false, "suffix" : "" }, { "dropping-particle" : "", "family" : "Erickson", "given" : "Clark L.", "non-dropping-particle" : "", "parse-names" : false, "suffix" : "" } ], "id" : "ITEM-3", "issued" : { "date-parts" : [ [ "2006" ] ] }, "page" : "187-233", "publisher" : "Columbia University Press", "publisher-place" : "New York, NY", "title" : "The historical ecology of a complex landscape in bolivia", "type" : "chapter" }, "uris" : [ "http://www.mendeley.com/documents/?uuid=90f50f09-c167-4069-9ef6-3571e6defb88" ] }, { "id" : "ITEM-4", "itemData" : { "ISSN" : "0305-4403", "author" : [ { "dropping-particle" : "", "family" : "Lombardo", "given" : "Umberto", "non-dropping-particle" : "", "parse-names" : false, "suffix" : "" }, { "dropping-particle" : "", "family" : "Canal-Beeby", "given" : "Elisa", "non-dropping-particle" : "", "parse-names" : false, "suffix" : "" }, { "dropping-particle" : "", "family" : "Fehr", "given" : "Seraina", "non-dropping-particle" : "", "parse-names" : false, "suffix" : "" }, { "dropping-particle" : "", "family" : "Veit", "given" : "Heinz", "non-dropping-particle" : "", "parse-names" : false, "suffix" : "" } ], "container-title" : "Journal of Archaeological Science", "id" : "ITEM-4", "issue" : "3", "issued" : { "date-parts" : [ [ "2011" ] ] }, "page" : "502-512", "publisher" : "Elsevier", "title" : "Raised fields in the Bolivian Amazonia: a prehistoric green revolution or a flood risk mitigation strategy?", "type" : "article-journal", "volume" : "38" }, "uris" : [ "http://www.mendeley.com/documents/?uuid=79e2f2e5-5e3a-434e-926f-309d1cda927d" ] }, { "id" : "ITEM-5", "itemData" : { "ISSN" : "0036-8075", "author" : [ { "dropping-particle" : "", "family" : "Mann", "given" : "Charles C", "non-dropping-particle" : "", "parse-names" : false, "suffix" : "" } ], "container-title" : "Science", "id" : "ITEM-5", "issue" : "5893", "issued" : { "date-parts" : [ [ "2008" ] ] }, "page" : "1148-1152", "publisher" : "American Association for the Advancement of Science", "title" : "Ancient earthmovers of the Amazon", "type" : "article-journal", "volume" : "321" }, "uris" : [ "http://www.mendeley.com/documents/?uuid=5b62154c-2b13-4ad6-b195-57b8c7db5cfe" ] }, { "id" : "ITEM-6", "itemData" : { "author" : [ { "dropping-particle" : "", "family" : "Heckenberger", "given" : "Michael J", "non-dropping-particle" : "", "parse-names" : false, "suffix" : "" } ], "container-title" : "Science", "id" : "ITEM-6", "issued" : { "date-parts" : [ [ "2008" ] ] }, "page" : "1151-1151", "title" : "The Western Amazon\u2019s \u201cGarden Cities\u201d", "type" : "article-journal", "volume" : "321" }, "uris" : [ "http://www.mendeley.com/documents/?uuid=d149ef70-5ac3-43a5-aec2-bb2ea77cd594" ] }, { "id" : "ITEM-7", "itemData" : { "ISSN" : "0084-6570", "author" : [ { "dropping-particle" : "", "family" : "Heckenberger", "given" : "Michael", "non-dropping-particle" : "", "parse-names" : false, "suffix" : "" }, { "dropping-particle" : "", "family" : "Neves", "given" : "Eduardo G\u00f3es", "non-dropping-particle" : "", "parse-names" : false, "suffix" : "" } ], "container-title" : "Annual Review of Anthropology", "id" : "ITEM-7", "issued" : { "date-parts" : [ [ "2009" ] ] }, "page" : "251-266", "publisher" : "Annual Reviews", "title" : "Amazonian archaeology", "type" : "article-journal", "volume" : "38" }, "uris" : [ "http://www.mendeley.com/documents/?uuid=4844726b-9b96-4f33-a5a8-03030f16c56d" ] }, { "id" : "ITEM-8", "itemData" : { "author" : [ { "dropping-particle" : "", "family" : "P\u00e4rssinen", "given" : "Martti", "non-dropping-particle" : "", "parse-names" : false, "suffix" : "" }, { "dropping-particle" : "", "family" : "Schaan", "given" : "Denise", "non-dropping-particle" : "", "parse-names" : false, "suffix" : "" } ], "container-title" : "Antiquity", "id" : "ITEM-8", "issued" : { "date-parts" : [ [ "2009" ] ] }, "page" : "1084-1095", "title" : "Pre-Columbian geometric earthworks in the upper Purus: A complex society in western Amazonia", "type" : "article-journal", "volume" : "83" }, "uris" : [ "http://www.mendeley.com/documents/?uuid=d060aa4f-1262-4c67-a681-a8a30d7553e4" ] } ], "mendeley" : { "formattedCitation" : "(Erickson, 2010, 2001; Erickson and Bal\u00e9e, 2006; Heckenberger and Neves, 2009; Heckenberger, 2008; Lombardo et al., 2011; Mann, 2008; P\u00e4rssinen and Schaan, 2009)", "plainTextFormattedCitation" : "(Erickson, 2010, 2001; Erickson and Bal\u00e9e, 2006; Heckenberger and Neves, 2009; Heckenberger, 2008; Lombardo et al., 2011; Mann, 2008; P\u00e4rssinen and Schaan, 2009)", "previouslyFormattedCitation" : "(Erickson, 2010, 2001; Erickson and Bal\u00e9e, 2006; Heckenberger and Neves, 2009; Heckenberger, 2008; Lombardo et al., 2011; Mann, 2008; P\u00e4rssinen and Schaan, 2009)"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rPr>
        <w:t xml:space="preserve">(Erickson, 2010, </w:t>
      </w:r>
      <w:r w:rsidRPr="008736A7">
        <w:rPr>
          <w:rFonts w:ascii="Times New Roman" w:hAnsi="Times New Roman" w:cs="Times New Roman"/>
          <w:b w:val="0"/>
          <w:noProof/>
        </w:rPr>
        <w:lastRenderedPageBreak/>
        <w:t>2001; Erickson and Balée, 2006; Heckenberger and Neves, 2009; Heckenberger, 2008; Lombardo et al., 2011; Mann, 2008; Pärssinen and Schaan, 2009)</w:t>
      </w:r>
      <w:r w:rsidRPr="008736A7">
        <w:rPr>
          <w:rFonts w:ascii="Times New Roman" w:hAnsi="Times New Roman" w:cs="Times New Roman"/>
          <w:b w:val="0"/>
        </w:rPr>
        <w:fldChar w:fldCharType="end"/>
      </w:r>
      <w:r w:rsidRPr="008736A7">
        <w:rPr>
          <w:rFonts w:ascii="Times New Roman" w:hAnsi="Times New Roman" w:cs="Times New Roman"/>
          <w:b w:val="0"/>
        </w:rPr>
        <w:t xml:space="preserve">, </w:t>
      </w:r>
    </w:p>
    <w:p w:rsidR="00705EBE" w:rsidRPr="008736A7" w:rsidRDefault="00705EBE" w:rsidP="00090084">
      <w:pPr>
        <w:pStyle w:val="Heading1"/>
        <w:tabs>
          <w:tab w:val="left" w:pos="1890"/>
          <w:tab w:val="left" w:pos="9720"/>
        </w:tabs>
        <w:ind w:left="1890" w:right="150" w:firstLine="0"/>
        <w:jc w:val="both"/>
        <w:rPr>
          <w:rFonts w:ascii="Times New Roman" w:hAnsi="Times New Roman" w:cs="Times New Roman"/>
          <w:b w:val="0"/>
        </w:rPr>
      </w:pPr>
      <w:r w:rsidRPr="008736A7">
        <w:rPr>
          <w:rFonts w:ascii="Times New Roman" w:hAnsi="Times New Roman" w:cs="Times New Roman"/>
          <w:b w:val="0"/>
        </w:rPr>
        <w:t>has heightened scientific interest in the extent of past deforestation and burning in a region once viewed as ‘pristine’</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"abstract" : "Archaeology and indigenous history of Native Amazonian peoples in the Upper Xingu region of Brazil reveal unexpectedly complex regional settlement patterns and large-scale transformations of local landscapes over the past millennium. Mapping and excavation of archaeological structures document pronounced human-induced alteration of the forest cover, particularly in relation to large, dense late-prehistoric settlements (circa 1200 to 1600 A.D.). The findings contribute to debates on human carrying capacity, population size and settlement patterns, anthropogenic impacts on the environment, and the importance of indigenous knowledge, as well as contributing to the pride of place of the native peoples in this part of the Amazon.", "author" : [ { "dropping-particle" : "", "family" : "Heckenberger", "given" : "Michael J", "non-dropping-particle" : "", "parse-names" : false, "suffix" : "" }, { "dropping-particle" : "", "family" : "Kuikuro", "given" : "Afukaka", "non-dropping-particle" : "", "parse-names" : false, "suffix" : "" }, { "dropping-particle" : "", "family" : "Kuikuro", "given" : "Urissap\u00e1 Tabata", "non-dropping-particle" : "", "parse-names" : false, "suffix" : "" }, { "dropping-particle" : "", "family" : "Russell", "given" : "J Christian", "non-dropping-particle" : "", "parse-names" : false, "suffix" : "" }, { "dropping-particle" : "", "family" : "Schmidt", "given" : "Morgan", "non-dropping-particle" : "", "parse-names" : false, "suffix" : "" }, { "dropping-particle" : "", "family" : "Fausto", "given" : "Carlos", "non-dropping-particle" : "", "parse-names" : false, "suffix" : "" }, { "dropping-particle" : "", "family" : "Franchetto", "given" : "Bruna", "non-dropping-particle" : "", "parse-names" : false, "suffix" : "" } ], "container-title" : "Science (New York, N.Y.)", "id" : "ITEM-1", "issue" : "5640", "issued" : { "date-parts" : [ [ "2003", "9", "19" ] ] }, "page" : "1710-4", "title" : "Amazonia 1492: pristine forest or cultural parkland?", "type" : "article-journal", "volume" : "301" }, "uris" : [ "http://www.mendeley.com/documents/?uuid=5eba2d4e-ab24-4589-bf75-713c532fa66d" ] }, { "id" : "ITEM-2", "itemData" : { "author" : [ { "dropping-particle" : "", "family" : "Willis", "given" : "K J", "non-dropping-particle" : "", "parse-names" : false, "suffix" : "" }, { "dropping-particle" : "", "family" : "Gillson", "given" : "L", "non-dropping-particle" : "", "parse-names" : false, "suffix" : "" }, { "dropping-particle" : "", "family" : "Brncic", "given" : "T M", "non-dropping-particle" : "", "parse-names" : false, "suffix" : "" } ], "id" : "ITEM-2", "issued" : { "date-parts" : [ [ "2005" ] ] }, "page" : "2003-2004", "title" : "How \u201cVirgin\u201d Is Virgin Rainforest?", "type" : "article-journal", "volume" : "826" }, "uris" : [ "http://www.mendeley.com/documents/?uuid=1b76229d-0ada-419c-999f-e5ea8342910b" ] } ], "mendeley" : { "formattedCitation" : "(Heckenberger et al., 2003; Willis et al., 2005)", "plainTextFormattedCitation" : "(Heckenberger et al., 2003; Willis et al., 2005)", "previouslyFormattedCitation" : "(Heckenberger et al., 2003; Willis et al., 2005)"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rPr>
        <w:t>(Heckenberger et al., 2003; Willis et al., 2005)</w:t>
      </w:r>
      <w:r w:rsidRPr="008736A7">
        <w:rPr>
          <w:rFonts w:ascii="Times New Roman" w:hAnsi="Times New Roman" w:cs="Times New Roman"/>
          <w:b w:val="0"/>
        </w:rPr>
        <w:fldChar w:fldCharType="end"/>
      </w:r>
      <w:r w:rsidRPr="008736A7">
        <w:rPr>
          <w:rFonts w:ascii="Times New Roman" w:hAnsi="Times New Roman" w:cs="Times New Roman"/>
          <w:b w:val="0"/>
        </w:rPr>
        <w:t xml:space="preserve">. Disentangling the extent of anthropogenic impact on fire and vegetation in the paleoecological record is complicated by the synchroneity of human occupation and climate-driven ecosystem change (i.e., Carson et al., 2014). For example, the late Holocene increase in precipitation (ca. 3,000 cal yr BP)  resulted in a time-transgressive southward expansion of the rainforest-savanna ecotone in the Bolivian Amazon </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"id" : "ITEM-2",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"ITEM-2",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Mayle et al., 2000)", "plainTextFormattedCitation" : "(Burbridge et al., 2004; Mayle et al., 2000)", "previouslyFormattedCitation" : "(Burbridge et al., 2004; Mayle et al., 2000)"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rPr>
        <w:t>(Burbridge et al., 2004; Mayle et al., 2000)</w:t>
      </w:r>
      <w:r w:rsidRPr="008736A7">
        <w:rPr>
          <w:rFonts w:ascii="Times New Roman" w:hAnsi="Times New Roman" w:cs="Times New Roman"/>
          <w:b w:val="0"/>
        </w:rPr>
        <w:fldChar w:fldCharType="end"/>
      </w:r>
      <w:r w:rsidRPr="008736A7">
        <w:rPr>
          <w:rFonts w:ascii="Times New Roman" w:hAnsi="Times New Roman" w:cs="Times New Roman"/>
          <w:b w:val="0"/>
        </w:rPr>
        <w:t xml:space="preserve">. The period of highest pre-Columbian occupation in the Bolivian Amazon </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"ISSN" : "0305-4403", "author" : [ { "dropping-particle" : "", "family" : "Lombardo", "given" : "Umberto", "non-dropping-particle" : "", "parse-names" : false, "suffix" : "" }, { "dropping-particle" : "", "family" : "Canal-Beeby", "given" : "Elisa", "non-dropping-particle" : "", "parse-names" : false, "suffix" : "" }, { "dropping-particle" : "", "family" : "Fehr", "given" : "Seraina", "non-dropping-particle" : "", "parse-names" : false, "suffix" : "" }, { "dropping-particle" : "", "family" : "Veit", "given" : "Heinz", "non-dropping-particle" : "", "parse-names" : false, "suffix" : "" } ], "container-title" : "Journal of Archaeological Science", "id" : "ITEM-1", "issue" : "3", "issued" : { "date-parts" : [ [ "2011" ] ] }, "page" : "502-512", "publisher" : "Elsevier", "title" : "Raised fields in the Bolivian Amazonia: a prehistoric green revolution or a flood risk mitigation strategy?", "type" : "article-journal", "volume" : "38" }, "uris" : [ "http://www.mendeley.com/documents/?uuid=79e2f2e5-5e3a-434e-926f-309d1cda927d" ] }, { "id" : "ITEM-2", "itemData" : { "ISSN" : "0084-6570", "author" : [ { "dropping-particle" : "", "family" : "Heckenberger", "given" : "Michael", "non-dropping-particle" : "", "parse-names" : false, "suffix" : "" }, { "dropping-particle" : "", "family" : "Neves", "given" : "Eduardo G\u00f3es", "non-dropping-particle" : "", "parse-names" : false, "suffix" : "" } ], "container-title" : "Annual Review of Anthropology", "id" : "ITEM-2", "issued" : { "date-parts" : [ [ "2009" ] ] }, "page" : "251-266", "publisher" : "Annual Reviews", "title" : "Amazonian archaeology", "type" : "article-journal", "volume" : "38" }, "uris" : [ "http://www.mendeley.com/documents/?uuid=4844726b-9b96-4f33-a5a8-03030f16c56d" ] }, { "id" : "ITEM-3", "itemData" : { "author" : [ { "dropping-particle" : "", "family" : "P\u00e4rssinen", "given" : "Martti", "non-dropping-particle" : "", "parse-names" : false, "suffix" : "" }, { "dropping-particle" : "", "family" : "Schaan", "given" : "Denise", "non-dropping-particle" : "", "parse-names" : false, "suffix" : "" } ], "container-title" : "Antiquity", "id" : "ITEM-3", "issued" : { "date-parts" : [ [ "2009" ] ] }, "page" : "1084-1095", "title" : "Pre-Columbian geometric earthworks in the upper Purus: A complex society in western Amazonia", "type" : "article-journal", "volume" : "83" }, "uris" : [ "http://www.mendeley.com/documents/?uuid=d060aa4f-1262-4c67-a681-a8a30d7553e4" ] } ], "mendeley" : { "formattedCitation" : "(Heckenberger and Neves, 2009; Lombardo et al., 2011; P\u00e4rssinen and Schaan, 2009)", "plainTextFormattedCitation" : "(Heckenberger and Neves, 2009; Lombardo et al., 2011; P\u00e4rssinen and Schaan, 2009)", "previouslyFormattedCitation" : "(Heckenberger and Neves, 2009; Lombardo et al., 2011; P\u00e4rssinen and Schaan, 2009)"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rPr>
        <w:t>(Heckenberger and Neves, 2009; Lombardo et al., 2011; Pärssinen and Schaan, 2009)</w:t>
      </w:r>
      <w:r w:rsidRPr="008736A7">
        <w:rPr>
          <w:rFonts w:ascii="Times New Roman" w:hAnsi="Times New Roman" w:cs="Times New Roman"/>
          <w:b w:val="0"/>
        </w:rPr>
        <w:fldChar w:fldCharType="end"/>
      </w:r>
      <w:r w:rsidRPr="008736A7">
        <w:rPr>
          <w:rFonts w:ascii="Times New Roman" w:hAnsi="Times New Roman" w:cs="Times New Roman"/>
          <w:b w:val="0"/>
        </w:rPr>
        <w:t xml:space="preserve"> is thus set against a backdrop of transitional climate and vegetation change </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"mendeley" : { "formattedCitation" : "(Mayle et al., 2000)", "plainTextFormattedCitation" : "(Mayle et al., 2000)", "previouslyFormattedCitation" : "(Mayle et al., 2000)"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rPr>
        <w:t>(Mayle et al., 2000)</w:t>
      </w:r>
      <w:r w:rsidRPr="008736A7">
        <w:rPr>
          <w:rFonts w:ascii="Times New Roman" w:hAnsi="Times New Roman" w:cs="Times New Roman"/>
          <w:b w:val="0"/>
        </w:rPr>
        <w:fldChar w:fldCharType="end"/>
      </w:r>
      <w:r w:rsidRPr="008736A7">
        <w:rPr>
          <w:rFonts w:ascii="Times New Roman" w:hAnsi="Times New Roman" w:cs="Times New Roman"/>
          <w:b w:val="0"/>
        </w:rPr>
        <w:t xml:space="preserve">. </w:t>
      </w:r>
      <w:r w:rsidRPr="008736A7">
        <w:rPr>
          <w:rFonts w:ascii="Times New Roman" w:hAnsi="Times New Roman" w:cs="Times New Roman"/>
          <w:b w:val="0"/>
          <w:lang w:val="en-GB"/>
        </w:rPr>
        <w:t>Additionally, a growing number of studies</w:t>
      </w:r>
      <w:r w:rsidRPr="008736A7">
        <w:rPr>
          <w:rFonts w:ascii="Times New Roman" w:hAnsi="Times New Roman" w:cs="Times New Roman"/>
          <w:b w:val="0"/>
        </w:rPr>
        <w:t xml:space="preserve"> suggest there is a high degree of spatial and temporal heterogeneity in pre-Columbian land-use throughout different regions of Amazonia </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"id" : "ITEM-2", "itemData" : { "ISSN" : "0959-6836", "author" : [ { "dropping-particle" : "", "family" : "Whitney", "given" : "Bronwen S", "non-dropping-particle" : "", "parse-names" : false, "suffix" : "" }, { "dropping-particle" : "", "family" : "Dickau", "given" : "Ruth", "non-dropping-particle" : "", "parse-names" : false, "suffix" : "" }, { "dropping-particle" : "", "family" : "Mayle", "given" : "Francis E", "non-dropping-particle" : "", "parse-names" : false, "suffix" : "" }, { "dropping-particle" : "", "family" : "Walker", "given" : "John H", "non-dropping-particle" : "", "parse-names" : false, "suffix" : "" }, { "dropping-particle" : "", "family" : "Soto", "given" : "J Daniel", "non-dropping-particle" : "", "parse-names" : false, "suffix" : "" }, { "dropping-particle" : "", "family" : "Iriarte", "given" : "Jos\u00e9", "non-dropping-particle" : "", "parse-names" : false, "suffix" : "" } ], "container-title" : "The Holocene", "id" : "ITEM-2", "issued" : { "date-parts" : [ [ "2014" ] ] }, "page" : "231-241", "publisher" : "SAGE Publications", "title" : "Pre-Columbian raised-field agriculture and land use in the Bolivian Amazon", "type" : "article-journal", "volume" : "24" }, "uris" : [ "http://www.mendeley.com/documents/?uuid=763d8824-2667-4c71-a116-185e3a0c8caa" ] }, { "id" : "ITEM-3", "itemData" : { "ISSN" : "0305-4403", "author" : [ { "dropping-particle" : "", "family" : "Iriarte", "given" : "Jos\u00e9", "non-dropping-particle" : "", "parse-names" : false, "suffix" : "" } ], "container-title" : "Journal of Archaeological Science", "id" : "ITEM-3", "issued" : { "date-parts" : [ [ "2003" ] ] }, "page" : "1085-1094", "publisher" : "Elsevier", "title" : "Assessing the feasibility of identifying maize through the analysis of cross-shaped size and three-dimensional morphology of phytoliths in the grasslands of southeastern South America", "type" : "article-journal", "volume" : "30" }, "uris" : [ "http://www.mendeley.com/documents/?uuid=5e94a0ae-2cf5-4453-9161-4771fd8a60c5" ] }, { "id" : "ITEM-4", "itemData" : { "author" : [ { "dropping-particle" : "", "family" : "Mayle", "given" : "Francis E.", "non-dropping-particle" : "", "parse-names" : false, "suffix" : "" }, { "dropping-particle" : "", "family" : "Iriarte", "given" : "Jos\u00e9", "non-dropping-particle" : "", "parse-names" : false, "suffix" : "" } ], "container-title" : "Journal of Archaeological Science", "id" : "ITEM-4", "issued" : { "date-parts" : [ [ "2012", "9" ] ] }, "page" : "1-11", "title" : "Integrated palaeoecology and archaeology \u2013 a powerful approach for understanding pre-Columbian Amazonia", "type" : "article-journal" }, "uris" : [ "http://www.mendeley.com/documents/?uuid=e188e42e-7938-44de-9b9f-72c565e8d321" ] }, { "id" : "ITEM-5", "itemData" : { "author" : [ { "dropping-particle" : "", "family" : "McMichael", "given" : "C. H.", "non-dropping-particle" : "", "parse-names" : false, "suffix" : "" }, { "dropping-particle" : "", "family" : "Bush", "given" : "M. B.", "non-dropping-particle" : "", "parse-names" : false, "suffix" : "" }, { "dropping-particle" : "", "family" : "Piperno", "given" : "D. R.", "non-dropping-particle" : "", "parse-names" : false, "suffix" : "" }, { "dropping-particle" : "", "family" : "Silman", "given" : "M. R.", "non-dropping-particle" : "", "parse-names" : false, "suffix" : "" }, { "dropping-particle" : "", "family" : "Zimmerman", "given" : "a. R.", "non-dropping-particle" : "", "parse-names" : false, "suffix" : "" }, { "dropping-particle" : "", "family" : "Anderson", "given" : "C.", "non-dropping-particle" : "", "parse-names" : false, "suffix" : "" } ], "container-title" : "The Holocene", "id" : "ITEM-5", "issued" : { "date-parts" : [ [ "2011", "8", "11" ] ] }, "page" : "131-141", "title" : "Spatial and temporal scales of pre-Columbian disturbance associated with western Amazonian lakes", "type" : "article-journal", "volume" : "22" }, "uris" : [ "http://www.mendeley.com/documents/?uuid=ee4b80d1-66e7-422f-a922-e9a735056650" ] }, { "id" : "ITEM-6",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"ITEM-6", "issued" : { "date-parts" : [ [ "2007", "3", "28" ] ] }, "page" : "209-18", "title" : "Holocene fire and occupation in Amazonia: Records from two lake districts.", "type" : "article-journal", "volume" : "362" }, "uris" : [ "http://www.mendeley.com/documents/?uuid=7da33a10-244c-464c-9fa5-92b5a0cf24dd" ] }, { "id" : "ITEM-7", "itemData" : { "ISSN" : "0959-6836", "author" : [ { "dropping-particle" : "", "family" : "Piperno", "given" : "Dolores R", "non-dropping-particle" : "", "parse-names" : false, "suffix" : "" }, { "dropping-particle" : "", "family" : "McMichael", "given" : "Crystal", "non-dropping-particle" : "", "parse-names" : false, "suffix" : "" }, { "dropping-particle" : "", "family" : "Bush", "given" : "Mark B", "non-dropping-particle" : "", "parse-names" : false, "suffix" : "" } ], "container-title" : "The Holocene", "id" : "ITEM-7", "issued" : { "date-parts" : [ [ "2015" ] ] }, "page" : "1588-1597", "publisher" : "SAGE Publications", "title" : "Amazonia and the Anthropocene: What was the spatial extent and intensity of human landscape modification in the Amazon Basin at the end of prehistory?", "type" : "article-journal", "volume" : "25" }, "uris" : [ "http://www.mendeley.com/documents/?uuid=8209e9be-68c7-4b1e-adaf-5acb912f7143" ] } ], "mendeley" : { "formattedCitation" : "(Bush et al., 2007; Carson et al., 2014; Iriarte, 2003; Mayle and Iriarte, 2012; McMichael et al., 2011; Piperno et al., 2015; Whitney et al., 2014)", "manualFormatting" : "(Bush et al., 2007; Carson et al., 2014; Iriarte, 2003; Mayle and Iriarte, 2012; McMichael et al., 2011; Piperno et al., 2015; Whitney et al., 2014)", "plainTextFormattedCitation" : "(Bush et al., 2007; Carson et al., 2014; Iriarte, 2003; Mayle and Iriarte, 2012; McMichael et al., 2011; Piperno et al., 2015; Whitney et al., 2014)", "previouslyFormattedCitation" : "(Bush et al., 2007; Carson et al., 2014; Iriarte, 2003; Mayle and Iriarte, 2012; McMichael et al., 2011; Piperno et al., 2015; Whitney et al., 2014)"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rPr>
        <w:t>(Bush et al., 2007; Carson et al., 2014; Iriarte, 2003; Mayle and Iriarte, 2012; McMichael et al., 2011; Piperno et al., 2015; Whitney et al., 2014)</w:t>
      </w:r>
      <w:r w:rsidRPr="008736A7">
        <w:rPr>
          <w:rFonts w:ascii="Times New Roman" w:hAnsi="Times New Roman" w:cs="Times New Roman"/>
          <w:b w:val="0"/>
        </w:rPr>
        <w:fldChar w:fldCharType="end"/>
      </w:r>
      <w:r w:rsidRPr="008736A7">
        <w:rPr>
          <w:rFonts w:ascii="Times New Roman" w:hAnsi="Times New Roman" w:cs="Times New Roman"/>
          <w:b w:val="0"/>
        </w:rPr>
        <w:t xml:space="preserve">. The synchroneity of potential natural and anthropogenic drivers of ecological change, coupled with the high degree of spatial and temporal heterogeneity in pre-Columbian land-use has resulted in considerable debate over the extent of  pre-Columbian ecosystem disturbance </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"id" : "ITEM-2", "itemData" : { "author" : [ { "dropping-particle" : "", "family" : "Clement", "given" : "Charles R", "non-dropping-particle" : "", "parse-names" : false, "suffix" : "" }, { "dropping-particle" : "", "family" : "Cristo-Ara\u00fajo", "given" : "Michelly", "non-dropping-particle" : "de", "parse-names" : false, "suffix" : "" }, { "dropping-particle" : "", "family" : "Coppens D\u2019Eeckenbrugge", "given" : "Geo", "non-dropping-particle" : "", "parse-names" : false, "suffix" : "" }, { "dropping-particle" : "", "family" : "Alves Pereira", "given" : "Alessandro", "non-dropping-particle" : "", "parse-names" : false, "suffix" : "" }, { "dropping-particle" : "", "family" : "Pican\u00e7o-Rodrigues", "given" : "Doriane", "non-dropping-particle" : "", "parse-names" : false, "suffix" : "" } ], "container-title" : "Diversity", "id" : "ITEM-2", "issue" : "1", "issued" : { "date-parts" : [ [ "2010" ] ] }, "page" : "72-106", "publisher" : "Molecular Diversity Preservation International", "title" : "Origin and domestication of native Amazonian crops", "type" : "article-journal", "volume" : "2" }, "uris" : [ "http://www.mendeley.com/documents/?uuid=7560d2bf-4a06-44f6-8e12-2b5e60b130fe" ] }, { "id" : "ITEM-3", "itemData" : { "author" : [ { "dropping-particle" : "", "family" : "Mayle", "given" : "Francis E.", "non-dropping-particle" : "", "parse-names" : false, "suffix" : "" }, { "dropping-particle" : "", "family" : "Iriarte", "given" : "Jos\u00e9", "non-dropping-particle" : "", "parse-names" : false, "suffix" : "" } ], "container-title" : "Journal of Archaeological Science", "id" : "ITEM-3", "issued" : { "date-parts" : [ [ "2012", "9" ] ] }, "page" : "1-11", "title" : "Integrated palaeoecology and archaeology \u2013 a powerful approach for understanding pre-Columbian Amazonia", "type" : "article-journal" }, "uris" : [ "http://www.mendeley.com/documents/?uuid=e188e42e-7938-44de-9b9f-72c565e8d321" ] }, { "id" : "ITEM-4", "itemData" : { "author" : [ { "dropping-particle" : "", "family" : "Iriarte", "given" : "J.", "non-dropping-particle" : "", "parse-names" : false, "suffix" : "" }, { "dropping-particle" : "", "family" : "Power", "given" : "M. J.", "non-dropping-particle" : "", "parse-names" : false, "suffix" : "" }, { "dropping-particle" : "", "family" : "Rostain", "given" : "S.", "non-dropping-particle" : "", "parse-names" : false, "suffix" : "" }, { "dropping-particle" : "", "family" : "Mayle", "given" : "F. E.", "non-dropping-particle" : "", "parse-names" : false, "suffix" : "" }, { "dropping-particle" : "", "family" : "Jones", "given" : "H.", "non-dropping-particle" : "", "parse-names" : false, "suffix" : "" }, { "dropping-particle" : "", "family" : "Watling", "given" : "J.", "non-dropping-particle" : "", "parse-names" : false, "suffix" : "" }, { "dropping-particle" : "", "family" : "Whitney", "given" : "B. S.", "non-dropping-particle" : "", "parse-names" : false, "suffix" : "" }, { "dropping-particle" : "", "family" : "McKey", "given" : "D. B.", "non-dropping-particle" : "", "parse-names" : false, "suffix" : "" } ], "container-title" : "Proceedings of the National Academy of Sciences", "id" : "ITEM-4", "issued" : { "date-parts" : [ [ "2012", "4", "9" ] ] }, "page" : "6473-6478", "title" : "Fire-free land use in pre-1492 Amazonian savannas", "type" : "article-journal", "volume" : "109" }, "uris" : [ "http://www.mendeley.com/documents/?uuid=4a47616a-4a6d-43de-85d1-a3395d1dc9e2" ] }, { "id" : "ITEM-5", "itemData" : { "abstract" : "Locally extensive pre-Columbian human occupation and modification occurred in the forests of the central and eastern Amazon Basin, but whether comparable impacts extend westward and into the vast terra firme (interfluvial) zones, remains unclear. We analyzed soils from 55 sites across central and western Amazonia to assess the history of human occupation. Sparse occurrences of charcoal and the lack of phytoliths from agricultural and disturbance species in the soils during pre-Columbian times indicated that human impacts on interfluvial forests were small, infrequent, and highly localized. No human artifacts or modified soils were found at any site surveyed. Riverine bluff areas also appeared less heavily occupied and disturbed than similar settings elsewhere. Our data indicate that human impacts on Amazonian forests were heterogeneous across this vast landscape.", "author" : [ { "dropping-particle" : "", "family" : "McMichael", "given" : "C H", "non-dropping-particle" : "", "parse-names" : false, "suffix" : "" }, { "dropping-particle" : "", "family" : "Piperno", "given" : "D R", "non-dropping-particle" : "", "parse-names" : false, "suffix" : "" }, { "dropping-particle" : "", "family" : "Bush", "given" : "M B", "non-dropping-particle" : "", "parse-names" : false, "suffix" : "" }, { "dropping-particle" : "", "family" : "Silman", "given" : "M R", "non-dropping-particle" : "", "parse-names" : false, "suffix" : "" }, { "dropping-particle" : "", "family" : "Zimmerman", "given" : "a R", "non-dropping-particle" : "", "parse-names" : false, "suffix" : "" }, { "dropping-particle" : "", "family" : "Raczka", "given" : "M F", "non-dropping-particle" : "", "parse-names" : false, "suffix" : "" }, { "dropping-particle" : "", "family" : "Lobato", "given" : "L C", "non-dropping-particle" : "", "parse-names" : false, "suffix" : "" } ], "container-title" : "Science", "id" : "ITEM-5", "issued" : { "date-parts" : [ [ "2012", "6", "15" ] ] }, "page" : "1429-1431", "title" : "Sparse pre-Columbian human habitation in western Amazonia", "type" : "article-journal", "volume" : "336" }, "uris" : [ "http://www.mendeley.com/documents/?uuid=5dfc9ef3-ab85-41fa-9291-61fa60956be0" ] }, { "id" : "ITEM-6", "itemData" : { "ISSN" : "0959-6836", "author" : [ { "dropping-particle" : "", "family" : "Piperno", "given" : "Dolores R", "non-dropping-particle" : "", "parse-names" : false, "suffix" : "" }, { "dropping-particle" : "", "family" : "McMichael", "given" : "Crystal", "non-dropping-particle" : "", "parse-names" : false, "suffix" : "" }, { "dropping-particle" : "", "family" : "Bush", "given" : "Mark B", "non-dropping-particle" : "", "parse-names" : false, "suffix" : "" } ], "container-title" : "The Holocene", "id" : "ITEM-6", "issued" : { "date-parts" : [ [ "2015" ] ] }, "page" : "1588-1597", "publisher" : "SAGE Publications", "title" : "Amazonia and the Anthropocene: What was the spatial extent and intensity of human landscape modification in the Amazon Basin at the end of prehistory?", "type" : "article-journal", "volume" : "25" }, "uris" : [ "http://www.mendeley.com/documents/?uuid=8209e9be-68c7-4b1e-adaf-5acb912f7143" ] }, { "id" : "ITEM-7", "itemData" : { "ISSN" : "1365-2699", "author" : [ { "dropping-particle" : "", "family" : "Thomas", "given" : "Evert", "non-dropping-particle" : "", "parse-names" : false, "suffix" : "" }, { "dropping-particle" : "", "family" : "Alc\u00e1zar Caicedo", "given" : "Carolina", "non-dropping-particle" : "", "parse-names" : false, "suffix" : "" }, { "dropping-particle" : "", "family" : "McMichael", "given" : "Crystal H", "non-dropping-particle" : "", "parse-names" : false, "suffix" : "" }, { "dropping-particle" : "", "family" : "Corvera", "given" : "Ronald", "non-dropping-particle" : "", "parse-names" : false, "suffix" : "" }, { "dropping-particle" : "", "family" : "Loo", "given" : "Judy", "non-dropping-particle" : "", "parse-names" : false, "suffix" : "" } ], "container-title" : "Journal of Biogeography", "id" : "ITEM-7", "issued" : { "date-parts" : [ [ "2015" ] ] }, "page" : "1367-1382", "publisher" : "Wiley Online Library", "title" : "Uncovering spatial patterns in the natural and human history of Brazil nut (Bertholletia excelsa) across the Amazon Basin", "type" : "article-journal", "volume" : "42" }, "uris" : [ "http://www.mendeley.com/documents/?uuid=a7b7a2f9-56e9-44d5-b23b-227e6edb44da" ] }, { "id" : "ITEM-8", "itemData" : { "ISSN" : "0959-6836", "author" : [ { "dropping-particle" : "", "family" : "Whitney", "given" : "Bronwen S", "non-dropping-particle" : "", "parse-names" : false, "suffix" : "" }, { "dropping-particle" : "", "family" : "Dickau", "given" : "Ruth", "non-dropping-particle" : "", "parse-names" : false, "suffix" : "" }, { "dropping-particle" : "", "family" : "Mayle", "given" : "Francis E", "non-dropping-particle" : "", "parse-names" : false, "suffix" : "" }, { "dropping-particle" : "", "family" : "Walker", "given" : "John H", "non-dropping-particle" : "", "parse-names" : false, "suffix" : "" }, { "dropping-particle" : "", "family" : "Soto", "given" : "J Daniel", "non-dropping-particle" : "", "parse-names" : false, "suffix" : "" }, { "dropping-particle" : "", "family" : "Iriarte", "given" : "Jos\u00e9", "non-dropping-particle" : "", "parse-names" : false, "suffix" : "" } ], "container-title" : "The Holocene", "id" : "ITEM-8", "issued" : { "date-parts" : [ [ "2014" ] ] }, "page" : "231-241", "publisher" : "SAGE Publications", "title" : "Pre-Columbian raised-field agriculture and land use in the Bolivian Amazon", "type" : "article-journal", "volume" : "24" }, "uris" : [ "http://www.mendeley.com/documents/?uuid=763d8824-2667-4c71-a116-185e3a0c8caa" ] }, { "id" : "ITEM-9",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"ITEM-9", "issued" : { "date-parts" : [ [ "2007", "3", "28" ] ] }, "page" : "209-18", "title" : "Holocene fire and occupation in Amazonia: Records from two lake districts.", "type" : "article-journal", "volume" : "362" }, "uris" : [ "http://www.mendeley.com/documents/?uuid=7da33a10-244c-464c-9fa5-92b5a0cf24dd" ] } ], "mendeley" : { "formattedCitation" : "(Bush et al., 2007; Carson et al., 2014; Clement et al., 2010; Iriarte et al., 2012; Mayle and Iriarte, 2012; McMichael et al., 2012; Piperno et al., 2015; Thomas et al., 2015; Whitney et al., 2014)", "manualFormatting" : "(Bush et al., 2007; Carson et al., 2014; Clement et al., 2010; Iriarte et al., 2012; Mayle and Iriarte, 2012; McMichael et al., 2012b; Piperno et al., 2015; Thomas et al., 2015; Whitney et al., 2014)", "plainTextFormattedCitation" : "(Bush et al., 2007; Carson et al., 2014; Clement et al., 2010; Iriarte et al., 2012; Mayle and Iriarte, 2012; McMichael et al., 2012; Piperno et al., 2015; Thomas et al., 2015; Whitney et al., 2014)", "previouslyFormattedCitation" : "(Bush et al., 2007; Carson et al., 2014; Clement et al., 2010; Iriarte et al., 2012; Mayle and Iriarte, 2012; McMichael et al., 2012; Piperno et al., 2015; Thomas et al., 2015; Whitney et al., 2014)"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lang w:val="en-GB"/>
        </w:rPr>
        <w:t>(Bush et al., 2007; Carson et al., 2014; Clement et al., 2010; Iriarte et al., 2012; Mayle and Iriarte, 2012; McMichael et al., 2012b; Piperno et al., 2015; Thomas et al., 2015; Whitney et al., 2014)</w:t>
      </w:r>
      <w:r w:rsidRPr="008736A7">
        <w:rPr>
          <w:rFonts w:ascii="Times New Roman" w:hAnsi="Times New Roman" w:cs="Times New Roman"/>
          <w:b w:val="0"/>
        </w:rPr>
        <w:fldChar w:fldCharType="end"/>
      </w:r>
      <w:r w:rsidRPr="008736A7">
        <w:rPr>
          <w:rFonts w:ascii="Times New Roman" w:hAnsi="Times New Roman" w:cs="Times New Roman"/>
          <w:b w:val="0"/>
          <w:lang w:val="en-GB"/>
        </w:rPr>
        <w:t xml:space="preserve"> and the</w:t>
      </w:r>
      <w:r w:rsidRPr="008736A7">
        <w:rPr>
          <w:rFonts w:ascii="Times New Roman" w:hAnsi="Times New Roman" w:cs="Times New Roman"/>
          <w:b w:val="0"/>
        </w:rPr>
        <w:t xml:space="preserve"> potential long-term legacy of past land-use practices on the composition, structure and spatial patterning of modern Amazonian ecosystems </w:t>
      </w:r>
      <w:r w:rsidRPr="008736A7">
        <w:rPr>
          <w:rFonts w:ascii="Times New Roman" w:hAnsi="Times New Roman" w:cs="Times New Roman"/>
          <w:b w:val="0"/>
        </w:rPr>
        <w:fldChar w:fldCharType="begin" w:fldLock="1"/>
      </w:r>
      <w:r w:rsidRPr="008736A7">
        <w:rPr>
          <w:rFonts w:ascii="Times New Roman" w:hAnsi="Times New Roman" w:cs="Times New Roman"/>
          <w:b w:val="0"/>
        </w:rPr>
        <w:instrText>ADDIN CSL_CITATION { "citationItems" : [ { "id" : "ITEM-1", "itemData" : { "ISSN" : "1099-1417", "author" : [ { "dropping-particle" : "", "family" : "Carson", "given" : "John F", "non-dropping-particle" : "", "parse-names" : false, "suffix" : "" }, { "dropping-particle" : "", "family" : "Mayle", "given" : "Francis E", "non-dropping-particle" : "", "parse-names" : false, "suffix" : "" }, { "dropping-particle" : "", "family" : "Whitney", "given" : "Bronwen S", "non-dropping-particle" : "", "parse-names" : false, "suffix" : "" }, { "dropping-particle" : "", "family" : "Iriarte", "given" : "Jos\u00e9", "non-dropping-particle" : "", "parse-names" : false, "suffix" : "" }, { "dropping-particle" : "", "family" : "Soto", "given" : "J Daniel", "non-dropping-particle" : "", "parse-names" : false, "suffix" : "" } ], "container-title" : "Journal of Quaternary Science", "id" : "ITEM-1", "issued" : { "date-parts" : [ [ "2016" ] ] }, "page" : "337-347", "publisher" : "Wiley Online Library", "title" : "Pre-Columbian ring ditch construction and land use on a \u2018chocolate forest island\u2019in the Bolivian Amazon", "type" : "article-journal", "volume" : "31" }, "uris" : [ "http://www.mendeley.com/documents/?uuid=8f82c8bc-41bf-4317-b544-ee73be23ebb2" ] }, { "id" : "ITEM-2", "itemData" : { "ISSN" : "0959-6836", "author" : [ { "dropping-particle" : "", "family" : "Whitney", "given" : "Bronwen S", "non-dropping-particle" : "", "parse-names" : false, "suffix" : "" }, { "dropping-particle" : "", "family" : "Dickau", "given" : "Ruth", "non-dropping-particle" : "", "parse-names" : false, "suffix" : "" }, { "dropping-particle" : "", "family" : "Mayle", "given" : "Francis E", "non-dropping-particle" : "", "parse-names" : false, "suffix" : "" }, { "dropping-particle" : "", "family" : "Walker", "given" : "John H", "non-dropping-particle" : "", "parse-names" : false, "suffix" : "" }, { "dropping-particle" : "", "family" : "Soto", "given" : "J Daniel", "non-dropping-particle" : "", "parse-names" : false, "suffix" : "" }, { "dropping-particle" : "", "family" : "Iriarte", "given" : "Jos\u00e9", "non-dropping-particle" : "", "parse-names" : false, "suffix" : "" } ], "container-title" : "The Holocene", "id" : "ITEM-2", "issued" : { "date-parts" : [ [ "2014" ] ] }, "page" : "231-241", "publisher" : "SAGE Publications", "title" : "Pre-Columbian raised-field agriculture and land use in the Bolivian Amazon", "type" : "article-journal", "volume" : "24" }, "uris" : [ "http://www.mendeley.com/documents/?uuid=763d8824-2667-4c71-a116-185e3a0c8caa" ] } ], "mendeley" : { "formattedCitation" : "(Carson et al., 2016; Whitney et al., 2014)", "plainTextFormattedCitation" : "(Carson et al., 2016; Whitney et al., 2014)", "previouslyFormattedCitation" : "(Carson et al., 2016; Whitney et al., 2014)" }, "properties" : { "noteIndex" : 0 }, "schema" : "https://github.com/citation-style-language/schema/raw/master/csl-citation.json" }</w:instrText>
      </w:r>
      <w:r w:rsidRPr="008736A7">
        <w:rPr>
          <w:rFonts w:ascii="Times New Roman" w:hAnsi="Times New Roman" w:cs="Times New Roman"/>
          <w:b w:val="0"/>
        </w:rPr>
        <w:fldChar w:fldCharType="separate"/>
      </w:r>
      <w:r w:rsidRPr="008736A7">
        <w:rPr>
          <w:rFonts w:ascii="Times New Roman" w:hAnsi="Times New Roman" w:cs="Times New Roman"/>
          <w:b w:val="0"/>
          <w:noProof/>
        </w:rPr>
        <w:t>(Carson et al., 2016; Whitney et al., 2014)</w:t>
      </w:r>
      <w:r w:rsidRPr="008736A7">
        <w:rPr>
          <w:rFonts w:ascii="Times New Roman" w:hAnsi="Times New Roman" w:cs="Times New Roman"/>
          <w:b w:val="0"/>
        </w:rPr>
        <w:fldChar w:fldCharType="end"/>
      </w:r>
      <w:r w:rsidRPr="008736A7">
        <w:rPr>
          <w:rFonts w:ascii="Times New Roman" w:hAnsi="Times New Roman" w:cs="Times New Roman"/>
          <w:b w:val="0"/>
        </w:rPr>
        <w:t>.</w:t>
      </w:r>
    </w:p>
    <w:p w:rsidR="008736A7"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 The difficulties in disentangling climate- and human-driven fire and vegetation change in the paleorecord is compounded by conventional sampling methods used in Amazonian paleo- studies which have been largely focused on detecting orbital-scale climate and vegetation change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"DOI" : "10.1016/j.yqres.2009.10.005", "ISSN" : "00335894", "author" : [ { "dropping-particle" : "", "family" : "Urrego", "given" : "Dunia H.", "non-dropping-particle" : "", "parse-names" : false, "suffix" : "" }, { "dropping-particle" : "", "family" : "Bush", "given" : "Mark B.", "non-dropping-particle" : "", "parse-names" : false, "suffix" : "" }, { "dropping-particle" : "", "family" : "Silman", "given" : "Miles R.", "non-dropping-particle" : "", "parse-names" : false, "suffix" : "" } ], "container-title" : "Quaternary Research", "id" : "ITEM-1", "issued" : { "date-parts" : [ [ "2010", "3" ] ] }, "page" : "364-373", "publisher" : "University of Washington", "title" : "A long history of cloud and forest migration from Lake Consuelo, Peru", "type" : "article-journal", "volume" : "73" }, "uris" : [ "http://www.mendeley.com/documents/?uuid=5e9a58b0-05d3-4790-b1fa-433535efc200" ] }, { "id" : "ITEM-2", "itemData" : { "ISSN" : "1365-2699", "author" : [ { "dropping-particle" : "", "family" : "Valencia", "given" : "B G", "non-dropping-particle" : "", "parse-names" : false, "suffix" : "" }, { "dropping-particle" : "", "family" : "Urrego", "given" : "D H", "non-dropping-particle" : "", "parse-names" : false, "suffix" : "" }, { "dropping-particle" : "", "family" : "Silman", "given" : "M R", "non-dropping-particle" : "", "parse-names" : false, "suffix" : "" }, { "dropping-particle" : "", "family" : "Bush", "given" : "M B", "non-dropping-particle" : "", "parse-names" : false, "suffix" : "" } ], "container-title" : "Journal of Biogeography", "id" : "ITEM-2", "issued" : { "date-parts" : [ [ "2010" ] ] }, "page" : "1637-1647", "publisher" : "Wiley Online Library", "title" : "From ice age to modern: a record of landscape change in an Andean cloud forest", "type" : "article-journal", "volume" : "37" }, "uris" : [ "http://www.mendeley.com/documents/?uuid=5941513e-9afe-4ae7-bc51-afd66bc5135d" ] }, { "id" : "ITEM-3",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"ITEM-3", "issued" : { "date-parts" : [ [ "2000" ] ] }, "page" : "2291-2294", "title" : "Millennial-scale dynamics of southern Amazonian rain forests", "type" : "article-journal", "volume" : "290" }, "uris" : [ "http://www.mendeley.com/documents/?uuid=894a91a3-4b29-430f-bc28-d17206adce15" ] }, { "id" : "ITEM-4",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"ITEM-4",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Mayle et al., 2000; Urrego et al., 2010; Valencia et al., 2010)", "plainTextFormattedCitation" : "(Burbridge et al., 2004; Mayle et al., 2000; Urrego et al., 2010; Valencia et al., 2010)", "previouslyFormattedCitation" : "(Burbridge et al., 2004; Mayle et al., 2000; Urrego et al., 2010; Valencia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 Mayle et al., 2000; Urrego et al., 2010; Valencia et al., 2010)</w:t>
      </w:r>
      <w:r w:rsidRPr="008736A7">
        <w:rPr>
          <w:rFonts w:ascii="Times New Roman" w:hAnsi="Times New Roman" w:cs="Times New Roman"/>
        </w:rPr>
        <w:fldChar w:fldCharType="end"/>
      </w:r>
      <w:r w:rsidRPr="008736A7">
        <w:rPr>
          <w:rFonts w:ascii="Times New Roman" w:hAnsi="Times New Roman" w:cs="Times New Roman"/>
        </w:rPr>
        <w:t>. However, it is difficult to detect short-term (sub-centennial), highly localized (ca. &lt;10</w:t>
      </w:r>
      <w:r w:rsidRPr="008736A7">
        <w:rPr>
          <w:rFonts w:ascii="Times New Roman" w:hAnsi="Times New Roman" w:cs="Times New Roman"/>
          <w:vertAlign w:val="superscript"/>
        </w:rPr>
        <w:t xml:space="preserve">6 </w:t>
      </w:r>
      <w:r w:rsidRPr="008736A7">
        <w:rPr>
          <w:rFonts w:ascii="Times New Roman" w:hAnsi="Times New Roman" w:cs="Times New Roman"/>
        </w:rPr>
        <w:t>m</w:t>
      </w:r>
      <w:r w:rsidRPr="008736A7">
        <w:rPr>
          <w:rFonts w:ascii="Times New Roman" w:hAnsi="Times New Roman" w:cs="Times New Roman"/>
          <w:vertAlign w:val="superscript"/>
        </w:rPr>
        <w:t>2</w:t>
      </w:r>
      <w:r w:rsidRPr="008736A7">
        <w:rPr>
          <w:rFonts w:ascii="Times New Roman" w:hAnsi="Times New Roman" w:cs="Times New Roman"/>
        </w:rPr>
        <w:t xml:space="preserve">) human impacts with the coarse temporal and spatial resolution of these studies. It has become evident that to decipher the effects of late Holocene climate-driven and human-driven impacts on fire and vegetation change requires a different methodological approach to those typically applied to study longer-term orbital-scale transitions. To address these issues, this study explores the comparison of conventional sampling techniques with high-temporal sampling resolution on modified pollen and charcoal methods and statistical algorithms. These data are compared with existing charcoal records to provide a regional context for paleofire activity across a range of ecosystems in an attempt to disentangle climate- and human-drivers of fire and vegetation change in the Bolivian Amazonian during the Holocene. </w:t>
      </w:r>
    </w:p>
    <w:p w:rsidR="00090084" w:rsidRPr="008736A7" w:rsidRDefault="00090084" w:rsidP="00090084">
      <w:pPr>
        <w:pStyle w:val="BodyText"/>
        <w:spacing w:line="215" w:lineRule="auto"/>
        <w:ind w:right="150" w:firstLine="199"/>
        <w:jc w:val="both"/>
        <w:rPr>
          <w:rFonts w:ascii="Times New Roman" w:hAnsi="Times New Roman" w:cs="Times New Roman"/>
        </w:rPr>
      </w:pPr>
    </w:p>
    <w:p w:rsidR="00090084" w:rsidRPr="00090084" w:rsidRDefault="00705EBE"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1.2 Emerging Methods to Disentangle Climate and</w:t>
      </w:r>
      <w:r w:rsidRPr="00090084">
        <w:rPr>
          <w:rFonts w:ascii="Times New Roman" w:eastAsiaTheme="minorHAnsi" w:hAnsi="Times New Roman" w:cs="Times New Roman"/>
          <w:b/>
        </w:rPr>
        <w:t xml:space="preserve"> pre-Columbi</w:t>
      </w:r>
      <w:r w:rsidRPr="00090084">
        <w:rPr>
          <w:rFonts w:ascii="Times New Roman" w:hAnsi="Times New Roman" w:cs="Times New Roman"/>
          <w:b/>
        </w:rPr>
        <w:t xml:space="preserve">an Paleofire Activity </w:t>
      </w:r>
    </w:p>
    <w:p w:rsidR="00090084" w:rsidRDefault="00090084" w:rsidP="00090084">
      <w:pPr>
        <w:pStyle w:val="BodyText"/>
        <w:spacing w:line="215" w:lineRule="auto"/>
        <w:ind w:right="150" w:firstLine="199"/>
        <w:jc w:val="both"/>
        <w:rPr>
          <w:rFonts w:ascii="Times New Roman" w:hAnsi="Times New Roman" w:cs="Times New Roman"/>
          <w:i/>
        </w:rPr>
      </w:pPr>
    </w:p>
    <w:p w:rsidR="008736A7"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To date, there is no direct way to distinguish human-caused wild</w:t>
      </w:r>
      <w:r w:rsidRPr="008736A7">
        <w:rPr>
          <w:rFonts w:ascii="Times New Roman" w:eastAsia="MS Mincho" w:hAnsi="Times New Roman" w:cs="Times New Roman"/>
        </w:rPr>
        <w:t>ﬁ</w:t>
      </w:r>
      <w:r w:rsidRPr="008736A7">
        <w:rPr>
          <w:rFonts w:ascii="Times New Roman" w:hAnsi="Times New Roman" w:cs="Times New Roman"/>
        </w:rPr>
        <w:t>res from climate-driven wild</w:t>
      </w:r>
      <w:r w:rsidRPr="008736A7">
        <w:rPr>
          <w:rFonts w:ascii="Times New Roman" w:eastAsia="MS Mincho" w:hAnsi="Times New Roman" w:cs="Times New Roman"/>
        </w:rPr>
        <w:t>ﬁ</w:t>
      </w:r>
      <w:r w:rsidRPr="008736A7">
        <w:rPr>
          <w:rFonts w:ascii="Times New Roman" w:hAnsi="Times New Roman" w:cs="Times New Roman"/>
        </w:rPr>
        <w:t xml:space="preserve">res in the paleo-record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"Marlon", "given" : "Jennifer R", "non-dropping-particle" : "", "parse-names" : false, "suffix" : "" }, { "dropping-particle" : "", "family" : "Bartlein", "given" : "Patrick J", "non-dropping-particle" : "", "parse-names" : false, "suffix" : "" }, { "dropping-particle" : "", "family" : "Daniau", "given" : "Anne-laure", "non-dropping-particle" : "", "parse-names" : false, "suffix" : "" }, { "dropping-particle" : "", "family" : "Harrison", "given" : "Sandy P", "non-dropping-particle" : "", "parse-names" : false, "suffix" : "" }, { "dropping-particle" : "", "family" : "Maezumi", "given" : "Shira Y", "non-dropping-particle" : "", "parse-names" : false, "suffix" : "" }, { "dropping-particle" : "", "family" : "Power", "given" : "Mitchell J", "non-dropping-particle" : "", "parse-names" : false, "suffix" : "" }, { "dropping-particle" : "", "family" : "Tinner", "given" : "Willy", "non-dropping-particle" : "", "parse-names" : false, "suffix" : "" }, { "dropping-particle" : "", "family" : "Vanni\u00e9re", "given" : "Boris", "non-dropping-particle" : "", "parse-names" : false, "suffix" : "" } ], "container-title" : "Quaternary Science Reviews", "id" : "ITEM-1", "issued" : { "date-parts" : [ [ "2013" ] ] }, "page" : "5-25", "title" : "Global biomass burning: A synthesis and review of Holocene paleofire records and their controls", "type" : "article-journal", "volume" : "65" }, "uris" : [ "http://www.mendeley.com/documents/?uuid=5d49f60b-3782-4047-b3df-1c9558a863b0" ] } ], "mendeley" : { "formattedCitation" : "(Marlon et al., 2013)", "plainTextFormattedCitation" : "(Marlon et al., 2013)", "previouslyFormattedCitation" : "(Marlon et al., 2013)"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(Marlon et al., 2013)</w:t>
      </w:r>
      <w:r w:rsidRPr="008736A7">
        <w:rPr>
          <w:rFonts w:ascii="Times New Roman" w:hAnsi="Times New Roman" w:cs="Times New Roman"/>
        </w:rPr>
        <w:fldChar w:fldCharType="end"/>
      </w:r>
      <w:r w:rsidRPr="008736A7">
        <w:rPr>
          <w:rFonts w:ascii="Times New Roman" w:hAnsi="Times New Roman" w:cs="Times New Roman"/>
        </w:rPr>
        <w:t>. To establish an empirical link between changes in past fire regimes and human land-use practices depends on the ability to demonstrate synchroneity of fire activity and human impact in the paleorecord. This link is dependent on having archaeological evidence (e.g. AMS-dated archaeological sites) or vegetation data (e.g. crop pollen) to establish a human presence. Additionally, fire records need suf</w:t>
      </w:r>
      <w:r w:rsidRPr="008736A7">
        <w:rPr>
          <w:rFonts w:ascii="Times New Roman" w:eastAsia="MS Mincho" w:hAnsi="Times New Roman" w:cs="Times New Roman"/>
        </w:rPr>
        <w:t>ﬁ</w:t>
      </w:r>
      <w:r w:rsidRPr="008736A7">
        <w:rPr>
          <w:rFonts w:ascii="Times New Roman" w:hAnsi="Times New Roman" w:cs="Times New Roman"/>
        </w:rPr>
        <w:t xml:space="preserve">cient sampling resolution and appropriate chronological control that correspond to the period of human occupation in a region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"1040-6182", "author" : [ { "dropping-particle" : "", "family" : "Berglund", "given" : "Bj\u00f6rn E", "non-dropping-particle" : "", "parse-names" : false, "suffix" : "" } ], "container-title" : "Quaternary International", "id" : "ITEM-1", "issue" : "1", "issued" : { "date-parts" : [ [ "2003" ] ] }, "page" : "7-12", "publisher" : "Elsevier", "title" : "Human impact and climate changes\u2014synchronous events and a causal link?", "type" : "article-journal", "volume" : "105" }, "uris" : [ "http://www.mendeley.com/documents/?uuid=afb8c602-0655-4eb1-910a-bf0bf6328567" ] } ], "mendeley" : { "formattedCitation" : "(Berglund, 2003)", "plainTextFormattedCitation" : "(Berglund, 2003)", "previouslyFormattedCitation" : "(Berglund, 2003)"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(Berglund, 2003)</w:t>
      </w:r>
      <w:r w:rsidRPr="008736A7">
        <w:rPr>
          <w:rFonts w:ascii="Times New Roman" w:hAnsi="Times New Roman" w:cs="Times New Roman"/>
        </w:rPr>
        <w:fldChar w:fldCharType="end"/>
      </w:r>
      <w:r w:rsidRPr="008736A7">
        <w:rPr>
          <w:rFonts w:ascii="Times New Roman" w:hAnsi="Times New Roman" w:cs="Times New Roman"/>
        </w:rPr>
        <w:t xml:space="preserve">. Conventionally, paleoecological studies have focused on long-term climate-driven forest dynamics. Sampling sediment charcoal records with low resolution (LR) pollen sampling (ca. 5-10 cm or multi-centennial to millennial scale) has been sufficient to address the temporal range of these questions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"id" : "ITEM-2", "itemData" : { "author" : [ { "dropping-particle" : "", "family" : "Urrego", "given" : "Dunia H.", "non-dropping-particle" : "", "parse-names" : false, "suffix" : "" }, { "dropping-particle" : "", "family" : "Silman", "given" : "Miles R.", "non-dropping-particle" : "", "parse-names" : false, "suffix" : "" }, { "dropping-particle" : "", "family" : "Bush", "given" : "Mark B.", "non-dropping-particle" : "", "parse-names" : false, "suffix" : "" } ], "container-title" : "Journal of Quaternary Science", "id" : "ITEM-2", "issue" : "7-8", "issued" : { "date-parts" : [ [ "2005", "10" ] ] }, "page" : "693-701", "title" : "The Last Glacial Maximum: stability and change in a western Amazonian cloud forest", "type" : "article-journal", "volume" : "20" }, "uris" : [ "http://www.mendeley.com/documents/?uuid=1b2a567c-3991-4993-836b-4f4e47a44b44" ] }, { "id" : "ITEM-3",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"ITEM-3", "issued" : { "date-parts" : [ [ "2000" ] ] }, "page" : "2291-2294", "title" : "Millennial-scale dynamics of southern Amazonian rain forests", "type" : "article-journal", "volume" : "290" }, "uris" : [ "http://www.mendeley.com/documents/?uuid=894a91a3-4b29-430f-bc28-d17206adce15" ] }, { "id" : "ITEM-4", "itemData" : { "author" : [ { "dropping-particle" : "", "family" : "Bush", "given" : "Mark B", "non-dropping-particle" : "", "parse-names" : false, "suffix" : "" }, { "dropping-particle" : "", "family" : "Miller", "given" : "Michael C", "non-dropping-particle" : "", "parse-names" : false, "suffix" : "" }, { "dropping-particle" : "De", "family" : "Oliveira", "given" : "Paulo E", "non-dropping-particle" : "", "parse-names" : false, "suffix" : "" }, { "dropping-particle" : "", "family" : "Colinvaux", "given" : "Paul A", "non-dropping-particle" : "", "parse-names" : false, "suffix" : "" } ], "id" : "ITEM-4", "issued" : { "date-parts" : [ [ "2000" ] ] }, "page" : "543-553", "title" : "Two histories of environmental change and human disturbance in eastern lowland Amazonia", "type" : "article-journal", "volume" : "5" }, "uris" : [ "http://www.mendeley.com/documents/?uuid=1ad13930-c4fa-4c33-bf3b-56160ebadcb4" ] }, { "id" : "ITEM-5", "itemData" : { "ISSN" : "1365-2699", "author" : [ { "dropping-particle" : "", "family" : "Urrego", "given" : "Dunia H", "non-dropping-particle" : "", "parse-names" : false, "suffix" : "" }, { "dropping-particle" : "", "family" : "Bush", "given" : "Mark B", "non-dropping-particle" : "", "parse-names" : false, "suffix" : "" }, { "dropping-particle" : "", "family" : "Silman", "given" : "Miles R", "non-dropping-particle" : "", "parse-names" : false, "suffix" : "" }, { "dropping-particle" : "", "family" : "Niccum", "given" : "Brittany A", "non-dropping-particle" : "", "parse-names" : false, "suffix" : "" }, { "dropping-particle" : "", "family" : "Rosa", "given" : "Paulina", "non-dropping-particle" : "La", "parse-names" : false, "suffix" : "" }, { "dropping-particle" : "", "family" : "McMichael", "given" : "Crystal H", "non-dropping-particle" : "", "parse-names" : false, "suffix" : "" }, { "dropping-particle" : "", "family" : "Hagen", "given" : "Stephen", "non-dropping-particle" : "", "parse-names" : false, "suffix" : "" }, { "dropping-particle" : "", "family" : "Palace", "given" : "Michael", "non-dropping-particle" : "", "parse-names" : false, "suffix" : "" } ], "container-title" : "Journal of biogeography", "id" : "ITEM-5", "issued" : { "date-parts" : [ [ "2013" ] ] }, "page" : "521-533", "publisher" : "Wiley Online Library", "title" : "Holocene fires, forest stability and human occupation in south\u2010western Amazonia", "type" : "article-journal", "volume" : "40" }, "uris" : [ "http://www.mendeley.com/documents/?uuid=fcbd50c8-91e3-41cd-b105-2a5de7e063bd" ] } ], "mendeley" : { "formattedCitation" : "(Burbridge et al., 2004; Bush et al., 2000; Mayle et al., 2000; Dunia H Urrego et al., 2013; Urrego et al., 2005)", "manualFormatting" : "(Burbridge et al., 2004; Bush et al., 2000; Mayle et al., 2000; Urrego et al., 2013; Urrego et al., 2005)", "plainTextFormattedCitation" : "(Burbridge et al., 2004; Bush et al., 2000; Mayle et al., 2000; Dunia H Urrego et al., 2013; Urrego et al., 2005)", "previouslyFormattedCitation" : "(Burbridge et al., 2004; Bush et al., 2000; Mayle et al., 2000; Dunia H Urrego et al., 2013; Urrego et al., 2005)"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 Bush et al., 2000; Mayle et al., 2000; Urrego et al., 2013; Urrego et al., 2005)</w:t>
      </w:r>
      <w:r w:rsidRPr="008736A7">
        <w:rPr>
          <w:rFonts w:ascii="Times New Roman" w:hAnsi="Times New Roman" w:cs="Times New Roman"/>
        </w:rPr>
        <w:fldChar w:fldCharType="end"/>
      </w:r>
      <w:r w:rsidRPr="008736A7">
        <w:rPr>
          <w:rFonts w:ascii="Times New Roman" w:hAnsi="Times New Roman" w:cs="Times New Roman"/>
        </w:rPr>
        <w:t xml:space="preserve">. Subsequently, LR sampling combined with chronological uncertainties has led to ambiguity and debate in the nature of the fire-human-climate linkages in South America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"Heusser", "given" : "C J", "non-dropping-particle" : "", "parse-names" : false, "suffix" : "" } ], "container-title" : "Revista Chilena de Historia Natural", "id" : "ITEM-1", "issue" : "4", "issued" : { "date-parts" : [ [ "1994" ] ] }, "page" : "435-443", "title" : "Paleoindians and fire during the late Quaternary in southern South America", "type" : "article-journal", "volume" : "67" }, "uris" : [ "http://www.mendeley.com/documents/?uuid=f5c04263-72a3-4559-a39f-baf9e8faa840" ] }, { "id" : "ITEM-2", "itemData" : { "author" : [ { "dropping-particle" : "", "family" : "Whitlock", "given" : "Cathy", "non-dropping-particle" : "", "parse-names" : false, "suffix" : "" }, { "dropping-particle" : "", "family" : "Moreno", "given" : "Patricio I.", "non-dropping-particle" : "", "parse-names" : false, "suffix" : "" }, { "dropping-particle" : "", "family" : "Bartlein", "given" : "Patrick", "non-dropping-particle" : "", "parse-names" : false, "suffix" : "" } ], "container-title" : "Quaternary Research", "id" : "ITEM-2", "issue" : "1", "issued" : { "date-parts" : [ [ "2007", "7" ] ] }, "page" : "28-36", "title" : "Climatic controls of Holocene fire patterns in southern South America", "type" : "article-journal", "volume" : "68" }, "uris" : [ "http://www.mendeley.com/documents/?uuid=b04480e9-093b-4c15-8fef-b366d991adcd" ] } ], "mendeley" : { "formattedCitation" : "(Heusser, 1994; Whitlock et al., 2007)", "plainTextFormattedCitation" : "(Heusser, 1994; Whitlock et al., 2007)", "previouslyFormattedCitation" : "(Heusser, 1994; Whitlock et al., 2007)"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(Heusser, 1994; Whitlock et al., 2007)</w:t>
      </w:r>
      <w:r w:rsidRPr="008736A7">
        <w:rPr>
          <w:rFonts w:ascii="Times New Roman" w:hAnsi="Times New Roman" w:cs="Times New Roman"/>
        </w:rPr>
        <w:fldChar w:fldCharType="end"/>
      </w:r>
      <w:r w:rsidRPr="008736A7">
        <w:rPr>
          <w:rFonts w:ascii="Times New Roman" w:hAnsi="Times New Roman" w:cs="Times New Roman"/>
        </w:rPr>
        <w:t xml:space="preserve">. </w:t>
      </w:r>
    </w:p>
    <w:p w:rsidR="008736A7"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Alternatively, high-resolution (</w:t>
      </w:r>
      <w:r w:rsidRPr="008736A7">
        <w:rPr>
          <w:rFonts w:ascii="Times New Roman" w:eastAsiaTheme="minorHAnsi" w:hAnsi="Times New Roman" w:cs="Times New Roman"/>
        </w:rPr>
        <w:t>HR) (0.5-1</w:t>
      </w:r>
      <w:r w:rsidRPr="008736A7">
        <w:rPr>
          <w:rFonts w:ascii="Times New Roman" w:hAnsi="Times New Roman" w:cs="Times New Roman"/>
        </w:rPr>
        <w:t xml:space="preserve"> </w:t>
      </w:r>
      <w:r w:rsidRPr="008736A7">
        <w:rPr>
          <w:rFonts w:ascii="Times New Roman" w:eastAsiaTheme="minorHAnsi" w:hAnsi="Times New Roman" w:cs="Times New Roman"/>
        </w:rPr>
        <w:t xml:space="preserve">cm or sub-centennial to centennial scale) sampling enables a more detailed exploration of natural and human impacts within the </w:t>
      </w:r>
      <w:r w:rsidRPr="008736A7">
        <w:rPr>
          <w:rFonts w:ascii="Times New Roman" w:eastAsiaTheme="minorHAnsi" w:hAnsi="Times New Roman" w:cs="Times New Roman"/>
        </w:rPr>
        <w:lastRenderedPageBreak/>
        <w:t xml:space="preserve">period of human occupation (sub-centennial to millennial). </w:t>
      </w:r>
      <w:r w:rsidRPr="008736A7">
        <w:rPr>
          <w:rFonts w:ascii="Times New Roman" w:hAnsi="Times New Roman" w:cs="Times New Roman"/>
        </w:rPr>
        <w:t xml:space="preserve">Recently, the combination of interdisciplinary archaeological and (HR) paleoecological methods at large and small lake basins in the Bolivian Amazon have differentiated local human-driven versus regional climate-driven controls on vegetation dynamics and fire activity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"mendeley" : { "formattedCitation" : "(Carson et al., 2014)", "plainTextFormattedCitation" : "(Carson et al., 2014)", "previouslyFormattedCitation" : "(Carson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(Carson et al., 2014)</w:t>
      </w:r>
      <w:r w:rsidRPr="008736A7">
        <w:rPr>
          <w:rFonts w:ascii="Times New Roman" w:hAnsi="Times New Roman" w:cs="Times New Roman"/>
        </w:rPr>
        <w:fldChar w:fldCharType="end"/>
      </w:r>
      <w:r w:rsidRPr="008736A7">
        <w:rPr>
          <w:rFonts w:ascii="Times New Roman" w:hAnsi="Times New Roman" w:cs="Times New Roman"/>
        </w:rPr>
        <w:t>.  However, in the present study, only a large lake basin is available, and archaeological survey data has not been conducted around the lake. Hence, an alternative method to explore  potential pre-Columbian impacts implements</w:t>
      </w:r>
      <w:r w:rsidRPr="008736A7">
        <w:rPr>
          <w:rFonts w:ascii="Times New Roman" w:eastAsiaTheme="minorHAnsi" w:hAnsi="Times New Roman" w:cs="Times New Roman"/>
        </w:rPr>
        <w:t xml:space="preserve"> use of modified pollen sieving techniques to detect human occupation </w:t>
      </w:r>
      <w:r w:rsidRPr="008736A7">
        <w:rPr>
          <w:rFonts w:ascii="Times New Roman" w:eastAsiaTheme="minorHAnsi" w:hAnsi="Times New Roman" w:cs="Times New Roman"/>
        </w:rPr>
        <w:fldChar w:fldCharType="begin" w:fldLock="1"/>
      </w:r>
      <w:r w:rsidRPr="008736A7">
        <w:rPr>
          <w:rFonts w:ascii="Times New Roman" w:eastAsiaTheme="minorHAnsi" w:hAnsi="Times New Roman" w:cs="Times New Roman"/>
        </w:rPr>
        <w:instrText>ADDIN CSL_CITATION { "citationItems" : [ { "id" : "ITEM-1", "itemData" : { "ISSN" : "0959-6836", "author" : [ { "dropping-particle" : "", "family" : "Whitney", "given" : "B. S.", "non-dropping-particle" : "", "parse-names" : false, "suffix" : "" }, { "dropping-particle" : "", "family" : "Rushton", "given" : "E. a.", "non-dropping-particle" : "", "parse-names" : false, "suffix" : "" }, { "dropping-particle" : "", "family" : "Carson", "given" : "J. F.", "non-dropping-particle" : "", "parse-names" : false, "suffix" : "" }, { "dropping-particle" : "", "family" : "Iriarte", "given" : "J.", "non-dropping-particle" : "", "parse-names" : false, "suffix" : "" }, { "dropping-particle" : "", "family" : "Mayle", "given" : "F. E.", "non-dropping-particle" : "", "parse-names" : false, "suffix" : "" } ], "container-title" : "The Holocene", "id" : "ITEM-1", "issued" : { "date-parts" : [ [ "2012", "3", "19" ] ] }, "page" : "1087-1096", "title" : "An improved methodology for the recovery of Zea mays and other large crop pollen, with implications for environmental archaeology in the Neotropics", "type" : "article-journal", "volume" : "22" }, "uris" : [ "http://www.mendeley.com/documents/?uuid=9ef7f7b3-1123-45c7-97b6-dd9e9c91168e" ] } ], "mendeley" : { "formattedCitation" : "(Whitney et al., 2012)", "plainTextFormattedCitation" : "(Whitney et al., 2012)", "previouslyFormattedCitation" : "(Whitney et al., 2012)" }, "properties" : { "noteIndex" : 0 }, "schema" : "https://github.com/citation-style-language/schema/raw/master/csl-citation.json" }</w:instrText>
      </w:r>
      <w:r w:rsidRPr="008736A7">
        <w:rPr>
          <w:rFonts w:ascii="Times New Roman" w:eastAsiaTheme="minorHAnsi" w:hAnsi="Times New Roman" w:cs="Times New Roman"/>
        </w:rPr>
        <w:fldChar w:fldCharType="separate"/>
      </w:r>
      <w:r w:rsidRPr="008736A7">
        <w:rPr>
          <w:rFonts w:ascii="Times New Roman" w:eastAsiaTheme="minorHAnsi" w:hAnsi="Times New Roman" w:cs="Times New Roman"/>
          <w:noProof/>
        </w:rPr>
        <w:t>(Whitney et al., 2012)</w:t>
      </w:r>
      <w:r w:rsidRPr="008736A7">
        <w:rPr>
          <w:rFonts w:ascii="Times New Roman" w:eastAsiaTheme="minorHAnsi" w:hAnsi="Times New Roman" w:cs="Times New Roman"/>
        </w:rPr>
        <w:fldChar w:fldCharType="end"/>
      </w:r>
      <w:r w:rsidRPr="008736A7">
        <w:rPr>
          <w:rFonts w:ascii="Times New Roman" w:eastAsiaTheme="minorHAnsi" w:hAnsi="Times New Roman" w:cs="Times New Roman"/>
        </w:rPr>
        <w:t xml:space="preserve"> and statistical algorithm software </w:t>
      </w:r>
      <w:r w:rsidRPr="008736A7">
        <w:rPr>
          <w:rFonts w:ascii="Times New Roman" w:hAnsi="Times New Roman" w:cs="Times New Roman"/>
        </w:rPr>
        <w:t xml:space="preserve">including regime shift index (RSI)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"1944-8007", "author" : [ { "dropping-particle" : "", "family" : "Rodionov", "given" : "Sergei N", "non-dropping-particle" : "", "parse-names" : false, "suffix" : "" } ], "container-title" : "Geophysical Research Letters", "id" : "ITEM-1", "issue" : "9", "issued" : { "date-parts" : [ [ "2004" ] ] }, "publisher" : "Wiley Online Library", "title" : "A sequential algorithm for testing climate regime shifts", "type" : "article-journal", "volume" : "31" }, "uris" : [ "http://www.mendeley.com/documents/?uuid=81e9f00b-92d9-4466-85e8-a8b438e64870" ] } ], "mendeley" : { "formattedCitation" : "(Rodionov, 2004)", "plainTextFormattedCitation" : "(Rodionov, 2004)", "previouslyFormattedCitation" : "(Rodionov, 2004)"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(Rodionov, 2004)</w:t>
      </w:r>
      <w:r w:rsidRPr="008736A7">
        <w:rPr>
          <w:rFonts w:ascii="Times New Roman" w:hAnsi="Times New Roman" w:cs="Times New Roman"/>
        </w:rPr>
        <w:fldChar w:fldCharType="end"/>
      </w:r>
      <w:r w:rsidRPr="008736A7">
        <w:rPr>
          <w:rFonts w:ascii="Times New Roman" w:hAnsi="Times New Roman" w:cs="Times New Roman"/>
        </w:rPr>
        <w:t xml:space="preserve"> and CHAR Analysis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"1049-8001", "author" : [ { "dropping-particle" : "", "family" : "Higuera", "given" : "Philip E.", "non-dropping-particle" : "", "parse-names" : false, "suffix" : "" }, { "dropping-particle" : "", "family" : "Gavin", "given" : "Daniel G.", "non-dropping-particle" : "", "parse-names" : false, "suffix" : "" }, { "dropping-particle" : "", "family" : "Bartlein", "given" : "Patrick J.", "non-dropping-particle" : "", "parse-names" : false, "suffix" : "" }, { "dropping-particle" : "", "family" : "Hallett", "given" : "Douglas J.", "non-dropping-particle" : "", "parse-names" : false, "suffix" : "" } ], "container-title" : "International Journal of Wildland Fire", "id" : "ITEM-1", "issue" : "8", "issued" : { "date-parts" : [ [ "2010" ] ] }, "page" : "996", "title" : "Peak detection in sediment\u2013charcoal records: impacts of alternative data analysis methods on fire-history interpretations", "type" : "article-journal", "volume" : "19" }, "uris" : [ "http://www.mendeley.com/documents/?uuid=44e4ced5-52da-4d7c-a019-2f9ee7c8774b" ] } ], "mendeley" : { "formattedCitation" : "(Higuera et al., 2010)", "plainTextFormattedCitation" : "(Higuera et al., 2010)", "previouslyFormattedCitation" : "(Higuera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(Higuera et al., 2010)</w:t>
      </w:r>
      <w:r w:rsidRPr="008736A7">
        <w:rPr>
          <w:rFonts w:ascii="Times New Roman" w:hAnsi="Times New Roman" w:cs="Times New Roman"/>
        </w:rPr>
        <w:fldChar w:fldCharType="end"/>
      </w:r>
      <w:r w:rsidRPr="008736A7">
        <w:rPr>
          <w:rFonts w:ascii="Times New Roman" w:hAnsi="Times New Roman" w:cs="Times New Roman"/>
        </w:rPr>
        <w:t xml:space="preserve"> on HR macrocharcoal data (&gt;125 µm, henceforth “charcoal”) to explore natural and human impacts on fire activity.  HR charcoal and statistical algorithms are used to explore changes in past fire regimes including changes in </w:t>
      </w:r>
      <w:r w:rsidRPr="008736A7">
        <w:rPr>
          <w:rFonts w:ascii="Times New Roman" w:hAnsi="Times New Roman" w:cs="Times New Roman"/>
          <w:i/>
        </w:rPr>
        <w:t>fire severity</w:t>
      </w:r>
      <w:r w:rsidRPr="008736A7">
        <w:rPr>
          <w:rFonts w:ascii="Times New Roman" w:hAnsi="Times New Roman" w:cs="Times New Roman"/>
        </w:rPr>
        <w:t xml:space="preserve"> (total biomass burned indicated by influx) and </w:t>
      </w:r>
      <w:r w:rsidRPr="008736A7">
        <w:rPr>
          <w:rFonts w:ascii="Times New Roman" w:hAnsi="Times New Roman" w:cs="Times New Roman"/>
          <w:i/>
        </w:rPr>
        <w:t>fire frequency</w:t>
      </w:r>
      <w:r w:rsidRPr="008736A7">
        <w:rPr>
          <w:rFonts w:ascii="Times New Roman" w:hAnsi="Times New Roman" w:cs="Times New Roman"/>
        </w:rPr>
        <w:t xml:space="preserve"> (how often fires occur) before, during and after the period of human occupation. These data are compared with dated archaeological sites across the Bolivian lowlands (Figure 1) to provide a regional context for pre-Columbian activity and past paleofire activity. </w:t>
      </w:r>
    </w:p>
    <w:p w:rsidR="008736A7"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With the application of this modified pollen and HR charcoal method in conjunction with existing charcoal, vegetation, climate, and compiled regional archaeological data, it is possible to begin to disentangle potential drivers of past fire activity. For example, in Amazonian ecosystems </w:t>
      </w:r>
      <w:r w:rsidRPr="008736A7">
        <w:rPr>
          <w:rFonts w:ascii="Times New Roman" w:eastAsiaTheme="minorHAnsi" w:hAnsi="Times New Roman" w:cs="Times New Roman"/>
        </w:rPr>
        <w:t xml:space="preserve">precipitation is the most important effect of climate on wildfire as it governs the abundance of fuel moisture </w:t>
      </w:r>
      <w:r w:rsidRPr="008736A7">
        <w:rPr>
          <w:rFonts w:ascii="Times New Roman" w:eastAsiaTheme="minorHAnsi" w:hAnsi="Times New Roman" w:cs="Times New Roman"/>
        </w:rPr>
        <w:fldChar w:fldCharType="begin" w:fldLock="1"/>
      </w:r>
      <w:r w:rsidRPr="008736A7">
        <w:rPr>
          <w:rFonts w:ascii="Times New Roman" w:hAnsi="Times New Roman" w:cs="Times New Roman"/>
        </w:rPr>
        <w:instrText>ADDIN CSL_CITATION { "citationItems" : [ { "id" : "ITEM-1", "itemData" : { "ISSN" : "0309-1333", "author" : [ { "dropping-particle" : "", "family" : "Mistry", "given" : "J.", "non-dropping-particle" : "", "parse-names" : false, "suffix" : "" } ], "container-title" : "Progress in Physical Geography", "id" : "ITEM-1", "issued" : { "date-parts" : [ [ "1998", "10", "1" ] ] }, "page" : "425-448", "title" : "Fire in the Cerrado (savannas) of Brazil: An ecological review", "type" : "article-journal", "volume" : "22" }, "uris" : [ "http://www.mendeley.com/documents/?uuid=fa43a747-1c6f-4357-874e-cc3ff6aaa182" ] }, { "id" : "ITEM-2", "itemData" : { "author" : [ { "dropping-particle" : "", "family" : "Brown", "given" : "K J", "non-dropping-particle" : "", "parse-names" : false, "suffix" : "" }, { "dropping-particle" : "", "family" : "Power", "given" : "M J", "non-dropping-particle" : "", "parse-names" : false, "suffix" : "" } ], "container-title" : "The Encyclopedia of Quaternary Science", "edition" : "2", "id" : "ITEM-2", "issued" : { "date-parts" : [ [ "2013" ] ] }, "page" : "716-729", "publisher" : "Elsevier", "publisher-place" : "Amsterdam, The Netherlands", "title" : "Charred particle analyses.", "type" : "chapter" }, "uris" : [ "http://www.mendeley.com/documents/?uuid=11bb1738-015d-4dbe-a974-2e039898f997" ] }, { "id" : "ITEM-3", "itemData" : { "author" : [ { "dropping-particle" : "", "family" : "Marlon", "given" : "Jennifer R", "non-dropping-particle" : "", "parse-names" : false, "suffix" : "" }, { "dropping-particle" : "", "family" : "Bartlein", "given" : "Patrick J", "non-dropping-particle" : "", "parse-names" : false, "suffix" : "" }, { "dropping-particle" : "", "family" : "Daniau", "given" : "Anne-laure", "non-dropping-particle" : "", "parse-names" : false, "suffix" : "" }, { "dropping-particle" : "", "family" : "Harrison", "given" : "Sandy P", "non-dropping-particle" : "", "parse-names" : false, "suffix" : "" }, { "dropping-particle" : "", "family" : "Maezumi", "given" : "Shira Y", "non-dropping-particle" : "", "parse-names" : false, "suffix" : "" }, { "dropping-particle" : "", "family" : "Power", "given" : "Mitchell J", "non-dropping-particle" : "", "parse-names" : false, "suffix" : "" }, { "dropping-particle" : "", "family" : "Tinner", "given" : "Willy", "non-dropping-particle" : "", "parse-names" : false, "suffix" : "" }, { "dropping-particle" : "", "family" : "Vanni\u00e9re", "given" : "Boris", "non-dropping-particle" : "", "parse-names" : false, "suffix" : "" } ], "container-title" : "Quaternary Science Reviews", "id" : "ITEM-3", "issued" : { "date-parts" : [ [ "2013" ] ] }, "page" : "5-25", "title" : "Global biomass burning: A synthesis and review of Holocene paleofire records and their controls", "type" : "article-journal", "volume" : "65" }, "uris" : [ "http://www.mendeley.com/documents/?uuid=5d49f60b-3782-4047-b3df-1c9558a863b0" ] } ], "mendeley" : { "formattedCitation" : "(Brown and Power, 2013; Marlon et al., 2013; Mistry, 1998)", "plainTextFormattedCitation" : "(Brown and Power, 2013; Marlon et al., 2013; Mistry, 1998)", "previouslyFormattedCitation" : "(Brown and Power, 2013; Marlon et al., 2013; Mistry, 1998)" }, "properties" : { "noteIndex" : 0 }, "schema" : "https://github.com/citation-style-language/schema/raw/master/csl-citation.json" }</w:instrText>
      </w:r>
      <w:r w:rsidRPr="008736A7">
        <w:rPr>
          <w:rFonts w:ascii="Times New Roman" w:eastAsiaTheme="minorHAnsi" w:hAnsi="Times New Roman" w:cs="Times New Roman"/>
        </w:rPr>
        <w:fldChar w:fldCharType="separate"/>
      </w:r>
      <w:r w:rsidRPr="008736A7">
        <w:rPr>
          <w:rFonts w:ascii="Times New Roman" w:hAnsi="Times New Roman" w:cs="Times New Roman"/>
          <w:noProof/>
        </w:rPr>
        <w:t>(Brown and Power, 2013; Marlon et al., 2013; Mistry, 1998)</w:t>
      </w:r>
      <w:r w:rsidRPr="008736A7">
        <w:rPr>
          <w:rFonts w:ascii="Times New Roman" w:eastAsiaTheme="minorHAnsi" w:hAnsi="Times New Roman" w:cs="Times New Roman"/>
        </w:rPr>
        <w:fldChar w:fldCharType="end"/>
      </w:r>
      <w:r w:rsidRPr="008736A7">
        <w:rPr>
          <w:rFonts w:ascii="Times New Roman" w:eastAsiaTheme="minorHAnsi" w:hAnsi="Times New Roman" w:cs="Times New Roman"/>
        </w:rPr>
        <w:t xml:space="preserve">. Fire responds differently to increases in precipitation depending on whether fuel moisture is initially abundant or limited in the ecosystem (Marlon et al., 2013; Mistry, 1998). In dry and semi-dry environments such as </w:t>
      </w:r>
      <w:r w:rsidRPr="008736A7">
        <w:rPr>
          <w:rFonts w:ascii="Times New Roman" w:eastAsiaTheme="minorHAnsi" w:hAnsi="Times New Roman" w:cs="Times New Roman"/>
          <w:i/>
        </w:rPr>
        <w:t>cerrado</w:t>
      </w:r>
      <w:r w:rsidRPr="008736A7">
        <w:rPr>
          <w:rFonts w:ascii="Times New Roman" w:eastAsiaTheme="minorHAnsi" w:hAnsi="Times New Roman" w:cs="Times New Roman"/>
        </w:rPr>
        <w:t xml:space="preserve"> savanna grasslands, increases in precipitation tend to increase fire</w:t>
      </w:r>
      <w:r w:rsidRPr="008736A7">
        <w:rPr>
          <w:rFonts w:ascii="Times New Roman" w:hAnsi="Times New Roman" w:cs="Times New Roman"/>
        </w:rPr>
        <w:t xml:space="preserve"> through a buildup of available fuel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"1814-9340", "author" : [ { "dropping-particle" : "", "family" : "Maezumi", "given" : "S Y", "non-dropping-particle" : "", "parse-names" : false, "suffix" : "" }, { "dropping-particle" : "", "family" : "Power", "given" : "M J", "non-dropping-particle" : "", "parse-names" : false, "suffix" : "" }, { "dropping-particle" : "", "family" : "Mayle", "given" : "F E", "non-dropping-particle" : "", "parse-names" : false, "suffix" : "" }, { "dropping-particle" : "", "family" : "McLauchlan", "given" : "K", "non-dropping-particle" : "", "parse-names" : false, "suffix" : "" }, { "dropping-particle" : "", "family" : "Iriarte", "given" : "J", "non-dropping-particle" : "", "parse-names" : false, "suffix" : "" } ], "container-title" : "Climate of the Past Discussions", "id" : "ITEM-1", "issue" : "1", "issued" : { "date-parts" : [ [ "2015" ] ] }, "page" : "135-180", "publisher" : "Copernicus GmbH", "title" : "The effects of past climate variability on fire and vegetation in the cerr\u00e3do savanna ecosystem of the Huanchaca Mesetta, Noel Kempff Mercado National Park, NE Bolivia", "type" : "article-journal", "volume" : "11" }, "uris" : [ "http://www.mendeley.com/documents/?uuid=83ea98d6-7c28-4067-b2b2-48cc5efac5eb" ] }, { "id" : "ITEM-2", "itemData" : { "author" : [ { "dropping-particle" : "", "family" : "Marlon", "given" : "Jennifer R", "non-dropping-particle" : "", "parse-names" : false, "suffix" : "" }, { "dropping-particle" : "", "family" : "Bartlein", "given" : "Patrick J", "non-dropping-particle" : "", "parse-names" : false, "suffix" : "" }, { "dropping-particle" : "", "family" : "Daniau", "given" : "Anne-laure", "non-dropping-particle" : "", "parse-names" : false, "suffix" : "" }, { "dropping-particle" : "", "family" : "Harrison", "given" : "Sandy P", "non-dropping-particle" : "", "parse-names" : false, "suffix" : "" }, { "dropping-particle" : "", "family" : "Maezumi", "given" : "Shira Y", "non-dropping-particle" : "", "parse-names" : false, "suffix" : "" }, { "dropping-particle" : "", "family" : "Power", "given" : "Mitchell J", "non-dropping-particle" : "", "parse-names" : false, "suffix" : "" }, { "dropping-particle" : "", "family" : "Tinner", "given" : "Willy", "non-dropping-particle" : "", "parse-names" : false, "suffix" : "" }, { "dropping-particle" : "", "family" : "Vanni\u00e9re", "given" : "Boris", "non-dropping-particle" : "", "parse-names" : false, "suffix" : "" } ], "container-title" : "Quaternary Science Reviews", "id" : "ITEM-2", "issued" : { "date-parts" : [ [ "2013" ] ] }, "page" : "5-25", "title" : "Global biomass burning: A synthesis and review of Holocene paleofire records and their controls", "type" : "article-journal", "volume" : "65" }, "uris" : [ "http://www.mendeley.com/documents/?uuid=5d49f60b-3782-4047-b3df-1c9558a863b0" ] } ], "mendeley" : { "formattedCitation" : "(Maezumi et al., 2015; Marlon et al., 2013)", "plainTextFormattedCitation" : "(Maezumi et al., 2015; Marlon et al., 2013)", "previouslyFormattedCitation" : "(Maezumi et al., 2015; Marlon et al., 2013)" }, "properties" : { "noteIndex" : 4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(Maezumi et al., 2015; Marlon et al., 2013)</w:t>
      </w:r>
      <w:r w:rsidRPr="008736A7">
        <w:rPr>
          <w:rFonts w:ascii="Times New Roman" w:hAnsi="Times New Roman" w:cs="Times New Roman"/>
        </w:rPr>
        <w:fldChar w:fldCharType="end"/>
      </w:r>
      <w:r w:rsidRPr="008736A7">
        <w:rPr>
          <w:rFonts w:ascii="Times New Roman" w:eastAsiaTheme="minorHAnsi" w:hAnsi="Times New Roman" w:cs="Times New Roman"/>
        </w:rPr>
        <w:t>, whereas increased precipitation in humid environments, such as humid tropical rainforests,</w:t>
      </w:r>
      <w:r w:rsidRPr="008736A7">
        <w:rPr>
          <w:rFonts w:ascii="Times New Roman" w:eastAsiaTheme="minorHAnsi" w:hAnsi="Times New Roman" w:cs="Times New Roman"/>
          <w:i/>
        </w:rPr>
        <w:t xml:space="preserve"> </w:t>
      </w:r>
      <w:r w:rsidRPr="008736A7">
        <w:rPr>
          <w:rFonts w:ascii="Times New Roman" w:hAnsi="Times New Roman" w:cs="Times New Roman"/>
        </w:rPr>
        <w:t>can</w:t>
      </w:r>
      <w:r w:rsidRPr="008736A7">
        <w:rPr>
          <w:rFonts w:ascii="Times New Roman" w:eastAsiaTheme="minorHAnsi" w:hAnsi="Times New Roman" w:cs="Times New Roman"/>
        </w:rPr>
        <w:t xml:space="preserve"> reduce fire</w:t>
      </w:r>
      <w:r w:rsidRPr="008736A7">
        <w:rPr>
          <w:rFonts w:ascii="Times New Roman" w:hAnsi="Times New Roman" w:cs="Times New Roman"/>
        </w:rPr>
        <w:t xml:space="preserve"> through increases in available fuel moisture</w:t>
      </w:r>
      <w:r w:rsidRPr="008736A7">
        <w:rPr>
          <w:rFonts w:ascii="Times New Roman" w:eastAsiaTheme="minorHAnsi" w:hAnsi="Times New Roman" w:cs="Times New Roman"/>
        </w:rPr>
        <w:t xml:space="preserve"> </w:t>
      </w:r>
      <w:r w:rsidRPr="008736A7">
        <w:rPr>
          <w:rFonts w:ascii="Times New Roman" w:eastAsiaTheme="minorHAnsi"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"Marlon", "given" : "Jennifer R", "non-dropping-particle" : "", "parse-names" : false, "suffix" : "" }, { "dropping-particle" : "", "family" : "Bartlein", "given" : "Patrick J", "non-dropping-particle" : "", "parse-names" : false, "suffix" : "" }, { "dropping-particle" : "", "family" : "Daniau", "given" : "Anne-laure", "non-dropping-particle" : "", "parse-names" : false, "suffix" : "" }, { "dropping-particle" : "", "family" : "Harrison", "given" : "Sandy P", "non-dropping-particle" : "", "parse-names" : false, "suffix" : "" }, { "dropping-particle" : "", "family" : "Maezumi", "given" : "Shira Y", "non-dropping-particle" : "", "parse-names" : false, "suffix" : "" }, { "dropping-particle" : "", "family" : "Power", "given" : "Mitchell J", "non-dropping-particle" : "", "parse-names" : false, "suffix" : "" }, { "dropping-particle" : "", "family" : "Tinner", "given" : "Willy", "non-dropping-particle" : "", "parse-names" : false, "suffix" : "" }, { "dropping-particle" : "", "family" : "Vanni\u00e9re", "given" : "Boris", "non-dropping-particle" : "", "parse-names" : false, "suffix" : "" } ], "container-title" : "Quaternary Science Reviews", "id" : "ITEM-1", "issued" : { "date-parts" : [ [ "2013" ] ] }, "page" : "5-25", "title" : "Global biomass burning: A synthesis and review of Holocene paleofire records and their controls", "type" : "article-journal", "volume" : "65" }, "uris" : [ "http://www.mendeley.com/documents/?uuid=5d49f60b-3782-4047-b3df-1c9558a863b0" ] }, { "id" : "ITEM-2", "itemData" : { "DOI" : "10.1098/rstb.2007.0014", "ISSN" : "0962-8436", "PMID" : "18267914", "abstract" : "Fire is an important and arguably unnatural component of many wet Amazonian and Andean forest systems. Soil charcoal has been used to infer widespread human use of landscapes prior to European Conquest. An analysis of Amazonian soil carbon records reveals that the records have distinct spatial and temporal patterns, suggesting that either fires were only set in moderately seasonal areas of Amazonia or that strongly seasonal and aseasonal areas are undersampled. Synthesizing data from 300 charcoal records, an age-frequency diagram reveals peaks of fire apparently coinciding with some periods of very strong El Ni\u00f1o activity. However, the El Ni\u00f1o record does not always provide an accurate prediction of fire timing, and a better match is found in the record of insolation minima. After the time of European contact, fires became much scarcer within Amazonia. In both the Amazonia and the Andes, modern fire pattern is strongly allied to human activity. On the flank of the Andes, forests that have never burned are being eroded by fire spreading downslope from grasslands. Species of these same forests are being forced to migrate upslope due to warming and will encounter a firm artificial fire boundary of human activity.", "author" : [ { "dropping-particle" : "", "family" : "Bush", "given" : "M B", "non-dropping-particle" : "", "parse-names" : false, "suffix" : "" }, { "dropping-particle" : "", "family" : "Silman", "given" : "M R", "non-dropping-particle" : "", "parse-names" : false, "suffix" : "" }, { "dropping-particle" : "", "family" : "McMichael", "given" : "C", "non-dropping-particle" : "", "parse-names" : false, "suffix" : "" }, { "dropping-particle" : "", "family" : "Saatchi", "given" : "S", "non-dropping-particle" : "", "parse-names" : false, "suffix" : "" } ], "container-title" : "Philosophical transactions of the Royal Society of London. Series B, Biological sciences", "id" : "ITEM-2", "issued" : { "date-parts" : [ [ "2008", "5", "27" ] ] }, "page" : "1795-02", "title" : "Fire, climate change and biodiversity in Amazonia: a Late-Holocene perspective.", "type" : "article-journal", "volume" : "363" }, "uris" : [ "http://www.mendeley.com/documents/?uuid=489d644d-4f43-4fd0-9d98-ddfba05546eb" ] }, { "id" : "ITEM-3", "itemData" : { "ISSN" : "0028-0836", "author" : [ { "dropping-particle" : "", "family" : "Cochrane", "given" : "Mark A", "non-dropping-particle" : "", "parse-names" : false, "suffix" : "" } ], "container-title" : "Nature", "id" : "ITEM-3", "issued" : { "date-parts" : [ [ "2003" ] ] }, "page" : "913-919", "publisher" : "Nature Publishing Group", "title" : "Fire science for rainforests", "type" : "article-journal", "volume" : "421" }, "uris" : [ "http://www.mendeley.com/documents/?uuid=c49013c4-c8e2-485c-9f3c-c9327b0401dd" ] } ], "mendeley" : { "formattedCitation" : "(Bush et al., 2008; Cochrane, 2003; Marlon et al., 2013)", "plainTextFormattedCitation" : "(Bush et al., 2008; Cochrane, 2003; Marlon et al., 2013)", "previouslyFormattedCitation" : "(Bush et al., 2008; Cochrane, 2003; Marlon et al., 2013)" }, "properties" : { "noteIndex" : 0 }, "schema" : "https://github.com/citation-style-language/schema/raw/master/csl-citation.json" }</w:instrText>
      </w:r>
      <w:r w:rsidRPr="008736A7">
        <w:rPr>
          <w:rFonts w:ascii="Times New Roman" w:eastAsiaTheme="minorHAnsi" w:hAnsi="Times New Roman" w:cs="Times New Roman"/>
        </w:rPr>
        <w:fldChar w:fldCharType="separate"/>
      </w:r>
      <w:r w:rsidRPr="008736A7">
        <w:rPr>
          <w:rFonts w:ascii="Times New Roman" w:hAnsi="Times New Roman" w:cs="Times New Roman"/>
          <w:noProof/>
        </w:rPr>
        <w:t>(Bush et al., 2008; Cochrane, 2003; Marlon et al., 2013)</w:t>
      </w:r>
      <w:r w:rsidRPr="008736A7">
        <w:rPr>
          <w:rFonts w:ascii="Times New Roman" w:eastAsiaTheme="minorHAnsi" w:hAnsi="Times New Roman" w:cs="Times New Roman"/>
        </w:rPr>
        <w:fldChar w:fldCharType="end"/>
      </w:r>
      <w:r w:rsidRPr="008736A7">
        <w:rPr>
          <w:rFonts w:ascii="Times New Roman" w:eastAsiaTheme="minorHAnsi" w:hAnsi="Times New Roman" w:cs="Times New Roman"/>
        </w:rPr>
        <w:t xml:space="preserve">. </w:t>
      </w:r>
      <w:r w:rsidRPr="008736A7">
        <w:rPr>
          <w:rFonts w:ascii="Times New Roman" w:hAnsi="Times New Roman" w:cs="Times New Roman"/>
        </w:rPr>
        <w:t xml:space="preserve">In the paleoecological record, independent climate records indicating wet conditions coupled with vegetation data dominated by moist, fire-intolerant, fire-adverse vegetation with high-fuel moisture, natural fire activity is expected to be rare unless under extreme conditions (e.g. severe drought stress)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"00310182", "author" : [ { "dropping-particle" : "", "family" : "Bush", "given" : "M.B.", "non-dropping-particle" : "", "parse-names" : false, "suffix" : "" }, { "dropping-particle" : "", "family" : "Oliveira", "given" : "P.E.", "non-dropping-particle" : "De", "parse-names" : false, "suffix" : "" }, { "dropping-particle" : "", "family" : "Colinvaux", "given" : "P.a.", "non-dropping-particle" : "", "parse-names" : false, "suffix" : "" }, { "dropping-particle" : "", "family" : "Miller", "given" : "M.C.", "non-dropping-particle" : "", "parse-names" : false, "suffix" : "" }, { "dropping-particle" : "", "family" : "Moreno", "given" : "J.E.", "non-dropping-particle" : "", "parse-names" : false, "suffix" : "" } ], "container-title" : "Palaeogeography, Palaeoclimatology, Palaeoecology", "id" : "ITEM-1", "issued" : { "date-parts" : [ [ "2004", "11" ] ] }, "page" : "359-393", "title" : "Amazonian paleoecological histories: one hill, three watersheds", "type" : "article-journal", "volume" : "214" }, "uris" : [ "http://www.mendeley.com/documents/?uuid=a7772996-b702-4a83-9067-345ab4c5456b" ] }, { "id" : "ITEM-2", "itemData" : { "ISBN" : "3540773800", "author" : [ { "dropping-particle" : "", "family" : "Cochrane", "given" : "Mark A", "non-dropping-particle" : "", "parse-names" : false, "suffix" : "" } ], "container-title" : "Tropical Fire Ecology", "id" : "ITEM-2", "issued" : { "date-parts" : [ [ "2009" ] ] }, "page" : "1-23", "publisher" : "Springer", "title" : "Fire in the tropics", "type" : "chapter" }, "uris" : [ "http://www.mendeley.com/documents/?uuid=a9670a7c-6a53-4567-8592-106f685a0422" ] } ], "mendeley" : { "formattedCitation" : "(Bush et al., 2004; Cochrane, 2009)", "plainTextFormattedCitation" : "(Bush et al., 2004; Cochrane, 2009)", "previouslyFormattedCitation" : "(Bush et al., 2004; Cochrane, 2009)"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(Bush et al., 2004; Cochrane, 2009)</w:t>
      </w:r>
      <w:r w:rsidRPr="008736A7">
        <w:rPr>
          <w:rFonts w:ascii="Times New Roman" w:hAnsi="Times New Roman" w:cs="Times New Roman"/>
        </w:rPr>
        <w:fldChar w:fldCharType="end"/>
      </w:r>
      <w:r w:rsidRPr="008736A7">
        <w:rPr>
          <w:rFonts w:ascii="Times New Roman" w:hAnsi="Times New Roman" w:cs="Times New Roman"/>
        </w:rPr>
        <w:t xml:space="preserve">. If fire activity is high during this period, an alternative scenario including human-caused ignitions may be applicable. Archaeological and ethnographic evidence from the Amazon indicates a wide range of human uses of fire including burning for land-clearing, food, and resource procurement, and as a means to promote soil nutrient availability for crop cultivation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"3897123479", "author" : [ { "dropping-particle" : "", "family" : "Kato", "given" : "M", "non-dropping-particle" : "", "parse-names" : false, "suffix" : "" } ], "id" : "ITEM-1", "issued" : { "date-parts" : [ [ "1998" ] ] }, "publisher" : "Cuvillier Verlag", "title" : "Fire-free land preparation as an alternative to slash-and-burn agriculture in the Bragantina region, eastern Amazon: crop performance and phosphorus dynamics.", "type" : "book" }, "uris" : [ "http://www.mendeley.com/documents/?uuid=0c0e67ef-edda-416d-8968-8a94437d0213" ] }, { "id" : "ITEM-2", "itemData" : { "ISSN" : "0178-2762", "author" : [ { "dropping-particle" : "", "family" : "Glaser", "given" : "Bruno", "non-dropping-particle" : "", "parse-names" : false, "suffix" : "" }, { "dropping-particle" : "", "family" : "Lehmann", "given" : "Johannes", "non-dropping-particle" : "", "parse-names" : false, "suffix" : "" }, { "dropping-particle" : "", "family" : "Zech", "given" : "Wolfgang", "non-dropping-particle" : "", "parse-names" : false, "suffix" : "" } ], "container-title" : "Biology and fertility of soils", "id" : "ITEM-2", "issue" : "4", "issued" : { "date-parts" : [ [ "2002" ] ] }, "page" : "219-230", "publisher" : "Springer", "title" : "Ameliorating physical and chemical properties of highly weathered soils in the tropics with charcoal\u2013a review", "type" : "article-journal", "volume" : "35" }, "uris" : [ "http://www.mendeley.com/documents/?uuid=3bf3abe9-c480-4a7b-9183-551bc5e16fc3" ] }, { "id" : "ITEM-3", "itemData" : { "ISSN" : "0032-079X", "author" : [ { "dropping-particle" : "", "family" : "Steiner", "given" : "Christoph", "non-dropping-particle" : "", "parse-names" : false, "suffix" : "" }, { "dropping-particle" : "", "family" : "Teixeira", "given" : "Wenceslau G", "non-dropping-particle" : "", "parse-names" : false, "suffix" : "" }, { "dropping-particle" : "", "family" : "Lehmann", "given" : "Johannes", "non-dropping-particle" : "", "parse-names" : false, "suffix" : "" }, { "dropping-particle" : "", "family" : "Nehls", "given" : "Thomas", "non-dropping-particle" : "", "parse-names" : false, "suffix" : "" }, { "dropping-particle" : "", "family" : "Mac\u00eado", "given" : "Jeferson Luis Vasconcelos", "non-dropping-particle" : "de", "parse-names" : false, "suffix" : "" }, { "dropping-particle" : "", "family" : "Blum", "given" : "Winfried E H", "non-dropping-particle" : "", "parse-names" : false, "suffix" : "" }, { "dropping-particle" : "", "family" : "Zech", "given" : "Wolfgang", "non-dropping-particle" : "", "parse-names" : false, "suffix" : "" } ], "container-title" : "Plant and soil", "id" : "ITEM-3", "issue" : "1-2", "issued" : { "date-parts" : [ [ "2007" ] ] }, "page" : "275-290", "publisher" : "Springer", "title" : "Long term effects of manure, charcoal and mineral fertilization on crop production and fertility on a highly weathered Central Amazonian upland soil", "type" : "article-journal", "volume" : "291" }, "uris" : [ "http://www.mendeley.com/documents/?uuid=10822ebe-b261-4936-be10-3fc35e966a59" ] }, { "id" : "ITEM-4", "itemData" : { "ISSN" : "0178-2762", "author" : [ { "dropping-particle" : "", "family" : "Oguntunde", "given" : "Philip G", "non-dropping-particle" : "", "parse-names" : false, "suffix" : "" }, { "dropping-particle" : "", "family" : "Fosu", "given" : "Matthias", "non-dropping-particle" : "", "parse-names" : false, "suffix" : "" }, { "dropping-particle" : "", "family" : "Ajayi", "given" : "Ayodele E", "non-dropping-particle" : "", "parse-names" : false, "suffix" : "" }, { "dropping-particle" : "", "family" : "Giesen", "given" : "Nick", "non-dropping-particle" : "Van De", "parse-names" : false, "suffix" : "" } ], "container-title" : "Biology and Fertility of Soils", "id" : "ITEM-4", "issue" : "4", "issued" : { "date-parts" : [ [ "2004" ] ] }, "page" : "295-299", "publisher" : "Springer", "title" : "Effects of charcoal production on maize yield, chemical properties and texture of soil", "type" : "article-journal", "volume" : "39" }, "uris" : [ "http://www.mendeley.com/documents/?uuid=4ac2c874-913b-4258-bce3-c7649c1cf489" ] } ], "mendeley" : { "formattedCitation" : "(Glaser et al., 2002; Kato, 1998; Oguntunde et al., 2004; Steiner et al., 2007)", "plainTextFormattedCitation" : "(Glaser et al., 2002; Kato, 1998; Oguntunde et al., 2004; Steiner et al., 2007)", "previouslyFormattedCitation" : "(Glaser et al., 2002; Kato, 1998; Oguntunde et al., 2004; Steiner et al., 2007)"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(Glaser et al., 2002; Kato, 1998; Oguntunde et al., 2004; Steiner et al., 2007)</w:t>
      </w:r>
      <w:r w:rsidRPr="008736A7">
        <w:rPr>
          <w:rFonts w:ascii="Times New Roman" w:hAnsi="Times New Roman" w:cs="Times New Roman"/>
        </w:rPr>
        <w:fldChar w:fldCharType="end"/>
      </w:r>
      <w:r w:rsidRPr="008736A7">
        <w:rPr>
          <w:rFonts w:ascii="Times New Roman" w:hAnsi="Times New Roman" w:cs="Times New Roman"/>
        </w:rPr>
        <w:t xml:space="preserve">. If human occupation or the use of crop cultivation are established through independent lines of evidence and the paleoecological record indicates biomass burning and fire frequency is high in vegetation not prone to natural ignitions, it follows that humans were likely utilizing fire as a tool to manage the landscape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"0277-3791", "author" : [ { "dropping-particle" : "", "family" : "Bush", "given" : "M B", "non-dropping-particle" : "", "parse-names" : false, "suffix" : "" }, { "dropping-particle" : "", "family" : "Correa-Metrio", "given" : "A", "non-dropping-particle" : "", "parse-names" : false, "suffix" : "" }, { "dropping-particle" : "", "family" : "McMichael", "given" : "C H", "non-dropping-particle" : "", "parse-names" : false, "suffix" : "" }, { "dropping-particle" : "", "family" : "Sully", "given" : "S", "non-dropping-particle" : "", "parse-names" : false, "suffix" : "" }, { "dropping-particle" : "", "family" : "Shadik", "given" : "C R", "non-dropping-particle" : "", "parse-names" : false, "suffix" : "" }, { "dropping-particle" : "", "family" : "Valencia", "given" : "B G", "non-dropping-particle" : "", "parse-names" : false, "suffix" : "" }, { "dropping-particle" : "", "family" : "Guilderson", "given" : "T", "non-dropping-particle" : "", "parse-names" : false, "suffix" : "" }, { "dropping-particle" : "", "family" : "Steinitz-Kannan", "given" : "M", "non-dropping-particle" : "", "parse-names" : false, "suffix" : "" }, { "dropping-particle" : "", "family" : "Overpeck", "given" : "J T", "non-dropping-particle" : "", "parse-names" : false, "suffix" : "" } ], "container-title" : "Quaternary Science Reviews", "id" : "ITEM-1", "issued" : { "date-parts" : [ [ "2016" ] ] }, "page" : "52-64", "publisher" : "Elsevier", "title" : "A 6900-year history of landscape modification by humans in lowland Amazonia", "type" : "article-journal", "volume" : "141" }, "uris" : [ "http://www.mendeley.com/documents/?uuid=715193ed-871b-4984-9632-01f1ff581d7b" ] } ], "mendeley" : { "formattedCitation" : "(Bush et al., 2016)", "plainTextFormattedCitation" : "(Bush et al., 2016)", "previouslyFormattedCitation" : "(Bush et al., 2016)"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(Bush et al., 2016)</w:t>
      </w:r>
      <w:r w:rsidRPr="008736A7">
        <w:rPr>
          <w:rFonts w:ascii="Times New Roman" w:hAnsi="Times New Roman" w:cs="Times New Roman"/>
        </w:rPr>
        <w:fldChar w:fldCharType="end"/>
      </w:r>
      <w:r w:rsidRPr="008736A7">
        <w:rPr>
          <w:rFonts w:ascii="Times New Roman" w:hAnsi="Times New Roman" w:cs="Times New Roman"/>
        </w:rPr>
        <w:t xml:space="preserve">. </w:t>
      </w:r>
    </w:p>
    <w:p w:rsidR="008736A7"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An additional line of evidence to support the interpretation of fire activity and human-caused ignitions can be established by examining the synchroneity of fire activity at widely-separated sites (i.e., hundreds or thousands of kilometers apart) across a range of ecosystems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"0012-9658", "PMID" : "16922322", "abstract" : "Forest fire occurrence is affected by multiple controls that operate at local to regional scales. At the spatial scale of forest stands, regional climatic controls may be obscured by local controls (e.g., stochastic ignitions, topography, and fuel loads), but the long-term role of such local controls is poorly understood. We report here stand-scale (&lt;100 ha) fire histories of the past 5000 years based on the analysis of sediment charcoal at two lakes 11 km apart in southeastern British Columbia. The two lakes are today located in similar subalpine forests, and they likely have experienced the same late-Holocene climatic changes because of their close proximity. We evaluated two independent properties of fire history: (1) fire-interval distribution, a measure of the overall incidence of fire, and (2) fire synchroneity, a measure of the co-occurrence of fire (here, assessed at centennial to millennial time scales due to the resolution of sediment records). Fire-interval distributions differed between the sites prior to, but not after, 2500 yr before present. When the entire 5000-yr period is considered, no statistical synchrony between fire-episode dates existed between the two sites at any temporal scale, but for the last 2500 yr marginal levels of synchrony occurred at centennial scales. Each individual fire record exhibited little coherency with regional climate changes. In contrast, variations in the composite record (average of both sites) matched variations in climate evidenced by late-Holocene glacial advances. This was probably due to the increased sample size and spatial extent represented by the composite record (up to 200 ha) plus increased regional climatic variability over the last several millennia, which may have partially overridden local, non-climatic controls. We conclude that (1) over past millennia, neighboring stands with similar modern conditions may have experienced different fire intervals and asynchronous patterns in fire episodes, likely because local controls outweighed the synchronizing effect of climate; (2) the influence of climate on fire occurrence is more strongly expressed when climatic variability is relatively great; and (3) multiple records from a region are essential if climate-fire relations are to be reliably described.", "author" : [ { "dropping-particle" : "", "family" : "Gavin", "given" : "Daniel G", "non-dropping-particle" : "", "parse-names" : false, "suffix" : "" }, { "dropping-particle" : "", "family" : "Hu", "given" : "Feng Sheng", "non-dropping-particle" : "", "parse-names" : false, "suffix" : "" }, { "dropping-particle" : "", "family" : "Lertzman", "given" : "Kenneth", "non-dropping-particle" : "", "parse-names" : false, "suffix" : "" }, { "dropping-particle" : "", "family" : "Corbett", "given" : "Peter", "non-dropping-particle" : "", "parse-names" : false, "suffix" : "" } ], "container-title" : "Ecology", "id" : "ITEM-1", "issued" : { "date-parts" : [ [ "2006" ] ] }, "page" : "1722-32", "title" : "Weak climatic control of stand-scale fire history during the late holocene.", "type" : "article-journal", "volume" : "87" }, "uris" : [ "http://www.mendeley.com/documents/?uuid=bcd24e15-6ca6-4e8c-ae49-23c4452e7778" ] }, { "id" : "ITEM-2", "itemData" : { "DOI" : "10.1016/j.yqres.2009.07.002", "ISSN" : "00335894", "author" : [ { "dropping-particle" : "", "family" : "Ali", "given" : "Adam A.", "non-dropping-particle" : "", "parse-names" : false, "suffix" : "" }, { "dropping-particle" : "", "family" : "Higuera", "given" : "Philip E.", "non-dropping-particle" : "", "parse-names" : false, "suffix" : "" }, { "dropping-particle" : "", "family" : "Bergeron", "given" : "Yves", "non-dropping-particle" : "", "parse-names" : false, "suffix" : "" }, { "dropping-particle" : "", "family" : "Carcaillet", "given" : "Christopher", "non-dropping-particle" : "", "parse-names" : false, "suffix" : "" } ], "container-title" : "Quaternary Research", "id" : "ITEM-2", "issued" : { "date-parts" : [ [ "2009", "11" ] ] }, "page" : "462-468", "publisher" : "University of Washington", "title" : "Comparing fire-history interpretations based on area, number and estimated volume of macroscopic charcoal in lake sediments", "type" : "article-journal", "volume" : "72" }, "uris" : [ "http://www.mendeley.com/documents/?uuid=3f719494-ec19-4b3c-9097-21c61c523a23" ] } ], "mendeley" : { "formattedCitation" : "(Ali et al., 2009; Gavin et al., 2006)", "plainTextFormattedCitation" : "(Ali et al., 2009; Gavin et al., 2006)", "previouslyFormattedCitation" : "(Ali et al., 2009; Gavin et al., 2006)"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(Ali et al., 2009; Gavin et al., 2006)</w:t>
      </w:r>
      <w:r w:rsidRPr="008736A7">
        <w:rPr>
          <w:rFonts w:ascii="Times New Roman" w:hAnsi="Times New Roman" w:cs="Times New Roman"/>
        </w:rPr>
        <w:fldChar w:fldCharType="end"/>
      </w:r>
      <w:r w:rsidRPr="008736A7">
        <w:rPr>
          <w:rFonts w:ascii="Times New Roman" w:hAnsi="Times New Roman" w:cs="Times New Roman"/>
        </w:rPr>
        <w:t>. Existing charcoal records are used to create regional charcoal curves (henceforth “RCC”) or averages in past biomass burning across ca. &gt;10</w:t>
      </w:r>
      <w:r w:rsidRPr="008736A7">
        <w:rPr>
          <w:rFonts w:ascii="Times New Roman" w:hAnsi="Times New Roman" w:cs="Times New Roman"/>
          <w:vertAlign w:val="superscript"/>
        </w:rPr>
        <w:t xml:space="preserve">10 </w:t>
      </w:r>
      <w:r w:rsidRPr="008736A7">
        <w:rPr>
          <w:rFonts w:ascii="Times New Roman" w:hAnsi="Times New Roman" w:cs="Times New Roman"/>
        </w:rPr>
        <w:t>m</w:t>
      </w:r>
      <w:r w:rsidRPr="008736A7">
        <w:rPr>
          <w:rFonts w:ascii="Times New Roman" w:hAnsi="Times New Roman" w:cs="Times New Roman"/>
          <w:vertAlign w:val="superscript"/>
        </w:rPr>
        <w:t xml:space="preserve">2 </w:t>
      </w:r>
      <w:r w:rsidRPr="008736A7">
        <w:rPr>
          <w:rFonts w:ascii="Times New Roman" w:hAnsi="Times New Roman" w:cs="Times New Roman"/>
        </w:rPr>
        <w:t xml:space="preserve">area and Gridded Time Maps (henceforth “GTMs”) of transformed charcoal values to examine spatial and temporal patterns of paleofire activity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"00310182", "author" : [ { "dropping-particle" : "", "family" : "Power", "given" : "M.J.", "non-dropping-particle" : "", "parse-names" : false, "suffix" : "" }, { "dropping-particle" : "", "family" : "Marlon", "given" : "J.R.", "non-dropping-particle" : "", "parse-names" : false, "suffix" : "" }, { "dropping-particle" : "", "family" : "Bartlein", "given" : "P.J.", "non-dropping-particle" : "", "parse-names" : false, "suffix" : "" }, { "dropping-particle" : "", "family" : "Harrison", "given" : "S.P.", "non-dropping-particle" : "", "parse-names" : false, "suffix" : "" } ], "container-title" : "Palaeogeography, Palaeoclimatology, Palaeoecology", "id" : "ITEM-1", "issued" : { "date-parts" : [ [ "2010", "5" ] ] }, "page" : "52-59", "title" : "Fire history and the Global Charcoal Database: A new tool for hypothesis testing and data exploration", "type" : "article-journal", "volume" : "291" }, "uris" : [ "http://www.mendeley.com/documents/?uuid=068fc60d-9c71-4221-869e-b06720c2912e" ] }, { "id" : "ITEM-2", "itemData" : { "author" : [ { "dropping-particle" : "", "family" : "Marlon", "given" : "Jennifer R", "non-dropping-particle" : "", "parse-names" : false, "suffix" : "" }, { "dropping-particle" : "", "family" : "Bartlein", "given" : "Patrick J", "non-dropping-particle" : "", "parse-names" : false, "suffix" : "" }, { "dropping-particle" : "", "family" : "Daniau", "given" : "Anne-laure", "non-dropping-particle" : "", "parse-names" : false, "suffix" : "" }, { "dropping-particle" : "", "family" : "Harrison", "given" : "Sandy P", "non-dropping-particle" : "", "parse-names" : false, "suffix" : "" }, { "dropping-particle" : "", "family" : "Maezumi", "given" : "Shira Y", "non-dropping-particle" : "", "parse-names" : false, "suffix" : "" }, { "dropping-particle" : "", "family" : "Power", "given" : "Mitchell J", "non-dropping-particle" : "", "parse-names" : false, "suffix" : "" }, { "dropping-particle" : "", "family" : "Tinner", "given" : "Willy", "non-dropping-particle" : "", "parse-names" : false, "suffix" : "" }, { "dropping-particle" : "", "family" : "Vanni\u00e9re", "given" : "Boris", "non-dropping-particle" : "", "parse-names" : false, "suffix" : "" } ], "container-title" : "Quaternary Science Reviews", "id" : "ITEM-2", "issued" : { "date-parts" : [ [ "2013" ] ] }, "page" : "5-25", "title" : "Global biomass burning: A synthesis and review of Holocene paleofire records and their controls", "type" : "article-journal", "volume" : "65" }, "uris" : [ "http://www.mendeley.com/documents/?uuid=5d49f60b-3782-4047-b3df-1c9558a863b0" ] }, { "id" : "ITEM-3", "itemData" : { "ISSN" : "0098-3004", "author" : [ { "dropping-particle" : "", "family" : "Blarquez", "given" : "Olivier", "non-dropping-particle" : "", "parse-names" : false, "suffix" : "" }, { "dropping-particle" : "", "family" : "Vanni\u00e8re", "given" : "Boris", "non-dropping-particle" : "", "parse-names" : false, "suffix" : "" }, { "dropping-particle" : "", "family" : "Marlon", "given" : "Jennifer R", "non-dropping-particle" : "", "parse-names" : false, "suffix" : "" }, { "dropping-particle" : "", "family" : "Daniau", "given" : "Anne-Laure", "non-dropping-particle" : "", "parse-names" : false, "suffix" : "" }, { "dropping-particle" : "", "family" : "Power", "given" : "Mitchell J", "non-dropping-particle" : "", "parse-names" : false, "suffix" : "" }, { "dropping-particle" : "", "family" : "Brewer", "given" : "Simon", "non-dropping-particle" : "", "parse-names" : false, "suffix" : "" }, { "dropping-particle" : "", "family" : "Bartlein", "given" : "Patrick J", "non-dropping-particle" : "", "parse-names" : false, "suffix" : "" } ], "container-title" : "Computers &amp; Geosciences", "id" : "ITEM-3", "issued" : { "date-parts" : [ [ "2014" ] ] }, "page" : "255-261", "publisher" : "Elsevier", "title" : "Paleofire: An R package to analyse sedimentary charcoal records from the Global Charcoal Database to reconstruct past biomass burning", "type" : "article-journal", "volume" : "72" }, "uris" : [ "http://www.mendeley.com/documents/?uuid=33865291-8bb3-498b-8c6f-c7ac1a4b68eb" ] } ], "mendeley" : { "formattedCitation" : "(Blarquez et al., 2014; Marlon et al., 2013; M.J. Power et al., 2010)", "manualFormatting" : "(Blarquez et al., 2014; Marlon et al., 2013; Power et al., 2010)", "plainTextFormattedCitation" : "(Blarquez et al., 2014; Marlon et al., 2013; M.J. Power et al., 2010)", "previouslyFormattedCitation" : "(Blarquez et al., 2014; Marlon et al., 2013; M.J. Power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(Blarquez et al., 2014; Marlon et al., 2013; Power et al., 2010)</w:t>
      </w:r>
      <w:r w:rsidRPr="008736A7">
        <w:rPr>
          <w:rFonts w:ascii="Times New Roman" w:hAnsi="Times New Roman" w:cs="Times New Roman"/>
        </w:rPr>
        <w:fldChar w:fldCharType="end"/>
      </w:r>
      <w:r w:rsidRPr="008736A7">
        <w:rPr>
          <w:rFonts w:ascii="Times New Roman" w:hAnsi="Times New Roman" w:cs="Times New Roman"/>
        </w:rPr>
        <w:t>. Composite charcoal curves extracted from a range of spatial scales and across an array of biomes have been used to explore regional mechanistic drivers of past fire activity including climatic and anthropogenic effects on fire at local (1 m</w:t>
      </w:r>
      <w:r w:rsidRPr="008736A7">
        <w:rPr>
          <w:rFonts w:ascii="Times New Roman" w:hAnsi="Times New Roman" w:cs="Times New Roman"/>
          <w:vertAlign w:val="superscript"/>
        </w:rPr>
        <w:t>2</w:t>
      </w:r>
      <w:r w:rsidRPr="008736A7">
        <w:rPr>
          <w:rFonts w:ascii="Times New Roman" w:hAnsi="Times New Roman" w:cs="Times New Roman"/>
        </w:rPr>
        <w:t xml:space="preserve"> to 10</w:t>
      </w:r>
      <w:r w:rsidRPr="008736A7">
        <w:rPr>
          <w:rFonts w:ascii="Times New Roman" w:hAnsi="Times New Roman" w:cs="Times New Roman"/>
          <w:vertAlign w:val="superscript"/>
        </w:rPr>
        <w:t xml:space="preserve">6 </w:t>
      </w:r>
      <w:r w:rsidRPr="008736A7">
        <w:rPr>
          <w:rFonts w:ascii="Times New Roman" w:hAnsi="Times New Roman" w:cs="Times New Roman"/>
        </w:rPr>
        <w:t>m</w:t>
      </w:r>
      <w:r w:rsidRPr="008736A7">
        <w:rPr>
          <w:rFonts w:ascii="Times New Roman" w:hAnsi="Times New Roman" w:cs="Times New Roman"/>
          <w:vertAlign w:val="superscript"/>
        </w:rPr>
        <w:t>2</w:t>
      </w:r>
      <w:r w:rsidRPr="008736A7">
        <w:rPr>
          <w:rFonts w:ascii="Times New Roman" w:hAnsi="Times New Roman" w:cs="Times New Roman"/>
        </w:rPr>
        <w:t>) and regional (&gt;10</w:t>
      </w:r>
      <w:r w:rsidRPr="008736A7">
        <w:rPr>
          <w:rFonts w:ascii="Times New Roman" w:hAnsi="Times New Roman" w:cs="Times New Roman"/>
          <w:vertAlign w:val="superscript"/>
        </w:rPr>
        <w:t xml:space="preserve">10 </w:t>
      </w:r>
      <w:r w:rsidRPr="008736A7">
        <w:rPr>
          <w:rFonts w:ascii="Times New Roman" w:hAnsi="Times New Roman" w:cs="Times New Roman"/>
        </w:rPr>
        <w:t>m</w:t>
      </w:r>
      <w:r w:rsidRPr="008736A7">
        <w:rPr>
          <w:rFonts w:ascii="Times New Roman" w:hAnsi="Times New Roman" w:cs="Times New Roman"/>
          <w:vertAlign w:val="superscript"/>
        </w:rPr>
        <w:t>2</w:t>
      </w:r>
      <w:r w:rsidRPr="008736A7">
        <w:rPr>
          <w:rFonts w:ascii="Times New Roman" w:hAnsi="Times New Roman" w:cs="Times New Roman"/>
        </w:rPr>
        <w:t xml:space="preserve">) scales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"Brown", "given" : "K J", "non-dropping-particle" : "", "parse-names" : false, "suffix" : "" }, { "dropping-particle" : "", "family" : "Power", "given" : "M J", "non-dropping-particle" : "", "parse-names" : false, "suffix" : "" } ], "container-title" : "The Encyclopedia of Quaternary Science", "edition" : "2", "id" : "ITEM-1", "issued" : { "date-parts" : [ [ "2013" ] ] }, "page" : "716-729", "publisher" : "Elsevier", "publisher-place" : "Amsterdam, The Netherlands", "title" : "Charred particle analyses.", "type" : "chapter" }, "uris" : [ "http://www.mendeley.com/documents/?uuid=11bb1738-015d-4dbe-a974-2e039898f997" ] }, { "id" : "ITEM-2", "itemData" : { "author" : [ { "dropping-particle" : "", "family" : "Power", "given" : "Mitchell J.", "non-dropping-particle" : "", "parse-names" : false, "suffix" : "" }, { "dropping-particle" : "", "family" : "Bush", "given" : "Mark. B.", "non-dropping-particle" : "", "parse-names" : false, "suffix" : "" }, { "dropping-particle" : "", "family" : "Behling", "given" : "Hermann", "non-dropping-particle" : "", "parse-names" : false, "suffix" : "" }, { "dropping-particle" : "", "family" : "Horn", "given" : "Sally P.", "non-dropping-particle" : "", "parse-names" : false, "suffix" : "" }, { "dropping-particle" : "", "family" : "Mayle", "given" : "Francis E.", "non-dropping-particle" : "", "parse-names" : false, "suffix" : "" }, { "dropping-particle" : "", "family" : "Urrego", "given" : "Dunia H.", "non-dropping-particle" : "", "parse-names" : false, "suffix" : "" } ], "container-title" : "PAGES", "id" : "ITEM-2", "issued" : { "date-parts" : [ [ "2010" ] ] }, "page" : "4-6", "title" : "Paleofire activity in tropical America during the last 21 ka: A regional synthesis based on sedimentary charcoal", "type" : "article-journal", "volume" : "18" }, "uris" : [ "http://www.mendeley.com/documents/?uuid=9a2c6d2f-8009-44b9-81d8-88dbd55c342a" ] }, { "id" : "ITEM-3", "itemData" : { "ISSN" : "00310182", "author" : [ { "dropping-particle" : "", "family" : "Power", "given" : "M.J.", "non-dropping-particle" : "", "parse-names" : false, "suffix" : "" }, { "dropping-particle" : "", "family" : "Marlon", "given" : "J.R.", "non-dropping-particle" : "", "parse-names" : false, "suffix" : "" }, { "dropping-particle" : "", "family" : "Bartlein", "given" : "P.J.", "non-dropping-particle" : "", "parse-names" : false, "suffix" : "" }, { "dropping-particle" : "", "family" : "Harrison", "given" : "S.P.", "non-dropping-particle" : "", "parse-names" : false, "suffix" : "" } ], "container-title" : "Palaeogeography, Palaeoclimatology, Palaeoecology", "id" : "ITEM-3", "issued" : { "date-parts" : [ [ "2010", "5" ] ] }, "page" : "52-59", "title" : "Fire history and the Global Charcoal Database: A new tool for hypothesis testing and data exploration", "type" : "article-journal", "volume" : "291" }, "uris" : [ "http://www.mendeley.com/documents/?uuid=068fc60d-9c71-4221-869e-b06720c2912e" ] }, { "id" : "ITEM-4", "itemData" : { "author" : [ { "dropping-particle" : "", "family" : "Marlon", "given" : "Jennifer R", "non-dropping-particle" : "", "parse-names" : false, "suffix" : "" }, { "dropping-particle" : "", "family" : "Bartlein", "given" : "Patrick J", "non-dropping-particle" : "", "parse-names" : false, "suffix" : "" }, { "dropping-particle" : "", "family" : "Daniau", "given" : "Anne-laure", "non-dropping-particle" : "", "parse-names" : false, "suffix" : "" }, { "dropping-particle" : "", "family" : "Harrison", "given" : "Sandy P", "non-dropping-particle" : "", "parse-names" : false, "suffix" : "" }, { "dropping-particle" : "", "family" : "Maezumi", "given" : "Shira Y", "non-dropping-particle" : "", "parse-names" : false, "suffix" : "" }, { "dropping-particle" : "", "family" : "Power", "given" : "Mitchell J", "non-dropping-particle" : "", "parse-names" : false, "suffix" : "" }, { "dropping-particle" : "", "family" : "Tinner", "given" : "Willy", "non-dropping-particle" : "", "parse-names" : false, "suffix" : "" }, { "dropping-particle" : "", "family" : "Vanni\u00e9re", "given" : "Boris", "non-dropping-particle" : "", "parse-names" : false, "suffix" : "" } ], "container-title" : "Quaternary Science Reviews", "id" : "ITEM-4", "issued" : { "date-parts" : [ [ "2013" ] ] }, "page" : "5-25", "title" : "Global biomass burning: A synthesis and review of Holocene paleofire records and their controls", "type" : "article-journal", "volume" : "65" }, "uris" : [ "http://www.mendeley.com/documents/?uuid=5d49f60b-3782-4047-b3df-1c9558a863b0" ] } ], "mendeley" : { "formattedCitation" : "(Brown and Power, 2013; Marlon et al., 2013; M.J. Power et al., 2010; Mitchell J. Power et al., 2010)", "manualFormatting" : "(Brown and Power, 2013; Marlon et al., 2013; Power et al., 2010a; Power et al., 2010b)", "plainTextFormattedCitation" : "(Brown and Power, 2013; Marlon et al., 2013; M.J. Power et al., 2010; Mitchell J. Power et al., 2010)", "previouslyFormattedCitation" : "(Brown and Power, 2013; Marlon et al., 2013; M.J. Power et al., 2010; Mitchell J. Power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(Brown and Power, 2013; Marlon et al., 2013; Power et al., 2010a; Power et al., 2010b)</w:t>
      </w:r>
      <w:r w:rsidRPr="008736A7">
        <w:rPr>
          <w:rFonts w:ascii="Times New Roman" w:hAnsi="Times New Roman" w:cs="Times New Roman"/>
        </w:rPr>
        <w:fldChar w:fldCharType="end"/>
      </w:r>
      <w:r w:rsidRPr="008736A7">
        <w:rPr>
          <w:rFonts w:ascii="Times New Roman" w:hAnsi="Times New Roman" w:cs="Times New Roman"/>
        </w:rPr>
        <w:t xml:space="preserve">. Sites that have different ecological and human histories are unlikely to have synchronous changes in fire regimes unless they are driven by similar regional-scale factors (e.g. climate change; regional depopulation following the Columbian encounter)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"DOI" : "10.1016/j.yqres.2009.07.002", "ISSN" : "00335894", "author" : [ { "dropping-particle" : "", "family" : "Ali", "given" : "Adam A.", "non-dropping-particle" : "", "parse-names" : false, "suffix" : "" }, { "dropping-particle" : "", "family" : "Higuera", "given" : "Philip E.", "non-dropping-particle" : "", "parse-names" : false, "suffix" : "" }, { "dropping-particle" : "", "family" : "Bergeron", "given" : "Yves", "non-dropping-particle" : "", "parse-names" : false, "suffix" : "" }, { "dropping-particle" : "", "family" : "Carcaillet", "given" : "Christopher", "non-dropping-particle" : "", "parse-names" : false, "suffix" : "" } ], "container-title" : "Quaternary Research", "id" : "ITEM-1", "issued" : { "date-parts" : [ [ "2009", "11" ] ] }, "page" : "462-468", "publisher" : "University of Washington", "title" : "Comparing fire-history interpretations based on area, number and estimated volume of macroscopic charcoal in lake sediments", "type" : "article-journal", "volume" : "72" }, "uris" : [ "http://www.mendeley.com/documents/?uuid=3f719494-ec19-4b3c-9097-21c61c523a23" ] }, { "id" : "ITEM-2", "itemData" : { "ISSN" : "0012-9658", "PMID" : "16922322", "abstract" : "Forest fire occurrence is affected by multiple controls that operate at local to regional scales. At the spatial scale of forest stands, regional climatic controls may be obscured by local controls (e.g., stochastic ignitions, topography, and fuel loads), but the long-term role of such local controls is poorly understood. We report here stand-scale (&lt;100 ha) fire histories of the past 5000 years based on the analysis of sediment charcoal at two lakes 11 km apart in southeastern British Columbia. The two lakes are today located in similar subalpine forests, and they likely have experienced the same late-Holocene climatic changes because of their close proximity. We evaluated two independent properties of fire history: (1) fire-interval distribution, a measure of the overall incidence of fire, and (2) fire synchroneity, a measure of the co-occurrence of fire (here, assessed at centennial to millennial time scales due to the resolution of sediment records). Fire-interval distributions differed between the sites prior to, but not after, 2500 yr before present. When the entire 5000-yr period is considered, no statistical synchrony between fire-episode dates existed between the two sites at any temporal scale, but for the last 2500 yr marginal levels of synchrony occurred at centennial scales. Each individual fire record exhibited little coherency with regional climate changes. In contrast, variations in the composite record (average of both sites) matched variations in climate evidenced by late-Holocene glacial advances. This was probably due to the increased sample size and spatial extent represented by the composite record (up to 200 ha) plus increased regional climatic variability over the last several millennia, which may have partially overridden local, non-climatic controls. We conclude that (1) over past millennia, neighboring stands with similar modern conditions may have experienced different fire intervals and asynchronous patterns in fire episodes, likely because local controls outweighed the synchronizing effect of climate; (2) the influence of climate on fire occurrence is more strongly expressed when climatic variability is relatively great; and (3) multiple records from a region are essential if climate-fire relations are to be reliably described.", "author" : [ { "dropping-particle" : "", "family" : "Gavin", "given" : "Daniel G", "non-dropping-particle" : "", "parse-names" : false, "suffix" : "" }, { "dropping-particle" : "", "family" : "Hu", "given" : "Feng Sheng", "non-dropping-particle" : "", "parse-names" : false, "suffix" : "" }, { "dropping-particle" : "", "family" : "Lertzman", "given" : "Kenneth", "non-dropping-particle" : "", "parse-names" : false, "suffix" : "" }, { "dropping-particle" : "", "family" : "Corbett", "given" : "Peter", "non-dropping-particle" : "", "parse-names" : false, "suffix" : "" } ], "container-title" : "Ecology", "id" : "ITEM-2", "issued" : { "date-parts" : [ [ "2006" ] ] }, "page" : "1722-32", "title" : "Weak climatic control of stand-scale fire history during the late holocene.", "type" : "article-journal", "volume" : "87" }, "uris" : [ "http://www.mendeley.com/documents/?uuid=bcd24e15-6ca6-4e8c-ae49-23c4452e7778" ] }, { "id" : "ITEM-3", "itemData" : { "ISBN" : "8400074734", "author" : [ { "dropping-particle" : "", "family" : "Turner", "given" : "Billie Lee", "non-dropping-particle" : "", "parse-names" : false, "suffix" : "" } ], "id" : "ITEM-3", "issued" : { "date-parts" : [ [ "1995" ] ] }, "publisher" : "Editorial CSIC-CSIC Press", "title" : "Global land use change: a perspective from the Columbian encounter", "type" : "book", "volume" : "1" }, "uris" : [ "http://www.mendeley.com/documents/?uuid=daf0f86b-9cc1-4434-b4d2-b7d98f78350b" ] } ], "mendeley" : { "formattedCitation" : "(Ali et al., 2009; Gavin et al., 2006; Turner, 1995)", "plainTextFormattedCitation" : "(Ali et al., 2009; Gavin et al., 2006; Turner, 1995)", "previouslyFormattedCitation" : "(Ali et al., 2009; Gavin et al., 2006; Turner, 1995)"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(Ali et al., 2009; Gavin et al., 2006; Turner, 1995)</w:t>
      </w:r>
      <w:r w:rsidRPr="008736A7">
        <w:rPr>
          <w:rFonts w:ascii="Times New Roman" w:hAnsi="Times New Roman" w:cs="Times New Roman"/>
        </w:rPr>
        <w:fldChar w:fldCharType="end"/>
      </w:r>
      <w:r w:rsidRPr="008736A7">
        <w:rPr>
          <w:rFonts w:ascii="Times New Roman" w:hAnsi="Times New Roman" w:cs="Times New Roman"/>
        </w:rPr>
        <w:t xml:space="preserve">. If an individual charcoal record exhibits an asynchronous change to the regional patterns of biomass burning, and human occupation is established based on independent lines of evidence, these data support the interpretation of a localized human impact on biomass burning at that site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"Marlon", "given" : "Jennifer R", "non-dropping-particle" : "", "parse-names" : false, "suffix" : "" }, { "dropping-particle" : "", "family" : "Bartlein", "given" : "Patrick J", "non-dropping-particle" : "", "parse-names" : false, "suffix" : "" }, { "dropping-particle" : "", "family" : "Daniau", "given" : "Anne-laure", "non-dropping-particle" : "", "parse-names" : false, "suffix" : "" }, { "dropping-particle" : "", "family" : "Harrison", "given" : "Sandy P", "non-dropping-particle" : "", "parse-names" : false, "suffix" : "" }, { "dropping-particle" : "", "family" : "Maezumi", "given" : "Shira Y", "non-dropping-particle" : "", "parse-names" : false, "suffix" : "" }, { "dropping-particle" : "", "family" : "Power", "given" : "Mitchell J", "non-dropping-particle" : "", "parse-names" : false, "suffix" : "" }, { "dropping-particle" : "", "family" : "Tinner", "given" : "Willy", "non-dropping-particle" : "", "parse-names" : false, "suffix" : "" }, { "dropping-particle" : "", "family" : "Vanni\u00e9re", "given" : "Boris", "non-dropping-particle" : "", "parse-names" : false, "suffix" : "" } ], "container-title" : "Quaternary Science Reviews", "id" : "ITEM-1", "issued" : { "date-parts" : [ [ "2013" ] ] }, "page" : "5-25", "title" : "Global biomass burning: A synthesis and review of Holocene paleofire records and their controls", "type" : "article-journal", "volume" : "65" }, "uris" : [ "http://www.mendeley.com/documents/?uuid=5d49f60b-3782-4047-b3df-1c9558a863b0" ] }, { "id" : "ITEM-2", "itemData" : { "ISSN" : "0277-3791", "author" : [ { "dropping-particle" : "", "family" : "Bush", "given" : "M B", "non-dropping-particle" : "", "parse-names" : false, "suffix" : "" }, { "dropping-particle" : "", "family" : "Correa-Metrio", "given" : "A", "non-dropping-particle" : "", "parse-names" : false, "suffix" : "" }, { "dropping-particle" : "", "family" : "McMichael", "given" : "C H", "non-dropping-particle" : "", "parse-names" : false, "suffix" : "" }, { "dropping-particle" : "", "family" : "Sully", "given" : "S", "non-dropping-particle" : "", "parse-names" : false, "suffix" : "" }, { "dropping-particle" : "", "family" : "Shadik", "given" : "C R", "non-dropping-particle" : "", "parse-names" : false, "suffix" : "" }, { "dropping-particle" : "", "family" : "Valencia", "given" : "B G", "non-dropping-particle" : "", "parse-names" : false, "suffix" : "" }, { "dropping-particle" : "", "family" : "Guilderson", "given" : "T", "non-dropping-particle" : "", "parse-names" : false, "suffix" : "" }, { "dropping-particle" : "", "family" : "Steinitz-Kannan", "given" : "M", "non-dropping-particle" : "", "parse-names" : false, "suffix" : "" }, { "dropping-particle" : "", "family" : "Overpeck", "given" : "J T", "non-dropping-particle" : "", "parse-names" : false, "suffix" : "" } ], "container-title" : "Quaternary Science Reviews", "id" : "ITEM-2", "issued" : { "date-parts" : [ [ "2016" ] ] }, "page" : "52-64", "publisher" : "Elsevier", "title" : "A 6900-year history of landscape modification by humans in lowland Amazonia", "type" : "article-journal", "volume" : "141" }, "uris" : [ "http://www.mendeley.com/documents/?uuid=715193ed-871b-4984-9632-01f1ff581d7b" ] } ], "mendeley" : { "formattedCitation" : "(Bush et al., 2016; Marlon et al., 2013)", "plainTextFormattedCitation" : "(Bush et al., 2016; Marlon et al., 2013)", "previouslyFormattedCitation" : "(Bush et al., 2016; Marlon et al., 2013)"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(Bush et al., 2016; Marlon et al., 2013)</w:t>
      </w:r>
      <w:r w:rsidRPr="008736A7">
        <w:rPr>
          <w:rFonts w:ascii="Times New Roman" w:hAnsi="Times New Roman" w:cs="Times New Roman"/>
        </w:rPr>
        <w:fldChar w:fldCharType="end"/>
      </w:r>
      <w:r w:rsidRPr="008736A7">
        <w:rPr>
          <w:rFonts w:ascii="Times New Roman" w:hAnsi="Times New Roman" w:cs="Times New Roman"/>
        </w:rPr>
        <w:t xml:space="preserve">. </w:t>
      </w: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r>
        <w:rPr>
          <w:noProof/>
          <w:lang w:val="en-GB" w:eastAsia="en-GB"/>
        </w:rPr>
        <w:lastRenderedPageBreak/>
        <w:drawing>
          <wp:anchor distT="0" distB="0" distL="114300" distR="114300" simplePos="0" relativeHeight="251658240" behindDoc="0" locked="0" layoutInCell="1" allowOverlap="1" wp14:anchorId="7DAFC97F" wp14:editId="5BD205B2">
            <wp:simplePos x="0" y="0"/>
            <wp:positionH relativeFrom="column">
              <wp:posOffset>1197610</wp:posOffset>
            </wp:positionH>
            <wp:positionV relativeFrom="paragraph">
              <wp:posOffset>0</wp:posOffset>
            </wp:positionV>
            <wp:extent cx="5185862" cy="30568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Map Regional 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5862" cy="3056876"/>
                    </a:xfrm>
                    <a:prstGeom prst="rect">
                      <a:avLst/>
                    </a:prstGeom>
                  </pic:spPr>
                </pic:pic>
              </a:graphicData>
            </a:graphic>
            <wp14:sizeRelH relativeFrom="page">
              <wp14:pctWidth>0</wp14:pctWidth>
            </wp14:sizeRelH>
            <wp14:sizeRelV relativeFrom="page">
              <wp14:pctHeight>0</wp14:pctHeight>
            </wp14:sizeRelV>
          </wp:anchor>
        </w:drawing>
      </w: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Pr="00090084" w:rsidRDefault="00090084" w:rsidP="00090084">
      <w:pPr>
        <w:pStyle w:val="BodyText"/>
        <w:spacing w:line="215" w:lineRule="auto"/>
        <w:ind w:left="0" w:right="150"/>
        <w:jc w:val="both"/>
        <w:rPr>
          <w:rFonts w:ascii="Times New Roman" w:hAnsi="Times New Roman" w:cs="Times New Roman"/>
          <w:sz w:val="18"/>
          <w:szCs w:val="18"/>
        </w:rPr>
      </w:pPr>
    </w:p>
    <w:p w:rsidR="00090084" w:rsidRPr="00090084" w:rsidRDefault="00090084" w:rsidP="00090084">
      <w:pPr>
        <w:pStyle w:val="BodyText"/>
        <w:spacing w:line="215" w:lineRule="auto"/>
        <w:ind w:right="150"/>
        <w:jc w:val="both"/>
        <w:rPr>
          <w:rFonts w:ascii="Times New Roman" w:hAnsi="Times New Roman" w:cs="Times New Roman"/>
          <w:sz w:val="18"/>
          <w:szCs w:val="18"/>
        </w:rPr>
      </w:pPr>
      <w:r w:rsidRPr="00090084">
        <w:rPr>
          <w:rFonts w:ascii="Times New Roman" w:hAnsi="Times New Roman" w:cs="Times New Roman"/>
          <w:sz w:val="18"/>
          <w:szCs w:val="18"/>
        </w:rPr>
        <w:t>Figure 1:  Regional Map of Study Site: Estimated extent of documented archaeological sites and vegetation boundaries. Laguna Chaplin indicated by a yellow star. Modified from (Mann, 2008). Existing charcoal records included in this study indicated by numbered black dots: 1) Werth; 2) Parker; 3) Vargas; 4) Gentry; 5) Laguna Chalalán; 6) Laguna Santa Rosa; 7) Laguna Oricore; 8) Laguna Granja; 9) Laguna Bella Vista; 10) Cuatro Vientos, 11) Huanchaca Mesetta, 12) Laguna Yaguarú. Red dots indicate dated archaeological sites included in SCP curve (see Table 3 for site details).</w:t>
      </w:r>
    </w:p>
    <w:p w:rsidR="00090084" w:rsidRDefault="00090084" w:rsidP="00090084">
      <w:pPr>
        <w:pStyle w:val="BodyText"/>
        <w:spacing w:line="215" w:lineRule="auto"/>
        <w:ind w:left="0" w:right="150"/>
        <w:jc w:val="both"/>
        <w:rPr>
          <w:rFonts w:ascii="Times New Roman" w:hAnsi="Times New Roman" w:cs="Times New Roman"/>
        </w:rPr>
      </w:pPr>
    </w:p>
    <w:p w:rsidR="008736A7" w:rsidRDefault="008736A7" w:rsidP="00090084">
      <w:pPr>
        <w:pStyle w:val="BodyText"/>
        <w:spacing w:line="215" w:lineRule="auto"/>
        <w:ind w:right="150" w:firstLine="199"/>
        <w:jc w:val="both"/>
        <w:rPr>
          <w:rFonts w:ascii="Times New Roman" w:hAnsi="Times New Roman" w:cs="Times New Roman"/>
        </w:rPr>
      </w:pPr>
    </w:p>
    <w:p w:rsidR="008736A7" w:rsidRPr="00090084" w:rsidRDefault="00705EBE"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1.3 Aims and Approach</w:t>
      </w:r>
    </w:p>
    <w:p w:rsidR="00090084" w:rsidRDefault="00090084" w:rsidP="00090084">
      <w:pPr>
        <w:pStyle w:val="BodyText"/>
        <w:spacing w:line="215" w:lineRule="auto"/>
        <w:ind w:right="150" w:firstLine="199"/>
        <w:jc w:val="both"/>
        <w:rPr>
          <w:rFonts w:ascii="Times New Roman" w:hAnsi="Times New Roman" w:cs="Times New Roman"/>
          <w:i/>
        </w:rPr>
      </w:pPr>
    </w:p>
    <w:p w:rsidR="00090084"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The primary aim of this research is to explore suitable paleoecological methods to disentangle climate and pre-Columbian disturbance on past vegetation and fire activity in the Bolivian Amazon. This study is based on the reanalysis of pollen and charcoal from the existing sediment record from Laguna Chaplin (LCH). The scope of the previous analysis of LCH focused on orbital-scale climate forcing of ecosystem change over the past 50,000 years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"id" : "ITEM-2",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"ITEM-2",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Mayle et al., 2000)", "plainTextFormattedCitation" : "(Burbridge et al., 2004; Mayle et al., 2000)", "previouslyFormattedCitation" : "(Burbridge et al., 2004; Mayle et al., 2000)"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 Mayle et al., 2000)</w:t>
      </w:r>
      <w:r w:rsidRPr="008736A7">
        <w:rPr>
          <w:rFonts w:ascii="Times New Roman" w:hAnsi="Times New Roman" w:cs="Times New Roman"/>
        </w:rPr>
        <w:fldChar w:fldCharType="end"/>
      </w:r>
      <w:r w:rsidRPr="008736A7">
        <w:rPr>
          <w:rFonts w:ascii="Times New Roman" w:hAnsi="Times New Roman" w:cs="Times New Roman"/>
        </w:rPr>
        <w:t xml:space="preserve">, for which conventional pollen and macrocharcoal techniques with low temporal resolution (ca. 4-10 cm or ca. 650-1650 years respectively) were sufficient for the research questions. Archaeological investigations are lacking in the area around LCH and the surrounding vegetation, within the Noel Kempff Mercado National Park, is assumed by most ecologists to be old-growth and largely pristine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"Killeen", "given" : "Timothy J.", "non-dropping-particle" : "", "parse-names" : false, "suffix" : "" } ], "chapter-number" : "Vegetation", "container-title" : "A biological assessment of Parque Nacional Noel Kempff Mercado, Bolivia", "editor" : [ { "dropping-particle" : "", "family" : "Killeen", "given" : "Timothy J.", "non-dropping-particle" : "", "parse-names" : false, "suffix" : "" }, { "dropping-particle" : "", "family" : "Schulenberg", "given" : "T.S.", "non-dropping-particle" : "", "parse-names" : false, "suffix" : "" } ], "id" : "ITEM-1", "issued" : { "date-parts" : [ [ "1998" ] ] }, "page" : "61-85", "publisher" : "Conservation International", "publisher-place" : "Washington, DC", "title" : "Vegetation and flora of Parque Nacional Noel Kempff Mercado", "type" : "chapter" }, "uris" : [ "http://www.mendeley.com/documents/?uuid=9fb0ec23-8e05-4a84-a773-c07af8da3768" ] } ], "mendeley" : { "formattedCitation" : "(Killeen, 1998)", "plainTextFormattedCitation" : "(Killeen, 1998)", "previouslyFormattedCitation" : "(Killeen, 1998)" }, "properties" : { "noteIndex" : 6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(Killeen, 1998)</w:t>
      </w:r>
      <w:r w:rsidRPr="008736A7">
        <w:rPr>
          <w:rFonts w:ascii="Times New Roman" w:hAnsi="Times New Roman" w:cs="Times New Roman"/>
        </w:rPr>
        <w:fldChar w:fldCharType="end"/>
      </w:r>
      <w:r w:rsidRPr="008736A7">
        <w:rPr>
          <w:rFonts w:ascii="Times New Roman" w:hAnsi="Times New Roman" w:cs="Times New Roman"/>
        </w:rPr>
        <w:t xml:space="preserve">. Therefore, the authors of the original publication assumed that pre-Columbian peoples had no significant impact on the vegetation near LCH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"plainTextFormattedCitation" : "(Burbridge et al., 2004)", "previouslyFormattedCitation" : "(Burbridge et al., 2004)"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w:t>
      </w:r>
      <w:r w:rsidRPr="008736A7">
        <w:rPr>
          <w:rFonts w:ascii="Times New Roman" w:hAnsi="Times New Roman" w:cs="Times New Roman"/>
        </w:rPr>
        <w:fldChar w:fldCharType="end"/>
      </w:r>
      <w:r w:rsidRPr="008736A7">
        <w:rPr>
          <w:rFonts w:ascii="Times New Roman" w:hAnsi="Times New Roman" w:cs="Times New Roman"/>
        </w:rPr>
        <w:t xml:space="preserve">. LCH is selected for reanalysis because it has long been recognized, together with the neighboring site of Laguna Bella Vista (ca. 70 km north), as providing strong evidence for the late Holocene climate-driven expansion of the Amazon rainforest ecotone to its southernmost extent in the past 50,000 years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"mendeley" : { "formattedCitation" : "(Mayle et al., 2000)", "plainTextFormattedCitation" : "(Mayle et al., 2000)", "previouslyFormattedCitation" : "(Mayle et al., 2000)" }, "properties" : { "noteIndex" : 6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(Mayle et al., 2000)</w:t>
      </w:r>
      <w:r w:rsidRPr="008736A7">
        <w:rPr>
          <w:rFonts w:ascii="Times New Roman" w:hAnsi="Times New Roman" w:cs="Times New Roman"/>
        </w:rPr>
        <w:fldChar w:fldCharType="end"/>
      </w:r>
      <w:r w:rsidRPr="008736A7">
        <w:rPr>
          <w:rFonts w:ascii="Times New Roman" w:hAnsi="Times New Roman" w:cs="Times New Roman"/>
        </w:rPr>
        <w:t xml:space="preserve">. This regional rainforest expansion is broadly in phase with lake level rise at Lake Titicaca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"0036-8075", "abstract" : "Long sediment cores recovered from the deep portions of Lake Titicaca are used to reconstruct the precipitation history of tropical South America for the past 25,000 years. Lake Titicaca was a deep, fresh, and continuously overflowing lake during the last glacial stage, from before 25,000 to 15,000 calibrated years before the present (cal yr B.P.), signifying that during the last glacial maximum (LGM), the Altiplano of Bolivia and Peru and much of the Amazon basin were wetter than today. The LGM in this part of the Andes is dated at 21,000 cal yr B.P., approximately coincident with the global LGM. Maximum aridity and lowest lake level occurred in the early and middle Holocene (8000 to 5500 cal yr B.P.) during a time of low summer insolation. Today, rising levels of Lake Titicaca and wet conditions in Amazonia are correlated with anomalously cold sea-surface temperatures in the northern equatorial Atlantic. Likewise, during the deglacial and Holocene periods, there were several millennial-scale wet phases on the Altiplano and in Amazonia that coincided with anomalously cold periods in the equatorial and high-latitude North Atlantic, such as the Younger Dryas.", "author" : [ { "dropping-particle" : "", "family" : "Baker", "given" : "P A", "non-dropping-particle" : "", "parse-names" : false, "suffix" : "" }, { "dropping-particle" : "", "family" : "Seltzer", "given" : "G O", "non-dropping-particle" : "", "parse-names" : false, "suffix" : "" }, { "dropping-particle" : "", "family" : "Fritz", "given" : "S C", "non-dropping-particle" : "", "parse-names" : false, "suffix" : "" }, { "dropping-particle" : "", "family" : "Dunbar", "given" : "R B", "non-dropping-particle" : "", "parse-names" : false, "suffix" : "" }, { "dropping-particle" : "", "family" : "Grove", "given" : "M J", "non-dropping-particle" : "", "parse-names" : false, "suffix" : "" }, { "dropping-particle" : "", "family" : "Tapia", "given" : "P M", "non-dropping-particle" : "", "parse-names" : false, "suffix" : "" }, { "dropping-particle" : "", "family" : "Cross", "given" : "S L", "non-dropping-particle" : "", "parse-names" : false, "suffix" : "" }, { "dropping-particle" : "", "family" : "Rowe", "given" : "H D", "non-dropping-particle" : "", "parse-names" : false, "suffix" : "" }, { "dropping-particle" : "", "family" : "Broda", "given" : "J P", "non-dropping-particle" : "", "parse-names" : false, "suffix" : "" } ], "container-title" : "Science (New York, N.Y.)", "id" : "ITEM-1", "issued" : { "date-parts" : [ [ "2001", "1", "26" ] ] }, "page" : "640-643", "title" : "The history of South American tropical precipitation for the past 25,000 years.", "type" : "article-journal", "volume" : "291" }, "uris" : [ "http://www.mendeley.com/documents/?uuid=5ebdc84f-f57c-450f-8597-f0e7c3b22fcd" ] } ], "mendeley" : { "formattedCitation" : "(P A Baker et al., 2001)", "manualFormatting" : "(Baker et al., 2001)", "plainTextFormattedCitation" : "(P A Baker et al., 2001)", "previouslyFormattedCitation" : "(P A Baker et al., 2001)" }, "properties" : { "noteIndex" : 6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(Baker et al., 2001)</w:t>
      </w:r>
      <w:r w:rsidRPr="008736A7">
        <w:rPr>
          <w:rFonts w:ascii="Times New Roman" w:hAnsi="Times New Roman" w:cs="Times New Roman"/>
        </w:rPr>
        <w:fldChar w:fldCharType="end"/>
      </w:r>
      <w:r w:rsidRPr="008736A7">
        <w:rPr>
          <w:rFonts w:ascii="Times New Roman" w:hAnsi="Times New Roman" w:cs="Times New Roman"/>
        </w:rPr>
        <w:t xml:space="preserve">, hence is consistent with a precipitation driven explanation of vegetation change at these sites. The increased evidence of human impact in the Bolivian lowlands since the original publication of this site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"id" : "ITEM-2", "itemData" : { "ISSN" : "00346667", "author" : [ { "dropping-particle" : "", "family" : "Dickau", "given" : "Ruth", "non-dropping-particle" : "", "parse-names" : false, "suffix" : "" }, { "dropping-particle" : "", "family" : "Whitney", "given" : "Bronwen S.", "non-dropping-particle" : "", "parse-names" : false, "suffix" : "" }, { "dropping-particle" : "", "family" : "Iriarte", "given" : "Jos\u00e9", "non-dropping-particle" : "", "parse-names" : false, "suffix" : "" }, { "dropping-particle" : "", "family" : "Mayle", "given" : "Francis E.", "non-dropping-particle" : "", "parse-names" : false, "suffix" : "" }, { "dropping-particle" : "", "family" : "Soto", "given" : "J. Daniel", "non-dropping-particle" : "", "parse-names" : false, "suffix" : "" }, { "dropping-particle" : "", "family" : "Metcalfe", "given" : "Phil", "non-dropping-particle" : "", "parse-names" : false, "suffix" : "" }, { "dropping-particle" : "", "family" : "Street-Perrott", "given" : "F. Alayne", "non-dropping-particle" : "", "parse-names" : false, "suffix" : "" }, { "dropping-particle" : "", "family" : "Loader", "given" : "Neil J.", "non-dropping-particle" : "", "parse-names" : false, "suffix" : "" }, { "dropping-particle" : "", "family" : "Ficken", "given" : "Katherine J.", "non-dropping-particle" : "", "parse-names" : false, "suffix" : "" }, { "dropping-particle" : "", "family" : "Killeen", "given" : "Timothy J.", "non-dropping-particle" : "", "parse-names" : false, "suffix" : "" } ], "container-title" : "Review of Palaeobotany and Palynology", "id" : "ITEM-2", "issued" : { "date-parts" : [ [ "2013", "6" ] ] }, "page" : "15-37", "title" : "Differentiation of neotropical ecosystems by modern soil phytolith assemblages and its implications for palaeoenvironmental and archaeological reconstructions", "type" : "article-journal", "volume" : "193" }, "uris" : [ "http://www.mendeley.com/documents/?uuid=94ee28e5-eb99-4e19-b00a-83f749e9f560" ] }, { "id" : "ITEM-3", "itemData" : { "ISSN" : "0959-6836", "author" : [ { "dropping-particle" : "", "family" : "Whitney", "given" : "B. S.", "non-dropping-particle" : "", "parse-names" : false, "suffix" : "" }, { "dropping-particle" : "", "family" : "Rushton", "given" : "E. a.", "non-dropping-particle" : "", "parse-names" : false, "suffix" : "" }, { "dropping-particle" : "", "family" : "Carson", "given" : "J. F.", "non-dropping-particle" : "", "parse-names" : false, "suffix" : "" }, { "dropping-particle" : "", "family" : "Iriarte", "given" : "J.", "non-dropping-particle" : "", "parse-names" : false, "suffix" : "" }, { "dropping-particle" : "", "family" : "Mayle", "given" : "F. E.", "non-dropping-particle" : "", "parse-names" : false, "suffix" : "" } ], "container-title" : "The Holocene", "id" : "ITEM-3", "issued" : { "date-parts" : [ [ "2012", "3", "19" ] ] }, "page" : "1087-1096", "title" : "An improved methodology for the recovery of Zea mays and other large crop pollen, with implications for environmental archaeology in the Neotropics", "type" : "article-journal", "volume" : "22" }, "uris" : [ "http://www.mendeley.com/documents/?uuid=9ef7f7b3-1123-45c7-97b6-dd9e9c91168e" ] }, { "id" : "ITEM-4", "itemData" : { "ISSN" : "0033-5894", "author" : [ { "dropping-particle" : "", "family" : "Whitney", "given" : "Bronwen S", "non-dropping-particle" : "", "parse-names" : false, "suffix" : "" }, { "dropping-particle" : "", "family" : "Dickau", "given" : "Ruth", "non-dropping-particle" : "", "parse-names" : false, "suffix" : "" }, { "dropping-particle" : "", "family" : "Mayle", "given" : "Francis E", "non-dropping-particle" : "", "parse-names" : false, "suffix" : "" }, { "dropping-particle" : "", "family" : "Soto", "given" : "J Daniel", "non-dropping-particle" : "", "parse-names" : false, "suffix" : "" }, { "dropping-particle" : "", "family" : "Iriarte", "given" : "Jos\u00e9", "non-dropping-particle" : "", "parse-names" : false, "suffix" : "" } ], "container-title" : "Quaternary Research", "id" : "ITEM-4", "issued" : { "date-parts" : [ [ "2013" ] ] }, "page" : "207-217", "publisher" : "Elsevier", "title" : "Pre-Columbian landscape impact and agriculture in the Monumental Mound region of the Llanos de Moxos, lowland Bolivia", "type" : "article-journal", "volume" : "80" }, "uris" : [ "http://www.mendeley.com/documents/?uuid=5191e268-2f7d-4bd5-9195-fec2b5262df4" ] } ], "mendeley" : { "formattedCitation" : "(Carson et al., 2014; Dickau et al., 2013; Whitney et al., 2013, 2012)", "plainTextFormattedCitation" : "(Carson et al., 2014; Dickau et al., 2013; Whitney et al., 2013, 2012)", "previouslyFormattedCitation" : "(Carson et al., 2014; Dickau et al., 2013; Whitney et al., 2013, 2012)"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(Carson et al., 2014; Dickau et al., 2013; Whitney et al., 2013, 2012)</w:t>
      </w:r>
      <w:r w:rsidRPr="008736A7">
        <w:rPr>
          <w:rFonts w:ascii="Times New Roman" w:hAnsi="Times New Roman" w:cs="Times New Roman"/>
        </w:rPr>
        <w:fldChar w:fldCharType="end"/>
      </w:r>
      <w:r w:rsidRPr="008736A7">
        <w:rPr>
          <w:rFonts w:ascii="Times New Roman" w:hAnsi="Times New Roman" w:cs="Times New Roman"/>
        </w:rPr>
        <w:t xml:space="preserve"> raises the possibility that humans may have played a more significant role in the vegetation and fire dynamics at LCH than hitherto assumed.</w:t>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Pr="00090084" w:rsidRDefault="00090084"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2.0 Methods</w:t>
      </w:r>
    </w:p>
    <w:p w:rsidR="00090084" w:rsidRPr="00090084" w:rsidRDefault="00090084" w:rsidP="00090084">
      <w:pPr>
        <w:pStyle w:val="BodyText"/>
        <w:spacing w:line="215" w:lineRule="auto"/>
        <w:ind w:right="150" w:firstLine="199"/>
        <w:jc w:val="both"/>
        <w:rPr>
          <w:rFonts w:ascii="Times New Roman" w:hAnsi="Times New Roman" w:cs="Times New Roman"/>
          <w:b/>
        </w:rPr>
      </w:pPr>
    </w:p>
    <w:p w:rsidR="00090084" w:rsidRPr="00090084" w:rsidRDefault="00090084"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2.1 Study Site</w:t>
      </w:r>
    </w:p>
    <w:p w:rsidR="00090084" w:rsidRDefault="00090084" w:rsidP="00090084">
      <w:pPr>
        <w:pStyle w:val="BodyText"/>
        <w:spacing w:line="215" w:lineRule="auto"/>
        <w:ind w:right="150" w:firstLine="199"/>
        <w:jc w:val="both"/>
        <w:rPr>
          <w:rFonts w:ascii="Times New Roman" w:hAnsi="Times New Roman" w:cs="Times New Roman"/>
          <w:i/>
        </w:rPr>
      </w:pPr>
    </w:p>
    <w:p w:rsidR="00090084" w:rsidRDefault="00090084" w:rsidP="00090084">
      <w:pPr>
        <w:pStyle w:val="BodyText"/>
        <w:spacing w:line="215" w:lineRule="auto"/>
        <w:ind w:right="150"/>
        <w:jc w:val="both"/>
        <w:rPr>
          <w:rFonts w:ascii="Times New Roman" w:hAnsi="Times New Roman" w:cs="Times New Roman"/>
        </w:rPr>
      </w:pPr>
      <w:r w:rsidRPr="008736A7">
        <w:rPr>
          <w:rFonts w:ascii="Times New Roman" w:hAnsi="Times New Roman" w:cs="Times New Roman"/>
        </w:rPr>
        <w:t xml:space="preserve">Laguna Chaplin (LCH) (14º28'S, 61º04'W),  is a shallow (2.0–2.5 m during the dry season), flat-bottomed lake, formed by subsidence of the underlying rocks along fault lines of the </w:t>
      </w:r>
      <w:r w:rsidRPr="008736A7">
        <w:rPr>
          <w:rFonts w:ascii="Times New Roman" w:hAnsi="Times New Roman" w:cs="Times New Roman"/>
        </w:rPr>
        <w:lastRenderedPageBreak/>
        <w:t xml:space="preserve">Pre-Cambrian Shield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"plainTextFormattedCitation" : "(Burbridge et al., 2004)", "previouslyFormattedCitation" : "(Burbridge et al., 2004)"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w:t>
      </w:r>
      <w:r w:rsidRPr="008736A7">
        <w:rPr>
          <w:rFonts w:ascii="Times New Roman" w:hAnsi="Times New Roman" w:cs="Times New Roman"/>
        </w:rPr>
        <w:fldChar w:fldCharType="end"/>
      </w:r>
      <w:r w:rsidRPr="008736A7">
        <w:rPr>
          <w:rFonts w:ascii="Times New Roman" w:hAnsi="Times New Roman" w:cs="Times New Roman"/>
        </w:rPr>
        <w:t xml:space="preserve"> (Figure 1). The lake is currently surrounded by humid tropical rainforest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"id" : "ITEM-2", "itemData" : { "author" : [ { "dropping-particle" : "", "family" : "Killeen", "given" : "T.J.", "non-dropping-particle" : "", "parse-names" : false, "suffix" : "" }, { "dropping-particle" : "", "family" : "Schulenberg", "given" : "T.S.", "non-dropping-particle" : "", "parse-names" : false, "suffix" : "" } ], "id" : "ITEM-2", "issued" : { "date-parts" : [ [ "1998" ] ] }, "number-of-pages" : "61-85", "publisher" : "Conservation International", "publisher-place" : "Washington, DC", "title" : "Vegetation and flora of Noel Kempff Mercado National Park. A biological assessment of Parque Nacional Noel Kempff Mercado, Bolivia. RAP working papers 10", "type" : "book" }, "uris" : [ "http://www.mendeley.com/documents/?uuid=5d215b6c-9d01-4ff9-a298-92a9e26c9e72" ] }, { "id" : "ITEM-3",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"ITEM-3", "issued" : { "date-parts" : [ [ "2000" ] ] }, "page" : "2291-2294", "title" : "Millennial-scale dynamics of southern Amazonian rain forests", "type" : "article-journal", "volume" : "290" }, "uris" : [ "http://www.mendeley.com/documents/?uuid=894a91a3-4b29-430f-bc28-d17206adce15" ] } ], "mendeley" : { "formattedCitation" : "(Burbridge et al., 2004; Killeen and Schulenberg, 1998; Mayle et al., 2000)", "plainTextFormattedCitation" : "(Burbridge et al., 2004; Killeen and Schulenberg, 1998; Mayle et al., 2000)", "previouslyFormattedCitation" : "(Burbridge et al., 2004; Killeen and Schulenberg, 1998; Mayle et al., 2000)"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 Killeen and Schulenberg, 1998; Mayle et al., 2000)</w:t>
      </w:r>
      <w:r w:rsidRPr="008736A7">
        <w:rPr>
          <w:rFonts w:ascii="Times New Roman" w:hAnsi="Times New Roman" w:cs="Times New Roman"/>
        </w:rPr>
        <w:fldChar w:fldCharType="end"/>
      </w:r>
      <w:r w:rsidRPr="008736A7">
        <w:rPr>
          <w:rFonts w:ascii="Times New Roman" w:hAnsi="Times New Roman" w:cs="Times New Roman"/>
        </w:rPr>
        <w:t xml:space="preserve">. The climate of this region is characterized by a seasonal tropical climate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"0006-3568", "author" : [ { "dropping-particle" : "", "family" : "DaSilva Meneses", "given" : "J. M. C.", "non-dropping-particle" : "", "parse-names" : false, "suffix" : "" }, { "dropping-particle" : "", "family" : "Bates", "given" : "John M.", "non-dropping-particle" : "", "parse-names" : false, "suffix" : "" } ], "container-title" : "BioScience", "id" : "ITEM-1", "issued" : { "date-parts" : [ [ "2002" ] ] }, "page" : "225-234", "title" : "Biogeographic patterns and conservation in the South American cerrado: A tropical savanna hotspot", "type" : "article-journal", "volume" : "52" }, "uris" : [ "http://www.mendeley.com/documents/?uuid=80fe0449-d91e-4a89-b3bd-b43cca509790" ] } ], "mendeley" : { "formattedCitation" : "(DaSilva Meneses and Bates, 2002)", "plainTextFormattedCitation" : "(DaSilva Meneses and Bates, 2002)", "previouslyFormattedCitation" : "(DaSilva Meneses and Bates, 2002)"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(DaSilva Meneses and Bates, 2002)</w:t>
      </w:r>
      <w:r w:rsidRPr="008736A7">
        <w:rPr>
          <w:rFonts w:ascii="Times New Roman" w:hAnsi="Times New Roman" w:cs="Times New Roman"/>
        </w:rPr>
        <w:fldChar w:fldCharType="end"/>
      </w:r>
      <w:r w:rsidRPr="008736A7">
        <w:rPr>
          <w:rFonts w:ascii="Times New Roman" w:hAnsi="Times New Roman" w:cs="Times New Roman"/>
        </w:rPr>
        <w:t xml:space="preserve">. The mean annual precipitation is ca. 1400–1500 mm per year, with mean annual temperatures between 25 and 26º C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"Hanagarth", "given" : "Werner", "non-dropping-particle" : "", "parse-names" : false, "suffix" : "" } ], "id" : "ITEM-1", "issued" : { "date-parts" : [ [ "1993" ] ] }, "publisher" : "Instituto de Ecolog\u00eda", "publisher-place" : "La Paz, Bolivia", "title" : "Acerca de la geoecolog\u00eda de las sabanas del Beni en el noreste de Bolivia", "type" : "book" }, "uris" : [ "http://www.mendeley.com/documents/?uuid=d9cb5e1e-6439-48dd-9589-0dad9febf1e2" ] }, { "id" : "ITEM-2", "itemData" : { "author" : [ { "dropping-particle" : "", "family" : "Montes de Oca", "given" : "Ismael", "non-dropping-particle" : "", "parse-names" : false, "suffix" : "" } ], "edition" : "3rd Editio", "id" : "ITEM-2", "issued" : { "date-parts" : [ [ "1982" ] ] }, "publisher" : "Edobol", "publisher-place" : "La Paz, Bolivia", "title" : "Geograf\u00eda y recursos naturales de Bolivia", "type" : "book" }, "uris" : [ "http://www.mendeley.com/documents/?uuid=44a99247-0646-4565-9aa7-be9ec6373376" ] }, { "id" : "ITEM-3", "itemData" : { "author" : [ { "dropping-particle" : "", "family" : "Roche", "given" : "M. A.", "non-dropping-particle" : "", "parse-names" : false, "suffix" : "" }, { "dropping-particle" : "", "family" : "Rocha", "given" : "N.", "non-dropping-particle" : "", "parse-names" : false, "suffix" : "" } ], "id" : "ITEM-3", "issued" : { "date-parts" : [ [ "1985" ] ] }, "publisher" : "Servicio Nacional de Meteologia e Hidrologia (SENAHMHI)", "publisher-place" : "La Paz, Bolivia", "title" : "Precipitacioes anuales. Programa climat\u00f3logico e hidrol\u00f3gico de la Cuenca Amaz\u00f3nica Boliviana (PHICAB)", "type" : "book" }, "uris" : [ "http://www.mendeley.com/documents/?uuid=7f1505dc-1219-4ef6-9443-21ceabde9552" ] } ], "mendeley" : { "formattedCitation" : "(Hanagarth, 1993; Montes de Oca, 1982; Roche and Rocha, 1985)", "plainTextFormattedCitation" : "(Hanagarth, 1993; Montes de Oca, 1982; Roche and Rocha, 1985)", "previouslyFormattedCitation" : "(Hanagarth, 1993; Montes de Oca, 1982; Roche and Rocha, 1985)"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(Hanagarth, 1993; Montes de Oca, 1982; Roche and Rocha, 1985)</w:t>
      </w:r>
      <w:r w:rsidRPr="008736A7">
        <w:rPr>
          <w:rFonts w:ascii="Times New Roman" w:hAnsi="Times New Roman" w:cs="Times New Roman"/>
        </w:rPr>
        <w:fldChar w:fldCharType="end"/>
      </w:r>
      <w:r w:rsidRPr="008736A7">
        <w:rPr>
          <w:rFonts w:ascii="Times New Roman" w:hAnsi="Times New Roman" w:cs="Times New Roman"/>
        </w:rPr>
        <w:t xml:space="preserve">. There is a 3- to 5-month dry season during the Southern Hemisphere winter (May to September–October) when the mean monthly precipitation is less than 30 mm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"0026-6493", "author" : [ { "dropping-particle" : "", "family" : "Killeen", "given" : "Timothy J", "non-dropping-particle" : "", "parse-names" : false, "suffix" : "" } ], "container-title" : "Annals of the Missouri Botanical Garden", "id" : "ITEM-1", "issued" : { "date-parts" : [ [ "1990" ] ] }, "page" : "125-201", "publisher" : "JSTOR", "title" : "The grasses of Chiquitan\u00eda, Santa Cruz, Bolivia", "type" : "article-journal", "volume" : "1" }, "uris" : [ "http://www.mendeley.com/documents/?uuid=49d3e223-ecff-4c61-b9ab-ac0ed81c4f0d" ] } ], "mendeley" : { "formattedCitation" : "(Killeen, 1990)", "plainTextFormattedCitation" : "(Killeen, 1990)", "previouslyFormattedCitation" : "(Killeen, 1990)"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(Killeen, 1990)</w:t>
      </w:r>
      <w:r w:rsidRPr="008736A7">
        <w:rPr>
          <w:rFonts w:ascii="Times New Roman" w:hAnsi="Times New Roman" w:cs="Times New Roman"/>
        </w:rPr>
        <w:fldChar w:fldCharType="end"/>
      </w:r>
      <w:r w:rsidRPr="008736A7">
        <w:rPr>
          <w:rFonts w:ascii="Times New Roman" w:hAnsi="Times New Roman" w:cs="Times New Roman"/>
        </w:rPr>
        <w:t xml:space="preserve">. Precipitation falls mainly during the austral summer (December to March), originating from a combination of deep-cell convective activity in the Amazon Basin from the South American summer monsoon (SASM)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"1814-9332", "author" : [ { "dropping-particle" : "", "family" : "Vuille", "given" : "M.", "non-dropping-particle" : "", "parse-names" : false, "suffix" : "" }, { "dropping-particle" : "", "family" : "Burns", "given" : "S. J.", "non-dropping-particle" : "", "parse-names" : false, "suffix" : "" }, { "dropping-particle" : "", "family" : "Taylor", "given" : "B. L.", "non-dropping-particle" : "", "parse-names" : false, "suffix" : "" }, { "dropping-particle" : "", "family" : "Cruz", "given" : "F. W.", "non-dropping-particle" : "", "parse-names" : false, "suffix" : "" }, { "dropping-particle" : "", "family" : "Bird", "given" : "B. W.", "non-dropping-particle" : "", "parse-names" : false, "suffix" : "" }, { "dropping-particle" : "", "family" : "Abbott", "given" : "M. B.", "non-dropping-particle" : "", "parse-names" : false, "suffix" : "" }, { "dropping-particle" : "", "family" : "Kanner", "given" : "L. C.", "non-dropping-particle" : "", "parse-names" : false, "suffix" : "" }, { "dropping-particle" : "", "family" : "Cheng", "given" : "H.", "non-dropping-particle" : "", "parse-names" : false, "suffix" : "" }, { "dropping-particle" : "", "family" : "Novello", "given" : "V. F.", "non-dropping-particle" : "", "parse-names" : false, "suffix" : "" } ], "container-title" : "Climate of the Past", "id" : "ITEM-1", "issued" : { "date-parts" : [ [ "2012", "8", "23" ] ] }, "language" : "English", "page" : "1309-1321", "publisher" : "Copernicus GmbH", "title" : "A review of the South American monsoon history as recorded in stable isotopic proxies over the past two millennia", "type" : "article-journal", "volume" : "8" }, "uris" : [ "http://www.mendeley.com/documents/?uuid=5e58d50b-2ae7-4a59-b813-6040c6979027" ] } ], "mendeley" : { "formattedCitation" : "(Vuille et al., 2012)", "plainTextFormattedCitation" : "(Vuille et al., 2012)", "previouslyFormattedCitation" : "(Vuille et al., 2012)"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(Vuille et al., 2012)</w:t>
      </w:r>
      <w:r w:rsidRPr="008736A7">
        <w:rPr>
          <w:rFonts w:ascii="Times New Roman" w:hAnsi="Times New Roman" w:cs="Times New Roman"/>
        </w:rPr>
        <w:fldChar w:fldCharType="end"/>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r>
        <w:rPr>
          <w:noProof/>
          <w:lang w:val="en-GB" w:eastAsia="en-GB"/>
        </w:rPr>
        <w:drawing>
          <wp:anchor distT="0" distB="0" distL="114300" distR="114300" simplePos="0" relativeHeight="251659264" behindDoc="0" locked="0" layoutInCell="1" allowOverlap="1" wp14:anchorId="2612DFFB" wp14:editId="3D27693D">
            <wp:simplePos x="0" y="0"/>
            <wp:positionH relativeFrom="column">
              <wp:posOffset>1238885</wp:posOffset>
            </wp:positionH>
            <wp:positionV relativeFrom="paragraph">
              <wp:posOffset>13970</wp:posOffset>
            </wp:positionV>
            <wp:extent cx="5161826" cy="2547210"/>
            <wp:effectExtent l="0" t="0" r="1270" b="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Chaplin age mod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1826" cy="2547210"/>
                    </a:xfrm>
                    <a:prstGeom prst="rect">
                      <a:avLst/>
                    </a:prstGeom>
                  </pic:spPr>
                </pic:pic>
              </a:graphicData>
            </a:graphic>
            <wp14:sizeRelH relativeFrom="page">
              <wp14:pctWidth>0</wp14:pctWidth>
            </wp14:sizeRelH>
            <wp14:sizeRelV relativeFrom="page">
              <wp14:pctHeight>0</wp14:pctHeight>
            </wp14:sizeRelV>
          </wp:anchor>
        </w:drawing>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left="0" w:right="150"/>
        <w:jc w:val="both"/>
        <w:rPr>
          <w:rFonts w:ascii="Times New Roman" w:hAnsi="Times New Roman" w:cs="Times New Roman"/>
        </w:rPr>
      </w:pPr>
    </w:p>
    <w:p w:rsidR="00090084" w:rsidRPr="00090084" w:rsidRDefault="00090084" w:rsidP="00090084">
      <w:pPr>
        <w:pStyle w:val="BodyText"/>
        <w:spacing w:line="215" w:lineRule="auto"/>
        <w:ind w:right="150"/>
        <w:jc w:val="both"/>
        <w:rPr>
          <w:rFonts w:ascii="Times New Roman" w:hAnsi="Times New Roman" w:cs="Times New Roman"/>
          <w:sz w:val="18"/>
          <w:szCs w:val="18"/>
        </w:rPr>
      </w:pPr>
      <w:r w:rsidRPr="00090084">
        <w:rPr>
          <w:rFonts w:ascii="Times New Roman" w:hAnsi="Times New Roman" w:cs="Times New Roman"/>
          <w:sz w:val="18"/>
          <w:szCs w:val="18"/>
        </w:rPr>
        <w:t>Figure 2: New age-model created for LCH using the IntCal13 calibration curve. The mean age value of the largest probability at 2 sigmas is used to create the linearly interpolated age model using classical age-depth modeling, in the package CLAM (Blaauw, 2010) within the open-source statistical software R.</w:t>
      </w:r>
    </w:p>
    <w:p w:rsidR="00090084" w:rsidRDefault="00090084" w:rsidP="00090084">
      <w:pPr>
        <w:pStyle w:val="BodyText"/>
        <w:spacing w:line="215" w:lineRule="auto"/>
        <w:ind w:right="150" w:firstLine="199"/>
        <w:jc w:val="both"/>
        <w:rPr>
          <w:rFonts w:ascii="Times New Roman" w:hAnsi="Times New Roman" w:cs="Times New Roman"/>
        </w:rPr>
      </w:pPr>
    </w:p>
    <w:p w:rsidR="008736A7" w:rsidRDefault="008736A7" w:rsidP="00090084">
      <w:pPr>
        <w:pStyle w:val="BodyText"/>
        <w:spacing w:line="215" w:lineRule="auto"/>
        <w:ind w:left="0" w:right="150"/>
        <w:jc w:val="both"/>
        <w:rPr>
          <w:rFonts w:ascii="Times New Roman" w:hAnsi="Times New Roman" w:cs="Times New Roman"/>
        </w:rPr>
      </w:pPr>
    </w:p>
    <w:p w:rsidR="008736A7" w:rsidRPr="00090084" w:rsidRDefault="00705EBE"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2.2 Sediment Core</w:t>
      </w:r>
    </w:p>
    <w:p w:rsidR="00090084" w:rsidRDefault="00090084" w:rsidP="00090084">
      <w:pPr>
        <w:pStyle w:val="BodyText"/>
        <w:spacing w:line="215" w:lineRule="auto"/>
        <w:ind w:right="150" w:firstLine="199"/>
        <w:jc w:val="both"/>
        <w:rPr>
          <w:rFonts w:ascii="Times New Roman" w:hAnsi="Times New Roman" w:cs="Times New Roman"/>
        </w:rPr>
      </w:pPr>
    </w:p>
    <w:p w:rsidR="008736A7"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LCH was cored in August 1998, using a Geocore ‘‘drop-hammer'' piston corer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"0203305175", "author" : [ { "dropping-particle" : "", "family" : "Colinvaux", "given" : "Paul A", "non-dropping-particle" : "", "parse-names" : false, "suffix" : "" }, { "dropping-particle" : "", "family" : "Oliveira", "given" : "Paulo E", "non-dropping-particle" : "De", "parse-names" : false, "suffix" : "" }, { "dropping-particle" : "", "family" : "Moreno", "given" : "Enrique", "non-dropping-particle" : "", "parse-names" : false, "suffix" : "" } ], "id" : "ITEM-1", "issued" : { "date-parts" : [ [ "1999" ] ] }, "publisher" : "CRC Press", "title" : "Amazon: Pollen Manual and Atlas", "type" : "book" }, "uris" : [ "http://www.mendeley.com/documents/?uuid=84a252d5-adce-475a-8e02-bbf5b9ad7d0f" ] } ], "mendeley" : { "formattedCitation" : "(Colinvaux et al., 1999)", "plainTextFormattedCitation" : "(Colinvaux et al., 1999)", "previouslyFormattedCitation" : "(Colinvaux et al., 1999)"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(Colinvaux et al., 1999)</w:t>
      </w:r>
      <w:r w:rsidRPr="008736A7">
        <w:rPr>
          <w:rFonts w:ascii="Times New Roman" w:hAnsi="Times New Roman" w:cs="Times New Roman"/>
        </w:rPr>
        <w:fldChar w:fldCharType="end"/>
      </w:r>
      <w:r w:rsidRPr="008736A7">
        <w:rPr>
          <w:rFonts w:ascii="Times New Roman" w:hAnsi="Times New Roman" w:cs="Times New Roman"/>
        </w:rPr>
        <w:t xml:space="preserve"> ca. 80 m from the southern shore of the lake. The uppermost surface sediments were recovered with a clear Perspex plastic tube and piston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"plainTextFormattedCitation" : "(Burbridge et al., 2004)", "previouslyFormattedCitation" : "(Burbridge et al., 2004)"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w:t>
      </w:r>
      <w:r w:rsidRPr="008736A7">
        <w:rPr>
          <w:rFonts w:ascii="Times New Roman" w:hAnsi="Times New Roman" w:cs="Times New Roman"/>
        </w:rPr>
        <w:fldChar w:fldCharType="end"/>
      </w:r>
      <w:r w:rsidRPr="008736A7">
        <w:rPr>
          <w:rFonts w:ascii="Times New Roman" w:hAnsi="Times New Roman" w:cs="Times New Roman"/>
        </w:rPr>
        <w:t>. Detailed methods of the original analysis of charcoal and pollen can be found in Burbridge et al. (2004).</w:t>
      </w:r>
    </w:p>
    <w:p w:rsidR="008736A7" w:rsidRPr="00090084" w:rsidRDefault="008736A7" w:rsidP="00090084">
      <w:pPr>
        <w:pStyle w:val="BodyText"/>
        <w:spacing w:line="215" w:lineRule="auto"/>
        <w:ind w:right="150" w:firstLine="199"/>
        <w:jc w:val="both"/>
        <w:rPr>
          <w:rFonts w:ascii="Times New Roman" w:hAnsi="Times New Roman" w:cs="Times New Roman"/>
          <w:b/>
        </w:rPr>
      </w:pPr>
    </w:p>
    <w:p w:rsidR="00380D30" w:rsidRPr="00090084" w:rsidRDefault="008736A7"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 xml:space="preserve">2.3 </w:t>
      </w:r>
      <w:r w:rsidR="00705EBE" w:rsidRPr="00090084">
        <w:rPr>
          <w:rFonts w:ascii="Times New Roman" w:hAnsi="Times New Roman" w:cs="Times New Roman"/>
          <w:b/>
        </w:rPr>
        <w:t>Chronology</w:t>
      </w:r>
    </w:p>
    <w:p w:rsidR="00090084" w:rsidRPr="00090084" w:rsidRDefault="00090084" w:rsidP="00090084">
      <w:pPr>
        <w:pStyle w:val="BodyText"/>
        <w:spacing w:line="215" w:lineRule="auto"/>
        <w:ind w:right="150" w:firstLine="199"/>
        <w:jc w:val="both"/>
        <w:rPr>
          <w:rFonts w:ascii="Times New Roman" w:hAnsi="Times New Roman" w:cs="Times New Roman"/>
          <w:b/>
          <w:i/>
        </w:rPr>
      </w:pPr>
    </w:p>
    <w:p w:rsidR="00380D30" w:rsidRDefault="00705EBE" w:rsidP="00090084">
      <w:pPr>
        <w:pStyle w:val="BodyText"/>
        <w:spacing w:line="215" w:lineRule="auto"/>
        <w:ind w:right="150" w:firstLine="199"/>
        <w:jc w:val="both"/>
        <w:rPr>
          <w:rFonts w:ascii="Times New Roman" w:hAnsi="Times New Roman" w:cs="Times New Roman"/>
          <w:lang w:eastAsia="ja-JP"/>
        </w:rPr>
      </w:pPr>
      <w:r w:rsidRPr="008736A7">
        <w:rPr>
          <w:rFonts w:ascii="Times New Roman" w:hAnsi="Times New Roman" w:cs="Times New Roman"/>
          <w:lang w:eastAsia="ja-JP"/>
        </w:rPr>
        <w:t xml:space="preserve">The chronological framework for LCH is established with 14 AMS radiocarbon dates from non-calcareous bulk sediment (Table 1, Figure 2). The uncalibrated radiometric ages are given in radiocarbon years before 1950 AD (years ‘before present’, yr BP). Errors are quoted at one standard deviation and reflect both statistical and experimental errors.  Radiocarbon ages were originally calibrated </w:t>
      </w:r>
      <w:r w:rsidRPr="008736A7">
        <w:rPr>
          <w:rFonts w:ascii="Times New Roman" w:hAnsi="Times New Roman" w:cs="Times New Roman"/>
        </w:rPr>
        <w:t xml:space="preserve">by a simple intercept with a linear interpolation of the calibration data points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"id" : "ITEM-2", "itemData" : { "ISSN" : "0033-8222", "author" : [ { "dropping-particle" : "", "family" : "Stuiver", "given" : "Minze", "non-dropping-particle" : "", "parse-names" : false, "suffix" : "" }, { "dropping-particle" : "", "family" : "Reimer", "given" : "Paula J", "non-dropping-particle" : "", "parse-names" : false, "suffix" : "" }, { "dropping-particle" : "", "family" : "Bard", "given" : "Edouard", "non-dropping-particle" : "", "parse-names" : false, "suffix" : "" }, { "dropping-particle" : "", "family" : "Beck", "given" : "J Warren", "non-dropping-particle" : "", "parse-names" : false, "suffix" : "" }, { "dropping-particle" : "", "family" : "Burr", "given" : "C S", "non-dropping-particle" : "", "parse-names" : false, "suffix" : "" }, { "dropping-particle" : "", "family" : "Hughen", "given" : "Konrad A", "non-dropping-particle" : "", "parse-names" : false, "suffix" : "" }, { "dropping-particle" : "", "family" : "Kromer", "given" : "Bernd", "non-dropping-particle" : "", "parse-names" : false, "suffix" : "" }, { "dropping-particle" : "", "family" : "McCormac", "given" : "Gerry", "non-dropping-particle" : "", "parse-names" : false, "suffix" : "" }, { "dropping-particle" : "van der", "family" : "Plicht", "given" : "Johannes", "non-dropping-particle" : "", "parse-names" : false, "suffix" : "" }, { "dropping-particle" : "", "family" : "Spurk", "given" : "Marco", "non-dropping-particle" : "", "parse-names" : false, "suffix" : "" } ], "container-title" : "Radiocarbon-an International Journal of Cosmogenic Isotope Research", "id" : "ITEM-2", "issued" : { "date-parts" : [ [ "1998" ] ] }, "page" : "1041-1084", "publisher" : "New Haven, American journal of science, 1961-", "title" : "ARTICLES-INTCAL98 Radiocarbon Age Calibration, 24,000-0 cal BP", "type" : "article-journal", "volume" : "40" }, "uris" : [ "http://www.mendeley.com/documents/?uuid=0d4733ba-4dab-4619-b3ee-36ca1c6ec159" ] } ], "mendeley" : { "formattedCitation" : "(Burbridge et al., 2004; Stuiver et al., 1998)", "plainTextFormattedCitation" : "(Burbridge et al., 2004; Stuiver et al., 1998)", "previouslyFormattedCitation" : "(Burbridge et al., 2004; Stuiver et al., 1998)"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 Stuiver et al., 1998)</w:t>
      </w:r>
      <w:r w:rsidRPr="008736A7">
        <w:rPr>
          <w:rFonts w:ascii="Times New Roman" w:hAnsi="Times New Roman" w:cs="Times New Roman"/>
        </w:rPr>
        <w:fldChar w:fldCharType="end"/>
      </w:r>
      <w:r w:rsidRPr="008736A7">
        <w:rPr>
          <w:rFonts w:ascii="Times New Roman" w:hAnsi="Times New Roman" w:cs="Times New Roman"/>
        </w:rPr>
        <w:t xml:space="preserve">. The 2σ cal age ranges are shown, with the calibrated age intercepts in parentheses. All ages were rounded to the nearest 10 years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"plainTextFormattedCitation" : "(Burbridge et al., 2004)", "previouslyFormattedCitation" : "(Burbridge et al., 2004)"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w:t>
      </w:r>
      <w:r w:rsidRPr="008736A7">
        <w:rPr>
          <w:rFonts w:ascii="Times New Roman" w:hAnsi="Times New Roman" w:cs="Times New Roman"/>
        </w:rPr>
        <w:fldChar w:fldCharType="end"/>
      </w:r>
      <w:r w:rsidRPr="008736A7">
        <w:rPr>
          <w:rFonts w:ascii="Times New Roman" w:hAnsi="Times New Roman" w:cs="Times New Roman"/>
        </w:rPr>
        <w:t xml:space="preserve">. </w:t>
      </w:r>
      <w:r w:rsidRPr="008736A7">
        <w:rPr>
          <w:rFonts w:ascii="Times New Roman" w:hAnsi="Times New Roman" w:cs="Times New Roman"/>
          <w:lang w:eastAsia="ja-JP"/>
        </w:rPr>
        <w:t xml:space="preserve"> In this re</w:t>
      </w:r>
      <w:r w:rsidRPr="008736A7">
        <w:rPr>
          <w:rFonts w:ascii="Times New Roman" w:hAnsi="Times New Roman" w:cs="Times New Roman"/>
          <w:noProof/>
        </w:rPr>
        <w:t xml:space="preserve">analysis, ages are calibrated using </w:t>
      </w:r>
      <w:r w:rsidRPr="008736A7">
        <w:rPr>
          <w:rFonts w:ascii="Times New Roman" w:hAnsi="Times New Roman" w:cs="Times New Roman"/>
          <w:lang w:eastAsia="ja-JP"/>
        </w:rPr>
        <w:t xml:space="preserve">CALIB 7.0 and the IntCal13 calibration dataset </w:t>
      </w:r>
      <w:r w:rsidRPr="008736A7">
        <w:rPr>
          <w:rFonts w:ascii="Times New Roman" w:hAnsi="Times New Roman" w:cs="Times New Roman"/>
          <w:lang w:eastAsia="ja-JP"/>
        </w:rPr>
        <w:fldChar w:fldCharType="begin" w:fldLock="1"/>
      </w:r>
      <w:r w:rsidRPr="008736A7">
        <w:rPr>
          <w:rFonts w:ascii="Times New Roman" w:hAnsi="Times New Roman" w:cs="Times New Roman"/>
          <w:lang w:eastAsia="ja-JP"/>
        </w:rPr>
        <w:instrText>ADDIN CSL_CITATION { "citationItems" : [ { "id" : "ITEM-1", "itemData" : { "author" : [ { "dropping-particle" : "", "family" : "McCormac", "given" : "F.G.", "non-dropping-particle" : "", "parse-names" : false, "suffix" : "" }, { "dropping-particle" : "", "family" : "Hogg", "given" : "A.G.", "non-dropping-particle" : "", "parse-names" : false, "suffix" : "" }, { "dropping-particle" : "", "family" : "Blackwell", "given" : "P.G.", "non-dropping-particle" : "", "parse-names" : false, "suffix" : "" }, { "dropping-particle" : "", "family" : "Buck", "given" : "C.E.", "non-dropping-particle" : "", "parse-names" : false, "suffix" : "" }, { "dropping-particle" : "", "family" : "Higham", "given" : "T. F. G.", "non-dropping-particle" : "", "parse-names" : false, "suffix" : "" }, { "dropping-particle" : "", "family" : "Reimer", "given" : "P.J.", "non-dropping-particle" : "", "parse-names" : false, "suffix" : "" } ], "container-title" : "Radiocarbon", "id" : "ITEM-1", "issued" : { "date-parts" : [ [ "2004" ] ] }, "page" : "1087-1092", "title" : "SHCAL04 southern hemisphere calibration, 0-11.0 cal KYR BP", "type" : "article-journal", "volume" : "46" }, "uris" : [ "http://www.mendeley.com/documents/?uuid=36c45bfc-85f4-4245-a438-c78549b7fc07" ] } ], "mendeley" : { "formattedCitation" : "(McCormac et al., 2004)", "plainTextFormattedCitation" : "(McCormac et al., 2004)", "previouslyFormattedCitation" : "(McCormac et al., 2004)" }, "properties" : { "noteIndex" : 0 }, "schema" : "https://github.com/citation-style-language/schema/raw/master/csl-citation.json" }</w:instrText>
      </w:r>
      <w:r w:rsidRPr="008736A7">
        <w:rPr>
          <w:rFonts w:ascii="Times New Roman" w:hAnsi="Times New Roman" w:cs="Times New Roman"/>
          <w:lang w:eastAsia="ja-JP"/>
        </w:rPr>
        <w:fldChar w:fldCharType="separate"/>
      </w:r>
      <w:r w:rsidRPr="008736A7">
        <w:rPr>
          <w:rFonts w:ascii="Times New Roman" w:hAnsi="Times New Roman" w:cs="Times New Roman"/>
          <w:noProof/>
          <w:lang w:eastAsia="ja-JP"/>
        </w:rPr>
        <w:t>(McCormac et al., 2004)</w:t>
      </w:r>
      <w:r w:rsidRPr="008736A7">
        <w:rPr>
          <w:rFonts w:ascii="Times New Roman" w:hAnsi="Times New Roman" w:cs="Times New Roman"/>
          <w:lang w:eastAsia="ja-JP"/>
        </w:rPr>
        <w:fldChar w:fldCharType="end"/>
      </w:r>
      <w:r w:rsidRPr="008736A7">
        <w:rPr>
          <w:rFonts w:ascii="Times New Roman" w:hAnsi="Times New Roman" w:cs="Times New Roman"/>
          <w:lang w:eastAsia="ja-JP"/>
        </w:rPr>
        <w:t xml:space="preserve">. Date ranges are reported with 95% confidence intervals. The reanalyzed age model for this study is created through linear interpolation between calibrated </w:t>
      </w:r>
      <w:r w:rsidRPr="008736A7">
        <w:rPr>
          <w:rFonts w:ascii="Times New Roman" w:hAnsi="Times New Roman" w:cs="Times New Roman"/>
          <w:vertAlign w:val="superscript"/>
          <w:lang w:eastAsia="ja-JP"/>
        </w:rPr>
        <w:t>14</w:t>
      </w:r>
      <w:r w:rsidRPr="008736A7">
        <w:rPr>
          <w:rFonts w:ascii="Times New Roman" w:hAnsi="Times New Roman" w:cs="Times New Roman"/>
          <w:lang w:eastAsia="ja-JP"/>
        </w:rPr>
        <w:t xml:space="preserve">C dates and an assumed modern age for the core top (sediment-water interface) using classical age-depth modeling in the package CLAM </w:t>
      </w:r>
      <w:r w:rsidRPr="008736A7">
        <w:rPr>
          <w:rFonts w:ascii="Times New Roman" w:hAnsi="Times New Roman" w:cs="Times New Roman"/>
          <w:lang w:eastAsia="ja-JP"/>
        </w:rPr>
        <w:fldChar w:fldCharType="begin" w:fldLock="1"/>
      </w:r>
      <w:r w:rsidRPr="008736A7">
        <w:rPr>
          <w:rFonts w:ascii="Times New Roman" w:hAnsi="Times New Roman" w:cs="Times New Roman"/>
          <w:lang w:eastAsia="ja-JP"/>
        </w:rPr>
        <w:instrText>ADDIN CSL_CITATION { "citationItems" : [ { "id" : "ITEM-1", "itemData" : { "ISSN" : "18711014", "author" : [ { "dropping-particle" : "", "family" : "Blaauw", "given" : "Maarten", "non-dropping-particle" : "", "parse-names" : false, "suffix" : "" } ], "container-title" : "Quaternary Geochronology", "id" : "ITEM-1", "issued" : { "date-parts" : [ [ "2010", "10" ] ] }, "page" : "512-518", "publisher" : "Elsevier B.V", "title" : "Methods and code for \u2018classical\u2019 age-modelling of radiocarbon sequences", "type" : "article-journal", "volume" : "5" }, "uris" : [ "http://www.mendeley.com/documents/?uuid=2e657ec3-d741-4fd7-9741-179921e66b42" ] } ], "mendeley" : { "formattedCitation" : "(Blaauw, 2010)", "plainTextFormattedCitation" : "(Blaauw, 2010)", "previouslyFormattedCitation" : "(Blaauw, 2010)" }, "properties" : { "noteIndex" : 0 }, "schema" : "https://github.com/citation-style-language/schema/raw/master/csl-citation.json" }</w:instrText>
      </w:r>
      <w:r w:rsidRPr="008736A7">
        <w:rPr>
          <w:rFonts w:ascii="Times New Roman" w:hAnsi="Times New Roman" w:cs="Times New Roman"/>
          <w:lang w:eastAsia="ja-JP"/>
        </w:rPr>
        <w:fldChar w:fldCharType="separate"/>
      </w:r>
      <w:r w:rsidRPr="008736A7">
        <w:rPr>
          <w:rFonts w:ascii="Times New Roman" w:hAnsi="Times New Roman" w:cs="Times New Roman"/>
          <w:noProof/>
          <w:lang w:eastAsia="ja-JP"/>
        </w:rPr>
        <w:t>(Blaauw, 2010)</w:t>
      </w:r>
      <w:r w:rsidRPr="008736A7">
        <w:rPr>
          <w:rFonts w:ascii="Times New Roman" w:hAnsi="Times New Roman" w:cs="Times New Roman"/>
          <w:lang w:eastAsia="ja-JP"/>
        </w:rPr>
        <w:fldChar w:fldCharType="end"/>
      </w:r>
      <w:r w:rsidRPr="008736A7">
        <w:rPr>
          <w:rFonts w:ascii="Times New Roman" w:hAnsi="Times New Roman" w:cs="Times New Roman"/>
          <w:lang w:eastAsia="ja-JP"/>
        </w:rPr>
        <w:t xml:space="preserve"> within the open-source statistical software R.</w:t>
      </w:r>
      <w:r w:rsidRPr="008736A7">
        <w:rPr>
          <w:rFonts w:ascii="Times New Roman" w:hAnsi="Times New Roman" w:cs="Times New Roman"/>
        </w:rPr>
        <w:t xml:space="preserve"> </w:t>
      </w:r>
      <w:r w:rsidRPr="008736A7">
        <w:rPr>
          <w:rFonts w:ascii="Times New Roman" w:hAnsi="Times New Roman" w:cs="Times New Roman"/>
          <w:lang w:eastAsia="ja-JP"/>
        </w:rPr>
        <w:t xml:space="preserve">Age estimates are rounded to the nearest 10 years. </w:t>
      </w:r>
    </w:p>
    <w:p w:rsidR="0051743E" w:rsidRPr="00090084" w:rsidRDefault="00380D30"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lang w:eastAsia="ja-JP"/>
        </w:rPr>
        <w:lastRenderedPageBreak/>
        <w:t>2.</w:t>
      </w:r>
      <w:r w:rsidR="00090084" w:rsidRPr="00090084">
        <w:rPr>
          <w:rFonts w:ascii="Times New Roman" w:hAnsi="Times New Roman" w:cs="Times New Roman"/>
          <w:b/>
          <w:lang w:eastAsia="ja-JP"/>
        </w:rPr>
        <w:t>4</w:t>
      </w:r>
      <w:r w:rsidRPr="00090084">
        <w:rPr>
          <w:rFonts w:ascii="Times New Roman" w:hAnsi="Times New Roman" w:cs="Times New Roman"/>
          <w:b/>
          <w:lang w:eastAsia="ja-JP"/>
        </w:rPr>
        <w:t xml:space="preserve"> </w:t>
      </w:r>
      <w:r w:rsidR="00705EBE" w:rsidRPr="00090084">
        <w:rPr>
          <w:rFonts w:ascii="Times New Roman" w:hAnsi="Times New Roman" w:cs="Times New Roman"/>
          <w:b/>
        </w:rPr>
        <w:t xml:space="preserve">Cultigen pollen </w:t>
      </w:r>
    </w:p>
    <w:p w:rsidR="00090084" w:rsidRDefault="00090084" w:rsidP="00090084">
      <w:pPr>
        <w:pStyle w:val="BodyText"/>
        <w:spacing w:line="215" w:lineRule="auto"/>
        <w:ind w:right="150" w:firstLine="199"/>
        <w:jc w:val="both"/>
        <w:rPr>
          <w:rFonts w:ascii="Times New Roman" w:hAnsi="Times New Roman" w:cs="Times New Roman"/>
          <w:i/>
        </w:rPr>
      </w:pPr>
    </w:p>
    <w:p w:rsidR="0051743E" w:rsidRDefault="00705EBE" w:rsidP="00090084">
      <w:pPr>
        <w:pStyle w:val="BodyText"/>
        <w:spacing w:line="215" w:lineRule="auto"/>
        <w:ind w:right="150" w:firstLine="199"/>
        <w:jc w:val="both"/>
        <w:rPr>
          <w:rFonts w:ascii="Times New Roman" w:eastAsia="Times New Roman" w:hAnsi="Times New Roman" w:cs="Times New Roman"/>
          <w:i/>
        </w:rPr>
      </w:pPr>
      <w:r w:rsidRPr="008736A7">
        <w:rPr>
          <w:rFonts w:ascii="Times New Roman" w:hAnsi="Times New Roman" w:cs="Times New Roman"/>
        </w:rPr>
        <w:t>Pollen reanalysis to concentrate large crop pollen is performed at 4 cm resolution. Samples measuring 1 cm</w:t>
      </w:r>
      <w:r w:rsidRPr="008736A7">
        <w:rPr>
          <w:rFonts w:ascii="Times New Roman" w:hAnsi="Times New Roman" w:cs="Times New Roman"/>
          <w:vertAlign w:val="superscript"/>
        </w:rPr>
        <w:t>3</w:t>
      </w:r>
      <w:r w:rsidRPr="008736A7">
        <w:rPr>
          <w:rFonts w:ascii="Times New Roman" w:hAnsi="Times New Roman" w:cs="Times New Roman"/>
        </w:rPr>
        <w:t xml:space="preserve"> are prepared following the standard chemical digestion protocol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"Faegri", "given" : "K", "non-dropping-particle" : "", "parse-names" : false, "suffix" : "" }, { "dropping-particle" : "", "family" : "Iversen", "given" : "J", "non-dropping-particle" : "", "parse-names" : false, "suffix" : "" } ], "container-title" : "J Wiley, New York", "id" : "ITEM-1", "issued" : { "date-parts" : [ [ "1989" ] ] }, "title" : "Textbook of Pollen Analysis, revised by Faegri K, Kaland PE, Krzywinski K", "type" : "article-journal" }, "uris" : [ "http://www.mendeley.com/documents/?uuid=972c0de9-1a48-4c1a-8e2b-790fc47cb4a1" ] }, { "id" : "ITEM-2", "itemData" : { "ISBN" : "1402006586", "author" : [ { "dropping-particle" : "", "family" : "Bennett", "given" : "Keith D.", "non-dropping-particle" : "", "parse-names" : false, "suffix" : "" }, { "dropping-particle" : "", "family" : "Willis", "given" : "Kathy J.", "non-dropping-particle" : "", "parse-names" : false, "suffix" : "" } ], "container-title" : "Tracking Environmental Change Using Lake Sediments: Terrestrial, Algal, and Siliceous Indicators", "editor" : [ { "dropping-particle" : "", "family" : "Smol", "given" : "J.P.", "non-dropping-particle" : "", "parse-names" : false, "suffix" : "" }, { "dropping-particle" : "", "family" : "Birks", "given" : "H.J.B.", "non-dropping-particle" : "", "parse-names" : false, "suffix" : "" }, { "dropping-particle" : "", "family" : "Last", "given" : "W.M.", "non-dropping-particle" : "", "parse-names" : false, "suffix" : "" } ], "id" : "ITEM-2", "issued" : { "date-parts" : [ [ "2002" ] ] }, "page" : "5-32", "publisher" : "Kluwer Academic", "publisher-place" : "Dordrecht, The Netherlands", "title" : "Pollen", "type" : "chapter" }, "uris" : [ "http://www.mendeley.com/documents/?uuid=4ef30206-3b04-4af0-9d70-dd6ddce8ca60" ] } ], "mendeley" : { "formattedCitation" : "(Bennett and Willis, 2002; Faegri and Iversen, 1989)", "plainTextFormattedCitation" : "(Bennett and Willis, 2002; Faegri and Iversen, 1989)", "previouslyFormattedCitation" : "(Bennett and Willis, 2002; Faegri and Iversen, 1989)"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(Bennett and Willis, 2002; Faegri and Iversen, 1989)</w:t>
      </w:r>
      <w:r w:rsidRPr="008736A7">
        <w:rPr>
          <w:rFonts w:ascii="Times New Roman" w:hAnsi="Times New Roman" w:cs="Times New Roman"/>
        </w:rPr>
        <w:fldChar w:fldCharType="end"/>
      </w:r>
      <w:r w:rsidRPr="008736A7">
        <w:rPr>
          <w:rFonts w:ascii="Times New Roman" w:hAnsi="Times New Roman" w:cs="Times New Roman"/>
        </w:rPr>
        <w:t xml:space="preserve">, including an additional sieving stage to concentrate large cultigen pollen types, such as </w:t>
      </w:r>
      <w:r w:rsidRPr="008736A7">
        <w:rPr>
          <w:rFonts w:ascii="Times New Roman" w:hAnsi="Times New Roman" w:cs="Times New Roman"/>
          <w:i/>
        </w:rPr>
        <w:t xml:space="preserve">Z. mays </w:t>
      </w:r>
      <w:r w:rsidRPr="008736A7">
        <w:rPr>
          <w:rFonts w:ascii="Times New Roman" w:hAnsi="Times New Roman" w:cs="Times New Roman"/>
          <w:i/>
        </w:rPr>
        <w:fldChar w:fldCharType="begin" w:fldLock="1"/>
      </w:r>
      <w:r w:rsidRPr="008736A7">
        <w:rPr>
          <w:rFonts w:ascii="Times New Roman" w:hAnsi="Times New Roman" w:cs="Times New Roman"/>
          <w:i/>
        </w:rPr>
        <w:instrText>ADDIN CSL_CITATION { "citationItems" : [ { "id" : "ITEM-1", "itemData" : { "ISSN" : "0959-6836", "author" : [ { "dropping-particle" : "", "family" : "Whitney", "given" : "B. S.", "non-dropping-particle" : "", "parse-names" : false, "suffix" : "" }, { "dropping-particle" : "", "family" : "Rushton", "given" : "E. a.", "non-dropping-particle" : "", "parse-names" : false, "suffix" : "" }, { "dropping-particle" : "", "family" : "Carson", "given" : "J. F.", "non-dropping-particle" : "", "parse-names" : false, "suffix" : "" }, { "dropping-particle" : "", "family" : "Iriarte", "given" : "J.", "non-dropping-particle" : "", "parse-names" : false, "suffix" : "" }, { "dropping-particle" : "", "family" : "Mayle", "given" : "F. E.", "non-dropping-particle" : "", "parse-names" : false, "suffix" : "" } ], "container-title" : "The Holocene", "id" : "ITEM-1", "issued" : { "date-parts" : [ [ "2012", "3", "19" ] ] }, "page" : "1087-1096", "title" : "An improved methodology for the recovery of Zea mays and other large crop pollen, with implications for environmental archaeology in the Neotropics", "type" : "article-journal", "volume" : "22" }, "uris" : [ "http://www.mendeley.com/documents/?uuid=9ef7f7b3-1123-45c7-97b6-dd9e9c91168e" ] } ], "mendeley" : { "formattedCitation" : "(Whitney et al., 2012)", "plainTextFormattedCitation" : "(Whitney et al., 2012)", "previouslyFormattedCitation" : "(Whitney et al., 2012)" }, "properties" : { "noteIndex" : 0 }, "schema" : "https://github.com/citation-style-language/schema/raw/master/csl-citation.json" }</w:instrText>
      </w:r>
      <w:r w:rsidRPr="008736A7">
        <w:rPr>
          <w:rFonts w:ascii="Times New Roman" w:hAnsi="Times New Roman" w:cs="Times New Roman"/>
          <w:i/>
        </w:rPr>
        <w:fldChar w:fldCharType="separate"/>
      </w:r>
      <w:r w:rsidRPr="008736A7">
        <w:rPr>
          <w:rFonts w:ascii="Times New Roman" w:hAnsi="Times New Roman" w:cs="Times New Roman"/>
          <w:noProof/>
        </w:rPr>
        <w:t>(Whitney et al., 2012)</w:t>
      </w:r>
      <w:r w:rsidRPr="008736A7">
        <w:rPr>
          <w:rFonts w:ascii="Times New Roman" w:hAnsi="Times New Roman" w:cs="Times New Roman"/>
          <w:i/>
        </w:rPr>
        <w:fldChar w:fldCharType="end"/>
      </w:r>
      <w:r w:rsidRPr="008736A7">
        <w:rPr>
          <w:rFonts w:ascii="Times New Roman" w:hAnsi="Times New Roman" w:cs="Times New Roman"/>
        </w:rPr>
        <w:t xml:space="preserve">. Large pollen grains (&gt; 53 μm), concentrated through the fine-sieving methodology are scanned for </w:t>
      </w:r>
      <w:r w:rsidRPr="008736A7">
        <w:rPr>
          <w:rFonts w:ascii="Times New Roman" w:hAnsi="Times New Roman" w:cs="Times New Roman"/>
          <w:i/>
        </w:rPr>
        <w:t>Z. mays</w:t>
      </w:r>
      <w:r w:rsidRPr="008736A7">
        <w:rPr>
          <w:rFonts w:ascii="Times New Roman" w:hAnsi="Times New Roman" w:cs="Times New Roman"/>
        </w:rPr>
        <w:t xml:space="preserve"> and other crop taxa producing large pollen, such as </w:t>
      </w:r>
      <w:r w:rsidRPr="008736A7">
        <w:rPr>
          <w:rFonts w:ascii="Times New Roman" w:hAnsi="Times New Roman" w:cs="Times New Roman"/>
          <w:i/>
        </w:rPr>
        <w:t>Manihot esculenta</w:t>
      </w:r>
      <w:r w:rsidRPr="008736A7">
        <w:rPr>
          <w:rFonts w:ascii="Times New Roman" w:hAnsi="Times New Roman" w:cs="Times New Roman"/>
        </w:rPr>
        <w:t xml:space="preserve"> and </w:t>
      </w:r>
      <w:r w:rsidRPr="008736A7">
        <w:rPr>
          <w:rFonts w:ascii="Times New Roman" w:hAnsi="Times New Roman" w:cs="Times New Roman"/>
          <w:i/>
        </w:rPr>
        <w:t>Ipomoea batatas</w:t>
      </w:r>
      <w:r w:rsidRPr="008736A7">
        <w:rPr>
          <w:rFonts w:ascii="Times New Roman" w:hAnsi="Times New Roman" w:cs="Times New Roman"/>
        </w:rPr>
        <w:t xml:space="preserve">. </w:t>
      </w:r>
      <w:r w:rsidRPr="008736A7">
        <w:rPr>
          <w:rFonts w:ascii="Times New Roman" w:hAnsi="Times New Roman" w:cs="Times New Roman"/>
          <w:i/>
        </w:rPr>
        <w:t>Z. mays</w:t>
      </w:r>
      <w:r w:rsidRPr="008736A7">
        <w:rPr>
          <w:rFonts w:ascii="Times New Roman" w:hAnsi="Times New Roman" w:cs="Times New Roman"/>
        </w:rPr>
        <w:t xml:space="preserve"> pollen grains (&gt;70 µm) are identified using the criteria outlined in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"abstract" : "We examined pollen grains and starch granules from a large number of modern populations of teosinte (wild Zea spp.), maize (Zea mays L.), and closely related grasses in the genus Tripsacum to assess their strengths and weaknesses in studying the origins and early dispersals of maize in its Mesoamerican cradle of origin. We report new diagnostic criteria and question the accuracy of others used previously by investigators to identify ancient maize where its wild ancestor, teosinte, is native. Pollen grains from teosinte overlap in size with those of maize to a much greater degree than previously reported, making the differentiation of wild and domesticated maize in palynological studies difficult. There is presently no valid method for separating maize and teosinte pollen on a morphological basis. Starch grain analysis, a recently developed tool of archaeobotany, appears to be of significant utility in distinguishing the seeds of teosinte from maize. We propose that the differences in starch grain morphology and size between wild and domesticated maize defined in this study may be associated with domestication genes in Zea that have been documented in the starch biosynthesis pathway. As previously reported, phytoliths effectively discriminate the female reproductive structures of Tripsacum, teosinte, and maize. Multiproxy microfossil studies of archaeological and paleoecological contexts appear to be effective tools for investigating the earliest stages of maize domestication and dispersals.", "author" : [ { "dropping-particle" : "", "family" : "Holst", "given" : "Irene", "non-dropping-particle" : "", "parse-names" : false, "suffix" : "" }, { "dropping-particle" : "", "family" : "Moreno", "given" : "J Enrique", "non-dropping-particle" : "", "parse-names" : false, "suffix" : "" }, { "dropping-particle" : "", "family" : "Piperno", "given" : "Dolores R", "non-dropping-particle" : "", "parse-names" : false, "suffix" : "" } ], "container-title" : "Proceedings of the National Academy of Sciences of the United States of America", "id" : "ITEM-1", "issue" : "45", "issued" : { "date-parts" : [ [ "2007", "11", "6" ] ] }, "page" : "17608-13", "title" : "Identification of teosinte, maize, and Tripsacum in Mesoamerica by using pollen, starch grains, and phytoliths.", "type" : "article-journal", "volume" : "104" }, "uris" : [ "http://www.mendeley.com/documents/?uuid=6034ca33-b456-4781-b737-4d659b93abad" ] } ], "mendeley" : { "formattedCitation" : "(Holst et al., 2007)", "manualFormatting" : "Holst et al. (2007)", "plainTextFormattedCitation" : "(Holst et al., 2007)", "previouslyFormattedCitation" : "(Holst et al., 2007)"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Holst et al. (2007)</w:t>
      </w:r>
      <w:r w:rsidRPr="008736A7">
        <w:rPr>
          <w:rFonts w:ascii="Times New Roman" w:hAnsi="Times New Roman" w:cs="Times New Roman"/>
        </w:rPr>
        <w:fldChar w:fldCharType="end"/>
      </w:r>
      <w:r w:rsidRPr="008736A7">
        <w:rPr>
          <w:rFonts w:ascii="Times New Roman" w:hAnsi="Times New Roman" w:cs="Times New Roman"/>
        </w:rPr>
        <w:t xml:space="preserve">,  </w:t>
      </w:r>
      <w:r w:rsidRPr="008736A7">
        <w:rPr>
          <w:rFonts w:ascii="Times New Roman" w:eastAsia="Times New Roman" w:hAnsi="Times New Roman" w:cs="Times New Roman"/>
        </w:rPr>
        <w:t xml:space="preserve">which is based on both maize grain size (&gt; 53 </w:t>
      </w:r>
      <w:r w:rsidRPr="008736A7">
        <w:rPr>
          <w:rFonts w:ascii="Times New Roman" w:hAnsi="Times New Roman" w:cs="Times New Roman"/>
        </w:rPr>
        <w:t>µm</w:t>
      </w:r>
      <w:r w:rsidRPr="008736A7">
        <w:rPr>
          <w:rFonts w:ascii="Times New Roman" w:eastAsia="Times New Roman" w:hAnsi="Times New Roman" w:cs="Times New Roman"/>
        </w:rPr>
        <w:t xml:space="preserve">) and a uniform distribution of intertectile columellae as viewed under phase contrast at 1000x magnification to distinguish them from the large pollen grains of the wild grass </w:t>
      </w:r>
      <w:r w:rsidRPr="008736A7">
        <w:rPr>
          <w:rFonts w:ascii="Times New Roman" w:eastAsia="Times New Roman" w:hAnsi="Times New Roman" w:cs="Times New Roman"/>
          <w:i/>
        </w:rPr>
        <w:t>Tripsacum</w:t>
      </w:r>
      <w:r w:rsidRPr="008736A7">
        <w:rPr>
          <w:rFonts w:ascii="Times New Roman" w:eastAsia="Times New Roman" w:hAnsi="Times New Roman" w:cs="Times New Roman"/>
        </w:rPr>
        <w:t xml:space="preserve"> sp.  All grains displayed the diagnostic patterning </w:t>
      </w:r>
      <w:r w:rsidRPr="008736A7">
        <w:rPr>
          <w:rFonts w:ascii="Times New Roman" w:eastAsia="Times New Roman" w:hAnsi="Times New Roman" w:cs="Times New Roman"/>
        </w:rPr>
        <w:fldChar w:fldCharType="begin" w:fldLock="1"/>
      </w:r>
      <w:r w:rsidRPr="008736A7">
        <w:rPr>
          <w:rFonts w:ascii="Times New Roman" w:eastAsia="Times New Roman" w:hAnsi="Times New Roman" w:cs="Times New Roman"/>
        </w:rPr>
        <w:instrText>ADDIN CSL_CITATION { "citationItems" : [ { "id" : "ITEM-1", "itemData" : { "abstract" : "We examined pollen grains and starch granules from a large number of modern populations of teosinte (wild Zea spp.), maize (Zea mays L.), and closely related grasses in the genus Tripsacum to assess their strengths and weaknesses in studying the origins and early dispersals of maize in its Mesoamerican cradle of origin. We report new diagnostic criteria and question the accuracy of others used previously by investigators to identify ancient maize where its wild ancestor, teosinte, is native. Pollen grains from teosinte overlap in size with those of maize to a much greater degree than previously reported, making the differentiation of wild and domesticated maize in palynological studies difficult. There is presently no valid method for separating maize and teosinte pollen on a morphological basis. Starch grain analysis, a recently developed tool of archaeobotany, appears to be of significant utility in distinguishing the seeds of teosinte from maize. We propose that the differences in starch grain morphology and size between wild and domesticated maize defined in this study may be associated with domestication genes in Zea that have been documented in the starch biosynthesis pathway. As previously reported, phytoliths effectively discriminate the female reproductive structures of Tripsacum, teosinte, and maize. Multiproxy microfossil studies of archaeological and paleoecological contexts appear to be effective tools for investigating the earliest stages of maize domestication and dispersals.", "author" : [ { "dropping-particle" : "", "family" : "Holst", "given" : "Irene", "non-dropping-particle" : "", "parse-names" : false, "suffix" : "" }, { "dropping-particle" : "", "family" : "Moreno", "given" : "J Enrique", "non-dropping-particle" : "", "parse-names" : false, "suffix" : "" }, { "dropping-particle" : "", "family" : "Piperno", "given" : "Dolores R", "non-dropping-particle" : "", "parse-names" : false, "suffix" : "" } ], "container-title" : "Proceedings of the National Academy of Sciences of the United States of America", "id" : "ITEM-1", "issue" : "45", "issued" : { "date-parts" : [ [ "2007", "11", "6" ] ] }, "page" : "17608-13", "title" : "Identification of teosinte, maize, and Tripsacum in Mesoamerica by using pollen, starch grains, and phytoliths.", "type" : "article-journal", "volume" : "104" }, "uris" : [ "http://www.mendeley.com/documents/?uuid=6034ca33-b456-4781-b737-4d659b93abad" ] } ], "mendeley" : { "formattedCitation" : "(Holst et al., 2007)", "plainTextFormattedCitation" : "(Holst et al., 2007)", "previouslyFormattedCitation" : "(Holst et al., 2007)" }, "properties" : { "noteIndex" : 0 }, "schema" : "https://github.com/citation-style-language/schema/raw/master/csl-citation.json" }</w:instrText>
      </w:r>
      <w:r w:rsidRPr="008736A7">
        <w:rPr>
          <w:rFonts w:ascii="Times New Roman" w:eastAsia="Times New Roman" w:hAnsi="Times New Roman" w:cs="Times New Roman"/>
        </w:rPr>
        <w:fldChar w:fldCharType="separate"/>
      </w:r>
      <w:r w:rsidRPr="008736A7">
        <w:rPr>
          <w:rFonts w:ascii="Times New Roman" w:eastAsia="Times New Roman" w:hAnsi="Times New Roman" w:cs="Times New Roman"/>
          <w:noProof/>
        </w:rPr>
        <w:t>(Holst et al., 2007)</w:t>
      </w:r>
      <w:r w:rsidRPr="008736A7">
        <w:rPr>
          <w:rFonts w:ascii="Times New Roman" w:eastAsia="Times New Roman" w:hAnsi="Times New Roman" w:cs="Times New Roman"/>
        </w:rPr>
        <w:fldChar w:fldCharType="end"/>
      </w:r>
      <w:r w:rsidRPr="008736A7">
        <w:rPr>
          <w:rFonts w:ascii="Times New Roman" w:eastAsia="Times New Roman" w:hAnsi="Times New Roman" w:cs="Times New Roman"/>
        </w:rPr>
        <w:t xml:space="preserve">, measuring 62-80 </w:t>
      </w:r>
      <w:r w:rsidRPr="008736A7">
        <w:rPr>
          <w:rFonts w:ascii="Times New Roman" w:hAnsi="Times New Roman" w:cs="Times New Roman"/>
        </w:rPr>
        <w:t>µm</w:t>
      </w:r>
      <w:r w:rsidRPr="008736A7">
        <w:rPr>
          <w:rFonts w:ascii="Times New Roman" w:eastAsia="Times New Roman" w:hAnsi="Times New Roman" w:cs="Times New Roman"/>
        </w:rPr>
        <w:t xml:space="preserve"> (most grains measured 75</w:t>
      </w:r>
      <w:r w:rsidRPr="008736A7">
        <w:rPr>
          <w:rFonts w:ascii="Times New Roman" w:hAnsi="Times New Roman" w:cs="Times New Roman"/>
        </w:rPr>
        <w:t xml:space="preserve"> µm</w:t>
      </w:r>
      <w:r w:rsidRPr="008736A7">
        <w:rPr>
          <w:rFonts w:ascii="Times New Roman" w:eastAsia="Times New Roman" w:hAnsi="Times New Roman" w:cs="Times New Roman"/>
        </w:rPr>
        <w:t xml:space="preserve"> and above). Three slides are counted per sample.</w:t>
      </w:r>
      <w:r w:rsidRPr="008736A7">
        <w:rPr>
          <w:rFonts w:ascii="Times New Roman" w:eastAsia="Times New Roman" w:hAnsi="Times New Roman" w:cs="Times New Roman"/>
          <w:i/>
        </w:rPr>
        <w:t xml:space="preserve"> </w:t>
      </w:r>
    </w:p>
    <w:p w:rsidR="0051743E" w:rsidRDefault="0051743E" w:rsidP="00090084">
      <w:pPr>
        <w:pStyle w:val="BodyText"/>
        <w:spacing w:line="215" w:lineRule="auto"/>
        <w:ind w:right="150" w:firstLine="199"/>
        <w:jc w:val="both"/>
        <w:rPr>
          <w:rFonts w:ascii="Times New Roman" w:eastAsia="Times New Roman" w:hAnsi="Times New Roman" w:cs="Times New Roman"/>
          <w:i/>
        </w:rPr>
      </w:pPr>
    </w:p>
    <w:p w:rsidR="0051743E" w:rsidRPr="00090084" w:rsidRDefault="0051743E" w:rsidP="00090084">
      <w:pPr>
        <w:pStyle w:val="BodyText"/>
        <w:spacing w:line="215" w:lineRule="auto"/>
        <w:ind w:right="150"/>
        <w:jc w:val="both"/>
        <w:rPr>
          <w:rFonts w:ascii="Times New Roman" w:hAnsi="Times New Roman" w:cs="Times New Roman"/>
          <w:b/>
        </w:rPr>
      </w:pPr>
      <w:r w:rsidRPr="00090084">
        <w:rPr>
          <w:rFonts w:ascii="Times New Roman" w:eastAsia="Times New Roman" w:hAnsi="Times New Roman" w:cs="Times New Roman"/>
          <w:b/>
        </w:rPr>
        <w:t>2.</w:t>
      </w:r>
      <w:r w:rsidR="00090084" w:rsidRPr="00090084">
        <w:rPr>
          <w:rFonts w:ascii="Times New Roman" w:eastAsia="Times New Roman" w:hAnsi="Times New Roman" w:cs="Times New Roman"/>
          <w:b/>
        </w:rPr>
        <w:t xml:space="preserve">5 </w:t>
      </w:r>
      <w:r w:rsidR="00705EBE" w:rsidRPr="00090084">
        <w:rPr>
          <w:rFonts w:ascii="Times New Roman" w:hAnsi="Times New Roman" w:cs="Times New Roman"/>
          <w:b/>
        </w:rPr>
        <w:t>Charcoal analysis</w:t>
      </w:r>
    </w:p>
    <w:p w:rsidR="00090084" w:rsidRDefault="00090084" w:rsidP="00090084">
      <w:pPr>
        <w:pStyle w:val="BodyText"/>
        <w:spacing w:line="215" w:lineRule="auto"/>
        <w:ind w:right="150" w:firstLine="199"/>
        <w:jc w:val="both"/>
        <w:rPr>
          <w:rFonts w:ascii="Times New Roman" w:hAnsi="Times New Roman" w:cs="Times New Roman"/>
          <w:i/>
        </w:rPr>
      </w:pPr>
    </w:p>
    <w:p w:rsidR="0051743E"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Sediment samples are analyzed for charcoal pieces greater than 125 µm using a modified macroscopic sieving method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"Brown", "given" : "K J", "non-dropping-particle" : "", "parse-names" : false, "suffix" : "" }, { "dropping-particle" : "", "family" : "Power", "given" : "M J", "non-dropping-particle" : "", "parse-names" : false, "suffix" : "" } ], "container-title" : "The Encyclopedia of Quaternary Science", "edition" : "2", "id" : "ITEM-1", "issued" : { "date-parts" : [ [ "2013" ] ] }, "page" : "716-729", "publisher" : "Elsevier", "publisher-place" : "Amsterdam, The Netherlands", "title" : "Charred particle analyses.", "type" : "chapter" }, "uris" : [ "http://www.mendeley.com/documents/?uuid=11bb1738-015d-4dbe-a974-2e039898f997" ] }, { "id" : "ITEM-2", "itemData" : { "ISBN" : "1402006810", "author" : [ { "dropping-particle" : "", "family" : "Whitlock", "given" : "Cathy", "non-dropping-particle" : "", "parse-names" : false, "suffix" : "" }, { "dropping-particle" : "", "family" : "Larsen", "given" : "Chris", "non-dropping-particle" : "", "parse-names" : false, "suffix" : "" } ], "container-title" : "Tracking environmental change using lake sediments", "id" : "ITEM-2", "issued" : { "date-parts" : [ [ "2001" ] ] }, "page" : "75-97", "publisher" : "Kluwer Academic Publishers", "publisher-place" : "Dordrecht, The Netherlands", "title" : "Charcoal as a fire proxy", "type" : "chapter" }, "uris" : [ "http://www.mendeley.com/documents/?uuid=323947b0-4fd6-45e8-83b7-2da2455ec514" ] } ], "mendeley" : { "formattedCitation" : "(Brown and Power, 2013; Whitlock and Larsen, 2001)", "plainTextFormattedCitation" : "(Brown and Power, 2013; Whitlock and Larsen, 2001)", "previouslyFormattedCitation" : "(Brown and Power, 2013; Whitlock and Larsen, 2001)"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(Brown and Power, 2013; Whitlock and Larsen, 2001)</w:t>
      </w:r>
      <w:r w:rsidRPr="008736A7">
        <w:rPr>
          <w:rFonts w:ascii="Times New Roman" w:hAnsi="Times New Roman" w:cs="Times New Roman"/>
        </w:rPr>
        <w:fldChar w:fldCharType="end"/>
      </w:r>
      <w:r w:rsidRPr="008736A7">
        <w:rPr>
          <w:rFonts w:ascii="Times New Roman" w:hAnsi="Times New Roman" w:cs="Times New Roman"/>
        </w:rPr>
        <w:t>. Charcoal is analyzed in contiguous 1 cm intervals for the entire length of the sediment core at 1 cm</w:t>
      </w:r>
      <w:r w:rsidRPr="008736A7">
        <w:rPr>
          <w:rFonts w:ascii="Times New Roman" w:hAnsi="Times New Roman" w:cs="Times New Roman"/>
          <w:vertAlign w:val="superscript"/>
        </w:rPr>
        <w:t>3</w:t>
      </w:r>
      <w:r w:rsidRPr="008736A7">
        <w:rPr>
          <w:rFonts w:ascii="Times New Roman" w:hAnsi="Times New Roman" w:cs="Times New Roman"/>
        </w:rPr>
        <w:t xml:space="preserve"> volume.  Samples are treated with 5% potassium hydroxide in a hot water bath for 15 minutes.  The residue is sieved through a 125 µm sieve. Macroscopic charcoal (particles &gt;125 μm in minimum diameter) is counted in a gridded petri dish at 40× magnification under a dissecting microscope. Charcoal counts are converted to charcoal influx (number of charcoal particles cm </w:t>
      </w:r>
      <w:r w:rsidRPr="008736A7">
        <w:rPr>
          <w:rFonts w:ascii="Times New Roman" w:hAnsi="Times New Roman" w:cs="Times New Roman"/>
          <w:vertAlign w:val="superscript"/>
        </w:rPr>
        <w:t xml:space="preserve">-2 </w:t>
      </w:r>
      <w:r w:rsidRPr="008736A7">
        <w:rPr>
          <w:rFonts w:ascii="Times New Roman" w:hAnsi="Times New Roman" w:cs="Times New Roman"/>
        </w:rPr>
        <w:t xml:space="preserve">yr </w:t>
      </w:r>
      <w:r w:rsidRPr="008736A7">
        <w:rPr>
          <w:rFonts w:ascii="Times New Roman" w:hAnsi="Times New Roman" w:cs="Times New Roman"/>
          <w:vertAlign w:val="superscript"/>
        </w:rPr>
        <w:t>-1</w:t>
      </w:r>
      <w:r w:rsidRPr="008736A7">
        <w:rPr>
          <w:rFonts w:ascii="Times New Roman" w:hAnsi="Times New Roman" w:cs="Times New Roman"/>
        </w:rPr>
        <w:t xml:space="preserve">) and charcoal accumulation rates by dividing by the deposition time (yr cm </w:t>
      </w:r>
      <w:r w:rsidRPr="008736A7">
        <w:rPr>
          <w:rFonts w:ascii="Times New Roman" w:hAnsi="Times New Roman" w:cs="Times New Roman"/>
          <w:vertAlign w:val="superscript"/>
        </w:rPr>
        <w:t>-1</w:t>
      </w:r>
      <w:r w:rsidRPr="008736A7">
        <w:rPr>
          <w:rFonts w:ascii="Times New Roman" w:hAnsi="Times New Roman" w:cs="Times New Roman"/>
        </w:rPr>
        <w:t xml:space="preserve">). Charcoal influx data (particles per cm </w:t>
      </w:r>
      <w:r w:rsidRPr="008736A7">
        <w:rPr>
          <w:rFonts w:ascii="Times New Roman" w:hAnsi="Times New Roman" w:cs="Times New Roman"/>
          <w:vertAlign w:val="superscript"/>
        </w:rPr>
        <w:t xml:space="preserve">-2 </w:t>
      </w:r>
      <w:r w:rsidRPr="008736A7">
        <w:rPr>
          <w:rFonts w:ascii="Times New Roman" w:hAnsi="Times New Roman" w:cs="Times New Roman"/>
        </w:rPr>
        <w:t xml:space="preserve">yr </w:t>
      </w:r>
      <w:r w:rsidRPr="008736A7">
        <w:rPr>
          <w:rFonts w:ascii="Times New Roman" w:hAnsi="Times New Roman" w:cs="Times New Roman"/>
          <w:vertAlign w:val="superscript"/>
        </w:rPr>
        <w:t>-1</w:t>
      </w:r>
      <w:r w:rsidRPr="008736A7">
        <w:rPr>
          <w:rFonts w:ascii="Times New Roman" w:hAnsi="Times New Roman" w:cs="Times New Roman"/>
        </w:rPr>
        <w:t xml:space="preserve">) is used as an indicator of </w:t>
      </w:r>
      <w:r w:rsidRPr="008736A7">
        <w:rPr>
          <w:rFonts w:ascii="Times New Roman" w:hAnsi="Times New Roman" w:cs="Times New Roman"/>
          <w:i/>
        </w:rPr>
        <w:t xml:space="preserve">fire severity </w:t>
      </w:r>
      <w:r w:rsidRPr="008736A7">
        <w:rPr>
          <w:rFonts w:ascii="Times New Roman" w:hAnsi="Times New Roman" w:cs="Times New Roman"/>
        </w:rPr>
        <w:t xml:space="preserve">(the amount of biomass consumed during a fire episode or period of increased burning). </w:t>
      </w:r>
    </w:p>
    <w:p w:rsidR="0051743E" w:rsidRDefault="0051743E" w:rsidP="00090084">
      <w:pPr>
        <w:pStyle w:val="BodyText"/>
        <w:spacing w:line="215" w:lineRule="auto"/>
        <w:ind w:right="150" w:firstLine="199"/>
        <w:jc w:val="both"/>
        <w:rPr>
          <w:rFonts w:ascii="Times New Roman" w:hAnsi="Times New Roman" w:cs="Times New Roman"/>
        </w:rPr>
      </w:pPr>
    </w:p>
    <w:p w:rsidR="0051743E" w:rsidRPr="00090084" w:rsidRDefault="0051743E"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2.</w:t>
      </w:r>
      <w:r w:rsidR="00090084" w:rsidRPr="00090084">
        <w:rPr>
          <w:rFonts w:ascii="Times New Roman" w:hAnsi="Times New Roman" w:cs="Times New Roman"/>
          <w:b/>
        </w:rPr>
        <w:t xml:space="preserve">6 </w:t>
      </w:r>
      <w:r w:rsidR="00705EBE" w:rsidRPr="00090084">
        <w:rPr>
          <w:rFonts w:ascii="Times New Roman" w:hAnsi="Times New Roman" w:cs="Times New Roman"/>
          <w:b/>
        </w:rPr>
        <w:t>Statistical methods</w:t>
      </w:r>
      <w:r w:rsidRPr="00090084">
        <w:rPr>
          <w:rFonts w:ascii="Times New Roman" w:hAnsi="Times New Roman" w:cs="Times New Roman"/>
          <w:b/>
        </w:rPr>
        <w:t xml:space="preserve"> </w:t>
      </w:r>
    </w:p>
    <w:p w:rsidR="00090084" w:rsidRPr="00090084" w:rsidRDefault="00090084" w:rsidP="00090084">
      <w:pPr>
        <w:pStyle w:val="BodyText"/>
        <w:spacing w:line="215" w:lineRule="auto"/>
        <w:ind w:right="150" w:firstLine="199"/>
        <w:jc w:val="both"/>
        <w:rPr>
          <w:rFonts w:ascii="Times New Roman" w:hAnsi="Times New Roman" w:cs="Times New Roman"/>
          <w:b/>
          <w:i/>
        </w:rPr>
      </w:pPr>
    </w:p>
    <w:p w:rsidR="00090084" w:rsidRDefault="00705EBE" w:rsidP="00090084">
      <w:pPr>
        <w:pStyle w:val="BodyText"/>
        <w:spacing w:line="215" w:lineRule="auto"/>
        <w:ind w:right="150" w:firstLine="199"/>
        <w:jc w:val="both"/>
        <w:rPr>
          <w:rFonts w:ascii="Times New Roman" w:hAnsi="Times New Roman" w:cs="Times New Roman"/>
        </w:rPr>
      </w:pPr>
      <w:r w:rsidRPr="0051743E">
        <w:rPr>
          <w:rFonts w:ascii="Times New Roman" w:hAnsi="Times New Roman" w:cs="Times New Roman"/>
        </w:rPr>
        <w:t xml:space="preserve">To aid in the interpretation of charcoal influx data, a regime shift detection algorithm (RSI) based on a sequential t-test is applied to determine where statistically significant shifts in the charcoal influx data occur  </w:t>
      </w:r>
      <w:r w:rsidRPr="0051743E">
        <w:rPr>
          <w:rFonts w:ascii="Times New Roman" w:hAnsi="Times New Roman" w:cs="Times New Roman"/>
        </w:rPr>
        <w:fldChar w:fldCharType="begin" w:fldLock="1"/>
      </w:r>
      <w:r w:rsidRPr="0051743E">
        <w:rPr>
          <w:rFonts w:ascii="Times New Roman" w:hAnsi="Times New Roman" w:cs="Times New Roman"/>
        </w:rPr>
        <w:instrText>ADDIN CSL_CITATION { "citationItems" : [ { "id" : "ITEM-1", "itemData" : { "ISSN" : "1054-3139", "author" : [ { "dropping-particle" : "", "family" : "Rodionov", "given" : "Sergei", "non-dropping-particle" : "", "parse-names" : false, "suffix" : "" }, { "dropping-particle" : "", "family" : "Overland", "given" : "James E", "non-dropping-particle" : "", "parse-names" : false, "suffix" : "" } ], "container-title" : "ICES Journal of Marine Science: Journal du Conseil", "id" : "ITEM-1", "issue" : "3", "issued" : { "date-parts" : [ [ "2005" ] ] }, "page" : "328-332", "publisher" : "Oxford University Press", "title" : "Application of a sequential regime shift detection method to the Bering Sea ecosystem", "type" : "article-journal", "volume" : "62" }, "uris" : [ "http://www.mendeley.com/documents/?uuid=3093b1ba-917e-4da6-a193-8007a3bc566b" ] }, { "id" : "ITEM-2", "itemData" : { "author" : [ { "dropping-particle" : "", "family" : "Rodionov", "given" : "Sergei N", "non-dropping-particle" : "", "parse-names" : false, "suffix" : "" } ], "container-title" : "Large-Scale Disturbances (Regime Shifts) and Recovery in Aquatic Ecosystems: Challenges for Management Toward Sustainability", "id" : "ITEM-2", "issued" : { "date-parts" : [ [ "2005" ] ] }, "page" : "68-72", "publisher" : "Citeseer", "title" : "A sequential method for detecting regime shifts in the mean and variance", "type" : "article-journal" }, "uris" : [ "http://www.mendeley.com/documents/?uuid=3bed7aed-7aac-48dc-aa5f-9f33b050ab21" ] }, { "id" : "ITEM-3", "itemData" : { "ISSN" : "1944-8007", "author" : [ { "dropping-particle" : "", "family" : "Rodionov", "given" : "Sergei N", "non-dropping-particle" : "", "parse-names" : false, "suffix" : "" } ], "container-title" : "Geophysical Research Letters", "id" : "ITEM-3", "issue" : "9", "issued" : { "date-parts" : [ [ "2004" ] ] }, "publisher" : "Wiley Online Library", "title" : "A sequential algorithm for testing climate regime shifts", "type" : "article-journal", "volume" : "31" }, "uris" : [ "http://www.mendeley.com/documents/?uuid=81e9f00b-92d9-4466-85e8-a8b438e64870" ] } ], "mendeley" : { "formattedCitation" : "(Rodionov and Overland, 2005; Rodionov, 2005, 2004)", "plainTextFormattedCitation" : "(Rodionov and Overland, 2005; Rodionov, 2005, 2004)", "previouslyFormattedCitation" : "(Rodionov and Overland, 2005; Rodionov, 2005, 2004)" }, "properties" : { "noteIndex" : 0 }, "schema" : "https://github.com/citation-style-language/schema/raw/master/csl-citation.json" }</w:instrText>
      </w:r>
      <w:r w:rsidRPr="0051743E">
        <w:rPr>
          <w:rFonts w:ascii="Times New Roman" w:hAnsi="Times New Roman" w:cs="Times New Roman"/>
        </w:rPr>
        <w:fldChar w:fldCharType="separate"/>
      </w:r>
      <w:r w:rsidRPr="0051743E">
        <w:rPr>
          <w:rFonts w:ascii="Times New Roman" w:hAnsi="Times New Roman" w:cs="Times New Roman"/>
          <w:noProof/>
        </w:rPr>
        <w:t>(Rodionov and Overland, 2005; Rodionov, 2005, 2004)</w:t>
      </w:r>
      <w:r w:rsidRPr="0051743E">
        <w:rPr>
          <w:rFonts w:ascii="Times New Roman" w:hAnsi="Times New Roman" w:cs="Times New Roman"/>
        </w:rPr>
        <w:fldChar w:fldCharType="end"/>
      </w:r>
      <w:r w:rsidRPr="0051743E">
        <w:rPr>
          <w:rFonts w:ascii="Times New Roman" w:hAnsi="Times New Roman" w:cs="Times New Roman"/>
        </w:rPr>
        <w:t xml:space="preserve">. Shifts are detected in both the mean fluctuations and the variance of raw charcoal counts. The algorithm for the variance is similar to that for the mean but based on a sequential F-test </w:t>
      </w:r>
      <w:r w:rsidRPr="0051743E">
        <w:rPr>
          <w:rFonts w:ascii="Times New Roman" w:hAnsi="Times New Roman" w:cs="Times New Roman"/>
        </w:rPr>
        <w:fldChar w:fldCharType="begin" w:fldLock="1"/>
      </w:r>
      <w:r w:rsidRPr="0051743E">
        <w:rPr>
          <w:rFonts w:ascii="Times New Roman" w:hAnsi="Times New Roman" w:cs="Times New Roman"/>
        </w:rPr>
        <w:instrText>ADDIN CSL_CITATION { "citationItems" : [ { "id" : "ITEM-1", "itemData" : { "author" : [ { "dropping-particle" : "", "family" : "Rodionov", "given" : "Sergei N", "non-dropping-particle" : "", "parse-names" : false, "suffix" : "" } ], "container-title" : "Large-Scale Disturbances (Regime Shifts) and Recovery in Aquatic Ecosystems: Challenges for Management Toward Sustainability", "id" : "ITEM-1", "issued" : { "date-parts" : [ [ "2005" ] ] }, "page" : "68-72", "publisher" : "Citeseer", "title" : "A sequential method for detecting regime shifts in the mean and variance", "type" : "article-journal" }, "uris" : [ "http://www.mendeley.com/documents/?uuid=3bed7aed-7aac-48dc-aa5f-9f33b050ab21" ] } ], "mendeley" : { "formattedCitation" : "(Rodionov, 2005)", "plainTextFormattedCitation" : "(Rodionov, 2005)", "previouslyFormattedCitation" : "(Rodionov, 2005)" }, "properties" : { "noteIndex" : 0 }, "schema" : "https://github.com/citation-style-language/schema/raw/master/csl-citation.json" }</w:instrText>
      </w:r>
      <w:r w:rsidRPr="0051743E">
        <w:rPr>
          <w:rFonts w:ascii="Times New Roman" w:hAnsi="Times New Roman" w:cs="Times New Roman"/>
        </w:rPr>
        <w:fldChar w:fldCharType="separate"/>
      </w:r>
      <w:r w:rsidRPr="0051743E">
        <w:rPr>
          <w:rFonts w:ascii="Times New Roman" w:hAnsi="Times New Roman" w:cs="Times New Roman"/>
          <w:noProof/>
        </w:rPr>
        <w:t>(Rodionov, 2005)</w:t>
      </w:r>
      <w:r w:rsidRPr="0051743E">
        <w:rPr>
          <w:rFonts w:ascii="Times New Roman" w:hAnsi="Times New Roman" w:cs="Times New Roman"/>
        </w:rPr>
        <w:fldChar w:fldCharType="end"/>
      </w:r>
      <w:r w:rsidRPr="0051743E">
        <w:rPr>
          <w:rFonts w:ascii="Times New Roman" w:hAnsi="Times New Roman" w:cs="Times New Roman"/>
        </w:rPr>
        <w:t xml:space="preserve">. RSI values are plotted against charcoal influx data to identify statistically significant changes in past fire regimes and interpreted as an indicator of changes in fire severity. </w:t>
      </w:r>
    </w:p>
    <w:p w:rsidR="00090084"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CHAR statistical software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"Higuera", "given" : "Philip E", "non-dropping-particle" : "", "parse-names" : false, "suffix" : "" }, { "dropping-particle" : "", "family" : "Brubaker", "given" : "Linda B", "non-dropping-particle" : "", "parse-names" : false, "suffix" : "" }, { "dropping-particle" : "", "family" : "Anderson", "given" : "Patricia M", "non-dropping-particle" : "", "parse-names" : false, "suffix" : "" }, { "dropping-particle" : "", "family" : "Feng", "given" : "Sheng Hu", "non-dropping-particle" : "", "parse-names" : false, "suffix" : "" }, { "dropping-particle" : "", "family" : "Brown, Thomas", "given" : "A", "non-dropping-particle" : "", "parse-names" : false, "suffix" : "" } ], "container-title" : "Ecological Monographs", "id" : "ITEM-1", "issued" : { "date-parts" : [ [ "2009" ] ] }, "page" : "201-219", "title" : "Vegetation mediated the impacts of postglacial climate change on fire regimes in the south-central Brooks Range, Alaska", "type" : "article-journal", "volume" : "79" }, "uris" : [ "http://www.mendeley.com/documents/?uuid=f8a74dfe-d7a6-405d-b52b-b7ed40e2c8c6" ] } ], "mendeley" : { "formattedCitation" : "(Higuera et al., 2009)", "plainTextFormattedCitation" : "(Higuera et al., 2009)", "previouslyFormattedCitation" : "(Higuera et al., 2009)"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(Higuera et al., 2009)</w:t>
      </w:r>
      <w:r w:rsidRPr="008736A7">
        <w:rPr>
          <w:rFonts w:ascii="Times New Roman" w:hAnsi="Times New Roman" w:cs="Times New Roman"/>
        </w:rPr>
        <w:fldChar w:fldCharType="end"/>
      </w:r>
      <w:r w:rsidRPr="008736A7">
        <w:rPr>
          <w:rFonts w:ascii="Times New Roman" w:hAnsi="Times New Roman" w:cs="Times New Roman"/>
        </w:rPr>
        <w:t xml:space="preserve"> is used to decompose charcoal data to identify distinct charcoal peaks based on a standard set of threshold criteria. The background component reflected the low-frequency portion of the CHAR series that varied in response to changes in the rate of total charcoal production and secondary charcoal transport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"02773791", "author" : [ { "dropping-particle" : "", "family" : "Higuera", "given" : "P", "non-dropping-particle" : "", "parse-names" : false, "suffix" : "" }, { "dropping-particle" : "", "family" : "Peters", "given" : "M", "non-dropping-particle" : "", "parse-names" : false, "suffix" : "" }, { "dropping-particle" : "", "family" : "Brubaker", "given" : "L", "non-dropping-particle" : "", "parse-names" : false, "suffix" : "" }, { "dropping-particle" : "", "family" : "Gavin", "given" : "D", "non-dropping-particle" : "", "parse-names" : false, "suffix" : "" } ], "container-title" : "Quaternary Science Reviews", "id" : "ITEM-1", "issued" : { "date-parts" : [ [ "2007", "7" ] ] }, "page" : "1790-1809", "title" : "Understanding the origin and analysis of sediment-charcoal records with a simulation model", "type" : "article-journal", "volume" : "26" }, "uris" : [ "http://www.mendeley.com/documents/?uuid=0d2923d6-14a7-48a0-bed7-fa61b0d8944f" ] } ], "mendeley" : { "formattedCitation" : "(Higuera et al., 2007)", "plainTextFormattedCitation" : "(Higuera et al., 2007)", "previouslyFormattedCitation" : "(Higuera et al., 2007)"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(Higuera et al., 2007)</w:t>
      </w:r>
      <w:r w:rsidRPr="008736A7">
        <w:rPr>
          <w:rFonts w:ascii="Times New Roman" w:hAnsi="Times New Roman" w:cs="Times New Roman"/>
        </w:rPr>
        <w:fldChar w:fldCharType="end"/>
      </w:r>
      <w:r w:rsidRPr="008736A7">
        <w:rPr>
          <w:rFonts w:ascii="Times New Roman" w:hAnsi="Times New Roman" w:cs="Times New Roman"/>
        </w:rPr>
        <w:t xml:space="preserve">.  Background charcoal is modeled using a curve-fitting algorithm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"1049-8001", "author" : [ { "dropping-particle" : "", "family" : "Higuera", "given" : "Philip E.", "non-dropping-particle" : "", "parse-names" : false, "suffix" : "" }, { "dropping-particle" : "", "family" : "Gavin", "given" : "Daniel G.", "non-dropping-particle" : "", "parse-names" : false, "suffix" : "" }, { "dropping-particle" : "", "family" : "Bartlein", "given" : "Patrick J.", "non-dropping-particle" : "", "parse-names" : false, "suffix" : "" }, { "dropping-particle" : "", "family" : "Hallett", "given" : "Douglas J.", "non-dropping-particle" : "", "parse-names" : false, "suffix" : "" } ], "container-title" : "International Journal of Wildland Fire", "id" : "ITEM-1", "issue" : "8", "issued" : { "date-parts" : [ [ "2010" ] ] }, "page" : "996", "title" : "Peak detection in sediment\u2013charcoal records: impacts of alternative data analysis methods on fire-history interpretations", "type" : "article-journal", "volume" : "19" }, "uris" : [ "http://www.mendeley.com/documents/?uuid=44e4ced5-52da-4d7c-a019-2f9ee7c8774b" ] } ], "mendeley" : { "formattedCitation" : "(Higuera et al., 2010)", "plainTextFormattedCitation" : "(Higuera et al., 2010)", "previouslyFormattedCitation" : "(Higuera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(Higuera et al., 2010)</w:t>
      </w:r>
      <w:r w:rsidRPr="008736A7">
        <w:rPr>
          <w:rFonts w:ascii="Times New Roman" w:hAnsi="Times New Roman" w:cs="Times New Roman"/>
        </w:rPr>
        <w:fldChar w:fldCharType="end"/>
      </w:r>
      <w:r w:rsidRPr="008736A7">
        <w:rPr>
          <w:rFonts w:ascii="Times New Roman" w:hAnsi="Times New Roman" w:cs="Times New Roman"/>
        </w:rPr>
        <w:t xml:space="preserve">. If charcoal influxes exceed the background threshold, they are considered a peak. Charcoal peaks are interpreted as a </w:t>
      </w:r>
      <w:r w:rsidRPr="008736A7">
        <w:rPr>
          <w:rFonts w:ascii="Times New Roman" w:hAnsi="Times New Roman" w:cs="Times New Roman"/>
          <w:i/>
        </w:rPr>
        <w:t>fire episode</w:t>
      </w:r>
      <w:r w:rsidRPr="008736A7">
        <w:rPr>
          <w:rFonts w:ascii="Times New Roman" w:hAnsi="Times New Roman" w:cs="Times New Roman"/>
        </w:rPr>
        <w:t xml:space="preserve"> (a period of increased burning) because they cannot unambiguously be related to a single event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"Brown", "given" : "K J", "non-dropping-particle" : "", "parse-names" : false, "suffix" : "" }, { "dropping-particle" : "", "family" : "Power", "given" : "M J", "non-dropping-particle" : "", "parse-names" : false, "suffix" : "" } ], "container-title" : "The Encyclopedia of Quaternary Science", "edition" : "2", "id" : "ITEM-1", "issued" : { "date-parts" : [ [ "2013" ] ] }, "page" : "716-729", "publisher" : "Elsevier", "publisher-place" : "Amsterdam, The Netherlands", "title" : "Charred particle analyses.", "type" : "chapter" }, "uris" : [ "http://www.mendeley.com/documents/?uuid=11bb1738-015d-4dbe-a974-2e039898f997" ] } ], "mendeley" : { "formattedCitation" : "(Brown and Power, 2013)", "plainTextFormattedCitation" : "(Brown and Power, 2013)", "previouslyFormattedCitation" : "(Brown and Power, 2013)"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(Brown and Power, 2013)</w:t>
      </w:r>
      <w:r w:rsidRPr="008736A7">
        <w:rPr>
          <w:rFonts w:ascii="Times New Roman" w:hAnsi="Times New Roman" w:cs="Times New Roman"/>
        </w:rPr>
        <w:fldChar w:fldCharType="end"/>
      </w:r>
      <w:r w:rsidRPr="008736A7">
        <w:rPr>
          <w:rFonts w:ascii="Times New Roman" w:hAnsi="Times New Roman" w:cs="Times New Roman"/>
        </w:rPr>
        <w:t>. The time difference between peaks is reflected in the fire return interval (</w:t>
      </w:r>
      <w:r w:rsidRPr="008736A7">
        <w:rPr>
          <w:rFonts w:ascii="Times New Roman" w:hAnsi="Times New Roman" w:cs="Times New Roman"/>
          <w:i/>
        </w:rPr>
        <w:t>fire frequency</w:t>
      </w:r>
      <w:r w:rsidRPr="008736A7">
        <w:rPr>
          <w:rFonts w:ascii="Times New Roman" w:hAnsi="Times New Roman" w:cs="Times New Roman"/>
        </w:rPr>
        <w:t xml:space="preserve">) for every 800 years. Estimates of fire frequency are obtained by summing and smoothing the peak series over a specified window width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"1049-8001", "author" : [ { "dropping-particle" : "", "family" : "Higuera", "given" : "Philip E.", "non-dropping-particle" : "", "parse-names" : false, "suffix" : "" }, { "dropping-particle" : "", "family" : "Gavin", "given" : "Daniel G.", "non-dropping-particle" : "", "parse-names" : false, "suffix" : "" }, { "dropping-particle" : "", "family" : "Bartlein", "given" : "Patrick J.", "non-dropping-particle" : "", "parse-names" : false, "suffix" : "" }, { "dropping-particle" : "", "family" : "Hallett", "given" : "Douglas J.", "non-dropping-particle" : "", "parse-names" : false, "suffix" : "" } ], "container-title" : "International Journal of Wildland Fire", "id" : "ITEM-1", "issue" : "8", "issued" : { "date-parts" : [ [ "2010" ] ] }, "page" : "996", "title" : "Peak detection in sediment\u2013charcoal records: impacts of alternative data analysis methods on fire-history interpretations", "type" : "article-journal", "volume" : "19" }, "uris" : [ "http://www.mendeley.com/documents/?uuid=44e4ced5-52da-4d7c-a019-2f9ee7c8774b" ] } ], "mendeley" : { "formattedCitation" : "(Higuera et al., 2010)", "plainTextFormattedCitation" : "(Higuera et al., 2010)", "previouslyFormattedCitation" : "(Higuera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(Higuera et al., 2010)</w:t>
      </w:r>
      <w:r w:rsidRPr="008736A7">
        <w:rPr>
          <w:rFonts w:ascii="Times New Roman" w:hAnsi="Times New Roman" w:cs="Times New Roman"/>
        </w:rPr>
        <w:fldChar w:fldCharType="end"/>
      </w:r>
      <w:r w:rsidRPr="008736A7">
        <w:rPr>
          <w:rFonts w:ascii="Times New Roman" w:hAnsi="Times New Roman" w:cs="Times New Roman"/>
        </w:rPr>
        <w:t xml:space="preserve">. </w:t>
      </w:r>
    </w:p>
    <w:p w:rsidR="00090084"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Additionally, charcoal records are compiled from the Global Charcoal Database ( GCD version 2.0) and analyzed using the paleofire R package software (version 1.1.8)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"0098-3004", "author" : [ { "dropping-particle" : "", "family" : "Blarquez", "given" : "Olivier", "non-dropping-particle" : "", "parse-names" : false, "suffix" : "" }, { "dropping-particle" : "", "family" : "Vanni\u00e8re", "given" : "Boris", "non-dropping-particle" : "", "parse-names" : false, "suffix" : "" }, { "dropping-particle" : "", "family" : "Marlon", "given" : "Jennifer R", "non-dropping-particle" : "", "parse-names" : false, "suffix" : "" }, { "dropping-particle" : "", "family" : "Daniau", "given" : "Anne-Laure", "non-dropping-particle" : "", "parse-names" : false, "suffix" : "" }, { "dropping-particle" : "", "family" : "Power", "given" : "Mitchell J", "non-dropping-particle" : "", "parse-names" : false, "suffix" : "" }, { "dropping-particle" : "", "family" : "Brewer", "given" : "Simon", "non-dropping-particle" : "", "parse-names" : false, "suffix" : "" }, { "dropping-particle" : "", "family" : "Bartlein", "given" : "Patrick J", "non-dropping-particle" : "", "parse-names" : false, "suffix" : "" } ], "container-title" : "Computers &amp; Geosciences", "id" : "ITEM-1", "issued" : { "date-parts" : [ [ "2014" ] ] }, "page" : "255-261", "publisher" : "Elsevier", "title" : "Paleofire: An R package to analyse sedimentary charcoal records from the Global Charcoal Database to reconstruct past biomass burning", "type" : "article-journal", "volume" : "72" }, "uris" : [ "http://www.mendeley.com/documents/?uuid=33865291-8bb3-498b-8c6f-c7ac1a4b68eb" ] } ], "mendeley" : { "formattedCitation" : "(Blarquez et al., 2014)", "plainTextFormattedCitation" : "(Blarquez et al., 2014)", "previouslyFormattedCitation" : "(Blarquez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(Blarquez et al., 2014)</w:t>
      </w:r>
      <w:r w:rsidRPr="008736A7">
        <w:rPr>
          <w:rFonts w:ascii="Times New Roman" w:hAnsi="Times New Roman" w:cs="Times New Roman"/>
        </w:rPr>
        <w:fldChar w:fldCharType="end"/>
      </w:r>
      <w:r w:rsidRPr="008736A7">
        <w:rPr>
          <w:rFonts w:ascii="Times New Roman" w:hAnsi="Times New Roman" w:cs="Times New Roman"/>
        </w:rPr>
        <w:t xml:space="preserve">. Twelve charcoal records between 16ºS and 11ºS and 61ºW to 70ºW that have greater than 20 charcoal samples are included in this analysis to create an RCC (Table 2, Figure 1). The sites selected include a range of forest types including savanna swamps, </w:t>
      </w:r>
      <w:r w:rsidRPr="008736A7">
        <w:rPr>
          <w:rFonts w:ascii="Times New Roman" w:hAnsi="Times New Roman" w:cs="Times New Roman"/>
          <w:i/>
        </w:rPr>
        <w:t>cerrado</w:t>
      </w:r>
      <w:r w:rsidRPr="008736A7">
        <w:rPr>
          <w:rFonts w:ascii="Times New Roman" w:hAnsi="Times New Roman" w:cs="Times New Roman"/>
        </w:rPr>
        <w:t xml:space="preserve"> savannas, seasonally dry tropical forests, and humid tropical rainforests in the Bolivian and Peruvian lowlands to provide an average of regional biomass burning during the Holocene.  To facilitate inter-site comparison, the twelve records are pretreated using standard protocol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"1752-0894", "author" : [ { "dropping-particle" : "", "family" : "Marlon", "given" : "J. R.", "non-dropping-particle" : "", "parse-names" : false, "suffix" : "" }, { "dropping-particle" : "", "family" : "Bartlein", "given" : "P. J.", "non-dropping-particle" : "", "parse-names" : false, "suffix" : "" }, { "dropping-particle" : "", "family" : "Carcaillet", "given" : "C.", "non-dropping-particle" : "", "parse-names" : false, "suffix" : "" }, { "dropping-particle" : "", "family" : "Gavin", "given" : "D. G.", "non-dropping-particle" : "", "parse-names" : false, "suffix" : "" }, { "dropping-particle" : "", "family" : "Harrison", "given" : "S. P.", "non-dropping-particle" : "", "parse-names" : false, "suffix" : "" }, { "dropping-particle" : "", "family" : "Higuera", "given" : "P. E.", "non-dropping-particle" : "", "parse-names" : false, "suffix" : "" }, { "dropping-particle" : "", "family" : "Joos", "given" : "F.", "non-dropping-particle" : "", "parse-names" : false, "suffix" : "" }, { "dropping-particle" : "", "family" : "Power", "given" : "M. J.", "non-dropping-particle" : "", "parse-names" : false, "suffix" : "" }, { "dropping-particle" : "", "family" : "Prentice", "given" : "I. C.", "non-dropping-particle" : "", "parse-names" : false, "suffix" : "" } ], "container-title" : "Nature Geoscience", "id" : "ITEM-1", "issued" : { "date-parts" : [ [ "2008", "9", "21" ] ] }, "page" : "697-702", "title" : "Climate and human influences on global biomass burning over the past two millennia", "type" : "article-journal", "volume" : "1" }, "uris" : [ "http://www.mendeley.com/documents/?uuid=311a9e8a-4ac1-4ce0-a6d8-d9fe408c1d3d" ] }, { "id" : "ITEM-2", "itemData" : { "author" : [ { "dropping-particle" : "", "family" : "Power", "given" : "M. J.", "non-dropping-particle" : "", "parse-names" : false, "suffix" : "" }, { "dropping-particle" : "", "family" : "Marlon", "given" : "J.", "non-dropping-particle" : "", "parse-names" : false, "suffix" : "" }, { "dropping-particle" : "", "family" : "Ortiz", "given" : "N.", "non-dropping-particle" : "", "parse-names" : false, "suffix" : "" }, { "dropping-particle" : "", "family" : "Bartlein", "given" : "P. J.", "non-dropping-particle" : "", "parse-names" : false, "suffix" : "" }, { "dropping-particle" : "", "family" : "Harrison", "given" : "S. P.", "non-dropping-particle" : "", "parse-names" : false, "suffix" : "" }, { "dropping-particle" : "", "family" : "Mayle", "given" : "F. E.", "non-dropping-particle" : "", "parse-names" : false, "suffix" : "" }, { "dropping-particle" : "", "family" : "Ballouche", "given" : "A.", "non-dropping-particle" : "", "parse-names" : false, "suffix" : "" }, { "dropping-particle" : "", "family" : "Bradshaw", "given" : "R. H. W.", "non-dropping-particle" : "", "parse-names" : false, "suffix" : "" }, { "dropping-particle" : "", "family" : "Carcaillet", "given" : "C.", "non-dropping-particle" : "", "parse-names" : false, "suffix" : "" }, { "dropping-particle" : "", "family" : "Cordova", "given" : "C.", "non-dropping-particle" : "", "parse-names" : false, "suffix" : "" }, { "dropping-particle" : "", "family" : "Mooney", "given" : "S.", "non-dropping-particle" : "", "parse-names" : false, "suffix" : "" }, { "dropping-particle" : "", "family" : "Moreno", "given" : "P. I.", "non-dropping-particle" : "", "parse-names" : false, "suffix" : "" }, { "dropping-particle" : "", "family" : "Prentice", "given" : "I. C.", "non-dropping-particle" : "", "parse-names" : false, "suffix" : "" }, { "dropping-particle" : "", "family" : "Thonicke", "given" : "K.", "non-dropping-particle" : "", "parse-names" : false, "suffix" : "" }, { "dropping-particle" : "", "family" : "Tinner", "given" : "W.", "non-dropping-particle" : "", "parse-names" : false, "suffix" : "" }, { "dropping-particle" : "", "family" : "Whitlock", "given" : "C.", "non-dropping-particle" : "", "parse-names" : false, "suffix" : "" }, { "dropping-particle" : "", "family" : "Zhang", "given" : "Y.", "non-dropping-particle" : "", "parse-names" : false, "suffix" : "" }, { "dropping-particle" : "", "family" : "Zhao", "given" : "Y.", "non-dropping-particle" : "", "parse-names" : false, "suffix" : "" }, { "dropping-particle" : "", "family" : "Ali", "given" : "a. a.", "non-dropping-particle" : "", "parse-names" : false, "suffix" : "" }, { "dropping-particle" : "", "family" : "Anderson", "given" : "R. S.", "non-dropping-particle" : "", "parse-names" : false, "suffix" : "" }, { "dropping-particle" : "", "family" : "Beer", "given" : "R.", "non-dropping-particle" : "", "parse-names" : false, "suffix" : "" }, { "dropping-particle" : "", "family" : "Behling", "given" : "H.", "non-dropping-particle" : "", "parse-names" : false, "suffix" : "" }, { "dropping-particle" : "", "family" : "Briles", "given" : "C.", "non-dropping-particle" : "", "parse-names" : false, "suffix" : "" }, { "dropping-particle" : "", "family" : "Brown", "given" : "K. J.", "non-dropping-particle" : "", "parse-names" : false, "suffix" : "" }, { "dropping-particle" : "", "family" : "Brunelle", "given" : "A.", "non-dropping-particle" : "", "parse-names" : false, "suffix" : "" }, { "dropping-particle" : "", "family" : "Bush", "given" : "M.", "non-dropping-particle" : "", "parse-names" : false, "suffix" : "" }, { "dropping-particle" : "", "family" : "Camill", "given" : "P.", "non-dropping-particle" : "", "parse-names" : false, "suffix" : "" }, { "dropping-particle" : "", "family" : "Chu", "given" : "G. Q.", "non-dropping-particle" : "", "parse-names" : false, "suffix" : "" }, { "dropping-particle" : "", "family" : "Clark", "given" : "J.", "non-dropping-particle" : "", "parse-names" : false, "suffix" : "" }, { "dropping-particle" : "", "family" : "Colombaroli", "given" : "D.", "non-dropping-particle" : "", "parse-names" : false, "suffix" : "" }, { "dropping-particle" : "", "family" : "Connor", "given" : "S.", "non-dropping-particle" : "", "parse-names" : false, "suffix" : "" }, { "dropping-particle" : "", "family" : "Daniau", "given" : "A.-L.", "non-dropping-particle" : "", "parse-names" : false, "suffix" : "" }, { "dropping-particle" : "", "family" : "Daniels", "given" : "M.", "non-dropping-particle" : "", "parse-names" : false, "suffix" : "" }, { "dropping-particle" : "", "family" : "Dodson", "given" : "J.", "non-dropping-particle" : "", "parse-names" : false, "suffix" : "" }, { "dropping-particle" : "", "family" : "Doughty", "given" : "E.", "non-dropping-particle" : "", "parse-names" : false, "suffix" : "" }, { "dropping-particle" : "", "family" : "Edwards", "given" : "M. E.", "non-dropping-particle" : "", "parse-names" : false, "suffix" : "" }, { "dropping-particle" : "", "family" : "Finsinger", "given" : "W.", "non-dropping-particle" : "", "parse-names" : false, "suffix" : "" }, { "dropping-particle" : "", "family" : "Foster", "given" : "D.", "non-dropping-particle" : "", "parse-names" : false, "suffix" : "" }, { "dropping-particle" : "", "family" : "Frechette", "given" : "J.", "non-dropping-particle" : "", "parse-names" : false, "suffix" : "" }, { "dropping-particle" : "", "family" : "Gaillard", "given" : "M.-J.", "non-dropping-particle" : "", "parse-names" : false, "suffix" : "" }, { "dropping-particle" : "", "family" : "Gavin", "given" : "D. G.", "non-dropping-particle" : "", "parse-names" : false, "suffix" : "" }, { "dropping-particle" : "", "family" : "Gobet", "given" : "E.", "non-dropping-particle" : "", "parse-names" : false, "suffix" : "" }, { "dropping-particle" : "", "family" : "Haberle", "given" : "S.", "non-dropping-particle" : "", "parse-names" : false, "suffix" : "" }, { "dropping-particle" : "", "family" : "Hallett", "given" : "D. J.", "non-dropping-particle" : "", "parse-names" : false, "suffix" : "" }, { "dropping-particle" : "", "family" : "Higuera", "given" : "P.", "non-dropping-particle" : "", "parse-names" : false, "suffix" : "" }, { "dropping-particle" : "", "family" : "Hope", "given" : "G.", "non-dropping-particle" : "", "parse-names" : false, "suffix" : "" }, { "dropping-particle" : "", "family" : "Horn", "given" : "S.", "non-dropping-particle" : "", "parse-names" : false, "suffix" : "" }, { "dropping-particle" : "", "family" : "Inoue", "given" : "J.", "non-dropping-particle" : "", "parse-names" : false, "suffix" : "" }, { "dropping-particle" : "", "family" : "Kaltenrieder", "given" : "P.", "non-dropping-particle" : "", "parse-names" : false, "suffix" : "" }, { "dropping-particle" : "", "family" : "Kennedy", "given" : "L.", "non-dropping-particle" : "", "parse-names" : false, "suffix" : "" }, { "dropping-particle" : "", "family" : "Kong", "given" : "Z. C.", "non-dropping-particle" : "", "parse-names" : false, "suffix" : "" }, { "dropping-particle" : "", "family" : "Larsen", "given" : "C.", "non-dropping-particle" : "", "parse-names" : false, "suffix" : "" }, { "dropping-particle" : "", "family" : "Long", "given" : "C. J.", "non-dropping-particle" : "", "parse-names" : false, "suffix" : "" }, { "dropping-particle" : "", "family" : "Lynch", "given" : "J.", "non-dropping-particle" : "", "parse-names" : false, "suffix" : "" }, { "dropping-particle" : "", "family" : "Lynch", "given" : "E. a.", "non-dropping-particle" : "", "parse-names" : false, "suffix" : "" }, { "dropping-particle" : "", "family" : "McGlone", "given" : "M.", "non-dropping-particle" : "", "parse-names" : false, "suffix" : "" }, { "dropping-particle" : "", "family" : "Meeks", "given" : "S.", "non-dropping-particle" : "", "parse-names" : false, "suffix" : "" }, { "dropping-particle" : "", "family" : "Mensing", "given" : "S.", "non-dropping-particle" : "", "parse-names" : false, "suffix" : "" }, { "dropping-particle" : "", "family" : "Meyer", "given" : "G.", "non-dropping-particle" : "", "parse-names" : false, "suffix" : "" }, { "dropping-particle" : "", "family" : "Minckley", "given" : "T.", "non-dropping-particle" : "", "parse-names" : false, "suffix" : "" }, { "dropping-particle" : "", "family" : "Mohr", "given" : "J.", "non-dropping-particle" : "", "parse-names" : false, "suffix" : "" }, { "dropping-particle" : "", "family" : "Nelson", "given" : "D. M.", "non-dropping-particle" : "", "parse-names" : false, "suffix" : "" }, { "dropping-particle" : "", "family" : "New", "given" : "J.", "non-dropping-particle" : "", "parse-names" : false, "suffix" : "" }, { "dropping-particle" : "", "family" : "Newnham", "given" : "R.", "non-dropping-particle" : "", "parse-names" : false, "suffix" : "" }, { "dropping-particle" : "", "family" : "Noti", "given" : "R.", "non-dropping-particle" : "", "parse-names" : false, "suffix" : "" }, { "dropping-particle" : "", "family" : "Oswald", "given" : "W.", "non-dropping-particle" : "", "parse-names" : false, "suffix" : "" }, { "dropping-particle" : "", "family" : "Pierce", "given" : "J.", "non-dropping-particle" : "", "parse-names" : false, "suffix" : "" }, { "dropping-particle" : "", "family" : "Richard", "given" : "P. J. H.", "non-dropping-particle" : "", "parse-names" : false, "suffix" : "" }, { "dropping-particle" : "", "family" : "Rowe", "given" : "C.", "non-dropping-particle" : "", "parse-names" : false, "suffix" : "" }, { "dropping-particle" : "", "family" : "Sanchez Go\u00f1i", "given" : "M. F.", "non-dropping-particle" : "", "parse-names" : false, "suffix" : "" }, { "dropping-particle" : "", "family" : "Shuman", "given" : "B. N.", "non-dropping-particle" : "", "parse-names" : false, "suffix" : "" }, { "dropping-particle" : "", "family" : "Takahara", "given" : "H.", "non-dropping-particle" : "", "parse-names" : false, "suffix" : "" }, { "dropping-particle" : "", "family" : "Toney", "given" : "J.", "non-dropping-particle" : "", "parse-names" : false, "suffix" : "" }, { "dropping-particle" : "", "family" : "Turney", "given" : "C.", "non-dropping-particle" : "", "parse-names" : false, "suffix" : "" }, { "dropping-particle" : "", "family" : "Urrego-Sanchez", "given" : "D. H.", "non-dropping-particle" : "", "parse-names" : false, "suffix" : "" }, { "dropping-particle" : "", "family" : "Umbanhowar", "given" : "C.", "non-dropping-particle" : "", "parse-names" : false, "suffix" : "" }, { "dropping-particle" : "", "family" : "Vandergoes", "given" : "M.", "non-dropping-particle" : "", "parse-names" : false, "suffix" : "" }, { "dropping-particle" : "", "family" : "Vanniere", "given" : "B.", "non-dropping-particle" : "", "parse-names" : false, "suffix" : "" }, { "dropping-particle" : "", "family" : "Vescovi", "given" : "E.", "non-dropping-particle" : "", "parse-names" : false, "suffix" : "" }, { "dropping-particle" : "", "family" : "Walsh", "given" : "M.", "non-dropping-particle" : "", "parse-names" : false, "suffix" : "" }, { "dropping-particle" : "", "family" : "Wang", "given" : "X.", "non-dropping-particle" : "", "parse-names" : false, "suffix" : "" }, { "dropping-particle" : "", "family" : "Williams", "given" : "N.", "non-dropping-particle" : "", "parse-names" : false, "suffix" : "" }, { "dropping-particle" : "", "family" : "Wilmshurst", "given" : "J.", "non-dropping-particle" : "", "parse-names" : false, "suffix" : "" }, { "dropping-particle" : "", "family" : "Zhang", "given" : "J. H.", "non-dropping-particle" : "", "parse-names" : false, "suffix" : "" } ], "container-title" : "Climate Dynamics", "id" : "ITEM-2", "issued" : { "date-parts" : [ [ "2008", "12", "14" ] ] }, "page" : "887-907", "title" : "Changes in fire regimes since the Last Glacial Maximum: An assessment based on a global synthesis and analysis of charcoal data", "type" : "article-journal", "volume" : "30" }, "uris" : [ "http://www.mendeley.com/documents/?uuid=671c8c96-7b17-47c0-8e43-b048a32979e6" ] } ], "mendeley" : { "formattedCitation" : "(Marlon et al., 2008; Power et al., 2008)", "manualFormatting" : "(Marlon et al., 2008; Power et al., 2008)", "plainTextFormattedCitation" : "(Marlon et al., 2008; Power et al., 2008)", "previouslyFormattedCitation" : "(Marlon et al., 2008; Power et al., 2008)"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(Marlon et al., 2008; Power et al., 2008)</w:t>
      </w:r>
      <w:r w:rsidRPr="008736A7">
        <w:rPr>
          <w:rFonts w:ascii="Times New Roman" w:hAnsi="Times New Roman" w:cs="Times New Roman"/>
        </w:rPr>
        <w:fldChar w:fldCharType="end"/>
      </w:r>
      <w:r w:rsidRPr="008736A7">
        <w:rPr>
          <w:rFonts w:ascii="Times New Roman" w:hAnsi="Times New Roman" w:cs="Times New Roman"/>
        </w:rPr>
        <w:t xml:space="preserve"> for transforming and standardizing of individual records that includes: (1) transforming non-influx data (e.g. </w:t>
      </w:r>
      <w:r w:rsidRPr="008736A7">
        <w:rPr>
          <w:rFonts w:ascii="Times New Roman" w:hAnsi="Times New Roman" w:cs="Times New Roman"/>
        </w:rPr>
        <w:lastRenderedPageBreak/>
        <w:t>concentration particles cm</w:t>
      </w:r>
      <w:r w:rsidRPr="008736A7">
        <w:rPr>
          <w:rFonts w:ascii="Times New Roman" w:hAnsi="Times New Roman" w:cs="Times New Roman"/>
          <w:vertAlign w:val="superscript"/>
        </w:rPr>
        <w:t>-3</w:t>
      </w:r>
      <w:r w:rsidRPr="008736A7">
        <w:rPr>
          <w:rFonts w:ascii="Times New Roman" w:hAnsi="Times New Roman" w:cs="Times New Roman"/>
        </w:rPr>
        <w:t>)  to influx values (particle cm</w:t>
      </w:r>
      <w:r w:rsidRPr="008736A7">
        <w:rPr>
          <w:rFonts w:ascii="Times New Roman" w:hAnsi="Times New Roman" w:cs="Times New Roman"/>
          <w:vertAlign w:val="superscript"/>
        </w:rPr>
        <w:t>-2</w:t>
      </w:r>
      <w:r w:rsidRPr="008736A7">
        <w:rPr>
          <w:rFonts w:ascii="Times New Roman" w:hAnsi="Times New Roman" w:cs="Times New Roman"/>
        </w:rPr>
        <w:t xml:space="preserve"> yr </w:t>
      </w:r>
      <w:r w:rsidRPr="008736A7">
        <w:rPr>
          <w:rFonts w:ascii="Times New Roman" w:hAnsi="Times New Roman" w:cs="Times New Roman"/>
          <w:vertAlign w:val="superscript"/>
        </w:rPr>
        <w:t>-1</w:t>
      </w:r>
      <w:r w:rsidRPr="008736A7">
        <w:rPr>
          <w:rFonts w:ascii="Times New Roman" w:hAnsi="Times New Roman" w:cs="Times New Roman"/>
        </w:rPr>
        <w:t xml:space="preserve">), (2) homogenizing the variance using the Box-Cox transformation, (3) rescaling the values using a minimax transformation to allow comparisons among sites, and (4) rescaling the values to z-scores using a base period of 200 years. Sites are smoothed with a 300-year half width smoothing window and a bootstrap of 100 years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"0098-3004", "author" : [ { "dropping-particle" : "", "family" : "Blarquez", "given" : "Olivier", "non-dropping-particle" : "", "parse-names" : false, "suffix" : "" }, { "dropping-particle" : "", "family" : "Vanni\u00e8re", "given" : "Boris", "non-dropping-particle" : "", "parse-names" : false, "suffix" : "" }, { "dropping-particle" : "", "family" : "Marlon", "given" : "Jennifer R", "non-dropping-particle" : "", "parse-names" : false, "suffix" : "" }, { "dropping-particle" : "", "family" : "Daniau", "given" : "Anne-Laure", "non-dropping-particle" : "", "parse-names" : false, "suffix" : "" }, { "dropping-particle" : "", "family" : "Power", "given" : "Mitchell J", "non-dropping-particle" : "", "parse-names" : false, "suffix" : "" }, { "dropping-particle" : "", "family" : "Brewer", "given" : "Simon", "non-dropping-particle" : "", "parse-names" : false, "suffix" : "" }, { "dropping-particle" : "", "family" : "Bartlein", "given" : "Patrick J", "non-dropping-particle" : "", "parse-names" : false, "suffix" : "" } ], "container-title" : "Computers &amp; Geosciences", "id" : "ITEM-1", "issued" : { "date-parts" : [ [ "2014" ] ] }, "page" : "255-261", "publisher" : "Elsevier", "title" : "Paleofire: An R package to analyse sedimentary charcoal records from the Global Charcoal Database to reconstruct past biomass burning", "type" : "article-journal", "volume" : "72" }, "uris" : [ "http://www.mendeley.com/documents/?uuid=33865291-8bb3-498b-8c6f-c7ac1a4b68eb" ] } ], "mendeley" : { "formattedCitation" : "(Blarquez et al., 2014)", "plainTextFormattedCitation" : "(Blarquez et al., 2014)", "previouslyFormattedCitation" : "(Blarquez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(Blarquez et al., 2014)</w:t>
      </w:r>
      <w:r w:rsidRPr="008736A7">
        <w:rPr>
          <w:rFonts w:ascii="Times New Roman" w:hAnsi="Times New Roman" w:cs="Times New Roman"/>
        </w:rPr>
        <w:fldChar w:fldCharType="end"/>
      </w:r>
      <w:r w:rsidRPr="008736A7">
        <w:rPr>
          <w:rFonts w:ascii="Times New Roman" w:hAnsi="Times New Roman" w:cs="Times New Roman"/>
        </w:rPr>
        <w:t xml:space="preserve">. The GTMs are calculated using </w:t>
      </w:r>
      <w:r w:rsidRPr="008736A7">
        <w:rPr>
          <w:rFonts w:ascii="Times New Roman" w:hAnsi="Times New Roman" w:cs="Times New Roman"/>
          <w:lang w:val="en-GB"/>
        </w:rPr>
        <w:t>weighted spatiotemporal interpolation of transformed charcoal values at a defined distance from the grid cell center. Spatial grids are used to interpolate transformed charcoal values for key time periods</w:t>
      </w:r>
      <w:r w:rsidRPr="008736A7">
        <w:rPr>
          <w:rFonts w:ascii="Times New Roman" w:hAnsi="Times New Roman" w:cs="Times New Roman"/>
        </w:rPr>
        <w:t xml:space="preserve"> with a 200-year time buffer with time grids at 10,000, 8,000, 6,000, 3,000, 2,000, 1,200, 700 and 200 cal yr BP with a cell size of 15,000 m and distance buffer of 50,000 m. </w:t>
      </w:r>
    </w:p>
    <w:p w:rsidR="00090084" w:rsidRDefault="00090084" w:rsidP="00090084">
      <w:pPr>
        <w:pStyle w:val="BodyText"/>
        <w:spacing w:line="215" w:lineRule="auto"/>
        <w:ind w:right="150" w:firstLine="199"/>
        <w:jc w:val="both"/>
        <w:rPr>
          <w:rFonts w:ascii="Times New Roman" w:hAnsi="Times New Roman" w:cs="Times New Roman"/>
        </w:rPr>
      </w:pPr>
    </w:p>
    <w:p w:rsidR="00090084" w:rsidRPr="00090084" w:rsidRDefault="00090084" w:rsidP="00090084">
      <w:pPr>
        <w:pStyle w:val="BodyText"/>
        <w:spacing w:line="215" w:lineRule="auto"/>
        <w:ind w:right="150"/>
        <w:jc w:val="both"/>
        <w:rPr>
          <w:rFonts w:ascii="Times New Roman" w:eastAsia="Times New Roman" w:hAnsi="Times New Roman" w:cs="Times New Roman"/>
          <w:b/>
          <w:color w:val="000000"/>
        </w:rPr>
      </w:pPr>
      <w:r w:rsidRPr="00090084">
        <w:rPr>
          <w:rFonts w:ascii="Times New Roman" w:hAnsi="Times New Roman" w:cs="Times New Roman"/>
          <w:b/>
        </w:rPr>
        <w:t xml:space="preserve">2.7 </w:t>
      </w:r>
      <w:r w:rsidR="00705EBE" w:rsidRPr="00090084">
        <w:rPr>
          <w:rFonts w:ascii="Times New Roman" w:eastAsia="Times New Roman" w:hAnsi="Times New Roman" w:cs="Times New Roman"/>
          <w:b/>
          <w:color w:val="000000"/>
        </w:rPr>
        <w:t xml:space="preserve">Compiled Regional Archaeology Data from the Bolivian Lowlands </w:t>
      </w:r>
    </w:p>
    <w:p w:rsidR="00090084" w:rsidRPr="00090084" w:rsidRDefault="00090084" w:rsidP="00090084">
      <w:pPr>
        <w:pStyle w:val="BodyText"/>
        <w:spacing w:line="215" w:lineRule="auto"/>
        <w:ind w:right="150" w:firstLine="199"/>
        <w:jc w:val="both"/>
        <w:rPr>
          <w:rFonts w:ascii="Times New Roman" w:eastAsia="Times New Roman" w:hAnsi="Times New Roman" w:cs="Times New Roman"/>
          <w:b/>
          <w:i/>
          <w:color w:val="000000"/>
        </w:rPr>
      </w:pPr>
    </w:p>
    <w:p w:rsidR="00090084" w:rsidRDefault="00705EBE" w:rsidP="00090084">
      <w:pPr>
        <w:pStyle w:val="BodyText"/>
        <w:spacing w:line="215" w:lineRule="auto"/>
        <w:ind w:right="150" w:firstLine="199"/>
        <w:jc w:val="both"/>
        <w:rPr>
          <w:rFonts w:ascii="Times New Roman" w:eastAsia="Times New Roman" w:hAnsi="Times New Roman" w:cs="Times New Roman"/>
          <w:color w:val="000000"/>
        </w:rPr>
      </w:pPr>
      <w:r w:rsidRPr="008736A7">
        <w:rPr>
          <w:rFonts w:ascii="Times New Roman" w:eastAsia="Times New Roman" w:hAnsi="Times New Roman" w:cs="Times New Roman"/>
          <w:color w:val="000000"/>
        </w:rPr>
        <w:t xml:space="preserve">The sum of the calibrated probability distributions (SPDs) can be a reliable method to assess relative population dynamics in the past </w:t>
      </w:r>
      <w:r w:rsidRPr="008736A7">
        <w:rPr>
          <w:rFonts w:ascii="Times New Roman" w:eastAsia="Times New Roman" w:hAnsi="Times New Roman" w:cs="Times New Roman"/>
          <w:color w:val="000000"/>
        </w:rPr>
        <w:fldChar w:fldCharType="begin" w:fldLock="1"/>
      </w:r>
      <w:r w:rsidRPr="008736A7">
        <w:rPr>
          <w:rFonts w:ascii="Times New Roman" w:eastAsia="Times New Roman" w:hAnsi="Times New Roman" w:cs="Times New Roman"/>
          <w:color w:val="000000"/>
        </w:rPr>
        <w:instrText>ADDIN CSL_CITATION { "citationItems" : [ { "id" : "ITEM-1", "itemData" : { "author" : [ { "dropping-particle" : "", "family" : "Shennan", "given" : "Stephen", "non-dropping-particle" : "", "parse-names" : false, "suffix" : "" }, { "dropping-particle" : "", "family" : "Downey", "given" : "Sean S", "non-dropping-particle" : "", "parse-names" : false, "suffix" : "" }, { "dropping-particle" : "", "family" : "Timpson", "given" : "Adrian", "non-dropping-particle" : "", "parse-names" : false, "suffix" : "" }, { "dropping-particle" : "", "family" : "Edinborough", "given" : "Kevan", "non-dropping-particle" : "", "parse-names" : false, "suffix" : "" }, { "dropping-particle" : "", "family" : "Colledge", "given" : "Sue", "non-dropping-particle" : "", "parse-names" : false, "suffix" : "" }, { "dropping-particle" : "", "family" : "Kerig", "given" : "Tim", "non-dropping-particle" : "", "parse-names" : false, "suffix" : "" }, { "dropping-particle" : "", "family" : "Manning", "given" : "Katie", "non-dropping-particle" : "", "parse-names" : false, "suffix" : "" }, { "dropping-particle" : "", "family" : "Thomas", "given" : "Mark G", "non-dropping-particle" : "", "parse-names" : false, "suffix" : "" } ], "container-title" : "Nature Communications", "id" : "ITEM-1", "issued" : { "date-parts" : [ [ "2013" ] ] }, "publisher" : "Nature Research", "title" : "Regional population collapse followed initial agriculture booms in mid-Holocene Europe", "type" : "article-journal", "volume" : "4" }, "uris" : [ "http://www.mendeley.com/documents/?uuid=2a290210-3266-4e80-971f-e4a103360820" ] } ], "mendeley" : { "formattedCitation" : "(Shennan et al., 2013)", "plainTextFormattedCitation" : "(Shennan et al., 2013)", "previouslyFormattedCitation" : "(Shennan et al., 2013)" }, "properties" : { "noteIndex" : 0 }, "schema" : "https://github.com/citation-style-language/schema/raw/master/csl-citation.json" }</w:instrText>
      </w:r>
      <w:r w:rsidRPr="008736A7">
        <w:rPr>
          <w:rFonts w:ascii="Times New Roman" w:eastAsia="Times New Roman" w:hAnsi="Times New Roman" w:cs="Times New Roman"/>
          <w:color w:val="000000"/>
        </w:rPr>
        <w:fldChar w:fldCharType="separate"/>
      </w:r>
      <w:r w:rsidRPr="008736A7">
        <w:rPr>
          <w:rFonts w:ascii="Times New Roman" w:eastAsia="Times New Roman" w:hAnsi="Times New Roman" w:cs="Times New Roman"/>
          <w:noProof/>
          <w:color w:val="000000"/>
        </w:rPr>
        <w:t>(Shennan et al., 2013)</w:t>
      </w:r>
      <w:r w:rsidRPr="008736A7">
        <w:rPr>
          <w:rFonts w:ascii="Times New Roman" w:eastAsia="Times New Roman" w:hAnsi="Times New Roman" w:cs="Times New Roman"/>
          <w:color w:val="000000"/>
        </w:rPr>
        <w:fldChar w:fldCharType="end"/>
      </w:r>
      <w:r w:rsidRPr="008736A7">
        <w:rPr>
          <w:rFonts w:ascii="Times New Roman" w:eastAsia="Times New Roman" w:hAnsi="Times New Roman" w:cs="Times New Roman"/>
          <w:color w:val="000000"/>
        </w:rPr>
        <w:t>. SPDs are a standard method for representing chronological trends in radiocarbon datasets. They are produced by calibrating each independent date in the sample and adding the results to produce a single density distribution. This has the advantage of including the full range of probabilities associated with calibrated dates, instead of using single point estimates (Downey et al., 2016; Goldberg et al., 2016; Shennan et al., 2013; Timpson et al., 2014; Zahid et al., 2016). Here, a total of 271 AMS dates are compil</w:t>
      </w:r>
      <w:r w:rsidRPr="008736A7">
        <w:rPr>
          <w:rFonts w:ascii="Times New Roman" w:eastAsia="Times New Roman" w:hAnsi="Times New Roman" w:cs="Times New Roman"/>
        </w:rPr>
        <w:t xml:space="preserve">ed from 38 archaeological sites (Table 3, SI) from the Bolivian lowlands (ca. 69º to 58º W, 9º S to 16º S). </w:t>
      </w:r>
      <w:r w:rsidRPr="008736A7">
        <w:rPr>
          <w:rFonts w:ascii="Times New Roman" w:eastAsia="Times New Roman" w:hAnsi="Times New Roman" w:cs="Times New Roman"/>
          <w:color w:val="000000"/>
        </w:rPr>
        <w:t xml:space="preserve"> SPDs are built in OxCal and the IntCal13 calibration curve (Bronk Ramsey and Lee, 2013; Hogg et al., 2013). A binning procedure is applied to account for sites that have multiple dates within a phase (Goldberg et al., 2016; Shennan et al., 2013; Timpson et al., 2014). Dates within sites are ordered and those occurring within 100 years of each other are grouped into bins and merged.  Each bin has a maximum width of 200 years. Timpson et al. (2014) found that different values for the bin-width did not affect the final shape of the SPD. The binning procedure is necessary to account for sampling bias across sites that have multiple dates obtained for a phase (bin window), as a sum of the calibrated dates assumes that observations are independent. </w:t>
      </w:r>
      <w:r w:rsidRPr="008736A7">
        <w:rPr>
          <w:rFonts w:ascii="Times New Roman" w:eastAsia="Times New Roman" w:hAnsi="Times New Roman" w:cs="Times New Roman"/>
        </w:rPr>
        <w:t xml:space="preserve">Following the binning procedure, the final filtered dataset contains </w:t>
      </w:r>
      <w:r w:rsidRPr="008736A7">
        <w:rPr>
          <w:rFonts w:ascii="Times New Roman" w:eastAsia="Times New Roman" w:hAnsi="Times New Roman" w:cs="Times New Roman"/>
          <w:color w:val="000000"/>
        </w:rPr>
        <w:t>150 dates. Despite the decrease in sample size, the filtered SPD is highly correlated with an SPD built with all radiocarbon dates (rs = .991, p &lt; .001).</w:t>
      </w:r>
      <w:r w:rsidRPr="008736A7">
        <w:rPr>
          <w:rFonts w:ascii="Times New Roman" w:eastAsia="Times New Roman" w:hAnsi="Times New Roman" w:cs="Times New Roman"/>
        </w:rPr>
        <w:t xml:space="preserve"> </w:t>
      </w:r>
      <w:r w:rsidRPr="008736A7">
        <w:rPr>
          <w:rFonts w:ascii="Times New Roman" w:eastAsia="Times New Roman" w:hAnsi="Times New Roman" w:cs="Times New Roman"/>
          <w:color w:val="000000"/>
        </w:rPr>
        <w:t>In addition to the SPD, a histogram of the number of occupied sites (site frequencies) is used as an additional proxy for human activity, based on the medians of the calibrated dates per 200-year intervals.</w:t>
      </w:r>
    </w:p>
    <w:p w:rsidR="00090084" w:rsidRDefault="00090084" w:rsidP="00090084">
      <w:pPr>
        <w:pStyle w:val="BodyText"/>
        <w:spacing w:line="215" w:lineRule="auto"/>
        <w:ind w:right="150" w:firstLine="199"/>
        <w:jc w:val="both"/>
        <w:rPr>
          <w:rFonts w:ascii="Times New Roman" w:eastAsia="Times New Roman" w:hAnsi="Times New Roman" w:cs="Times New Roman"/>
          <w:color w:val="000000"/>
        </w:rPr>
      </w:pPr>
    </w:p>
    <w:p w:rsidR="00090084" w:rsidRPr="00090084" w:rsidRDefault="00090084" w:rsidP="00090084">
      <w:pPr>
        <w:pStyle w:val="BodyText"/>
        <w:spacing w:line="215" w:lineRule="auto"/>
        <w:ind w:right="150"/>
        <w:jc w:val="both"/>
        <w:rPr>
          <w:rFonts w:ascii="Times New Roman" w:hAnsi="Times New Roman" w:cs="Times New Roman"/>
          <w:b/>
        </w:rPr>
      </w:pPr>
      <w:r w:rsidRPr="00090084">
        <w:rPr>
          <w:rFonts w:ascii="Times New Roman" w:eastAsia="Times New Roman" w:hAnsi="Times New Roman" w:cs="Times New Roman"/>
          <w:b/>
          <w:color w:val="000000"/>
        </w:rPr>
        <w:t xml:space="preserve">3.0 </w:t>
      </w:r>
      <w:r w:rsidR="00705EBE" w:rsidRPr="00090084">
        <w:rPr>
          <w:rFonts w:ascii="Times New Roman" w:hAnsi="Times New Roman" w:cs="Times New Roman"/>
          <w:b/>
        </w:rPr>
        <w:t xml:space="preserve">Results and Interpretation </w:t>
      </w:r>
    </w:p>
    <w:p w:rsidR="00090084" w:rsidRPr="00090084" w:rsidRDefault="00090084" w:rsidP="00090084">
      <w:pPr>
        <w:pStyle w:val="BodyText"/>
        <w:spacing w:line="215" w:lineRule="auto"/>
        <w:ind w:right="150" w:firstLine="199"/>
        <w:jc w:val="both"/>
        <w:rPr>
          <w:rFonts w:ascii="Times New Roman" w:hAnsi="Times New Roman" w:cs="Times New Roman"/>
          <w:b/>
        </w:rPr>
      </w:pPr>
    </w:p>
    <w:p w:rsidR="00090084" w:rsidRPr="00090084" w:rsidRDefault="00090084" w:rsidP="00090084">
      <w:pPr>
        <w:pStyle w:val="BodyText"/>
        <w:spacing w:line="215" w:lineRule="auto"/>
        <w:ind w:right="150"/>
        <w:jc w:val="both"/>
        <w:rPr>
          <w:rFonts w:ascii="Times New Roman" w:hAnsi="Times New Roman" w:cs="Times New Roman"/>
          <w:b/>
        </w:rPr>
      </w:pPr>
      <w:r w:rsidRPr="00090084">
        <w:rPr>
          <w:rFonts w:ascii="Times New Roman" w:eastAsia="Times New Roman" w:hAnsi="Times New Roman" w:cs="Times New Roman"/>
          <w:b/>
          <w:color w:val="000000"/>
        </w:rPr>
        <w:t xml:space="preserve">3.1 </w:t>
      </w:r>
      <w:r w:rsidR="00705EBE" w:rsidRPr="00090084">
        <w:rPr>
          <w:rFonts w:ascii="Times New Roman" w:hAnsi="Times New Roman" w:cs="Times New Roman"/>
          <w:b/>
        </w:rPr>
        <w:t>Crop Cultivation at Laguna Chaplin</w:t>
      </w:r>
    </w:p>
    <w:p w:rsidR="00090084" w:rsidRPr="00090084" w:rsidRDefault="00090084" w:rsidP="00090084">
      <w:pPr>
        <w:pStyle w:val="BodyText"/>
        <w:spacing w:line="215" w:lineRule="auto"/>
        <w:ind w:right="150" w:firstLine="199"/>
        <w:jc w:val="both"/>
        <w:rPr>
          <w:rFonts w:ascii="Times New Roman" w:hAnsi="Times New Roman" w:cs="Times New Roman"/>
          <w:b/>
          <w:i/>
        </w:rPr>
      </w:pPr>
    </w:p>
    <w:p w:rsidR="00090084"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Pollen types from the original analysis are grouped into vegetation types and replotted using the new age model (Figure 3).  There is a time-transgressive ecotonal expansion of rainforest vegetation that replaces seasonally dry forest and savanna swamps after ca. 2,000 cal yr BP ay LCH. Modern rainforest vegetation establishes at LCH ca. 650 cal yr BP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"plainTextFormattedCitation" : "(Burbridge et al., 2004)", "previouslyFormattedCitation" : "(Burbridge et al., 2004)"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w:t>
      </w:r>
      <w:r w:rsidRPr="008736A7">
        <w:rPr>
          <w:rFonts w:ascii="Times New Roman" w:hAnsi="Times New Roman" w:cs="Times New Roman"/>
        </w:rPr>
        <w:fldChar w:fldCharType="end"/>
      </w:r>
      <w:r w:rsidRPr="008736A7">
        <w:rPr>
          <w:rFonts w:ascii="Times New Roman" w:hAnsi="Times New Roman" w:cs="Times New Roman"/>
        </w:rPr>
        <w:t xml:space="preserve"> in response to increased precipitation during the late Holocene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"id" : "ITEM-2", "itemData" : { "ISSN" : "0028-0836", "author" : [ { "dropping-particle" : "", "family" : "Baker", "given" : "Paul A", "non-dropping-particle" : "", "parse-names" : false, "suffix" : "" }, { "dropping-particle" : "", "family" : "Rigsby", "given" : "Catherine A", "non-dropping-particle" : "", "parse-names" : false, "suffix" : "" }, { "dropping-particle" : "", "family" : "Seltzer", "given" : "Geoffrey O", "non-dropping-particle" : "", "parse-names" : false, "suffix" : "" }, { "dropping-particle" : "", "family" : "Fritz", "given" : "Sherilyn C", "non-dropping-particle" : "", "parse-names" : false, "suffix" : "" }, { "dropping-particle" : "", "family" : "Lowenstein", "given" : "Tim K", "non-dropping-particle" : "", "parse-names" : false, "suffix" : "" }, { "dropping-particle" : "", "family" : "Bacher", "given" : "Niklas P", "non-dropping-particle" : "", "parse-names" : false, "suffix" : "" }, { "dropping-particle" : "", "family" : "Veliz", "given" : "Carlos", "non-dropping-particle" : "", "parse-names" : false, "suffix" : "" } ], "container-title" : "Nature", "id" : "ITEM-2", "issued" : { "date-parts" : [ [ "2001" ] ] }, "page" : "698-701", "publisher" : "Nature Publishing Group", "title" : "Tropical climate changes at millennial and orbital timescales on the Bolivian Altiplano", "type" : "article-journal", "volume" : "409" }, "uris" : [ "http://www.mendeley.com/documents/?uuid=3951692b-a867-4c28-9b65-c808cc3c3de7" ] } ], "mendeley" : { "formattedCitation" : "(Paul A Baker et al., 2001; Mayle et al., 2000)", "manualFormatting" : "(Baker et al., 2001; Mayle et al., 2000)", "plainTextFormattedCitation" : "(Paul A Baker et al., 2001; Mayle et al., 2000)", "previouslyFormattedCitation" : "(Paul A Baker et al., 2001; Mayle et al., 2000)"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(Baker et al., 2001; Mayle et al., 2000)</w:t>
      </w:r>
      <w:r w:rsidRPr="008736A7">
        <w:rPr>
          <w:rFonts w:ascii="Times New Roman" w:hAnsi="Times New Roman" w:cs="Times New Roman"/>
        </w:rPr>
        <w:fldChar w:fldCharType="end"/>
      </w:r>
      <w:r w:rsidRPr="008736A7">
        <w:rPr>
          <w:rFonts w:ascii="Times New Roman" w:hAnsi="Times New Roman" w:cs="Times New Roman"/>
        </w:rPr>
        <w:t xml:space="preserve">.  </w:t>
      </w:r>
      <w:r w:rsidRPr="008736A7">
        <w:rPr>
          <w:rFonts w:ascii="Times New Roman" w:hAnsi="Times New Roman" w:cs="Times New Roman"/>
          <w:i/>
        </w:rPr>
        <w:t>Z. mays</w:t>
      </w:r>
      <w:r w:rsidRPr="008736A7">
        <w:rPr>
          <w:rFonts w:ascii="Times New Roman" w:hAnsi="Times New Roman" w:cs="Times New Roman"/>
        </w:rPr>
        <w:t xml:space="preserve"> pollen is present between ca. 970 cal yr BP and ca. 170 cal yr BP but is absent in the uppermost two samples. Concentrations are very low throughout, thus are reported as the number of grains found in each sample. The presence of </w:t>
      </w:r>
      <w:r w:rsidRPr="008736A7">
        <w:rPr>
          <w:rFonts w:ascii="Times New Roman" w:hAnsi="Times New Roman" w:cs="Times New Roman"/>
          <w:i/>
        </w:rPr>
        <w:t>Z. mays</w:t>
      </w:r>
      <w:r w:rsidRPr="008736A7">
        <w:rPr>
          <w:rFonts w:ascii="Times New Roman" w:hAnsi="Times New Roman" w:cs="Times New Roman"/>
        </w:rPr>
        <w:t xml:space="preserve"> indicates pre-Columbian maize cultivation is being practiced on the lake shore for at least the last ca. 1,000 years.</w:t>
      </w:r>
    </w:p>
    <w:p w:rsidR="00090084" w:rsidRDefault="00090084" w:rsidP="00090084">
      <w:pPr>
        <w:pStyle w:val="BodyText"/>
        <w:spacing w:line="215" w:lineRule="auto"/>
        <w:ind w:right="150" w:firstLine="199"/>
        <w:jc w:val="both"/>
        <w:rPr>
          <w:rFonts w:ascii="Times New Roman" w:hAnsi="Times New Roman" w:cs="Times New Roman"/>
        </w:rPr>
      </w:pPr>
    </w:p>
    <w:p w:rsidR="00090084" w:rsidRPr="00090084" w:rsidRDefault="00090084"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3.2 Distinguishing local and regional fire signals</w:t>
      </w:r>
    </w:p>
    <w:p w:rsidR="00090084" w:rsidRDefault="00090084" w:rsidP="00090084">
      <w:pPr>
        <w:pStyle w:val="BodyText"/>
        <w:spacing w:line="215" w:lineRule="auto"/>
        <w:ind w:right="150" w:firstLine="199"/>
        <w:jc w:val="both"/>
        <w:rPr>
          <w:rFonts w:ascii="Times New Roman" w:hAnsi="Times New Roman" w:cs="Times New Roman"/>
          <w:i/>
        </w:rPr>
      </w:pPr>
    </w:p>
    <w:p w:rsidR="00090084" w:rsidRDefault="00090084" w:rsidP="00090084">
      <w:pPr>
        <w:pStyle w:val="BodyText"/>
        <w:spacing w:line="215" w:lineRule="auto"/>
        <w:ind w:right="150" w:firstLine="199"/>
        <w:jc w:val="both"/>
        <w:rPr>
          <w:rFonts w:ascii="Times New Roman" w:eastAsia="Times New Roman" w:hAnsi="Times New Roman" w:cs="Times New Roman"/>
        </w:rPr>
      </w:pPr>
      <w:r w:rsidRPr="008736A7">
        <w:rPr>
          <w:rFonts w:ascii="Times New Roman" w:hAnsi="Times New Roman" w:cs="Times New Roman"/>
        </w:rPr>
        <w:t xml:space="preserve">High resolution (HR) and low resolution (LR) charcoal influx data (number of charcoal particles cm </w:t>
      </w:r>
      <w:r w:rsidRPr="008736A7">
        <w:rPr>
          <w:rFonts w:ascii="Times New Roman" w:hAnsi="Times New Roman" w:cs="Times New Roman"/>
          <w:vertAlign w:val="superscript"/>
        </w:rPr>
        <w:t xml:space="preserve">-2 </w:t>
      </w:r>
      <w:r w:rsidRPr="008736A7">
        <w:rPr>
          <w:rFonts w:ascii="Times New Roman" w:hAnsi="Times New Roman" w:cs="Times New Roman"/>
        </w:rPr>
        <w:t xml:space="preserve">yr </w:t>
      </w:r>
      <w:r w:rsidRPr="008736A7">
        <w:rPr>
          <w:rFonts w:ascii="Times New Roman" w:hAnsi="Times New Roman" w:cs="Times New Roman"/>
          <w:vertAlign w:val="superscript"/>
        </w:rPr>
        <w:t>-1</w:t>
      </w:r>
      <w:r w:rsidRPr="008736A7">
        <w:rPr>
          <w:rFonts w:ascii="Times New Roman" w:hAnsi="Times New Roman" w:cs="Times New Roman"/>
        </w:rPr>
        <w:t xml:space="preserve">) are compared with the same core to evaluate the effects of sample resolution in reconstructing past biomass burning (Figure 4).  </w:t>
      </w:r>
      <w:r w:rsidRPr="008736A7">
        <w:rPr>
          <w:rFonts w:ascii="Times New Roman" w:eastAsia="Times New Roman" w:hAnsi="Times New Roman" w:cs="Times New Roman"/>
        </w:rPr>
        <w:t>In this comparison, HR sampling more than doubled the number of particles at any given</w:t>
      </w:r>
      <w:r>
        <w:rPr>
          <w:rFonts w:ascii="Times New Roman" w:eastAsia="Times New Roman" w:hAnsi="Times New Roman" w:cs="Times New Roman"/>
        </w:rPr>
        <w:t xml:space="preserve"> </w:t>
      </w:r>
      <w:r w:rsidRPr="008736A7">
        <w:rPr>
          <w:rFonts w:ascii="Times New Roman" w:eastAsia="Times New Roman" w:hAnsi="Times New Roman" w:cs="Times New Roman"/>
        </w:rPr>
        <w:t>depth.</w:t>
      </w:r>
      <w:r w:rsidRPr="00090084">
        <w:rPr>
          <w:rFonts w:ascii="Times New Roman" w:eastAsia="Times New Roman" w:hAnsi="Times New Roman" w:cs="Times New Roman"/>
        </w:rPr>
        <w:t xml:space="preserve"> </w:t>
      </w:r>
      <w:r w:rsidRPr="008736A7">
        <w:rPr>
          <w:rFonts w:ascii="Times New Roman" w:eastAsia="Times New Roman" w:hAnsi="Times New Roman" w:cs="Times New Roman"/>
        </w:rPr>
        <w:t xml:space="preserve">This is likely the result of the </w:t>
      </w:r>
      <w:r w:rsidRPr="008736A7">
        <w:rPr>
          <w:rFonts w:ascii="Times New Roman" w:hAnsi="Times New Roman" w:cs="Times New Roman"/>
        </w:rPr>
        <w:t xml:space="preserve">inherent variability between the measurement methods and between the measurement biases made between different analysts, </w:t>
      </w:r>
      <w:r w:rsidRPr="008736A7">
        <w:rPr>
          <w:rFonts w:ascii="Times New Roman" w:eastAsia="Times New Roman" w:hAnsi="Times New Roman" w:cs="Times New Roman"/>
        </w:rPr>
        <w:t>or a</w:t>
      </w:r>
      <w:r>
        <w:rPr>
          <w:rFonts w:ascii="Times New Roman" w:eastAsia="Times New Roman" w:hAnsi="Times New Roman" w:cs="Times New Roman"/>
        </w:rPr>
        <w:t xml:space="preserve"> </w:t>
      </w:r>
      <w:r w:rsidRPr="008736A7">
        <w:rPr>
          <w:rFonts w:ascii="Times New Roman" w:eastAsia="Times New Roman" w:hAnsi="Times New Roman" w:cs="Times New Roman"/>
        </w:rPr>
        <w:t xml:space="preserve">combination of both. </w:t>
      </w:r>
      <w:r w:rsidRPr="008736A7">
        <w:rPr>
          <w:rFonts w:ascii="Times New Roman" w:hAnsi="Times New Roman" w:cs="Times New Roman"/>
        </w:rPr>
        <w:t xml:space="preserve">During the middle-late Holocene (ca. 7,000-5,000 cal yr BP), the LR charcoal sampling conducted in </w:t>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r>
        <w:rPr>
          <w:noProof/>
          <w:lang w:val="en-GB" w:eastAsia="en-GB"/>
        </w:rPr>
        <w:drawing>
          <wp:anchor distT="0" distB="0" distL="114300" distR="114300" simplePos="0" relativeHeight="251660288" behindDoc="0" locked="0" layoutInCell="1" allowOverlap="1" wp14:anchorId="746D337D" wp14:editId="1C5D295D">
            <wp:simplePos x="0" y="0"/>
            <wp:positionH relativeFrom="column">
              <wp:posOffset>1177925</wp:posOffset>
            </wp:positionH>
            <wp:positionV relativeFrom="paragraph">
              <wp:posOffset>85725</wp:posOffset>
            </wp:positionV>
            <wp:extent cx="5048885" cy="5379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Chaplin Summary Pollen holocene.png"/>
                    <pic:cNvPicPr/>
                  </pic:nvPicPr>
                  <pic:blipFill>
                    <a:blip r:embed="rId11">
                      <a:extLst>
                        <a:ext uri="{28A0092B-C50C-407E-A947-70E740481C1C}">
                          <a14:useLocalDpi xmlns:a14="http://schemas.microsoft.com/office/drawing/2010/main" val="0"/>
                        </a:ext>
                      </a:extLst>
                    </a:blip>
                    <a:stretch>
                      <a:fillRect/>
                    </a:stretch>
                  </pic:blipFill>
                  <pic:spPr>
                    <a:xfrm>
                      <a:off x="0" y="0"/>
                      <a:ext cx="5048885" cy="5379720"/>
                    </a:xfrm>
                    <a:prstGeom prst="rect">
                      <a:avLst/>
                    </a:prstGeom>
                  </pic:spPr>
                </pic:pic>
              </a:graphicData>
            </a:graphic>
            <wp14:sizeRelH relativeFrom="page">
              <wp14:pctWidth>0</wp14:pctWidth>
            </wp14:sizeRelH>
            <wp14:sizeRelV relativeFrom="page">
              <wp14:pctHeight>0</wp14:pctHeight>
            </wp14:sizeRelV>
          </wp:anchor>
        </w:drawing>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left="0" w:right="150"/>
        <w:jc w:val="both"/>
        <w:rPr>
          <w:rFonts w:ascii="Times New Roman" w:hAnsi="Times New Roman" w:cs="Times New Roman"/>
        </w:rPr>
      </w:pPr>
    </w:p>
    <w:p w:rsidR="00090084" w:rsidRDefault="00090084" w:rsidP="00090084">
      <w:pPr>
        <w:pStyle w:val="BodyText"/>
        <w:spacing w:line="215" w:lineRule="auto"/>
        <w:ind w:left="0" w:right="150"/>
        <w:jc w:val="both"/>
        <w:rPr>
          <w:rFonts w:ascii="Times New Roman" w:hAnsi="Times New Roman" w:cs="Times New Roman"/>
        </w:rPr>
      </w:pPr>
    </w:p>
    <w:p w:rsidR="00090084" w:rsidRPr="00090084" w:rsidRDefault="00090084" w:rsidP="00090084">
      <w:pPr>
        <w:pStyle w:val="BodyText"/>
        <w:spacing w:line="215" w:lineRule="auto"/>
        <w:ind w:right="150"/>
        <w:jc w:val="both"/>
        <w:rPr>
          <w:rFonts w:ascii="Times New Roman" w:hAnsi="Times New Roman" w:cs="Times New Roman"/>
          <w:sz w:val="18"/>
          <w:szCs w:val="18"/>
        </w:rPr>
      </w:pPr>
      <w:r w:rsidRPr="00090084">
        <w:rPr>
          <w:rFonts w:ascii="Times New Roman" w:hAnsi="Times New Roman" w:cs="Times New Roman"/>
          <w:sz w:val="18"/>
          <w:szCs w:val="18"/>
        </w:rPr>
        <w:t xml:space="preserve">Figure 3: Laguna Chaplin summary pollen percentage diagram showing herbs, palms and pollen indicative of rainforest (Moraceae/Urticaceae): a) % Moraceae/Urticaceae, b) % Mauritia/Mauritiella, c) % Cyperaceae, d) % Poaceae, e) % Asteraceae, f) % herb brown &amp; % Moraceae/Urticaceae green, g) yellow circles indicate individual counts of </w:t>
      </w:r>
      <w:r w:rsidRPr="00090084">
        <w:rPr>
          <w:rFonts w:ascii="Times New Roman" w:hAnsi="Times New Roman" w:cs="Times New Roman"/>
          <w:i/>
          <w:sz w:val="18"/>
          <w:szCs w:val="18"/>
        </w:rPr>
        <w:t>Zea mays.</w:t>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r w:rsidRPr="008736A7">
        <w:rPr>
          <w:rFonts w:ascii="Times New Roman" w:hAnsi="Times New Roman" w:cs="Times New Roman"/>
        </w:rPr>
        <w:t xml:space="preserve">the original analysis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"plainTextFormattedCitation" : "(Burbridge et al., 2004)", "previouslyFormattedCitation" : "(Burbridge et al., 2004)"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w:t>
      </w:r>
      <w:r w:rsidRPr="008736A7">
        <w:rPr>
          <w:rFonts w:ascii="Times New Roman" w:hAnsi="Times New Roman" w:cs="Times New Roman"/>
        </w:rPr>
        <w:fldChar w:fldCharType="end"/>
      </w:r>
      <w:r w:rsidRPr="008736A7">
        <w:rPr>
          <w:rFonts w:ascii="Times New Roman" w:hAnsi="Times New Roman" w:cs="Times New Roman"/>
        </w:rPr>
        <w:t xml:space="preserve"> identifies a slight increase in fire activity ca. 7,000 cal yr BP. LR RSI values indicate higher fire activity</w:t>
      </w:r>
      <w:r>
        <w:rPr>
          <w:rFonts w:ascii="Times New Roman" w:hAnsi="Times New Roman" w:cs="Times New Roman"/>
        </w:rPr>
        <w:t xml:space="preserve"> </w:t>
      </w:r>
      <w:r w:rsidRPr="008736A7">
        <w:rPr>
          <w:rFonts w:ascii="Times New Roman" w:hAnsi="Times New Roman" w:cs="Times New Roman"/>
        </w:rPr>
        <w:t xml:space="preserve">than present. HR charcoal values indicate an increase ca. 5,500 cal yr BP along with RSI values indicative of higher severity fire regimes. The lack of data points in the original LR sampling ca. 5,000-1,000 cal yr BP results in a shift in the RSI values towards less severe fire regimes ca. 5,000 cal yr BP, whereas HR sampling indicates maximum charcoal influx (ca. 5,000-2,000 cal yr BP) with increasingly severe fire regime shifts at ca. 5,000 and 3,000 cal yr BP. This increase is captured in the LR record (ca. 2,500 cal yr BP) but since there is only one data point in the LR sampling that reflected an increase during this period, the RSI values did not register a change in the fire regime. After ca. 2,000 cal yr BP, HR influx values and RSI values decreased to lower severity fire regimes. The step changes that occur during the past two millennia are in phase with the expansion in rainforest pollen taxa associated with the non-fire adapted, less flammable humid rainforest vegetation. At ca. 700 cal yr BP both LR and HR charcoal records indicate decreased biomass burning and lower severity fire regimes, although charcoal is still present in both records. </w:t>
      </w:r>
    </w:p>
    <w:p w:rsidR="00090084" w:rsidRDefault="00090084" w:rsidP="00090084">
      <w:pPr>
        <w:pStyle w:val="BodyText"/>
        <w:spacing w:line="215" w:lineRule="auto"/>
        <w:ind w:left="0" w:right="150"/>
        <w:jc w:val="both"/>
        <w:rPr>
          <w:rFonts w:ascii="Times New Roman" w:eastAsia="Times New Roman" w:hAnsi="Times New Roman" w:cs="Times New Roman"/>
        </w:rPr>
      </w:pPr>
      <w:r>
        <w:rPr>
          <w:noProof/>
          <w:lang w:val="en-GB" w:eastAsia="en-GB"/>
        </w:rPr>
        <w:lastRenderedPageBreak/>
        <w:drawing>
          <wp:anchor distT="0" distB="0" distL="114300" distR="114300" simplePos="0" relativeHeight="251666432" behindDoc="0" locked="0" layoutInCell="1" allowOverlap="1" wp14:anchorId="23CAE5F2" wp14:editId="39E443F7">
            <wp:simplePos x="0" y="0"/>
            <wp:positionH relativeFrom="column">
              <wp:posOffset>1186555</wp:posOffset>
            </wp:positionH>
            <wp:positionV relativeFrom="paragraph">
              <wp:posOffset>46355</wp:posOffset>
            </wp:positionV>
            <wp:extent cx="5077460" cy="2981325"/>
            <wp:effectExtent l="0" t="0" r="889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Chaplin_Char_High-low resolution holocene.png"/>
                    <pic:cNvPicPr/>
                  </pic:nvPicPr>
                  <pic:blipFill>
                    <a:blip r:embed="rId12">
                      <a:extLst>
                        <a:ext uri="{28A0092B-C50C-407E-A947-70E740481C1C}">
                          <a14:useLocalDpi xmlns:a14="http://schemas.microsoft.com/office/drawing/2010/main" val="0"/>
                        </a:ext>
                      </a:extLst>
                    </a:blip>
                    <a:stretch>
                      <a:fillRect/>
                    </a:stretch>
                  </pic:blipFill>
                  <pic:spPr>
                    <a:xfrm>
                      <a:off x="0" y="0"/>
                      <a:ext cx="5077460" cy="2981325"/>
                    </a:xfrm>
                    <a:prstGeom prst="rect">
                      <a:avLst/>
                    </a:prstGeom>
                  </pic:spPr>
                </pic:pic>
              </a:graphicData>
            </a:graphic>
            <wp14:sizeRelH relativeFrom="page">
              <wp14:pctWidth>0</wp14:pctWidth>
            </wp14:sizeRelH>
            <wp14:sizeRelV relativeFrom="page">
              <wp14:pctHeight>0</wp14:pctHeight>
            </wp14:sizeRelV>
          </wp:anchor>
        </w:drawing>
      </w: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eastAsia="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sz w:val="18"/>
          <w:szCs w:val="18"/>
        </w:rPr>
      </w:pPr>
      <w:r w:rsidRPr="00090084">
        <w:rPr>
          <w:rFonts w:ascii="Times New Roman" w:hAnsi="Times New Roman" w:cs="Times New Roman"/>
          <w:sz w:val="18"/>
          <w:szCs w:val="18"/>
        </w:rPr>
        <w:t>Figure 4: Laguna Chaplin Low and High-Resolution Charcoal Influx: a) original low-resolution charcoal influx, b) low-resolution regime shift index, c) high-resolution charcoal influx, d) high-resolution regime shift index.</w:t>
      </w:r>
    </w:p>
    <w:p w:rsidR="00090084" w:rsidRDefault="00090084" w:rsidP="00090084">
      <w:pPr>
        <w:pStyle w:val="BodyText"/>
        <w:spacing w:line="215" w:lineRule="auto"/>
        <w:ind w:right="150"/>
        <w:jc w:val="both"/>
        <w:rPr>
          <w:rFonts w:ascii="Times New Roman" w:hAnsi="Times New Roman" w:cs="Times New Roman"/>
          <w:sz w:val="18"/>
          <w:szCs w:val="18"/>
        </w:rPr>
      </w:pPr>
    </w:p>
    <w:p w:rsidR="00090084" w:rsidRDefault="00090084" w:rsidP="00090084">
      <w:pPr>
        <w:pStyle w:val="BodyText"/>
        <w:spacing w:line="215" w:lineRule="auto"/>
        <w:ind w:right="150"/>
        <w:jc w:val="both"/>
        <w:rPr>
          <w:rFonts w:ascii="Times New Roman" w:hAnsi="Times New Roman" w:cs="Times New Roman"/>
          <w:sz w:val="18"/>
          <w:szCs w:val="18"/>
        </w:rPr>
      </w:pPr>
    </w:p>
    <w:p w:rsidR="00090084" w:rsidRPr="00090084" w:rsidRDefault="00090084" w:rsidP="00090084">
      <w:pPr>
        <w:pStyle w:val="BodyText"/>
        <w:spacing w:line="215" w:lineRule="auto"/>
        <w:ind w:right="150"/>
        <w:jc w:val="both"/>
        <w:rPr>
          <w:rFonts w:ascii="Times New Roman" w:hAnsi="Times New Roman" w:cs="Times New Roman"/>
          <w:sz w:val="18"/>
          <w:szCs w:val="18"/>
        </w:rPr>
      </w:pPr>
    </w:p>
    <w:p w:rsidR="00090084"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HR Charcoal influx values reach highest values between ca. 5,000 and 4,000 cal yr BP and ca. 3,000 to 2,000 cal yr BP (Figure 5). HR CHAR Analysis indicates the largest peak magnitude episodes occur ca. 5,000 (ca. 5,000 cm</w:t>
      </w:r>
      <w:r w:rsidRPr="008736A7">
        <w:rPr>
          <w:rFonts w:ascii="Times New Roman" w:hAnsi="Times New Roman" w:cs="Times New Roman"/>
          <w:vertAlign w:val="superscript"/>
        </w:rPr>
        <w:t xml:space="preserve">-2 </w:t>
      </w:r>
      <w:r w:rsidRPr="008736A7">
        <w:rPr>
          <w:rFonts w:ascii="Times New Roman" w:hAnsi="Times New Roman" w:cs="Times New Roman"/>
        </w:rPr>
        <w:t>peak</w:t>
      </w:r>
      <w:r w:rsidRPr="008736A7">
        <w:rPr>
          <w:rFonts w:ascii="Times New Roman" w:hAnsi="Times New Roman" w:cs="Times New Roman"/>
          <w:vertAlign w:val="superscript"/>
        </w:rPr>
        <w:t>-1</w:t>
      </w:r>
      <w:r w:rsidRPr="008736A7">
        <w:rPr>
          <w:rFonts w:ascii="Times New Roman" w:hAnsi="Times New Roman" w:cs="Times New Roman"/>
        </w:rPr>
        <w:t>) and 3,000 cal yr BP (ca. ca. 9,000 cm</w:t>
      </w:r>
      <w:r w:rsidRPr="008736A7">
        <w:rPr>
          <w:rFonts w:ascii="Times New Roman" w:hAnsi="Times New Roman" w:cs="Times New Roman"/>
          <w:vertAlign w:val="superscript"/>
        </w:rPr>
        <w:t xml:space="preserve">-2  </w:t>
      </w:r>
      <w:r w:rsidRPr="008736A7">
        <w:rPr>
          <w:rFonts w:ascii="Times New Roman" w:hAnsi="Times New Roman" w:cs="Times New Roman"/>
        </w:rPr>
        <w:t>peak</w:t>
      </w:r>
      <w:r w:rsidRPr="008736A7">
        <w:rPr>
          <w:rFonts w:ascii="Times New Roman" w:hAnsi="Times New Roman" w:cs="Times New Roman"/>
          <w:vertAlign w:val="superscript"/>
        </w:rPr>
        <w:t>-1</w:t>
      </w:r>
      <w:r w:rsidRPr="008736A7">
        <w:rPr>
          <w:rFonts w:ascii="Times New Roman" w:hAnsi="Times New Roman" w:cs="Times New Roman"/>
        </w:rPr>
        <w:t xml:space="preserve">; figures cropped from plotting). These episodes are synchronous with the onset of major increases charcoal influx data and are interpreted as increased fire severity.  Fire frequency began increasing ca. 6,000 cal yr BP and reached its highest point (2-3 episodes/1000 yrs) ca. 4,000 cal yr BP.  Combined with low charcoal influx values (ca. 4-8) and low peak magnitude, these data are interpreted as frequent, low-severity fire activity. </w:t>
      </w:r>
    </w:p>
    <w:p w:rsidR="00090084" w:rsidRDefault="00705EBE" w:rsidP="00090084">
      <w:pPr>
        <w:pStyle w:val="BodyText"/>
        <w:spacing w:line="215" w:lineRule="auto"/>
        <w:ind w:right="150"/>
        <w:jc w:val="both"/>
        <w:rPr>
          <w:rFonts w:ascii="Times New Roman" w:hAnsi="Times New Roman" w:cs="Times New Roman"/>
        </w:rPr>
      </w:pPr>
      <w:r w:rsidRPr="008736A7">
        <w:rPr>
          <w:rFonts w:ascii="Times New Roman" w:hAnsi="Times New Roman" w:cs="Times New Roman"/>
        </w:rPr>
        <w:t xml:space="preserve">From ca. 2,000-1,000 cal yr BP charcoal influx decreases coupled with a decrease fire frequency (0-1 episodes/1000 yrs), synchronous with the decrease in seasonally dry </w:t>
      </w:r>
      <w:r w:rsidR="00090084" w:rsidRPr="008736A7">
        <w:rPr>
          <w:rFonts w:ascii="Times New Roman" w:hAnsi="Times New Roman" w:cs="Times New Roman"/>
        </w:rPr>
        <w:t>forest vegetation and expansion of fire adverse, fire-intolerant humid</w:t>
      </w:r>
      <w:r w:rsidR="00090084" w:rsidRPr="008736A7">
        <w:rPr>
          <w:rFonts w:ascii="Times New Roman" w:hAnsi="Times New Roman" w:cs="Times New Roman"/>
          <w:i/>
        </w:rPr>
        <w:t xml:space="preserve"> </w:t>
      </w:r>
      <w:r w:rsidR="00090084" w:rsidRPr="008736A7">
        <w:rPr>
          <w:rFonts w:ascii="Times New Roman" w:hAnsi="Times New Roman" w:cs="Times New Roman"/>
        </w:rPr>
        <w:t>rainforest vegetation. SPD values and archaeological site inventory data indicate an increase in human activity starting ca. 2000 cal yr BP reaching its apex ca. 600 cal yr BP. The data</w:t>
      </w:r>
      <w:r w:rsidR="00090084">
        <w:rPr>
          <w:rFonts w:ascii="Times New Roman" w:hAnsi="Times New Roman" w:cs="Times New Roman"/>
        </w:rPr>
        <w:t xml:space="preserve"> </w:t>
      </w:r>
      <w:r w:rsidR="00090084" w:rsidRPr="008736A7">
        <w:rPr>
          <w:rFonts w:ascii="Times New Roman" w:hAnsi="Times New Roman" w:cs="Times New Roman"/>
        </w:rPr>
        <w:t xml:space="preserve">corroborate with </w:t>
      </w:r>
      <w:r w:rsidR="00090084" w:rsidRPr="008736A7">
        <w:rPr>
          <w:rFonts w:ascii="Times New Roman" w:hAnsi="Times New Roman" w:cs="Times New Roman"/>
          <w:i/>
        </w:rPr>
        <w:t xml:space="preserve">Z. mays </w:t>
      </w:r>
      <w:r w:rsidR="00090084" w:rsidRPr="008736A7">
        <w:rPr>
          <w:rFonts w:ascii="Times New Roman" w:hAnsi="Times New Roman" w:cs="Times New Roman"/>
        </w:rPr>
        <w:t>pollen that is first identified ca. 970 cal yr BP and continues to</w:t>
      </w:r>
      <w:r w:rsidR="00090084">
        <w:rPr>
          <w:rFonts w:ascii="Times New Roman" w:hAnsi="Times New Roman" w:cs="Times New Roman"/>
        </w:rPr>
        <w:t xml:space="preserve"> </w:t>
      </w:r>
      <w:r w:rsidR="00090084" w:rsidRPr="008736A7">
        <w:rPr>
          <w:rFonts w:ascii="Times New Roman" w:hAnsi="Times New Roman" w:cs="Times New Roman"/>
        </w:rPr>
        <w:t xml:space="preserve">ca. 170 cal yr BP.  After ca. 600 cal yr BP there is an increase in charcoal influx values and fire frequency (0-2 episodes/1000 yrs) that is synchronous with a compositional shift toward higher abundance of less flammable rainforest taxa shown by the increase Moraceae/Urticaceae pollen (&gt; 40%) indicating the complete establishment of humid rainforest vegetation around LCH. </w:t>
      </w:r>
    </w:p>
    <w:p w:rsidR="005E68F3" w:rsidRDefault="005E68F3" w:rsidP="005E68F3">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The RCC (Figure 5) indicates decreased regional biomass burning from ca. 10,000 to</w:t>
      </w:r>
      <w:r>
        <w:rPr>
          <w:rFonts w:ascii="Times New Roman" w:hAnsi="Times New Roman" w:cs="Times New Roman"/>
        </w:rPr>
        <w:t xml:space="preserve"> </w:t>
      </w:r>
      <w:r w:rsidRPr="008736A7">
        <w:rPr>
          <w:rFonts w:ascii="Times New Roman" w:hAnsi="Times New Roman" w:cs="Times New Roman"/>
        </w:rPr>
        <w:t>6,500 cal yr BP (ca. 1.5 to -1).  There is an increase in RCC values ca. 6,500 cal yr BP (ca. -1 to 0.5), synchronous with the decrease in regional precipitation (Figure 5). These data correspond with the GTMs after ca. 6000 cal yr BP that indicate all sites across all forest types experience increased biomass burning at this time with the exception of Laguna Yaguarú and Huanchaca Mesetta  (Figure 6). The RCC indicates burning increased (ca. -0.5 to 0.5) until ca. 1,500 cal yr BP, followed by a</w:t>
      </w:r>
      <w:r w:rsidRPr="008736A7">
        <w:rPr>
          <w:rFonts w:ascii="Times New Roman" w:hAnsi="Times New Roman" w:cs="Times New Roman"/>
          <w:b/>
        </w:rPr>
        <w:t xml:space="preserve"> </w:t>
      </w:r>
      <w:r w:rsidRPr="008736A7">
        <w:rPr>
          <w:rFonts w:ascii="Times New Roman" w:hAnsi="Times New Roman" w:cs="Times New Roman"/>
        </w:rPr>
        <w:t>decrease in values (to ca. -0.5) to 1000 cal yr BP. There is an increase to ca. 0.4 at ca. 700 cal yr BP followed by a decrease in regional biomass burning to present. After ca. 700 cal yr BP the RCC correlates with the GTMs indicating decreased biomass burning across the region to present.</w:t>
      </w:r>
    </w:p>
    <w:p w:rsidR="005E68F3" w:rsidRDefault="005E68F3" w:rsidP="005E68F3">
      <w:pPr>
        <w:pStyle w:val="BodyText"/>
        <w:spacing w:line="215" w:lineRule="auto"/>
        <w:ind w:right="150" w:firstLine="199"/>
        <w:jc w:val="both"/>
        <w:rPr>
          <w:rFonts w:ascii="Times New Roman" w:hAnsi="Times New Roman" w:cs="Times New Roman"/>
        </w:rPr>
      </w:pPr>
    </w:p>
    <w:p w:rsidR="005E68F3" w:rsidRPr="00090084" w:rsidRDefault="005E68F3" w:rsidP="005E68F3">
      <w:pPr>
        <w:pStyle w:val="BodyText"/>
        <w:numPr>
          <w:ilvl w:val="1"/>
          <w:numId w:val="40"/>
        </w:numPr>
        <w:spacing w:line="215" w:lineRule="auto"/>
        <w:ind w:right="150"/>
        <w:jc w:val="both"/>
        <w:rPr>
          <w:rFonts w:ascii="Times New Roman" w:hAnsi="Times New Roman" w:cs="Times New Roman"/>
          <w:b/>
        </w:rPr>
      </w:pPr>
      <w:r w:rsidRPr="00090084">
        <w:rPr>
          <w:rFonts w:ascii="Times New Roman" w:hAnsi="Times New Roman" w:cs="Times New Roman"/>
          <w:b/>
        </w:rPr>
        <w:t>Regional Pre-Columbian Activity in the Bolivian Lowlands</w:t>
      </w:r>
    </w:p>
    <w:p w:rsidR="005E68F3" w:rsidRDefault="005E68F3" w:rsidP="005E68F3">
      <w:pPr>
        <w:pStyle w:val="BodyText"/>
        <w:spacing w:line="215" w:lineRule="auto"/>
        <w:ind w:right="150" w:firstLine="199"/>
        <w:jc w:val="both"/>
        <w:rPr>
          <w:rFonts w:ascii="Times New Roman" w:hAnsi="Times New Roman" w:cs="Times New Roman"/>
        </w:rPr>
      </w:pPr>
    </w:p>
    <w:p w:rsidR="005E68F3" w:rsidRDefault="005E68F3" w:rsidP="005E68F3">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The 150 AMS-dates compiled from archaeological sites from the Bolivian lowlands indicate low human activity during the early Holocene (SPD values &lt;0.009 and site frequency &lt; 2). There is a slight increase ca. 6,500 cal yr BP in SPDs (ca. 0.01) and site </w:t>
      </w:r>
    </w:p>
    <w:p w:rsidR="005E68F3" w:rsidRDefault="005E68F3" w:rsidP="005E68F3">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lastRenderedPageBreak/>
        <w:t xml:space="preserve"> </w:t>
      </w:r>
    </w:p>
    <w:p w:rsidR="005E68F3" w:rsidRDefault="005E68F3" w:rsidP="00090084">
      <w:pPr>
        <w:pStyle w:val="BodyText"/>
        <w:spacing w:line="215" w:lineRule="auto"/>
        <w:ind w:right="150"/>
        <w:jc w:val="both"/>
        <w:rPr>
          <w:rFonts w:ascii="Times New Roman" w:hAnsi="Times New Roman" w:cs="Times New Roman"/>
        </w:rPr>
      </w:pPr>
      <w:r>
        <w:rPr>
          <w:noProof/>
          <w:lang w:val="en-GB" w:eastAsia="en-GB"/>
        </w:rPr>
        <w:drawing>
          <wp:anchor distT="0" distB="0" distL="114300" distR="114300" simplePos="0" relativeHeight="251668480" behindDoc="0" locked="0" layoutInCell="1" allowOverlap="1" wp14:anchorId="076E751E" wp14:editId="338FB0D4">
            <wp:simplePos x="0" y="0"/>
            <wp:positionH relativeFrom="column">
              <wp:posOffset>1231900</wp:posOffset>
            </wp:positionH>
            <wp:positionV relativeFrom="paragraph">
              <wp:posOffset>56305</wp:posOffset>
            </wp:positionV>
            <wp:extent cx="5142865" cy="6843395"/>
            <wp:effectExtent l="0" t="0" r="63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Chaplin_summary figure.png"/>
                    <pic:cNvPicPr/>
                  </pic:nvPicPr>
                  <pic:blipFill>
                    <a:blip r:embed="rId13">
                      <a:extLst>
                        <a:ext uri="{28A0092B-C50C-407E-A947-70E740481C1C}">
                          <a14:useLocalDpi xmlns:a14="http://schemas.microsoft.com/office/drawing/2010/main" val="0"/>
                        </a:ext>
                      </a:extLst>
                    </a:blip>
                    <a:stretch>
                      <a:fillRect/>
                    </a:stretch>
                  </pic:blipFill>
                  <pic:spPr>
                    <a:xfrm>
                      <a:off x="0" y="0"/>
                      <a:ext cx="5142865" cy="6843395"/>
                    </a:xfrm>
                    <a:prstGeom prst="rect">
                      <a:avLst/>
                    </a:prstGeom>
                  </pic:spPr>
                </pic:pic>
              </a:graphicData>
            </a:graphic>
            <wp14:sizeRelH relativeFrom="page">
              <wp14:pctWidth>0</wp14:pctWidth>
            </wp14:sizeRelH>
            <wp14:sizeRelV relativeFrom="page">
              <wp14:pctHeight>0</wp14:pctHeight>
            </wp14:sizeRelV>
          </wp:anchor>
        </w:drawing>
      </w: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ind w:right="150"/>
        <w:jc w:val="both"/>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5E68F3">
      <w:pPr>
        <w:pStyle w:val="BodyText"/>
        <w:spacing w:line="215" w:lineRule="auto"/>
        <w:ind w:left="0" w:right="150"/>
        <w:jc w:val="both"/>
        <w:rPr>
          <w:rFonts w:ascii="Times New Roman" w:hAnsi="Times New Roman" w:cs="Times New Roman"/>
        </w:rPr>
      </w:pPr>
    </w:p>
    <w:p w:rsidR="005E68F3" w:rsidRDefault="005E68F3" w:rsidP="005E68F3">
      <w:pPr>
        <w:pStyle w:val="BodyText"/>
        <w:spacing w:line="215" w:lineRule="auto"/>
        <w:ind w:left="0" w:right="150"/>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Pr="00090084" w:rsidRDefault="00090084" w:rsidP="005E68F3">
      <w:pPr>
        <w:pStyle w:val="BodyText"/>
        <w:spacing w:line="215" w:lineRule="auto"/>
        <w:ind w:right="150"/>
        <w:jc w:val="both"/>
        <w:rPr>
          <w:rFonts w:ascii="Times New Roman" w:hAnsi="Times New Roman" w:cs="Times New Roman"/>
          <w:sz w:val="18"/>
          <w:szCs w:val="18"/>
        </w:rPr>
      </w:pPr>
      <w:r w:rsidRPr="00090084">
        <w:rPr>
          <w:rFonts w:ascii="Times New Roman" w:hAnsi="Times New Roman" w:cs="Times New Roman"/>
          <w:sz w:val="18"/>
          <w:szCs w:val="18"/>
        </w:rPr>
        <w:t xml:space="preserve">Figure 5: Laguna Chaplin Holocene Summary: a) regional SPD curve, b) number of archaeological sites, c) individual </w:t>
      </w:r>
      <w:r w:rsidRPr="00090084">
        <w:rPr>
          <w:rFonts w:ascii="Times New Roman" w:hAnsi="Times New Roman" w:cs="Times New Roman"/>
          <w:i/>
          <w:sz w:val="18"/>
          <w:szCs w:val="18"/>
        </w:rPr>
        <w:t>Zea mays</w:t>
      </w:r>
      <w:r w:rsidRPr="00090084">
        <w:rPr>
          <w:rFonts w:ascii="Times New Roman" w:hAnsi="Times New Roman" w:cs="Times New Roman"/>
          <w:sz w:val="18"/>
          <w:szCs w:val="18"/>
        </w:rPr>
        <w:t xml:space="preserve"> counts, d) % herbs in brown, e) % Moraceae/Urticaceae in green, f) CHAR peaks, g) peak magnitude (values at ca. 5,000 and 3,000 cal yr BP cropped for plotting (ca. 9,000 and 5,000 cm-2 peak-1 respectively), h) fire frequency, i) high-resolution charcoal influx, background black line is background, j) high-resolution regime shift index, k) regional charcoal curve (RCC) comprised from 12 records in the Global Charcoal Database, l) Titicaca δ13C lake level (Baker et al., 2001).</w:t>
      </w: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5E68F3" w:rsidRDefault="005E68F3" w:rsidP="00090084">
      <w:pPr>
        <w:pStyle w:val="BodyText"/>
        <w:spacing w:line="215" w:lineRule="auto"/>
        <w:ind w:right="150"/>
        <w:jc w:val="both"/>
        <w:rPr>
          <w:rFonts w:ascii="Times New Roman" w:hAnsi="Times New Roman" w:cs="Times New Roman"/>
        </w:rPr>
      </w:pPr>
      <w:r w:rsidRPr="008736A7">
        <w:rPr>
          <w:rFonts w:ascii="Times New Roman" w:hAnsi="Times New Roman" w:cs="Times New Roman"/>
        </w:rPr>
        <w:t xml:space="preserve">frequencies (ca. 3) that corresponds to a regional increase in burning indicated by the RCC values and a slight increase in charcoal influx values at LCH. Human activity and site frequencies begin to increase ca. 2,000 to 1,000 year ago (SPD values ca. 0.2, site frequency </w:t>
      </w:r>
      <w:r w:rsidRPr="008736A7">
        <w:rPr>
          <w:rFonts w:ascii="Times New Roman" w:hAnsi="Times New Roman" w:cs="Times New Roman"/>
        </w:rPr>
        <w:lastRenderedPageBreak/>
        <w:t xml:space="preserve">ca. 8), synchronous with the earliest documented evidence of </w:t>
      </w:r>
      <w:r w:rsidRPr="008736A7">
        <w:rPr>
          <w:rFonts w:ascii="Times New Roman" w:hAnsi="Times New Roman" w:cs="Times New Roman"/>
          <w:i/>
        </w:rPr>
        <w:t>Z. mays</w:t>
      </w:r>
      <w:r w:rsidRPr="008736A7">
        <w:rPr>
          <w:rFonts w:ascii="Times New Roman" w:hAnsi="Times New Roman" w:cs="Times New Roman"/>
        </w:rPr>
        <w:t xml:space="preserve"> pollen at LCH. SPD  values (ca. 0.3), indicate pre-Columbian activity reached its apex ca. 700 to 500 cal yr BP, coupled with the highest level of sites frequencies in the record (ca. 14). Maximum human activity corresponds to the expansion of Moraceae/Urticaceae pollen, the presence of </w:t>
      </w:r>
      <w:r w:rsidRPr="008736A7">
        <w:rPr>
          <w:rFonts w:ascii="Times New Roman" w:hAnsi="Times New Roman" w:cs="Times New Roman"/>
          <w:i/>
        </w:rPr>
        <w:t xml:space="preserve">Z. mays </w:t>
      </w:r>
      <w:r w:rsidRPr="008736A7">
        <w:rPr>
          <w:rFonts w:ascii="Times New Roman" w:hAnsi="Times New Roman" w:cs="Times New Roman"/>
        </w:rPr>
        <w:t>pollen, and increased fire activity at LCH coupled with the increase in RCC values indicating increased regional burning.</w:t>
      </w:r>
    </w:p>
    <w:p w:rsidR="005E68F3" w:rsidRDefault="005E68F3" w:rsidP="00090084">
      <w:pPr>
        <w:pStyle w:val="BodyText"/>
        <w:spacing w:line="215" w:lineRule="auto"/>
        <w:ind w:right="150"/>
        <w:jc w:val="both"/>
        <w:rPr>
          <w:rFonts w:ascii="Times New Roman" w:hAnsi="Times New Roman" w:cs="Times New Roman"/>
          <w:b/>
        </w:rPr>
      </w:pPr>
    </w:p>
    <w:p w:rsidR="00090084" w:rsidRPr="00090084" w:rsidRDefault="00090084"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 xml:space="preserve">4.0 </w:t>
      </w:r>
      <w:r w:rsidR="00705EBE" w:rsidRPr="00090084">
        <w:rPr>
          <w:rFonts w:ascii="Times New Roman" w:hAnsi="Times New Roman" w:cs="Times New Roman"/>
          <w:b/>
        </w:rPr>
        <w:t>Discussion</w:t>
      </w:r>
    </w:p>
    <w:p w:rsidR="00090084" w:rsidRPr="00090084" w:rsidRDefault="00090084" w:rsidP="00090084">
      <w:pPr>
        <w:pStyle w:val="BodyText"/>
        <w:spacing w:line="215" w:lineRule="auto"/>
        <w:ind w:right="150"/>
        <w:jc w:val="both"/>
        <w:rPr>
          <w:rFonts w:ascii="Times New Roman" w:hAnsi="Times New Roman" w:cs="Times New Roman"/>
          <w:b/>
        </w:rPr>
      </w:pPr>
    </w:p>
    <w:p w:rsidR="00090084" w:rsidRPr="00090084" w:rsidRDefault="00090084" w:rsidP="00090084">
      <w:pPr>
        <w:pStyle w:val="BodyText"/>
        <w:spacing w:line="215" w:lineRule="auto"/>
        <w:ind w:right="150"/>
        <w:jc w:val="both"/>
        <w:rPr>
          <w:rFonts w:ascii="Times New Roman" w:hAnsi="Times New Roman" w:cs="Times New Roman"/>
          <w:b/>
        </w:rPr>
      </w:pPr>
      <w:r w:rsidRPr="00090084">
        <w:rPr>
          <w:rFonts w:ascii="Times New Roman" w:hAnsi="Times New Roman" w:cs="Times New Roman"/>
          <w:b/>
        </w:rPr>
        <w:t xml:space="preserve">4.1 </w:t>
      </w:r>
      <w:r w:rsidR="00705EBE" w:rsidRPr="00090084">
        <w:rPr>
          <w:rFonts w:ascii="Times New Roman" w:hAnsi="Times New Roman" w:cs="Times New Roman"/>
          <w:b/>
        </w:rPr>
        <w:t>Climate Drivers of Regional Biomass Burning</w:t>
      </w:r>
    </w:p>
    <w:p w:rsidR="00090084" w:rsidRDefault="00090084" w:rsidP="00090084">
      <w:pPr>
        <w:pStyle w:val="BodyText"/>
        <w:spacing w:line="215" w:lineRule="auto"/>
        <w:ind w:right="150" w:firstLine="199"/>
        <w:jc w:val="both"/>
        <w:rPr>
          <w:rFonts w:ascii="Times New Roman" w:hAnsi="Times New Roman" w:cs="Times New Roman"/>
          <w:b/>
          <w:i/>
        </w:rPr>
      </w:pPr>
    </w:p>
    <w:p w:rsidR="005E68F3" w:rsidRDefault="00705EBE" w:rsidP="005E68F3">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During the middle Holocene, the RCC and GTMs indicate increased fire across the Bolivian lowland across a range of vegetation types including from savanna swamps, seasonally dry tropical forests and humid tropical rainforests. This synchronous increase in biomass burning after ca. 7,500 cal yr BP suggests a common mechanism causing regionally consistent responses. The mid-Holocene dry event (MHDE, ca. 7,000-4,000 cal yr BP) has been well documented in the Peruvian and Bolivian lowlands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"Abbott", "given" : "Mark B", "non-dropping-particle" : "", "parse-names" : false, "suffix" : "" }, { "dropping-particle" : "", "family" : "Wolfe", "given" : "Brent B", "non-dropping-particle" : "", "parse-names" : false, "suffix" : "" }, { "dropping-particle" : "", "family" : "Wolfe", "given" : "Alexander P", "non-dropping-particle" : "", "parse-names" : false, "suffix" : "" }, { "dropping-particle" : "", "family" : "Seltzer", "given" : "Geoffrey O", "non-dropping-particle" : "", "parse-names" : false, "suffix" : "" }, { "dropping-particle" : "", "family" : "Aravena", "given" : "Ramon", "non-dropping-particle" : "", "parse-names" : false, "suffix" : "" }, { "dropping-particle" : "", "family" : "Mark", "given" : "Brian G", "non-dropping-particle" : "", "parse-names" : false, "suffix" : "" }, { "dropping-particle" : "", "family" : "Polissar", "given" : "Pratigya J", "non-dropping-particle" : "", "parse-names" : false, "suffix" : "" }, { "dropping-particle" : "", "family" : "Rodbell", "given" : "Donald T", "non-dropping-particle" : "", "parse-names" : false, "suffix" : "" }, { "dropping-particle" : "", "family" : "Rowe", "given" : "Harry D", "non-dropping-particle" : "", "parse-names" : false, "suffix" : "" }, { "dropping-particle" : "", "family" : "Vuille", "given" : "Mathias", "non-dropping-particle" : "", "parse-names" : false, "suffix" : "" } ], "container-title" : "Palaeogeography, Palaeoclimatology, Palaeoecology", "id" : "ITEM-1", "issued" : { "date-parts" : [ [ "2003", "5" ] ] }, "page" : "123-138", "title" : "Holocene paleohydrology and glacial history of the central Andes using multiproxy lake sediment studies", "type" : "article-journal", "volume" : "194" }, "uris" : [ "http://www.mendeley.com/documents/?uuid=5319a81f-e251-4737-af05-d47ea379f87f" ] }, { "id" : "ITEM-2", "itemData" : { "ISSN" : "0036-8075", "abstract" : "Long sediment cores recovered from the deep portions of Lake Titicaca are used to reconstruct the precipitation history of tropical South America for the past 25,000 years. Lake Titicaca was a deep, fresh, and continuously overflowing lake during the last glacial stage, from before 25,000 to 15,000 calibrated years before the present (cal yr B.P.), signifying that during the last glacial maximum (LGM), the Altiplano of Bolivia and Peru and much of the Amazon basin were wetter than today. The LGM in this part of the Andes is dated at 21,000 cal yr B.P., approximately coincident with the global LGM. Maximum aridity and lowest lake level occurred in the early and middle Holocene (8000 to 5500 cal yr B.P.) during a time of low summer insolation. Today, rising levels of Lake Titicaca and wet conditions in Amazonia are correlated with anomalously cold sea-surface temperatures in the northern equatorial Atlantic. Likewise, during the deglacial and Holocene periods, there were several millennial-scale wet phases on the Altiplano and in Amazonia that coincided with anomalously cold periods in the equatorial and high-latitude North Atlantic, such as the Younger Dryas.", "author" : [ { "dropping-particle" : "", "family" : "Baker", "given" : "P A", "non-dropping-particle" : "", "parse-names" : false, "suffix" : "" }, { "dropping-particle" : "", "family" : "Seltzer", "given" : "G O", "non-dropping-particle" : "", "parse-names" : false, "suffix" : "" }, { "dropping-particle" : "", "family" : "Fritz", "given" : "S C", "non-dropping-particle" : "", "parse-names" : false, "suffix" : "" }, { "dropping-particle" : "", "family" : "Dunbar", "given" : "R B", "non-dropping-particle" : "", "parse-names" : false, "suffix" : "" }, { "dropping-particle" : "", "family" : "Grove", "given" : "M J", "non-dropping-particle" : "", "parse-names" : false, "suffix" : "" }, { "dropping-particle" : "", "family" : "Tapia", "given" : "P M", "non-dropping-particle" : "", "parse-names" : false, "suffix" : "" }, { "dropping-particle" : "", "family" : "Cross", "given" : "S L", "non-dropping-particle" : "", "parse-names" : false, "suffix" : "" }, { "dropping-particle" : "", "family" : "Rowe", "given" : "H D", "non-dropping-particle" : "", "parse-names" : false, "suffix" : "" }, { "dropping-particle" : "", "family" : "Broda", "given" : "J P", "non-dropping-particle" : "", "parse-names" : false, "suffix" : "" } ], "container-title" : "Science (New York, N.Y.)", "id" : "ITEM-2", "issued" : { "date-parts" : [ [ "2001", "1", "26" ] ] }, "page" : "640-643", "title" : "The history of South American tropical precipitation for the past 25,000 years.", "type" : "article-journal", "volume" : "291" }, "uris" : [ "http://www.mendeley.com/documents/?uuid=5ebdc84f-f57c-450f-8597-f0e7c3b22fcd" ] }, { "id" : "ITEM-3", "itemData" : { "author" : [ { "dropping-particle" : "", "family" : "Cruz", "given" : "Francisco W.", "non-dropping-particle" : "", "parse-names" : false, "suffix" : "" }, { "dropping-particle" : "", "family" : "Karmann", "given" : "Ivo", "non-dropping-particle" : "", "parse-names" : false, "suffix" : "" }, { "dropping-particle" : "", "family" : "Viana", "given" : "Oduvaldo", "non-dropping-particle" : "", "parse-names" : false, "suffix" : "" }, { "dropping-particle" : "", "family" : "Burns", "given" : "Stephen J.", "non-dropping-particle" : "", "parse-names" : false, "suffix" : "" }, { "dropping-particle" : "", "family" : "Ferrari", "given" : "Jos\u00e9 a.", "non-dropping-particle" : "", "parse-names" : false, "suffix" : "" }, { "dropping-particle" : "", "family" : "Vuille", "given" : "Mathias", "non-dropping-particle" : "", "parse-names" : false, "suffix" : "" }, { "dropping-particle" : "", "family" : "Sial", "given" : "Alcides N.", "non-dropping-particle" : "", "parse-names" : false, "suffix" : "" }, { "dropping-particle" : "", "family" : "Moreira", "given" : "Marcelo Z.", "non-dropping-particle" : "", "parse-names" : false, "suffix" : "" } ], "container-title" : "Chemical Geology", "id" : "ITEM-3", "issued" : { "date-parts" : [ [ "2005", "8" ] ] }, "page" : "245-262", "title" : "Stable isotope study of cave percolation waters in subtropical Brazil: Implications for paleoclimate inferences from speleothems", "type" : "article-journal", "volume" : "220" }, "uris" : [ "http://www.mendeley.com/documents/?uuid=aa1ca29a-585a-41b3-a319-d55a422bb468" ] }, { "id" : "ITEM-4", "itemData" : { "ISSN" : "1099-1417", "author" : [ { "dropping-particle" : "", "family" : "Hanselman", "given" : "Jennifer A", "non-dropping-particle" : "", "parse-names" : false, "suffix" : "" }, { "dropping-particle" : "", "family" : "Gosling", "given" : "William D", "non-dropping-particle" : "", "parse-names" : false, "suffix" : "" }, { "dropping-particle" : "", "family" : "Paduano", "given" : "Gina M", "non-dropping-particle" : "", "parse-names" : false, "suffix" : "" }, { "dropping-particle" : "", "family" : "Bush", "given" : "Mark B", "non-dropping-particle" : "", "parse-names" : false, "suffix" : "" } ], "container-title" : "Journal of Quaternary Science", "id" : "ITEM-4", "issue" : "7\u20108", "issued" : { "date-parts" : [ [ "2005" ] ] }, "page" : "663-670", "publisher" : "Wiley Online Library", "title" : "Contrasting pollen histories of MIS 5e and the Holocene from Lake Titicaca (Bolivia/Peru)", "type" : "article-journal", "volume" : "20" }, "uris" : [ "http://www.mendeley.com/documents/?uuid=fb39c5b7-d85b-4c4f-b23f-80f830eb1710" ] }, { "id" : "ITEM-5", "itemData" : { "ISSN" : "0033-5894", "author" : [ { "dropping-particle" : "", "family" : "Hillyer", "given" : "Rachel", "non-dropping-particle" : "", "parse-names" : false, "suffix" : "" }, { "dropping-particle" : "", "family" : "Valencia", "given" : "Bryan G", "non-dropping-particle" : "", "parse-names" : false, "suffix" : "" }, { "dropping-particle" : "", "family" : "Bush", "given" : "Mark B", "non-dropping-particle" : "", "parse-names" : false, "suffix" : "" }, { "dropping-particle" : "", "family" : "Silman", "given" : "Miles R", "non-dropping-particle" : "", "parse-names" : false, "suffix" : "" }, { "dropping-particle" : "", "family" : "Steinitz-Kannan", "given" : "Miriam", "non-dropping-particle" : "", "parse-names" : false, "suffix" : "" } ], "container-title" : "Quaternary Research", "id" : "ITEM-5", "issue" : "1", "issued" : { "date-parts" : [ [ "2009" ] ] }, "page" : "71-82", "publisher" : "Elsevier", "title" : "A 24,700-yr paleolimnological history from the Peruvian Andes", "type" : "article-journal", "volume" : "71" }, "uris" : [ "http://www.mendeley.com/documents/?uuid=4dbbfa8f-e83a-4a7e-881c-a08bd60f95ba" ] }, { "id" : "ITEM-6", "itemData" : { "DOI" : "10.1016/j.yqres.2009.10.005", "ISSN" : "00335894", "author" : [ { "dropping-particle" : "", "family" : "Urrego", "given" : "Dunia H.", "non-dropping-particle" : "", "parse-names" : false, "suffix" : "" }, { "dropping-particle" : "", "family" : "Bush", "given" : "Mark B.", "non-dropping-particle" : "", "parse-names" : false, "suffix" : "" }, { "dropping-particle" : "", "family" : "Silman", "given" : "Miles R.", "non-dropping-particle" : "", "parse-names" : false, "suffix" : "" } ], "container-title" : "Quaternary Research", "id" : "ITEM-6", "issued" : { "date-parts" : [ [ "2010", "3" ] ] }, "page" : "364-373", "publisher" : "University of Washington", "title" : "A long history of cloud and forest migration from Lake Consuelo, Peru", "type" : "article-journal", "volume" : "73" }, "uris" : [ "http://www.mendeley.com/documents/?uuid=5e9a58b0-05d3-4790-b1fa-433535efc200" ] }, { "id" : "ITEM-7", "itemData" : { "ISSN" : "1365-2699", "author" : [ { "dropping-particle" : "", "family" : "Valencia", "given" : "B G", "non-dropping-particle" : "", "parse-names" : false, "suffix" : "" }, { "dropping-particle" : "", "family" : "Urrego", "given" : "D H", "non-dropping-particle" : "", "parse-names" : false, "suffix" : "" }, { "dropping-particle" : "", "family" : "Silman", "given" : "M R", "non-dropping-particle" : "", "parse-names" : false, "suffix" : "" }, { "dropping-particle" : "", "family" : "Bush", "given" : "M B", "non-dropping-particle" : "", "parse-names" : false, "suffix" : "" } ], "container-title" : "Journal of Biogeography", "id" : "ITEM-7", "issued" : { "date-parts" : [ [ "2010" ] ] }, "page" : "1637-1647", "publisher" : "Wiley Online Library", "title" : "From ice age to modern: a record of landscape change in an Andean cloud forest", "type" : "article-journal", "volume" : "37" }, "uris" : [ "http://www.mendeley.com/documents/?uuid=5941513e-9afe-4ae7-bc51-afd66bc5135d" ] }, { "id" : "ITEM-8", "itemData" : { "ISSN" : "0031-0182", "author" : [ { "dropping-particle" : "", "family" : "Whitney", "given" : "Bronwen S", "non-dropping-particle" : "", "parse-names" : false, "suffix" : "" }, { "dropping-particle" : "", "family" : "Mayle", "given" : "Francis E", "non-dropping-particle" : "", "parse-names" : false, "suffix" : "" }, { "dropping-particle" : "", "family" : "Punyasena", "given" : "Surangi W", "non-dropping-particle" : "", "parse-names" : false, "suffix" : "" }, { "dropping-particle" : "", "family" : "Fitzpatrick", "given" : "Katharine A", "non-dropping-particle" : "", "parse-names" : false, "suffix" : "" }, { "dropping-particle" : "", "family" : "Burn", "given" : "Michael J", "non-dropping-particle" : "", "parse-names" : false, "suffix" : "" }, { "dropping-particle" : "", "family" : "Guillen", "given" : "Rene", "non-dropping-particle" : "", "parse-names" : false, "suffix" : "" }, { "dropping-particle" : "", "family" : "Chavez", "given" : "Ezequiel", "non-dropping-particle" : "", "parse-names" : false, "suffix" : "" }, { "dropping-particle" : "", "family" : "Mann", "given" : "David", "non-dropping-particle" : "", "parse-names" : false, "suffix" : "" }, { "dropping-particle" : "", "family" : "Pennington", "given" : "R Toby", "non-dropping-particle" : "", "parse-names" : false, "suffix" : "" }, { "dropping-particle" : "", "family</w:instrText>
      </w:r>
      <w:r w:rsidRPr="008736A7">
        <w:rPr>
          <w:rFonts w:ascii="Times New Roman" w:hAnsi="Times New Roman" w:cs="Times New Roman"/>
          <w:lang w:val="fr-FR"/>
        </w:rPr>
        <w:instrText>" : "Metcalfe", "given" : "Sarah E", "non-dropping-particle" : "", "parse-names" : false, "suffix" : "" } ], "container-title" : "Palaeogeography, Palaeoclimatology, Palaeoecology", "id" : "ITEM-8", "issued" : { "date-parts" : [ [ "2011" ] ] }, "page" : "177-192", "publisher" : "Elsevier", "title" : "A 45kyr palaeoclimate record from the lowland interior of tropical South America", "type" : "article-journal", "volume" : "307" }, "uris" : [ "http://www.mendeley.com/documents/?uuid=6965be7d-96e1-4bee-86a3-c0a39e78a16b" ] } ], "mendeley" : { "formattedCitation" : "(Abbott et al., 2003; P A Baker et al., 2001; Cruz et al., 2005; Hanselman et al., 2005; Hillyer et al., 2009; Urrego et al., 2010; Valencia et al., 2010; Whitney et al., 2011)", "manualFormatting" : "(Abbott et al., 2003; Baker et al., 2001; Cruz et al., 2005b; Hanselman et al., 2005; Hillyer et al., 2009; Urrego et al., 2010; Valencia et al., 2010; Whitney et al., 2011)", "plainTextFormattedCitation" : "(Abbott et al., 2003; P A Baker et al., 2001; Cruz et al., 2005; Hanselman et al., 2005; Hillyer et al., 2009; Urrego et al., 2010; Valencia et al., 2010; Whitney et al., 2011)", "previouslyFormattedCitation" : "(Abbott et al., 2003; P A Baker et al., 2001; Cruz et al., 2005; Hanselman et al., 2005; Hillyer et al., 2009; Urrego et al., 2010; Valencia et al., 2010; Whitney et al., 2011)"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lang w:val="fr-FR"/>
        </w:rPr>
        <w:t>(Abbott et al., 2003; Baker et al., 2001; Cruz et al., 2005b; Hanselman et al., 2005; Hillyer et al., 2009; Urrego et al., 2010; Valencia et al., 2010; Whitney et al., 2011)</w:t>
      </w:r>
      <w:r w:rsidRPr="008736A7">
        <w:rPr>
          <w:rFonts w:ascii="Times New Roman" w:hAnsi="Times New Roman" w:cs="Times New Roman"/>
        </w:rPr>
        <w:fldChar w:fldCharType="end"/>
      </w:r>
      <w:r w:rsidRPr="008736A7">
        <w:rPr>
          <w:rFonts w:ascii="Times New Roman" w:hAnsi="Times New Roman" w:cs="Times New Roman"/>
          <w:lang w:val="fr-FR"/>
        </w:rPr>
        <w:t xml:space="preserve">. </w:t>
      </w:r>
      <w:r w:rsidRPr="008736A7">
        <w:rPr>
          <w:rFonts w:ascii="Times New Roman" w:hAnsi="Times New Roman" w:cs="Times New Roman"/>
        </w:rPr>
        <w:t xml:space="preserve">Previous studies correlate the decrease mid-Holocene precipitation with decreased Austral Summer Mean insolation which impacts the position of the South American low-pressure and convective systems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"id" : "ITEM-2", "itemData" : { "ISSN" : "0036-8075", "author" : [ { "dropping-particle" : "", "family" : "Seltzer", "given" : "Geoffrey O", "non-dropping-particle" : "", "parse-names" : false, "suffix" : "" }, { "dropping-particle" : "", "family" : "Rodbell", "given" : "D T", "non-dropping-particle" : "", "parse-names" : false, "suffix" : "" }, { "dropping-particle" : "", "family" : "Baker", "given" : "P A", "non-dropping-particle" : "", "parse-names" : false, "suffix" : "" }, { "dropping-particle" : "", "family" : "Fritz", "given" : "Sherilyn C", "non-dropping-particle" : "", "parse-names" : false, "suffix" : "" }, { "dropping-particle" : "", "family" : "Tapia", "given" : "P M", "non-dropping-particle" : "", "parse-names" : false, "suffix" : "" }, { "dropping-particle" : "", "family" : "Rowe", "given" : "H D", "non-dropping-particle" : "", "parse-names" : false, "suffix" : "" }, { "dropping-particle" : "", "family" : "Dunbar", "given" : "R B", "non-dropping-particle" : "", "parse-names" : false, "suffix" : "" } ], "container-title" : "Science", "id" : "ITEM-2", "issue" : "5573", "issued" : { "date-parts" : [ [ "2002" ] ] }, "page" : "1685-1686", "publisher" : "American Association for the Advancement of Science", "title" : "Early warming of tropical South America at the last glacial-interglacial transition", "type" : "article-journal", "volume" : "296" }, "uris" : [ "http://www.mendeley.com/documents/?uuid=c89dc892-a569-481b-96ec-bde94f57fe1b" ] }, { "id" : "ITEM-3", "itemData" : { "author" : [ { "dropping-particle" : "", "family" : "Abbott", "given" : "Mark B", "non-dropping-particle" : "", "parse-names" : false, "suffix" : "" }, { "dropping-particle" : "", "family" : "Wolfe", "given" : "Brent B", "non-dropping-particle" : "", "parse-names" : false, "suffix" : "" }, { "dropping-particle" : "", "family" : "Wolfe", "given" : "Alexander P", "non-dropping-particle" : "", "parse-names" : false, "suffix" : "" }, { "dropping-particle" : "", "family" : "Seltzer", "given" : "Geoffrey O", "non-dropping-particle" : "", "parse-names" : false, "suffix" : "" }, { "dropping-particle" : "", "family" : "Aravena", "given" : "Ramon", "non-dropping-particle" : "", "parse-names" : false, "suffix" : "" }, { "dropping-particle" : "", "family" : "Mark", "given" : "Brian G", "non-dropping-particle" : "", "parse-names" : false, "suffix" : "" }, { "dropping-particle" : "", "family" : "Polissar", "given" : "Pratigya J", "non-dropping-particle" : "", "parse-names" : false, "suffix" : "" }, { "dropping-particle" : "", "family" : "Rodbell", "given" : "Donald T", "non-dropping-particle" : "", "parse-names" : false, "suffix" : "" }, { "dropping-particle" : "", "family" : "Rowe", "given" : "Harry D", "non-dropping-particle" : "", "parse-names" : false, "suffix" : "" }, { "dropping-particle" : "", "family" : "Vuille", "given" : "Mathias", "non-dropping-particle" : "", "parse-names" : false, "suffix" : "" } ], "container-title" : "Palaeogeography, Palaeoclimatology, Palaeoecology", "id" : "ITEM-3", "issued" : { "date-parts" : [ [ "2003", "5" ] ] }, "page" : "123-138", "title" : "Holocene paleohydrology and glacial history of the central Andes using multiproxy lake sediment studies", "type" : "article-journal", "volume" : "194" }, "uris" : [ "http://www.mendeley.com/documents/?uuid=5319a81f-e251-4737-af05-d47ea379f87f" ] } ], "mendeley" : { "formattedCitation" : "(Abbott et al., 2003; Mayle et al., 2000; Seltzer et al., 2002)", "plainTextFormattedCitation" : "(Abbott et al., 2003; Mayle et al., 2000; Seltzer et al., 2002)", "previouslyFormattedCitation" : "(Abbott et al., 2003; Mayle et al., 2000; Seltzer et al., 2002)"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(Abbott et al., 2003; Mayle et al., 2000; Seltzer et al., 2002)</w:t>
      </w:r>
      <w:r w:rsidRPr="008736A7">
        <w:rPr>
          <w:rFonts w:ascii="Times New Roman" w:hAnsi="Times New Roman" w:cs="Times New Roman"/>
        </w:rPr>
        <w:fldChar w:fldCharType="end"/>
      </w:r>
      <w:r w:rsidRPr="008736A7">
        <w:rPr>
          <w:rFonts w:ascii="Times New Roman" w:hAnsi="Times New Roman" w:cs="Times New Roman"/>
        </w:rPr>
        <w:t xml:space="preserve">. This results in an increase in the length and severity of the dry season. Existing sedimentary charcoal records from the Neotropics suggest that increased regional scale fire activity is associated with periods of high climate variability, including changes in moisture budgets and the intensification of seasonal droughts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"Power", "given" : "Mitchell J.", "non-dropping-particle" : "", "parse-names" : false, "suffix" : "" }, { "dropping-particle" : "", "family" : "Bush", "given" : "Mark. B.", "non-dropping-particle" : "", "parse-names" : false, "suffix" : "" }, { "dropping-particle" : "", "family" : "Behling", "given" : "Hermann", "non-dropping-particle" : "", "parse-names" : false, "suffix" : "" }, { "dropping-particle" : "", "family" : "Horn", "given" : "Sally P.", "non-dropping-particle" : "", "parse-names" : false, "suffix" : "" }, { "dropping-particle" : "", "family" : "Mayle", "given" : "Francis E.", "non-dropping-particle" : "", "parse-names" : false, "suffix" : "" }, { "dropping-particle" : "", "family" : "Urrego", "given" : "Dunia H.", "non-dropping-particle" : "", "parse-names" : false, "suffix" : "" } ], "container-title" : "PAGES", "id" : "ITEM-1", "issued" : { "date-parts" : [ [ "2010" ] ] }, "page" : "4-6", "title" : "Paleofire activity in tropical America during the last 21 ka: A regional synthesis based on sedimentary charcoal", "type" : "article-journal", "volume" : "18" }, "uris" : [ "http://www.mendeley.com/documents/?uuid=9a2c6d2f-8009-44b9-81d8-88dbd55c342a" ] } ], "mendeley" : { "formattedCitation" : "(Mitchell J. Power et al., 2010)", "manualFormatting" : "(Power et al., 2010)", "plainTextFormattedCitation" : "(Mitchell J. Power et al., 2010)", "previouslyFormattedCitation" : "(Mitchell J. Power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(Power et al., 2010)</w:t>
      </w:r>
      <w:r w:rsidRPr="008736A7">
        <w:rPr>
          <w:rFonts w:ascii="Times New Roman" w:hAnsi="Times New Roman" w:cs="Times New Roman"/>
        </w:rPr>
        <w:fldChar w:fldCharType="end"/>
      </w:r>
      <w:r w:rsidRPr="008736A7">
        <w:rPr>
          <w:rFonts w:ascii="Times New Roman" w:hAnsi="Times New Roman" w:cs="Times New Roman"/>
        </w:rPr>
        <w:t xml:space="preserve">. Additionally, decreased dry-season precipitation (July-September) has recently been identified as a key factor in increased forest flammability during the 2005 and 2010 droughts in Amazonia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"0027-8424", "author" : [ { "dropping-particle" : "", "family" : "Brando", "given" : "Paulo Monteiro", "non-dropping-particle" : "", "parse-names" : false, "suffix" : "" }, { "dropping-particle" : "", "family" : "Balch", "given" : "Jennifer K", "non-dropping-particle" : "", "parse-names" : false, "suffix" : "" }, { "dropping-particle" : "", "family" : "Nepstad", "given" : "Daniel C", "non-dropping-particle" : "", "parse-names" : false, "suffix" : "" }, { "dropping-particle" : "", "family" : "Morton", "given" : "Douglas C", "non-dropping-particle" : "", "parse-names" : false, "suffix" : "" }, { "dropping-particle" : "", "family" : "Putz", "given" : "Francis E", "non-dropping-particle" : "", "parse-names" : false, "suffix" : "" }, { "dropping-particle" : "", "family" : "Coe", "given" : "Michael T", "non-dropping-particle" : "", "parse-names" : false, "suffix" : "" }, { "dropping-particle" : "", "family" : "Silv\u00e9rio", "given" : "Divino", "non-dropping-particle" : "", "parse-names" : false, "suffix" : "" }, { "dropping-particle" : "", "family" : "Macedo", "given" : "Marcia N", "non-dropping-particle" : "", "parse-names" : false, "suffix" : "" }, { "dropping-particle" : "", "family" : "Davidson", "given" : "Eric A", "non-dropping-particle" : "", "parse-names" : false, "suffix" : "" }, { "dropping-particle" : "", "family" : "N\u00f3brega", "given" : "Caroline C", "non-dropping-particle" : "", "parse-names" : false, "suffix" : "" } ], "container-title" : "Proceedings of the National Academy of Sciences", "id" : "ITEM-1", "issue" : "17", "issued" : { "date-parts" : [ [ "2014" ] ] }, "page" : "6347-6352", "publisher" : "National Acad Sciences", "title" : "Abrupt increases in Amazonian tree mortality due to drought\u2013fire interactions", "type" : "article-journal", "volume" : "111" }, "uris" : [ "http://www.mendeley.com/documents/?uuid=3d1a03bc-58df-4836-96f7-2107afcfea17" ] } ], "mendeley" : { "formattedCitation" : "(Brando et al., 2014)", "plainTextFormattedCitation" : "(Brando et al., 2014)", "previouslyFormattedCitation" : "(Brando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(Brando et al., 2014)</w:t>
      </w:r>
      <w:r w:rsidRPr="008736A7">
        <w:rPr>
          <w:rFonts w:ascii="Times New Roman" w:hAnsi="Times New Roman" w:cs="Times New Roman"/>
        </w:rPr>
        <w:fldChar w:fldCharType="end"/>
      </w:r>
      <w:r w:rsidRPr="008736A7">
        <w:rPr>
          <w:rFonts w:ascii="Times New Roman" w:hAnsi="Times New Roman" w:cs="Times New Roman"/>
        </w:rPr>
        <w:t xml:space="preserve">. Similar decreases in precipitation are likely present during the MHDE driven by the increased length of the dry season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"Urrego", "given" : "Dunia H.", "non-dropping-particle" : "", "parse-names" : false, "suffix" : "" }, { "dropping-particle" : "", "family" : "Bush", "given" : "Mark B.", "non-dropping-particle" : "", "parse-names" : false, "suffix" : "" }, { "dropping-particle" : "", "family" : "Silman", "given" : "Miles R.", "non-dropping-particle" : "", "parse-names" : false, "suffix" : "" }, { "dropping-particle" : "", "family" : "Niccum", "given" : "Brittany A.", "non-dropping-particle" : "", "parse-names" : false, "suffix" : "" }, { "dropping-particle" : "", "family" : "La Rosa", "given" : "Paulina", "non-dropping-particle" : "De", "parse-names" : false, "suffix" : "" }, { "dropping-particle" : "", "family" : "McMichael", "given" : "Crystal H.", "non-dropping-particle" : "", "parse-names" : false, "suffix" : "" }, { "dropping-particle" : "", "family" : "Hagen", "given" : "Stephen", "non-dropping-particle" : "", "parse-names" : false, "suffix" : "" }, { "dropping-particle" : "", "family" : "Palace", "given" : "Michael", "non-dropping-particle" : "", "parse-names" : false, "suffix" : "" } ], "container-title" : "Journal of Biogeography", "editor" : [ { "dropping-particle" : "", "family" : "Vetaas", "given" : "Ole", "non-dropping-particle" : "", "parse-names" : false, "suffix" : "" } ], "id" : "ITEM-1", "issued" : { "date-parts" : [ [ "2013", "3", "27" ] ] }, "page" : "521-533", "title" : "Holocene fires, forest stability and human occupation in south-western Amazonia", "type" : "article-journal", "volume" : "40" }, "uris" : [ "http://www.mendeley.com/documents/?uuid=f807d030-39b4-45cb-a3af-885f039a758e" ] } ], "mendeley" : { "formattedCitation" : "(Dunia H. Urrego et al., 2013)", "manualFormatting" : "(Urrego et al., 2013)", "plainTextFormattedCitation" : "(Dunia H. Urrego et al., 2013)", "previouslyFormattedCitation" : "(Dunia H. Urrego et al., 2013)"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(Urrego et al., 2013)</w:t>
      </w:r>
      <w:r w:rsidRPr="008736A7">
        <w:rPr>
          <w:rFonts w:ascii="Times New Roman" w:hAnsi="Times New Roman" w:cs="Times New Roman"/>
        </w:rPr>
        <w:fldChar w:fldCharType="end"/>
      </w:r>
      <w:r w:rsidRPr="008736A7">
        <w:rPr>
          <w:rFonts w:ascii="Times New Roman" w:hAnsi="Times New Roman" w:cs="Times New Roman"/>
        </w:rPr>
        <w:t xml:space="preserve">.  Longer, more severe dry seasons likely promoted the accumulation of dry fuels and increased fuel flammability in vegetation types including savanna swamps, seasonally dry tropical forest and humid tropical rainforests. The availability of abundant dry fuels likely contributed to increased lightning-caused fires during early wet-season convective thunderstorms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"0364-152X", "author" : [ { "dropping-particle" : "", "family" : "Ramos-Neto", "given" : "M\u00e1rio Barroso", "non-dropping-particle" : "", "parse-names" : false, "suffix" : "" }, { "dropping-particle" : "", "family" : "Pivello", "given" : "V\u00e2nia Regina", "non-dropping-particle" : "", "parse-names" : false, "suffix" : "" } ], "container-title" : "Environmental Management", "id" : "ITEM-1", "issued" : { "date-parts" : [ [ "2000" ] ] }, "page" : "675-684", "publisher" : "Springer", "title" : "Lightning fires in a Brazilian savanna National Park: Rethinking management strategies", "type" : "article-journal", "volume" : "26" }, "uris" : [ "http://www.mendeley.com/documents/?uuid=191d65f6-bf56-450b-86f1-8590a9329c5d" ] } ], "mendeley" : { "formattedCitation" : "(Ramos-Neto and Pivello, 2000)", "plainTextFormattedCitation" : "(Ramos-Neto and Pivello, 2000)", "previouslyFormattedCitation" : "(Ramos-Neto and Pivello, 2000)"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(Ramos-Neto and Pivello, 2000)</w:t>
      </w:r>
      <w:r w:rsidRPr="008736A7">
        <w:rPr>
          <w:rFonts w:ascii="Times New Roman" w:hAnsi="Times New Roman" w:cs="Times New Roman"/>
        </w:rPr>
        <w:fldChar w:fldCharType="end"/>
      </w:r>
      <w:r w:rsidRPr="008736A7">
        <w:rPr>
          <w:rFonts w:ascii="Times New Roman" w:hAnsi="Times New Roman" w:cs="Times New Roman"/>
        </w:rPr>
        <w:t xml:space="preserve">. This period also corresponds with early evidence of </w:t>
      </w:r>
      <w:r w:rsidRPr="008736A7">
        <w:rPr>
          <w:rFonts w:ascii="Times New Roman" w:hAnsi="Times New Roman" w:cs="Times New Roman"/>
          <w:i/>
        </w:rPr>
        <w:t xml:space="preserve">Z. mays </w:t>
      </w:r>
      <w:r w:rsidRPr="008736A7">
        <w:rPr>
          <w:rFonts w:ascii="Times New Roman" w:hAnsi="Times New Roman" w:cs="Times New Roman"/>
        </w:rPr>
        <w:t xml:space="preserve">cultivation (ca. 6,500 cal yr BP) in the </w:t>
      </w:r>
      <w:r w:rsidRPr="008736A7">
        <w:rPr>
          <w:rFonts w:ascii="Times New Roman" w:hAnsi="Times New Roman" w:cs="Times New Roman"/>
          <w:i/>
        </w:rPr>
        <w:t>Llanos de Moxos</w:t>
      </w:r>
      <w:r w:rsidRPr="008736A7">
        <w:rPr>
          <w:rFonts w:ascii="Times New Roman" w:hAnsi="Times New Roman" w:cs="Times New Roman"/>
        </w:rPr>
        <w:t xml:space="preserve">,  ca.550 </w:t>
      </w:r>
      <w:r w:rsidR="00090084" w:rsidRPr="008736A7">
        <w:rPr>
          <w:rFonts w:ascii="Times New Roman" w:hAnsi="Times New Roman" w:cs="Times New Roman"/>
        </w:rPr>
        <w:t xml:space="preserve">km NW of LCH </w:t>
      </w:r>
      <w:r w:rsidR="00090084" w:rsidRPr="008736A7">
        <w:rPr>
          <w:rFonts w:ascii="Times New Roman" w:hAnsi="Times New Roman" w:cs="Times New Roman"/>
        </w:rPr>
        <w:fldChar w:fldCharType="begin" w:fldLock="1"/>
      </w:r>
      <w:r w:rsidR="00090084" w:rsidRPr="008736A7">
        <w:rPr>
          <w:rFonts w:ascii="Times New Roman" w:hAnsi="Times New Roman" w:cs="Times New Roman"/>
        </w:rPr>
        <w:instrText>ADDIN CSL_CITATION { "citationItems" : [ { "id" : "ITEM-1", "itemData" : { "ISSN" : "0277-3791", "author" : [ { "dropping-particle" : "", "family" : "Brugger", "given" : "Sandra O", "non-dropping-particle" : "", "parse-names" : false, "suffix" : "" }, { "dropping-particle" : "", "family" : "Gobet", "given" : "Erika", "non-dropping-particle" : "", "parse-names" : false, "suffix" : "" }, { "dropping-particle" : "", "family" : "Leeuwen", "given" : "Jacqueline F N", "non-dropping-particle" : "van", "parse-names" : false, "suffix" : "" }, { "dropping-particle" : "", "family" : "Ledru", "given" : "Marie-Pierre", "non-dropping-particle" : "", "parse-names" : false, "suffix" : "" }, { "dropping-particle" : "", "family" : "Colombaroli", "given" : "Daniele", "non-dropping-particle" : "", "parse-names" : false, "suffix" : "" }, { "dropping-particle" : "", "family" : "Knaap", "given" : "W O", "non-dropping-particle" : "van der", "parse-names" : false, "suffix" : "" }, { "dropping-particle" : "", "family" : "Lombardo", "given" : "Umberto", "non-dropping-particle" : "", "parse-names" : false, "suffix" : "" }, { "dropping-particle" : "", "family" : "Escobar-Torrez", "given" : "Katerine", "non-dropping-particle" : "", "parse-names" : false, "suffix" : "" }, { "dropping-particle" : "", "family" : "Finsinger", "given" : "Walter", "non-dropping-particle" : "", "parse-names" : false, "suffix" : "" }, { "dropping-particle" : "", "family" : "Rodrigues", "given" : "Leonor", "non-dropping-particle" : "", "parse-names" : false, "suffix" : "" } ], "container-title" : "Quaternary Science Reviews", "id" : "ITEM-1", "issued" : { "date-parts" : [ [ "2016" ] ] }, "page" : "114-128", "publisher" : "Elsevier", "title" : "Long-term man\u2013environment interactions in the Bolivian Amazon: 8000 years of vegetation dynamics", "type" : "article-journal", "volume" : "132" }, "uris" : [ "http://www.mendeley.com/documents/?uuid=d28272bd-55e7-4529-877f-9e8d6491275a" ] } ], "mendeley" : { "formattedCitation" : "(Brugger et al., 2016)", "plainTextFormattedCitation" : "(Brugger et al., 2016)", "previouslyFormattedCitation" : "(Brugger et al., 2016)" }, "properties" : { "noteIndex" : 0 }, "schema" : "https://github.com/citation-style-language/schema/raw/master/csl-citation.json" }</w:instrText>
      </w:r>
      <w:r w:rsidR="00090084" w:rsidRPr="008736A7">
        <w:rPr>
          <w:rFonts w:ascii="Times New Roman" w:hAnsi="Times New Roman" w:cs="Times New Roman"/>
        </w:rPr>
        <w:fldChar w:fldCharType="separate"/>
      </w:r>
      <w:r w:rsidR="00090084" w:rsidRPr="008736A7">
        <w:rPr>
          <w:rFonts w:ascii="Times New Roman" w:hAnsi="Times New Roman" w:cs="Times New Roman"/>
          <w:noProof/>
        </w:rPr>
        <w:t>(Brugger et al., 2016)</w:t>
      </w:r>
      <w:r w:rsidR="00090084" w:rsidRPr="008736A7">
        <w:rPr>
          <w:rFonts w:ascii="Times New Roman" w:hAnsi="Times New Roman" w:cs="Times New Roman"/>
        </w:rPr>
        <w:fldChar w:fldCharType="end"/>
      </w:r>
      <w:r w:rsidR="00090084" w:rsidRPr="008736A7">
        <w:rPr>
          <w:rFonts w:ascii="Times New Roman" w:hAnsi="Times New Roman" w:cs="Times New Roman"/>
        </w:rPr>
        <w:t xml:space="preserve">. SPD values and site frequencies indicate low levels of human activity in the region, thus it is not possible to rule out that these ignitions are human-caused. However, the synchronous regional response of fire coupled with the low levels of human activity, suggests the increase in the length and severity of the dry season is likely the first order driving mechanism for the increase in </w:t>
      </w:r>
      <w:r w:rsidR="005E68F3" w:rsidRPr="008736A7">
        <w:rPr>
          <w:rFonts w:ascii="Times New Roman" w:hAnsi="Times New Roman" w:cs="Times New Roman"/>
        </w:rPr>
        <w:t>regional scale biomass burning in the Peruvian and Bol</w:t>
      </w:r>
      <w:r w:rsidR="005E68F3">
        <w:rPr>
          <w:rFonts w:ascii="Times New Roman" w:hAnsi="Times New Roman" w:cs="Times New Roman"/>
        </w:rPr>
        <w:t>ivian lowlands during the MHDE.</w:t>
      </w:r>
    </w:p>
    <w:p w:rsidR="005E68F3" w:rsidRDefault="005E68F3" w:rsidP="005E68F3">
      <w:pPr>
        <w:pStyle w:val="BodyText"/>
        <w:spacing w:line="215" w:lineRule="auto"/>
        <w:ind w:right="150"/>
        <w:jc w:val="both"/>
        <w:rPr>
          <w:rFonts w:ascii="Times New Roman" w:hAnsi="Times New Roman" w:cs="Times New Roman"/>
        </w:rPr>
      </w:pPr>
    </w:p>
    <w:p w:rsidR="005E68F3" w:rsidRDefault="005E68F3" w:rsidP="005E68F3">
      <w:pPr>
        <w:pStyle w:val="BodyText"/>
        <w:spacing w:line="215" w:lineRule="auto"/>
        <w:ind w:right="150"/>
        <w:jc w:val="both"/>
        <w:rPr>
          <w:rFonts w:ascii="Times New Roman" w:hAnsi="Times New Roman" w:cs="Times New Roman"/>
          <w:b/>
          <w:i/>
        </w:rPr>
      </w:pPr>
      <w:r w:rsidRPr="00090084">
        <w:rPr>
          <w:rFonts w:ascii="Times New Roman" w:hAnsi="Times New Roman" w:cs="Times New Roman"/>
          <w:b/>
          <w:i/>
        </w:rPr>
        <w:t>4.2 Human Drivers of Regional Scale Paleofire Activity</w:t>
      </w:r>
    </w:p>
    <w:p w:rsidR="005E68F3" w:rsidRDefault="005E68F3" w:rsidP="005E68F3">
      <w:pPr>
        <w:pStyle w:val="BodyText"/>
        <w:spacing w:line="215" w:lineRule="auto"/>
        <w:ind w:right="150" w:firstLine="199"/>
        <w:jc w:val="both"/>
        <w:rPr>
          <w:rFonts w:ascii="Times New Roman" w:hAnsi="Times New Roman" w:cs="Times New Roman"/>
          <w:b/>
          <w:i/>
        </w:rPr>
      </w:pPr>
    </w:p>
    <w:p w:rsidR="005E68F3" w:rsidRDefault="005E68F3" w:rsidP="005E68F3">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After ca. 2,000 cal yr BP, there is a regional increased biomass burning indicated by the RCC values and GTMs at all sites with the exception of Laguna Bella Vista and Huanchaca Mesetta (Figure 6, 7). Given its more northerly location, Laguna Bella Vista experienced an earlier vegetation transition (ca. 1,500 cal yr BP ) from seasonally dry tropical forest to humid tropical rainforest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"id" : "ITEM-2",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"ITEM-2", "issued" : { "date-parts" : [ [ "2004", "3" ] ] }, "page" : "215-230", "title" : "Fifty-thousand-year vegetation and climate history of Noel Kempff Mercado National Park, Bolivian Amazon", "type" : "article-journal", "volume" : "61" }, "uris" : [ "http://www.mendeley.com/documents/?uuid=a8e4cf87-4769-47b4-a1ca-0c55e96c2a4a" ] }, { "id" : "ITEM-3", "itemData" : { "ISSN" : "0036-8075", "abstract" : "Long sediment cores recovered from the deep portions of Lake Titicaca are used to reconstruct the precipitation history of tropical South America for the past 25,000 years. Lake Titicaca was a deep, fresh, and continuously overflowing lake during the last glacial stage, from before 25,000 to 15,000 calibrated years before the present (cal yr B.P.), signifying that during the last glacial maximum (LGM), the Altiplano of Bolivia and Peru and much of the Amazon basin were wetter than today. The LGM in this part of the Andes is dated at 21,000 cal yr B.P., approximately coincident with the global LGM. Maximum aridity and lowest lake level occurred in the early and middle Holocene (8000 to 5500 cal yr B.P.) during a time of low summer insolation. Today, rising levels of Lake Titicaca and wet conditions in Amazonia are correlated with anomalously cold sea-surface temperatures in the northern equatorial Atlantic. Likewise, during the deglacial and Holocene periods, there were several millennial-scale wet phases on the Altiplano and in Amazonia that coincided with anomalously cold periods in the equatorial and high-latitude North Atlantic, such as the Younger Dryas.", "author" : [ { "dropping-particle" : "", "family" : "Baker", "given" : "P A", "non-dropping-particle" : "", "parse-names" : false, "suffix" : "" }, { "dropping-particle" : "", "family" : "Seltzer", "given" : "G O", "non-dropping-particle" : "", "parse-names" : false, "suffix" : "" }, { "dropping-particle" : "", "family" : "Fritz", "given" : "S C", "non-dropping-particle" : "", "parse-names" : false, "suffix" : "" }, { "dropping-particle" : "", "family" : "Dunbar", "given" : "R B", "non-dropping-particle" : "", "parse-names" : false, "suffix" : "" }, { "dropping-particle" : "", "family" : "Grove", "given" : "M J", "non-dropping-particle" : "", "parse-names" : false, "suffix" : "" }, { "dropping-particle" : "", "family" : "Tapia", "given" : "P M", "non-dropping-particle" : "", "parse-names" : false, "suffix" : "" }, { "dropping-particle" : "", "family" : "Cross", "given" : "S L", "non-dropping-particle" : "", "parse-names" : false, "suffix" : "" }, { "dropping-particle" : "", "family" : "Rowe", "given" : "H D", "non-dropping-particle" : "", "parse-names" : false, "suffix" : "" }, { "dropping-particle" : "", "family" : "Broda", "given" : "J P", "non-dropping-particle" : "", "parse-names" : false, "suffix" : "" } ], "container-title" : "Science (New York, N.Y.)", "id" : "ITEM-3", "issued" : { "date-parts" : [ [ "2001", "1", "26" ] ] }, "page" : "640-643", "title" : "The history of South American tropical precipitation for the past 25,000 years.", "type" : "article-journal", "volume" : "291" }, "uris" : [ "http://www.mendeley.com/documents/?uuid=5ebdc84f-f57c-450f-8597-f0e7c3b22fcd" ] } ], "mendeley" : { "formattedCitation" : "(P A Baker et al., 2001; Burbridge et al., 2004; Mayle et al., 2000)", "manualFormatting" : "(Baker et al., 2001; Burbridge et al., 2004; Mayle et al., 2000)", "plainTextFormattedCitation" : "(P A Baker et al., 2001; Burbridge et al., 2004; Mayle et al., 2000)", "previouslyFormattedCitation" : "(P A Baker et al., 2001; Burbridge et al., 2004; Mayle et al., 2000)"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(Baker et al., 2001; Burbridge et al., 2004; Mayle et al., 2000)</w:t>
      </w:r>
      <w:r w:rsidRPr="008736A7">
        <w:rPr>
          <w:rFonts w:ascii="Times New Roman" w:hAnsi="Times New Roman" w:cs="Times New Roman"/>
        </w:rPr>
        <w:fldChar w:fldCharType="end"/>
      </w:r>
      <w:r w:rsidRPr="008736A7">
        <w:rPr>
          <w:rFonts w:ascii="Times New Roman" w:hAnsi="Times New Roman" w:cs="Times New Roman"/>
        </w:rPr>
        <w:t xml:space="preserve">. The turnover from fire-tolerant, fire-adapted dry forest vegetation to fire-intolerant, fire-adverse rainforest vegetation likely results in decreased biomass burning first at Laguna Bella Vista and later at LCH (Figure 6). It is difficult, however, to detect sub-millennial changes in fire and human activity at Laguna Bella Vista because of the low charcoal sample resolution (Table 2), and the lack human indicators. Huanchaca Mesetta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"1814-9340", "author" : [ { "dropping-particle" : "", "family" : "Maezumi", "given" : "S Y", "non-dropping-particle" : "", "parse-names" : false, "suffix" : "" }, { "dropping-particle" : "", "family" : "Power", "given" : "M J", "non-dropping-particle" : "", "parse-names" : false, "suffix" : "" }, { "dropping-particle" : "", "family" : "Mayle", "given" : "F E", "non-dropping-particle" : "", "parse-names" : false, "suffix" : "" }, { "dropping-particle" : "", "family" : "McLauchlan", "given" : "K", "non-dropping-particle" : "", "parse-names" : false, "suffix" : "" }, { "dropping-particle" : "", "family" : "Iriarte", "given" : "J", "non-dropping-particle" : "", "parse-names" : false, "suffix" : "" } ], "container-title" : "Climate of the Past Discussions", "id" : "ITEM-1", "issue" : "1", "issued" : { "date-parts" : [ [ "2015" ] ] }, "page" : "135-180", "publisher" : "Copernicus GmbH", "title" : "The effects of past climate variability on fire and vegetation in the cerr\u00e3do savanna ecosystem of the Huanchaca Mesetta, Noel Kempff Mercado National Park, NE Bolivia", "type" : "article-journal", "volume" : "11" }, "uris" : [ "http://www.mendeley.com/documents/?uuid=83ea98d6-7c28-4067-b2b2-48cc5efac5eb" ] } ], "mendeley" : { "formattedCitation" : "(Maezumi et al., 2015)", "plainTextFormattedCitation" : "(Maezumi et al., 2015)", "previouslyFormattedCitation" : "(Maezumi et al., 2015)"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(Maezumi et al., 2015)</w:t>
      </w:r>
      <w:r w:rsidRPr="008736A7">
        <w:rPr>
          <w:rFonts w:ascii="Times New Roman" w:hAnsi="Times New Roman" w:cs="Times New Roman"/>
        </w:rPr>
        <w:fldChar w:fldCharType="end"/>
      </w:r>
      <w:r w:rsidRPr="008736A7">
        <w:rPr>
          <w:rFonts w:ascii="Times New Roman" w:hAnsi="Times New Roman" w:cs="Times New Roman"/>
        </w:rPr>
        <w:t xml:space="preserve"> is</w:t>
      </w:r>
      <w:r w:rsidRPr="005E68F3">
        <w:rPr>
          <w:rFonts w:ascii="Times New Roman" w:hAnsi="Times New Roman" w:cs="Times New Roman"/>
        </w:rPr>
        <w:t xml:space="preserve"> </w:t>
      </w:r>
      <w:r w:rsidRPr="008736A7">
        <w:rPr>
          <w:rFonts w:ascii="Times New Roman" w:hAnsi="Times New Roman" w:cs="Times New Roman"/>
        </w:rPr>
        <w:t xml:space="preserve">located in the </w:t>
      </w:r>
      <w:r w:rsidRPr="008736A7">
        <w:rPr>
          <w:rFonts w:ascii="Times New Roman" w:hAnsi="Times New Roman" w:cs="Times New Roman"/>
          <w:i/>
        </w:rPr>
        <w:t xml:space="preserve">cerrado </w:t>
      </w:r>
      <w:r w:rsidRPr="008736A7">
        <w:rPr>
          <w:rFonts w:ascii="Times New Roman" w:hAnsi="Times New Roman" w:cs="Times New Roman"/>
        </w:rPr>
        <w:t xml:space="preserve">savanna on the remote Huanchaca Mesetta Plateau (ca. 40 km east of LCH, 1,000 m a.s.l.). Throughout the past 15,000 years, the plateau has no evidence for human activity or indicators of crop cultivation, thus provides an example of a natural, climate-driven fire regime to compare with existing charcoal records with known human land-use histories. Previous interpretations from the Bolivian lowlands attribute the increase in late Holocene fire activity to human-caused ignitions at sites ranging from fire-tolerant, </w:t>
      </w:r>
    </w:p>
    <w:p w:rsidR="00090084" w:rsidRDefault="005E68F3" w:rsidP="005E68F3">
      <w:pPr>
        <w:pStyle w:val="BodyText"/>
        <w:spacing w:line="215" w:lineRule="auto"/>
        <w:ind w:right="150"/>
        <w:jc w:val="both"/>
        <w:rPr>
          <w:rFonts w:ascii="Times New Roman" w:hAnsi="Times New Roman" w:cs="Times New Roman"/>
        </w:rPr>
      </w:pPr>
      <w:r>
        <w:rPr>
          <w:noProof/>
          <w:lang w:val="en-GB" w:eastAsia="en-GB"/>
        </w:rPr>
        <w:lastRenderedPageBreak/>
        <w:drawing>
          <wp:anchor distT="0" distB="0" distL="114300" distR="114300" simplePos="0" relativeHeight="251663360" behindDoc="0" locked="0" layoutInCell="1" allowOverlap="1" wp14:anchorId="6E377C76" wp14:editId="61AEBCF1">
            <wp:simplePos x="0" y="0"/>
            <wp:positionH relativeFrom="column">
              <wp:posOffset>1205230</wp:posOffset>
            </wp:positionH>
            <wp:positionV relativeFrom="paragraph">
              <wp:posOffset>61595</wp:posOffset>
            </wp:positionV>
            <wp:extent cx="5156200" cy="541274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_New gridded time slices Oct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6200" cy="5412740"/>
                    </a:xfrm>
                    <a:prstGeom prst="rect">
                      <a:avLst/>
                    </a:prstGeom>
                  </pic:spPr>
                </pic:pic>
              </a:graphicData>
            </a:graphic>
            <wp14:sizeRelH relativeFrom="page">
              <wp14:pctWidth>0</wp14:pctWidth>
            </wp14:sizeRelH>
            <wp14:sizeRelV relativeFrom="page">
              <wp14:pctHeight>0</wp14:pctHeight>
            </wp14:sizeRelV>
          </wp:anchor>
        </w:drawing>
      </w: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ind w:right="150"/>
        <w:jc w:val="both"/>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5E68F3" w:rsidRDefault="005E68F3" w:rsidP="00090084">
      <w:pPr>
        <w:pStyle w:val="BodyText"/>
        <w:spacing w:line="215" w:lineRule="auto"/>
        <w:ind w:right="150" w:firstLine="199"/>
        <w:jc w:val="both"/>
        <w:rPr>
          <w:rFonts w:ascii="Times New Roman" w:hAnsi="Times New Roman" w:cs="Times New Roman"/>
        </w:rPr>
      </w:pPr>
    </w:p>
    <w:p w:rsidR="005E68F3" w:rsidRDefault="005E68F3" w:rsidP="00090084">
      <w:pPr>
        <w:pStyle w:val="BodyText"/>
        <w:spacing w:line="215" w:lineRule="auto"/>
        <w:ind w:right="150" w:firstLine="199"/>
        <w:jc w:val="both"/>
        <w:rPr>
          <w:rFonts w:ascii="Times New Roman" w:hAnsi="Times New Roman" w:cs="Times New Roman"/>
        </w:rPr>
      </w:pPr>
    </w:p>
    <w:p w:rsidR="00090084" w:rsidRDefault="00090084" w:rsidP="005E68F3">
      <w:pPr>
        <w:pStyle w:val="BodyText"/>
        <w:spacing w:line="215" w:lineRule="auto"/>
        <w:ind w:left="0"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r w:rsidRPr="00090084">
        <w:rPr>
          <w:rFonts w:ascii="Times New Roman" w:hAnsi="Times New Roman" w:cs="Times New Roman"/>
          <w:sz w:val="18"/>
          <w:szCs w:val="18"/>
        </w:rPr>
        <w:t>Figure 6: Gridded Time Maps (GTMs) of Regional Biomass Burning. Charcoal records indicated by gray dots. Red indicates positive anomalies, blue indicates negative anomalies. The cell size is 15,000 m with a distance buffer of 50,000 m and time buffer is 200 years for selected time intervals.  Existing charcoal records included in this study indicated by grey dots: Werth, Parker, Vargas, Gentry, Laguna Chalalán, Laguna Santa Rosa, Laguna Oricore, Laguna Granja, Laguna Bella Vista, Laguna Chaplin, Cuatro Vientos, Huanchaca Mesetta, and Laguna Yaguarú.</w:t>
      </w:r>
      <w:r w:rsidRPr="00CD3FF9">
        <w:t xml:space="preserve">  </w:t>
      </w:r>
    </w:p>
    <w:p w:rsidR="00090084" w:rsidRDefault="00090084" w:rsidP="00090084">
      <w:pPr>
        <w:pStyle w:val="BodyText"/>
        <w:spacing w:line="215" w:lineRule="auto"/>
        <w:ind w:right="150" w:firstLine="199"/>
        <w:jc w:val="both"/>
        <w:rPr>
          <w:rFonts w:ascii="Times New Roman" w:hAnsi="Times New Roman" w:cs="Times New Roman"/>
        </w:rPr>
      </w:pPr>
    </w:p>
    <w:p w:rsidR="005E68F3" w:rsidRDefault="005E68F3" w:rsidP="005E68F3">
      <w:pPr>
        <w:pStyle w:val="BodyText"/>
        <w:spacing w:line="215" w:lineRule="auto"/>
        <w:ind w:right="150"/>
        <w:jc w:val="both"/>
        <w:rPr>
          <w:rFonts w:ascii="Times New Roman" w:hAnsi="Times New Roman" w:cs="Times New Roman"/>
        </w:rPr>
      </w:pPr>
    </w:p>
    <w:p w:rsidR="005E68F3" w:rsidRDefault="005E68F3" w:rsidP="005E68F3">
      <w:pPr>
        <w:pStyle w:val="BodyText"/>
        <w:spacing w:line="215" w:lineRule="auto"/>
        <w:ind w:right="150"/>
        <w:jc w:val="both"/>
        <w:rPr>
          <w:rFonts w:ascii="Times New Roman" w:hAnsi="Times New Roman" w:cs="Times New Roman"/>
        </w:rPr>
      </w:pPr>
      <w:r w:rsidRPr="008736A7">
        <w:rPr>
          <w:rFonts w:ascii="Times New Roman" w:hAnsi="Times New Roman" w:cs="Times New Roman"/>
        </w:rPr>
        <w:t xml:space="preserve">fire-adapted seasonally dry tropical forest (Laguna Chalalán, Laguna Santa Rosa;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"Urrego", "given" : "Dunia H.", "non-dropping-particle" : "", "parse-names" : false, "suffix" : "" }, { "dropping-particle" : "", "family" : "Bush", "given" : "Mark B.", "non-dropping-particle" : "", "parse-names" : false, "suffix" : "" }, { "dropping-particle" : "", "family" : "Silman", "given" : "Miles R.", "non-dropping-particle" : "", "parse-names" : false, "suffix" : "" }, { "dropping-particle" : "", "family" : "Niccum", "given" : "Brittany A.", "non-dropping-particle" : "", "parse-names" : false, "suffix" : "" }, { "dropping-particle" : "", "family" : "La Rosa", "given" : "Paulina", "non-dropping-particle" : "De", "parse-names" : false, "suffix" : "" }, { "dropping-particle" : "", "family" : "McMichael", "given" : "Crystal H.", "non-dropping-particle" : "", "parse-names" : false, "suffix" : "" }, { "dropping-particle" : "", "family" : "Hagen", "given" : "Stephen", "non-dropping-particle" : "", "parse-names" : false, "suffix" : "" }, { "dropping-particle" : "", "family" : "Palace", "given" : "Michael", "non-dropping-particle" : "", "parse-names" : false, "suffix" : "" } ], "container-title" : "Journal of Biogeography", "editor" : [ { "dropping-particle" : "", "family" : "Vetaas", "given" : "Ole", "non-dropping-particle" : "", "parse-names" : false, "suffix" : "" } ], "id" : "ITEM-1", "issued" : { "date-parts" : [ [ "2013", "3", "27" ] ] }, "page" : "521-533", "title" : "Holocene fires, forest stability and human occupation in south-western Amazonia", "type" : "article-journal", "volume" : "40" }, "uris" : [ "http://www.mendeley.com/documents/?uuid=f807d030-39b4-45cb-a3af-885f039a758e" ] } ], "mendeley" : { "formattedCitation" : "(Dunia H. Urrego et al., 2013)", "manualFormatting" : "Urrego et al., 2013)", "plainTextFormattedCitation" : "(Dunia H. Urrego et al., 2013)", "previouslyFormattedCitation" : "(Dunia H. Urrego et al., 2013)"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Urrego et al., 2013)</w:t>
      </w:r>
      <w:r w:rsidRPr="008736A7">
        <w:rPr>
          <w:rFonts w:ascii="Times New Roman" w:hAnsi="Times New Roman" w:cs="Times New Roman"/>
        </w:rPr>
        <w:fldChar w:fldCharType="end"/>
      </w:r>
      <w:r w:rsidRPr="008736A7">
        <w:rPr>
          <w:rFonts w:ascii="Times New Roman" w:hAnsi="Times New Roman" w:cs="Times New Roman"/>
        </w:rPr>
        <w:t xml:space="preserve"> and mixed seasonally dry tropical forest-savanna swamps (Oricore and Granja;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"mendeley" : { "formattedCitation" : "(Carson et al., 2014)", "manualFormatting" : "Carson et al., 2014)", "plainTextFormattedCitation" : "(Carson et al., 2014)", "previouslyFormattedCitation" : "(Carson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Carson et al., 2014)</w:t>
      </w:r>
      <w:r w:rsidRPr="008736A7">
        <w:rPr>
          <w:rFonts w:ascii="Times New Roman" w:hAnsi="Times New Roman" w:cs="Times New Roman"/>
        </w:rPr>
        <w:fldChar w:fldCharType="end"/>
      </w:r>
      <w:r w:rsidRPr="008736A7">
        <w:rPr>
          <w:rFonts w:ascii="Times New Roman" w:hAnsi="Times New Roman" w:cs="Times New Roman"/>
        </w:rPr>
        <w:t xml:space="preserve">, to fire-intolerant, fire-adverse humid tropical rainforests (Gentry, Parker, Vargas and Werth;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"ITEM-1", "issued" : { "date-parts" : [ [ "2007", "3", "28" ] ] }, "page" : "209-18", "title" : "Holocene fire and occupation in Amazonia: Records from two lake districts.", "type" : "article-journal", "volume" : "362" }, "uris" : [ "http://www.mendeley.com/documents/?uuid=7da33a10-244c-464c-9fa5-92b5a0cf24dd" ] } ], "mendeley" : { "formattedCitation" : "(Bush et al., 2007)", "manualFormatting" : "Bush et al., 2007)", "plainTextFormattedCitation" : "(Bush et al., 2007)", "previouslyFormattedCitation" : "(Bush et al., 2007)"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Bush et al., 2007)</w:t>
      </w:r>
      <w:r w:rsidRPr="008736A7">
        <w:rPr>
          <w:rFonts w:ascii="Times New Roman" w:hAnsi="Times New Roman" w:cs="Times New Roman"/>
        </w:rPr>
        <w:fldChar w:fldCharType="end"/>
      </w:r>
      <w:r w:rsidRPr="008736A7">
        <w:rPr>
          <w:rFonts w:ascii="Times New Roman" w:hAnsi="Times New Roman" w:cs="Times New Roman"/>
        </w:rPr>
        <w:t xml:space="preserve">. Fire activity at Huanchaca Mesetta is asynchronous with the lowland sites, exhibiting low fire activity in tune with the wet, stable climate conditions during this period (Figure 6). After ca. 2,000 cal yr BP, 10 of the 12 sites included in this study attribute the increased fire activity to human-caused ignitions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"id" : "ITEM-2",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"ITEM-2", "issued" : { "date-parts" : [ [ "2007", "3", "28" ] ] }, "page" : "209-18", "title" : "Holocene fire and occupation in Amazonia: Records from two lake districts.", "type" : "article-journal", "volume" : "362" }, "uris" : [ "http://www.mendeley.com/documents/?uuid=7da33a10-244c-464c-9fa5-92b5a0cf24dd" ] }, { "id" : "ITEM-3", "itemData" : { "author" : [ { "dropping-particle" : "", "family" : "Urrego", "given" : "Dunia H.", "non-dropping-particle" : "", "parse-names" : false, "suffix" : "" }, { "dropping-particle" : "", "family" : "Bush", "given" : "Mark B.", "non-dropping-particle" : "", "parse-names" : false, "suffix" : "" }, { "dropping-particle" : "", "family" : "Silman", "given" : "Miles R.", "non-dropping-particle" : "", "parse-names" : false, "suffix" : "" }, { "dropping-particle" : "", "family" : "Niccum", "given" : "Brittany A.", "non-dropping-particle" : "", "parse-names" : false, "suffix" : "" }, { "dropping-particle" : "", "family" : "La Rosa", "given" : "Paulina", "non-dropping-particle" : "De", "parse-names" : false, "suffix" : "" }, { "dropping-particle" : "", "family" : "McMichael", "given" : "Crystal H.", "non-dropping-particle" : "", "parse-names" : false, "suffix" : "" }, { "dropping-particle" : "", "family" : "Hagen", "given" : "Stephen", "non-dropping-particle" : "", "parse-names" : false, "suffix" : "" }, { "dropping-particle" : "", "family" : "Palace", "given" : "Michael", "non-dropping-particle" : "", "parse-names" : false, "suffix" : "" } ], "container-title" : "Journal of Biogeography", "editor" : [ { "dropping-particle" : "", "family" : "Vetaas", "given" : "Ole", "non-dropping-particle" : "", "parse-names" : false, "suffix" : "" } ], "id" : "ITEM-3", "issued" : { "date-parts" : [ [ "2013", "3", "27" ] ] }, "page" : "521-533", "title" : "Holocene fires, forest stability and human occupation in south-western Amazonia", "type" : "article-journal", "volume" : "40" }, "uris" : [ "http://www.mendeley.com/documents/?uuid=f807d030-39b4-45cb-a3af-885f039a758e" ] } ], "mendeley" : { "formattedCitation" : "(Bush et al., 2007; Carson et al., 2014; Dunia H. Urrego et al., 2013)", "manualFormatting" : "(Bush et al., 2007; Carson et al., 2014; Urrego et al., 2013)", "plainTextFormattedCitation" : "(Bush et al., 2007; Carson et al., 2014; Dunia H. Urrego et al., 2013)", "previouslyFormattedCitation" : "(Bush et al., 2007; Carson et al., 2014; Dunia H. Urrego et al., 2013)" }, "properties" : { "noteIndex" : 14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(Bush et al., 2007; Carson et al., 2014; Urrego et al., 2013)</w:t>
      </w:r>
      <w:r w:rsidRPr="008736A7">
        <w:rPr>
          <w:rFonts w:ascii="Times New Roman" w:hAnsi="Times New Roman" w:cs="Times New Roman"/>
        </w:rPr>
        <w:fldChar w:fldCharType="end"/>
      </w:r>
      <w:r w:rsidRPr="008736A7">
        <w:rPr>
          <w:rFonts w:ascii="Times New Roman" w:hAnsi="Times New Roman" w:cs="Times New Roman"/>
        </w:rPr>
        <w:t xml:space="preserve">.  </w:t>
      </w:r>
    </w:p>
    <w:p w:rsidR="00090084" w:rsidRDefault="00090084" w:rsidP="00090084">
      <w:pPr>
        <w:pStyle w:val="BodyText"/>
        <w:spacing w:line="215" w:lineRule="auto"/>
        <w:ind w:left="0" w:right="150"/>
        <w:jc w:val="both"/>
        <w:rPr>
          <w:rFonts w:ascii="Times New Roman" w:hAnsi="Times New Roman" w:cs="Times New Roman"/>
        </w:rPr>
      </w:pPr>
    </w:p>
    <w:p w:rsidR="00090084" w:rsidRDefault="00705EBE" w:rsidP="00090084">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After ca. 700 cal yr BP, increased spatial variability in regional biomass burning (Figure 6) corresponds to increased climate variability and the apex of pre-Columbian activity in the region (Figure 7). Superimposed upon the progressively wet late Holocene climate trend are two brief climate events that occurred in NW Europe: the Medieval Climate Anomaly (MCA, ca. 900-1,100 cal yr BP) and the Little Ice Age (LIA, ca. 200-400 cal yr BP). The </w:t>
      </w:r>
      <w:r w:rsidRPr="008736A7">
        <w:rPr>
          <w:rFonts w:ascii="Times New Roman" w:hAnsi="Times New Roman" w:cs="Times New Roman"/>
        </w:rPr>
        <w:lastRenderedPageBreak/>
        <w:t xml:space="preserve">MCA and LIA have been well documented in northern latitudes, but uncertainty remains as to the expression and spatial patterning of these climate events around the globe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"abstract" : "Global temperatures are known to have varied over the past 1500 years, but the spatial patterns have remained poorly defined. We used a global climate proxy network to reconstruct surface temperature patterns over this interval. The Medieval period is found to display warmth that matches or exceeds that of the past decade in some regions, but which falls well below recent levels globally. This period is marked by a tendency for La Ni\u00f1a-like conditions in the tropical Pacific. The coldest temperatures of the Little Ice Age are observed over the interval 1400 to 1700 C.E., with greatest cooling over the extratropical Northern Hemisphere continents. The patterns of temperature change imply dynamical responses of climate to natural radiative forcing changes involving El Ni\u00f1o and the North Atlantic Oscillation-Arctic Oscillation.", "author" : [ { "dropping-particle" : "", "family" : "Mann", "given" : "Michael E", "non-dropping-particle" : "", "parse-names" : false, "suffix" : "" }, { "dropping-particle" : "", "family" : "Zhang", "given" : "Zhihua", "non-dropping-particle" : "", "parse-names" : false, "suffix" : "" }, { "dropping-particle" : "", "family" : "Rutherford", "given" : "Scott", "non-dropping-particle" : "", "parse-names" : false, "suffix" : "" }, { "dropping-particle" : "", "family" : "Bradley", "given" : "Raymond S", "non-dropping-particle" : "", "parse-names" : false, "suffix" : "" }, { "dropping-particle" : "", "family" : "Hughes", "given" : "Malcolm K", "non-dropping-particle" : "", "parse-names" : false, "suffix" : "" }, { "dropping-particle" : "", "family" : "Shindell", "given" : "Drew", "non-dropping-particle" : "", "parse-names" : false, "suffix" : "" }, { "dropping-particle" : "", "family" : "Ammann", "given" : "Caspar", "non-dropping-particle" : "", "parse-names" : false, "suffix" : "" }, { "dropping-particle" : "", "family" : "Faluvegi", "given" : "Greg", "non-dropping-particle" : "", "parse-names" : false, "suffix" : "" }, { "dropping-particle" : "", "family" : "Ni", "given" : "Fenbiao", "non-dropping-particle" : "", "parse-names" : false, "suffix" : "" } ], "container-title" : "Science (New York, N.Y.)", "id" : "ITEM-1", "issue" : "5957", "issued" : { "date-parts" : [ [ "2009", "11", "27" ] ] }, "page" : "1256-60", "title" : "Global signatures and dynamical origins of the Little Ice Age and Medieval Climate Anomaly.", "type" : "article-journal", "volume" : "326" }, "uris" : [ "http://www.mendeley.com/documents/?uuid=0d4d480e-74e4-4bfd-aee7-5c080ba721b7" ] } ], "mendeley" : { "formattedCitation" : "(Mann et al., 2009)", "plainTextFormattedCitation" : "(Mann et al., 2009)", "previouslyFormattedCitation" : "(Mann et al., 2009)"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(Mann et al., 2009)</w:t>
      </w:r>
      <w:r w:rsidRPr="008736A7">
        <w:rPr>
          <w:rFonts w:ascii="Times New Roman" w:hAnsi="Times New Roman" w:cs="Times New Roman"/>
        </w:rPr>
        <w:fldChar w:fldCharType="end"/>
      </w:r>
      <w:r w:rsidRPr="008736A7">
        <w:rPr>
          <w:rFonts w:ascii="Times New Roman" w:hAnsi="Times New Roman" w:cs="Times New Roman"/>
        </w:rPr>
        <w:t xml:space="preserve">. New evidence of potential climate teleconnections between these high latitude events and the lowland southern hemisphere Neotropics has emerged from a new speleothem record from Mato Grosso (ca. 470 km east of LCH)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"Novello", "given" : "Valdir F", "non-dropping-particle" : "", "parse-names" : false, "suffix" : "" }, { "dropping-particle" : "", "family" : "Vuille", "given" : "Mathias", "non-dropping-particle" : "", "parse-names" : false, "suffix" : "" }, { "dropping-particle" : "", "family" : "Cruz", "given" : "Francisco W", "non-dropping-particle" : "", "parse-names" : false, "suffix" : "" }, { "dropping-particle" : "", "family" : "Str\u00edkis", "given" : "Nicol\u00e1s M", "non-dropping-particle" : "", "parse-names" : false, "suffix" : "" }, { "dropping-particle" : "", "family" : "Paula", "given" : "Marcos Saito", "non-dropping-particle" : "de", "parse-names" : false, "suffix" : "" }, { "dropping-particle" : "", "family" : "Edwards", "given" : "R Lawrence", "non-dropping-particle" : "", "parse-names" : false, "suffix" : "" }, { "dropping-particle" : "", "family" : "Cheng", "given" : "Hai", "non-dropping-particle" : "", "parse-names" : false, "suffix" : "" }, { "dropping-particle" : "", "family" : "Karmann", "given" : "Ivo", "non-dropping-particle" : "", "parse-names" : false, "suffix" : "" }, { "dropping-particle" : "", "family" : "Jaqueto", "given" : "Pl\u00ednio F", "non-dropping-particle" : "", "parse-names" : false, "suffix" : "" }, { "dropping-particle" : "", "family" : "Trindade", "given" : "Ricardo I F", "non-dropping-particle" : "", "parse-names" : false, "suffix" : "" } ], "container-title" : "Scientific reports", "id" : "ITEM-1", "issued" : { "date-parts" : [ [ "2016" ] ] }, "publisher" : "Nature Publishing Group", "title" : "Centennial-scale solar forcing of the South American Monsoon System recorded in stalagmites", "type" : "article-journal", "volume" : "6" }, "uris" : [ "http://www.mendeley.com/documents/?uuid=6b194b1d-d8d6-4d11-82eb-dee6a2dcc7f0" ] } ], "mendeley" : { "formattedCitation" : "(Novello et al., 2016)", "plainTextFormattedCitation" : "(Novello et al., 2016)", "previouslyFormattedCitation" : "(Novello et al., 2016)"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(Novello et al., 2016)</w:t>
      </w:r>
      <w:r w:rsidRPr="008736A7">
        <w:rPr>
          <w:rFonts w:ascii="Times New Roman" w:hAnsi="Times New Roman" w:cs="Times New Roman"/>
        </w:rPr>
        <w:fldChar w:fldCharType="end"/>
      </w:r>
      <w:r w:rsidRPr="008736A7">
        <w:rPr>
          <w:rFonts w:ascii="Times New Roman" w:hAnsi="Times New Roman" w:cs="Times New Roman"/>
        </w:rPr>
        <w:t xml:space="preserve">. These data are interpreted by Novello et al. (2016) as anomalously dry MCA conditions and anomalously wet LIA conditions in the region. The onset of the MCA precedes the increase in regional biomass burning indicated by RCC values by ca. 400 years (Figure 7). The increase in regional burning indicated by RCC values occurs during the transition between the MCA and LIA climate anomalies. This period also corresponds with a steady rise in SPD values and site frequencies indicating increased pre-Columbian activity that reaches its apex ca. 600 cal yr BP (Figure 7). Fire activity remains high at sites with established histories of human land-use and fire management (e.g. Oricore, Granja, Gentry, Parker, Vargas and Werth, Figure 7). Fire activity decreases at Laguna Chalalán, Laguna Santa Rosa, and Laguna Yaguarú, likely in tune with the progressive late Holocene expansion in fire adverse, fire-intolerant vegetation as a result of the southward migration of the rainforest ecotone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"id" : "ITEM-2", "itemData" : { "DOI" : "10.1016/j.palaeo.2010.05.004", "ISSN" : "00310182", "author" : [ { "dropping-particle" : "", "family" : "Taylor", "given" : "Zachary P.", "non-dropping-particle" : "", "parse-names" : false, "suffix" : "" }, { "dropping-particle" : "", "family" : "Horn", "given" : "Sally P.", "non-dropping-particle" : "", "parse-names" : false, "suffix" : "" }, { "dropping-particle" : "", "family" : "Mora", "given" : "Claudia I.", "non-dropping-particle" : "", "parse-names" : false, "suffix" : "" }, { "dropping-particle" : "", "family" : "Orvis", "given" : "Kenneth H.", "non-dropping-particle" : "", "parse-names" : false, "suffix" : "" }, { "dropping-particle" : "", "family" : "Cooper", "given" : "Lee W.", "non-dropping-particle" : "", "parse-names" : false, "suffix" : "" } ], "container-title" : "Palaeogeography, Palaeoclimatology, Palaeoecology", "id" : "ITEM-2", "issued" : { "date-parts" : [ [ "2010", "7" ] ] }, "page" : "98-107", "publisher" : "Elsevier B.V.", "title" : "A multi-proxy palaeoecological record of late-Holocene forest expansion in lowland Bolivia", "type" : "article-journal", "volume" : "293" }, "uris" : [ "http://www.mendeley.com/documents/?uuid=5cddbe63-b804-43b8-b3b3-ea951d0cf617" ] } ], "mendeley" : { "formattedCitation" : "(Mayle et al., 2000; Taylor et al., 2010)", "plainTextFormattedCitation" : "(Mayle et al., 2000; Taylor et al., 2010)", "previouslyFormattedCitation" : "(Mayle et al., 2000; Taylor et al., 2010)"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(Mayle et al., 2000; Taylor et al., 2010)</w:t>
      </w:r>
      <w:r w:rsidRPr="008736A7">
        <w:rPr>
          <w:rFonts w:ascii="Times New Roman" w:hAnsi="Times New Roman" w:cs="Times New Roman"/>
        </w:rPr>
        <w:fldChar w:fldCharType="end"/>
      </w:r>
      <w:r w:rsidRPr="008736A7">
        <w:rPr>
          <w:rFonts w:ascii="Times New Roman" w:hAnsi="Times New Roman" w:cs="Times New Roman"/>
        </w:rPr>
        <w:t xml:space="preserve"> and decrease in human activity around these sites. During the LIA, there is a synchronous decreased biomass burning at all lowland sites that is likely the result of the combined factors of wetter than average climate conditions associated with the LIA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"Novello", "given" : "Valdir F", "non-dropping-particle" : "", "parse-names" : false, "suffix" : "" }, { "dropping-particle" : "", "family" : "Vuille", "given" : "Mathias", "non-dropping-particle" : "", "parse-names" : false, "suffix" : "" }, { "dropping-particle" : "", "family" : "Cruz", "given" : "Francisco W", "non-dropping-particle" : "", "parse-names" : false, "suffix" : "" }, { "dropping-particle" : "", "family" : "Str\u00edkis", "given" : "Nicol\u00e1s M", "non-dropping-particle" : "", "parse-names" : false, "suffix" : "" }, { "dropping-particle" : "", "family" : "Paula", "given" : "Marcos Saito", "non-dropping-particle" : "de", "parse-names" : false, "suffix" : "" }, { "dropping-particle" : "", "family" : "Edwards", "given" : "R Lawrence", "non-dropping-particle" : "", "parse-names" : false, "suffix" : "" }, { "dropping-particle" : "", "family" : "Cheng", "given" : "Hai", "non-dropping-particle" : "", "parse-names" : false, "suffix" : "" }, { "dropping-particle" : "", "family" : "Karmann", "given" : "Ivo", "non-dropping-particle" : "", "parse-names" : false, "suffix" : "" }, { "dropping-particle" : "", "family" : "Jaqueto", "given" : "Pl\u00ednio F", "non-dropping-particle" : "", "parse-names" : false, "suffix" : "" }, { "dropping-particle" : "", "family" : "Trindade", "given" : "Ricardo I F", "non-dropping-particle" : "", "parse-names" : false, "suffix" : "" } ], "container-title" : "Scientific reports", "id" : "ITEM-1", "issued" : { "date-parts" : [ [ "2016" ] ] }, "publisher" : "Nature Publishing Group", "title" : "Centennial-scale solar forcing of the South American Monsoon System recorded in stalagmites", "type" : "article-journal", "volume" : "6" }, "uris" : [ "http://www.mendeley.com/documents/?uuid=6b194b1d-d8d6-4d11-82eb-dee6a2dcc7f0" ] } ], "mendeley" : { "formattedCitation" : "(Novello et al., 2016)", "plainTextFormattedCitation" : "(Novello et al., 2016)", "previouslyFormattedCitation" : "(Novello et al., 2016)"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(Novello et al., 2016)</w:t>
      </w:r>
      <w:r w:rsidRPr="008736A7">
        <w:rPr>
          <w:rFonts w:ascii="Times New Roman" w:hAnsi="Times New Roman" w:cs="Times New Roman"/>
        </w:rPr>
        <w:fldChar w:fldCharType="end"/>
      </w:r>
      <w:r w:rsidRPr="008736A7">
        <w:rPr>
          <w:rFonts w:ascii="Times New Roman" w:hAnsi="Times New Roman" w:cs="Times New Roman"/>
        </w:rPr>
        <w:t xml:space="preserve"> that would have increased fuel moisture and decreased fuel flammability, coupled with the pre-Columbian population decline following European contact due to disease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"1548-5811", "author" : [ { "dropping-particle" : "", "family" : "Denevan", "given" : "William M", "non-dropping-particle" : "", "parse-names" : false, "suffix" : "" } ], "container-title" : "Journal of Latin American Geography", "id" : "ITEM-1", "issued" : { "date-parts" : [ [ "2012" ] ] }, "page" : "9-24", "publisher" : "Conference of Latin Americanist Geographers", "title" : "Rewriting the late pre-European history of Amazonia", "type" : "article-journal", "volume" : "11" }, "uris" : [ "http://www.mendeley.com/documents/?uuid=1cc317b5-aeda-461a-bac1-697b53ab1d0a" ] } ], "mendeley" : { "formattedCitation" : "(Denevan, 2012)", "plainTextFormattedCitation" : "(Denevan, 2012)", "previouslyFormattedCitation" : "(Denevan, 2012)"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(Denevan, 2012)</w:t>
      </w:r>
      <w:r w:rsidRPr="008736A7">
        <w:rPr>
          <w:rFonts w:ascii="Times New Roman" w:hAnsi="Times New Roman" w:cs="Times New Roman"/>
        </w:rPr>
        <w:fldChar w:fldCharType="end"/>
      </w:r>
      <w:r w:rsidRPr="008736A7">
        <w:rPr>
          <w:rFonts w:ascii="Times New Roman" w:hAnsi="Times New Roman" w:cs="Times New Roman"/>
        </w:rPr>
        <w:t xml:space="preserve"> that would have resulted in fewer human-caused ignitions (Figure 7). Together these data provide a regional perspective of paleofire activity that suggests human-caused ignitions are the first order driving mechanism of increased regional scale fire activity in the Bolivian lowlands during the late Holocene.  </w:t>
      </w:r>
    </w:p>
    <w:p w:rsidR="00090084" w:rsidRDefault="00090084" w:rsidP="00090084">
      <w:pPr>
        <w:pStyle w:val="BodyText"/>
        <w:spacing w:line="215" w:lineRule="auto"/>
        <w:ind w:right="150"/>
        <w:jc w:val="both"/>
        <w:rPr>
          <w:rFonts w:ascii="Times New Roman" w:hAnsi="Times New Roman" w:cs="Times New Roman"/>
          <w:b/>
          <w:i/>
        </w:rPr>
      </w:pPr>
    </w:p>
    <w:p w:rsidR="00090084" w:rsidRDefault="00090084" w:rsidP="00090084">
      <w:pPr>
        <w:pStyle w:val="BodyText"/>
        <w:spacing w:line="215" w:lineRule="auto"/>
        <w:ind w:right="150"/>
        <w:jc w:val="both"/>
        <w:rPr>
          <w:rFonts w:ascii="Times New Roman" w:hAnsi="Times New Roman" w:cs="Times New Roman"/>
          <w:b/>
          <w:i/>
        </w:rPr>
      </w:pPr>
      <w:r w:rsidRPr="00090084">
        <w:rPr>
          <w:rFonts w:ascii="Times New Roman" w:hAnsi="Times New Roman" w:cs="Times New Roman"/>
          <w:b/>
          <w:i/>
        </w:rPr>
        <w:t xml:space="preserve">4.3 </w:t>
      </w:r>
      <w:r w:rsidR="00705EBE" w:rsidRPr="00090084">
        <w:rPr>
          <w:rFonts w:ascii="Times New Roman" w:hAnsi="Times New Roman" w:cs="Times New Roman"/>
          <w:b/>
          <w:i/>
        </w:rPr>
        <w:t>Drivers of Paleofire Severity</w:t>
      </w:r>
    </w:p>
    <w:p w:rsidR="00090084" w:rsidRDefault="00090084" w:rsidP="00090084">
      <w:pPr>
        <w:pStyle w:val="BodyText"/>
        <w:spacing w:line="215" w:lineRule="auto"/>
        <w:ind w:right="150" w:firstLine="199"/>
        <w:jc w:val="both"/>
        <w:rPr>
          <w:rFonts w:ascii="Times New Roman" w:hAnsi="Times New Roman" w:cs="Times New Roman"/>
          <w:b/>
          <w:i/>
        </w:rPr>
      </w:pPr>
    </w:p>
    <w:p w:rsidR="005E68F3" w:rsidRDefault="00705EBE" w:rsidP="005E68F3">
      <w:pPr>
        <w:pStyle w:val="BodyText"/>
        <w:spacing w:line="215" w:lineRule="auto"/>
        <w:ind w:right="150" w:firstLine="199"/>
        <w:jc w:val="both"/>
        <w:rPr>
          <w:rFonts w:ascii="Times New Roman" w:hAnsi="Times New Roman" w:cs="Times New Roman"/>
        </w:rPr>
      </w:pPr>
      <w:r w:rsidRPr="008736A7">
        <w:rPr>
          <w:rFonts w:ascii="Times New Roman" w:hAnsi="Times New Roman" w:cs="Times New Roman"/>
        </w:rPr>
        <w:t xml:space="preserve">Fire severity (i.e. the amount of biomass burned) is interpreted from the charcoal influx data as an approximation of the amount of biomass burned during a fire episode. </w:t>
      </w:r>
      <w:r w:rsidR="005E68F3" w:rsidRPr="008736A7">
        <w:rPr>
          <w:rFonts w:ascii="Times New Roman" w:hAnsi="Times New Roman" w:cs="Times New Roman"/>
        </w:rPr>
        <w:t xml:space="preserve">Two severe fire episodes occur at LCH ca. 5,000 and 3,000 cal yr BP indicated by the highest influx and peak magnitude values in the record (Figure 5). LCH is dominated by fire-adapted, fire-tolerant seasonally dry tropical forest vegetation when the first major episode occurs during the prolonged </w:t>
      </w:r>
      <w:r w:rsidR="005E68F3" w:rsidRPr="008736A7">
        <w:rPr>
          <w:rFonts w:ascii="Times New Roman" w:hAnsi="Times New Roman" w:cs="Times New Roman"/>
          <w:color w:val="000000"/>
        </w:rPr>
        <w:t>MHDE drought conditions. This extended dry period likely created conditions conducive for a major, stand-replacing fire episode on the landscape</w:t>
      </w:r>
      <w:r w:rsidR="005E68F3" w:rsidRPr="008736A7">
        <w:rPr>
          <w:rFonts w:ascii="Times New Roman" w:hAnsi="Times New Roman" w:cs="Times New Roman"/>
        </w:rPr>
        <w:t>. Although low levels of human activity are documented in the region during this time, climate is more likely the driver of increased fire severity at LCH during the MHDE. The second major episode occurs ca. 3,000 cal yr BP, (ca. 1,000 years after the end of the MHDE) during relatively wet, stable climate conditions (Figure 5). LCH continues to be dominated by fire-adapted, fire-tolerant seasonally dry tropical forest vegetation. The peak magnitude value (&gt;ca. 9,000 cm</w:t>
      </w:r>
      <w:r w:rsidR="005E68F3" w:rsidRPr="008736A7">
        <w:rPr>
          <w:rFonts w:ascii="Times New Roman" w:hAnsi="Times New Roman" w:cs="Times New Roman"/>
          <w:vertAlign w:val="superscript"/>
        </w:rPr>
        <w:t xml:space="preserve">-2 </w:t>
      </w:r>
      <w:r w:rsidR="005E68F3" w:rsidRPr="008736A7">
        <w:rPr>
          <w:rFonts w:ascii="Times New Roman" w:hAnsi="Times New Roman" w:cs="Times New Roman"/>
        </w:rPr>
        <w:t>peak</w:t>
      </w:r>
      <w:r w:rsidR="005E68F3" w:rsidRPr="008736A7">
        <w:rPr>
          <w:rFonts w:ascii="Times New Roman" w:hAnsi="Times New Roman" w:cs="Times New Roman"/>
          <w:vertAlign w:val="superscript"/>
        </w:rPr>
        <w:t>-1</w:t>
      </w:r>
      <w:r w:rsidR="005E68F3" w:rsidRPr="008736A7">
        <w:rPr>
          <w:rFonts w:ascii="Times New Roman" w:hAnsi="Times New Roman" w:cs="Times New Roman"/>
        </w:rPr>
        <w:t xml:space="preserve">; cropped for plotting) associated with this episode represents an anomalously large input of charcoal relative to the rest of the record. The relatively wet and stable climate conditions during this time, suggests a different mechanism driving such a significant increase in fire severity. </w:t>
      </w:r>
      <w:r w:rsidR="005E68F3" w:rsidRPr="008736A7">
        <w:rPr>
          <w:rFonts w:ascii="Times New Roman" w:hAnsi="Times New Roman" w:cs="Times New Roman"/>
          <w:color w:val="000000"/>
        </w:rPr>
        <w:t xml:space="preserve">The onset of human activity in the Amazon is often marked by a large spike in lake sediment charcoal </w:t>
      </w:r>
      <w:r w:rsidR="005E68F3" w:rsidRPr="008736A7">
        <w:rPr>
          <w:rFonts w:ascii="Times New Roman" w:hAnsi="Times New Roman" w:cs="Times New Roman"/>
          <w:color w:val="000000"/>
        </w:rPr>
        <w:fldChar w:fldCharType="begin" w:fldLock="1"/>
      </w:r>
      <w:r w:rsidR="005E68F3" w:rsidRPr="008736A7">
        <w:rPr>
          <w:rFonts w:ascii="Times New Roman" w:hAnsi="Times New Roman" w:cs="Times New Roman"/>
          <w:color w:val="000000"/>
        </w:rPr>
        <w:instrText>ADDIN CSL_CITATION { "citationItems" : [ { "id" : "ITEM-1", "itemData" : { "ISSN" : "0277-3791", "author" : [ { "dropping-particle" : "", "family" : "Bush", "given" : "M B", "non-dropping-particle" : "", "parse-names" : false, "suffix" : "" }, { "dropping-particle" : "", "family" : "Correa-Metrio", "given" : "A", "non-dropping-particle" : "", "parse-names" : false, "suffix" : "" }, { "dropping-particle" : "", "family" : "McMichael", "given" : "C H", "non-dropping-particle" : "", "parse-names" : false, "suffix" : "" }, { "dropping-particle" : "", "family" : "Sully", "given" : "S", "non-dropping-particle" : "", "parse-names" : false, "suffix" : "" }, { "dropping-particle" : "", "family" : "Shadik", "given" : "C R", "non-dropping-particle" : "", "parse-names" : false, "suffix" : "" }, { "dropping-particle" : "", "family" : "Valencia", "given" : "B G", "non-dropping-particle" : "", "parse-names" : false, "suffix" : "" }, { "dropping-particle" : "", "family" : "Guilderson", "given" : "T", "non-dropping-particle" : "", "parse-names" : false, "suffix" : "" }, { "dropping-particle" : "", "family" : "Steinitz-Kannan", "given" : "M", "non-dropping-particle" : "", "parse-names" : false, "suffix" : "" }, { "dropping-particle" : "", "family" : "Overpeck", "given" : "J T", "non-dropping-particle" : "", "parse-names" : false, "suffix" : "" } ], "container-title" : "Quaternary Science Reviews", "id" : "ITEM-1", "issued" : { "date-parts" : [ [ "2016" ] ] }, "page" : "52-64", "publisher" : "Elsevier", "title" : "A 6900-year history of landscape modification by humans in lowland Amazonia", "type" : "article-journal", "volume" : "141" }, "uris" : [ "http://www.mendeley.com/documents/?uuid=715193ed-871b-4984-9632-01f1ff581d7b" ] } ], "mendeley" : { "formattedCitation" : "(Bush et al., 2016)", "plainTextFormattedCitation" : "(Bush et al., 2016)", "previouslyFormattedCitation" : "(Bush et al., 2016)" }, "properties" : { "noteIndex" : 0 }, "schema" : "https://github.com/citation-style-language/schema/raw/master/csl-citation.json" }</w:instrText>
      </w:r>
      <w:r w:rsidR="005E68F3" w:rsidRPr="008736A7">
        <w:rPr>
          <w:rFonts w:ascii="Times New Roman" w:hAnsi="Times New Roman" w:cs="Times New Roman"/>
          <w:color w:val="000000"/>
        </w:rPr>
        <w:fldChar w:fldCharType="separate"/>
      </w:r>
      <w:r w:rsidR="005E68F3" w:rsidRPr="008736A7">
        <w:rPr>
          <w:rFonts w:ascii="Times New Roman" w:hAnsi="Times New Roman" w:cs="Times New Roman"/>
          <w:noProof/>
          <w:color w:val="000000"/>
        </w:rPr>
        <w:t>(Bush et al., 2016)</w:t>
      </w:r>
      <w:r w:rsidR="005E68F3" w:rsidRPr="008736A7">
        <w:rPr>
          <w:rFonts w:ascii="Times New Roman" w:hAnsi="Times New Roman" w:cs="Times New Roman"/>
          <w:color w:val="000000"/>
        </w:rPr>
        <w:fldChar w:fldCharType="end"/>
      </w:r>
      <w:r w:rsidR="005E68F3" w:rsidRPr="008736A7">
        <w:rPr>
          <w:rFonts w:ascii="Times New Roman" w:hAnsi="Times New Roman" w:cs="Times New Roman"/>
          <w:color w:val="000000"/>
        </w:rPr>
        <w:t xml:space="preserve">. This pattern has been demonstrated at Lakes Ayauch </w:t>
      </w:r>
      <w:r w:rsidR="005E68F3" w:rsidRPr="008736A7">
        <w:rPr>
          <w:rFonts w:ascii="Times New Roman" w:hAnsi="Times New Roman" w:cs="Times New Roman"/>
          <w:color w:val="000000"/>
        </w:rPr>
        <w:fldChar w:fldCharType="begin" w:fldLock="1"/>
      </w:r>
      <w:r w:rsidR="005E68F3" w:rsidRPr="008736A7">
        <w:rPr>
          <w:rFonts w:ascii="Times New Roman" w:hAnsi="Times New Roman" w:cs="Times New Roman"/>
          <w:color w:val="000000"/>
        </w:rPr>
        <w:instrText>ADDIN CSL_CITATION { "citationItems" : [ { "id" : "ITEM-1", "itemData" : { "ISSN" : "1385-0237", "author" : [ { "dropping-particle" : "", "family" : "Bush", "given" : "Mark B", "non-dropping-particle" : "", "parse-names" : false, "suffix" : "" }, { "dropping-particle" : "", "family" : "Colinvaux", "given" : "Paul A", "non-dropping-particle" : "", "parse-names" : false, "suffix" : "" } ], "container-title" : "Plant Ecology", "id" : "ITEM-1", "issue" : "3", "issued" : { "date-parts" : [ [ "1988" ] ] }, "page" : "141-154", "publisher" : "Springer", "title" : "A 7000-year pollen record from the Amazon lowlands, Ecuador", "type" : "article-journal", "volume" : "76" }, "uris" : [ "http://www.mendeley.com/documents/?uuid=03e4ef7c-da34-4ef9-bc66-2963d010afe9" ] }, { "id" : "ITEM-2", "itemData" : { "author" : [ { "dropping-particle" : "", "family" : "McMichael", "given" : "C. H.", "non-dropping-particle" : "", "parse-names" : false, "suffix" : "" }, { "dropping-particle" : "", "family" : "Bush", "given" : "M. B.", "non-dropping-particle" : "", "parse-names" : false, "suffix" : "" }, { "dropping-particle" : "", "family" : "Piperno", "given" : "D. R.", "non-dropping-particle" : "", "parse-names" : false, "suffix" : "" }, { "dropping-particle" : "", "family" : "Silman", "given" : "M. R.", "non-dropping-particle" : "", "parse-names" : false, "suffix" : "" }, { "dropping-particle" : "", "family" : "Zimmerman", "given" : "a. R.", "non-dropping-particle" : "", "parse-names" : false, "suffix" : "" }, { "dropping-particle" : "", "family" : "Anderson", "given" : "C.", "non-dropping-particle" : "", "parse-names" : false, "suffix" : "" } ], "container-title" : "The Holocene", "id" : "ITEM-2", "issued" : { "date-parts" : [ [ "2011", "8", "11" ] ] }, "page" : "131-141", "title" : "Spatial and temporal scales of pre-Columbian disturbance associated with western Amazonian lakes", "type" : "article-journal", "volume" : "22" }, "uris" : [ "http://www.mendeley.com/documents/?uuid=ee4b80d1-66e7-422f-a922-e9a735056650" ] } ], "mendeley" : { "formattedCitation" : "(Bush and Colinvaux, 1988; McMichael et al., 2011)", "plainTextFormattedCitation" : "(Bush and Colinvaux, 1988; McMichael et al., 2011)", "previouslyFormattedCitation" : "(Bush and Colinvaux, 1988; McMichael et al., 2011)" }, "properties" : { "noteIndex" : 0 }, "schema" : "https://github.com/citation-style-language/schema/raw/master/csl-citation.json" }</w:instrText>
      </w:r>
      <w:r w:rsidR="005E68F3" w:rsidRPr="008736A7">
        <w:rPr>
          <w:rFonts w:ascii="Times New Roman" w:hAnsi="Times New Roman" w:cs="Times New Roman"/>
          <w:color w:val="000000"/>
        </w:rPr>
        <w:fldChar w:fldCharType="separate"/>
      </w:r>
      <w:r w:rsidR="005E68F3" w:rsidRPr="008736A7">
        <w:rPr>
          <w:rFonts w:ascii="Times New Roman" w:hAnsi="Times New Roman" w:cs="Times New Roman"/>
          <w:noProof/>
          <w:color w:val="000000"/>
        </w:rPr>
        <w:t>(Bush and Colinvaux, 1988; McMichael et al., 2011)</w:t>
      </w:r>
      <w:r w:rsidR="005E68F3" w:rsidRPr="008736A7">
        <w:rPr>
          <w:rFonts w:ascii="Times New Roman" w:hAnsi="Times New Roman" w:cs="Times New Roman"/>
          <w:color w:val="000000"/>
        </w:rPr>
        <w:fldChar w:fldCharType="end"/>
      </w:r>
      <w:r w:rsidR="005E68F3" w:rsidRPr="008736A7">
        <w:rPr>
          <w:rFonts w:ascii="Times New Roman" w:hAnsi="Times New Roman" w:cs="Times New Roman"/>
          <w:color w:val="000000"/>
        </w:rPr>
        <w:t xml:space="preserve">, Gentry and Geral </w:t>
      </w:r>
      <w:r w:rsidR="005E68F3" w:rsidRPr="008736A7">
        <w:rPr>
          <w:rFonts w:ascii="Times New Roman" w:hAnsi="Times New Roman" w:cs="Times New Roman"/>
          <w:color w:val="000000"/>
        </w:rPr>
        <w:fldChar w:fldCharType="begin" w:fldLock="1"/>
      </w:r>
      <w:r w:rsidR="005E68F3" w:rsidRPr="008736A7">
        <w:rPr>
          <w:rFonts w:ascii="Times New Roman" w:hAnsi="Times New Roman" w:cs="Times New Roman"/>
          <w:color w:val="000000"/>
        </w:rPr>
        <w:instrText>ADDIN CSL_CITATION { "citationItems" : [ { "id" : "ITEM-1",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"ITEM-1", "issued" : { "date-parts" : [ [ "2007", "3", "28" ] ] }, "page" : "209-18", "title" : "Holocene fire and occupation in Amazonia: Records from two lake districts.", "type" : "article-journal", "volume" : "362" }, "uris" : [ "http://www.mendeley.com/documents/?uuid=7da33a10-244c-464c-9fa5-92b5a0cf24dd" ] } ], "mendeley" : { "formattedCitation" : "(Bush et al., 2007)", "plainTextFormattedCitation" : "(Bush et al., 2007)", "previouslyFormattedCitation" : "(Bush et al., 2007)" }, "properties" : { "noteIndex" : 0 }, "schema" : "https://github.com/citation-style-language/schema/raw/master/csl-citation.json" }</w:instrText>
      </w:r>
      <w:r w:rsidR="005E68F3" w:rsidRPr="008736A7">
        <w:rPr>
          <w:rFonts w:ascii="Times New Roman" w:hAnsi="Times New Roman" w:cs="Times New Roman"/>
          <w:color w:val="000000"/>
        </w:rPr>
        <w:fldChar w:fldCharType="separate"/>
      </w:r>
      <w:r w:rsidR="005E68F3" w:rsidRPr="008736A7">
        <w:rPr>
          <w:rFonts w:ascii="Times New Roman" w:hAnsi="Times New Roman" w:cs="Times New Roman"/>
          <w:noProof/>
          <w:color w:val="000000"/>
        </w:rPr>
        <w:t>(Bush et al., 2007)</w:t>
      </w:r>
      <w:r w:rsidR="005E68F3" w:rsidRPr="008736A7">
        <w:rPr>
          <w:rFonts w:ascii="Times New Roman" w:hAnsi="Times New Roman" w:cs="Times New Roman"/>
          <w:color w:val="000000"/>
        </w:rPr>
        <w:fldChar w:fldCharType="end"/>
      </w:r>
      <w:r w:rsidR="005E68F3" w:rsidRPr="008736A7">
        <w:rPr>
          <w:rFonts w:ascii="Times New Roman" w:hAnsi="Times New Roman" w:cs="Times New Roman"/>
          <w:color w:val="000000"/>
        </w:rPr>
        <w:t xml:space="preserve">, Granja, </w:t>
      </w:r>
      <w:r w:rsidR="005E68F3" w:rsidRPr="008736A7">
        <w:rPr>
          <w:rFonts w:ascii="Times New Roman" w:hAnsi="Times New Roman" w:cs="Times New Roman"/>
          <w:color w:val="000000"/>
        </w:rPr>
        <w:fldChar w:fldCharType="begin" w:fldLock="1"/>
      </w:r>
      <w:r w:rsidR="005E68F3" w:rsidRPr="008736A7">
        <w:rPr>
          <w:rFonts w:ascii="Times New Roman" w:hAnsi="Times New Roman" w:cs="Times New Roman"/>
          <w:color w:val="000000"/>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w:instrText>
      </w:r>
      <w:r w:rsidR="005E68F3" w:rsidRPr="008736A7">
        <w:rPr>
          <w:rFonts w:ascii="Times New Roman" w:hAnsi="Times New Roman" w:cs="Times New Roman"/>
          <w:color w:val="000000"/>
          <w:lang w:val="es-ES"/>
        </w:rPr>
        <w:instrText>"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"mendeley" : { "formattedCitation" : "(Carson et al., 2014)", "plainTextFormattedCitation" : "(Carson et al., 2014)", "previouslyFormattedCitation" : "(Carson et al., 2014)" }, "properties" : { "noteIndex" : 0 }, "schema" : "https://github.com/citation-style-language/schema/raw/master/csl-citation.json" }</w:instrText>
      </w:r>
      <w:r w:rsidR="005E68F3" w:rsidRPr="008736A7">
        <w:rPr>
          <w:rFonts w:ascii="Times New Roman" w:hAnsi="Times New Roman" w:cs="Times New Roman"/>
          <w:color w:val="000000"/>
        </w:rPr>
        <w:fldChar w:fldCharType="separate"/>
      </w:r>
      <w:r w:rsidR="005E68F3" w:rsidRPr="008736A7">
        <w:rPr>
          <w:rFonts w:ascii="Times New Roman" w:hAnsi="Times New Roman" w:cs="Times New Roman"/>
          <w:noProof/>
          <w:color w:val="000000"/>
          <w:lang w:val="es-ES"/>
        </w:rPr>
        <w:t>(Carson et al., 2014)</w:t>
      </w:r>
      <w:r w:rsidR="005E68F3" w:rsidRPr="008736A7">
        <w:rPr>
          <w:rFonts w:ascii="Times New Roman" w:hAnsi="Times New Roman" w:cs="Times New Roman"/>
          <w:color w:val="000000"/>
        </w:rPr>
        <w:fldChar w:fldCharType="end"/>
      </w:r>
      <w:r w:rsidR="005E68F3" w:rsidRPr="008736A7">
        <w:rPr>
          <w:rFonts w:ascii="Times New Roman" w:hAnsi="Times New Roman" w:cs="Times New Roman"/>
          <w:color w:val="000000"/>
          <w:lang w:val="es-ES"/>
        </w:rPr>
        <w:t xml:space="preserve">, and La Yeguada </w:t>
      </w:r>
      <w:r w:rsidR="005E68F3" w:rsidRPr="008736A7">
        <w:rPr>
          <w:rFonts w:ascii="Times New Roman" w:hAnsi="Times New Roman" w:cs="Times New Roman"/>
          <w:color w:val="000000"/>
        </w:rPr>
        <w:fldChar w:fldCharType="begin" w:fldLock="1"/>
      </w:r>
      <w:r w:rsidR="005E68F3" w:rsidRPr="008736A7">
        <w:rPr>
          <w:rFonts w:ascii="Times New Roman" w:hAnsi="Times New Roman" w:cs="Times New Roman"/>
          <w:color w:val="000000"/>
          <w:lang w:val="es-ES"/>
        </w:rPr>
        <w:instrText>ADDIN CSL_CITATION { "citationItems" : [ { "id" : "ITEM-1", "itemData" : { "ISSN" : "1557-7015", "author" : [ { "dropping-particle" : "", "family" : "Bush", "given" : "Mark B", "non-dropping-particle" : "", "parse-names" : false, "suffix" : "" }, { "dropping-particle" : "", "family" : "Piperno", "given" : "Dolores R", "non-dropping-particle" : "", "parse-names" : false, "suffix" : "" }, { "dropping-particle" : "", "family" : "Colinvaux", "given" : "Paul A", "non-dropping-particle" : "", "parse-names" : false, "suffix" : "" }, { "dropping-particle" : "", "family" : "Oliveira", "given" : "Paulo E", "non-dropping-particle" : "De", "parse-names" : false, "suffix" : "" }, { "dropping-particle" : "", "family" : "Krissek", "given" : "Lawrence A", "non-dropping-particle" : "", "parse-names" : false, "suffix" : "" }, { "dropping-particle" : "", "family" : "Miller", "given" : "Michael C", "non-dropping-particle" : "", "parse-names" : false, "suffix" : "" }, { "dropping-particle" : "", "family" : "Rowe", "given" : "William E", "non-dropping-particle" : "", "parse-names" : false, "suffix" : "" } ], "container-title" : "Ecological Monographs", "id" : "ITEM-1", "issued" : { "date-parts" : [ [ "1992" ] ] }, "page" : "251-275", "publisher" : "Wiley Online Library", "title" : "A 14 300 Yr Paleoecological Profile of a Lowland Tropical Lake in Panama", "type" : "article-journal", "volume" : "62" }, "uris" : [ "http://www.mendeley.com/documents/?uuid=d6ececd4-dccc-4e26-942e-36b47b644d45" ] } ], "mendeley" : { "formattedCitation" : "(Bush et al., 1992)", "plainTextFormattedCitation" : "(Bush et al., 1992)", "previouslyFormattedCitation" : "(Bush et al., 1992)" }, "properties" : { "noteIndex" : 0 }, "schema" : "https://github.com/citation-style-language/schema/raw/master/csl-citation.json" }</w:instrText>
      </w:r>
      <w:r w:rsidR="005E68F3" w:rsidRPr="008736A7">
        <w:rPr>
          <w:rFonts w:ascii="Times New Roman" w:hAnsi="Times New Roman" w:cs="Times New Roman"/>
          <w:color w:val="000000"/>
        </w:rPr>
        <w:fldChar w:fldCharType="separate"/>
      </w:r>
      <w:r w:rsidR="005E68F3" w:rsidRPr="008736A7">
        <w:rPr>
          <w:rFonts w:ascii="Times New Roman" w:hAnsi="Times New Roman" w:cs="Times New Roman"/>
          <w:noProof/>
          <w:color w:val="000000"/>
          <w:lang w:val="es-ES"/>
        </w:rPr>
        <w:t>(Bush et al., 1992)</w:t>
      </w:r>
      <w:r w:rsidR="005E68F3" w:rsidRPr="008736A7">
        <w:rPr>
          <w:rFonts w:ascii="Times New Roman" w:hAnsi="Times New Roman" w:cs="Times New Roman"/>
          <w:color w:val="000000"/>
        </w:rPr>
        <w:fldChar w:fldCharType="end"/>
      </w:r>
      <w:r w:rsidR="005E68F3" w:rsidRPr="008736A7">
        <w:rPr>
          <w:rFonts w:ascii="Times New Roman" w:hAnsi="Times New Roman" w:cs="Times New Roman"/>
          <w:color w:val="000000"/>
          <w:lang w:val="es-ES"/>
        </w:rPr>
        <w:t xml:space="preserve">. </w:t>
      </w:r>
      <w:r w:rsidR="005E68F3" w:rsidRPr="008736A7">
        <w:rPr>
          <w:rFonts w:ascii="Times New Roman" w:hAnsi="Times New Roman" w:cs="Times New Roman"/>
          <w:color w:val="000000"/>
          <w:lang w:val="en-GB"/>
        </w:rPr>
        <w:t xml:space="preserve">The initial increase in charcoal at LCH corresponds </w:t>
      </w:r>
      <w:r w:rsidR="005E68F3" w:rsidRPr="008736A7">
        <w:rPr>
          <w:rFonts w:ascii="Times New Roman" w:hAnsi="Times New Roman" w:cs="Times New Roman"/>
          <w:lang w:val="en-GB"/>
        </w:rPr>
        <w:t xml:space="preserve">with the onset of increased human activity in the region indicated by the SPD values and site frequency data. </w:t>
      </w:r>
      <w:r w:rsidR="005E68F3" w:rsidRPr="008736A7">
        <w:rPr>
          <w:rFonts w:ascii="Times New Roman" w:hAnsi="Times New Roman" w:cs="Times New Roman"/>
        </w:rPr>
        <w:t xml:space="preserve">Thus, it cannot be ruled out that this event is a large, deliberate, human-induced fire.  </w:t>
      </w:r>
      <w:r w:rsidR="005E68F3" w:rsidRPr="008736A7">
        <w:rPr>
          <w:rFonts w:ascii="Times New Roman" w:hAnsi="Times New Roman" w:cs="Times New Roman"/>
          <w:color w:val="000000"/>
        </w:rPr>
        <w:t xml:space="preserve">Furthermore, the presence of both fire and crop pollen have been interpreted as firm evidence of human activity in the landscape </w:t>
      </w:r>
      <w:r w:rsidR="005E68F3" w:rsidRPr="008736A7">
        <w:rPr>
          <w:rFonts w:ascii="Times New Roman" w:hAnsi="Times New Roman" w:cs="Times New Roman"/>
          <w:color w:val="000000"/>
        </w:rPr>
        <w:fldChar w:fldCharType="begin" w:fldLock="1"/>
      </w:r>
      <w:r w:rsidR="005E68F3" w:rsidRPr="008736A7">
        <w:rPr>
          <w:rFonts w:ascii="Times New Roman" w:hAnsi="Times New Roman" w:cs="Times New Roman"/>
          <w:color w:val="000000"/>
        </w:rPr>
        <w:instrText>ADDIN CSL_CITATION { "citationItems" : [ { "id" : "ITEM-1", "itemData" : { "ISSN" : "0277-3791", "author" : [ { "dropping-particle" : "", "family" : "Bush", "given" : "M B", "non-dropping-particle" : "", "parse-names" : false, "suffix" : "" }, { "dropping-particle" : "", "family" : "Correa-Metrio", "given" : "A", "non-dropping-particle" : "", "parse-names" : false, "suffix" : "" }, { "dropping-particle" : "", "family" : "McMichael", "given" : "C H", "non-dropping-particle" : "", "parse-names" : false, "suffix" : "" }, { "dropping-particle" : "", "family" : "Sully", "given" : "S", "non-dropping-particle" : "", "parse-names" : false, "suffix" : "" }, { "dropping-particle" : "", "family" : "Shadik", "given" : "C R", "non-dropping-particle" : "", "parse-names" : false, "suffix" : "" }, { "dropping-particle" : "", "family" : "Valencia", "given" : "B G", "non-dropping-particle" : "", "parse-names" : false, "suffix" : "" }, { "dropping-particle" : "", "family" : "Guilderson", "given" : "T", "non-dropping-particle" : "", "parse-names" : false, "suffix" : "" }, { "dropping-particle" : "", "family" : "Steinitz-Kannan", "given" : "M", "non-dropping-particle" : "", "parse-names" : false, "suffix" : "" }, { "dropping-particle" : "", "family" : "Overpeck", "given" : "J T", "non-dropping-particle" : "", "parse-names" : false, "suffix" : "" } ], "container-title" : "Quaternary Science Reviews", "id" : "ITEM-1", "issued" : { "date-parts" : [ [ "2016" ] ] }, "page" : "52-64", "publisher" : "Elsevier", "title" : "A 6900-year history of landscape modification by humans in lowland Amazonia", "type" : "article-journal", "volume" : "141" }, "uris" : [ "http://www.mendeley.com/documents/?uuid=715193ed-871b-4984-9632-01f1ff581d7b" ] }, { "id" : "ITEM-2",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"ITEM-2", "issued" : { "date-parts" : [ [ "2007", "3", "28" ] ] }, "page" : "209-18", "title" : "Holocene fire and occupation in Amazonia: Records from two lake districts.", "type" : "article-journal", "volume" : "362" }, "uris" : [ "http://www.mendeley.com/documents/?uuid=7da33a10-244c-464c-9fa5-92b5a0cf24dd" ] }, { "id" : "ITEM-3", "itemData" : { "author" : [ { "dropping-particle" : "", "family" : "Iriarte", "given" : "J.", "non-dropping-particle" : "", "parse-names" : false, "suffix" : "" }, { "dropping-particle" : "", "family" : "Power", "given" : "M. J.", "non-dropping-particle" : "", "parse-names" : false, "suffix" : "" }, { "dropping-particle" : "", "family" : "Rostain", "given" : "S.", "non-dropping-particle" : "", "parse-names" : false, "suffix" : "" }, { "dropping-particle" : "", "family" : "Mayle", "given" : "F. E.", "non-dropping-particle" : "", "parse-names" : false, "suffix" : "" }, { "dropping-particle" : "", "family" : "Jones", "given" : "H.", "non-dropping-particle" : "", "parse-names" : false, "suffix" : "" }, { "dropping-particle" : "", "family" : "Watling", "given" : "J.", "non-dropping-particle" : "", "parse-names" : false, "suffix" : "" }, { "dropping-particle" : "", "family" : "Whitney", "given" : "B. S.", "non-dropping-particle" : "", "parse-names" : false, "suffix" : "" }, { "dropping-particle" : "", "family" : "McKey", "given" : "D. B.", "non-dropping-particle" : "", "parse-names" : false, "suffix" : "" } ], "container-title" : "Proceedings of the National Academy of Sciences", "id" : "ITEM-3", "issued" : { "date-parts" : [ [ "2012", "4", "9" ] ] }, "page" : "6473-6478", "title" : "Fire-free land use in pre-1492 Amazonian savannas", "type" : "article-journal", "volume" : "109" }, "uris" : [ "http://www.mendeley.com/documents/?uuid=4a47616a-4a6d-43de-85d1-a3395d1dc9e2" ] }, { "id" : "ITEM-4", "itemData" : { "ISSN" : "0959-6836", "author" : [ { "dropping-particle" : "", "family" : "Carson", "given" : "John F", "non-dropping-particle" : "", "parse-names" : false, "suffix" : "" }, { "dropping-particle" : "", "family" : "Watling", "given" : "Jennifer", "non-dropping-particle" : "", "parse-names" : false, "suffix" : "" }, { "dropping-particle" : "", "family" : "Mayle", "given" : "Francis E", "non-dropping-particle" : "", "parse-names" : false, "suffix" : "" }, { "dropping-particle" : "", "family" : "Whitney", "given" : "Bronwen S",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"container-title" : "The Holocene", "id" : "ITEM-4", "issue" : "8", "issued" : { "date-parts" : [ [ "2015" ] ] }, "page" : "1285-1300", "publisher" : "Sage Publications", "title" : "Pre-Columbian land use in the ring-ditch region of the Bolivian Amazon", "type" : "article-journal", "volume" : "25" }, "uris" : [ "http://www.mendeley.com/documents/?uuid=64de1a64-baec-4e49-a669-2bd49f5a5be7" ] } ], "mendeley" : { "formattedCitation" : "(Bush et al., 2016, 2007; Carson et al., 2015; Iriarte et al., 2012)", "plainTextFormattedCitation" : "(Bush et al., 2016, 2007; Carson et al., 2015; Iriarte et al., 2012)", "previouslyFormattedCitation" : "(Bush et al., 2016, 2007; Carson et al., 2015; Iriarte et al., 2012)" }, "properties" : { "noteIndex" : 16 }, "schema" : "https://github.com/citation-style-language/schema/raw/master/csl-citation.json" }</w:instrText>
      </w:r>
      <w:r w:rsidR="005E68F3" w:rsidRPr="008736A7">
        <w:rPr>
          <w:rFonts w:ascii="Times New Roman" w:hAnsi="Times New Roman" w:cs="Times New Roman"/>
          <w:color w:val="000000"/>
        </w:rPr>
        <w:fldChar w:fldCharType="separate"/>
      </w:r>
      <w:r w:rsidR="005E68F3" w:rsidRPr="008736A7">
        <w:rPr>
          <w:rFonts w:ascii="Times New Roman" w:hAnsi="Times New Roman" w:cs="Times New Roman"/>
          <w:noProof/>
          <w:color w:val="000000"/>
        </w:rPr>
        <w:t>(Bush et al., 2016, 2007; Carson et al., 2015; Iriarte et al., 2012)</w:t>
      </w:r>
      <w:r w:rsidR="005E68F3" w:rsidRPr="008736A7">
        <w:rPr>
          <w:rFonts w:ascii="Times New Roman" w:hAnsi="Times New Roman" w:cs="Times New Roman"/>
          <w:color w:val="000000"/>
        </w:rPr>
        <w:fldChar w:fldCharType="end"/>
      </w:r>
      <w:r w:rsidR="005E68F3" w:rsidRPr="008736A7">
        <w:rPr>
          <w:rFonts w:ascii="Times New Roman" w:hAnsi="Times New Roman" w:cs="Times New Roman"/>
          <w:color w:val="000000"/>
        </w:rPr>
        <w:t xml:space="preserve">. Although evidence for </w:t>
      </w:r>
      <w:r w:rsidR="005E68F3" w:rsidRPr="008736A7">
        <w:rPr>
          <w:rFonts w:ascii="Times New Roman" w:hAnsi="Times New Roman" w:cs="Times New Roman"/>
          <w:i/>
          <w:color w:val="000000"/>
        </w:rPr>
        <w:t>Z. mays</w:t>
      </w:r>
      <w:r w:rsidR="005E68F3" w:rsidRPr="008736A7">
        <w:rPr>
          <w:rFonts w:ascii="Times New Roman" w:hAnsi="Times New Roman" w:cs="Times New Roman"/>
          <w:color w:val="000000"/>
        </w:rPr>
        <w:t xml:space="preserve"> cultivation is documented at numerous sites in the region during this period  </w:t>
      </w:r>
      <w:r w:rsidR="005E68F3" w:rsidRPr="008736A7">
        <w:rPr>
          <w:rFonts w:ascii="Times New Roman" w:hAnsi="Times New Roman" w:cs="Times New Roman"/>
          <w:color w:val="000000"/>
        </w:rPr>
        <w:fldChar w:fldCharType="begin" w:fldLock="1"/>
      </w:r>
      <w:r w:rsidR="005E68F3" w:rsidRPr="008736A7">
        <w:rPr>
          <w:rFonts w:ascii="Times New Roman" w:hAnsi="Times New Roman" w:cs="Times New Roman"/>
          <w:color w:val="000000"/>
        </w:rPr>
        <w:instrText>ADDIN CSL_CITATION { "citationItems" : [ { "id" : "ITEM-1", "itemData" : { "ISSN" : "0277-3791", "author" : [ { "dropping-particle" : "", "family" : "Brugger", "given" : "Sandra O", "non-dropping-particle" : "", "parse-names" : false, "suffix" : "" }, { "dropping-particle" : "", "family" : "Gobet", "given" : "Erika", "non-dropping-particle" : "", "parse-names" : false, "suffix" : "" }, { "dropping-particle" : "", "family" : "Leeuwen", "given" : "Jacqueline F N", "non-dropping-particle" : "van", "parse-names" : false, "suffix" : "" }, { "dropping-particle" : "", "family" : "Ledru", "given" : "Marie-Pierre", "non-dropping-particle" : "", "parse-names" : false, "suffix" : "" }, { "dropping-particle" : "", "family" : "Colombaroli", "given" : "Daniele", "non-dropping-particle" : "", "parse-names" : false, "suffix" : "" }, { "dropping-particle" : "", "family" : "Knaap", "given" : "W O", "non-dropping-particle" : "van der", "parse-names" : false, "suffix" : "" }, { "dropping-particle" : "", "family" : "Lombardo", "given" : "Umberto", "non-dropping-particle" : "", "parse-names" : false, "suffix" : "" }, { "dropping-particle" : "", "family" : "Escobar-Torrez", "given" : "Katerine", "non-dropping-particle" : "", "parse-names" : false, "suffix" : "" }, { "dropping-particle" : "", "family" : "Finsinger", "given" : "Walter", "non-dropping-particle" : "", "parse-names" : false, "suffix" : "" }, { "dropping-particle" : "", "family" : "Rodrigues", "given" : "Leonor", "non-dropping-particle" : "", "parse-names" : false, "suffix" : "" } ], "container-title" : "Quaternary Science Reviews", "id" : "ITEM-1", "issued" : { "date-parts" : [ [ "2016" ] ] }, "page" : "114-128", "publisher" : "Elsevier", "title" : "Long-term man\u2013environment interactions in the Bolivian Amazon: 8000 years of vegetation dynamics", "type" : "article-journal", "volume" : "132" }, "uris" : [ "http://www.mendeley.com/documents/?uuid=d28272bd-55e7-4529-877f-9e8d6491275a" ] }, { "id" : "ITEM-2", "itemData" : { "ISSN" : "1385-0237", "author" : [ { "dropping-particle" : "", "family" : "Bush", "given" : "Mark B", "non-dropping-particle" : "", "parse-names" : false, "suffix" : "" }, { "dropping-particle" : "", "family" : "Colinvaux", "given" : "Paul A", "non-dropping-particle" : "", "parse-names" : false, "suffix" : "" } ], "container-title" : "Plant Ecology", "id" : "ITEM-2", "issue" : "3", "issued" : { "date-parts" : [ [ "1988" ] ] }, "page" : "141-154", "publisher" : "Springer", "title" : "A 7000-year pollen record from the Amazon lowlands, Ecuador", "type" : "article-journal", "volume" : "76" }, "uris" : [ "http://www.mendeley.com/documents/?uuid=03e4ef7c-da34-4ef9-bc66-2963d010afe9" ] }, { "id" : "ITEM-3", "itemData" : { "author" : [ { "dropping-particle" : "", "family" : "McMichael", "given" : "C. H.", "non-dropping-particle" : "", "parse-names" : false, "suffix" : "" }, { "dropping-particle" : "", "family" : "Bush", "given" : "M. B.", "non-dropping-particle" : "", "parse-names" : false, "suffix" : "" }, { "dropping-particle" : "", "family" : "Piperno", "given" : "D. R.", "non-dropping-particle" : "", "parse-names" : false, "suffix" : "" }, { "dropping-particle" : "", "family" : "Silman", "given" : "M. R.", "non-dropping-particle" : "", "parse-names" : false, "suffix" : "" }, { "dropping-particle" : "", "family" : "Zimmerman", "given" : "a. R.", "non-dropping-particle" : "", "parse-names" : false, "suffix" : "" }, { "dropping-particle" : "", "family" : "Anderson", "given" : "C.", "non-dropping-particle" : "", "parse-names" : false, "suffix" : "" } ], "container-title" : "The Holocene", "id" : "ITEM-3", "issued" : { "date-parts" : [ [ "2011", "8", "11" ] ] }, "page" : "131-141", "title" : "Spatial and temporal scales of pre-Columbian disturbance associated with western Amazonian lakes", "type" : "article-journal", "volume" : "22" }, "uris" : [ "http://www.mendeley.com/documents/?uuid=ee4b80d1-66e7-422f-a922-e9a735056650" ] }, { "id" : "ITEM-4",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"ITEM-4", "issued" : { "date-parts" : [ [ "2007", "3", "28" ] ] }, "page" : "209-18", "title" : "Holocene fire and occupation in Amazonia: Records from two lake districts.", "type" : "article-journal", "volume" : "362" }, "uris" : [ "http://www.mendeley.com/documents/?uuid=7da33a10-244c-464c-9fa5-92b5a0cf24dd" ] } ], "mendeley" : { "formattedCitation" : "(Brugger et al., 2016; Bush et al., 2007; Bush and Colinvaux, 1988; McMichael et al., 2011)", "plainTextFormattedCitation" : "(Brugger et al., 2016; Bush et al., 2007; Bush and Colinvaux, 1988; McMichael et al., 2011)", "previouslyFormattedCitation" : "(Brugger et al., 2016; Bush et al., 2007; Bush and Colinvaux, 1988; McMichael et al., 2011)" }, "properties" : { "noteIndex" : 0 }, "schema" : "https://github.com/citation-style-language/schema/raw/master/csl-citation.json" }</w:instrText>
      </w:r>
      <w:r w:rsidR="005E68F3" w:rsidRPr="008736A7">
        <w:rPr>
          <w:rFonts w:ascii="Times New Roman" w:hAnsi="Times New Roman" w:cs="Times New Roman"/>
          <w:color w:val="000000"/>
        </w:rPr>
        <w:fldChar w:fldCharType="separate"/>
      </w:r>
      <w:r w:rsidR="005E68F3" w:rsidRPr="008736A7">
        <w:rPr>
          <w:rFonts w:ascii="Times New Roman" w:hAnsi="Times New Roman" w:cs="Times New Roman"/>
          <w:noProof/>
          <w:color w:val="000000"/>
        </w:rPr>
        <w:t>(Brugger et al., 2016; Bush et al., 2007; Bush and Colinvaux, 1988; McMichael et al., 2011)</w:t>
      </w:r>
      <w:r w:rsidR="005E68F3" w:rsidRPr="008736A7">
        <w:rPr>
          <w:rFonts w:ascii="Times New Roman" w:hAnsi="Times New Roman" w:cs="Times New Roman"/>
          <w:color w:val="000000"/>
        </w:rPr>
        <w:fldChar w:fldCharType="end"/>
      </w:r>
      <w:r w:rsidR="005E68F3" w:rsidRPr="008736A7">
        <w:rPr>
          <w:rFonts w:ascii="Times New Roman" w:hAnsi="Times New Roman" w:cs="Times New Roman"/>
          <w:color w:val="000000"/>
        </w:rPr>
        <w:t xml:space="preserve">, there is an absence of </w:t>
      </w:r>
      <w:r w:rsidR="005E68F3" w:rsidRPr="008736A7">
        <w:rPr>
          <w:rFonts w:ascii="Times New Roman" w:hAnsi="Times New Roman" w:cs="Times New Roman"/>
          <w:i/>
        </w:rPr>
        <w:t xml:space="preserve">Z. mays </w:t>
      </w:r>
      <w:r w:rsidR="005E68F3" w:rsidRPr="008736A7">
        <w:rPr>
          <w:rFonts w:ascii="Times New Roman" w:hAnsi="Times New Roman" w:cs="Times New Roman"/>
        </w:rPr>
        <w:t>pollen that dates to this second major fire episode at LCH.  More data are needed to confirm the presence of human activity at LCH during this period to definitively attribute this major fire event to human ignitions. Given, however the relatively wet, stable climatic conditions, an explanation based on human-induced fire is more parsimonious.</w:t>
      </w:r>
    </w:p>
    <w:p w:rsidR="005E68F3" w:rsidRDefault="005E68F3" w:rsidP="005E68F3">
      <w:pPr>
        <w:pStyle w:val="BodyText"/>
        <w:spacing w:line="215" w:lineRule="auto"/>
        <w:ind w:right="150"/>
        <w:jc w:val="both"/>
        <w:rPr>
          <w:rFonts w:ascii="Times New Roman" w:hAnsi="Times New Roman" w:cs="Times New Roman"/>
          <w:b/>
          <w:i/>
        </w:rPr>
      </w:pPr>
    </w:p>
    <w:p w:rsidR="00090084" w:rsidRPr="00090084" w:rsidRDefault="00090084" w:rsidP="00090084">
      <w:pPr>
        <w:pStyle w:val="BodyText"/>
        <w:spacing w:line="215" w:lineRule="auto"/>
        <w:ind w:right="150" w:firstLine="199"/>
        <w:jc w:val="both"/>
        <w:rPr>
          <w:rFonts w:ascii="Times New Roman" w:hAnsi="Times New Roman" w:cs="Times New Roman"/>
        </w:rPr>
      </w:pPr>
    </w:p>
    <w:p w:rsidR="00090084" w:rsidRDefault="005E68F3" w:rsidP="00090084">
      <w:pPr>
        <w:ind w:right="150"/>
        <w:jc w:val="both"/>
      </w:pPr>
      <w:r>
        <w:rPr>
          <w:noProof/>
          <w:lang w:val="en-GB" w:eastAsia="en-GB"/>
        </w:rPr>
        <w:drawing>
          <wp:anchor distT="0" distB="0" distL="114300" distR="114300" simplePos="0" relativeHeight="251664384" behindDoc="0" locked="0" layoutInCell="1" allowOverlap="1" wp14:anchorId="0C74E8B6" wp14:editId="7C10457C">
            <wp:simplePos x="0" y="0"/>
            <wp:positionH relativeFrom="column">
              <wp:posOffset>1143000</wp:posOffset>
            </wp:positionH>
            <wp:positionV relativeFrom="paragraph">
              <wp:posOffset>144145</wp:posOffset>
            </wp:positionV>
            <wp:extent cx="5314315" cy="709041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Chaplin_summary figure late holocene.png"/>
                    <pic:cNvPicPr/>
                  </pic:nvPicPr>
                  <pic:blipFill>
                    <a:blip r:embed="rId15">
                      <a:extLst>
                        <a:ext uri="{28A0092B-C50C-407E-A947-70E740481C1C}">
                          <a14:useLocalDpi xmlns:a14="http://schemas.microsoft.com/office/drawing/2010/main" val="0"/>
                        </a:ext>
                      </a:extLst>
                    </a:blip>
                    <a:stretch>
                      <a:fillRect/>
                    </a:stretch>
                  </pic:blipFill>
                  <pic:spPr>
                    <a:xfrm>
                      <a:off x="0" y="0"/>
                      <a:ext cx="5314315" cy="7090410"/>
                    </a:xfrm>
                    <a:prstGeom prst="rect">
                      <a:avLst/>
                    </a:prstGeom>
                  </pic:spPr>
                </pic:pic>
              </a:graphicData>
            </a:graphic>
            <wp14:sizeRelH relativeFrom="page">
              <wp14:pctWidth>0</wp14:pctWidth>
            </wp14:sizeRelH>
            <wp14:sizeRelV relativeFrom="page">
              <wp14:pctHeight>0</wp14:pctHeight>
            </wp14:sizeRelV>
          </wp:anchor>
        </w:drawing>
      </w: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firstLine="199"/>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090084" w:rsidRPr="005E68F3" w:rsidRDefault="00090084" w:rsidP="00090084">
      <w:pPr>
        <w:pStyle w:val="BodyText"/>
        <w:spacing w:line="215" w:lineRule="auto"/>
        <w:ind w:right="150"/>
        <w:jc w:val="both"/>
        <w:rPr>
          <w:rFonts w:ascii="Times New Roman" w:hAnsi="Times New Roman" w:cs="Times New Roman"/>
          <w:sz w:val="18"/>
          <w:szCs w:val="18"/>
        </w:rPr>
      </w:pPr>
      <w:r w:rsidRPr="005E68F3">
        <w:rPr>
          <w:rFonts w:ascii="Times New Roman" w:hAnsi="Times New Roman" w:cs="Times New Roman"/>
          <w:sz w:val="18"/>
          <w:szCs w:val="18"/>
        </w:rPr>
        <w:t xml:space="preserve">Figure 7: Laguna Chaplin Late Holocene Summary: a) regional SPD curve, b) number of archaeological sites, c) individual </w:t>
      </w:r>
      <w:r w:rsidRPr="005E68F3">
        <w:rPr>
          <w:rFonts w:ascii="Times New Roman" w:hAnsi="Times New Roman" w:cs="Times New Roman"/>
          <w:i/>
          <w:sz w:val="18"/>
          <w:szCs w:val="18"/>
        </w:rPr>
        <w:t>Zea mays</w:t>
      </w:r>
      <w:r w:rsidRPr="005E68F3">
        <w:rPr>
          <w:rFonts w:ascii="Times New Roman" w:hAnsi="Times New Roman" w:cs="Times New Roman"/>
          <w:sz w:val="18"/>
          <w:szCs w:val="18"/>
        </w:rPr>
        <w:t xml:space="preserve"> counts, d) % herbs in brown, e) % Moraceae/Urticaceae in green, f) CHAR peaks, g) fire frequency, h) peak magnitude,  i) high-resolution charcoal influx, background black line is background, j) regional charcoal curve (RCC) comprised from records in the Global Charcoal Database, k) Pau d’Alho Cave δ18O and Curupira Cave δ18O (Novello et al., 2016). Orange vertical shading represents the MCA and blue represents the LIA. Red dashed line indicates European contact (ca. 1492).</w:t>
      </w:r>
    </w:p>
    <w:p w:rsidR="005E68F3" w:rsidRDefault="005E68F3" w:rsidP="005E68F3">
      <w:pPr>
        <w:pStyle w:val="BodyText"/>
        <w:spacing w:line="215" w:lineRule="auto"/>
        <w:ind w:left="0" w:right="150"/>
        <w:jc w:val="both"/>
        <w:rPr>
          <w:rFonts w:ascii="Times New Roman" w:hAnsi="Times New Roman" w:cs="Times New Roman"/>
        </w:rPr>
      </w:pPr>
    </w:p>
    <w:p w:rsidR="005E68F3" w:rsidRDefault="005E68F3" w:rsidP="005E68F3">
      <w:pPr>
        <w:pStyle w:val="BodyText"/>
        <w:spacing w:line="215" w:lineRule="auto"/>
        <w:ind w:left="0" w:right="150"/>
        <w:jc w:val="both"/>
        <w:rPr>
          <w:rFonts w:ascii="Times New Roman" w:hAnsi="Times New Roman" w:cs="Times New Roman"/>
          <w:b/>
          <w:i/>
        </w:rPr>
      </w:pPr>
    </w:p>
    <w:p w:rsidR="00090084" w:rsidRDefault="00090084" w:rsidP="00090084">
      <w:pPr>
        <w:pStyle w:val="BodyText"/>
        <w:spacing w:line="215" w:lineRule="auto"/>
        <w:ind w:right="150"/>
        <w:jc w:val="both"/>
        <w:rPr>
          <w:rFonts w:ascii="Times New Roman" w:hAnsi="Times New Roman" w:cs="Times New Roman"/>
          <w:b/>
          <w:i/>
        </w:rPr>
      </w:pPr>
      <w:r w:rsidRPr="00090084">
        <w:rPr>
          <w:rFonts w:ascii="Times New Roman" w:hAnsi="Times New Roman" w:cs="Times New Roman"/>
          <w:b/>
          <w:i/>
        </w:rPr>
        <w:lastRenderedPageBreak/>
        <w:t xml:space="preserve">4.4 </w:t>
      </w:r>
      <w:r w:rsidR="00705EBE" w:rsidRPr="00090084">
        <w:rPr>
          <w:rFonts w:ascii="Times New Roman" w:hAnsi="Times New Roman" w:cs="Times New Roman"/>
          <w:b/>
          <w:i/>
        </w:rPr>
        <w:t xml:space="preserve">Local Scale Paleofire Management </w:t>
      </w:r>
    </w:p>
    <w:p w:rsidR="00090084" w:rsidRDefault="00090084" w:rsidP="00090084">
      <w:pPr>
        <w:pStyle w:val="BodyText"/>
        <w:spacing w:line="215" w:lineRule="auto"/>
        <w:ind w:right="150"/>
        <w:jc w:val="both"/>
        <w:rPr>
          <w:rFonts w:ascii="Times New Roman" w:hAnsi="Times New Roman" w:cs="Times New Roman"/>
          <w:b/>
          <w:i/>
        </w:rPr>
      </w:pPr>
    </w:p>
    <w:p w:rsidR="00090084" w:rsidRDefault="00705EBE" w:rsidP="00090084">
      <w:pPr>
        <w:pStyle w:val="BodyText"/>
        <w:spacing w:line="215" w:lineRule="auto"/>
        <w:ind w:right="150" w:firstLine="248"/>
        <w:jc w:val="both"/>
        <w:rPr>
          <w:rFonts w:ascii="Times New Roman" w:hAnsi="Times New Roman" w:cs="Times New Roman"/>
        </w:rPr>
      </w:pPr>
      <w:r w:rsidRPr="008736A7">
        <w:rPr>
          <w:rFonts w:ascii="Times New Roman" w:hAnsi="Times New Roman" w:cs="Times New Roman"/>
        </w:rPr>
        <w:t xml:space="preserve">It is important to note that there are uncertainties with regard to the temporal resolution of the age model from LCH ca. 2,000 cal yr BP to present (only 2 AMS dates available, Table 2), resulting in some uncertainty over the temporal resolution that is possible to achieve. However, an AMS date at ca. 700 cal yr BP enables this period to be addressed with greater temporal resolution. At ca. 700 cal yr BP, there is an increase in charcoal influx and fire frequency (fire episodes per 1000 yrs), and the highest peak magnitude event in the past 2,000 years, simultaneous with a sharp increase in less flammable vegetation signaled by the increased in Moraceae/Urticaceae pollen (&gt;50%) (Figure 7). The increase in charcoal influx and peak magnitude values at LCH are not as substantial as the increases that occur during the middle Holocene; indicating a fire regime characterized by higher frequency (more fires per 1000 years), lower severity (less biomass burned) fire activity. The conversion from seasonally dry tropical forest to humid tropical rainforest vegetation at LCH is the result of the time-transgressive southward expansion of the rainforest ecotone driven by increased late Holocene precipitation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"ITEM-1", "issued" : { "date-parts" : [ [ "2004", "3" ] ] }, "page" : "215-230", "title" : "Fifty-thousand-year vegetation and climate history of Noel Kempff Mercado National Park, Bolivian Amazon", "type" : "article-journal", "volume" : "61" }, "uris" : [ "http://www.mendeley.com/documents/?uuid=a8e4cf87-4769-47b4-a1ca-0c55e96c2a4a" ] }, { "id" : "ITEM-2",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"ITEM-2", "issued" : { "date-parts" : [ [ "2000" ] ] }, "page" : "2291-2294", "title" : "Millennial-scale dynamics of southern Amazonian rain forests", "type" : "article-journal", "volume" : "290" }, "uris" : [ "http://www.mendeley.com/documents/?uuid=894a91a3-4b29-430f-bc28-d17206adce15" ] }, { "id" : "ITEM-3", "itemData" : { "ISSN" : "0036-8075", "abstract" : "Long sediment cores recovered from the deep portions of Lake Titicaca are used to reconstruct the precipitation history of tropical South America for the past 25,000 years. Lake Titicaca was a deep, fresh, and continuously overflowing lake during the last glacial stage, from before 25,000 to 15,000 calibrated years before the present (cal yr B.P.), signifying that during the last glacial maximum (LGM), the Altiplano of Bolivia and Peru and much of the Amazon basin were wetter than today. The LGM in this part of the Andes is dated at 21,000 cal yr B.P., approximately coincident with the global LGM. Maximum aridity and lowest lake level occurred in the early and middle Holocene (8000 to 5500 cal yr B.P.) during a time of low summer insolation. Today, rising levels of Lake Titicaca and wet conditions in Amazonia are correlated with anomalously cold sea-surface temperatures in the northern equatorial Atlantic. Likewise, during the deglacial and Holocene periods, there were several millennial-scale wet phases on the Altiplano and in Amazonia that coincided with anomalously cold periods in the equatorial and high-latitude North Atlantic, such as the Younger Dryas.", "author" : [ { "dropping-particle" : "", "family" : "Baker", "given" : "P A", "non-dropping-particle" : "", "parse-names" : false, "suffix" : "" }, { "dropping-particle" : "", "family" : "Seltzer", "given" : "G O", "non-dropping-particle" : "", "parse-names" : false, "suffix" : "" }, { "dropping-particle" : "", "family" : "Fritz", "given" : "S C", "non-dropping-particle" : "", "parse-names" : false, "suffix" : "" }, { "dropping-particle" : "", "family" : "Dunbar", "given" : "R B", "non-dropping-particle" : "", "parse-names" : false, "suffix" : "" }, { "dropping-particle" : "", "family" : "Grove", "given" : "M J", "non-dropping-particle" : "", "parse-names" : false, "suffix" : "" }, { "dropping-particle" : "", "family" : "Tapia", "given" : "P M", "non-dropping-particle" : "", "parse-names" : false, "suffix" : "" }, { "dropping-particle" : "", "family" : "Cross", "given" : "S L", "non-dropping-particle" : "", "parse-names" : false, "suffix" : "" }, { "dropping-particle" : "", "family" : "Rowe", "given" : "H D", "non-dropping-particle" : "", "parse-names" : false, "suffix" : "" }, { "dropping-particle" : "", "family" : "Broda", "given" : "J P", "non-dropping-particle" : "", "parse-names" : false, "suffix" : "" } ], "container-title" : "Science (New York, N.Y.)", "id" : "ITEM-3", "issued" : { "date-parts" : [ [ "2001", "1", "26" ] ] }, "page" : "640-643", "title" : "The history of South American tropical precipitation for the past 25,000 years.", "type" : "article-journal", "volume" : "291" }, "uris" : [ "http://www.mendeley.com/documents/?uuid=5ebdc84f-f57c-450f-8597-f0e7c3b22fcd" ] } ], "mendeley" : { "formattedCitation" : "(P A Baker et al., 2001; Burbridge et al., 2004; Mayle et al., 2000)", "manualFormatting" : "(Baker et al., 2001; Burbridge et al., 2004; Mayle et al., 2000)", "plainTextFormattedCitation" : "(P A Baker et al., 2001; Burbridge et al., 2004; Mayle et al., 2000)", "previouslyFormattedCitation" : "(P A Baker et al., 2001; Burbridge et al., 2004; Mayle et al., 2000)"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(Baker et al., 2001; Burbridge et al., 2004; Mayle et al., 2000)</w:t>
      </w:r>
      <w:r w:rsidRPr="008736A7">
        <w:rPr>
          <w:rFonts w:ascii="Times New Roman" w:hAnsi="Times New Roman" w:cs="Times New Roman"/>
        </w:rPr>
        <w:fldChar w:fldCharType="end"/>
      </w:r>
      <w:r w:rsidRPr="008736A7">
        <w:rPr>
          <w:rFonts w:ascii="Times New Roman" w:hAnsi="Times New Roman" w:cs="Times New Roman"/>
        </w:rPr>
        <w:t>. Today, natural fires are rare in humid</w:t>
      </w:r>
      <w:r w:rsidRPr="008736A7">
        <w:rPr>
          <w:rFonts w:ascii="Times New Roman" w:hAnsi="Times New Roman" w:cs="Times New Roman"/>
          <w:i/>
        </w:rPr>
        <w:t xml:space="preserve"> </w:t>
      </w:r>
      <w:r w:rsidRPr="008736A7">
        <w:rPr>
          <w:rFonts w:ascii="Times New Roman" w:hAnsi="Times New Roman" w:cs="Times New Roman"/>
        </w:rPr>
        <w:t xml:space="preserve">rainforests unless under extended, extreme drought conditions due to high fuel moisture present in the rainforest vegetation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"3540773800", "author" : [ { "dropping-particle" : "", "family" : "Cochrane", "given" : "Mark A", "non-dropping-particle" : "", "parse-names" : false, "suffix" : "" } ], "container-title" : "Tropical Fire Ecology", "id" : "ITEM-1", "issued" : { "date-parts" : [ [ "2009" ] ] }, "page" : "1-23", "publisher" : "Springer", "title" : "Fire in the tropics", "type" : "chapter" }, "uris" : [ "http://www.mendeley.com/documents/?uuid=a9670a7c-6a53-4567-8592-106f685a0422" ] }, { "id" : "ITEM-2", "itemData" : { "ISSN" : "0277-3791", "author" : [ { "dropping-particle" : "", "family" : "Bush", "given" : "M B", "non-dropping-particle" : "", "parse-names" : false, "suffix" : "" }, { "dropping-particle" : "", "family" : "Correa-Metrio", "given" : "A", "non-dropping-particle" : "", "parse-names" : false, "suffix" : "" }, { "dropping-particle" : "", "family" : "McMichael", "given" : "C H", "non-dropping-particle" : "", "parse-names" : false, "suffix" : "" }, { "dropping-particle" : "", "family" : "Sully", "given" : "S", "non-dropping-particle" : "", "parse-names" : false, "suffix" : "" }, { "dropping-particle" : "", "family" : "Shadik", "given" : "C R", "non-dropping-particle" : "", "parse-names" : false, "suffix" : "" }, { "dropping-particle" : "", "family" : "Valencia", "given" : "B G", "non-dropping-particle" : "", "parse-names" : false, "suffix" : "" }, { "dropping-particle" : "", "family" : "Guilderson", "given" : "T", "non-dropping-particle" : "", "parse-names" : false, "suffix" : "" }, { "dropping-particle" : "", "family" : "Steinitz-Kannan", "given" : "M", "non-dropping-particle" : "", "parse-names" : false, "suffix" : "" }, { "dropping-particle" : "", "family" : "Overpeck", "given" : "J T", "non-dropping-particle" : "", "parse-names" : false, "suffix" : "" } ], "container-title" : "Quaternary Science Reviews", "id" : "ITEM-2", "issued" : { "date-parts" : [ [ "2016" ] ] }, "page" : "52-64", "publisher" : "Elsevier", "title" : "A 6900-year history of landscape modification by humans in lowland Amazonia", "type" : "article-journal", "volume" : "141" }, "uris" : [ "http://www.mendeley.com/documents/?uuid=715193ed-871b-4984-9632-01f1ff581d7b" ] } ], "mendeley" : { "formattedCitation" : "(Bush et al., 2016; Cochrane, 2009)", "plainTextFormattedCitation" : "(Bush et al., 2016; Cochrane, 2009)", "previouslyFormattedCitation" : "(Bush et al., 2016; Cochrane, 2009)"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(Bush et al., 2016; Cochrane, 2009)</w:t>
      </w:r>
      <w:r w:rsidRPr="008736A7">
        <w:rPr>
          <w:rFonts w:ascii="Times New Roman" w:hAnsi="Times New Roman" w:cs="Times New Roman"/>
        </w:rPr>
        <w:fldChar w:fldCharType="end"/>
      </w:r>
      <w:r w:rsidRPr="008736A7">
        <w:rPr>
          <w:rFonts w:ascii="Times New Roman" w:hAnsi="Times New Roman" w:cs="Times New Roman"/>
        </w:rPr>
        <w:t>. Fires in these</w:t>
      </w:r>
      <w:r w:rsidRPr="008736A7">
        <w:rPr>
          <w:rFonts w:ascii="Times New Roman" w:hAnsi="Times New Roman" w:cs="Times New Roman"/>
          <w:i/>
        </w:rPr>
        <w:t xml:space="preserve"> </w:t>
      </w:r>
      <w:r w:rsidRPr="008736A7">
        <w:rPr>
          <w:rFonts w:ascii="Times New Roman" w:hAnsi="Times New Roman" w:cs="Times New Roman"/>
        </w:rPr>
        <w:t xml:space="preserve">forests are most often the result of human intervention for burning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"abstract" : "While large-scale pre-Columbian human occupation and ecological disturbance have been demonstrated close to major Amazonian waterways, less is known of sites in terra firme settings. Palaeoecological analyses of two lake districts in central and western Amazonia reveal long histories of occupation and land use. At both locations, human activity was centred on one of the lakes, while the others were either lightly used or unused. These analyses indicate that the scale of human impacts in these terra firme settings is localized and probably strongly influenced by the presence of a permanent open-water body. Evidence is found of forest clearance and cultivation of maize and manioc. These data are directly relevant to the resilience of Amazonian conservation, as they do not support the contention that all of Amazonia is a 'built landscape' and therefore a product of past human land use.", "author" : [ { "dropping-particle" : "", "family" : "Bush", "given" : "Mark B", "non-dropping-particle" : "", "parse-names" : false, "suffix" : "" }, { "dropping-particle" : "", "family" : "Silman", "given" : "Miles R", "non-dropping-particle" : "", "parse-names" : false, "suffix" : "" }, { "dropping-particle" : "", "family" : "Toledo", "given" : "Mauro B", "non-dropping-particle" : "de", "parse-names" : false, "suffix" : "" }, { "dropping-particle" : "", "family" : "Listopad", "given" : "Claudia", "non-dropping-particle" : "", "parse-names" : false, "suffix" : "" }, { "dropping-particle" : "", "family" : "Gosling", "given" : "William D", "non-dropping-particle" : "", "parse-names" : false, "suffix" : "" }, { "dropping-particle" : "", "family" : "Williams", "given" : "Christopher", "non-dropping-particle" : "", "parse-names" : false, "suffix" : "" }, { "dropping-particle" : "", "family" : "Oliveira", "given" : "Paulo E", "non-dropping-particle" : "de", "parse-names" : false, "suffix" : "" }, { "dropping-particle" : "", "family" : "Krisel", "given" : "Carolyn", "non-dropping-particle" : "", "parse-names" : false, "suffix" : "" } ], "container-title" : "Philosophical transactions of the Royal Society of London. Series B, Biological sciences", "id" : "ITEM-1", "issued" : { "date-parts" : [ [ "2007", "3", "28" ] ] }, "page" : "209-18", "title" : "Holocene fire and occupation in Amazonia: Records from two lake districts.", "type" : "article-journal", "volume" : "362" }, "uris" : [ "http://www.mendeley.com/documents/?uuid=7da33a10-244c-464c-9fa5-92b5a0cf24dd" ] } ], "mendeley" : { "formattedCitation" : "(Bush et al., 2007)", "manualFormatting" : "(Bush et al., 2007)", "plainTextFormattedCitation" : "(Bush et al., 2007)", "previouslyFormattedCitation" : "(Bush et al., 2007)"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(Bush et al., 2007)</w:t>
      </w:r>
      <w:r w:rsidRPr="008736A7">
        <w:rPr>
          <w:rFonts w:ascii="Times New Roman" w:hAnsi="Times New Roman" w:cs="Times New Roman"/>
        </w:rPr>
        <w:fldChar w:fldCharType="end"/>
      </w:r>
      <w:r w:rsidRPr="008736A7">
        <w:rPr>
          <w:rFonts w:ascii="Times New Roman" w:hAnsi="Times New Roman" w:cs="Times New Roman"/>
        </w:rPr>
        <w:t xml:space="preserve">. Thus, the transition towards less fire-adapted rainforest vegetation should result in decreased biomass burning and decreased fire frequency at LCH. However, the presence of </w:t>
      </w:r>
      <w:r w:rsidRPr="008736A7">
        <w:rPr>
          <w:rFonts w:ascii="Times New Roman" w:hAnsi="Times New Roman" w:cs="Times New Roman"/>
          <w:i/>
        </w:rPr>
        <w:t xml:space="preserve">Z. mays </w:t>
      </w:r>
      <w:r w:rsidRPr="008736A7">
        <w:rPr>
          <w:rFonts w:ascii="Times New Roman" w:hAnsi="Times New Roman" w:cs="Times New Roman"/>
        </w:rPr>
        <w:t>pollen</w:t>
      </w:r>
      <w:r w:rsidRPr="008736A7">
        <w:rPr>
          <w:rFonts w:ascii="Times New Roman" w:hAnsi="Times New Roman" w:cs="Times New Roman"/>
          <w:i/>
        </w:rPr>
        <w:t xml:space="preserve"> </w:t>
      </w:r>
      <w:r w:rsidRPr="008736A7">
        <w:rPr>
          <w:rFonts w:ascii="Times New Roman" w:hAnsi="Times New Roman" w:cs="Times New Roman"/>
        </w:rPr>
        <w:t>ca.</w:t>
      </w:r>
      <w:r w:rsidRPr="008736A7">
        <w:rPr>
          <w:rFonts w:ascii="Times New Roman" w:hAnsi="Times New Roman" w:cs="Times New Roman"/>
          <w:i/>
        </w:rPr>
        <w:t xml:space="preserve"> </w:t>
      </w:r>
      <w:r w:rsidRPr="008736A7">
        <w:rPr>
          <w:rFonts w:ascii="Times New Roman" w:hAnsi="Times New Roman" w:cs="Times New Roman"/>
        </w:rPr>
        <w:t xml:space="preserve">970 cal yr BP to ca. 170 cal yr BP indicates pre-Columbians are present on the landscape, cultivating maize in the immediate vicinity of LCH. The use of low severity burning in slash and burn agriculture has been well documented in the ethnographic and archaeological record as a tool to clear land for agriculture and crop cultivation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"0167-8809", "author" : [ { "dropping-particle" : "", "family" : "Kleinman", "given" : "P J A", "non-dropping-particle" : "", "parse-names" : false, "suffix" : "" }, { "dropping-particle" : "", "family" : "Pimentel", "given" : "David", "non-dropping-particle" : "", "parse-names" : false, "suffix" : "" }, { "dropping-particle" : "", "family" : "Bryant", "given" : "Ray B", "non-dropping-particle" : "", "parse-names" : false, "suffix" : "" } ], "container-title" : "Agriculture, Ecosystems &amp; Environment", "id" : "ITEM-1", "issue" : "2", "issued" : { "date-parts" : [ [ "1995" ] ] }, "page" : "235-249", "publisher" : "Elsevier", "title" : "The ecological sustainability of slash-and-burn agriculture", "type" : "article-journal", "volume" : "52" }, "uris" : [ "http://www.mendeley.com/documents/?uuid=27060bd1-dfab-4203-a28d-90a934a73c97" ] }, { "id" : "ITEM-2", "itemData" : { "ISSN" : "0022-0477", "author" : [ { "dropping-particle" : "", "family" : "Uhl", "given" : "Christopher", "non-dropping-particle" : "", "parse-names" : false, "suffix" : "" } ], "container-title" : "The Journal of Ecology", "id" : "ITEM-2", "issued" : { "date-parts" : [ [ "1987" ] ] }, "page" : "377-407", "publisher" : "JSTOR", "title" : "Factors controlling succession following slash-and-burn agriculture in Amazonia", "type" : "article-journal" }, "uris" : [ "http://www.mendeley.com/documents/?uuid=3f4b8afa-73f3-422d-a43c-04b406b53057" ] } ], "mendeley" : { "formattedCitation" : "(Kleinman et al., 1995; Uhl, 1987)", "plainTextFormattedCitation" : "(Kleinman et al., 1995; Uhl, 1987)", "previouslyFormattedCitation" : "(Kleinman et al., 1995; Uhl, 1987)"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(Kleinman et al., 1995; Uhl, 1987)</w:t>
      </w:r>
      <w:r w:rsidRPr="008736A7">
        <w:rPr>
          <w:rFonts w:ascii="Times New Roman" w:hAnsi="Times New Roman" w:cs="Times New Roman"/>
        </w:rPr>
        <w:fldChar w:fldCharType="end"/>
      </w:r>
      <w:r w:rsidRPr="008736A7">
        <w:rPr>
          <w:rFonts w:ascii="Times New Roman" w:hAnsi="Times New Roman" w:cs="Times New Roman"/>
        </w:rPr>
        <w:t xml:space="preserve">. As vegetation begins to transition from more open seasonally dry forest to less open closed canopy humid rainforests ca. 500 cal yr BP, human-caused, low-severity fires are likely implemented to keep crop fields clear from encroaching rainforest vegetation. During this period, the pre-Columbian application of fire to manage the southward expansion of rainforest vegetation to clear land for crop cultivation is previously documented at Laguna Granja (ca. 370 km west of LCH)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"mendeley" : { "formattedCitation" : "(Carson et al., 2014)", "plainTextFormattedCitation" : "(Carson et al., 2014)", "previouslyFormattedCitation" : "(Carson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(Carson et al., 2014)</w:t>
      </w:r>
      <w:r w:rsidRPr="008736A7">
        <w:rPr>
          <w:rFonts w:ascii="Times New Roman" w:hAnsi="Times New Roman" w:cs="Times New Roman"/>
        </w:rPr>
        <w:fldChar w:fldCharType="end"/>
      </w:r>
      <w:r w:rsidRPr="008736A7">
        <w:rPr>
          <w:rFonts w:ascii="Times New Roman" w:hAnsi="Times New Roman" w:cs="Times New Roman"/>
        </w:rPr>
        <w:t xml:space="preserve">. </w:t>
      </w:r>
    </w:p>
    <w:p w:rsidR="00090084" w:rsidRDefault="00705EBE" w:rsidP="00090084">
      <w:pPr>
        <w:pStyle w:val="BodyText"/>
        <w:spacing w:line="215" w:lineRule="auto"/>
        <w:ind w:right="150" w:firstLine="248"/>
        <w:jc w:val="both"/>
        <w:rPr>
          <w:rFonts w:ascii="Times New Roman" w:hAnsi="Times New Roman" w:cs="Times New Roman"/>
        </w:rPr>
      </w:pPr>
      <w:r w:rsidRPr="008736A7">
        <w:rPr>
          <w:rFonts w:ascii="Times New Roman" w:hAnsi="Times New Roman" w:cs="Times New Roman"/>
        </w:rPr>
        <w:t xml:space="preserve">The continued presence of </w:t>
      </w:r>
      <w:r w:rsidRPr="008736A7">
        <w:rPr>
          <w:rFonts w:ascii="Times New Roman" w:hAnsi="Times New Roman" w:cs="Times New Roman"/>
          <w:i/>
        </w:rPr>
        <w:t>Z. mays</w:t>
      </w:r>
      <w:r w:rsidRPr="008736A7">
        <w:rPr>
          <w:rFonts w:ascii="Times New Roman" w:hAnsi="Times New Roman" w:cs="Times New Roman"/>
        </w:rPr>
        <w:t xml:space="preserve"> at LCH</w:t>
      </w:r>
      <w:r w:rsidRPr="008736A7">
        <w:rPr>
          <w:rFonts w:ascii="Times New Roman" w:hAnsi="Times New Roman" w:cs="Times New Roman"/>
          <w:i/>
        </w:rPr>
        <w:t xml:space="preserve"> </w:t>
      </w:r>
      <w:r w:rsidRPr="008736A7">
        <w:rPr>
          <w:rFonts w:ascii="Times New Roman" w:hAnsi="Times New Roman" w:cs="Times New Roman"/>
        </w:rPr>
        <w:t xml:space="preserve">until ca. 170 cal yr BP (Figure 7), suggests that pre-Columbian populations did not immediately abandon maize cultivation at LCH following European contact (ca. 1492). The continued presence of </w:t>
      </w:r>
      <w:r w:rsidRPr="008736A7">
        <w:rPr>
          <w:rFonts w:ascii="Times New Roman" w:hAnsi="Times New Roman" w:cs="Times New Roman"/>
          <w:i/>
        </w:rPr>
        <w:t>Z. mays</w:t>
      </w:r>
      <w:r w:rsidRPr="008736A7">
        <w:rPr>
          <w:rFonts w:ascii="Times New Roman" w:hAnsi="Times New Roman" w:cs="Times New Roman"/>
        </w:rPr>
        <w:t xml:space="preserve"> indicates this area does not experience immediate depopulation following the arrival of European settlers. Maize</w:t>
      </w:r>
      <w:r w:rsidRPr="008736A7">
        <w:rPr>
          <w:rFonts w:ascii="Times New Roman" w:hAnsi="Times New Roman" w:cs="Times New Roman"/>
          <w:i/>
        </w:rPr>
        <w:t xml:space="preserve"> </w:t>
      </w:r>
      <w:r w:rsidRPr="008736A7">
        <w:rPr>
          <w:rFonts w:ascii="Times New Roman" w:hAnsi="Times New Roman" w:cs="Times New Roman"/>
        </w:rPr>
        <w:t xml:space="preserve">cultivation persists around LCH for a few centuries following European contact despite regional pre-Columbian population declines indicated from the SPD values and site frequency data. The interpretation of the continued pre-Columbian presence at LCH is supported by corroborating evidence of occupation following contact from Laguna San Jose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"ISSN" : "0033-5894", "author" : [ { "dropping-particle" : "", "family" : "Whitney", "given" : "Bronwen S", "non-dropping-particle" : "", "parse-names" : false, "suffix" : "" }, { "dropping-particle" : "", "family" : "Dickau", "given" : "Ruth", "non-dropping-particle" : "", "parse-names" : false, "suffix" : "" }, { "dropping-particle" : "", "family" : "Mayle", "given" : "Francis E", "non-dropping-particle" : "", "parse-names" : false, "suffix" : "" }, { "dropping-particle" : "", "family" : "Soto", "given" : "J Daniel", "non-dropping-particle" : "", "parse-names" : false, "suffix" : "" }, { "dropping-particle" : "", "family" : "Iriarte", "given" : "Jos\u00e9", "non-dropping-particle" : "", "parse-names" : false, "suffix" : "" } ], "container-title" : "Quaternary Research", "id" : "ITEM-1", "issued" : { "date-parts" : [ [ "2013" ] ] }, "page" : "207-217", "publisher" : "Elsevier", "title" : "Pre-Columbian landscape impact and agriculture in the Monumental Mound region of the Llanos de Moxos, lowland Bolivia", "type" : "article-journal", "volume" : "80" }, "uris" : [ "http://www.mendeley.com/documents/?uuid=5191e268-2f7d-4bd5-9195-fec2b5262df4" ] } ], "mendeley" : { "formattedCitation" : "(Whitney et al., 2013)", "plainTextFormattedCitation" : "(Whitney et al., 2013)", "previouslyFormattedCitation" : "(Whitney et al., 2013)"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lang w:val="en-GB"/>
        </w:rPr>
        <w:t>(Whitney et al., 2013)</w:t>
      </w:r>
      <w:r w:rsidRPr="008736A7">
        <w:rPr>
          <w:rFonts w:ascii="Times New Roman" w:hAnsi="Times New Roman" w:cs="Times New Roman"/>
        </w:rPr>
        <w:fldChar w:fldCharType="end"/>
      </w:r>
      <w:r w:rsidRPr="008736A7">
        <w:rPr>
          <w:rFonts w:ascii="Times New Roman" w:hAnsi="Times New Roman" w:cs="Times New Roman"/>
          <w:lang w:val="en-GB"/>
        </w:rPr>
        <w:t xml:space="preserve"> and Laguna El Cerrito </w:t>
      </w:r>
      <w:r w:rsidRPr="008736A7">
        <w:rPr>
          <w:rFonts w:ascii="Times New Roman" w:hAnsi="Times New Roman" w:cs="Times New Roman"/>
        </w:rPr>
        <w:fldChar w:fldCharType="begin" w:fldLock="1"/>
      </w:r>
      <w:r w:rsidRPr="008736A7">
        <w:rPr>
          <w:rFonts w:ascii="Times New Roman" w:hAnsi="Times New Roman" w:cs="Times New Roman"/>
          <w:lang w:val="en-GB"/>
        </w:rPr>
        <w:instrText>ADDIN CSL_CITATION { "citationItems" : [ { "id" : "ITEM-1", "itemData" : { "ISSN" : "0959-6836", "author" : [ { "dropping-particle" : "", "family" : "Whitney", "given" : "Bronwen S", "non-dropping-particle" : "", "parse-names" : false, "suffix" : "" }, { "dropping-particle" : "", "family" : "Dickau", "given" : "Ruth", "non-dropping-particle" : "", "parse-names" : false, "suffix" : "" }, { "dropping-particle" : "", "family" : "Mayle", "given" : "Francis E", "non-dropping-particle" : "", "parse-names" : false, "suffix" : "" }, { "dropping-particle" : "", "family" : "Walker", "given" : "John H", "non-dropping-particle" : "", "parse-names" : false, "suffix" : "" }, { "dropping-particle" : "", "family" : "Soto", "given" : "J Daniel", "non-dropping-particle" : "", "parse-names" : false, "suffix" : "" }, { "dropping-particle" : "", "family" : "Iriarte", "given" : "Jos\u00e9", "non-dropping-particle" : "", "parse-names" : false, "suffix" : "" } ], "container-title" : "The Holocene", "id" : "ITEM-1", "issued" : { "date-parts" : [ [ "2014" ] ] }, "page" : "231-241", "publisher" : "SAGE Publications", "title" : "Pre-Columbian raised-field agriculture and land use in the Bolivian Amazon", "type" : "article-journal", "volume" : "24" }, "uris" : [ "http://www.mendeley.com/documents/?uuid=763d8824-2667-4c71-a116-185e3a0c8caa" ] } ], "mendeley" : { "formattedCitation" : "(Whitney et al., 2014)", "plainTextFormattedCitation" : "(Whitney et al., 2014)", "previouslyFormattedCitation" : "(Whitney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(Whitney et al., 2014)</w:t>
      </w:r>
      <w:r w:rsidRPr="008736A7">
        <w:rPr>
          <w:rFonts w:ascii="Times New Roman" w:hAnsi="Times New Roman" w:cs="Times New Roman"/>
        </w:rPr>
        <w:fldChar w:fldCharType="end"/>
      </w:r>
      <w:r w:rsidRPr="008736A7">
        <w:rPr>
          <w:rFonts w:ascii="Times New Roman" w:hAnsi="Times New Roman" w:cs="Times New Roman"/>
        </w:rPr>
        <w:t xml:space="preserve"> along with extensive archaeological evidence in the Bolivian lowlands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"Dickau", "given" : "R.", "non-dropping-particle" : "", "parse-names" : false, "suffix" : "" }, { "dropping-particle" : "", "family" : "Bruno", "given" : "MC", "non-dropping-particle" : "", "parse-names" : false, "suffix" : "" }, { "dropping-particle" : "", "family" : "Iriarte", "given" : "J", "non-dropping-particle" : "", "parse-names" : false, "suffix" : "" } ], "container-title" : "Journal of Archaeological Science", "id" : "ITEM-1", "issued" : { "date-parts" : [ [ "2012" ] ] }, "page" : "357\u2013370.", "title" : "Diversity of cultivars and other plant resources used at habitation sites in the Llanos de Mojos, Beni, Bolivia: Evidence from macrobotanical remains, starch grains, and phytoliths.", "type" : "article-journal", "volume" : "39" }, "uris" : [ "http://www.mendeley.com/documents/?uuid=f8394ffb-bd2a-4a6c-86ad-8cf50f4ce3ae" ] }, { "id" : "ITEM-2", "itemData" : { "ISSN" : "0959-6836", "author" : [ { "dropping-particle" : "", "family" : "Carson", "given" : "John F", "non-dropping-particle" : "", "parse-names" : false, "suffix" : "" }, { "dropping-particle" : "", "family" : "Watling", "given" : "Jennifer", "non-dropping-particle" : "", "parse-names" : false, "suffix" : "" }, { "dropping-particle" : "", "family" : "Mayle", "given" : "Francis E", "non-dropping-particle" : "", "parse-names" : false, "suffix" : "" }, { "dropping-particle" : "", "family" : "Whitney", "given" : "Bronwen S",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"container-title" : "The Holocene", "id" : "ITEM-2", "issue" : "8", "issued" : { "date-parts" : [ [ "2015" ] ] }, "page" : "1285-1300", "publisher" : "Sage Publications", "title" : "Pre-Columbian land use in the ring-ditch region of the Bolivian Amazon", "type" : "article-journal", "volume" : "25" }, "uris" : [ "http://www.mendeley.com/documents/?uuid=64de1a64-baec-4e49-a669-2bd49f5a5be7" ] }, { "id" : "ITEM-3", "itemData" : { "ISSN" : "2153-9561", "author" : [ { "dropping-particle" : "", "family" : "Walker", "given" : "John H", "non-dropping-particle" : "", "parse-names" : false, "suffix" : "" } ], "container-title" : "Culture, Agriculture, Food and Environment", "id" : "ITEM-3", "issue" : "1", "issued" : { "date-parts" : [ [ "2011" ] ] }, "page" : "2-14", "publisher" : "Wiley Online Library", "title" : "Amazonian Dark Earth and Ring Ditches in the Central Llanos de Mojos, Bolivia", "type" : "article-journal", "volume" : "33" }, "uris" : [ "http://www.mendeley.com/documents/?uuid=3581d5ab-02ae-4891-942a-e9bd9852cea6" ] } ], "mendeley" : { "formattedCitation" : "(Carson et al., 2015; Dickau et al., 2012; Walker, 2011)", "plainTextFormattedCitation" : "(Carson et al., 2015; Dickau et al., 2012; Walker, 2011)", "previouslyFormattedCitation" : "(Carson et al., 2015; Dickau et al., 2012; Walker, 2011)"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(Carson et al., 2015; Dickau et al., 2012; Walker, 2011)</w:t>
      </w:r>
      <w:r w:rsidRPr="008736A7">
        <w:rPr>
          <w:rFonts w:ascii="Times New Roman" w:hAnsi="Times New Roman" w:cs="Times New Roman"/>
        </w:rPr>
        <w:fldChar w:fldCharType="end"/>
      </w:r>
      <w:r w:rsidRPr="008736A7">
        <w:rPr>
          <w:rFonts w:ascii="Times New Roman" w:hAnsi="Times New Roman" w:cs="Times New Roman"/>
        </w:rPr>
        <w:t>.</w:t>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b/>
          <w:i/>
        </w:rPr>
      </w:pPr>
      <w:r w:rsidRPr="00090084">
        <w:rPr>
          <w:rFonts w:ascii="Times New Roman" w:hAnsi="Times New Roman" w:cs="Times New Roman"/>
          <w:b/>
          <w:i/>
        </w:rPr>
        <w:t xml:space="preserve">4.5 </w:t>
      </w:r>
      <w:r w:rsidR="00705EBE" w:rsidRPr="00090084">
        <w:rPr>
          <w:rFonts w:ascii="Times New Roman" w:hAnsi="Times New Roman" w:cs="Times New Roman"/>
          <w:b/>
          <w:i/>
        </w:rPr>
        <w:t xml:space="preserve">Extent of pre-Columbian Disturbance in the Bolivian Amazon </w:t>
      </w:r>
    </w:p>
    <w:p w:rsidR="00090084" w:rsidRDefault="00090084" w:rsidP="00090084">
      <w:pPr>
        <w:pStyle w:val="BodyText"/>
        <w:spacing w:line="215" w:lineRule="auto"/>
        <w:ind w:right="150" w:firstLine="248"/>
        <w:jc w:val="both"/>
        <w:rPr>
          <w:rFonts w:ascii="Times New Roman" w:hAnsi="Times New Roman" w:cs="Times New Roman"/>
          <w:b/>
          <w:i/>
        </w:rPr>
      </w:pPr>
    </w:p>
    <w:p w:rsidR="00090084" w:rsidRDefault="00705EBE" w:rsidP="00090084">
      <w:pPr>
        <w:pStyle w:val="BodyText"/>
        <w:spacing w:line="215" w:lineRule="auto"/>
        <w:ind w:right="150" w:firstLine="248"/>
        <w:jc w:val="both"/>
        <w:rPr>
          <w:rFonts w:ascii="Times New Roman" w:hAnsi="Times New Roman" w:cs="Times New Roman"/>
        </w:rPr>
      </w:pPr>
      <w:r w:rsidRPr="008736A7">
        <w:rPr>
          <w:rFonts w:ascii="Times New Roman" w:hAnsi="Times New Roman" w:cs="Times New Roman"/>
        </w:rPr>
        <w:t xml:space="preserve">During the last millennium, the data presented in this study indicate pre-Columbian fire management practices and </w:t>
      </w:r>
      <w:r w:rsidRPr="008736A7">
        <w:rPr>
          <w:rFonts w:ascii="Times New Roman" w:hAnsi="Times New Roman" w:cs="Times New Roman"/>
          <w:i/>
        </w:rPr>
        <w:t>Z. mays</w:t>
      </w:r>
      <w:r w:rsidRPr="008736A7">
        <w:rPr>
          <w:rFonts w:ascii="Times New Roman" w:hAnsi="Times New Roman" w:cs="Times New Roman"/>
        </w:rPr>
        <w:t xml:space="preserve"> agriculture occur locally around LCH. It is important to note, however, that the use of fire management for </w:t>
      </w:r>
      <w:r w:rsidRPr="008736A7">
        <w:rPr>
          <w:rFonts w:ascii="Times New Roman" w:hAnsi="Times New Roman" w:cs="Times New Roman"/>
          <w:i/>
        </w:rPr>
        <w:t xml:space="preserve">Z. mays </w:t>
      </w:r>
      <w:r w:rsidRPr="008736A7">
        <w:rPr>
          <w:rFonts w:ascii="Times New Roman" w:hAnsi="Times New Roman" w:cs="Times New Roman"/>
        </w:rPr>
        <w:t xml:space="preserve">agriculture is only one type of pre-Columbian land-use practice that is readily detectable by the methods presented in this study. Alternative scenarios of pre-Columbian land-use modification involving the selection and enrichment of economically important native tree species over others have been suggested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"abstract" : "During the twentieth century, Amazonia was widely regarded as relatively pristine nature, little impacted by human history. This view remains popular despite mounting evidence of substantial human influence over millennial scales across the region. Here, we review the evidence of an anthropogenic Amazonia in response to claims of sparse populations across broad portions of the region. Amazonia was a major centre of crop domestication, with at least 83 native species containing populations domesticated to some degree. Plant domestication occurs in domesticated landscapes, including highly modified Amazonian dark earths (ADEs) associated with large settled populations and that may cover greater than 0.1% of the region. Populations and food production expanded rapidly within land management systems in the mid-Holocene, and complex societies expanded in resource-rich areas creating domesticated landscapes with profound impacts on local and regional ecology. ADE food production projections support estimates of at least eight million people in 1492. By this time, highly diverse regional systems had developed across Amazonia where subsistence resources were created with plant and landscape domestication, including earthworks. This review argues that the Amazonian anthrome was no less socio-culturally diverse or populous than other tropical forested areas of the world prior to European conquest.", "author" : [ { "dropping-particle" : "", "family" : "Clement", "given" : "Charles R", "non-dropping-particle" : "", "parse-names" : false, "suffix" : "" }, { "dropping-particle" : "", "family" : "Denevan", "given" : "William M", "non-dropping-particle" : "", "parse-names" : false, "suffix" : "" }, { "dropping-particle" : "", "family" : "Heckenberger", "given" : "Michael J", "non-dropping-particle" : "", "parse-names" : false, "suffix" : "" }, { "dropping-particle" : "", "family" : "Junqueira", "given" : "Andr\u00e9 Braga", "non-dropping-particle" : "", "parse-names" : false, "suffix" : "" }, { "dropping-particle" : "", "family" : "Neves", "given" : "Eduardo G", "non-dropping-particle" : "", "parse-names" : false, "suffix" : "" }, { "dropping-particle" : "", "family" : "Teixeira", "given" : "Wenceslau G", "non-dropping-particle" : "", "parse-names" : false, "suffix" : "" }, { "dropping-particle" : "", "family" : "Woods", "given" : "William I", "non-dropping-particle" : "", "parse-names" : false, "suffix" : "" } ], "container-title" : "Proceedings of the Royal Society of London B: Biological Sciences", "id" : "ITEM-1", "issued" : { "date-parts" : [ [ "2015", "7", "22" ] ] }, "title" : "The domestication of Amazonia before European conquest", "type" : "article-journal", "volume" : "282" }, "uris" : [ "http://www.mendeley.com/documents/?uuid=a2aa1c38-22bc-4aa2-b651-1554c7bcc7c9" ] }, { "id" : "ITEM-2", "itemData" : { "ISSN" : "2213-3054", "author" : [ { "dropping-particle" : "", "family" : "Roosevelt", "given" : "ANNA C", "non-dropping-particle" : "", "parse-names" : false, "suffix" : "" } ], "container-title" : "Anthropocene", "id" : "ITEM-2", "issued" : { "date-parts" : [ [ "2013" ] ] }, "page" : "69-87", "publisher" : "Elsevier", "title" : "The Amazon and the Anthropocene: 13,000 years of human influence in a tropical rainforest", "type" : "article-journal", "volume" : "4" }, "uris" : [ "http://www.mendeley.com/documents/?uuid=7dd6c255-3d34-4da9-8648-ceb1e85b822b" ] }, { "id" : "ITEM-3", "itemData" : { "ISSN" : "0036-8075", "author" : [ { "dropping-particle" : "", "family" : "Levis", "given" : "Carolina", "non-dropping-particle" : "", "parse-names" : false, "suffix" : "" }, { "dropping-particle" : "", "family" : "Costa", "given" : "Fl\u00e1via R C", "non-dropping-particle" : "", "parse-names" : false, "suffix" : "" }, { "dropping-particle" : "", "family" : "Bongers", "given" : "Frans", "non-dropping-particle" : "", "parse-names" : false, "suffix" : "" }, { "dropping-particle" : "", "family" : "Pe\u00f1a-Claros", "given" : "Marielos", "non-dropping-particle" : "", "parse-names" : false, "suffix" : "" }, { "dropping-particle" : "", "family" : "Clement", "given" : "Charles R", "non-dropping-particle" : "", "parse-names" : false, "suffix" : "" }, { "dropping-particle" : "", "family" : "Junqueira", "given" : "Andr\u00e9 B", "non-dropping-particle" : "", "parse-names" : false, "suffix" : "" }, { "dropping-particle" : "", "family" : "Neves", "given" : "Eduardo G", "non-dropping-particle" : "", "parse-names" : false, "suffix" : "" }, { "dropping-particle" : "", "family" : "Tamanaha", "given" : "Eduardo K", "non-dropping-particle" : "", "parse-names" : false, "suffix" : "" }, { "dropping-particle" : "", "family" : "Figueiredo", "given" : "Fernando O G", "non-dropping-particle" : "", "parse-names" : false, "suffix" : "" }, { "dropping-particle" : "", "family" : "Salom\u00e3o", "given" : "Rafael P", "non-dropping-particle" : "", "parse-names" : false, "suffix" : "" } ], "container-title" : "Science", "id" : "ITEM-3", "issue" : "6328", "issued" : { "date-parts" : [ [ "2017" ] ] }, "page" : "925-931", "publisher" : "American Association for the Advancement of Science", "title" : "Persistent effects of pre-Columbian plant domestication on Amazonian forest composition", "type" : "article-journal", "volume" : "355" }, "uris" : [ "http://www.mendeley.com/documents/?uuid=2c157019-6756-41aa-961b-2326d92df191" ] } ], "mendeley" : { "formattedCitation" : "(Clement et al., 2015; Levis et al., 2017; Roosevelt, 2013)", "plainTextFormattedCitation" : "(Clement et al., 2015; Levis et al., 2017; Roosevelt, 2013)", "previouslyFormattedCitation" : "(Clement et al., 2015; Levis et al., 2017; Roosevelt, 2013)"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(Clement et al., 2015; Levis et al., 2017; Roosevelt, 2013)</w:t>
      </w:r>
      <w:r w:rsidRPr="008736A7">
        <w:rPr>
          <w:rFonts w:ascii="Times New Roman" w:hAnsi="Times New Roman" w:cs="Times New Roman"/>
        </w:rPr>
        <w:fldChar w:fldCharType="end"/>
      </w:r>
      <w:r w:rsidRPr="008736A7">
        <w:rPr>
          <w:rFonts w:ascii="Times New Roman" w:hAnsi="Times New Roman" w:cs="Times New Roman"/>
        </w:rPr>
        <w:t xml:space="preserve">. However, these types of land-use modifications are more difficult to detect using conventional paleoecological methods and the floristic changes associated with this type of selective forest management are not detectable using the available pollen data. Additionally, this type of forest enrichment does not necessitate the use of fire; therefore charcoal data are not necessarily indicative of human disturbance. More research is needed to interpret the broader scale regional impacts of the pre-Columbian populations including improved methodologies to detect enrichment economically important species coupled with archaeological surveys in </w:t>
      </w:r>
      <w:r w:rsidRPr="008736A7">
        <w:rPr>
          <w:rFonts w:ascii="Times New Roman" w:hAnsi="Times New Roman" w:cs="Times New Roman"/>
        </w:rPr>
        <w:lastRenderedPageBreak/>
        <w:t>the area. Irrespective of the type or duration of anthropogenic forest disturbance, it is not sufficient to prevent the climate-driven regional expansion of the humid evergreen rainforest ecotonal</w:t>
      </w:r>
      <w:r w:rsidRPr="008736A7">
        <w:rPr>
          <w:rFonts w:ascii="Times New Roman" w:hAnsi="Times New Roman" w:cs="Times New Roman"/>
          <w:i/>
        </w:rPr>
        <w:t xml:space="preserve"> </w:t>
      </w:r>
      <w:r w:rsidRPr="008736A7">
        <w:rPr>
          <w:rFonts w:ascii="Times New Roman" w:hAnsi="Times New Roman" w:cs="Times New Roman"/>
        </w:rPr>
        <w:t xml:space="preserve">boundary to its most southern extent in the last 50,000 years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"author" : [ { "dropping-particle" : "", "family" : "Mayle", "given" : "Francis E.", "non-dropping-particle" : "", "parse-names" : false, "suffix" : "" }, { "dropping-particle" : "", "family" : "Burbridge", "given" : "Rachel E.", "non-dropping-particle" : "", "parse-names" : false, "suffix" : "" }, { "dropping-particle" : "", "family" : "Killeen", "given" : "Timothy J.", "non-dropping-particle" : "", "parse-names" : false, "suffix" : "" } ], "container-title" : "Science", "id" : "ITEM-1", "issued" : { "date-parts" : [ [ "2000" ] ] }, "page" : "2291-2294", "title" : "Millennial-scale dynamics of southern Amazonian rain forests", "type" : "article-journal", "volume" : "290" }, "uris" : [ "http://www.mendeley.com/documents/?uuid=894a91a3-4b29-430f-bc28-d17206adce15" ] }, { "id" : "ITEM-2", "itemData" : { "ISSN" : "00335894", "author" : [ { "dropping-particle" : "", "family" : "Burbridge", "given" : "Rachel E.", "non-dropping-particle" : "", "parse-names" : false, "suffix" : "" }, { "dropping-particle" : "", "family" : "Mayle", "given" : "Francis E.", "non-dropping-particle" : "", "parse-names" : false, "suffix" : "" }, { "dropping-particle" : "", "family" : "Killeen", "given" : "Timothy J.", "non-dropping-particle" : "", "parse-names" : false, "suffix" : "" } ], "container-title" : "Quaternary Research", "id" : "ITEM-2", "issued" : { "date-parts" : [ [ "2004", "3" ] ] }, "page" : "215-230", "title" : "Fifty-thousand-year vegetation and climate history of Noel Kempff Mercado National Park, Bolivian Amazon", "type" : "article-journal", "volume" : "61" }, "uris" : [ "http://www.mendeley.com/documents/?uuid=a8e4cf87-4769-47b4-a1ca-0c55e96c2a4a" ] } ], "mendeley" : { "formattedCitation" : "(Burbridge et al., 2004; Mayle et al., 2000)", "plainTextFormattedCitation" : "(Burbridge et al., 2004; Mayle et al., 2000)", "previouslyFormattedCitation" : "(Burbridge et al., 2004; Mayle et al., 2000)"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(Burbridge et al., 2004; Mayle et al., 2000)</w:t>
      </w:r>
      <w:r w:rsidRPr="008736A7">
        <w:rPr>
          <w:rFonts w:ascii="Times New Roman" w:hAnsi="Times New Roman" w:cs="Times New Roman"/>
        </w:rPr>
        <w:fldChar w:fldCharType="end"/>
      </w:r>
      <w:r w:rsidRPr="008736A7">
        <w:rPr>
          <w:rFonts w:ascii="Times New Roman" w:hAnsi="Times New Roman" w:cs="Times New Roman"/>
        </w:rPr>
        <w:t xml:space="preserve">. This interpretation is supported by the neighboring sites of Laguna Granja and Laguna Oricore which demonstrate strong evidence of local-scale human disturbance against the backdrop of regional-scale climate-driven rainforest expansion </w:t>
      </w:r>
      <w:r w:rsidRPr="008736A7">
        <w:rPr>
          <w:rFonts w:ascii="Times New Roman" w:hAnsi="Times New Roman" w:cs="Times New Roman"/>
        </w:rPr>
        <w:fldChar w:fldCharType="begin" w:fldLock="1"/>
      </w:r>
      <w:r w:rsidRPr="008736A7">
        <w:rPr>
          <w:rFonts w:ascii="Times New Roman" w:hAnsi="Times New Roman" w:cs="Times New Roman"/>
        </w:rPr>
        <w:instrText>ADDIN CSL_CITATION { "citationItems" : [ { "id" : "ITEM-1", "itemData" : { "ISBN" : "1321770111", "ISSN" : "1091-6490", "abstract" : "There is considerable controversy over whether pre-Columbian (pre-A.D. 1492) Amazonia was largely \"pristine\" and sparsely populated by slash-and-burn agriculturists, or instead a densely populated, domesticated landscape, heavily altered by extensive deforestation and anthropogenic burning. The discovery of hundreds of large geometric earthworks beneath intact rainforest across southern Amazonia challenges its status as a pristine landscape, and has been assumed to indicate extensive pre-Columbian deforestation by large populations. We tested these assumptions using coupled local- and regional-scale paleoecological records to reconstruct land use on an earthwork site in northeast Bolivia within the context of regional, climate-driven biome changes. This approach revealed evidence for an alternative scenario of Amazonian land use, which did not necessitate labor-intensive rainforest clearance for earthwork construction. Instead, we show that the inhabitants exploited a naturally open savanna landscape that they maintained around their settlement despite the climatically driven rainforest expansion that began \u223c2,000 y ago across the region. Earthwork construction and agriculture on terra firme landscapes currently occupied by the seasonal rainforests of southern Amazonia may therefore not have necessitated large-scale deforestation using stone tools. This finding implies far less labor-and potentially lower population density-than previously supposed. Our findings demonstrate that current debates over the magnitude and nature of pre-Columbian Amazonian land use, and its impact on global biogeochemical cycling, are potentially flawed because they do not consider this land use in the context of climate-driven forest-savanna biome shifts through the mid-to-late Holocene.", "author" : [ { "dropping-particle" : "", "family" : "Carson", "given" : "John Francis", "non-dropping-particle" : "", "parse-names" : false, "suffix" : "" }, { "dropping-particle" : "", "family" : "Whitney", "given" : "Bronwen S", "non-dropping-particle" : "", "parse-names" : false, "suffix" : "" }, { "dropping-particle" : "", "family" : "Mayle", "given" : "Francis E", "non-dropping-particle" : "", "parse-names" : false, "suffix" : "" }, { "dropping-particle" : "", "family" : "Iriarte", "given" : "Jos\u00e9", "non-dropping-particle" : "", "parse-names" : false, "suffix" : "" }, { "dropping-particle" : "", "family" : "Pr\u00fcmers", "given" : "Heiko", "non-dropping-particle" : "", "parse-names" : false, "suffix" : "" }, { "dropping-particle" : "", "family" : "Soto", "given" : "J Daniel", "non-dropping-particle" : "", "parse-names" : false, "suffix" : "" }, { "dropping-particle" : "", "family" : "Watling", "given" : "Jennifer", "non-dropping-particle" : "", "parse-names" : false, "suffix" : "" } ], "container-title" : "Proceedings of the National Academy of Sciences of the United States of America", "id" : "ITEM-1", "issued" : { "date-parts" : [ [ "2014", "7", "7" ] ] }, "page" : "1-6", "title" : "Environmental impact of geometric earthwork construction in pre-Columbian Amazonia.", "type" : "article-journal", "volume" : "111" }, "uris" : [ "http://www.mendeley.com/documents/?uuid=1b2942c9-7429-4235-9aa6-79608903790b" ] } ], "mendeley" : { "formattedCitation" : "(Carson et al., 2014)", "plainTextFormattedCitation" : "(Carson et al., 2014)", "previouslyFormattedCitation" : "(Carson et al., 2014)" }, "properties" : { "noteIndex" : 0 }, "schema" : "https://github.com/citation-style-language/schema/raw/master/csl-citation.json" }</w:instrText>
      </w:r>
      <w:r w:rsidRPr="008736A7">
        <w:rPr>
          <w:rFonts w:ascii="Times New Roman" w:hAnsi="Times New Roman" w:cs="Times New Roman"/>
        </w:rPr>
        <w:fldChar w:fldCharType="separate"/>
      </w:r>
      <w:r w:rsidRPr="008736A7">
        <w:rPr>
          <w:rFonts w:ascii="Times New Roman" w:hAnsi="Times New Roman" w:cs="Times New Roman"/>
          <w:noProof/>
        </w:rPr>
        <w:t>(Carson et al., 2014)</w:t>
      </w:r>
      <w:r w:rsidRPr="008736A7">
        <w:rPr>
          <w:rFonts w:ascii="Times New Roman" w:hAnsi="Times New Roman" w:cs="Times New Roman"/>
        </w:rPr>
        <w:fldChar w:fldCharType="end"/>
      </w:r>
      <w:r w:rsidRPr="008736A7">
        <w:rPr>
          <w:rFonts w:ascii="Times New Roman" w:hAnsi="Times New Roman" w:cs="Times New Roman"/>
        </w:rPr>
        <w:t xml:space="preserve">.  </w:t>
      </w:r>
    </w:p>
    <w:p w:rsidR="00090084" w:rsidRDefault="00090084" w:rsidP="00090084">
      <w:pPr>
        <w:pStyle w:val="BodyText"/>
        <w:spacing w:line="215" w:lineRule="auto"/>
        <w:ind w:right="150"/>
        <w:jc w:val="both"/>
        <w:rPr>
          <w:rFonts w:ascii="Times New Roman" w:hAnsi="Times New Roman" w:cs="Times New Roman"/>
          <w:b/>
          <w:i/>
        </w:rPr>
      </w:pPr>
    </w:p>
    <w:p w:rsidR="00090084" w:rsidRDefault="00090084" w:rsidP="00090084">
      <w:pPr>
        <w:pStyle w:val="BodyText"/>
        <w:spacing w:line="215" w:lineRule="auto"/>
        <w:ind w:right="150"/>
        <w:jc w:val="both"/>
        <w:rPr>
          <w:rFonts w:ascii="Times New Roman" w:hAnsi="Times New Roman" w:cs="Times New Roman"/>
          <w:b/>
          <w:i/>
        </w:rPr>
      </w:pPr>
      <w:r w:rsidRPr="00090084">
        <w:rPr>
          <w:rFonts w:ascii="Times New Roman" w:hAnsi="Times New Roman" w:cs="Times New Roman"/>
          <w:b/>
          <w:i/>
        </w:rPr>
        <w:t>5.0</w:t>
      </w:r>
      <w:r w:rsidR="00705EBE" w:rsidRPr="00090084">
        <w:rPr>
          <w:rFonts w:ascii="Times New Roman" w:hAnsi="Times New Roman" w:cs="Times New Roman"/>
          <w:b/>
          <w:i/>
        </w:rPr>
        <w:t xml:space="preserve"> Conclusions </w:t>
      </w:r>
    </w:p>
    <w:p w:rsidR="00090084" w:rsidRDefault="00090084" w:rsidP="00090084">
      <w:pPr>
        <w:pStyle w:val="BodyText"/>
        <w:spacing w:line="215" w:lineRule="auto"/>
        <w:ind w:right="150"/>
        <w:jc w:val="both"/>
        <w:rPr>
          <w:rFonts w:ascii="Times New Roman" w:hAnsi="Times New Roman" w:cs="Times New Roman"/>
          <w:b/>
          <w:i/>
        </w:rPr>
      </w:pPr>
    </w:p>
    <w:p w:rsidR="00090084" w:rsidRDefault="00705EBE" w:rsidP="00090084">
      <w:pPr>
        <w:pStyle w:val="BodyText"/>
        <w:spacing w:line="215" w:lineRule="auto"/>
        <w:ind w:right="150" w:firstLine="248"/>
        <w:jc w:val="both"/>
        <w:rPr>
          <w:rFonts w:ascii="Times New Roman" w:hAnsi="Times New Roman" w:cs="Times New Roman"/>
        </w:rPr>
      </w:pPr>
      <w:r w:rsidRPr="008736A7">
        <w:rPr>
          <w:rFonts w:ascii="Times New Roman" w:hAnsi="Times New Roman" w:cs="Times New Roman"/>
        </w:rPr>
        <w:t>Increased anthropogenic impacts in Amazonia have stimulated interest in the legacy of long-term (multi-millennial) pre-Columbian land-use practices in the Amazon.</w:t>
      </w:r>
      <w:r w:rsidRPr="008736A7">
        <w:rPr>
          <w:rFonts w:ascii="Times New Roman" w:hAnsi="Times New Roman" w:cs="Times New Roman"/>
          <w:b/>
        </w:rPr>
        <w:t xml:space="preserve"> </w:t>
      </w:r>
      <w:r w:rsidRPr="008736A7">
        <w:rPr>
          <w:rFonts w:ascii="Times New Roman" w:hAnsi="Times New Roman" w:cs="Times New Roman"/>
        </w:rPr>
        <w:t xml:space="preserve">It has become evident that the investigation of pre-Columbian land-use practices necessitates different methodological approaches than conventional paleoecological studies. The reanalysis of LCH validates the use of a modified, high-resolution sampling methodology to disentangle climate versus human drivers of paleoecological change in the Bolivian Amazon. During the MHDE, increased fire activity at sites across a range of forest types suggests a common mechanism driving regionally consistent responses. Decreased precipitation associated with the MHDE is likely the first order driving mechanism of increased burning across the Bolivian lowlands. During the late Holocene, there is a regional increase biomass burning in tune with relatively wet, stable climate conditions across fire-tolerant to fire-intolerant sites with established histories of human land-use. These data suggest human-caused ignitions are the driving mechanism of regional scale fire activity across the Bolivian lowlands during the late Holocene. After ca. 650 cal yr BP,  there is an increase in charcoal influx and fire frequency at LCH that is synchronous with the expansion of Moraceae/Urticaceae pollen (&gt;50%) indicating the vegetation transition from flammable seasonally dry tropical forest to less flammable humid rainforest vegetation. The presence to </w:t>
      </w:r>
      <w:r w:rsidRPr="008736A7">
        <w:rPr>
          <w:rFonts w:ascii="Times New Roman" w:hAnsi="Times New Roman" w:cs="Times New Roman"/>
          <w:i/>
        </w:rPr>
        <w:t>Z. mays</w:t>
      </w:r>
      <w:r w:rsidRPr="008736A7">
        <w:rPr>
          <w:rFonts w:ascii="Times New Roman" w:hAnsi="Times New Roman" w:cs="Times New Roman"/>
        </w:rPr>
        <w:t xml:space="preserve"> pollen indicates maize cultivation is being practiced around the lake ca. 970 cal yr BP to ca. 170 cal yr BP.  It is likely that as vegetation begins to transition from more open, seasonally dry forest to closed canopy humid rainforests ca. 500 cal yr BP, human-caused, low-severity fires are used to keep crop fields clear from encroaching rainforest vegetation. Additionally, the presence of </w:t>
      </w:r>
      <w:r w:rsidRPr="008736A7">
        <w:rPr>
          <w:rFonts w:ascii="Times New Roman" w:hAnsi="Times New Roman" w:cs="Times New Roman"/>
          <w:i/>
        </w:rPr>
        <w:t>Z. mays</w:t>
      </w:r>
      <w:r w:rsidRPr="008736A7">
        <w:rPr>
          <w:rFonts w:ascii="Times New Roman" w:hAnsi="Times New Roman" w:cs="Times New Roman"/>
        </w:rPr>
        <w:t xml:space="preserve"> at LCH</w:t>
      </w:r>
      <w:r w:rsidRPr="008736A7">
        <w:rPr>
          <w:rFonts w:ascii="Times New Roman" w:hAnsi="Times New Roman" w:cs="Times New Roman"/>
          <w:i/>
        </w:rPr>
        <w:t xml:space="preserve"> </w:t>
      </w:r>
      <w:r w:rsidRPr="008736A7">
        <w:rPr>
          <w:rFonts w:ascii="Times New Roman" w:hAnsi="Times New Roman" w:cs="Times New Roman"/>
        </w:rPr>
        <w:t xml:space="preserve">until ca. 170 cal yr BP, suggests that pre-Columbian populations did not immediately abandon maize cultivation at LCH following European contact (ca. 1492). The continued presence of </w:t>
      </w:r>
      <w:r w:rsidRPr="008736A7">
        <w:rPr>
          <w:rFonts w:ascii="Times New Roman" w:hAnsi="Times New Roman" w:cs="Times New Roman"/>
          <w:i/>
        </w:rPr>
        <w:t>Z. mays</w:t>
      </w:r>
      <w:r w:rsidRPr="008736A7">
        <w:rPr>
          <w:rFonts w:ascii="Times New Roman" w:hAnsi="Times New Roman" w:cs="Times New Roman"/>
        </w:rPr>
        <w:t xml:space="preserve"> potentially indicates this area did not experience immediate depopulation following contact or despite population declines, </w:t>
      </w:r>
      <w:r w:rsidRPr="008736A7">
        <w:rPr>
          <w:rFonts w:ascii="Times New Roman" w:hAnsi="Times New Roman" w:cs="Times New Roman"/>
          <w:i/>
        </w:rPr>
        <w:t xml:space="preserve">Z. mays </w:t>
      </w:r>
      <w:r w:rsidRPr="008736A7">
        <w:rPr>
          <w:rFonts w:ascii="Times New Roman" w:hAnsi="Times New Roman" w:cs="Times New Roman"/>
        </w:rPr>
        <w:t xml:space="preserve">cultivation persists around the lake. It is important to note that the pre-Columbian use of fire for agriculture is only one type of land-use. It is possible alternative methods such as agroforestry and forest enrichment were being practiced prior to the adoption of </w:t>
      </w:r>
      <w:r w:rsidRPr="008736A7">
        <w:rPr>
          <w:rFonts w:ascii="Times New Roman" w:hAnsi="Times New Roman" w:cs="Times New Roman"/>
          <w:i/>
        </w:rPr>
        <w:t xml:space="preserve">Z. mays </w:t>
      </w:r>
      <w:r w:rsidRPr="008736A7">
        <w:rPr>
          <w:rFonts w:ascii="Times New Roman" w:hAnsi="Times New Roman" w:cs="Times New Roman"/>
        </w:rPr>
        <w:t xml:space="preserve">agriculture; however, this type of forest modification is not detectable with the available pollen data. Regardless, the late Holocene establishment of humid rainforest vegetation coupled with the local and regional decease in biomass burning indicate the extent of pre-Columbian landscape modification and land-clearing for agriculture did not hinder the climate-driven regional decrease in biomass burning and expansion of the humid rainforest to its most southern extent in the last 50,000 years. </w:t>
      </w:r>
    </w:p>
    <w:p w:rsidR="00090084" w:rsidRDefault="00090084" w:rsidP="00090084">
      <w:pPr>
        <w:pStyle w:val="BodyText"/>
        <w:spacing w:line="215" w:lineRule="auto"/>
        <w:ind w:right="150"/>
        <w:jc w:val="both"/>
        <w:rPr>
          <w:rFonts w:ascii="Times New Roman" w:hAnsi="Times New Roman" w:cs="Times New Roman"/>
        </w:rPr>
      </w:pPr>
    </w:p>
    <w:p w:rsidR="00090084" w:rsidRDefault="00705EBE" w:rsidP="00090084">
      <w:pPr>
        <w:pStyle w:val="BodyText"/>
        <w:spacing w:line="215" w:lineRule="auto"/>
        <w:ind w:right="150"/>
        <w:jc w:val="both"/>
        <w:rPr>
          <w:rFonts w:ascii="Times New Roman" w:hAnsi="Times New Roman" w:cs="Times New Roman"/>
          <w:b/>
          <w:i/>
        </w:rPr>
      </w:pPr>
      <w:r w:rsidRPr="00090084">
        <w:rPr>
          <w:rFonts w:ascii="Times New Roman" w:hAnsi="Times New Roman" w:cs="Times New Roman"/>
          <w:b/>
          <w:i/>
        </w:rPr>
        <w:t xml:space="preserve">Acknowledgements </w:t>
      </w:r>
    </w:p>
    <w:p w:rsidR="00090084" w:rsidRDefault="00090084" w:rsidP="00090084">
      <w:pPr>
        <w:pStyle w:val="BodyText"/>
        <w:spacing w:line="215" w:lineRule="auto"/>
        <w:ind w:right="150"/>
        <w:jc w:val="both"/>
        <w:rPr>
          <w:rFonts w:ascii="Times New Roman" w:hAnsi="Times New Roman" w:cs="Times New Roman"/>
          <w:b/>
          <w:i/>
        </w:rPr>
      </w:pPr>
    </w:p>
    <w:p w:rsidR="00090084" w:rsidRDefault="00705EBE" w:rsidP="00090084">
      <w:pPr>
        <w:pStyle w:val="BodyText"/>
        <w:spacing w:line="215" w:lineRule="auto"/>
        <w:ind w:right="150"/>
        <w:jc w:val="both"/>
        <w:rPr>
          <w:rFonts w:ascii="Times New Roman" w:hAnsi="Times New Roman" w:cs="Times New Roman"/>
        </w:rPr>
      </w:pPr>
      <w:r w:rsidRPr="008736A7">
        <w:rPr>
          <w:rFonts w:ascii="Times New Roman" w:hAnsi="Times New Roman" w:cs="Times New Roman"/>
        </w:rPr>
        <w:t>Funding for research is supported in part by the ERC-PAST (Pre-Columbian Amazon-Scale Transformations) European Research Council (616179) awarded to JI. We thank Jonas Gregorio de Souza for the regional map. Special thanks to Tom Thompson and Chase Adams for their editorial assistance and to the anonymous reviewers for their comments and suggestions. Funding for FM to core Laguna Chaplin in 1998 is provided by a Royal Society Research Grant and a Royal Society Study Visit grant.  We thank Tim Killeen and the Museo de Historia Natural “Noel Kempff Mercado”, Santa Cruz, Bolivia, for providing logistical support, and in particular Lupita Sanchez and local guides (e.g., Juan Surubi) from the village of Florida for assistance with coring the site.</w:t>
      </w:r>
    </w:p>
    <w:p w:rsidR="00090084" w:rsidRDefault="00090084" w:rsidP="00090084">
      <w:pPr>
        <w:pStyle w:val="BodyText"/>
        <w:spacing w:line="215" w:lineRule="auto"/>
        <w:ind w:right="150"/>
        <w:jc w:val="both"/>
        <w:rPr>
          <w:rFonts w:ascii="Times New Roman" w:hAnsi="Times New Roman" w:cs="Times New Roman"/>
        </w:rPr>
      </w:pPr>
    </w:p>
    <w:p w:rsidR="00090084" w:rsidRDefault="00090084" w:rsidP="00090084">
      <w:pPr>
        <w:pStyle w:val="BodyText"/>
        <w:spacing w:line="215" w:lineRule="auto"/>
        <w:ind w:right="150"/>
        <w:jc w:val="both"/>
        <w:rPr>
          <w:rFonts w:ascii="Times New Roman" w:hAnsi="Times New Roman" w:cs="Times New Roman"/>
        </w:rPr>
      </w:pPr>
    </w:p>
    <w:p w:rsidR="00693CCF" w:rsidRDefault="00693CCF" w:rsidP="00090084">
      <w:pPr>
        <w:pStyle w:val="BodyText"/>
        <w:spacing w:line="215" w:lineRule="auto"/>
        <w:ind w:right="150"/>
        <w:jc w:val="both"/>
        <w:rPr>
          <w:rFonts w:ascii="Times New Roman" w:hAnsi="Times New Roman" w:cs="Times New Roman"/>
          <w:b/>
          <w:i/>
        </w:rPr>
      </w:pPr>
    </w:p>
    <w:p w:rsidR="00705EBE" w:rsidRPr="00090084" w:rsidRDefault="00705EBE" w:rsidP="00090084">
      <w:pPr>
        <w:pStyle w:val="BodyText"/>
        <w:spacing w:line="215" w:lineRule="auto"/>
        <w:ind w:right="150"/>
        <w:jc w:val="both"/>
        <w:rPr>
          <w:rFonts w:ascii="Times New Roman" w:hAnsi="Times New Roman" w:cs="Times New Roman"/>
          <w:b/>
          <w:i/>
        </w:rPr>
      </w:pPr>
      <w:r w:rsidRPr="00090084">
        <w:rPr>
          <w:rFonts w:ascii="Times New Roman" w:hAnsi="Times New Roman" w:cs="Times New Roman"/>
          <w:b/>
          <w:i/>
        </w:rPr>
        <w:lastRenderedPageBreak/>
        <w:t>References</w:t>
      </w:r>
    </w:p>
    <w:p w:rsidR="00705EBE" w:rsidRPr="008736A7" w:rsidRDefault="00705EBE" w:rsidP="00090084">
      <w:pPr>
        <w:ind w:left="1890" w:right="150"/>
        <w:jc w:val="both"/>
        <w:rPr>
          <w:rFonts w:ascii="Times New Roman" w:hAnsi="Times New Roman" w:cs="Times New Roman"/>
          <w:i/>
        </w:rPr>
      </w:pPr>
    </w:p>
    <w:p w:rsidR="00705EBE" w:rsidRPr="008736A7" w:rsidRDefault="00705EBE" w:rsidP="00090084">
      <w:pPr>
        <w:autoSpaceDE w:val="0"/>
        <w:autoSpaceDN w:val="0"/>
        <w:adjustRightInd w:val="0"/>
        <w:ind w:left="2340" w:right="150" w:hanging="450"/>
        <w:jc w:val="both"/>
        <w:rPr>
          <w:rFonts w:ascii="Times New Roman" w:hAnsi="Times New Roman" w:cs="Times New Roman"/>
          <w:noProof/>
          <w:lang w:val="pt-BR"/>
        </w:rPr>
      </w:pPr>
      <w:r w:rsidRPr="008736A7">
        <w:rPr>
          <w:rFonts w:ascii="Times New Roman" w:hAnsi="Times New Roman" w:cs="Times New Roman"/>
          <w:b/>
        </w:rPr>
        <w:fldChar w:fldCharType="begin" w:fldLock="1"/>
      </w:r>
      <w:r w:rsidRPr="008736A7">
        <w:rPr>
          <w:rFonts w:ascii="Times New Roman" w:hAnsi="Times New Roman" w:cs="Times New Roman"/>
          <w:b/>
        </w:rPr>
        <w:instrText xml:space="preserve">ADDIN Mendeley Bibliography CSL_BIBLIOGRAPHY </w:instrText>
      </w:r>
      <w:r w:rsidRPr="008736A7">
        <w:rPr>
          <w:rFonts w:ascii="Times New Roman" w:hAnsi="Times New Roman" w:cs="Times New Roman"/>
          <w:b/>
        </w:rPr>
        <w:fldChar w:fldCharType="separate"/>
      </w:r>
      <w:r w:rsidRPr="008736A7">
        <w:rPr>
          <w:rFonts w:ascii="Times New Roman" w:hAnsi="Times New Roman" w:cs="Times New Roman"/>
          <w:noProof/>
        </w:rPr>
        <w:t xml:space="preserve">Abbott, M.B., Wolfe, B.B., Wolfe, A.P., Seltzer, G.O., Aravena, R., Mark, B.G., Polissar, P.J., Rodbell, D.T., Rowe, H.D., Vuille, M., 2003. Holocene paleohydrology and glacial history of the central Andes using multiproxy lake sediment studies. </w:t>
      </w:r>
      <w:r w:rsidRPr="008736A7">
        <w:rPr>
          <w:rFonts w:ascii="Times New Roman" w:hAnsi="Times New Roman" w:cs="Times New Roman"/>
          <w:noProof/>
          <w:lang w:val="pt-BR"/>
        </w:rPr>
        <w:t>Palaeogeogr. Palaeoclimatol. Palaeoecol. 194, 123–138.</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415504">
        <w:rPr>
          <w:rFonts w:ascii="Times New Roman" w:hAnsi="Times New Roman" w:cs="Times New Roman"/>
          <w:noProof/>
          <w:lang w:val="pt-BR"/>
        </w:rPr>
        <w:t xml:space="preserve">Ali, A.A., Higuera, P.E., Bergeron, Y., Carcaillet, C., 2009. </w:t>
      </w:r>
      <w:r w:rsidRPr="008736A7">
        <w:rPr>
          <w:rFonts w:ascii="Times New Roman" w:hAnsi="Times New Roman" w:cs="Times New Roman"/>
          <w:noProof/>
        </w:rPr>
        <w:t>Comparing fire-history interpretations based on area, number and estimated volume of macroscopic charcoal in lake sediments. Quat. Res. 72, 462–468. doi:10.1016/j.yqres.2009.07.002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Baker, P.A., Rigsby, C.A., Seltzer, G.O., Fritz, S.C., Lowenstein, T.K., Bacher, N.P., Veliz, C., 2001. Tropical climate changes at millennial and orbital timescales on the Bolivian Altiplano. Nature 409, 698–701.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Baker, P.A., Seltzer, G.O., Fritz, S.C., Dunbar, R.B., Grove, M.J., Tapia, P.M., Cross, S.L., Rowe, H.D., Broda, J.P., 2001. The history of South American tropical precipitation for the past 25,000 years. Science 291, 640–643.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Bennett, K.D., Willis, K.J., 2002. Pollen, in: Smol, J.P., Birks, H.J.B., Last, W.M. (Eds.), Tracking Environmental Change Using Lake Sediments: Terrestrial, Algal, and Siliceous Indicators. Kluwer Academic, Dordrecht, The Netherlands, pp. 5–32.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Berglund, B.E., 2003. Human impact and climate changes—synchronous events and a causal link? Quat. Int. 105, 7–12.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Blaauw, M., 2010. Methods and code for “classical” age-modelling of radiocarbon sequences. Quat. Geochronol. 5, 512–518.</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Blarquez, O., Vannière, B., Marlon, J.R., Daniau, A.-L., Power, M.J., Brewer, S., Bartlein, P.J., 2014. Paleofire: An R package to analyse sedimentary charcoal records from the Global Charcoal Database to reconstruct past biomass burning. Comput. Geosci. 72, 255–261.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Brando, P.M., Balch, J.K., Nepstad, D.C., Morton, D.C., Putz, F.E., Coe, M.T., Silvério, D., Macedo, M.N., Davidson, E.A., Nóbrega, C.C., 2014. Abrupt increases in Amazonian tree mortality due to drought–fire interactions. Proc. Natl. Acad. Sci. 111, 6347–6352.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Brown, K.J., Power, M.J., 2013. Charred particle analyses., in: The Encyclopedia of Quaternary Science. Elsevier, Amsterdam, The Netherlands, pp. 716–729.</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Brugger, S.O., Gobet, E., van Leeuwen, J.F.N., Ledru, M.-P., Colombaroli, D., van der Knaap, W.O., Lombardo, U., Escobar-Torrez, K., Finsinger, W., Rodrigues, L., 2016. Long-term man–environment interactions in the Bolivian Amazon: 8000 years of vegetation dynamics. Quat. Sci. Rev. 132, 114–128.</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Burbridge, R.E., Mayle, F.E., Killeen, T.J., 2004. Fifty-thousand-year vegetation and climate history of Noel Kempff Mercado National Park, Bolivian Amazon. Quat. Res. 61, 215–230.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Bush, M.B., Colinvaux, P.A., 1988. A 7000-year pollen record from the Amazon lowlands, Ecuador. Plant Ecol. 76, 141–154.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Bush, M.B., Correa-Metrio, A., McMichael, C.H., Sully, S., Shadik, C.R., Valencia, B.G., Guilderson, T., Steinitz-Kannan, M., Overpeck, J.T., 2016. A 6900-year history of landscape modification by humans in lowland Amazonia. </w:t>
      </w:r>
      <w:r w:rsidRPr="008736A7">
        <w:rPr>
          <w:rFonts w:ascii="Times New Roman" w:hAnsi="Times New Roman" w:cs="Times New Roman"/>
          <w:noProof/>
          <w:lang w:val="pt-BR"/>
        </w:rPr>
        <w:t>Quat. Sci. Rev. 141, 52–64.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lang w:val="pt-BR"/>
        </w:rPr>
        <w:t xml:space="preserve">Bush, M.B., De Oliveira, P.E., Colinvaux, P. a., Miller, M.C., Moreno, J.E., 2004. </w:t>
      </w:r>
      <w:r w:rsidRPr="008736A7">
        <w:rPr>
          <w:rFonts w:ascii="Times New Roman" w:hAnsi="Times New Roman" w:cs="Times New Roman"/>
          <w:noProof/>
        </w:rPr>
        <w:t xml:space="preserve">Amazonian paleoecological histories: one hill, three watersheds. Palaeogeogr. Palaeoclimatol. Palaeoecol. </w:t>
      </w:r>
      <w:r w:rsidRPr="008736A7">
        <w:rPr>
          <w:rFonts w:ascii="Times New Roman" w:hAnsi="Times New Roman" w:cs="Times New Roman"/>
          <w:noProof/>
          <w:lang w:val="pt-BR"/>
        </w:rPr>
        <w:t>214, 359–393.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Bush, M.B., Miller, M.C., Oliveira, P.E. De, Colinvaux, P.A., 2000. </w:t>
      </w:r>
      <w:r w:rsidRPr="008736A7">
        <w:rPr>
          <w:rFonts w:ascii="Times New Roman" w:hAnsi="Times New Roman" w:cs="Times New Roman"/>
          <w:noProof/>
        </w:rPr>
        <w:t>Two histories of environmental change and human disturbance in eastern lowland Amazonia 5, 543–553.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Bush, M.B., Piperno, D.R., Colinvaux, P.A., De Oliveira, P.E., Krissek, L.A., Miller, M.C., Rowe, W.E., 1992. A 14 300 Yr Paleoecological Profile of a Lowland Tropical Lake in Panama. Ecol. Monogr. 62, 251–275.</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 xml:space="preserve">Bush, M.B., Silman, M.R., de Toledo, M.B., Listopad, C., Gosling, W.D., Williams, C., de Oliveira, P.E., Krisel, C., 2007. Holocene fire and occupation in Amazonia: Records </w:t>
      </w:r>
      <w:r w:rsidRPr="008736A7">
        <w:rPr>
          <w:rFonts w:ascii="Times New Roman" w:hAnsi="Times New Roman" w:cs="Times New Roman"/>
          <w:noProof/>
        </w:rPr>
        <w:lastRenderedPageBreak/>
        <w:t>from two lake districts. Philos. Trans. R. Soc. Lond. B. Biol. Sci. 362, 209–18.</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Bush, M.B., Silman, M.R., McMichael, C., Saatchi, S., 2008. Fire, climate change and biodiversity in Amazonia: a Late-Holocene perspective. Philos. Trans. R. Soc. Lond. B. Biol. Sci. 363, 1795–2. doi:10.1098/rstb.2007.0014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Carson, J.F., Mayle, F.E., Whitney, B.S., Iriarte, J., Soto, J.D., 2016. Pre-Columbian ring ditch construction and land use on a “chocolate forest island”in the Bolivian Amazon. J. Quat. Sci. 31, 337–347.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Carson, J.F., Watling, J., Mayle, F.E., Whitney, B.S., Iriarte, J., Prümers, H., Soto, J.D., 2015. Pre-Columbian land use in the ring-ditch region of the Bolivian Amazon. The Holocene 25, 1285–1300.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Carson, J.F., Whitney, B.S., Mayle, F.E., Iriarte, J., Prümers, H., Soto, J.D., Watling, J., 2014. Environmental impact of geometric earthwork construction in pre-Columbian Amazonia. </w:t>
      </w:r>
      <w:r w:rsidRPr="008736A7">
        <w:rPr>
          <w:rFonts w:ascii="Times New Roman" w:hAnsi="Times New Roman" w:cs="Times New Roman"/>
          <w:noProof/>
          <w:lang w:val="pt-BR"/>
        </w:rPr>
        <w:t>Proc. Natl. Acad. Sci. U. S. A. 111, 1–6.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Clement, C.R., de Cristo-Araújo, M., Coppens D’Eeckenbrugge, G., Alves Pereira, A., Picanço-Rodrigues, D., 2010. </w:t>
      </w:r>
      <w:r w:rsidRPr="008736A7">
        <w:rPr>
          <w:rFonts w:ascii="Times New Roman" w:hAnsi="Times New Roman" w:cs="Times New Roman"/>
          <w:noProof/>
        </w:rPr>
        <w:t>Origin and domestication of native Amazonian crops. Diversity 2, 72–106.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Clement, C.R., Denevan, W.M., Heckenberger, M.J., Junqueira, A.B., Neves, E.G., Teixeira, W.G., Woods, W.I., 2015. The domestication of Amazonia before European conquest. Proc. R. Soc. London B Biol. Sci. 282.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Cochrane, M.A., 2009. Fire in the tropics, in: Tropical Fire Ecology. Springer, pp. 1–23.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Cochrane, M.A., 2003. Fire science for rainforests. Nature 421, 913–919.</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Colinvaux, P.A., De Oliveira, P.E., Moreno, E., 1999. </w:t>
      </w:r>
      <w:r w:rsidRPr="008736A7">
        <w:rPr>
          <w:rFonts w:ascii="Times New Roman" w:hAnsi="Times New Roman" w:cs="Times New Roman"/>
          <w:noProof/>
        </w:rPr>
        <w:t>Amazon: Pollen Manual and Atlas. CRC Press.</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Cruz, F.W., Karmann, I., Viana, O., Burns, S.J., Ferrari, J. a., Vuille, M., Sial, A.N., Moreira, M.Z., 2005. Stable isotope study of cave percolation waters in subtropical Brazil: Implications for paleoclimate inferences from speleothems. </w:t>
      </w:r>
      <w:r w:rsidRPr="008736A7">
        <w:rPr>
          <w:rFonts w:ascii="Times New Roman" w:hAnsi="Times New Roman" w:cs="Times New Roman"/>
          <w:noProof/>
          <w:lang w:val="pt-BR"/>
        </w:rPr>
        <w:t>Chem. Geol. 220, 245–262.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DaSilva Meneses, J.M.C., Bates, J.M., 2002. </w:t>
      </w:r>
      <w:r w:rsidRPr="008736A7">
        <w:rPr>
          <w:rFonts w:ascii="Times New Roman" w:hAnsi="Times New Roman" w:cs="Times New Roman"/>
          <w:noProof/>
        </w:rPr>
        <w:t>Biogeographic patterns and conservation in the South American cerrado: A tropical savanna hotspot. Bioscience 52, 225–234.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Denevan, W.M., 2012. Rewriting the late pre-European history of Amazonia. </w:t>
      </w:r>
      <w:r w:rsidRPr="008736A7">
        <w:rPr>
          <w:rFonts w:ascii="Times New Roman" w:hAnsi="Times New Roman" w:cs="Times New Roman"/>
          <w:noProof/>
          <w:lang w:val="pt-BR"/>
        </w:rPr>
        <w:t>J. Lat. Am. Geogr. 11, 9–24.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Dickau, R., Bruno, M., Iriarte, J., 2012. </w:t>
      </w:r>
      <w:r w:rsidRPr="008736A7">
        <w:rPr>
          <w:rFonts w:ascii="Times New Roman" w:hAnsi="Times New Roman" w:cs="Times New Roman"/>
          <w:noProof/>
        </w:rPr>
        <w:t>Diversity of cultivars and other plant resources used at habitation sites in the Llanos de Mojos, Beni, Bolivia: Evidence from macrobotanical remains, starch grains, and phytoliths. J. Archaeol. Sci. 39, 357–370.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Dickau, R., Whitney, B.S., Iriarte, J., Mayle, F.E., Soto, J.D., Metcalfe, P., Street-Perrott, F.A., Loader, N.J., Ficken, K.J., Killeen, T.J., 2013. Differentiation of neotropical ecosystems by modern soil phytolith assemblages and its implications for palaeoenvironmental and archaeological reconstructions. Rev. Palaeobot. Palynol. 193, 15–37.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Erickson, C.L., 2010. The transformation of environment into landscape: The historical ecology of monumental earthwork construction in the Bolivian Amazon. Diversity 2, 618–652.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Erickson, C.L., 2001. Pre-Columbian roads of the Amazon. Expedition 43, 21–30.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Erickson, C.L., Balée, W., 2006. The historical ecology of a complex landscape in bolivia, in: Balee, W., Erickson, C.L. (Eds.), Time and Complexity in Historical Ecology: Studies in the Neotropical Lowlands. Columbia University Press, New York, NY, pp. 187–233.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Faegri, K., Iversen, J., 1989. Textbook of Pollen Analysis, revised by Faegri K, Kaland PE, Krzywinski K. J Wiley, New York.</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Gavin, D.G., Hu, F.S., Lertzman, K., Corbett, P., 2006. Weak climatic control of stand-scale fire history during the late holocene. Ecology 87, 1722–32.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Glaser, B., Lehmann, J., Zech, W., 2002. Ameliorating physical and chemical properties of highly weathered soils in the tropics with charcoal–a review. </w:t>
      </w:r>
      <w:r w:rsidRPr="008736A7">
        <w:rPr>
          <w:rFonts w:ascii="Times New Roman" w:hAnsi="Times New Roman" w:cs="Times New Roman"/>
          <w:noProof/>
          <w:lang w:val="pt-BR"/>
        </w:rPr>
        <w:t>Biol. Fertil. soils 35, 219–230.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lang w:val="pt-BR"/>
        </w:rPr>
        <w:lastRenderedPageBreak/>
        <w:t>Hanagarth, W., 1993. Acerca de la geoecología de las sabanas del Beni en el noreste de Bolivia. Instituto de Ecología, La Paz, Bolivia.</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Hanselman, J.A., Gosling, W.D., Paduano, G.M., Bush, M.B., 2005. </w:t>
      </w:r>
      <w:r w:rsidRPr="008736A7">
        <w:rPr>
          <w:rFonts w:ascii="Times New Roman" w:hAnsi="Times New Roman" w:cs="Times New Roman"/>
          <w:noProof/>
        </w:rPr>
        <w:t>Contrasting pollen histories of MIS 5e and the Holocene from Lake Titicaca (Bolivia/Peru). J. Quat. Sci. 20, 663–670.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Heckenberger, M., Neves, E.G., 2009. Amazonian archaeology. Annu. Rev. Anthropol. 38, 251–266.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Heckenberger, M.J., 2008. The Western Amazon’s “Garden Cities.” Science. 321, 1151–1151.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Heckenberger, M.J., Kuikuro, A., Kuikuro, U.T., Russell, J.C., Schmidt, M., Fausto, C., Franchetto, B., 2003. Amazonia 1492: pristine forest or cultural parkland? Science 301, 1710–4.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Heusser, C.J., 1994. Paleoindians and fire during the late Quaternary in southern South America. Rev. Chil. Hist. Nat. 67, 435–443.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Higuera, P., Peters, M., Brubaker, L., Gavin, D., 2007. Understanding the origin and analysis of sediment-charcoal records with a simulation model. Quat. Sci. Rev. 26, 1790–1809.</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Higuera, P.E., Brubaker, L.B., Anderson, P.M., Feng, S.H., Brown, Thomas, A., 2009. Vegetation mediated the impacts of postglacial climate change on fire regimes in the south-central Brooks Range, Alaska. Ecol. Monogr. 79, 201–219.</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Higuera, P.E., Gavin, D.G., Bartlein, P.J., Hallett, D.J., 2010. Peak detection in sediment–charcoal records: impacts of alternative data analysis methods on fire-history interpretations. Int. J. Wildl. Fire 19, 996.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Hillyer, R., Valencia, B.G., Bush, M.B., Silman, M.R., Steinitz-Kannan, M., 2009. A 24,700-yr paleolimnological history from the Peruvian Andes. Quat. Res. 71, 71–82.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Holst, I., Moreno, J.E., Piperno, D.R., 2007. </w:t>
      </w:r>
      <w:r w:rsidRPr="008736A7">
        <w:rPr>
          <w:rFonts w:ascii="Times New Roman" w:hAnsi="Times New Roman" w:cs="Times New Roman"/>
          <w:noProof/>
        </w:rPr>
        <w:t>Identification of teosinte, maize, and Tripsacum in Mesoamerica by using pollen, starch grains, and phytoliths. Proc. Natl. Acad. Sci. U. S. A. 104, 17608–13.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Iriarte, J., 2003. Assessing the feasibility of identifying maize through the analysis of cross-shaped size and three-dimensional morphology of phytoliths in the grasslands of southeastern South America. J. Archaeol. Sci. 30, 1085–1094.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Iriarte, J., Power, M.J., Rostain, S., Mayle, F.E., Jones, H., Watling, J., Whitney, B.S., McKey, D.B., 2012. Fire-free land use in pre-1492 Amazonian savannas. Proc. Natl. Acad. Sci. 109, 6473–6478.</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Kato, M., 1998. Fire-free land preparation as an alternative to slash-and-burn agriculture in the Bragantina region, eastern Amazon: crop performance and phosphorus dynamics. Cuvillier Verlag.</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Killeen, T.J., 1998. Vegetation and flora of Parque Nacional Noel Kempff Mercado, in: Killeen, T.J., Schulenberg, T.S. (Eds.), A Biological Assessment of Parque Nacional Noel Kempff Mercado, Bolivia. Conservation International, Washington, DC, pp. 61–85.</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Killeen, T.J., 1990. The grasses of Chiquitanía, Santa Cruz, Bolivia. Ann. Missouri Bot. Gard. 1, 125–201.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 xml:space="preserve">Killeen, T.J., Schulenberg, T.S., 1998. Vegetation and flora of Noel Kempff Mercado National Park. </w:t>
      </w:r>
      <w:r w:rsidRPr="008736A7">
        <w:rPr>
          <w:rFonts w:ascii="Times New Roman" w:hAnsi="Times New Roman" w:cs="Times New Roman"/>
          <w:noProof/>
          <w:lang w:val="pt-BR"/>
        </w:rPr>
        <w:t xml:space="preserve">A biological assessment of Parque Nacional Noel Kempff Mercado, Bolivia. </w:t>
      </w:r>
      <w:r w:rsidRPr="008736A7">
        <w:rPr>
          <w:rFonts w:ascii="Times New Roman" w:hAnsi="Times New Roman" w:cs="Times New Roman"/>
          <w:noProof/>
        </w:rPr>
        <w:t>RAP working papers 10. Conservation International, Washington, DC.</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Kleinman, P.J.A., Pimentel, D., Bryant, R.B., 1995. The ecological sustainability of slash-and-burn agriculture. Agric. Ecosyst. Environ. 52, 235–249.</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Levis, C., Costa, F.R.C., Bongers, F., Peña-Claros, M., Clement, C.R., Junqueira, A.B., Neves, E.G., Tamanaha, E.K., Figueiredo, F.O.G., Salomão, R.P., 2017. Persistent effects of pre-Columbian plant domestication on Amazonian forest composition. Science. 355, 925–931.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Lombardo, U., Canal-Beeby, E., Fehr, S., Veit, H., 2011. Raised fields in the Bolivian Amazonia: a prehistoric green revolution or a flood risk mitigation strategy? J. Archaeol. Sci. 38, 502–512.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lastRenderedPageBreak/>
        <w:t>Maezumi, S.Y., Power, M.J., Mayle, F.E., McLauchlan, K., Iriarte, J., 2015. The effects of past climate variability on fire and vegetation in the cerrãdo savanna ecosystem of the Huanchaca Mesetta, Noel Kempff Mercado National Park, NE Bolivia. Clim. Past Discuss. 11, 135–180.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Mann, C.C., 2008. Ancient earthmovers of the Amazon. Science. 321, 1148–1152.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Mann, M.E., Zhang, Z., Rutherford, S., Bradley, R.S., Hughes, M.K., Shindell, D., Ammann, C., Faluvegi, G., Ni, F., 2009. Global signatures and dynamical origins of the Little Ice Age and Medieval Climate Anomaly. Science 326, 1256–60.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Marlon, J.R., Bartlein, P.J., Carcaillet, C., Gavin, D.G., Harrison, S.P., Higuera, P.E., Joos, F., Power, M.J., Prentice, I.C., 2008. Climate and human influences on global biomass burning over the past two millennia. Nat. Geosci. 1, 697–702.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Marlon, J.R., Bartlein, P.J., Daniau, A., Harrison, S.P., Maezumi, S.Y., Power, M.J., Tinner, W., Vanniére, B., 2013. Global biomass burning: A synthesis and review of Holocene paleofire records and their controls. Quat. Sci. Rev. 65, 5–25.</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Mayle, F.E., Burbridge, R.E., Killeen, T.J., 2000. Millennial-scale dynamics of southern Amazonian rain forests. Science. 290, 2291–2294.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Mayle, F.E., Iriarte, J., 2012. Integrated palaeoecology and archaeology – a powerful approach for understanding pre-Columbian Amazonia. J. Archaeol. Sci. 1–11.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McCormac, F.G., Hogg, A.G., Blackwell, P.G., Buck, C.E., Higham, T.F.G., Reimer, P.J., 2004. SHCAL04 southern hemisphere calibration, 0-11.0 cal KYR BP. Radiocarbon 46, 1087–1092.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McMichael, C.H., Bush, M.B., Piperno, D.R., Silman, M.R., Zimmerman,  a. R., Anderson, C., 2011. Spatial and temporal scales of pre-Columbian disturbance associated with western Amazonian lakes. The Holocene 22, 131–141.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McMichael, C.H., Piperno, D.R., Bush, M.B., Silman, M.R., Zimmerman,  a R., Raczka, M.F., Lobato, L.C., 2012. Sparse pre-Columbian human habitation in western Amazonia. Science. 336, 1429–1431.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Mistry, J., 1998. Fire in the Cerrado (savannas) of Brazil: An ecological review. </w:t>
      </w:r>
      <w:r w:rsidRPr="008736A7">
        <w:rPr>
          <w:rFonts w:ascii="Times New Roman" w:hAnsi="Times New Roman" w:cs="Times New Roman"/>
          <w:noProof/>
          <w:lang w:val="pt-BR"/>
        </w:rPr>
        <w:t>Prog. Phys. Geogr. 22, 425–448.</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lang w:val="pt-BR"/>
        </w:rPr>
        <w:t>Montes de Oca, I., 1982. Geografía y recursos naturales de Bolivia, 3rd Editio. ed. Edobol, La Paz, Bolivia.</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Novello, V.F., Vuille, M., Cruz, F.W., Stríkis, N.M., de Paula, M.S., Edwards, R.L., Cheng, H., Karmann, I., Jaqueto, P.F., Trindade, R.I.F., 2016. </w:t>
      </w:r>
      <w:r w:rsidRPr="008736A7">
        <w:rPr>
          <w:rFonts w:ascii="Times New Roman" w:hAnsi="Times New Roman" w:cs="Times New Roman"/>
          <w:noProof/>
        </w:rPr>
        <w:t>Centennial-scale solar forcing of the South American Monsoon System recorded in stalagmites. Sci. Rep. 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Oguntunde, P.G., Fosu, M., Ajayi, A.E., Van De Giesen, N., 2004. Effects of charcoal production on maize yield, chemical properties and texture of soil. Biol. Fertil. Soils 39, 295–299.</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Pärssinen, M., Schaan, D., 2009. Pre-Columbian geometric earthworks in the upper Purus: A complex society in western Amazonia. Antiquity 83, 1084–1095.</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Piperno, D.R., McMichael, C., Bush, M.B., 2015. Amazonia and the Anthropocene: What was the spatial extent and intensity of human landscape modification in the Amazon Basin at the end of prehistory? The Holocene 25, 1588–1597.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Power, M.J., Bush, M.B., Behling, H., Horn, S.P., Mayle, F.E., Urrego, D.H., 2010. Paleofire activity in tropical America during the last 21 ka: A regional synthesis based on sedimentary charcoal. PAGES 18, 4–6.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 xml:space="preserve">Power, M.J., Marlon, J., Ortiz, N., Bartlein, P.J., Harrison, S.P., Mayle, F.E., Ballouche, A., Bradshaw, R.H.W., Carcaillet, C., Cordova, C., Mooney, S., Moreno, P.I., Prentice, I.C., Thonicke, K., Tinner, W., Whitlock, C., Zhang, Y., Zhao, Y., Ali,  a. a., Anderson, R.S., Beer, R., Behling, H., Briles, C., Brown, K.J., Brunelle, A., Bush, M., Camill, P., Chu, G.Q., Clark, J., Colombaroli, D., Connor, S., Daniau, A.-L., Daniels, M., Dodson, J., Doughty, E., Edwards, M.E., Finsinger, W., Foster, D., Frechette, J., Gaillard, M.-J., Gavin, D.G., Gobet, E., Haberle, S., Hallett, D.J., Higuera, P., Hope, G., Horn, S., Inoue, J., Kaltenrieder, P., Kennedy, L., Kong, Z.C., Larsen, C., Long, C.J., Lynch, J., Lynch, E. a., McGlone, M., Meeks, S., Mensing, S., Meyer, G., Minckley, T., Mohr, J., </w:t>
      </w:r>
      <w:r w:rsidRPr="008736A7">
        <w:rPr>
          <w:rFonts w:ascii="Times New Roman" w:hAnsi="Times New Roman" w:cs="Times New Roman"/>
          <w:noProof/>
        </w:rPr>
        <w:lastRenderedPageBreak/>
        <w:t>Nelson, D.M., New, J., Newnham, R., Noti, R., Oswald, W., Pierce, J., Richard, P.J.H., Rowe, C., Sanchez Goñi, M.F., Shuman, B.N., Takahara, H., Toney, J., Turney, C., Urrego-Sanchez, D.H., Umbanhowar, C., Vandergoes, M., Vanniere, B., Vescovi, E., Walsh, M., Wang, X., Williams, N., Wilmshurst, J., Zhang, J.H., 2008. Changes in fire regimes since the Last Glacial Maximum: An assessment based on a global synthesis and analysis of charcoal data. Clim. Dyn. 30, 887–907.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Power, M.J., Marlon, J.R., Bartlein, P.J., Harrison, S.P., 2010. Fire history and the Global Charcoal Database: A new tool for hypothesis testing and data exploration. </w:t>
      </w:r>
      <w:r w:rsidRPr="008736A7">
        <w:rPr>
          <w:rFonts w:ascii="Times New Roman" w:hAnsi="Times New Roman" w:cs="Times New Roman"/>
          <w:noProof/>
          <w:lang w:val="pt-BR"/>
        </w:rPr>
        <w:t>Palaeogeogr. Palaeoclimatol. Palaeoecol. 291, 52–59.</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lang w:val="pt-BR"/>
        </w:rPr>
        <w:t xml:space="preserve">Ramos-Neto, M.B., Pivello, V.R., 2000. </w:t>
      </w:r>
      <w:r w:rsidRPr="008736A7">
        <w:rPr>
          <w:rFonts w:ascii="Times New Roman" w:hAnsi="Times New Roman" w:cs="Times New Roman"/>
          <w:noProof/>
        </w:rPr>
        <w:t xml:space="preserve">Lightning fires in a Brazilian savanna National Park: Rethinking management strategies. </w:t>
      </w:r>
      <w:r w:rsidRPr="008736A7">
        <w:rPr>
          <w:rFonts w:ascii="Times New Roman" w:hAnsi="Times New Roman" w:cs="Times New Roman"/>
          <w:noProof/>
          <w:lang w:val="pt-BR"/>
        </w:rPr>
        <w:t>Environ. Manage. 26, 675–684.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lang w:val="pt-BR"/>
        </w:rPr>
        <w:t>Roche, M.A., Rocha, N., 1985. Precipitacioes anuales. Programa climatólogico e hidrológico de la Cuenca Amazónica Boliviana (PHICAB). Servicio Nacional de Meteologia e Hidrologia (SENAHMHI), La Paz, Bolivia.</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Rodionov, S., Overland, J.E., 2005. Application of a sequential regime shift detection method to the Bering Sea ecosystem. </w:t>
      </w:r>
      <w:r w:rsidRPr="008736A7">
        <w:rPr>
          <w:rFonts w:ascii="Times New Roman" w:hAnsi="Times New Roman" w:cs="Times New Roman"/>
          <w:noProof/>
          <w:lang w:val="pt-BR"/>
        </w:rPr>
        <w:t>ICES J. Mar. Sci. J. du Cons. 62, 328–332.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Rodionov, S.N., 2005. </w:t>
      </w:r>
      <w:r w:rsidRPr="008736A7">
        <w:rPr>
          <w:rFonts w:ascii="Times New Roman" w:hAnsi="Times New Roman" w:cs="Times New Roman"/>
          <w:noProof/>
        </w:rPr>
        <w:t>A sequential method for detecting regime shifts in the mean and variance. Large-Scale Disturbances (Regime Shifts) Recover. Aquat. Ecosyst. Challenges Manag. Towar. Sustain. 68–72.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Rodionov, S.N., 2004. A sequential algorithm for testing climate regime shifts. Geophys. Res. Lett. 31.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Roosevelt, A.C., 2013. The Amazon and the Anthropocene: 13,000 years of human influence in a tropical rainforest. Anthropocene 4, 69–87.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Seltzer, G.O., Rodbell, D.T., Baker, P.A., Fritz, S.C., Tapia, P.M., Rowe, H.D., Dunbar, R.B., 2002. Early warming of tropical South America at the last glacial-interglacial transition. Science. 296, 1685–1686.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Shennan, S., Downey, S.S., Timpson, A., Edinborough, K., Colledge, S., Kerig, T., Manning, K., Thomas, M.G., 2013. Regional population collapse followed initial agriculture booms in mid-Holocene Europe. Nat. Commun. 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Steiner, C., Teixeira, W.G., Lehmann, J., Nehls, T., de Macêdo, J.L.V., Blum, W.E.H., Zech, W., 2007. Long term effects of manure, charcoal and mineral fertilization on crop production and fertility on a highly weathered Central Amazonian upland soil. Plant Soil 291, 275–290.</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Stuiver, M., Reimer, P.J., Bard, E., Beck, J.W., Burr, C.S., Hughen, K.A., Kromer, B., McCormac, G., Plicht, J. van der, Spurk, M., 1998. ARTICLES-INTCAL98 Radiocarbon Age Calibration, 24,000-0 cal BP. Radiocarbon-an Int. J. Cosmogenic Isot. Res. 40, 1041–1084.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lang w:val="pt-BR"/>
        </w:rPr>
      </w:pPr>
      <w:r w:rsidRPr="008736A7">
        <w:rPr>
          <w:rFonts w:ascii="Times New Roman" w:hAnsi="Times New Roman" w:cs="Times New Roman"/>
          <w:noProof/>
        </w:rPr>
        <w:t xml:space="preserve">Taylor, Z.P., Horn, S.P., Mora, C.I., Orvis, K.H., Cooper, L.W., 2010. A multi-proxy palaeoecological record of late-Holocene forest expansion in lowland Bolivia. </w:t>
      </w:r>
      <w:r w:rsidRPr="008736A7">
        <w:rPr>
          <w:rFonts w:ascii="Times New Roman" w:hAnsi="Times New Roman" w:cs="Times New Roman"/>
          <w:noProof/>
          <w:lang w:val="pt-BR"/>
        </w:rPr>
        <w:t>Palaeogeogr. Palaeoclimatol. Palaeoecol. 293, 98–107. doi:10.1016/j.palaeo.2010.05.004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lang w:val="pt-BR"/>
        </w:rPr>
        <w:t xml:space="preserve">Thomas, E., Alcázar Caicedo, C., McMichael, C.H., Corvera, R., Loo, J., 2015. </w:t>
      </w:r>
      <w:r w:rsidRPr="008736A7">
        <w:rPr>
          <w:rFonts w:ascii="Times New Roman" w:hAnsi="Times New Roman" w:cs="Times New Roman"/>
          <w:noProof/>
        </w:rPr>
        <w:t>Uncovering spatial patterns in the natural and human history of Brazil nut (Bertholletia excelsa) across the Amazon Basin. J. Biogeogr. 42, 1367–1382.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Turner, B.L., 1995. Global land use change: a perspective from the Columbian encounter. Editorial CSIC-CSIC Press.</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Uhl, C., 1987. Factors controlling succession following slash-and-burn agriculture in Amazonia. J. Ecol. 377–407.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Urrego, D.H., Bush, M.B., Silman, M.R., 2010. A long history of cloud and forest migration from Lake Consuelo, Peru. Quat. Res. 73, 364–373. doi:10.1016/j.yqres.2009.10.005</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Urrego, D.H., Bush, M.B., Silman, M.R., Niccum, B.A., De La Rosa, P., McMichael, C.H., Hagen, S., Palace, M., 2013. Holocene fires, forest stability and human occupation in south-western Amazonia. J. Biogeogr. 40, 521–533.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 xml:space="preserve">Urrego, D.H., Bush, M.B., Silman, M.R., Niccum, B.A., La Rosa, P., McMichael, C.H., </w:t>
      </w:r>
      <w:r w:rsidRPr="008736A7">
        <w:rPr>
          <w:rFonts w:ascii="Times New Roman" w:hAnsi="Times New Roman" w:cs="Times New Roman"/>
          <w:noProof/>
        </w:rPr>
        <w:lastRenderedPageBreak/>
        <w:t>Hagen, S., Palace, M., 2013. Holocene fires, forest stability and human occupation in south</w:t>
      </w:r>
      <w:r w:rsidRPr="008736A7">
        <w:rPr>
          <w:rFonts w:ascii="Cambria Math" w:hAnsi="Cambria Math" w:cs="Cambria Math"/>
          <w:noProof/>
        </w:rPr>
        <w:t>‐</w:t>
      </w:r>
      <w:r w:rsidRPr="008736A7">
        <w:rPr>
          <w:rFonts w:ascii="Times New Roman" w:hAnsi="Times New Roman" w:cs="Times New Roman"/>
          <w:noProof/>
        </w:rPr>
        <w:t>western Amazonia. J. Biogeogr. 40, 521–533.</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Urrego, D.H., Silman, M.R., Bush, M.B., 2005. The Last Glacial Maximum: stability and change in a western Amazonian cloud forest. J. Quat. Sci. 20, 693–701.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Valencia, B.G., Urrego, D.H., Silman, M.R., Bush, M.B., 2010. From ice age to modern: a record of landscape change in an Andean cloud forest. J. Biogeogr. 37, 1637–1647.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Vuille, M., Burns, S.J., Taylor, B.L., Cruz, F.W., Bird, B.W., Abbott, M.B., Kanner, L.C., Cheng, H., Novello, V.F., 2012. A review of the South American monsoon history as recorded in stable isotopic proxies over the past two millennia. Clim. Past 8, 1309–1321.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Walker, J.H., 2011. Amazonian Dark Earth and Ring Ditches in the Central Llanos de Mojos, Bolivia. Cult. Agric. Food Environ. 33, 2–14.</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Whitlock, C., Larsen, C., 2001. Charcoal as a fire proxy, in: Tracking Environmental Change Using Lake Sediments. Kluwer Academic Publishers, Dordrecht, The Netherlands, pp. 75–97.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Whitlock, C., Moreno, P.I., Bartlein, P., 2007. Climatic controls of Holocene fire patterns in southern South America. Quat. Res. 68, 28–36.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Whitney, B.S., Dickau, R., Mayle, F.E., Soto, J.D., Iriarte, J., 2013. Pre-Columbian landscape impact and agriculture in the Monumental Mound region of the Llanos de Moxos, lowland Bolivia. Quat. Res. 80, 207–217.</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Whitney, B.S., Dickau, R., Mayle, F.E., Walker, J.H., Soto, J.D., Iriarte, J., 2014. Pre-Columbian raised-field agriculture and land use in the Bolivian Amazon. The Holocene 24, 231–241.</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Whitney, B.S., Mayle, F.E., Punyasena, S.W., Fitzpatrick, K.A., Burn, M.J., Guillen, R., Chavez, E., Mann, D., Pennington, R.T., Metcalfe, S.E., 2011. A 45kyr palaeoclimate record from the lowland interior of tropical South America. Palaeogeogr. Palaeoclimatol. Palaeoecol. 307, 177–192.</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Whitney, B.S., Rushton, E. a., Carson, J.F., Iriarte, J., Mayle, F.E., 2012. An improved methodology for the recovery of Zea mays and other large crop pollen, with implications for environmental archaeology in the Neotropics. The Holocene 22, 1087–1096.</w:t>
      </w:r>
    </w:p>
    <w:p w:rsidR="00705EBE" w:rsidRPr="008736A7" w:rsidRDefault="00705EBE" w:rsidP="00090084">
      <w:pPr>
        <w:autoSpaceDE w:val="0"/>
        <w:autoSpaceDN w:val="0"/>
        <w:adjustRightInd w:val="0"/>
        <w:ind w:left="2340" w:right="150" w:hanging="480"/>
        <w:jc w:val="both"/>
        <w:rPr>
          <w:rFonts w:ascii="Times New Roman" w:hAnsi="Times New Roman" w:cs="Times New Roman"/>
          <w:noProof/>
        </w:rPr>
      </w:pPr>
      <w:r w:rsidRPr="008736A7">
        <w:rPr>
          <w:rFonts w:ascii="Times New Roman" w:hAnsi="Times New Roman" w:cs="Times New Roman"/>
          <w:noProof/>
        </w:rPr>
        <w:t>Willis, K.J., Gillson, L., Brncic, T.M., 2005. How “Virgin” Is Virgin Rainforest? 826, 2003–2004.</w:t>
      </w:r>
    </w:p>
    <w:p w:rsidR="00705EBE" w:rsidRPr="008736A7" w:rsidRDefault="00705EBE" w:rsidP="00090084">
      <w:pPr>
        <w:autoSpaceDE w:val="0"/>
        <w:autoSpaceDN w:val="0"/>
        <w:adjustRightInd w:val="0"/>
        <w:ind w:left="2340" w:right="150" w:hanging="480"/>
        <w:jc w:val="both"/>
        <w:rPr>
          <w:rFonts w:ascii="Times New Roman" w:hAnsi="Times New Roman" w:cs="Times New Roman"/>
          <w:b/>
        </w:rPr>
      </w:pPr>
      <w:r w:rsidRPr="008736A7">
        <w:rPr>
          <w:rFonts w:ascii="Times New Roman" w:hAnsi="Times New Roman" w:cs="Times New Roman"/>
          <w:b/>
        </w:rPr>
        <w:fldChar w:fldCharType="end"/>
      </w:r>
    </w:p>
    <w:p w:rsidR="00705EBE" w:rsidRDefault="00705EBE"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Default="00693CCF" w:rsidP="00090084">
      <w:pPr>
        <w:ind w:right="150"/>
        <w:jc w:val="both"/>
        <w:rPr>
          <w:rFonts w:ascii="Times New Roman" w:eastAsia="PMingLiU" w:hAnsi="Times New Roman" w:cs="Times New Roman"/>
          <w:sz w:val="20"/>
          <w:szCs w:val="20"/>
        </w:rPr>
      </w:pPr>
    </w:p>
    <w:p w:rsidR="00693CCF" w:rsidRPr="008736A7" w:rsidRDefault="00693CCF" w:rsidP="00090084">
      <w:pPr>
        <w:ind w:right="150"/>
        <w:jc w:val="both"/>
        <w:rPr>
          <w:rFonts w:ascii="Times New Roman" w:eastAsia="PMingLiU" w:hAnsi="Times New Roman" w:cs="Times New Roman"/>
          <w:sz w:val="20"/>
          <w:szCs w:val="20"/>
        </w:rPr>
      </w:pPr>
      <w:bookmarkStart w:id="0" w:name="_GoBack"/>
      <w:bookmarkEnd w:id="0"/>
    </w:p>
    <w:p w:rsidR="006E7389" w:rsidRPr="008736A7" w:rsidRDefault="006E7389" w:rsidP="00090084">
      <w:pPr>
        <w:spacing w:before="6"/>
        <w:ind w:right="150"/>
        <w:jc w:val="both"/>
        <w:rPr>
          <w:rFonts w:ascii="Times New Roman" w:eastAsia="PMingLiU" w:hAnsi="Times New Roman" w:cs="Times New Roman"/>
          <w:sz w:val="11"/>
          <w:szCs w:val="11"/>
        </w:rPr>
      </w:pPr>
    </w:p>
    <w:p w:rsidR="006E7389" w:rsidRPr="008736A7" w:rsidRDefault="005A3996" w:rsidP="00090084">
      <w:pPr>
        <w:spacing w:line="20" w:lineRule="atLeast"/>
        <w:ind w:left="1910" w:right="150"/>
        <w:jc w:val="both"/>
        <w:rPr>
          <w:rFonts w:ascii="Times New Roman" w:eastAsia="PMingLiU" w:hAnsi="Times New Roman" w:cs="Times New Roman"/>
          <w:sz w:val="2"/>
          <w:szCs w:val="2"/>
        </w:rPr>
      </w:pPr>
      <w:r w:rsidRPr="008736A7">
        <w:rPr>
          <w:rFonts w:ascii="Times New Roman" w:eastAsia="PMingLiU" w:hAnsi="Times New Roman" w:cs="Times New Roman"/>
          <w:noProof/>
          <w:sz w:val="2"/>
          <w:szCs w:val="2"/>
          <w:lang w:val="en-GB" w:eastAsia="en-GB"/>
        </w:rPr>
        <mc:AlternateContent>
          <mc:Choice Requires="wpg">
            <w:drawing>
              <wp:inline distT="0" distB="0" distL="0" distR="0" wp14:anchorId="50C42B7B" wp14:editId="10C4E68D">
                <wp:extent cx="4960620" cy="3175"/>
                <wp:effectExtent l="12700" t="12700" r="8255" b="3175"/>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3175"/>
                          <a:chOff x="0" y="0"/>
                          <a:chExt cx="7812" cy="5"/>
                        </a:xfrm>
                      </wpg:grpSpPr>
                      <wpg:grpSp>
                        <wpg:cNvPr id="68" name="Group 36"/>
                        <wpg:cNvGrpSpPr>
                          <a:grpSpLocks/>
                        </wpg:cNvGrpSpPr>
                        <wpg:grpSpPr bwMode="auto">
                          <a:xfrm>
                            <a:off x="2" y="2"/>
                            <a:ext cx="7807" cy="2"/>
                            <a:chOff x="2" y="2"/>
                            <a:chExt cx="7807" cy="2"/>
                          </a:xfrm>
                        </wpg:grpSpPr>
                        <wps:wsp>
                          <wps:cNvPr id="69" name="Freeform 37"/>
                          <wps:cNvSpPr>
                            <a:spLocks/>
                          </wps:cNvSpPr>
                          <wps:spPr bwMode="auto">
                            <a:xfrm>
                              <a:off x="2" y="2"/>
                              <a:ext cx="7807" cy="2"/>
                            </a:xfrm>
                            <a:custGeom>
                              <a:avLst/>
                              <a:gdLst>
                                <a:gd name="T0" fmla="+- 0 2 2"/>
                                <a:gd name="T1" fmla="*/ T0 w 7807"/>
                                <a:gd name="T2" fmla="+- 0 7809 2"/>
                                <a:gd name="T3" fmla="*/ T2 w 7807"/>
                              </a:gdLst>
                              <a:ahLst/>
                              <a:cxnLst>
                                <a:cxn ang="0">
                                  <a:pos x="T1" y="0"/>
                                </a:cxn>
                                <a:cxn ang="0">
                                  <a:pos x="T3" y="0"/>
                                </a:cxn>
                              </a:cxnLst>
                              <a:rect l="0" t="0" r="r" b="b"/>
                              <a:pathLst>
                                <a:path w="7807">
                                  <a:moveTo>
                                    <a:pt x="0" y="0"/>
                                  </a:moveTo>
                                  <a:lnTo>
                                    <a:pt x="7807" y="0"/>
                                  </a:lnTo>
                                </a:path>
                              </a:pathLst>
                            </a:custGeom>
                            <a:noFill/>
                            <a:ln w="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08DE322" id="Group 35" o:spid="_x0000_s1026" style="width:390.6pt;height:.25pt;mso-position-horizontal-relative:char;mso-position-vertical-relative:line" coordsize="7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">
                <v:group id="Group 36" o:spid="_x0000_s1027" style="position:absolute;left:2;top:2;width:7807;height:2" coordorigin="2,2" coordsize="7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7" o:spid="_x0000_s1028" style="position:absolute;left:2;top:2;width:7807;height:2;visibility:visible;mso-wrap-style:square;v-text-anchor:top" coordsize="7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q/MUA&#10;AADbAAAADwAAAGRycy9kb3ducmV2LnhtbESPQWvCQBSE70L/w/IKvemmPYim2YgIpaU0oGl78PbM&#10;PpOQ7Nuwu2r8926h4HGYmW+YbDWaXpzJ+daygudZAoK4srrlWsHP99t0AcIHZI29ZVJwJQ+r/GGS&#10;YarthXd0LkMtIoR9igqaEIZUSl81ZNDP7EAcvaN1BkOUrpba4SXCTS9fkmQuDbYcFxocaNNQ1ZUn&#10;o+AUOntwRYFVUXbt5/Z9X/x+7ZV6ehzXryACjeEe/m9/aAXzJ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6r8xQAAANsAAAAPAAAAAAAAAAAAAAAAAJgCAABkcnMv&#10;ZG93bnJldi54bWxQSwUGAAAAAAQABAD1AAAAigMAAAAA&#10;" path="m,l7807,e" filled="f" strokeweight=".08783mm">
                    <v:path arrowok="t" o:connecttype="custom" o:connectlocs="0,0;7807,0" o:connectangles="0,0"/>
                  </v:shape>
                </v:group>
                <w10:anchorlock/>
              </v:group>
            </w:pict>
          </mc:Fallback>
        </mc:AlternateContent>
      </w:r>
    </w:p>
    <w:p w:rsidR="006E7389" w:rsidRPr="00090084" w:rsidRDefault="00760579" w:rsidP="00090084">
      <w:pPr>
        <w:spacing w:line="207" w:lineRule="exact"/>
        <w:ind w:left="1922" w:right="150"/>
        <w:jc w:val="both"/>
        <w:rPr>
          <w:rFonts w:ascii="Times New Roman" w:eastAsia="Century" w:hAnsi="Times New Roman" w:cs="Times New Roman"/>
          <w:sz w:val="16"/>
          <w:szCs w:val="16"/>
        </w:rPr>
      </w:pPr>
      <w:r w:rsidRPr="008736A7">
        <w:rPr>
          <w:rFonts w:ascii="Cambria Math" w:eastAsia="Meiryo" w:hAnsi="Cambria Math" w:cs="Cambria Math"/>
          <w:i/>
          <w:position w:val="6"/>
          <w:sz w:val="12"/>
          <w:szCs w:val="12"/>
        </w:rPr>
        <w:t>∗</w:t>
      </w:r>
      <w:r w:rsidRPr="008736A7">
        <w:rPr>
          <w:rFonts w:ascii="Times New Roman" w:eastAsia="Century" w:hAnsi="Times New Roman" w:cs="Times New Roman"/>
          <w:spacing w:val="1"/>
          <w:sz w:val="16"/>
          <w:szCs w:val="16"/>
        </w:rPr>
        <w:t>Corresponding</w:t>
      </w:r>
      <w:r w:rsidRPr="008736A7">
        <w:rPr>
          <w:rFonts w:ascii="Times New Roman" w:eastAsia="Century" w:hAnsi="Times New Roman" w:cs="Times New Roman"/>
          <w:spacing w:val="-14"/>
          <w:sz w:val="16"/>
          <w:szCs w:val="16"/>
        </w:rPr>
        <w:t xml:space="preserve"> </w:t>
      </w:r>
      <w:r w:rsidRPr="008736A7">
        <w:rPr>
          <w:rFonts w:ascii="Times New Roman" w:eastAsia="Century" w:hAnsi="Times New Roman" w:cs="Times New Roman"/>
          <w:sz w:val="16"/>
          <w:szCs w:val="16"/>
        </w:rPr>
        <w:t>author.</w:t>
      </w:r>
      <w:r w:rsidRPr="008736A7">
        <w:rPr>
          <w:rFonts w:ascii="Times New Roman" w:eastAsia="Century" w:hAnsi="Times New Roman" w:cs="Times New Roman"/>
          <w:spacing w:val="-12"/>
          <w:sz w:val="16"/>
          <w:szCs w:val="16"/>
        </w:rPr>
        <w:t xml:space="preserve"> </w:t>
      </w:r>
      <w:r w:rsidRPr="008736A7">
        <w:rPr>
          <w:rFonts w:ascii="Times New Roman" w:eastAsia="Century" w:hAnsi="Times New Roman" w:cs="Times New Roman"/>
          <w:spacing w:val="-1"/>
          <w:sz w:val="16"/>
          <w:szCs w:val="16"/>
        </w:rPr>
        <w:t>Em</w:t>
      </w:r>
      <w:r w:rsidRPr="008736A7">
        <w:rPr>
          <w:rFonts w:ascii="Times New Roman" w:eastAsia="Century" w:hAnsi="Times New Roman" w:cs="Times New Roman"/>
          <w:spacing w:val="-2"/>
          <w:sz w:val="16"/>
          <w:szCs w:val="16"/>
        </w:rPr>
        <w:t>ai</w:t>
      </w:r>
      <w:r w:rsidRPr="008736A7">
        <w:rPr>
          <w:rFonts w:ascii="Times New Roman" w:eastAsia="Century" w:hAnsi="Times New Roman" w:cs="Times New Roman"/>
          <w:spacing w:val="-1"/>
          <w:sz w:val="16"/>
          <w:szCs w:val="16"/>
        </w:rPr>
        <w:t>l:</w:t>
      </w:r>
      <w:r w:rsidRPr="008736A7">
        <w:rPr>
          <w:rFonts w:ascii="Times New Roman" w:eastAsia="Century" w:hAnsi="Times New Roman" w:cs="Times New Roman"/>
          <w:spacing w:val="-14"/>
          <w:sz w:val="16"/>
          <w:szCs w:val="16"/>
        </w:rPr>
        <w:t xml:space="preserve"> </w:t>
      </w:r>
      <w:hyperlink r:id="rId16" w:history="1">
        <w:r w:rsidR="00090084" w:rsidRPr="000A0FCD">
          <w:rPr>
            <w:rStyle w:val="Hyperlink"/>
            <w:rFonts w:ascii="Times New Roman" w:eastAsia="Century" w:hAnsi="Times New Roman" w:cs="Times New Roman"/>
            <w:sz w:val="16"/>
            <w:szCs w:val="16"/>
          </w:rPr>
          <w:t>s.y.maezumi@exeter.ac.uk</w:t>
        </w:r>
      </w:hyperlink>
      <w:r w:rsidR="00090084">
        <w:rPr>
          <w:rFonts w:ascii="Times New Roman" w:eastAsia="Century" w:hAnsi="Times New Roman" w:cs="Times New Roman"/>
          <w:sz w:val="16"/>
          <w:szCs w:val="16"/>
        </w:rPr>
        <w:tab/>
      </w:r>
    </w:p>
    <w:sectPr w:rsidR="006E7389" w:rsidRPr="00090084" w:rsidSect="00090084">
      <w:headerReference w:type="default" r:id="rId17"/>
      <w:footerReference w:type="default" r:id="rId18"/>
      <w:pgSz w:w="11910" w:h="16840"/>
      <w:pgMar w:top="1526" w:right="1685" w:bottom="1526" w:left="0" w:header="0" w:footer="11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C25" w:rsidRDefault="005B5C25">
      <w:r>
        <w:separator/>
      </w:r>
    </w:p>
  </w:endnote>
  <w:endnote w:type="continuationSeparator" w:id="0">
    <w:p w:rsidR="005B5C25" w:rsidRDefault="005B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389" w:rsidRDefault="005A3996">
    <w:pPr>
      <w:spacing w:line="14" w:lineRule="auto"/>
      <w:rPr>
        <w:sz w:val="20"/>
        <w:szCs w:val="20"/>
      </w:rPr>
    </w:pPr>
    <w:r>
      <w:rPr>
        <w:noProof/>
        <w:lang w:val="en-GB" w:eastAsia="en-GB"/>
      </w:rPr>
      <mc:AlternateContent>
        <mc:Choice Requires="wps">
          <w:drawing>
            <wp:anchor distT="0" distB="0" distL="114300" distR="114300" simplePos="0" relativeHeight="251657728" behindDoc="1" locked="0" layoutInCell="1" allowOverlap="1" wp14:anchorId="065E2E38" wp14:editId="661FDF20">
              <wp:simplePos x="0" y="0"/>
              <wp:positionH relativeFrom="page">
                <wp:posOffset>3598545</wp:posOffset>
              </wp:positionH>
              <wp:positionV relativeFrom="page">
                <wp:posOffset>9841230</wp:posOffset>
              </wp:positionV>
              <wp:extent cx="189865" cy="164465"/>
              <wp:effectExtent l="0" t="1905"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89" w:rsidRDefault="00760579">
                          <w:pPr>
                            <w:pStyle w:val="BodyText"/>
                            <w:spacing w:line="227" w:lineRule="exact"/>
                            <w:ind w:left="40"/>
                          </w:pPr>
                          <w:r>
                            <w:fldChar w:fldCharType="begin"/>
                          </w:r>
                          <w:r>
                            <w:rPr>
                              <w:w w:val="105"/>
                            </w:rPr>
                            <w:instrText xml:space="preserve"> PAGE </w:instrText>
                          </w:r>
                          <w:r>
                            <w:fldChar w:fldCharType="separate"/>
                          </w:r>
                          <w:r w:rsidR="00693CCF">
                            <w:rPr>
                              <w:noProof/>
                              <w:w w:val="105"/>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3.35pt;margin-top:774.9pt;width:14.95pt;height:1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" filled="f" stroked="f">
              <v:textbox inset="0,0,0,0">
                <w:txbxContent>
                  <w:p w:rsidR="006E7389" w:rsidRDefault="00760579">
                    <w:pPr>
                      <w:pStyle w:val="BodyText"/>
                      <w:spacing w:line="227" w:lineRule="exact"/>
                      <w:ind w:left="40"/>
                    </w:pPr>
                    <w:r>
                      <w:fldChar w:fldCharType="begin"/>
                    </w:r>
                    <w:r>
                      <w:rPr>
                        <w:w w:val="105"/>
                      </w:rPr>
                      <w:instrText xml:space="preserve"> PAGE </w:instrText>
                    </w:r>
                    <w:r>
                      <w:fldChar w:fldCharType="separate"/>
                    </w:r>
                    <w:r w:rsidR="00693CCF">
                      <w:rPr>
                        <w:noProof/>
                        <w:w w:val="105"/>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C25" w:rsidRDefault="005B5C25">
      <w:r>
        <w:separator/>
      </w:r>
    </w:p>
  </w:footnote>
  <w:footnote w:type="continuationSeparator" w:id="0">
    <w:p w:rsidR="005B5C25" w:rsidRDefault="005B5C25">
      <w:r>
        <w:continuationSeparator/>
      </w:r>
    </w:p>
  </w:footnote>
  <w:footnote w:id="1">
    <w:p w:rsidR="00415504" w:rsidRPr="00415504" w:rsidRDefault="00415504" w:rsidP="00415504">
      <w:pPr>
        <w:pStyle w:val="FootnoteText"/>
        <w:ind w:left="1890"/>
        <w:rPr>
          <w:lang w:val="en-GB"/>
        </w:rPr>
      </w:pPr>
      <w:r>
        <w:rPr>
          <w:rStyle w:val="FootnoteReference"/>
        </w:rPr>
        <w:footnoteRef/>
      </w:r>
      <w:r>
        <w:t xml:space="preserve"> </w:t>
      </w:r>
      <w:r>
        <w:rPr>
          <w:lang w:val="en-GB"/>
        </w:rPr>
        <w:t>Corresponding Author s.y.maezumi@exeter.ac.uk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389" w:rsidRDefault="006E7389">
    <w:pPr>
      <w:spacing w:line="14" w:lineRule="auto"/>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0DD7"/>
    <w:multiLevelType w:val="multilevel"/>
    <w:tmpl w:val="3A7613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1320DC"/>
    <w:multiLevelType w:val="multilevel"/>
    <w:tmpl w:val="A6CA2B1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3B24D9"/>
    <w:multiLevelType w:val="hybridMultilevel"/>
    <w:tmpl w:val="68AE3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E24243"/>
    <w:multiLevelType w:val="hybridMultilevel"/>
    <w:tmpl w:val="46D02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D000D"/>
    <w:multiLevelType w:val="multilevel"/>
    <w:tmpl w:val="EB5CD75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BB021D"/>
    <w:multiLevelType w:val="multilevel"/>
    <w:tmpl w:val="9F04C73C"/>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6">
    <w:nsid w:val="0FA617C3"/>
    <w:multiLevelType w:val="multilevel"/>
    <w:tmpl w:val="9522B6E6"/>
    <w:lvl w:ilvl="0">
      <w:start w:val="3"/>
      <w:numFmt w:val="decimal"/>
      <w:lvlText w:val="%1"/>
      <w:lvlJc w:val="left"/>
      <w:pPr>
        <w:ind w:left="2554" w:hanging="642"/>
      </w:pPr>
      <w:rPr>
        <w:rFonts w:hint="default"/>
      </w:rPr>
    </w:lvl>
    <w:lvl w:ilvl="1">
      <w:start w:val="1"/>
      <w:numFmt w:val="decimal"/>
      <w:lvlText w:val="%1.%2."/>
      <w:lvlJc w:val="left"/>
      <w:pPr>
        <w:ind w:left="2554" w:hanging="642"/>
      </w:pPr>
      <w:rPr>
        <w:rFonts w:ascii="Georgia" w:eastAsia="Georgia" w:hAnsi="Georgia" w:hint="default"/>
        <w:b/>
        <w:bCs/>
        <w:sz w:val="22"/>
        <w:szCs w:val="22"/>
      </w:rPr>
    </w:lvl>
    <w:lvl w:ilvl="2">
      <w:start w:val="1"/>
      <w:numFmt w:val="lowerLetter"/>
      <w:lvlText w:val="(%3)"/>
      <w:lvlJc w:val="left"/>
      <w:pPr>
        <w:ind w:left="2287" w:hanging="292"/>
        <w:jc w:val="right"/>
      </w:pPr>
      <w:rPr>
        <w:rFonts w:ascii="Century" w:eastAsia="Century" w:hAnsi="Century" w:hint="default"/>
        <w:w w:val="110"/>
        <w:sz w:val="16"/>
        <w:szCs w:val="16"/>
      </w:rPr>
    </w:lvl>
    <w:lvl w:ilvl="3">
      <w:start w:val="1"/>
      <w:numFmt w:val="bullet"/>
      <w:lvlText w:val="•"/>
      <w:lvlJc w:val="left"/>
      <w:pPr>
        <w:ind w:left="3455" w:hanging="292"/>
      </w:pPr>
      <w:rPr>
        <w:rFonts w:hint="default"/>
      </w:rPr>
    </w:lvl>
    <w:lvl w:ilvl="4">
      <w:start w:val="1"/>
      <w:numFmt w:val="bullet"/>
      <w:lvlText w:val="•"/>
      <w:lvlJc w:val="left"/>
      <w:pPr>
        <w:ind w:left="3906" w:hanging="292"/>
      </w:pPr>
      <w:rPr>
        <w:rFonts w:hint="default"/>
      </w:rPr>
    </w:lvl>
    <w:lvl w:ilvl="5">
      <w:start w:val="1"/>
      <w:numFmt w:val="bullet"/>
      <w:lvlText w:val="•"/>
      <w:lvlJc w:val="left"/>
      <w:pPr>
        <w:ind w:left="4357" w:hanging="292"/>
      </w:pPr>
      <w:rPr>
        <w:rFonts w:hint="default"/>
      </w:rPr>
    </w:lvl>
    <w:lvl w:ilvl="6">
      <w:start w:val="1"/>
      <w:numFmt w:val="bullet"/>
      <w:lvlText w:val="•"/>
      <w:lvlJc w:val="left"/>
      <w:pPr>
        <w:ind w:left="4808" w:hanging="292"/>
      </w:pPr>
      <w:rPr>
        <w:rFonts w:hint="default"/>
      </w:rPr>
    </w:lvl>
    <w:lvl w:ilvl="7">
      <w:start w:val="1"/>
      <w:numFmt w:val="bullet"/>
      <w:lvlText w:val="•"/>
      <w:lvlJc w:val="left"/>
      <w:pPr>
        <w:ind w:left="5259" w:hanging="292"/>
      </w:pPr>
      <w:rPr>
        <w:rFonts w:hint="default"/>
      </w:rPr>
    </w:lvl>
    <w:lvl w:ilvl="8">
      <w:start w:val="1"/>
      <w:numFmt w:val="bullet"/>
      <w:lvlText w:val="•"/>
      <w:lvlJc w:val="left"/>
      <w:pPr>
        <w:ind w:left="5710" w:hanging="292"/>
      </w:pPr>
      <w:rPr>
        <w:rFonts w:hint="default"/>
      </w:rPr>
    </w:lvl>
  </w:abstractNum>
  <w:abstractNum w:abstractNumId="7">
    <w:nsid w:val="115635FB"/>
    <w:multiLevelType w:val="hybridMultilevel"/>
    <w:tmpl w:val="54A6C6FA"/>
    <w:lvl w:ilvl="0" w:tplc="F34C32E8">
      <w:start w:val="1"/>
      <w:numFmt w:val="decimal"/>
      <w:lvlText w:val="%1)"/>
      <w:lvlJc w:val="left"/>
      <w:pPr>
        <w:ind w:left="1912" w:hanging="271"/>
      </w:pPr>
      <w:rPr>
        <w:rFonts w:ascii="PMingLiU" w:eastAsia="PMingLiU" w:hAnsi="PMingLiU" w:hint="default"/>
        <w:w w:val="112"/>
        <w:sz w:val="22"/>
        <w:szCs w:val="22"/>
      </w:rPr>
    </w:lvl>
    <w:lvl w:ilvl="1" w:tplc="7EE2441C">
      <w:start w:val="1"/>
      <w:numFmt w:val="lowerLetter"/>
      <w:lvlText w:val="(%2)"/>
      <w:lvlJc w:val="left"/>
      <w:pPr>
        <w:ind w:left="4731" w:hanging="289"/>
        <w:jc w:val="right"/>
      </w:pPr>
      <w:rPr>
        <w:rFonts w:ascii="Century" w:eastAsia="Century" w:hAnsi="Century" w:hint="default"/>
        <w:w w:val="110"/>
        <w:sz w:val="16"/>
        <w:szCs w:val="16"/>
      </w:rPr>
    </w:lvl>
    <w:lvl w:ilvl="2" w:tplc="59B27258">
      <w:start w:val="1"/>
      <w:numFmt w:val="bullet"/>
      <w:lvlText w:val="•"/>
      <w:lvlJc w:val="left"/>
      <w:pPr>
        <w:ind w:left="5341" w:hanging="289"/>
      </w:pPr>
      <w:rPr>
        <w:rFonts w:hint="default"/>
      </w:rPr>
    </w:lvl>
    <w:lvl w:ilvl="3" w:tplc="0B227F08">
      <w:start w:val="1"/>
      <w:numFmt w:val="bullet"/>
      <w:lvlText w:val="•"/>
      <w:lvlJc w:val="left"/>
      <w:pPr>
        <w:ind w:left="5952" w:hanging="289"/>
      </w:pPr>
      <w:rPr>
        <w:rFonts w:hint="default"/>
      </w:rPr>
    </w:lvl>
    <w:lvl w:ilvl="4" w:tplc="D6A4F282">
      <w:start w:val="1"/>
      <w:numFmt w:val="bullet"/>
      <w:lvlText w:val="•"/>
      <w:lvlJc w:val="left"/>
      <w:pPr>
        <w:ind w:left="6562" w:hanging="289"/>
      </w:pPr>
      <w:rPr>
        <w:rFonts w:hint="default"/>
      </w:rPr>
    </w:lvl>
    <w:lvl w:ilvl="5" w:tplc="106E893E">
      <w:start w:val="1"/>
      <w:numFmt w:val="bullet"/>
      <w:lvlText w:val="•"/>
      <w:lvlJc w:val="left"/>
      <w:pPr>
        <w:ind w:left="7173" w:hanging="289"/>
      </w:pPr>
      <w:rPr>
        <w:rFonts w:hint="default"/>
      </w:rPr>
    </w:lvl>
    <w:lvl w:ilvl="6" w:tplc="92F06BC2">
      <w:start w:val="1"/>
      <w:numFmt w:val="bullet"/>
      <w:lvlText w:val="•"/>
      <w:lvlJc w:val="left"/>
      <w:pPr>
        <w:ind w:left="7783" w:hanging="289"/>
      </w:pPr>
      <w:rPr>
        <w:rFonts w:hint="default"/>
      </w:rPr>
    </w:lvl>
    <w:lvl w:ilvl="7" w:tplc="5636B450">
      <w:start w:val="1"/>
      <w:numFmt w:val="bullet"/>
      <w:lvlText w:val="•"/>
      <w:lvlJc w:val="left"/>
      <w:pPr>
        <w:ind w:left="8394" w:hanging="289"/>
      </w:pPr>
      <w:rPr>
        <w:rFonts w:hint="default"/>
      </w:rPr>
    </w:lvl>
    <w:lvl w:ilvl="8" w:tplc="1290A622">
      <w:start w:val="1"/>
      <w:numFmt w:val="bullet"/>
      <w:lvlText w:val="•"/>
      <w:lvlJc w:val="left"/>
      <w:pPr>
        <w:ind w:left="9004" w:hanging="289"/>
      </w:pPr>
      <w:rPr>
        <w:rFonts w:hint="default"/>
      </w:rPr>
    </w:lvl>
  </w:abstractNum>
  <w:abstractNum w:abstractNumId="8">
    <w:nsid w:val="11D30E43"/>
    <w:multiLevelType w:val="multilevel"/>
    <w:tmpl w:val="C810B7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46644EF"/>
    <w:multiLevelType w:val="hybridMultilevel"/>
    <w:tmpl w:val="5732B602"/>
    <w:lvl w:ilvl="0" w:tplc="E9027F4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02F24"/>
    <w:multiLevelType w:val="multilevel"/>
    <w:tmpl w:val="EB5CD75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57E434D"/>
    <w:multiLevelType w:val="multilevel"/>
    <w:tmpl w:val="5FD60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5A80630"/>
    <w:multiLevelType w:val="hybridMultilevel"/>
    <w:tmpl w:val="09D81348"/>
    <w:lvl w:ilvl="0" w:tplc="25188FF0">
      <w:start w:val="1"/>
      <w:numFmt w:val="decimal"/>
      <w:lvlText w:val="%1."/>
      <w:lvlJc w:val="left"/>
      <w:pPr>
        <w:ind w:left="2358" w:hanging="447"/>
      </w:pPr>
      <w:rPr>
        <w:rFonts w:ascii="Georgia" w:eastAsia="Georgia" w:hAnsi="Georgia" w:hint="default"/>
        <w:b/>
        <w:bCs/>
        <w:w w:val="108"/>
        <w:sz w:val="22"/>
        <w:szCs w:val="22"/>
      </w:rPr>
    </w:lvl>
    <w:lvl w:ilvl="1" w:tplc="67D6D32A">
      <w:start w:val="1"/>
      <w:numFmt w:val="lowerLetter"/>
      <w:lvlText w:val="(%2)"/>
      <w:lvlJc w:val="left"/>
      <w:pPr>
        <w:ind w:left="2088" w:hanging="290"/>
        <w:jc w:val="right"/>
      </w:pPr>
      <w:rPr>
        <w:rFonts w:ascii="Century" w:eastAsia="Century" w:hAnsi="Century" w:hint="default"/>
        <w:w w:val="110"/>
        <w:sz w:val="16"/>
        <w:szCs w:val="16"/>
      </w:rPr>
    </w:lvl>
    <w:lvl w:ilvl="2" w:tplc="8F96F7D4">
      <w:start w:val="1"/>
      <w:numFmt w:val="bullet"/>
      <w:lvlText w:val="•"/>
      <w:lvlJc w:val="left"/>
      <w:pPr>
        <w:ind w:left="2644" w:hanging="290"/>
      </w:pPr>
      <w:rPr>
        <w:rFonts w:hint="default"/>
      </w:rPr>
    </w:lvl>
    <w:lvl w:ilvl="3" w:tplc="04208344">
      <w:start w:val="1"/>
      <w:numFmt w:val="bullet"/>
      <w:lvlText w:val="•"/>
      <w:lvlJc w:val="left"/>
      <w:pPr>
        <w:ind w:left="3512" w:hanging="290"/>
      </w:pPr>
      <w:rPr>
        <w:rFonts w:hint="default"/>
      </w:rPr>
    </w:lvl>
    <w:lvl w:ilvl="4" w:tplc="409860A6">
      <w:start w:val="1"/>
      <w:numFmt w:val="bullet"/>
      <w:lvlText w:val="•"/>
      <w:lvlJc w:val="left"/>
      <w:pPr>
        <w:ind w:left="4310" w:hanging="290"/>
      </w:pPr>
      <w:rPr>
        <w:rFonts w:hint="default"/>
      </w:rPr>
    </w:lvl>
    <w:lvl w:ilvl="5" w:tplc="1CB0F5E2">
      <w:start w:val="1"/>
      <w:numFmt w:val="bullet"/>
      <w:lvlText w:val="•"/>
      <w:lvlJc w:val="left"/>
      <w:pPr>
        <w:ind w:left="4519" w:hanging="290"/>
      </w:pPr>
      <w:rPr>
        <w:rFonts w:hint="default"/>
      </w:rPr>
    </w:lvl>
    <w:lvl w:ilvl="6" w:tplc="67406D12">
      <w:start w:val="1"/>
      <w:numFmt w:val="bullet"/>
      <w:lvlText w:val="•"/>
      <w:lvlJc w:val="left"/>
      <w:pPr>
        <w:ind w:left="4728" w:hanging="290"/>
      </w:pPr>
      <w:rPr>
        <w:rFonts w:hint="default"/>
      </w:rPr>
    </w:lvl>
    <w:lvl w:ilvl="7" w:tplc="BD0AD296">
      <w:start w:val="1"/>
      <w:numFmt w:val="bullet"/>
      <w:lvlText w:val="•"/>
      <w:lvlJc w:val="left"/>
      <w:pPr>
        <w:ind w:left="4936" w:hanging="290"/>
      </w:pPr>
      <w:rPr>
        <w:rFonts w:hint="default"/>
      </w:rPr>
    </w:lvl>
    <w:lvl w:ilvl="8" w:tplc="51FEF584">
      <w:start w:val="1"/>
      <w:numFmt w:val="bullet"/>
      <w:lvlText w:val="•"/>
      <w:lvlJc w:val="left"/>
      <w:pPr>
        <w:ind w:left="5145" w:hanging="290"/>
      </w:pPr>
      <w:rPr>
        <w:rFonts w:hint="default"/>
      </w:rPr>
    </w:lvl>
  </w:abstractNum>
  <w:abstractNum w:abstractNumId="13">
    <w:nsid w:val="18941C57"/>
    <w:multiLevelType w:val="hybridMultilevel"/>
    <w:tmpl w:val="D4EE58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ACD69E8"/>
    <w:multiLevelType w:val="multilevel"/>
    <w:tmpl w:val="7D52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6246D0"/>
    <w:multiLevelType w:val="multilevel"/>
    <w:tmpl w:val="B4CEF9E0"/>
    <w:lvl w:ilvl="0">
      <w:start w:val="3"/>
      <w:numFmt w:val="decimal"/>
      <w:lvlText w:val="%1"/>
      <w:lvlJc w:val="left"/>
      <w:pPr>
        <w:ind w:left="360" w:hanging="360"/>
      </w:pPr>
      <w:rPr>
        <w:rFonts w:hint="default"/>
      </w:rPr>
    </w:lvl>
    <w:lvl w:ilvl="1">
      <w:start w:val="3"/>
      <w:numFmt w:val="decimal"/>
      <w:lvlText w:val="%1.%2"/>
      <w:lvlJc w:val="left"/>
      <w:pPr>
        <w:ind w:left="2831" w:hanging="360"/>
      </w:pPr>
      <w:rPr>
        <w:rFonts w:hint="default"/>
      </w:rPr>
    </w:lvl>
    <w:lvl w:ilvl="2">
      <w:start w:val="1"/>
      <w:numFmt w:val="decimal"/>
      <w:lvlText w:val="%1.%2.%3"/>
      <w:lvlJc w:val="left"/>
      <w:pPr>
        <w:ind w:left="5662" w:hanging="720"/>
      </w:pPr>
      <w:rPr>
        <w:rFonts w:hint="default"/>
      </w:rPr>
    </w:lvl>
    <w:lvl w:ilvl="3">
      <w:start w:val="1"/>
      <w:numFmt w:val="decimal"/>
      <w:lvlText w:val="%1.%2.%3.%4"/>
      <w:lvlJc w:val="left"/>
      <w:pPr>
        <w:ind w:left="8133" w:hanging="720"/>
      </w:pPr>
      <w:rPr>
        <w:rFonts w:hint="default"/>
      </w:rPr>
    </w:lvl>
    <w:lvl w:ilvl="4">
      <w:start w:val="1"/>
      <w:numFmt w:val="decimal"/>
      <w:lvlText w:val="%1.%2.%3.%4.%5"/>
      <w:lvlJc w:val="left"/>
      <w:pPr>
        <w:ind w:left="10964" w:hanging="1080"/>
      </w:pPr>
      <w:rPr>
        <w:rFonts w:hint="default"/>
      </w:rPr>
    </w:lvl>
    <w:lvl w:ilvl="5">
      <w:start w:val="1"/>
      <w:numFmt w:val="decimal"/>
      <w:lvlText w:val="%1.%2.%3.%4.%5.%6"/>
      <w:lvlJc w:val="left"/>
      <w:pPr>
        <w:ind w:left="13435" w:hanging="1080"/>
      </w:pPr>
      <w:rPr>
        <w:rFonts w:hint="default"/>
      </w:rPr>
    </w:lvl>
    <w:lvl w:ilvl="6">
      <w:start w:val="1"/>
      <w:numFmt w:val="decimal"/>
      <w:lvlText w:val="%1.%2.%3.%4.%5.%6.%7"/>
      <w:lvlJc w:val="left"/>
      <w:pPr>
        <w:ind w:left="16266" w:hanging="1440"/>
      </w:pPr>
      <w:rPr>
        <w:rFonts w:hint="default"/>
      </w:rPr>
    </w:lvl>
    <w:lvl w:ilvl="7">
      <w:start w:val="1"/>
      <w:numFmt w:val="decimal"/>
      <w:lvlText w:val="%1.%2.%3.%4.%5.%6.%7.%8"/>
      <w:lvlJc w:val="left"/>
      <w:pPr>
        <w:ind w:left="18737" w:hanging="1440"/>
      </w:pPr>
      <w:rPr>
        <w:rFonts w:hint="default"/>
      </w:rPr>
    </w:lvl>
    <w:lvl w:ilvl="8">
      <w:start w:val="1"/>
      <w:numFmt w:val="decimal"/>
      <w:lvlText w:val="%1.%2.%3.%4.%5.%6.%7.%8.%9"/>
      <w:lvlJc w:val="left"/>
      <w:pPr>
        <w:ind w:left="21208" w:hanging="1440"/>
      </w:pPr>
      <w:rPr>
        <w:rFonts w:hint="default"/>
      </w:rPr>
    </w:lvl>
  </w:abstractNum>
  <w:abstractNum w:abstractNumId="16">
    <w:nsid w:val="1BCD3AA5"/>
    <w:multiLevelType w:val="multilevel"/>
    <w:tmpl w:val="30F0C2EE"/>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7">
    <w:nsid w:val="22D56E24"/>
    <w:multiLevelType w:val="multilevel"/>
    <w:tmpl w:val="503EB69A"/>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8">
    <w:nsid w:val="23C864A6"/>
    <w:multiLevelType w:val="hybridMultilevel"/>
    <w:tmpl w:val="FE3E5B02"/>
    <w:lvl w:ilvl="0" w:tplc="C58AFB22">
      <w:start w:val="1"/>
      <w:numFmt w:val="decimal"/>
      <w:lvlText w:val="%1."/>
      <w:lvlJc w:val="left"/>
      <w:pPr>
        <w:ind w:left="720" w:hanging="360"/>
      </w:pPr>
      <w:rPr>
        <w:rFonts w:hint="default"/>
        <w:b w:val="0"/>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CF57429"/>
    <w:multiLevelType w:val="hybridMultilevel"/>
    <w:tmpl w:val="2B584C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DF61B5"/>
    <w:multiLevelType w:val="multilevel"/>
    <w:tmpl w:val="33C0D71E"/>
    <w:lvl w:ilvl="0">
      <w:start w:val="2"/>
      <w:numFmt w:val="decimal"/>
      <w:lvlText w:val="%1"/>
      <w:lvlJc w:val="left"/>
      <w:pPr>
        <w:ind w:left="360" w:hanging="360"/>
      </w:pPr>
      <w:rPr>
        <w:rFonts w:hint="default"/>
        <w:i/>
      </w:rPr>
    </w:lvl>
    <w:lvl w:ilvl="1">
      <w:start w:val="3"/>
      <w:numFmt w:val="decimal"/>
      <w:lvlText w:val="%1.%2"/>
      <w:lvlJc w:val="left"/>
      <w:pPr>
        <w:ind w:left="360" w:hanging="360"/>
      </w:pPr>
      <w:rPr>
        <w:rFonts w:hint="default"/>
        <w:b w:val="0"/>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1">
    <w:nsid w:val="303D4BDE"/>
    <w:multiLevelType w:val="hybridMultilevel"/>
    <w:tmpl w:val="245C5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3C5249"/>
    <w:multiLevelType w:val="hybridMultilevel"/>
    <w:tmpl w:val="FE3E5B02"/>
    <w:lvl w:ilvl="0" w:tplc="C58AFB22">
      <w:start w:val="1"/>
      <w:numFmt w:val="decimal"/>
      <w:lvlText w:val="%1."/>
      <w:lvlJc w:val="left"/>
      <w:pPr>
        <w:ind w:left="720" w:hanging="360"/>
      </w:pPr>
      <w:rPr>
        <w:rFonts w:hint="default"/>
        <w:b w:val="0"/>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A1349D"/>
    <w:multiLevelType w:val="multilevel"/>
    <w:tmpl w:val="3D7056BC"/>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4">
    <w:nsid w:val="48C330C3"/>
    <w:multiLevelType w:val="hybridMultilevel"/>
    <w:tmpl w:val="C92AF352"/>
    <w:lvl w:ilvl="0" w:tplc="17F8F172">
      <w:start w:val="1"/>
      <w:numFmt w:val="lowerLetter"/>
      <w:lvlText w:val="(%1)"/>
      <w:lvlJc w:val="left"/>
      <w:pPr>
        <w:ind w:left="1946" w:hanging="315"/>
        <w:jc w:val="right"/>
      </w:pPr>
      <w:rPr>
        <w:rFonts w:ascii="Century" w:eastAsia="Century" w:hAnsi="Century" w:hint="default"/>
        <w:w w:val="110"/>
        <w:sz w:val="16"/>
        <w:szCs w:val="16"/>
      </w:rPr>
    </w:lvl>
    <w:lvl w:ilvl="1" w:tplc="4C9C67B0">
      <w:start w:val="1"/>
      <w:numFmt w:val="bullet"/>
      <w:lvlText w:val="•"/>
      <w:lvlJc w:val="left"/>
      <w:pPr>
        <w:ind w:left="2322" w:hanging="315"/>
      </w:pPr>
      <w:rPr>
        <w:rFonts w:hint="default"/>
      </w:rPr>
    </w:lvl>
    <w:lvl w:ilvl="2" w:tplc="3B2A2162">
      <w:start w:val="1"/>
      <w:numFmt w:val="bullet"/>
      <w:lvlText w:val="•"/>
      <w:lvlJc w:val="left"/>
      <w:pPr>
        <w:ind w:left="2698" w:hanging="315"/>
      </w:pPr>
      <w:rPr>
        <w:rFonts w:hint="default"/>
      </w:rPr>
    </w:lvl>
    <w:lvl w:ilvl="3" w:tplc="F454FE34">
      <w:start w:val="1"/>
      <w:numFmt w:val="bullet"/>
      <w:lvlText w:val="•"/>
      <w:lvlJc w:val="left"/>
      <w:pPr>
        <w:ind w:left="3073" w:hanging="315"/>
      </w:pPr>
      <w:rPr>
        <w:rFonts w:hint="default"/>
      </w:rPr>
    </w:lvl>
    <w:lvl w:ilvl="4" w:tplc="B6CADD60">
      <w:start w:val="1"/>
      <w:numFmt w:val="bullet"/>
      <w:lvlText w:val="•"/>
      <w:lvlJc w:val="left"/>
      <w:pPr>
        <w:ind w:left="3449" w:hanging="315"/>
      </w:pPr>
      <w:rPr>
        <w:rFonts w:hint="default"/>
      </w:rPr>
    </w:lvl>
    <w:lvl w:ilvl="5" w:tplc="5C2C8416">
      <w:start w:val="1"/>
      <w:numFmt w:val="bullet"/>
      <w:lvlText w:val="•"/>
      <w:lvlJc w:val="left"/>
      <w:pPr>
        <w:ind w:left="3825" w:hanging="315"/>
      </w:pPr>
      <w:rPr>
        <w:rFonts w:hint="default"/>
      </w:rPr>
    </w:lvl>
    <w:lvl w:ilvl="6" w:tplc="D85CD94E">
      <w:start w:val="1"/>
      <w:numFmt w:val="bullet"/>
      <w:lvlText w:val="•"/>
      <w:lvlJc w:val="left"/>
      <w:pPr>
        <w:ind w:left="4201" w:hanging="315"/>
      </w:pPr>
      <w:rPr>
        <w:rFonts w:hint="default"/>
      </w:rPr>
    </w:lvl>
    <w:lvl w:ilvl="7" w:tplc="05C83058">
      <w:start w:val="1"/>
      <w:numFmt w:val="bullet"/>
      <w:lvlText w:val="•"/>
      <w:lvlJc w:val="left"/>
      <w:pPr>
        <w:ind w:left="4577" w:hanging="315"/>
      </w:pPr>
      <w:rPr>
        <w:rFonts w:hint="default"/>
      </w:rPr>
    </w:lvl>
    <w:lvl w:ilvl="8" w:tplc="0BAC30B0">
      <w:start w:val="1"/>
      <w:numFmt w:val="bullet"/>
      <w:lvlText w:val="•"/>
      <w:lvlJc w:val="left"/>
      <w:pPr>
        <w:ind w:left="4952" w:hanging="315"/>
      </w:pPr>
      <w:rPr>
        <w:rFonts w:hint="default"/>
      </w:rPr>
    </w:lvl>
  </w:abstractNum>
  <w:abstractNum w:abstractNumId="25">
    <w:nsid w:val="4E5D0D93"/>
    <w:multiLevelType w:val="multilevel"/>
    <w:tmpl w:val="F0ACB1F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19E4E6B"/>
    <w:multiLevelType w:val="hybridMultilevel"/>
    <w:tmpl w:val="3342D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56005A"/>
    <w:multiLevelType w:val="multilevel"/>
    <w:tmpl w:val="A0B6CD5C"/>
    <w:lvl w:ilvl="0">
      <w:start w:val="3"/>
      <w:numFmt w:val="decimal"/>
      <w:lvlText w:val="%1"/>
      <w:lvlJc w:val="left"/>
      <w:pPr>
        <w:ind w:left="360" w:hanging="360"/>
      </w:pPr>
      <w:rPr>
        <w:rFonts w:hint="default"/>
        <w:i w:val="0"/>
      </w:rPr>
    </w:lvl>
    <w:lvl w:ilvl="1">
      <w:start w:val="2"/>
      <w:numFmt w:val="decimal"/>
      <w:lvlText w:val="%1.%2"/>
      <w:lvlJc w:val="left"/>
      <w:pPr>
        <w:ind w:left="2471" w:hanging="360"/>
      </w:pPr>
      <w:rPr>
        <w:rFonts w:hint="default"/>
        <w:i/>
      </w:rPr>
    </w:lvl>
    <w:lvl w:ilvl="2">
      <w:start w:val="1"/>
      <w:numFmt w:val="decimal"/>
      <w:lvlText w:val="%1.%2.%3"/>
      <w:lvlJc w:val="left"/>
      <w:pPr>
        <w:ind w:left="4942" w:hanging="720"/>
      </w:pPr>
      <w:rPr>
        <w:rFonts w:hint="default"/>
        <w:i w:val="0"/>
      </w:rPr>
    </w:lvl>
    <w:lvl w:ilvl="3">
      <w:start w:val="1"/>
      <w:numFmt w:val="decimal"/>
      <w:lvlText w:val="%1.%2.%3.%4"/>
      <w:lvlJc w:val="left"/>
      <w:pPr>
        <w:ind w:left="7053" w:hanging="720"/>
      </w:pPr>
      <w:rPr>
        <w:rFonts w:hint="default"/>
        <w:i w:val="0"/>
      </w:rPr>
    </w:lvl>
    <w:lvl w:ilvl="4">
      <w:start w:val="1"/>
      <w:numFmt w:val="decimal"/>
      <w:lvlText w:val="%1.%2.%3.%4.%5"/>
      <w:lvlJc w:val="left"/>
      <w:pPr>
        <w:ind w:left="9524" w:hanging="1080"/>
      </w:pPr>
      <w:rPr>
        <w:rFonts w:hint="default"/>
        <w:i w:val="0"/>
      </w:rPr>
    </w:lvl>
    <w:lvl w:ilvl="5">
      <w:start w:val="1"/>
      <w:numFmt w:val="decimal"/>
      <w:lvlText w:val="%1.%2.%3.%4.%5.%6"/>
      <w:lvlJc w:val="left"/>
      <w:pPr>
        <w:ind w:left="11635" w:hanging="1080"/>
      </w:pPr>
      <w:rPr>
        <w:rFonts w:hint="default"/>
        <w:i w:val="0"/>
      </w:rPr>
    </w:lvl>
    <w:lvl w:ilvl="6">
      <w:start w:val="1"/>
      <w:numFmt w:val="decimal"/>
      <w:lvlText w:val="%1.%2.%3.%4.%5.%6.%7"/>
      <w:lvlJc w:val="left"/>
      <w:pPr>
        <w:ind w:left="14106" w:hanging="1440"/>
      </w:pPr>
      <w:rPr>
        <w:rFonts w:hint="default"/>
        <w:i w:val="0"/>
      </w:rPr>
    </w:lvl>
    <w:lvl w:ilvl="7">
      <w:start w:val="1"/>
      <w:numFmt w:val="decimal"/>
      <w:lvlText w:val="%1.%2.%3.%4.%5.%6.%7.%8"/>
      <w:lvlJc w:val="left"/>
      <w:pPr>
        <w:ind w:left="16217" w:hanging="1440"/>
      </w:pPr>
      <w:rPr>
        <w:rFonts w:hint="default"/>
        <w:i w:val="0"/>
      </w:rPr>
    </w:lvl>
    <w:lvl w:ilvl="8">
      <w:start w:val="1"/>
      <w:numFmt w:val="decimal"/>
      <w:lvlText w:val="%1.%2.%3.%4.%5.%6.%7.%8.%9"/>
      <w:lvlJc w:val="left"/>
      <w:pPr>
        <w:ind w:left="18328" w:hanging="1440"/>
      </w:pPr>
      <w:rPr>
        <w:rFonts w:hint="default"/>
        <w:i w:val="0"/>
      </w:rPr>
    </w:lvl>
  </w:abstractNum>
  <w:abstractNum w:abstractNumId="28">
    <w:nsid w:val="5A110301"/>
    <w:multiLevelType w:val="hybridMultilevel"/>
    <w:tmpl w:val="5CE640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086EF5"/>
    <w:multiLevelType w:val="multilevel"/>
    <w:tmpl w:val="15BAC702"/>
    <w:lvl w:ilvl="0">
      <w:start w:val="3"/>
      <w:numFmt w:val="decimal"/>
      <w:lvlText w:val="%1"/>
      <w:lvlJc w:val="left"/>
      <w:pPr>
        <w:ind w:left="360" w:hanging="360"/>
      </w:pPr>
      <w:rPr>
        <w:rFonts w:hint="default"/>
      </w:rPr>
    </w:lvl>
    <w:lvl w:ilvl="1">
      <w:start w:val="3"/>
      <w:numFmt w:val="decimal"/>
      <w:lvlText w:val="%1.%2"/>
      <w:lvlJc w:val="left"/>
      <w:pPr>
        <w:ind w:left="2272" w:hanging="360"/>
      </w:pPr>
      <w:rPr>
        <w:rFonts w:hint="default"/>
      </w:rPr>
    </w:lvl>
    <w:lvl w:ilvl="2">
      <w:start w:val="1"/>
      <w:numFmt w:val="decimal"/>
      <w:lvlText w:val="%1.%2.%3"/>
      <w:lvlJc w:val="left"/>
      <w:pPr>
        <w:ind w:left="4544" w:hanging="720"/>
      </w:pPr>
      <w:rPr>
        <w:rFonts w:hint="default"/>
      </w:rPr>
    </w:lvl>
    <w:lvl w:ilvl="3">
      <w:start w:val="1"/>
      <w:numFmt w:val="decimal"/>
      <w:lvlText w:val="%1.%2.%3.%4"/>
      <w:lvlJc w:val="left"/>
      <w:pPr>
        <w:ind w:left="6456" w:hanging="720"/>
      </w:pPr>
      <w:rPr>
        <w:rFonts w:hint="default"/>
      </w:rPr>
    </w:lvl>
    <w:lvl w:ilvl="4">
      <w:start w:val="1"/>
      <w:numFmt w:val="decimal"/>
      <w:lvlText w:val="%1.%2.%3.%4.%5"/>
      <w:lvlJc w:val="left"/>
      <w:pPr>
        <w:ind w:left="8728" w:hanging="1080"/>
      </w:pPr>
      <w:rPr>
        <w:rFonts w:hint="default"/>
      </w:rPr>
    </w:lvl>
    <w:lvl w:ilvl="5">
      <w:start w:val="1"/>
      <w:numFmt w:val="decimal"/>
      <w:lvlText w:val="%1.%2.%3.%4.%5.%6"/>
      <w:lvlJc w:val="left"/>
      <w:pPr>
        <w:ind w:left="10640" w:hanging="1080"/>
      </w:pPr>
      <w:rPr>
        <w:rFonts w:hint="default"/>
      </w:rPr>
    </w:lvl>
    <w:lvl w:ilvl="6">
      <w:start w:val="1"/>
      <w:numFmt w:val="decimal"/>
      <w:lvlText w:val="%1.%2.%3.%4.%5.%6.%7"/>
      <w:lvlJc w:val="left"/>
      <w:pPr>
        <w:ind w:left="12912" w:hanging="1440"/>
      </w:pPr>
      <w:rPr>
        <w:rFonts w:hint="default"/>
      </w:rPr>
    </w:lvl>
    <w:lvl w:ilvl="7">
      <w:start w:val="1"/>
      <w:numFmt w:val="decimal"/>
      <w:lvlText w:val="%1.%2.%3.%4.%5.%6.%7.%8"/>
      <w:lvlJc w:val="left"/>
      <w:pPr>
        <w:ind w:left="14824" w:hanging="1440"/>
      </w:pPr>
      <w:rPr>
        <w:rFonts w:hint="default"/>
      </w:rPr>
    </w:lvl>
    <w:lvl w:ilvl="8">
      <w:start w:val="1"/>
      <w:numFmt w:val="decimal"/>
      <w:lvlText w:val="%1.%2.%3.%4.%5.%6.%7.%8.%9"/>
      <w:lvlJc w:val="left"/>
      <w:pPr>
        <w:ind w:left="16736" w:hanging="1440"/>
      </w:pPr>
      <w:rPr>
        <w:rFonts w:hint="default"/>
      </w:rPr>
    </w:lvl>
  </w:abstractNum>
  <w:abstractNum w:abstractNumId="30">
    <w:nsid w:val="60240729"/>
    <w:multiLevelType w:val="hybridMultilevel"/>
    <w:tmpl w:val="AD50875A"/>
    <w:lvl w:ilvl="0" w:tplc="E434386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BC4F7C"/>
    <w:multiLevelType w:val="multilevel"/>
    <w:tmpl w:val="18003E5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DD2011"/>
    <w:multiLevelType w:val="multilevel"/>
    <w:tmpl w:val="EB5CD752"/>
    <w:lvl w:ilvl="0">
      <w:start w:val="4"/>
      <w:numFmt w:val="decimal"/>
      <w:lvlText w:val="%1"/>
      <w:lvlJc w:val="left"/>
      <w:pPr>
        <w:ind w:left="72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33">
    <w:nsid w:val="6D0B1617"/>
    <w:multiLevelType w:val="hybridMultilevel"/>
    <w:tmpl w:val="363868FA"/>
    <w:lvl w:ilvl="0" w:tplc="9CCE0A68">
      <w:start w:val="1"/>
      <w:numFmt w:val="lowerLetter"/>
      <w:lvlText w:val="(%1)"/>
      <w:lvlJc w:val="left"/>
      <w:pPr>
        <w:ind w:left="2968" w:hanging="289"/>
      </w:pPr>
      <w:rPr>
        <w:rFonts w:ascii="Century" w:eastAsia="Century" w:hAnsi="Century" w:hint="default"/>
        <w:w w:val="110"/>
        <w:sz w:val="16"/>
        <w:szCs w:val="16"/>
      </w:rPr>
    </w:lvl>
    <w:lvl w:ilvl="1" w:tplc="BAE6B25E">
      <w:start w:val="1"/>
      <w:numFmt w:val="lowerLetter"/>
      <w:lvlText w:val="(%2)"/>
      <w:lvlJc w:val="left"/>
      <w:pPr>
        <w:ind w:left="4109" w:hanging="289"/>
        <w:jc w:val="right"/>
      </w:pPr>
      <w:rPr>
        <w:rFonts w:ascii="Century" w:eastAsia="Century" w:hAnsi="Century" w:hint="default"/>
        <w:w w:val="110"/>
        <w:sz w:val="16"/>
        <w:szCs w:val="16"/>
      </w:rPr>
    </w:lvl>
    <w:lvl w:ilvl="2" w:tplc="500C3356">
      <w:start w:val="1"/>
      <w:numFmt w:val="bullet"/>
      <w:lvlText w:val="•"/>
      <w:lvlJc w:val="left"/>
      <w:pPr>
        <w:ind w:left="4176" w:hanging="289"/>
      </w:pPr>
      <w:rPr>
        <w:rFonts w:hint="default"/>
      </w:rPr>
    </w:lvl>
    <w:lvl w:ilvl="3" w:tplc="EF982DAA">
      <w:start w:val="1"/>
      <w:numFmt w:val="bullet"/>
      <w:lvlText w:val="•"/>
      <w:lvlJc w:val="left"/>
      <w:pPr>
        <w:ind w:left="4932" w:hanging="289"/>
      </w:pPr>
      <w:rPr>
        <w:rFonts w:hint="default"/>
      </w:rPr>
    </w:lvl>
    <w:lvl w:ilvl="4" w:tplc="307C6D64">
      <w:start w:val="1"/>
      <w:numFmt w:val="bullet"/>
      <w:lvlText w:val="•"/>
      <w:lvlJc w:val="left"/>
      <w:pPr>
        <w:ind w:left="5688" w:hanging="289"/>
      </w:pPr>
      <w:rPr>
        <w:rFonts w:hint="default"/>
      </w:rPr>
    </w:lvl>
    <w:lvl w:ilvl="5" w:tplc="2A205580">
      <w:start w:val="1"/>
      <w:numFmt w:val="bullet"/>
      <w:lvlText w:val="•"/>
      <w:lvlJc w:val="left"/>
      <w:pPr>
        <w:ind w:left="6444" w:hanging="289"/>
      </w:pPr>
      <w:rPr>
        <w:rFonts w:hint="default"/>
      </w:rPr>
    </w:lvl>
    <w:lvl w:ilvl="6" w:tplc="9FA4F22A">
      <w:start w:val="1"/>
      <w:numFmt w:val="bullet"/>
      <w:lvlText w:val="•"/>
      <w:lvlJc w:val="left"/>
      <w:pPr>
        <w:ind w:left="7200" w:hanging="289"/>
      </w:pPr>
      <w:rPr>
        <w:rFonts w:hint="default"/>
      </w:rPr>
    </w:lvl>
    <w:lvl w:ilvl="7" w:tplc="F05ECE12">
      <w:start w:val="1"/>
      <w:numFmt w:val="bullet"/>
      <w:lvlText w:val="•"/>
      <w:lvlJc w:val="left"/>
      <w:pPr>
        <w:ind w:left="7957" w:hanging="289"/>
      </w:pPr>
      <w:rPr>
        <w:rFonts w:hint="default"/>
      </w:rPr>
    </w:lvl>
    <w:lvl w:ilvl="8" w:tplc="07B28A34">
      <w:start w:val="1"/>
      <w:numFmt w:val="bullet"/>
      <w:lvlText w:val="•"/>
      <w:lvlJc w:val="left"/>
      <w:pPr>
        <w:ind w:left="8713" w:hanging="289"/>
      </w:pPr>
      <w:rPr>
        <w:rFonts w:hint="default"/>
      </w:rPr>
    </w:lvl>
  </w:abstractNum>
  <w:abstractNum w:abstractNumId="34">
    <w:nsid w:val="74C905E8"/>
    <w:multiLevelType w:val="multilevel"/>
    <w:tmpl w:val="A56C91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5E22F06"/>
    <w:multiLevelType w:val="multilevel"/>
    <w:tmpl w:val="7A1608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6FE4D80"/>
    <w:multiLevelType w:val="multilevel"/>
    <w:tmpl w:val="E2709C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D615883"/>
    <w:multiLevelType w:val="multilevel"/>
    <w:tmpl w:val="D402C7A8"/>
    <w:lvl w:ilvl="0">
      <w:start w:val="2"/>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38">
    <w:nsid w:val="7E322609"/>
    <w:multiLevelType w:val="hybridMultilevel"/>
    <w:tmpl w:val="C0E819D2"/>
    <w:lvl w:ilvl="0" w:tplc="F46C72E6">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F71851"/>
    <w:multiLevelType w:val="multilevel"/>
    <w:tmpl w:val="EB5CD75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33"/>
  </w:num>
  <w:num w:numId="3">
    <w:abstractNumId w:val="24"/>
  </w:num>
  <w:num w:numId="4">
    <w:abstractNumId w:val="6"/>
  </w:num>
  <w:num w:numId="5">
    <w:abstractNumId w:val="12"/>
  </w:num>
  <w:num w:numId="6">
    <w:abstractNumId w:val="19"/>
  </w:num>
  <w:num w:numId="7">
    <w:abstractNumId w:val="13"/>
  </w:num>
  <w:num w:numId="8">
    <w:abstractNumId w:val="28"/>
  </w:num>
  <w:num w:numId="9">
    <w:abstractNumId w:val="22"/>
  </w:num>
  <w:num w:numId="10">
    <w:abstractNumId w:val="2"/>
  </w:num>
  <w:num w:numId="11">
    <w:abstractNumId w:val="26"/>
  </w:num>
  <w:num w:numId="12">
    <w:abstractNumId w:val="9"/>
  </w:num>
  <w:num w:numId="13">
    <w:abstractNumId w:val="18"/>
  </w:num>
  <w:num w:numId="14">
    <w:abstractNumId w:val="30"/>
  </w:num>
  <w:num w:numId="15">
    <w:abstractNumId w:val="3"/>
  </w:num>
  <w:num w:numId="16">
    <w:abstractNumId w:val="38"/>
  </w:num>
  <w:num w:numId="17">
    <w:abstractNumId w:val="21"/>
  </w:num>
  <w:num w:numId="18">
    <w:abstractNumId w:val="14"/>
  </w:num>
  <w:num w:numId="19">
    <w:abstractNumId w:val="35"/>
  </w:num>
  <w:num w:numId="20">
    <w:abstractNumId w:val="16"/>
  </w:num>
  <w:num w:numId="21">
    <w:abstractNumId w:val="25"/>
  </w:num>
  <w:num w:numId="22">
    <w:abstractNumId w:val="0"/>
  </w:num>
  <w:num w:numId="23">
    <w:abstractNumId w:val="37"/>
  </w:num>
  <w:num w:numId="24">
    <w:abstractNumId w:val="36"/>
  </w:num>
  <w:num w:numId="25">
    <w:abstractNumId w:val="8"/>
  </w:num>
  <w:num w:numId="26">
    <w:abstractNumId w:val="17"/>
  </w:num>
  <w:num w:numId="27">
    <w:abstractNumId w:val="5"/>
  </w:num>
  <w:num w:numId="28">
    <w:abstractNumId w:val="23"/>
  </w:num>
  <w:num w:numId="29">
    <w:abstractNumId w:val="20"/>
  </w:num>
  <w:num w:numId="30">
    <w:abstractNumId w:val="11"/>
  </w:num>
  <w:num w:numId="31">
    <w:abstractNumId w:val="32"/>
  </w:num>
  <w:num w:numId="32">
    <w:abstractNumId w:val="34"/>
  </w:num>
  <w:num w:numId="33">
    <w:abstractNumId w:val="39"/>
  </w:num>
  <w:num w:numId="34">
    <w:abstractNumId w:val="10"/>
  </w:num>
  <w:num w:numId="35">
    <w:abstractNumId w:val="4"/>
  </w:num>
  <w:num w:numId="36">
    <w:abstractNumId w:val="31"/>
  </w:num>
  <w:num w:numId="37">
    <w:abstractNumId w:val="1"/>
  </w:num>
  <w:num w:numId="38">
    <w:abstractNumId w:val="27"/>
  </w:num>
  <w:num w:numId="39">
    <w:abstractNumId w:val="15"/>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M0Nbc0MDQzMzEyMTFW0lEKTi0uzszPAykwrAUArFZNYywAAAA="/>
  </w:docVars>
  <w:rsids>
    <w:rsidRoot w:val="006E7389"/>
    <w:rsid w:val="00090084"/>
    <w:rsid w:val="000A1554"/>
    <w:rsid w:val="000F6E68"/>
    <w:rsid w:val="002F4934"/>
    <w:rsid w:val="00380D30"/>
    <w:rsid w:val="00415504"/>
    <w:rsid w:val="0051743E"/>
    <w:rsid w:val="005A3996"/>
    <w:rsid w:val="005B5C25"/>
    <w:rsid w:val="005E68F3"/>
    <w:rsid w:val="00693CCF"/>
    <w:rsid w:val="006E7389"/>
    <w:rsid w:val="00705EBE"/>
    <w:rsid w:val="00760579"/>
    <w:rsid w:val="008736A7"/>
    <w:rsid w:val="00C718A9"/>
    <w:rsid w:val="00E56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358" w:hanging="446"/>
      <w:outlineLvl w:val="0"/>
    </w:pPr>
    <w:rPr>
      <w:rFonts w:ascii="Georgia" w:eastAsia="Georgia" w:hAnsi="Georgia"/>
      <w:b/>
      <w:bCs/>
    </w:rPr>
  </w:style>
  <w:style w:type="paragraph" w:styleId="Heading2">
    <w:name w:val="heading 2"/>
    <w:basedOn w:val="Normal"/>
    <w:uiPriority w:val="1"/>
    <w:qFormat/>
    <w:pPr>
      <w:ind w:left="2554" w:hanging="642"/>
      <w:outlineLvl w:val="1"/>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12"/>
    </w:pPr>
    <w:rPr>
      <w:rFonts w:ascii="PMingLiU" w:eastAsia="PMingLiU" w:hAnsi="PMingLiU"/>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F4934"/>
    <w:rPr>
      <w:rFonts w:ascii="Tahoma" w:hAnsi="Tahoma" w:cs="Tahoma"/>
      <w:sz w:val="16"/>
      <w:szCs w:val="16"/>
    </w:rPr>
  </w:style>
  <w:style w:type="character" w:customStyle="1" w:styleId="BalloonTextChar">
    <w:name w:val="Balloon Text Char"/>
    <w:basedOn w:val="DefaultParagraphFont"/>
    <w:link w:val="BalloonText"/>
    <w:uiPriority w:val="99"/>
    <w:semiHidden/>
    <w:rsid w:val="002F4934"/>
    <w:rPr>
      <w:rFonts w:ascii="Tahoma" w:hAnsi="Tahoma" w:cs="Tahoma"/>
      <w:sz w:val="16"/>
      <w:szCs w:val="16"/>
    </w:rPr>
  </w:style>
  <w:style w:type="paragraph" w:styleId="Header">
    <w:name w:val="header"/>
    <w:basedOn w:val="Normal"/>
    <w:link w:val="HeaderChar"/>
    <w:uiPriority w:val="99"/>
    <w:unhideWhenUsed/>
    <w:rsid w:val="002F4934"/>
    <w:pPr>
      <w:tabs>
        <w:tab w:val="center" w:pos="4513"/>
        <w:tab w:val="right" w:pos="9026"/>
      </w:tabs>
    </w:pPr>
  </w:style>
  <w:style w:type="character" w:customStyle="1" w:styleId="HeaderChar">
    <w:name w:val="Header Char"/>
    <w:basedOn w:val="DefaultParagraphFont"/>
    <w:link w:val="Header"/>
    <w:uiPriority w:val="99"/>
    <w:rsid w:val="002F4934"/>
  </w:style>
  <w:style w:type="paragraph" w:styleId="Footer">
    <w:name w:val="footer"/>
    <w:basedOn w:val="Normal"/>
    <w:link w:val="FooterChar"/>
    <w:uiPriority w:val="99"/>
    <w:unhideWhenUsed/>
    <w:rsid w:val="002F4934"/>
    <w:pPr>
      <w:tabs>
        <w:tab w:val="center" w:pos="4513"/>
        <w:tab w:val="right" w:pos="9026"/>
      </w:tabs>
    </w:pPr>
  </w:style>
  <w:style w:type="character" w:customStyle="1" w:styleId="FooterChar">
    <w:name w:val="Footer Char"/>
    <w:basedOn w:val="DefaultParagraphFont"/>
    <w:link w:val="Footer"/>
    <w:uiPriority w:val="99"/>
    <w:rsid w:val="002F4934"/>
  </w:style>
  <w:style w:type="character" w:styleId="LineNumber">
    <w:name w:val="line number"/>
    <w:basedOn w:val="DefaultParagraphFont"/>
    <w:uiPriority w:val="99"/>
    <w:semiHidden/>
    <w:unhideWhenUsed/>
    <w:rsid w:val="00705EBE"/>
  </w:style>
  <w:style w:type="paragraph" w:styleId="FootnoteText">
    <w:name w:val="footnote text"/>
    <w:basedOn w:val="Normal"/>
    <w:link w:val="FootnoteTextChar"/>
    <w:uiPriority w:val="99"/>
    <w:semiHidden/>
    <w:unhideWhenUsed/>
    <w:rsid w:val="00705EBE"/>
    <w:pPr>
      <w:widowControl/>
    </w:pPr>
    <w:rPr>
      <w:rFonts w:ascii="Times New Roman" w:eastAsiaTheme="minorEastAsia" w:hAnsi="Times New Roman" w:cs="Times New Roman"/>
      <w:sz w:val="20"/>
      <w:szCs w:val="20"/>
    </w:rPr>
  </w:style>
  <w:style w:type="character" w:customStyle="1" w:styleId="FootnoteTextChar">
    <w:name w:val="Footnote Text Char"/>
    <w:basedOn w:val="DefaultParagraphFont"/>
    <w:link w:val="FootnoteText"/>
    <w:uiPriority w:val="99"/>
    <w:semiHidden/>
    <w:rsid w:val="00705EBE"/>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705EBE"/>
    <w:rPr>
      <w:vertAlign w:val="superscript"/>
    </w:rPr>
  </w:style>
  <w:style w:type="character" w:styleId="Hyperlink">
    <w:name w:val="Hyperlink"/>
    <w:basedOn w:val="DefaultParagraphFont"/>
    <w:uiPriority w:val="99"/>
    <w:unhideWhenUsed/>
    <w:rsid w:val="00705EBE"/>
    <w:rPr>
      <w:color w:val="0000FF"/>
      <w:u w:val="single"/>
    </w:rPr>
  </w:style>
  <w:style w:type="paragraph" w:styleId="NormalWeb">
    <w:name w:val="Normal (Web)"/>
    <w:basedOn w:val="Normal"/>
    <w:uiPriority w:val="99"/>
    <w:unhideWhenUsed/>
    <w:rsid w:val="00705EBE"/>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705EBE"/>
  </w:style>
  <w:style w:type="table" w:styleId="TableGrid">
    <w:name w:val="Table Grid"/>
    <w:basedOn w:val="TableNormal"/>
    <w:uiPriority w:val="59"/>
    <w:rsid w:val="00705EB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05EBE"/>
    <w:pPr>
      <w:widowControl/>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705EBE"/>
    <w:pPr>
      <w:widowControl/>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705EBE"/>
    <w:rPr>
      <w:sz w:val="18"/>
      <w:szCs w:val="18"/>
    </w:rPr>
  </w:style>
  <w:style w:type="paragraph" w:styleId="CommentText">
    <w:name w:val="annotation text"/>
    <w:basedOn w:val="Normal"/>
    <w:link w:val="CommentTextChar"/>
    <w:uiPriority w:val="99"/>
    <w:semiHidden/>
    <w:unhideWhenUsed/>
    <w:rsid w:val="00705EBE"/>
    <w:pPr>
      <w:widowControl/>
    </w:pPr>
    <w:rPr>
      <w:rFonts w:ascii="Times New Roman" w:eastAsiaTheme="minorEastAsia" w:hAnsi="Times New Roman" w:cs="Times New Roman"/>
      <w:sz w:val="24"/>
      <w:szCs w:val="24"/>
    </w:rPr>
  </w:style>
  <w:style w:type="character" w:customStyle="1" w:styleId="CommentTextChar">
    <w:name w:val="Comment Text Char"/>
    <w:basedOn w:val="DefaultParagraphFont"/>
    <w:link w:val="CommentText"/>
    <w:uiPriority w:val="99"/>
    <w:semiHidden/>
    <w:rsid w:val="00705EBE"/>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05EBE"/>
    <w:rPr>
      <w:b/>
      <w:bCs/>
      <w:sz w:val="20"/>
      <w:szCs w:val="20"/>
    </w:rPr>
  </w:style>
  <w:style w:type="character" w:customStyle="1" w:styleId="CommentSubjectChar">
    <w:name w:val="Comment Subject Char"/>
    <w:basedOn w:val="CommentTextChar"/>
    <w:link w:val="CommentSubject"/>
    <w:uiPriority w:val="99"/>
    <w:semiHidden/>
    <w:rsid w:val="00705EBE"/>
    <w:rPr>
      <w:rFonts w:ascii="Times New Roman" w:eastAsiaTheme="minorEastAsia" w:hAnsi="Times New Roman" w:cs="Times New Roman"/>
      <w:b/>
      <w:bCs/>
      <w:sz w:val="20"/>
      <w:szCs w:val="20"/>
    </w:rPr>
  </w:style>
  <w:style w:type="character" w:styleId="Strong">
    <w:name w:val="Strong"/>
    <w:basedOn w:val="DefaultParagraphFont"/>
    <w:uiPriority w:val="22"/>
    <w:qFormat/>
    <w:rsid w:val="00705EBE"/>
    <w:rPr>
      <w:b/>
      <w:bCs/>
    </w:rPr>
  </w:style>
  <w:style w:type="character" w:customStyle="1" w:styleId="A3">
    <w:name w:val="A3"/>
    <w:uiPriority w:val="99"/>
    <w:rsid w:val="00705EBE"/>
    <w:rPr>
      <w:rFonts w:cs="Minion Pro"/>
      <w:color w:val="000000"/>
      <w:sz w:val="11"/>
      <w:szCs w:val="11"/>
    </w:rPr>
  </w:style>
  <w:style w:type="paragraph" w:styleId="Revision">
    <w:name w:val="Revision"/>
    <w:hidden/>
    <w:uiPriority w:val="99"/>
    <w:semiHidden/>
    <w:rsid w:val="00705EBE"/>
    <w:pPr>
      <w:widowControl/>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358" w:hanging="446"/>
      <w:outlineLvl w:val="0"/>
    </w:pPr>
    <w:rPr>
      <w:rFonts w:ascii="Georgia" w:eastAsia="Georgia" w:hAnsi="Georgia"/>
      <w:b/>
      <w:bCs/>
    </w:rPr>
  </w:style>
  <w:style w:type="paragraph" w:styleId="Heading2">
    <w:name w:val="heading 2"/>
    <w:basedOn w:val="Normal"/>
    <w:uiPriority w:val="1"/>
    <w:qFormat/>
    <w:pPr>
      <w:ind w:left="2554" w:hanging="642"/>
      <w:outlineLvl w:val="1"/>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12"/>
    </w:pPr>
    <w:rPr>
      <w:rFonts w:ascii="PMingLiU" w:eastAsia="PMingLiU" w:hAnsi="PMingLiU"/>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F4934"/>
    <w:rPr>
      <w:rFonts w:ascii="Tahoma" w:hAnsi="Tahoma" w:cs="Tahoma"/>
      <w:sz w:val="16"/>
      <w:szCs w:val="16"/>
    </w:rPr>
  </w:style>
  <w:style w:type="character" w:customStyle="1" w:styleId="BalloonTextChar">
    <w:name w:val="Balloon Text Char"/>
    <w:basedOn w:val="DefaultParagraphFont"/>
    <w:link w:val="BalloonText"/>
    <w:uiPriority w:val="99"/>
    <w:semiHidden/>
    <w:rsid w:val="002F4934"/>
    <w:rPr>
      <w:rFonts w:ascii="Tahoma" w:hAnsi="Tahoma" w:cs="Tahoma"/>
      <w:sz w:val="16"/>
      <w:szCs w:val="16"/>
    </w:rPr>
  </w:style>
  <w:style w:type="paragraph" w:styleId="Header">
    <w:name w:val="header"/>
    <w:basedOn w:val="Normal"/>
    <w:link w:val="HeaderChar"/>
    <w:uiPriority w:val="99"/>
    <w:unhideWhenUsed/>
    <w:rsid w:val="002F4934"/>
    <w:pPr>
      <w:tabs>
        <w:tab w:val="center" w:pos="4513"/>
        <w:tab w:val="right" w:pos="9026"/>
      </w:tabs>
    </w:pPr>
  </w:style>
  <w:style w:type="character" w:customStyle="1" w:styleId="HeaderChar">
    <w:name w:val="Header Char"/>
    <w:basedOn w:val="DefaultParagraphFont"/>
    <w:link w:val="Header"/>
    <w:uiPriority w:val="99"/>
    <w:rsid w:val="002F4934"/>
  </w:style>
  <w:style w:type="paragraph" w:styleId="Footer">
    <w:name w:val="footer"/>
    <w:basedOn w:val="Normal"/>
    <w:link w:val="FooterChar"/>
    <w:uiPriority w:val="99"/>
    <w:unhideWhenUsed/>
    <w:rsid w:val="002F4934"/>
    <w:pPr>
      <w:tabs>
        <w:tab w:val="center" w:pos="4513"/>
        <w:tab w:val="right" w:pos="9026"/>
      </w:tabs>
    </w:pPr>
  </w:style>
  <w:style w:type="character" w:customStyle="1" w:styleId="FooterChar">
    <w:name w:val="Footer Char"/>
    <w:basedOn w:val="DefaultParagraphFont"/>
    <w:link w:val="Footer"/>
    <w:uiPriority w:val="99"/>
    <w:rsid w:val="002F4934"/>
  </w:style>
  <w:style w:type="character" w:styleId="LineNumber">
    <w:name w:val="line number"/>
    <w:basedOn w:val="DefaultParagraphFont"/>
    <w:uiPriority w:val="99"/>
    <w:semiHidden/>
    <w:unhideWhenUsed/>
    <w:rsid w:val="00705EBE"/>
  </w:style>
  <w:style w:type="paragraph" w:styleId="FootnoteText">
    <w:name w:val="footnote text"/>
    <w:basedOn w:val="Normal"/>
    <w:link w:val="FootnoteTextChar"/>
    <w:uiPriority w:val="99"/>
    <w:semiHidden/>
    <w:unhideWhenUsed/>
    <w:rsid w:val="00705EBE"/>
    <w:pPr>
      <w:widowControl/>
    </w:pPr>
    <w:rPr>
      <w:rFonts w:ascii="Times New Roman" w:eastAsiaTheme="minorEastAsia" w:hAnsi="Times New Roman" w:cs="Times New Roman"/>
      <w:sz w:val="20"/>
      <w:szCs w:val="20"/>
    </w:rPr>
  </w:style>
  <w:style w:type="character" w:customStyle="1" w:styleId="FootnoteTextChar">
    <w:name w:val="Footnote Text Char"/>
    <w:basedOn w:val="DefaultParagraphFont"/>
    <w:link w:val="FootnoteText"/>
    <w:uiPriority w:val="99"/>
    <w:semiHidden/>
    <w:rsid w:val="00705EBE"/>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705EBE"/>
    <w:rPr>
      <w:vertAlign w:val="superscript"/>
    </w:rPr>
  </w:style>
  <w:style w:type="character" w:styleId="Hyperlink">
    <w:name w:val="Hyperlink"/>
    <w:basedOn w:val="DefaultParagraphFont"/>
    <w:uiPriority w:val="99"/>
    <w:unhideWhenUsed/>
    <w:rsid w:val="00705EBE"/>
    <w:rPr>
      <w:color w:val="0000FF"/>
      <w:u w:val="single"/>
    </w:rPr>
  </w:style>
  <w:style w:type="paragraph" w:styleId="NormalWeb">
    <w:name w:val="Normal (Web)"/>
    <w:basedOn w:val="Normal"/>
    <w:uiPriority w:val="99"/>
    <w:unhideWhenUsed/>
    <w:rsid w:val="00705EBE"/>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705EBE"/>
  </w:style>
  <w:style w:type="table" w:styleId="TableGrid">
    <w:name w:val="Table Grid"/>
    <w:basedOn w:val="TableNormal"/>
    <w:uiPriority w:val="59"/>
    <w:rsid w:val="00705EB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05EBE"/>
    <w:pPr>
      <w:widowControl/>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705EBE"/>
    <w:pPr>
      <w:widowControl/>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705EBE"/>
    <w:rPr>
      <w:sz w:val="18"/>
      <w:szCs w:val="18"/>
    </w:rPr>
  </w:style>
  <w:style w:type="paragraph" w:styleId="CommentText">
    <w:name w:val="annotation text"/>
    <w:basedOn w:val="Normal"/>
    <w:link w:val="CommentTextChar"/>
    <w:uiPriority w:val="99"/>
    <w:semiHidden/>
    <w:unhideWhenUsed/>
    <w:rsid w:val="00705EBE"/>
    <w:pPr>
      <w:widowControl/>
    </w:pPr>
    <w:rPr>
      <w:rFonts w:ascii="Times New Roman" w:eastAsiaTheme="minorEastAsia" w:hAnsi="Times New Roman" w:cs="Times New Roman"/>
      <w:sz w:val="24"/>
      <w:szCs w:val="24"/>
    </w:rPr>
  </w:style>
  <w:style w:type="character" w:customStyle="1" w:styleId="CommentTextChar">
    <w:name w:val="Comment Text Char"/>
    <w:basedOn w:val="DefaultParagraphFont"/>
    <w:link w:val="CommentText"/>
    <w:uiPriority w:val="99"/>
    <w:semiHidden/>
    <w:rsid w:val="00705EBE"/>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05EBE"/>
    <w:rPr>
      <w:b/>
      <w:bCs/>
      <w:sz w:val="20"/>
      <w:szCs w:val="20"/>
    </w:rPr>
  </w:style>
  <w:style w:type="character" w:customStyle="1" w:styleId="CommentSubjectChar">
    <w:name w:val="Comment Subject Char"/>
    <w:basedOn w:val="CommentTextChar"/>
    <w:link w:val="CommentSubject"/>
    <w:uiPriority w:val="99"/>
    <w:semiHidden/>
    <w:rsid w:val="00705EBE"/>
    <w:rPr>
      <w:rFonts w:ascii="Times New Roman" w:eastAsiaTheme="minorEastAsia" w:hAnsi="Times New Roman" w:cs="Times New Roman"/>
      <w:b/>
      <w:bCs/>
      <w:sz w:val="20"/>
      <w:szCs w:val="20"/>
    </w:rPr>
  </w:style>
  <w:style w:type="character" w:styleId="Strong">
    <w:name w:val="Strong"/>
    <w:basedOn w:val="DefaultParagraphFont"/>
    <w:uiPriority w:val="22"/>
    <w:qFormat/>
    <w:rsid w:val="00705EBE"/>
    <w:rPr>
      <w:b/>
      <w:bCs/>
    </w:rPr>
  </w:style>
  <w:style w:type="character" w:customStyle="1" w:styleId="A3">
    <w:name w:val="A3"/>
    <w:uiPriority w:val="99"/>
    <w:rsid w:val="00705EBE"/>
    <w:rPr>
      <w:rFonts w:cs="Minion Pro"/>
      <w:color w:val="000000"/>
      <w:sz w:val="11"/>
      <w:szCs w:val="11"/>
    </w:rPr>
  </w:style>
  <w:style w:type="paragraph" w:styleId="Revision">
    <w:name w:val="Revision"/>
    <w:hidden/>
    <w:uiPriority w:val="99"/>
    <w:semiHidden/>
    <w:rsid w:val="00705EBE"/>
    <w:pPr>
      <w:widowControl/>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y.maezumi@exeter.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BA602-3B0E-4924-BC7D-BB665C4C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22</Pages>
  <Words>59529</Words>
  <Characters>339318</Characters>
  <Application>Microsoft Office Word</Application>
  <DocSecurity>0</DocSecurity>
  <Lines>2827</Lines>
  <Paragraphs>796</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398051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Iriarte, Jose</dc:creator>
  <cp:lastModifiedBy>Maezumi, Shira</cp:lastModifiedBy>
  <cp:revision>9</cp:revision>
  <dcterms:created xsi:type="dcterms:W3CDTF">2017-12-16T12:56:00Z</dcterms:created>
  <dcterms:modified xsi:type="dcterms:W3CDTF">2017-12-16T14:58:00Z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2017-02-23T00:00:00Z</vt:filetime>
  </property>
  <property fmtid="{D5CDD505-2E9C-101B-9397-08002B2CF9AE}" pid="3" name="LastSaved">
    <vt:filetime>2017-02-23T00:00:00Z</vt:filetime>
  </property>
</Properties>
</file>