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132DD" w14:textId="77777777" w:rsidR="00A27466" w:rsidRPr="00A27466" w:rsidRDefault="00A27466" w:rsidP="00A27466">
      <w:pPr>
        <w:shd w:val="clear" w:color="auto" w:fill="FFFFFF"/>
        <w:rPr>
          <w:rFonts w:ascii="Segoe UI" w:eastAsia="Times New Roman" w:hAnsi="Segoe UI" w:cs="Times New Roman"/>
          <w:color w:val="212121"/>
          <w:sz w:val="23"/>
          <w:szCs w:val="23"/>
          <w:lang w:val="en-GB" w:eastAsia="en-GB"/>
        </w:rPr>
      </w:pPr>
      <w:r w:rsidRPr="00A27466">
        <w:rPr>
          <w:rFonts w:ascii="Calibri" w:eastAsia="Times New Roman" w:hAnsi="Calibri" w:cs="Times New Roman"/>
          <w:color w:val="1F497D"/>
          <w:sz w:val="22"/>
          <w:szCs w:val="22"/>
          <w:lang w:val="en-GB" w:eastAsia="en-GB"/>
        </w:rPr>
        <w:t> </w:t>
      </w:r>
    </w:p>
    <w:p w14:paraId="3AC84BEB" w14:textId="77777777" w:rsidR="00930B34" w:rsidRPr="00930B34" w:rsidRDefault="00930B34" w:rsidP="00930B34"/>
    <w:p w14:paraId="7E94F0A9" w14:textId="77777777" w:rsidR="00DB373E" w:rsidRPr="00AC5317" w:rsidRDefault="00061FA8" w:rsidP="001A41D6">
      <w:pPr>
        <w:pStyle w:val="Title"/>
        <w:jc w:val="center"/>
        <w:rPr>
          <w:rFonts w:asciiTheme="minorHAnsi" w:hAnsiTheme="minorHAnsi"/>
          <w:b/>
          <w:smallCaps/>
          <w:color w:val="auto"/>
          <w:sz w:val="28"/>
          <w:szCs w:val="28"/>
        </w:rPr>
      </w:pPr>
      <w:r w:rsidRPr="00AC5317">
        <w:rPr>
          <w:rFonts w:asciiTheme="minorHAnsi" w:hAnsiTheme="minorHAnsi"/>
          <w:b/>
          <w:smallCaps/>
          <w:color w:val="auto"/>
          <w:sz w:val="28"/>
          <w:szCs w:val="28"/>
        </w:rPr>
        <w:t>Regulatory Indicators in the EU and the OECD</w:t>
      </w:r>
      <w:r w:rsidR="009617C2" w:rsidRPr="00AC5317">
        <w:rPr>
          <w:rFonts w:asciiTheme="minorHAnsi" w:hAnsiTheme="minorHAnsi"/>
          <w:b/>
          <w:smallCaps/>
          <w:color w:val="auto"/>
          <w:sz w:val="28"/>
          <w:szCs w:val="28"/>
        </w:rPr>
        <w:t xml:space="preserve">: </w:t>
      </w:r>
    </w:p>
    <w:p w14:paraId="644B52EE" w14:textId="3F99C82D" w:rsidR="009617C2" w:rsidRPr="00AC5317" w:rsidRDefault="009617C2" w:rsidP="00AC5317">
      <w:pPr>
        <w:pStyle w:val="Title"/>
        <w:jc w:val="center"/>
        <w:rPr>
          <w:rFonts w:cs="Times New Roman"/>
          <w:b/>
          <w:lang w:val="en-GB"/>
        </w:rPr>
      </w:pPr>
      <w:r w:rsidRPr="00AC5317">
        <w:rPr>
          <w:rFonts w:asciiTheme="minorHAnsi" w:hAnsiTheme="minorHAnsi"/>
          <w:b/>
          <w:smallCaps/>
          <w:color w:val="auto"/>
          <w:sz w:val="28"/>
          <w:szCs w:val="28"/>
        </w:rPr>
        <w:t>performance ass</w:t>
      </w:r>
      <w:r w:rsidR="00805C98" w:rsidRPr="00AC5317">
        <w:rPr>
          <w:rFonts w:asciiTheme="minorHAnsi" w:hAnsiTheme="minorHAnsi"/>
          <w:b/>
          <w:smallCaps/>
          <w:color w:val="auto"/>
          <w:sz w:val="28"/>
          <w:szCs w:val="28"/>
        </w:rPr>
        <w:t>essment</w:t>
      </w:r>
      <w:r w:rsidR="00061FA8" w:rsidRPr="00AC5317">
        <w:rPr>
          <w:rFonts w:asciiTheme="minorHAnsi" w:hAnsiTheme="minorHAnsi"/>
          <w:b/>
          <w:smallCaps/>
          <w:color w:val="auto"/>
          <w:sz w:val="28"/>
          <w:szCs w:val="28"/>
        </w:rPr>
        <w:t>, Organizational process</w:t>
      </w:r>
      <w:r w:rsidR="00261154" w:rsidRPr="00AC5317">
        <w:rPr>
          <w:rFonts w:asciiTheme="minorHAnsi" w:hAnsiTheme="minorHAnsi"/>
          <w:b/>
          <w:smallCaps/>
          <w:color w:val="auto"/>
          <w:sz w:val="28"/>
          <w:szCs w:val="28"/>
        </w:rPr>
        <w:t>es</w:t>
      </w:r>
      <w:r w:rsidR="00061FA8" w:rsidRPr="00AC5317">
        <w:rPr>
          <w:rFonts w:asciiTheme="minorHAnsi" w:hAnsiTheme="minorHAnsi"/>
          <w:b/>
          <w:smallCaps/>
          <w:color w:val="auto"/>
          <w:sz w:val="28"/>
          <w:szCs w:val="28"/>
        </w:rPr>
        <w:t>, and learning</w:t>
      </w:r>
    </w:p>
    <w:p w14:paraId="5717D056" w14:textId="1D8255EF" w:rsidR="008E423F" w:rsidRPr="006B789B" w:rsidRDefault="00703E5F" w:rsidP="00460B20">
      <w:pPr>
        <w:widowControl w:val="0"/>
        <w:autoSpaceDE w:val="0"/>
        <w:autoSpaceDN w:val="0"/>
        <w:adjustRightInd w:val="0"/>
        <w:jc w:val="both"/>
        <w:rPr>
          <w:rFonts w:cs="Times New Roman"/>
        </w:rPr>
      </w:pPr>
      <w:r w:rsidRPr="006B789B">
        <w:rPr>
          <w:rFonts w:cs="Times New Roman"/>
        </w:rPr>
        <w:t>The</w:t>
      </w:r>
      <w:r w:rsidR="008603BB" w:rsidRPr="006B789B">
        <w:rPr>
          <w:rFonts w:cs="Times New Roman"/>
        </w:rPr>
        <w:t xml:space="preserve"> OECD has</w:t>
      </w:r>
      <w:r w:rsidR="003832E3" w:rsidRPr="006B789B">
        <w:rPr>
          <w:rFonts w:cs="Times New Roman"/>
        </w:rPr>
        <w:t xml:space="preserve"> produced four waves of re</w:t>
      </w:r>
      <w:r w:rsidR="001A5354">
        <w:rPr>
          <w:rFonts w:cs="Times New Roman"/>
        </w:rPr>
        <w:t>gulatory management indicators</w:t>
      </w:r>
      <w:r w:rsidR="006B789B" w:rsidRPr="006B789B">
        <w:rPr>
          <w:rFonts w:cs="Times New Roman"/>
        </w:rPr>
        <w:t>. By contrast, the European Union</w:t>
      </w:r>
      <w:r w:rsidR="00517AEA">
        <w:rPr>
          <w:rFonts w:cs="Times New Roman"/>
        </w:rPr>
        <w:t xml:space="preserve"> (EU)</w:t>
      </w:r>
      <w:r w:rsidR="006B789B" w:rsidRPr="006B789B">
        <w:rPr>
          <w:rFonts w:cs="Times New Roman"/>
        </w:rPr>
        <w:t xml:space="preserve"> has </w:t>
      </w:r>
      <w:r w:rsidR="003832E3" w:rsidRPr="006B789B">
        <w:rPr>
          <w:rFonts w:cs="Times New Roman"/>
        </w:rPr>
        <w:t>never adopted a common system o</w:t>
      </w:r>
      <w:r w:rsidR="008603BB" w:rsidRPr="006B789B">
        <w:rPr>
          <w:rFonts w:cs="Times New Roman"/>
        </w:rPr>
        <w:t>f indicators,</w:t>
      </w:r>
      <w:r w:rsidR="006B789B">
        <w:rPr>
          <w:rFonts w:cs="Times New Roman"/>
        </w:rPr>
        <w:t xml:space="preserve"> although it</w:t>
      </w:r>
      <w:r w:rsidR="003832E3" w:rsidRPr="006B789B">
        <w:rPr>
          <w:rFonts w:cs="Times New Roman"/>
        </w:rPr>
        <w:t xml:space="preserve"> is much more integrated</w:t>
      </w:r>
      <w:r w:rsidR="006B789B">
        <w:rPr>
          <w:rFonts w:cs="Times New Roman"/>
        </w:rPr>
        <w:t xml:space="preserve"> and less heterogeneous</w:t>
      </w:r>
      <w:r w:rsidR="003832E3" w:rsidRPr="006B789B">
        <w:rPr>
          <w:rFonts w:cs="Times New Roman"/>
        </w:rPr>
        <w:t xml:space="preserve"> than the OECD. </w:t>
      </w:r>
      <w:r w:rsidR="00B436DF" w:rsidRPr="006B789B">
        <w:rPr>
          <w:rFonts w:cs="Times New Roman"/>
        </w:rPr>
        <w:t xml:space="preserve">This cannot be explained by the different </w:t>
      </w:r>
      <w:r w:rsidR="00A85922" w:rsidRPr="006B789B">
        <w:rPr>
          <w:rFonts w:cs="Times New Roman"/>
        </w:rPr>
        <w:t xml:space="preserve">propensity </w:t>
      </w:r>
      <w:r w:rsidR="00B436DF" w:rsidRPr="006B789B">
        <w:rPr>
          <w:rFonts w:cs="Times New Roman"/>
        </w:rPr>
        <w:t xml:space="preserve">for performance measurement: </w:t>
      </w:r>
      <w:r w:rsidR="00517AEA">
        <w:rPr>
          <w:rFonts w:cs="Times New Roman"/>
        </w:rPr>
        <w:t>the EU</w:t>
      </w:r>
      <w:r w:rsidR="001A5354">
        <w:rPr>
          <w:rFonts w:cs="Times New Roman"/>
        </w:rPr>
        <w:t xml:space="preserve"> has agreed on policy metrics</w:t>
      </w:r>
      <w:r w:rsidR="00BC6745" w:rsidRPr="006B789B">
        <w:rPr>
          <w:rFonts w:cs="Times New Roman"/>
        </w:rPr>
        <w:t xml:space="preserve"> in</w:t>
      </w:r>
      <w:r w:rsidR="001A5354">
        <w:rPr>
          <w:rFonts w:cs="Times New Roman"/>
        </w:rPr>
        <w:t xml:space="preserve"> economic and social </w:t>
      </w:r>
      <w:r w:rsidR="00BC6745" w:rsidRPr="006B789B">
        <w:rPr>
          <w:rFonts w:cs="Times New Roman"/>
        </w:rPr>
        <w:t>p</w:t>
      </w:r>
      <w:r w:rsidR="006B789B">
        <w:rPr>
          <w:rFonts w:cs="Times New Roman"/>
        </w:rPr>
        <w:t>olicy areas</w:t>
      </w:r>
      <w:r w:rsidR="001A5354">
        <w:rPr>
          <w:rFonts w:cs="Times New Roman"/>
        </w:rPr>
        <w:t xml:space="preserve">, and regulation is a fundamental </w:t>
      </w:r>
      <w:r w:rsidR="008C09D2">
        <w:rPr>
          <w:rFonts w:cs="Times New Roman"/>
        </w:rPr>
        <w:t xml:space="preserve">tool </w:t>
      </w:r>
      <w:r w:rsidR="001A5354">
        <w:rPr>
          <w:rFonts w:cs="Times New Roman"/>
        </w:rPr>
        <w:t>for this organization.</w:t>
      </w:r>
      <w:r w:rsidR="00BC6745" w:rsidRPr="006B789B">
        <w:rPr>
          <w:rFonts w:cs="Times New Roman"/>
        </w:rPr>
        <w:t xml:space="preserve"> </w:t>
      </w:r>
      <w:r w:rsidR="001A5354">
        <w:rPr>
          <w:rFonts w:cs="Times New Roman"/>
        </w:rPr>
        <w:t xml:space="preserve"> </w:t>
      </w:r>
      <w:r w:rsidR="006B789B">
        <w:rPr>
          <w:rFonts w:cs="Times New Roman"/>
        </w:rPr>
        <w:t xml:space="preserve">Although structural variables matter, </w:t>
      </w:r>
      <w:r w:rsidR="007D4B36">
        <w:rPr>
          <w:rFonts w:cs="Times New Roman"/>
        </w:rPr>
        <w:t>to answer questions about adoption</w:t>
      </w:r>
      <w:r w:rsidR="00F73AE2">
        <w:rPr>
          <w:rFonts w:cs="Times New Roman"/>
        </w:rPr>
        <w:t xml:space="preserve"> (Yes/No)</w:t>
      </w:r>
      <w:r w:rsidR="007D4B36">
        <w:rPr>
          <w:rFonts w:cs="Times New Roman"/>
        </w:rPr>
        <w:t>, timing</w:t>
      </w:r>
      <w:r w:rsidR="00F73AE2">
        <w:rPr>
          <w:rFonts w:cs="Times New Roman"/>
        </w:rPr>
        <w:t xml:space="preserve"> (when)</w:t>
      </w:r>
      <w:r w:rsidR="007D4B36">
        <w:rPr>
          <w:rFonts w:cs="Times New Roman"/>
        </w:rPr>
        <w:t xml:space="preserve"> and content of indicators</w:t>
      </w:r>
      <w:r w:rsidR="00F73AE2">
        <w:rPr>
          <w:rFonts w:cs="Times New Roman"/>
        </w:rPr>
        <w:t xml:space="preserve"> (what type of indicators)</w:t>
      </w:r>
      <w:r w:rsidR="007D4B36">
        <w:rPr>
          <w:rFonts w:cs="Times New Roman"/>
        </w:rPr>
        <w:t xml:space="preserve"> we need the additional aid</w:t>
      </w:r>
      <w:r w:rsidR="00F73AE2">
        <w:rPr>
          <w:rFonts w:cs="Times New Roman"/>
        </w:rPr>
        <w:t xml:space="preserve"> of policy learning</w:t>
      </w:r>
      <w:r w:rsidR="007D4B36">
        <w:rPr>
          <w:rFonts w:cs="Times New Roman"/>
        </w:rPr>
        <w:t xml:space="preserve"> and empirical observations on organizational processes. We find that the OECD process was one of</w:t>
      </w:r>
      <w:r w:rsidR="008264FC">
        <w:rPr>
          <w:rFonts w:cs="Times New Roman"/>
        </w:rPr>
        <w:t xml:space="preserve"> self-directed learning </w:t>
      </w:r>
      <w:r w:rsidR="008264FC">
        <w:t xml:space="preserve">fuelled by </w:t>
      </w:r>
      <w:r w:rsidR="00E90625">
        <w:t xml:space="preserve">high socialization, </w:t>
      </w:r>
      <w:r w:rsidR="00843734">
        <w:t xml:space="preserve">internal </w:t>
      </w:r>
      <w:r w:rsidR="00E90625">
        <w:t>validation of knowledge, favorable attitudes</w:t>
      </w:r>
      <w:r w:rsidR="008264FC">
        <w:t xml:space="preserve"> and posture</w:t>
      </w:r>
      <w:r w:rsidR="00E90625">
        <w:t xml:space="preserve"> of the secretariat, </w:t>
      </w:r>
      <w:r w:rsidR="008264FC">
        <w:t xml:space="preserve">and </w:t>
      </w:r>
      <w:r w:rsidR="00E90625">
        <w:t>mutually constitutive roles</w:t>
      </w:r>
      <w:r w:rsidR="007D4B36">
        <w:t xml:space="preserve"> of delegates and staff</w:t>
      </w:r>
      <w:r w:rsidR="008264FC">
        <w:t>.</w:t>
      </w:r>
      <w:r w:rsidR="00E90625">
        <w:t xml:space="preserve"> For the EU we find the reverse.</w:t>
      </w:r>
      <w:r w:rsidR="003832E3" w:rsidRPr="006B789B">
        <w:rPr>
          <w:rFonts w:cs="Times New Roman"/>
        </w:rPr>
        <w:t xml:space="preserve"> The</w:t>
      </w:r>
      <w:r w:rsidR="00E90625">
        <w:rPr>
          <w:rFonts w:cs="Times New Roman"/>
        </w:rPr>
        <w:t>se</w:t>
      </w:r>
      <w:r w:rsidR="003832E3" w:rsidRPr="006B789B">
        <w:rPr>
          <w:rFonts w:cs="Times New Roman"/>
        </w:rPr>
        <w:t xml:space="preserve"> findings contribute</w:t>
      </w:r>
      <w:r w:rsidR="006B789B">
        <w:rPr>
          <w:rFonts w:cs="Times New Roman"/>
        </w:rPr>
        <w:t xml:space="preserve"> to the literature on</w:t>
      </w:r>
      <w:r w:rsidR="0038792B">
        <w:rPr>
          <w:rFonts w:cs="Times New Roman"/>
        </w:rPr>
        <w:t xml:space="preserve"> </w:t>
      </w:r>
      <w:r w:rsidR="00C23B59">
        <w:rPr>
          <w:rFonts w:cs="Times New Roman"/>
        </w:rPr>
        <w:t xml:space="preserve">policy </w:t>
      </w:r>
      <w:r w:rsidR="0038792B">
        <w:rPr>
          <w:rFonts w:cs="Times New Roman"/>
        </w:rPr>
        <w:t>learning,</w:t>
      </w:r>
      <w:r w:rsidR="006B789B">
        <w:rPr>
          <w:rFonts w:cs="Times New Roman"/>
        </w:rPr>
        <w:t xml:space="preserve"> regulation, </w:t>
      </w:r>
      <w:r w:rsidR="00517AEA">
        <w:rPr>
          <w:rFonts w:cs="Times New Roman"/>
        </w:rPr>
        <w:t>and global performance measurement</w:t>
      </w:r>
      <w:r w:rsidR="007D4B36">
        <w:rPr>
          <w:rFonts w:cs="Times New Roman"/>
        </w:rPr>
        <w:t>.</w:t>
      </w:r>
    </w:p>
    <w:p w14:paraId="4EC8E4A3" w14:textId="77777777" w:rsidR="008603BB" w:rsidRDefault="008603BB" w:rsidP="00460B20">
      <w:pPr>
        <w:widowControl w:val="0"/>
        <w:autoSpaceDE w:val="0"/>
        <w:autoSpaceDN w:val="0"/>
        <w:adjustRightInd w:val="0"/>
        <w:jc w:val="both"/>
        <w:rPr>
          <w:rFonts w:cs="Times New Roman"/>
          <w:i/>
          <w:sz w:val="22"/>
          <w:szCs w:val="22"/>
        </w:rPr>
      </w:pPr>
    </w:p>
    <w:p w14:paraId="0BF83043" w14:textId="77777777" w:rsidR="008603BB" w:rsidRPr="00A966F1" w:rsidRDefault="008603BB" w:rsidP="00460B20">
      <w:pPr>
        <w:widowControl w:val="0"/>
        <w:autoSpaceDE w:val="0"/>
        <w:autoSpaceDN w:val="0"/>
        <w:adjustRightInd w:val="0"/>
        <w:jc w:val="both"/>
        <w:rPr>
          <w:rFonts w:cs="Times New Roman"/>
          <w:i/>
          <w:sz w:val="22"/>
          <w:szCs w:val="22"/>
        </w:rPr>
      </w:pPr>
    </w:p>
    <w:p w14:paraId="02FC2474" w14:textId="7F5A708F" w:rsidR="00093257" w:rsidRPr="00A41409" w:rsidRDefault="00A41409" w:rsidP="00A41409">
      <w:pPr>
        <w:jc w:val="center"/>
      </w:pPr>
      <w:r w:rsidRPr="00A41409">
        <w:t>Claudio M. Radaelli, University of Exeter</w:t>
      </w:r>
    </w:p>
    <w:p w14:paraId="62EED47B" w14:textId="27822BE1" w:rsidR="00A41409" w:rsidRPr="00A41409" w:rsidRDefault="00A41409" w:rsidP="00A41409">
      <w:pPr>
        <w:jc w:val="center"/>
      </w:pPr>
      <w:r w:rsidRPr="00A41409">
        <w:t xml:space="preserve">Accepted for publication in </w:t>
      </w:r>
      <w:r w:rsidR="002A075B">
        <w:rPr>
          <w:i/>
        </w:rPr>
        <w:t>Public Policy and</w:t>
      </w:r>
      <w:bookmarkStart w:id="0" w:name="_GoBack"/>
      <w:bookmarkEnd w:id="0"/>
      <w:r w:rsidRPr="00A41409">
        <w:rPr>
          <w:i/>
        </w:rPr>
        <w:t xml:space="preserve"> Administration</w:t>
      </w:r>
      <w:r w:rsidRPr="00A41409">
        <w:t>, January 2018</w:t>
      </w:r>
    </w:p>
    <w:p w14:paraId="45802E01" w14:textId="77777777" w:rsidR="00A41409" w:rsidRPr="00700338" w:rsidRDefault="00A41409" w:rsidP="00A60F7A">
      <w:pPr>
        <w:rPr>
          <w:sz w:val="20"/>
          <w:szCs w:val="20"/>
        </w:rPr>
      </w:pPr>
    </w:p>
    <w:p w14:paraId="35003DBA" w14:textId="4478F8BA" w:rsidR="006B789B" w:rsidRPr="004B4D3D" w:rsidRDefault="006B789B" w:rsidP="004B4D3D">
      <w:pPr>
        <w:pStyle w:val="Heading1"/>
        <w:spacing w:before="0" w:line="360" w:lineRule="auto"/>
        <w:rPr>
          <w:rFonts w:asciiTheme="minorHAnsi" w:hAnsiTheme="minorHAnsi"/>
          <w:color w:val="auto"/>
          <w:sz w:val="24"/>
          <w:szCs w:val="24"/>
        </w:rPr>
      </w:pPr>
      <w:r>
        <w:rPr>
          <w:rFonts w:asciiTheme="minorHAnsi" w:hAnsiTheme="minorHAnsi"/>
          <w:color w:val="auto"/>
          <w:sz w:val="24"/>
          <w:szCs w:val="24"/>
        </w:rPr>
        <w:t xml:space="preserve">1. </w:t>
      </w:r>
      <w:r w:rsidR="00A408F4" w:rsidRPr="006B789B">
        <w:rPr>
          <w:rFonts w:asciiTheme="minorHAnsi" w:hAnsiTheme="minorHAnsi"/>
          <w:color w:val="auto"/>
          <w:sz w:val="24"/>
          <w:szCs w:val="24"/>
        </w:rPr>
        <w:t>Motivation</w:t>
      </w:r>
      <w:r w:rsidR="00D26D98" w:rsidRPr="006B789B">
        <w:rPr>
          <w:rFonts w:asciiTheme="minorHAnsi" w:hAnsiTheme="minorHAnsi"/>
          <w:color w:val="auto"/>
          <w:sz w:val="24"/>
          <w:szCs w:val="24"/>
        </w:rPr>
        <w:t>: Inside International Organizations</w:t>
      </w:r>
    </w:p>
    <w:p w14:paraId="602E0448" w14:textId="5AA0B714" w:rsidR="000F1415" w:rsidRDefault="00A60F7A" w:rsidP="004B4D3D">
      <w:pPr>
        <w:spacing w:after="200" w:line="360" w:lineRule="auto"/>
        <w:rPr>
          <w:rFonts w:cs="Times New Roman"/>
        </w:rPr>
      </w:pPr>
      <w:r>
        <w:rPr>
          <w:rFonts w:cs="Times New Roman"/>
        </w:rPr>
        <w:t xml:space="preserve">Numbers matter in public policy, especially when they are presented as </w:t>
      </w:r>
      <w:r w:rsidR="009556E7">
        <w:rPr>
          <w:rFonts w:cs="Times New Roman"/>
        </w:rPr>
        <w:t xml:space="preserve">cross-national performance </w:t>
      </w:r>
      <w:r>
        <w:rPr>
          <w:rFonts w:cs="Times New Roman"/>
        </w:rPr>
        <w:t>appraisals of reforms endorsed</w:t>
      </w:r>
      <w:r w:rsidR="009556E7">
        <w:rPr>
          <w:rFonts w:cs="Times New Roman"/>
        </w:rPr>
        <w:t xml:space="preserve"> by international organizations – see </w:t>
      </w:r>
      <w:r w:rsidR="00A408F4" w:rsidRPr="00BB7739">
        <w:rPr>
          <w:rFonts w:cs="Times New Roman"/>
        </w:rPr>
        <w:t xml:space="preserve">Grek </w:t>
      </w:r>
      <w:r w:rsidR="002647E9">
        <w:rPr>
          <w:rFonts w:cs="Times New Roman"/>
        </w:rPr>
        <w:t>(2013</w:t>
      </w:r>
      <w:r w:rsidR="00B42529" w:rsidRPr="00BB7739">
        <w:rPr>
          <w:rFonts w:cs="Times New Roman"/>
        </w:rPr>
        <w:t xml:space="preserve">) on education, Boswell (2009) on migration, </w:t>
      </w:r>
      <w:r w:rsidR="001D6388" w:rsidRPr="00BB7739">
        <w:rPr>
          <w:rFonts w:cs="Times New Roman"/>
        </w:rPr>
        <w:t xml:space="preserve">Hansen (2012) on corruption, </w:t>
      </w:r>
      <w:r w:rsidR="000F1415">
        <w:rPr>
          <w:rFonts w:cs="Times New Roman"/>
        </w:rPr>
        <w:t>Kelley and Simmons (2016</w:t>
      </w:r>
      <w:r w:rsidR="006B468C">
        <w:rPr>
          <w:rFonts w:cs="Times New Roman"/>
        </w:rPr>
        <w:t xml:space="preserve">) </w:t>
      </w:r>
      <w:r w:rsidR="00B42529" w:rsidRPr="00BB7739">
        <w:rPr>
          <w:rFonts w:cs="Times New Roman"/>
        </w:rPr>
        <w:t>on doing business indicators.</w:t>
      </w:r>
      <w:r w:rsidR="009556E7">
        <w:rPr>
          <w:rFonts w:cs="Times New Roman"/>
        </w:rPr>
        <w:t xml:space="preserve"> Cross-national</w:t>
      </w:r>
      <w:r>
        <w:rPr>
          <w:rFonts w:cs="Times New Roman"/>
        </w:rPr>
        <w:t xml:space="preserve"> performance </w:t>
      </w:r>
      <w:r w:rsidR="00A610AA">
        <w:rPr>
          <w:rFonts w:cs="Times New Roman"/>
        </w:rPr>
        <w:t>measurement</w:t>
      </w:r>
      <w:r w:rsidR="000F1415">
        <w:rPr>
          <w:rFonts w:cs="Times New Roman"/>
        </w:rPr>
        <w:t xml:space="preserve"> implies regular monitoring and comparative ranking. It has its own subtle </w:t>
      </w:r>
      <w:r w:rsidR="00D405B3">
        <w:rPr>
          <w:rFonts w:cs="Times New Roman"/>
        </w:rPr>
        <w:t>‘</w:t>
      </w:r>
      <w:r w:rsidR="000F1415">
        <w:rPr>
          <w:rFonts w:cs="Times New Roman"/>
        </w:rPr>
        <w:t>scorecard diplomacy</w:t>
      </w:r>
      <w:r w:rsidR="00D405B3">
        <w:rPr>
          <w:rFonts w:cs="Times New Roman"/>
        </w:rPr>
        <w:t>’</w:t>
      </w:r>
      <w:r w:rsidR="000F1415">
        <w:rPr>
          <w:rFonts w:cs="Times New Roman"/>
        </w:rPr>
        <w:t xml:space="preserve"> (Kelley 2017). In contrast to </w:t>
      </w:r>
      <w:r w:rsidR="00D405B3">
        <w:rPr>
          <w:rFonts w:cs="Times New Roman"/>
        </w:rPr>
        <w:t xml:space="preserve">ad hoc </w:t>
      </w:r>
      <w:r w:rsidR="000F1415">
        <w:rPr>
          <w:rFonts w:cs="Times New Roman"/>
        </w:rPr>
        <w:t>naming and shaming, it is recurrent, and looks at both the good and bad ‘pupils’ in the class (Kelley 2017). Depending on where and how it is done, it has causal effects, including transparency and emulation of reforms. It can elicit the concern of governments for their reputation, and therefore shape policy change (Kelley 2017).</w:t>
      </w:r>
    </w:p>
    <w:p w14:paraId="16788241" w14:textId="48A8217F" w:rsidR="00B90F82" w:rsidRDefault="00BB5FFD" w:rsidP="004B4D3D">
      <w:pPr>
        <w:spacing w:after="200" w:line="360" w:lineRule="auto"/>
        <w:rPr>
          <w:rFonts w:cs="Times New Roman"/>
        </w:rPr>
      </w:pPr>
      <w:r>
        <w:rPr>
          <w:rFonts w:cs="Times New Roman"/>
        </w:rPr>
        <w:t>This article</w:t>
      </w:r>
      <w:r w:rsidR="00E269DE">
        <w:rPr>
          <w:rFonts w:cs="Times New Roman"/>
        </w:rPr>
        <w:t xml:space="preserve"> contributes to the literature from a different ang</w:t>
      </w:r>
      <w:r w:rsidR="00D26D98">
        <w:rPr>
          <w:rFonts w:cs="Times New Roman"/>
        </w:rPr>
        <w:t>le. Instead of looking at (to para</w:t>
      </w:r>
      <w:r w:rsidR="003D488A">
        <w:rPr>
          <w:rFonts w:cs="Times New Roman"/>
        </w:rPr>
        <w:t xml:space="preserve">phrase Hansen and Porter 2012) </w:t>
      </w:r>
      <w:r w:rsidR="00731E11">
        <w:rPr>
          <w:rFonts w:cs="Times New Roman"/>
        </w:rPr>
        <w:t>how numbers effect</w:t>
      </w:r>
      <w:r w:rsidR="00A60F7A">
        <w:rPr>
          <w:rFonts w:cs="Times New Roman"/>
        </w:rPr>
        <w:t xml:space="preserve"> governance</w:t>
      </w:r>
      <w:r w:rsidR="00796DD9">
        <w:rPr>
          <w:rFonts w:cs="Times New Roman"/>
        </w:rPr>
        <w:t xml:space="preserve">, </w:t>
      </w:r>
      <w:r w:rsidR="00E269DE">
        <w:rPr>
          <w:rFonts w:cs="Times New Roman"/>
        </w:rPr>
        <w:t xml:space="preserve">we </w:t>
      </w:r>
      <w:r w:rsidR="00731E11">
        <w:rPr>
          <w:rFonts w:cs="Times New Roman"/>
        </w:rPr>
        <w:t xml:space="preserve">take a </w:t>
      </w:r>
      <w:r w:rsidR="00E269DE">
        <w:rPr>
          <w:rFonts w:cs="Times New Roman"/>
        </w:rPr>
        <w:t>look inside international organiza</w:t>
      </w:r>
      <w:r w:rsidR="005743BB">
        <w:rPr>
          <w:rFonts w:cs="Times New Roman"/>
        </w:rPr>
        <w:t>tions and uncover the learning processes affecting the development</w:t>
      </w:r>
      <w:r w:rsidR="00E269DE">
        <w:rPr>
          <w:rFonts w:cs="Times New Roman"/>
        </w:rPr>
        <w:t xml:space="preserve"> of indicators. </w:t>
      </w:r>
      <w:r w:rsidR="00B90F82">
        <w:rPr>
          <w:rFonts w:cs="Times New Roman"/>
        </w:rPr>
        <w:t>Hence</w:t>
      </w:r>
      <w:r w:rsidR="00731E11">
        <w:rPr>
          <w:rFonts w:cs="Times New Roman"/>
        </w:rPr>
        <w:t>,</w:t>
      </w:r>
      <w:r w:rsidR="00B90F82">
        <w:rPr>
          <w:rFonts w:cs="Times New Roman"/>
        </w:rPr>
        <w:t xml:space="preserve"> for us the presence or </w:t>
      </w:r>
      <w:r w:rsidR="00B90F82">
        <w:rPr>
          <w:rFonts w:cs="Times New Roman"/>
        </w:rPr>
        <w:lastRenderedPageBreak/>
        <w:t>absenc</w:t>
      </w:r>
      <w:r w:rsidR="00A60F7A">
        <w:rPr>
          <w:rFonts w:cs="Times New Roman"/>
        </w:rPr>
        <w:t xml:space="preserve">e of comparative ranking, indicators, </w:t>
      </w:r>
      <w:r w:rsidR="00C47F01">
        <w:rPr>
          <w:rFonts w:cs="Times New Roman"/>
        </w:rPr>
        <w:t xml:space="preserve">and </w:t>
      </w:r>
      <w:r w:rsidR="00A60F7A">
        <w:rPr>
          <w:rFonts w:cs="Times New Roman"/>
        </w:rPr>
        <w:t xml:space="preserve">performance metrics is, so the speak, the dependent variable, and we set out to find </w:t>
      </w:r>
      <w:r w:rsidR="005743BB">
        <w:rPr>
          <w:rFonts w:cs="Times New Roman"/>
        </w:rPr>
        <w:t>the causes</w:t>
      </w:r>
      <w:r w:rsidR="00A60F7A">
        <w:rPr>
          <w:rFonts w:cs="Times New Roman"/>
        </w:rPr>
        <w:t xml:space="preserve"> that generate their adoption (or lack thereof).</w:t>
      </w:r>
    </w:p>
    <w:p w14:paraId="3DAA3A93" w14:textId="6C15E657" w:rsidR="00153F36" w:rsidRDefault="00E269DE" w:rsidP="00153F36">
      <w:pPr>
        <w:spacing w:after="200" w:line="360" w:lineRule="auto"/>
        <w:rPr>
          <w:rFonts w:cs="Times New Roman"/>
        </w:rPr>
      </w:pPr>
      <w:r>
        <w:rPr>
          <w:rFonts w:cs="Times New Roman"/>
        </w:rPr>
        <w:t xml:space="preserve">The </w:t>
      </w:r>
      <w:r w:rsidR="00A60F7A">
        <w:rPr>
          <w:rFonts w:cs="Times New Roman"/>
        </w:rPr>
        <w:t xml:space="preserve">policy </w:t>
      </w:r>
      <w:r>
        <w:rPr>
          <w:rFonts w:cs="Times New Roman"/>
        </w:rPr>
        <w:t>d</w:t>
      </w:r>
      <w:r w:rsidR="00F15B7D">
        <w:rPr>
          <w:rFonts w:cs="Times New Roman"/>
        </w:rPr>
        <w:t>omain chosen for this article</w:t>
      </w:r>
      <w:r w:rsidR="00606FF1">
        <w:rPr>
          <w:rFonts w:cs="Times New Roman"/>
        </w:rPr>
        <w:t xml:space="preserve"> is</w:t>
      </w:r>
      <w:r>
        <w:rPr>
          <w:rFonts w:cs="Times New Roman"/>
        </w:rPr>
        <w:t xml:space="preserve"> regulation. </w:t>
      </w:r>
      <w:r w:rsidR="00F15B7D">
        <w:rPr>
          <w:rFonts w:cs="Times New Roman"/>
        </w:rPr>
        <w:t>This choice is motivated by a</w:t>
      </w:r>
      <w:r w:rsidR="00A60F7A">
        <w:rPr>
          <w:rFonts w:cs="Times New Roman"/>
        </w:rPr>
        <w:t xml:space="preserve"> paradox in regulatory policy indicators: the</w:t>
      </w:r>
      <w:r>
        <w:rPr>
          <w:rFonts w:cs="Times New Roman"/>
        </w:rPr>
        <w:t xml:space="preserve"> European Union (EU) </w:t>
      </w:r>
      <w:r w:rsidR="00A60F7A">
        <w:rPr>
          <w:rFonts w:cs="Times New Roman"/>
        </w:rPr>
        <w:t>is a deeply integrated or</w:t>
      </w:r>
      <w:r w:rsidR="005743BB">
        <w:rPr>
          <w:rFonts w:cs="Times New Roman"/>
        </w:rPr>
        <w:t xml:space="preserve">ganization of member states. It has </w:t>
      </w:r>
      <w:r w:rsidR="003D488A">
        <w:rPr>
          <w:rFonts w:cs="Times New Roman"/>
        </w:rPr>
        <w:t>been called a regulatory state,</w:t>
      </w:r>
      <w:r w:rsidR="003E0BBB">
        <w:rPr>
          <w:rFonts w:cs="Times New Roman"/>
        </w:rPr>
        <w:t xml:space="preserve"> - that is,</w:t>
      </w:r>
      <w:r w:rsidR="003D488A">
        <w:rPr>
          <w:rFonts w:cs="Times New Roman"/>
        </w:rPr>
        <w:t xml:space="preserve"> a political system </w:t>
      </w:r>
      <w:r w:rsidR="00F15B7D">
        <w:rPr>
          <w:rFonts w:cs="Times New Roman"/>
        </w:rPr>
        <w:t>specialized</w:t>
      </w:r>
      <w:r w:rsidR="003D488A">
        <w:rPr>
          <w:rFonts w:cs="Times New Roman"/>
        </w:rPr>
        <w:t xml:space="preserve"> in regulation rather than distributive, re-distributive and </w:t>
      </w:r>
      <w:r w:rsidR="00F15B7D">
        <w:rPr>
          <w:rFonts w:cs="Times New Roman"/>
        </w:rPr>
        <w:t xml:space="preserve">constituent </w:t>
      </w:r>
      <w:r w:rsidR="003D488A">
        <w:rPr>
          <w:rFonts w:cs="Times New Roman"/>
        </w:rPr>
        <w:t>policies</w:t>
      </w:r>
      <w:r w:rsidR="003E0BBB">
        <w:rPr>
          <w:rFonts w:cs="Times New Roman"/>
        </w:rPr>
        <w:t xml:space="preserve"> (Majone 1996). Y</w:t>
      </w:r>
      <w:r w:rsidR="005743BB">
        <w:rPr>
          <w:rFonts w:cs="Times New Roman"/>
        </w:rPr>
        <w:t>et it</w:t>
      </w:r>
      <w:r w:rsidR="00A60F7A">
        <w:rPr>
          <w:rFonts w:cs="Times New Roman"/>
        </w:rPr>
        <w:t xml:space="preserve"> is </w:t>
      </w:r>
      <w:r w:rsidR="00C47F01">
        <w:rPr>
          <w:rFonts w:cs="Times New Roman"/>
        </w:rPr>
        <w:t xml:space="preserve">vastly </w:t>
      </w:r>
      <w:r w:rsidR="00A610AA">
        <w:rPr>
          <w:rFonts w:cs="Times New Roman"/>
        </w:rPr>
        <w:t>less advanced i</w:t>
      </w:r>
      <w:r>
        <w:rPr>
          <w:rFonts w:cs="Times New Roman"/>
        </w:rPr>
        <w:t xml:space="preserve">n </w:t>
      </w:r>
      <w:r w:rsidR="008F2018">
        <w:rPr>
          <w:rFonts w:cs="Times New Roman"/>
        </w:rPr>
        <w:t xml:space="preserve">cross-country </w:t>
      </w:r>
      <w:r>
        <w:rPr>
          <w:rFonts w:cs="Times New Roman"/>
        </w:rPr>
        <w:t>regulatory performance measurement</w:t>
      </w:r>
      <w:r w:rsidR="00A60F7A">
        <w:rPr>
          <w:rFonts w:cs="Times New Roman"/>
        </w:rPr>
        <w:t xml:space="preserve"> than the World Bank and the </w:t>
      </w:r>
      <w:r w:rsidR="00EB575C">
        <w:rPr>
          <w:rFonts w:cs="Times New Roman"/>
        </w:rPr>
        <w:t>Organization for Economic Cooperation and Development (OECD) –</w:t>
      </w:r>
      <w:r w:rsidR="00A60F7A">
        <w:rPr>
          <w:rFonts w:cs="Times New Roman"/>
        </w:rPr>
        <w:t xml:space="preserve"> organizations that are certainly less integrated politically and economically.</w:t>
      </w:r>
      <w:r w:rsidR="00EB575C">
        <w:rPr>
          <w:rFonts w:cs="Times New Roman"/>
        </w:rPr>
        <w:t xml:space="preserve"> </w:t>
      </w:r>
      <w:r w:rsidR="00A60F7A">
        <w:rPr>
          <w:rFonts w:cs="Times New Roman"/>
        </w:rPr>
        <w:t xml:space="preserve">In this </w:t>
      </w:r>
      <w:r w:rsidR="00B976B2">
        <w:rPr>
          <w:rFonts w:cs="Times New Roman"/>
        </w:rPr>
        <w:t xml:space="preserve">study </w:t>
      </w:r>
      <w:r w:rsidR="00A60F7A">
        <w:rPr>
          <w:rFonts w:cs="Times New Roman"/>
        </w:rPr>
        <w:t>we compare the EU and the OECD</w:t>
      </w:r>
      <w:r w:rsidR="003C56E4">
        <w:rPr>
          <w:rFonts w:cs="Times New Roman"/>
        </w:rPr>
        <w:t>. This is due to the fact that</w:t>
      </w:r>
      <w:r w:rsidR="00A60F7A">
        <w:rPr>
          <w:rFonts w:cs="Times New Roman"/>
        </w:rPr>
        <w:t xml:space="preserve"> they are comparable </w:t>
      </w:r>
      <w:r w:rsidR="003C56E4">
        <w:rPr>
          <w:rFonts w:cs="Times New Roman"/>
        </w:rPr>
        <w:t xml:space="preserve">as </w:t>
      </w:r>
      <w:r w:rsidR="00A60F7A">
        <w:rPr>
          <w:rFonts w:cs="Times New Roman"/>
        </w:rPr>
        <w:t>most members of one organizatio</w:t>
      </w:r>
      <w:r w:rsidR="00A610AA">
        <w:rPr>
          <w:rFonts w:cs="Times New Roman"/>
        </w:rPr>
        <w:t>n are also members of the other</w:t>
      </w:r>
      <w:r w:rsidR="00A60F7A">
        <w:rPr>
          <w:rFonts w:cs="Times New Roman"/>
        </w:rPr>
        <w:t>, whilst</w:t>
      </w:r>
      <w:r w:rsidR="00051FF4">
        <w:rPr>
          <w:rFonts w:cs="Times New Roman"/>
        </w:rPr>
        <w:t xml:space="preserve"> the World Bank </w:t>
      </w:r>
      <w:r w:rsidR="00A60F7A">
        <w:rPr>
          <w:rFonts w:cs="Times New Roman"/>
        </w:rPr>
        <w:t>exhibit</w:t>
      </w:r>
      <w:r w:rsidR="00051FF4">
        <w:rPr>
          <w:rFonts w:cs="Times New Roman"/>
        </w:rPr>
        <w:t>s</w:t>
      </w:r>
      <w:r w:rsidR="00A60F7A">
        <w:rPr>
          <w:rFonts w:cs="Times New Roman"/>
        </w:rPr>
        <w:t xml:space="preserve"> more </w:t>
      </w:r>
      <w:r w:rsidR="000A37FD">
        <w:rPr>
          <w:rFonts w:cs="Times New Roman"/>
        </w:rPr>
        <w:t>heterogeneity</w:t>
      </w:r>
      <w:r w:rsidR="00A60F7A">
        <w:rPr>
          <w:rFonts w:cs="Times New Roman"/>
        </w:rPr>
        <w:t>.</w:t>
      </w:r>
    </w:p>
    <w:p w14:paraId="58938725" w14:textId="1AC35970" w:rsidR="00F73AE2" w:rsidRDefault="00B976B2" w:rsidP="00F73AE2">
      <w:pPr>
        <w:spacing w:after="200" w:line="360" w:lineRule="auto"/>
        <w:rPr>
          <w:rFonts w:cs="Times New Roman"/>
        </w:rPr>
      </w:pPr>
      <w:r>
        <w:rPr>
          <w:rFonts w:cs="Times New Roman"/>
        </w:rPr>
        <w:t>Our</w:t>
      </w:r>
      <w:r w:rsidR="00EB575C">
        <w:rPr>
          <w:rFonts w:cs="Times New Roman"/>
        </w:rPr>
        <w:t xml:space="preserve"> research question is</w:t>
      </w:r>
      <w:r w:rsidR="0086476B">
        <w:rPr>
          <w:rFonts w:cs="Times New Roman"/>
        </w:rPr>
        <w:t>:</w:t>
      </w:r>
      <w:r w:rsidR="00EB575C">
        <w:rPr>
          <w:rFonts w:cs="Times New Roman"/>
        </w:rPr>
        <w:t xml:space="preserve"> why has the OECD managed to produce regulatory managem</w:t>
      </w:r>
      <w:r w:rsidR="00F73AE2">
        <w:rPr>
          <w:rFonts w:cs="Times New Roman"/>
        </w:rPr>
        <w:t xml:space="preserve">ent indicators whilst the EU set the agenda for adoption but then </w:t>
      </w:r>
      <w:r w:rsidR="0037681C">
        <w:rPr>
          <w:rFonts w:cs="Times New Roman"/>
        </w:rPr>
        <w:t>momentum was lost</w:t>
      </w:r>
      <w:r w:rsidR="0086476B">
        <w:rPr>
          <w:rFonts w:cs="Times New Roman"/>
        </w:rPr>
        <w:t xml:space="preserve">? </w:t>
      </w:r>
      <w:r w:rsidR="00F73AE2">
        <w:rPr>
          <w:rFonts w:cs="Times New Roman"/>
        </w:rPr>
        <w:t>We are therefore interested in processes over time (rise and fall of regulatory indicators on the EU agenda</w:t>
      </w:r>
      <w:r w:rsidR="00726077">
        <w:rPr>
          <w:rFonts w:cs="Times New Roman"/>
        </w:rPr>
        <w:t>, persistence and expansion on the OECD agenda</w:t>
      </w:r>
      <w:r w:rsidR="00F73AE2">
        <w:rPr>
          <w:rFonts w:cs="Times New Roman"/>
        </w:rPr>
        <w:t xml:space="preserve">) and what type of indicators were discussed and adopted. In short, </w:t>
      </w:r>
      <w:r w:rsidR="00D64DCA">
        <w:rPr>
          <w:rFonts w:cs="Times New Roman"/>
        </w:rPr>
        <w:t>the</w:t>
      </w:r>
      <w:r w:rsidR="00F73AE2">
        <w:rPr>
          <w:rFonts w:cs="Times New Roman"/>
        </w:rPr>
        <w:t xml:space="preserve"> research question </w:t>
      </w:r>
      <w:r w:rsidR="00D64DCA">
        <w:rPr>
          <w:rFonts w:cs="Times New Roman"/>
        </w:rPr>
        <w:t xml:space="preserve">focuses on </w:t>
      </w:r>
      <w:r w:rsidR="00F73AE2">
        <w:rPr>
          <w:rFonts w:cs="Times New Roman"/>
        </w:rPr>
        <w:t>adoption (yes/no), timing (when), and content (what type of indicators).</w:t>
      </w:r>
    </w:p>
    <w:p w14:paraId="4C91A9C8" w14:textId="3F251AB3" w:rsidR="00051FF4" w:rsidRDefault="00153F36" w:rsidP="00153F36">
      <w:pPr>
        <w:spacing w:after="200" w:line="360" w:lineRule="auto"/>
        <w:rPr>
          <w:rFonts w:cs="Times New Roman"/>
        </w:rPr>
      </w:pPr>
      <w:r>
        <w:rPr>
          <w:rFonts w:cs="Times New Roman"/>
        </w:rPr>
        <w:t>Structural causes h</w:t>
      </w:r>
      <w:r w:rsidR="00B976B2">
        <w:rPr>
          <w:rFonts w:cs="Times New Roman"/>
        </w:rPr>
        <w:t>ave a role to play</w:t>
      </w:r>
      <w:r>
        <w:rPr>
          <w:rFonts w:cs="Times New Roman"/>
        </w:rPr>
        <w:t>. But one argument we put forward is that the internal decision-making processes of these two organizat</w:t>
      </w:r>
      <w:r w:rsidR="002D159C">
        <w:rPr>
          <w:rFonts w:cs="Times New Roman"/>
        </w:rPr>
        <w:t>ions explain the outcome. W</w:t>
      </w:r>
      <w:r>
        <w:rPr>
          <w:rFonts w:cs="Times New Roman"/>
        </w:rPr>
        <w:t>e are more interested in proximate causes and agency than in remote, structural causes</w:t>
      </w:r>
      <w:r w:rsidR="002D159C">
        <w:rPr>
          <w:rFonts w:cs="Times New Roman"/>
        </w:rPr>
        <w:t xml:space="preserve"> because proximate causes have more explanatory leverage when it comes to variation over time</w:t>
      </w:r>
      <w:r>
        <w:rPr>
          <w:rFonts w:cs="Times New Roman"/>
        </w:rPr>
        <w:t xml:space="preserve">. To answer </w:t>
      </w:r>
      <w:r w:rsidR="00D64DCA">
        <w:rPr>
          <w:rFonts w:cs="Times New Roman"/>
        </w:rPr>
        <w:t xml:space="preserve">the research </w:t>
      </w:r>
      <w:r>
        <w:rPr>
          <w:rFonts w:cs="Times New Roman"/>
        </w:rPr>
        <w:t xml:space="preserve">question, we will </w:t>
      </w:r>
      <w:r w:rsidR="009556E7">
        <w:rPr>
          <w:rFonts w:cs="Times New Roman"/>
        </w:rPr>
        <w:t xml:space="preserve">then </w:t>
      </w:r>
      <w:r w:rsidR="003D488A">
        <w:rPr>
          <w:rFonts w:cs="Times New Roman"/>
        </w:rPr>
        <w:t>go inside</w:t>
      </w:r>
      <w:r>
        <w:rPr>
          <w:rFonts w:cs="Times New Roman"/>
        </w:rPr>
        <w:t xml:space="preserve"> the </w:t>
      </w:r>
      <w:r w:rsidR="00EB575C">
        <w:rPr>
          <w:rFonts w:cs="Times New Roman"/>
        </w:rPr>
        <w:t xml:space="preserve">Regulatory Policy </w:t>
      </w:r>
      <w:r w:rsidR="00750922">
        <w:rPr>
          <w:rFonts w:cs="Times New Roman"/>
        </w:rPr>
        <w:t xml:space="preserve">Committee </w:t>
      </w:r>
      <w:r w:rsidR="00EB575C">
        <w:rPr>
          <w:rFonts w:cs="Times New Roman"/>
        </w:rPr>
        <w:t>of the OECD</w:t>
      </w:r>
      <w:r w:rsidR="002D159C">
        <w:rPr>
          <w:rFonts w:cs="Times New Roman"/>
        </w:rPr>
        <w:t xml:space="preserve"> and the EU</w:t>
      </w:r>
      <w:r w:rsidR="00750922">
        <w:rPr>
          <w:rFonts w:cs="Times New Roman"/>
        </w:rPr>
        <w:t xml:space="preserve"> regulatory fora</w:t>
      </w:r>
      <w:r w:rsidR="002D159C">
        <w:rPr>
          <w:rFonts w:cs="Times New Roman"/>
        </w:rPr>
        <w:t>, looking at the</w:t>
      </w:r>
      <w:r w:rsidR="008A0D50">
        <w:rPr>
          <w:rFonts w:cs="Times New Roman"/>
        </w:rPr>
        <w:t>ir</w:t>
      </w:r>
      <w:r w:rsidR="00EB575C">
        <w:rPr>
          <w:rFonts w:cs="Times New Roman"/>
        </w:rPr>
        <w:t xml:space="preserve"> </w:t>
      </w:r>
      <w:r w:rsidR="00051FF4">
        <w:rPr>
          <w:rFonts w:cs="Times New Roman"/>
        </w:rPr>
        <w:t>learning processes.</w:t>
      </w:r>
    </w:p>
    <w:p w14:paraId="17FE4E08" w14:textId="3C4DFCB7" w:rsidR="00EB575C" w:rsidRDefault="00AD6670" w:rsidP="00E269DE">
      <w:pPr>
        <w:spacing w:after="200" w:line="360" w:lineRule="auto"/>
        <w:rPr>
          <w:rFonts w:cs="Times New Roman"/>
        </w:rPr>
      </w:pPr>
      <w:r>
        <w:rPr>
          <w:rFonts w:cs="Times New Roman"/>
        </w:rPr>
        <w:t xml:space="preserve">Empirically, the analysis </w:t>
      </w:r>
      <w:r w:rsidR="00EB575C">
        <w:rPr>
          <w:rFonts w:cs="Times New Roman"/>
        </w:rPr>
        <w:t>draws on a process trac</w:t>
      </w:r>
      <w:r w:rsidR="00051FF4">
        <w:rPr>
          <w:rFonts w:cs="Times New Roman"/>
        </w:rPr>
        <w:t>ing account,</w:t>
      </w:r>
      <w:r w:rsidR="00EB575C">
        <w:rPr>
          <w:rFonts w:cs="Times New Roman"/>
        </w:rPr>
        <w:t xml:space="preserve"> taking a </w:t>
      </w:r>
      <w:r w:rsidR="00600A35">
        <w:rPr>
          <w:rFonts w:cs="Times New Roman"/>
        </w:rPr>
        <w:t>sufficiently long period (from the early 2000s to 2015)</w:t>
      </w:r>
      <w:r w:rsidR="00EB575C">
        <w:rPr>
          <w:rFonts w:cs="Times New Roman"/>
        </w:rPr>
        <w:t xml:space="preserve"> to explain </w:t>
      </w:r>
      <w:r w:rsidR="00153F36">
        <w:rPr>
          <w:rFonts w:cs="Times New Roman"/>
        </w:rPr>
        <w:t xml:space="preserve">the outcome of </w:t>
      </w:r>
      <w:r w:rsidR="00EB575C">
        <w:rPr>
          <w:rFonts w:cs="Times New Roman"/>
        </w:rPr>
        <w:t xml:space="preserve">different </w:t>
      </w:r>
      <w:r w:rsidR="00EB575C">
        <w:rPr>
          <w:rFonts w:cs="Times New Roman"/>
        </w:rPr>
        <w:lastRenderedPageBreak/>
        <w:t>attempts</w:t>
      </w:r>
      <w:r w:rsidR="00153F36">
        <w:rPr>
          <w:rFonts w:cs="Times New Roman"/>
        </w:rPr>
        <w:t xml:space="preserve"> over time</w:t>
      </w:r>
      <w:r w:rsidR="00EB575C">
        <w:rPr>
          <w:rFonts w:cs="Times New Roman"/>
        </w:rPr>
        <w:t xml:space="preserve"> t</w:t>
      </w:r>
      <w:r w:rsidR="00153F36">
        <w:rPr>
          <w:rFonts w:cs="Times New Roman"/>
        </w:rPr>
        <w:t>o create regulatory indicators</w:t>
      </w:r>
      <w:r w:rsidR="00EB575C">
        <w:rPr>
          <w:rFonts w:cs="Times New Roman"/>
        </w:rPr>
        <w:t xml:space="preserve">. The </w:t>
      </w:r>
      <w:r w:rsidR="00B92E35">
        <w:rPr>
          <w:rFonts w:cs="Times New Roman"/>
        </w:rPr>
        <w:t>process-tracing</w:t>
      </w:r>
      <w:r w:rsidR="002D159C">
        <w:rPr>
          <w:rFonts w:cs="Times New Roman"/>
        </w:rPr>
        <w:t xml:space="preserve"> sections </w:t>
      </w:r>
      <w:r w:rsidR="00EB575C">
        <w:rPr>
          <w:rFonts w:cs="Times New Roman"/>
        </w:rPr>
        <w:t>draw on</w:t>
      </w:r>
      <w:r w:rsidR="00CC5149">
        <w:rPr>
          <w:rFonts w:cs="Times New Roman"/>
        </w:rPr>
        <w:t xml:space="preserve"> </w:t>
      </w:r>
      <w:r w:rsidR="00153F36">
        <w:rPr>
          <w:rFonts w:cs="Times New Roman"/>
        </w:rPr>
        <w:t>published material and on</w:t>
      </w:r>
      <w:r w:rsidR="00B976B2">
        <w:rPr>
          <w:rFonts w:cs="Times New Roman"/>
        </w:rPr>
        <w:t xml:space="preserve"> the sources reported in appendix.</w:t>
      </w:r>
    </w:p>
    <w:p w14:paraId="317D15E7" w14:textId="22A02E42" w:rsidR="00A408F4" w:rsidRDefault="00EB575C" w:rsidP="006B27CA">
      <w:pPr>
        <w:spacing w:after="200" w:line="360" w:lineRule="auto"/>
        <w:rPr>
          <w:rFonts w:cs="Times New Roman"/>
        </w:rPr>
      </w:pPr>
      <w:r>
        <w:rPr>
          <w:rFonts w:cs="Times New Roman"/>
        </w:rPr>
        <w:t xml:space="preserve">In the next section we </w:t>
      </w:r>
      <w:r w:rsidR="00AC2E64">
        <w:rPr>
          <w:rFonts w:cs="Times New Roman"/>
        </w:rPr>
        <w:t xml:space="preserve">shall </w:t>
      </w:r>
      <w:r>
        <w:rPr>
          <w:rFonts w:cs="Times New Roman"/>
        </w:rPr>
        <w:t>introduce the topic of regulatory performance management, before we move o</w:t>
      </w:r>
      <w:r w:rsidR="00153F36">
        <w:rPr>
          <w:rFonts w:cs="Times New Roman"/>
        </w:rPr>
        <w:t xml:space="preserve">n to </w:t>
      </w:r>
      <w:r w:rsidR="008A0D50">
        <w:rPr>
          <w:rFonts w:cs="Times New Roman"/>
        </w:rPr>
        <w:t xml:space="preserve">discuss our research question and the conceptual approach chosen to answer it. </w:t>
      </w:r>
      <w:r w:rsidR="00D64DCA">
        <w:rPr>
          <w:rFonts w:cs="Times New Roman"/>
        </w:rPr>
        <w:t>We will then</w:t>
      </w:r>
      <w:r w:rsidR="0046182F">
        <w:rPr>
          <w:rFonts w:cs="Times New Roman"/>
        </w:rPr>
        <w:t xml:space="preserve"> </w:t>
      </w:r>
      <w:r w:rsidR="00153F36">
        <w:rPr>
          <w:rFonts w:cs="Times New Roman"/>
        </w:rPr>
        <w:t xml:space="preserve">empirically explore the </w:t>
      </w:r>
      <w:r>
        <w:rPr>
          <w:rFonts w:cs="Times New Roman"/>
        </w:rPr>
        <w:t xml:space="preserve">processes. For the </w:t>
      </w:r>
      <w:r w:rsidR="00D64DCA">
        <w:rPr>
          <w:rFonts w:cs="Times New Roman"/>
        </w:rPr>
        <w:t>OECD,</w:t>
      </w:r>
      <w:r>
        <w:rPr>
          <w:rFonts w:cs="Times New Roman"/>
        </w:rPr>
        <w:t xml:space="preserve"> we </w:t>
      </w:r>
      <w:r w:rsidR="00D64DCA">
        <w:rPr>
          <w:rFonts w:cs="Times New Roman"/>
        </w:rPr>
        <w:t xml:space="preserve">will </w:t>
      </w:r>
      <w:r>
        <w:rPr>
          <w:rFonts w:cs="Times New Roman"/>
        </w:rPr>
        <w:t xml:space="preserve">focus on the </w:t>
      </w:r>
      <w:r w:rsidR="00051FF4">
        <w:rPr>
          <w:rFonts w:cs="Times New Roman"/>
        </w:rPr>
        <w:t xml:space="preserve">learning </w:t>
      </w:r>
      <w:r>
        <w:rPr>
          <w:rFonts w:cs="Times New Roman"/>
        </w:rPr>
        <w:t>process that led to</w:t>
      </w:r>
      <w:r w:rsidR="00C50FAE">
        <w:rPr>
          <w:rFonts w:cs="Times New Roman"/>
        </w:rPr>
        <w:t xml:space="preserve"> the</w:t>
      </w:r>
      <w:r>
        <w:rPr>
          <w:rFonts w:cs="Times New Roman"/>
        </w:rPr>
        <w:t xml:space="preserve"> </w:t>
      </w:r>
      <w:r w:rsidR="00051FF4">
        <w:rPr>
          <w:rFonts w:cs="Times New Roman"/>
        </w:rPr>
        <w:t xml:space="preserve">2015 indicators </w:t>
      </w:r>
      <w:r>
        <w:rPr>
          <w:rFonts w:cs="Times New Roman"/>
        </w:rPr>
        <w:t xml:space="preserve">(OECD 2015). For the European </w:t>
      </w:r>
      <w:r w:rsidR="00D64DCA">
        <w:rPr>
          <w:rFonts w:cs="Times New Roman"/>
        </w:rPr>
        <w:t>Co</w:t>
      </w:r>
      <w:r w:rsidR="00600A35">
        <w:rPr>
          <w:rFonts w:cs="Times New Roman"/>
        </w:rPr>
        <w:t>mmission</w:t>
      </w:r>
      <w:r w:rsidR="00D64DCA">
        <w:rPr>
          <w:rFonts w:cs="Times New Roman"/>
        </w:rPr>
        <w:t>,</w:t>
      </w:r>
      <w:r>
        <w:rPr>
          <w:rFonts w:cs="Times New Roman"/>
        </w:rPr>
        <w:t xml:space="preserve"> we </w:t>
      </w:r>
      <w:r w:rsidR="00D64DCA">
        <w:rPr>
          <w:rFonts w:cs="Times New Roman"/>
        </w:rPr>
        <w:t xml:space="preserve">will </w:t>
      </w:r>
      <w:r>
        <w:rPr>
          <w:rFonts w:cs="Times New Roman"/>
        </w:rPr>
        <w:t xml:space="preserve">investigate how momentum for regulatory measures was achieved in the early 2000s but </w:t>
      </w:r>
      <w:r w:rsidR="00606FF1">
        <w:rPr>
          <w:rFonts w:cs="Times New Roman"/>
        </w:rPr>
        <w:t xml:space="preserve">subsequently </w:t>
      </w:r>
      <w:r>
        <w:rPr>
          <w:rFonts w:cs="Times New Roman"/>
        </w:rPr>
        <w:t xml:space="preserve">lost. After these two empirical </w:t>
      </w:r>
      <w:r w:rsidR="00D64DCA">
        <w:rPr>
          <w:rFonts w:cs="Times New Roman"/>
        </w:rPr>
        <w:t>sections,</w:t>
      </w:r>
      <w:r>
        <w:rPr>
          <w:rFonts w:cs="Times New Roman"/>
        </w:rPr>
        <w:t xml:space="preserve"> we </w:t>
      </w:r>
      <w:r w:rsidR="00D64DCA">
        <w:rPr>
          <w:rFonts w:cs="Times New Roman"/>
        </w:rPr>
        <w:t xml:space="preserve">will advance </w:t>
      </w:r>
      <w:r w:rsidR="00EF715D">
        <w:rPr>
          <w:rFonts w:cs="Times New Roman"/>
        </w:rPr>
        <w:t>our</w:t>
      </w:r>
      <w:r>
        <w:rPr>
          <w:rFonts w:cs="Times New Roman"/>
        </w:rPr>
        <w:t xml:space="preserve"> explanation. </w:t>
      </w:r>
      <w:r w:rsidR="00153F36">
        <w:rPr>
          <w:rFonts w:cs="Times New Roman"/>
        </w:rPr>
        <w:t>O</w:t>
      </w:r>
      <w:r w:rsidR="00051FF4">
        <w:rPr>
          <w:rFonts w:cs="Times New Roman"/>
        </w:rPr>
        <w:t xml:space="preserve">ur analysis sheds </w:t>
      </w:r>
      <w:r>
        <w:rPr>
          <w:rFonts w:cs="Times New Roman"/>
        </w:rPr>
        <w:t xml:space="preserve">light </w:t>
      </w:r>
      <w:r w:rsidR="00E507A8">
        <w:rPr>
          <w:rFonts w:cs="Times New Roman"/>
        </w:rPr>
        <w:t xml:space="preserve">on </w:t>
      </w:r>
      <w:r>
        <w:rPr>
          <w:rFonts w:cs="Times New Roman"/>
        </w:rPr>
        <w:t>mechanisms of learning within the</w:t>
      </w:r>
      <w:r w:rsidR="0046182F">
        <w:rPr>
          <w:rFonts w:cs="Times New Roman"/>
        </w:rPr>
        <w:t xml:space="preserve"> relevant specialized </w:t>
      </w:r>
      <w:r w:rsidR="00153F36">
        <w:rPr>
          <w:rFonts w:cs="Times New Roman"/>
        </w:rPr>
        <w:t>fora</w:t>
      </w:r>
      <w:r>
        <w:rPr>
          <w:rFonts w:cs="Times New Roman"/>
        </w:rPr>
        <w:t>.</w:t>
      </w:r>
      <w:r w:rsidR="00153F36">
        <w:rPr>
          <w:rFonts w:cs="Times New Roman"/>
        </w:rPr>
        <w:t xml:space="preserve"> The findings contribute</w:t>
      </w:r>
      <w:r w:rsidR="00A51D8E">
        <w:rPr>
          <w:rFonts w:cs="Times New Roman"/>
        </w:rPr>
        <w:t xml:space="preserve"> to the literature on regu</w:t>
      </w:r>
      <w:r w:rsidR="00153F36">
        <w:rPr>
          <w:rFonts w:cs="Times New Roman"/>
        </w:rPr>
        <w:t xml:space="preserve">lation, </w:t>
      </w:r>
      <w:r w:rsidR="00A51D8E">
        <w:rPr>
          <w:rFonts w:cs="Times New Roman"/>
        </w:rPr>
        <w:t>organizati</w:t>
      </w:r>
      <w:r w:rsidR="00153F36">
        <w:rPr>
          <w:rFonts w:cs="Times New Roman"/>
        </w:rPr>
        <w:t>onal processes, and the politics of global performance indicators.</w:t>
      </w:r>
    </w:p>
    <w:p w14:paraId="57CF75C2" w14:textId="1BDB68DB" w:rsidR="005B4781" w:rsidRDefault="00025491" w:rsidP="00BB5FFD">
      <w:pPr>
        <w:spacing w:after="200" w:line="360" w:lineRule="auto"/>
        <w:rPr>
          <w:rFonts w:cs="Times New Roman"/>
        </w:rPr>
      </w:pPr>
      <w:r w:rsidRPr="001F2831">
        <w:rPr>
          <w:rFonts w:cs="Times New Roman"/>
        </w:rPr>
        <w:t xml:space="preserve">A caveat </w:t>
      </w:r>
      <w:r w:rsidR="001F2831" w:rsidRPr="005F3491">
        <w:rPr>
          <w:rFonts w:cs="Times New Roman"/>
        </w:rPr>
        <w:t xml:space="preserve">must be addressed </w:t>
      </w:r>
      <w:r w:rsidRPr="001F2831">
        <w:rPr>
          <w:rFonts w:cs="Times New Roman"/>
        </w:rPr>
        <w:t xml:space="preserve">before we </w:t>
      </w:r>
      <w:r w:rsidR="001F2831">
        <w:rPr>
          <w:rFonts w:cs="Times New Roman"/>
        </w:rPr>
        <w:t>proceed</w:t>
      </w:r>
      <w:r>
        <w:rPr>
          <w:rFonts w:cs="Times New Roman"/>
        </w:rPr>
        <w:t xml:space="preserve">. </w:t>
      </w:r>
      <w:r w:rsidR="001F2831">
        <w:rPr>
          <w:rFonts w:cs="Times New Roman"/>
        </w:rPr>
        <w:t>We are not intending</w:t>
      </w:r>
      <w:r w:rsidR="00BB5FFD">
        <w:rPr>
          <w:rFonts w:cs="Times New Roman"/>
        </w:rPr>
        <w:t xml:space="preserve"> </w:t>
      </w:r>
      <w:r w:rsidR="001F2831">
        <w:rPr>
          <w:rFonts w:cs="Times New Roman"/>
        </w:rPr>
        <w:t>to</w:t>
      </w:r>
      <w:r w:rsidR="00BB5FFD">
        <w:rPr>
          <w:rFonts w:cs="Times New Roman"/>
        </w:rPr>
        <w:t xml:space="preserve"> make </w:t>
      </w:r>
      <w:r w:rsidR="001F2831">
        <w:rPr>
          <w:rFonts w:cs="Times New Roman"/>
        </w:rPr>
        <w:t xml:space="preserve">a </w:t>
      </w:r>
      <w:r w:rsidR="00BB5FFD">
        <w:rPr>
          <w:rFonts w:cs="Times New Roman"/>
        </w:rPr>
        <w:t xml:space="preserve">normative case for </w:t>
      </w:r>
      <w:r>
        <w:rPr>
          <w:rFonts w:cs="Times New Roman"/>
        </w:rPr>
        <w:t>regulatory indicators</w:t>
      </w:r>
      <w:r w:rsidR="00BB5FFD">
        <w:rPr>
          <w:rFonts w:cs="Times New Roman"/>
        </w:rPr>
        <w:t>, e.g.,</w:t>
      </w:r>
      <w:r>
        <w:rPr>
          <w:rFonts w:cs="Times New Roman"/>
        </w:rPr>
        <w:t xml:space="preserve"> whether they are a manifestation of </w:t>
      </w:r>
      <w:r w:rsidR="00D8308A">
        <w:rPr>
          <w:rFonts w:cs="Times New Roman"/>
        </w:rPr>
        <w:t xml:space="preserve">sound </w:t>
      </w:r>
      <w:r>
        <w:rPr>
          <w:rFonts w:cs="Times New Roman"/>
        </w:rPr>
        <w:t>regulatory management</w:t>
      </w:r>
      <w:r w:rsidR="0005461B">
        <w:rPr>
          <w:rFonts w:cs="Times New Roman"/>
        </w:rPr>
        <w:t xml:space="preserve"> (</w:t>
      </w:r>
      <w:r w:rsidR="00D8308A">
        <w:rPr>
          <w:rFonts w:cs="Times New Roman"/>
        </w:rPr>
        <w:t xml:space="preserve">as argued by </w:t>
      </w:r>
      <w:r w:rsidR="0005461B">
        <w:rPr>
          <w:rFonts w:cs="Times New Roman"/>
        </w:rPr>
        <w:t>OECD 2002)</w:t>
      </w:r>
      <w:r>
        <w:rPr>
          <w:rFonts w:cs="Times New Roman"/>
        </w:rPr>
        <w:t xml:space="preserve"> or</w:t>
      </w:r>
      <w:r w:rsidR="00051FF4">
        <w:rPr>
          <w:rFonts w:cs="Times New Roman"/>
        </w:rPr>
        <w:t xml:space="preserve"> not.</w:t>
      </w:r>
      <w:r w:rsidR="00BB5FFD">
        <w:rPr>
          <w:rFonts w:cs="Times New Roman"/>
        </w:rPr>
        <w:t xml:space="preserve"> We do not even consider the question whether</w:t>
      </w:r>
      <w:r>
        <w:rPr>
          <w:rFonts w:cs="Times New Roman"/>
        </w:rPr>
        <w:t xml:space="preserve"> organizations like the European Union </w:t>
      </w:r>
      <w:r w:rsidR="00A77D95">
        <w:rPr>
          <w:rFonts w:cs="Times New Roman"/>
        </w:rPr>
        <w:t>‘</w:t>
      </w:r>
      <w:r>
        <w:rPr>
          <w:rFonts w:cs="Times New Roman"/>
        </w:rPr>
        <w:t>ought to</w:t>
      </w:r>
      <w:r w:rsidR="00A77D95">
        <w:rPr>
          <w:rFonts w:cs="Times New Roman"/>
        </w:rPr>
        <w:t>’</w:t>
      </w:r>
      <w:r>
        <w:rPr>
          <w:rFonts w:cs="Times New Roman"/>
        </w:rPr>
        <w:t xml:space="preserve"> or </w:t>
      </w:r>
      <w:r w:rsidR="00A77D95">
        <w:rPr>
          <w:rFonts w:cs="Times New Roman"/>
        </w:rPr>
        <w:t>‘</w:t>
      </w:r>
      <w:r>
        <w:rPr>
          <w:rFonts w:cs="Times New Roman"/>
        </w:rPr>
        <w:t>should not</w:t>
      </w:r>
      <w:r w:rsidR="00A77D95">
        <w:rPr>
          <w:rFonts w:cs="Times New Roman"/>
        </w:rPr>
        <w:t>’</w:t>
      </w:r>
      <w:r>
        <w:rPr>
          <w:rFonts w:cs="Times New Roman"/>
        </w:rPr>
        <w:t xml:space="preserve"> have regulatory indicators. </w:t>
      </w:r>
      <w:r w:rsidR="001F2831" w:rsidRPr="005F3491">
        <w:rPr>
          <w:rFonts w:cs="Times New Roman"/>
        </w:rPr>
        <w:t>A</w:t>
      </w:r>
      <w:r w:rsidR="001F2831" w:rsidRPr="001F2831">
        <w:rPr>
          <w:rFonts w:cs="Times New Roman"/>
        </w:rPr>
        <w:t xml:space="preserve"> </w:t>
      </w:r>
      <w:r w:rsidRPr="00410BC9">
        <w:rPr>
          <w:rFonts w:cs="Times New Roman"/>
        </w:rPr>
        <w:t>normative dimension</w:t>
      </w:r>
      <w:r w:rsidR="001F2831" w:rsidRPr="005F3491">
        <w:rPr>
          <w:rFonts w:cs="Times New Roman"/>
        </w:rPr>
        <w:t xml:space="preserve"> such as this should be </w:t>
      </w:r>
      <w:r w:rsidR="005B4781">
        <w:rPr>
          <w:rFonts w:cs="Times New Roman"/>
        </w:rPr>
        <w:t>left for another article and another day.</w:t>
      </w:r>
    </w:p>
    <w:p w14:paraId="63BB2ED4" w14:textId="049E193B" w:rsidR="00CC1AC3" w:rsidRPr="006B789B" w:rsidRDefault="006B789B" w:rsidP="004B4D3D">
      <w:pPr>
        <w:pStyle w:val="Heading1"/>
        <w:spacing w:line="360" w:lineRule="auto"/>
        <w:rPr>
          <w:rFonts w:asciiTheme="minorHAnsi" w:hAnsiTheme="minorHAnsi"/>
          <w:color w:val="auto"/>
          <w:sz w:val="24"/>
          <w:szCs w:val="24"/>
        </w:rPr>
      </w:pPr>
      <w:r w:rsidRPr="006B789B">
        <w:rPr>
          <w:rFonts w:asciiTheme="minorHAnsi" w:hAnsiTheme="minorHAnsi"/>
          <w:color w:val="auto"/>
          <w:sz w:val="24"/>
          <w:szCs w:val="24"/>
        </w:rPr>
        <w:t xml:space="preserve">2. </w:t>
      </w:r>
      <w:r w:rsidR="00CC1AC3" w:rsidRPr="006B789B">
        <w:rPr>
          <w:rFonts w:asciiTheme="minorHAnsi" w:hAnsiTheme="minorHAnsi"/>
          <w:color w:val="auto"/>
          <w:sz w:val="24"/>
          <w:szCs w:val="24"/>
        </w:rPr>
        <w:t xml:space="preserve">What is </w:t>
      </w:r>
      <w:r w:rsidR="00153F36" w:rsidRPr="006B789B">
        <w:rPr>
          <w:rFonts w:asciiTheme="minorHAnsi" w:hAnsiTheme="minorHAnsi"/>
          <w:color w:val="auto"/>
          <w:sz w:val="24"/>
          <w:szCs w:val="24"/>
        </w:rPr>
        <w:t xml:space="preserve">at stake in </w:t>
      </w:r>
      <w:r w:rsidR="00A408F4" w:rsidRPr="006B789B">
        <w:rPr>
          <w:rFonts w:asciiTheme="minorHAnsi" w:hAnsiTheme="minorHAnsi"/>
          <w:color w:val="auto"/>
          <w:sz w:val="24"/>
          <w:szCs w:val="24"/>
        </w:rPr>
        <w:t>regulatory performance</w:t>
      </w:r>
      <w:r w:rsidR="00153F36" w:rsidRPr="006B789B">
        <w:rPr>
          <w:rFonts w:asciiTheme="minorHAnsi" w:hAnsiTheme="minorHAnsi"/>
          <w:color w:val="auto"/>
          <w:sz w:val="24"/>
          <w:szCs w:val="24"/>
        </w:rPr>
        <w:t xml:space="preserve"> measurement</w:t>
      </w:r>
      <w:r w:rsidR="00A408F4" w:rsidRPr="006B789B">
        <w:rPr>
          <w:rFonts w:asciiTheme="minorHAnsi" w:hAnsiTheme="minorHAnsi"/>
          <w:color w:val="auto"/>
          <w:sz w:val="24"/>
          <w:szCs w:val="24"/>
        </w:rPr>
        <w:t>?</w:t>
      </w:r>
    </w:p>
    <w:p w14:paraId="5C28400B" w14:textId="0E810E70" w:rsidR="00101B0C" w:rsidRDefault="000121A7" w:rsidP="004B4D3D">
      <w:pPr>
        <w:spacing w:after="200" w:line="360" w:lineRule="auto"/>
        <w:rPr>
          <w:rFonts w:cs="Times New Roman"/>
        </w:rPr>
      </w:pPr>
      <w:r>
        <w:rPr>
          <w:rFonts w:cs="Times New Roman"/>
        </w:rPr>
        <w:t>In the current economic conditions of constraints on p</w:t>
      </w:r>
      <w:r w:rsidR="00616C71">
        <w:rPr>
          <w:rFonts w:cs="Times New Roman"/>
        </w:rPr>
        <w:t xml:space="preserve">ublic expenditure and </w:t>
      </w:r>
      <w:r>
        <w:rPr>
          <w:rFonts w:cs="Times New Roman"/>
        </w:rPr>
        <w:t>tax</w:t>
      </w:r>
      <w:r w:rsidR="00616C71">
        <w:rPr>
          <w:rFonts w:cs="Times New Roman"/>
        </w:rPr>
        <w:t>ation</w:t>
      </w:r>
      <w:r>
        <w:rPr>
          <w:rFonts w:cs="Times New Roman"/>
        </w:rPr>
        <w:t>,</w:t>
      </w:r>
      <w:r w:rsidR="00101B0C">
        <w:rPr>
          <w:rFonts w:cs="Times New Roman"/>
        </w:rPr>
        <w:t xml:space="preserve"> regulation is an obvious target</w:t>
      </w:r>
      <w:r>
        <w:rPr>
          <w:rFonts w:cs="Times New Roman"/>
        </w:rPr>
        <w:t xml:space="preserve"> for political attention</w:t>
      </w:r>
      <w:r w:rsidR="00F63624">
        <w:rPr>
          <w:rFonts w:cs="Times New Roman"/>
        </w:rPr>
        <w:t>. Good regulations</w:t>
      </w:r>
      <w:r w:rsidR="00F15B7D">
        <w:rPr>
          <w:rFonts w:cs="Times New Roman"/>
        </w:rPr>
        <w:t xml:space="preserve"> mitigate prison rape</w:t>
      </w:r>
      <w:r w:rsidR="00A541D1">
        <w:rPr>
          <w:rFonts w:cs="Times New Roman"/>
        </w:rPr>
        <w:t xml:space="preserve">, </w:t>
      </w:r>
      <w:r w:rsidR="00F15B7D">
        <w:rPr>
          <w:rFonts w:cs="Times New Roman"/>
        </w:rPr>
        <w:t xml:space="preserve">reduce the number of deaths </w:t>
      </w:r>
      <w:r w:rsidR="00F15B7D" w:rsidRPr="002835EC">
        <w:rPr>
          <w:rFonts w:cs="Times New Roman"/>
        </w:rPr>
        <w:t>in road accidents</w:t>
      </w:r>
      <w:r w:rsidR="00A541D1" w:rsidRPr="002835EC">
        <w:rPr>
          <w:rFonts w:cs="Times New Roman"/>
        </w:rPr>
        <w:t>,</w:t>
      </w:r>
      <w:r w:rsidR="00F15B7D" w:rsidRPr="002835EC">
        <w:rPr>
          <w:rFonts w:cs="Times New Roman"/>
        </w:rPr>
        <w:t xml:space="preserve"> improve environmental conditions</w:t>
      </w:r>
      <w:r w:rsidR="00A541D1" w:rsidRPr="002835EC">
        <w:rPr>
          <w:rFonts w:cs="Times New Roman"/>
        </w:rPr>
        <w:t xml:space="preserve"> and assist growth</w:t>
      </w:r>
      <w:r w:rsidR="00F15B7D" w:rsidRPr="002835EC">
        <w:rPr>
          <w:rFonts w:cs="Times New Roman"/>
        </w:rPr>
        <w:t xml:space="preserve"> (Sunstein 2014)</w:t>
      </w:r>
      <w:r w:rsidRPr="002835EC">
        <w:rPr>
          <w:rFonts w:cs="Times New Roman"/>
        </w:rPr>
        <w:t xml:space="preserve">. </w:t>
      </w:r>
      <w:r w:rsidR="00616C71" w:rsidRPr="002835EC">
        <w:rPr>
          <w:rFonts w:cs="Times New Roman"/>
        </w:rPr>
        <w:t>Bad regulation damages the business environment, erodes trust in government and facilitates corruption</w:t>
      </w:r>
      <w:r w:rsidR="00F15B7D" w:rsidRPr="002835EC">
        <w:rPr>
          <w:rFonts w:cs="Times New Roman"/>
        </w:rPr>
        <w:t xml:space="preserve"> (Djankov et al. 2006; Fazekas 2017)</w:t>
      </w:r>
      <w:r w:rsidR="00616C71" w:rsidRPr="002835EC">
        <w:rPr>
          <w:rFonts w:cs="Times New Roman"/>
        </w:rPr>
        <w:t xml:space="preserve">. </w:t>
      </w:r>
      <w:r w:rsidRPr="002835EC">
        <w:rPr>
          <w:rFonts w:cs="Times New Roman"/>
        </w:rPr>
        <w:t>Bu</w:t>
      </w:r>
      <w:r>
        <w:rPr>
          <w:rFonts w:cs="Times New Roman"/>
        </w:rPr>
        <w:t xml:space="preserve">t how does one go about </w:t>
      </w:r>
      <w:r w:rsidR="00A541D1">
        <w:rPr>
          <w:rFonts w:cs="Times New Roman"/>
        </w:rPr>
        <w:t xml:space="preserve">measuring the </w:t>
      </w:r>
      <w:r w:rsidR="00101B0C">
        <w:rPr>
          <w:rFonts w:cs="Times New Roman"/>
        </w:rPr>
        <w:t>quality of regulation?</w:t>
      </w:r>
    </w:p>
    <w:p w14:paraId="4FDC3373" w14:textId="42E23CB8" w:rsidR="009617C2" w:rsidRPr="00BB7739" w:rsidRDefault="00616C71" w:rsidP="009F42C4">
      <w:pPr>
        <w:spacing w:after="200" w:line="360" w:lineRule="auto"/>
        <w:rPr>
          <w:rFonts w:cs="Times New Roman"/>
        </w:rPr>
      </w:pPr>
      <w:r>
        <w:rPr>
          <w:rFonts w:cs="Times New Roman"/>
        </w:rPr>
        <w:t xml:space="preserve">Let us </w:t>
      </w:r>
      <w:r w:rsidR="00316609">
        <w:rPr>
          <w:rFonts w:cs="Times New Roman"/>
        </w:rPr>
        <w:t xml:space="preserve">briefly </w:t>
      </w:r>
      <w:r>
        <w:rPr>
          <w:rFonts w:cs="Times New Roman"/>
        </w:rPr>
        <w:t>compare regulation with the</w:t>
      </w:r>
      <w:r w:rsidR="00101B0C">
        <w:rPr>
          <w:rFonts w:cs="Times New Roman"/>
        </w:rPr>
        <w:t xml:space="preserve"> other tools of government (</w:t>
      </w:r>
      <w:r w:rsidR="00101B0C" w:rsidRPr="002622AF">
        <w:rPr>
          <w:rFonts w:cs="Times New Roman"/>
        </w:rPr>
        <w:t>Salamon</w:t>
      </w:r>
      <w:r w:rsidR="00A541D1">
        <w:rPr>
          <w:rFonts w:cs="Times New Roman"/>
        </w:rPr>
        <w:t xml:space="preserve"> 2002) such as</w:t>
      </w:r>
      <w:r w:rsidR="006B27CA">
        <w:rPr>
          <w:rFonts w:cs="Times New Roman"/>
        </w:rPr>
        <w:t xml:space="preserve"> tax and expenditure</w:t>
      </w:r>
      <w:r w:rsidR="00CC1AC3" w:rsidRPr="00BB7739">
        <w:rPr>
          <w:rFonts w:cs="Times New Roman"/>
        </w:rPr>
        <w:t xml:space="preserve">. </w:t>
      </w:r>
      <w:r w:rsidR="006B27CA">
        <w:rPr>
          <w:rFonts w:cs="Times New Roman"/>
        </w:rPr>
        <w:t xml:space="preserve"> </w:t>
      </w:r>
      <w:r w:rsidR="00101B0C">
        <w:rPr>
          <w:rFonts w:cs="Times New Roman"/>
        </w:rPr>
        <w:t xml:space="preserve">The </w:t>
      </w:r>
      <w:r w:rsidR="000415F3" w:rsidRPr="00BB7739">
        <w:rPr>
          <w:rFonts w:cs="Times New Roman"/>
        </w:rPr>
        <w:t>finance bill</w:t>
      </w:r>
      <w:r w:rsidR="00101B0C">
        <w:rPr>
          <w:rFonts w:cs="Times New Roman"/>
        </w:rPr>
        <w:t xml:space="preserve"> </w:t>
      </w:r>
      <w:r w:rsidR="000415F3" w:rsidRPr="00BB7739">
        <w:rPr>
          <w:rFonts w:cs="Times New Roman"/>
        </w:rPr>
        <w:t>apportions taxation and expenditure every year on the basis of reco</w:t>
      </w:r>
      <w:r w:rsidR="00A541D1">
        <w:rPr>
          <w:rFonts w:cs="Times New Roman"/>
        </w:rPr>
        <w:t>gnized budgetary indicators. Instead,</w:t>
      </w:r>
      <w:r w:rsidR="000415F3" w:rsidRPr="00BB7739">
        <w:rPr>
          <w:rFonts w:cs="Times New Roman"/>
        </w:rPr>
        <w:t xml:space="preserve"> efforts to build a </w:t>
      </w:r>
      <w:r w:rsidR="006B27CA">
        <w:rPr>
          <w:rFonts w:cs="Times New Roman"/>
        </w:rPr>
        <w:t xml:space="preserve">regulatory budget are embryonic, and there is no major </w:t>
      </w:r>
      <w:r w:rsidR="006B27CA">
        <w:rPr>
          <w:rFonts w:cs="Times New Roman"/>
        </w:rPr>
        <w:lastRenderedPageBreak/>
        <w:t xml:space="preserve">parliamentary session deliberating on the annual regulatory agenda of the government – </w:t>
      </w:r>
      <w:r w:rsidR="001F2831">
        <w:rPr>
          <w:rFonts w:cs="Times New Roman"/>
        </w:rPr>
        <w:t xml:space="preserve">or </w:t>
      </w:r>
      <w:r w:rsidR="006B27CA" w:rsidRPr="001F2831">
        <w:rPr>
          <w:rFonts w:cs="Times New Roman"/>
        </w:rPr>
        <w:t>at</w:t>
      </w:r>
      <w:r w:rsidR="001F2831" w:rsidRPr="005F3491">
        <w:rPr>
          <w:rFonts w:cs="Times New Roman"/>
        </w:rPr>
        <w:t xml:space="preserve"> the very</w:t>
      </w:r>
      <w:r w:rsidR="006B27CA" w:rsidRPr="001F2831">
        <w:rPr>
          <w:rFonts w:cs="Times New Roman"/>
        </w:rPr>
        <w:t xml:space="preserve"> least, no</w:t>
      </w:r>
      <w:r w:rsidR="001F2831" w:rsidRPr="005F3491">
        <w:rPr>
          <w:rFonts w:cs="Times New Roman"/>
        </w:rPr>
        <w:t xml:space="preserve"> session</w:t>
      </w:r>
      <w:r w:rsidRPr="001F2831">
        <w:rPr>
          <w:rFonts w:cs="Times New Roman"/>
        </w:rPr>
        <w:t xml:space="preserve"> comparable to </w:t>
      </w:r>
      <w:r w:rsidR="001F2831" w:rsidRPr="005F3491">
        <w:rPr>
          <w:rFonts w:cs="Times New Roman"/>
        </w:rPr>
        <w:t>that</w:t>
      </w:r>
      <w:r w:rsidR="001F2831" w:rsidRPr="001F2831">
        <w:rPr>
          <w:rFonts w:cs="Times New Roman"/>
        </w:rPr>
        <w:t xml:space="preserve"> </w:t>
      </w:r>
      <w:r w:rsidR="006B27CA" w:rsidRPr="001F2831">
        <w:rPr>
          <w:rFonts w:cs="Times New Roman"/>
        </w:rPr>
        <w:t>o</w:t>
      </w:r>
      <w:r w:rsidR="001F2831" w:rsidRPr="005F3491">
        <w:rPr>
          <w:rFonts w:cs="Times New Roman"/>
        </w:rPr>
        <w:t>f</w:t>
      </w:r>
      <w:r w:rsidR="006B27CA" w:rsidRPr="001F2831">
        <w:rPr>
          <w:rFonts w:cs="Times New Roman"/>
        </w:rPr>
        <w:t xml:space="preserve"> </w:t>
      </w:r>
      <w:r w:rsidR="00EF715D" w:rsidRPr="001F2831">
        <w:rPr>
          <w:rFonts w:cs="Times New Roman"/>
        </w:rPr>
        <w:t>the finance bill</w:t>
      </w:r>
      <w:r w:rsidR="003765BC" w:rsidRPr="001F2831">
        <w:rPr>
          <w:rFonts w:cs="Times New Roman"/>
        </w:rPr>
        <w:t xml:space="preserve"> (Doern 2007)</w:t>
      </w:r>
      <w:r w:rsidR="006B27CA" w:rsidRPr="00410BC9">
        <w:rPr>
          <w:rFonts w:cs="Times New Roman"/>
        </w:rPr>
        <w:t>.</w:t>
      </w:r>
    </w:p>
    <w:p w14:paraId="30BAD57A" w14:textId="49A9B5F3" w:rsidR="002D1817" w:rsidRPr="00BB7739" w:rsidRDefault="00101B0C" w:rsidP="006B27CA">
      <w:pPr>
        <w:spacing w:after="200" w:line="360" w:lineRule="auto"/>
        <w:rPr>
          <w:rFonts w:cs="Times New Roman"/>
        </w:rPr>
      </w:pPr>
      <w:r>
        <w:rPr>
          <w:rFonts w:cs="Times New Roman"/>
        </w:rPr>
        <w:t>As mentioned, t</w:t>
      </w:r>
      <w:r w:rsidR="006B27CA">
        <w:rPr>
          <w:rFonts w:cs="Times New Roman"/>
        </w:rPr>
        <w:t>his is not</w:t>
      </w:r>
      <w:r w:rsidR="00F15B7D">
        <w:rPr>
          <w:rFonts w:cs="Times New Roman"/>
        </w:rPr>
        <w:t xml:space="preserve"> due to</w:t>
      </w:r>
      <w:r w:rsidR="00F46071">
        <w:rPr>
          <w:rFonts w:cs="Times New Roman"/>
        </w:rPr>
        <w:t xml:space="preserve"> a</w:t>
      </w:r>
      <w:r w:rsidR="00F15B7D">
        <w:rPr>
          <w:rFonts w:cs="Times New Roman"/>
        </w:rPr>
        <w:t xml:space="preserve"> total absence of </w:t>
      </w:r>
      <w:r>
        <w:rPr>
          <w:rFonts w:cs="Times New Roman"/>
        </w:rPr>
        <w:t>regulatory</w:t>
      </w:r>
      <w:r w:rsidR="00F15B7D">
        <w:rPr>
          <w:rFonts w:cs="Times New Roman"/>
        </w:rPr>
        <w:t xml:space="preserve"> performance measures</w:t>
      </w:r>
      <w:r w:rsidR="006B27CA">
        <w:rPr>
          <w:rFonts w:cs="Times New Roman"/>
        </w:rPr>
        <w:t>.</w:t>
      </w:r>
      <w:r w:rsidR="000567EF">
        <w:rPr>
          <w:rFonts w:cs="Times New Roman"/>
        </w:rPr>
        <w:t xml:space="preserve"> Regulatory indicators</w:t>
      </w:r>
      <w:r w:rsidR="006B27CA">
        <w:rPr>
          <w:rFonts w:cs="Times New Roman"/>
        </w:rPr>
        <w:t xml:space="preserve"> </w:t>
      </w:r>
      <w:r w:rsidR="007808A0">
        <w:rPr>
          <w:rFonts w:cs="Times New Roman"/>
        </w:rPr>
        <w:t xml:space="preserve">exist </w:t>
      </w:r>
      <w:r w:rsidR="006B27CA">
        <w:rPr>
          <w:rFonts w:cs="Times New Roman"/>
        </w:rPr>
        <w:t>–adm</w:t>
      </w:r>
      <w:r w:rsidR="005C5995">
        <w:rPr>
          <w:rFonts w:cs="Times New Roman"/>
        </w:rPr>
        <w:t>ittedly much less developed than</w:t>
      </w:r>
      <w:r w:rsidR="006B27CA">
        <w:rPr>
          <w:rFonts w:cs="Times New Roman"/>
        </w:rPr>
        <w:t xml:space="preserve"> measures of</w:t>
      </w:r>
      <w:r w:rsidR="007808A0">
        <w:rPr>
          <w:rFonts w:cs="Times New Roman"/>
        </w:rPr>
        <w:t xml:space="preserve"> taxation and public expenditure. They</w:t>
      </w:r>
      <w:r w:rsidR="000567EF">
        <w:rPr>
          <w:rFonts w:cs="Times New Roman"/>
        </w:rPr>
        <w:t xml:space="preserve"> </w:t>
      </w:r>
      <w:r>
        <w:rPr>
          <w:rFonts w:cs="Times New Roman"/>
        </w:rPr>
        <w:t>cover</w:t>
      </w:r>
      <w:r w:rsidR="000415F3" w:rsidRPr="00BB7739">
        <w:rPr>
          <w:rFonts w:cs="Times New Roman"/>
        </w:rPr>
        <w:t xml:space="preserve"> both objective</w:t>
      </w:r>
      <w:r w:rsidR="002D1817" w:rsidRPr="00BB7739">
        <w:rPr>
          <w:rFonts w:cs="Times New Roman"/>
        </w:rPr>
        <w:t xml:space="preserve"> (such as number of consultations on new regulations taking place every year)</w:t>
      </w:r>
      <w:r w:rsidR="000415F3" w:rsidRPr="00BB7739">
        <w:rPr>
          <w:rFonts w:cs="Times New Roman"/>
        </w:rPr>
        <w:t xml:space="preserve"> and subjective</w:t>
      </w:r>
      <w:r>
        <w:rPr>
          <w:rFonts w:cs="Times New Roman"/>
        </w:rPr>
        <w:t xml:space="preserve"> dimensions</w:t>
      </w:r>
      <w:r w:rsidR="000415F3" w:rsidRPr="00BB7739">
        <w:rPr>
          <w:rFonts w:cs="Times New Roman"/>
        </w:rPr>
        <w:t xml:space="preserve"> (</w:t>
      </w:r>
      <w:r>
        <w:rPr>
          <w:rFonts w:cs="Times New Roman"/>
        </w:rPr>
        <w:t>e.g., perceptions of regulatory burdens</w:t>
      </w:r>
      <w:r w:rsidR="002D1817" w:rsidRPr="00BB7739">
        <w:rPr>
          <w:rFonts w:cs="Times New Roman"/>
        </w:rPr>
        <w:t xml:space="preserve"> among a population of firms</w:t>
      </w:r>
      <w:r w:rsidR="000567EF">
        <w:rPr>
          <w:rFonts w:cs="Times New Roman"/>
        </w:rPr>
        <w:t>),</w:t>
      </w:r>
      <w:r w:rsidR="000415F3" w:rsidRPr="00BB7739">
        <w:rPr>
          <w:rFonts w:cs="Times New Roman"/>
        </w:rPr>
        <w:t xml:space="preserve"> </w:t>
      </w:r>
      <w:r w:rsidR="007E1771">
        <w:rPr>
          <w:rFonts w:cs="Times New Roman"/>
        </w:rPr>
        <w:t xml:space="preserve">and </w:t>
      </w:r>
      <w:r w:rsidR="000415F3" w:rsidRPr="00BB7739">
        <w:rPr>
          <w:rFonts w:cs="Times New Roman"/>
        </w:rPr>
        <w:t>si</w:t>
      </w:r>
      <w:r w:rsidR="004F3F89">
        <w:rPr>
          <w:rFonts w:cs="Times New Roman"/>
        </w:rPr>
        <w:t>mple as well as</w:t>
      </w:r>
      <w:r w:rsidR="000415F3" w:rsidRPr="00BB7739">
        <w:rPr>
          <w:rFonts w:cs="Times New Roman"/>
        </w:rPr>
        <w:t xml:space="preserve"> compo</w:t>
      </w:r>
      <w:r w:rsidR="003765BC">
        <w:rPr>
          <w:rFonts w:cs="Times New Roman"/>
        </w:rPr>
        <w:t>site</w:t>
      </w:r>
      <w:r>
        <w:rPr>
          <w:rFonts w:cs="Times New Roman"/>
        </w:rPr>
        <w:t xml:space="preserve"> </w:t>
      </w:r>
      <w:r w:rsidR="004F3F89">
        <w:rPr>
          <w:rFonts w:cs="Times New Roman"/>
        </w:rPr>
        <w:t>measures</w:t>
      </w:r>
      <w:r w:rsidR="008A0D50">
        <w:rPr>
          <w:rFonts w:cs="Times New Roman"/>
        </w:rPr>
        <w:t xml:space="preserve">. </w:t>
      </w:r>
      <w:r w:rsidR="008A0D50" w:rsidRPr="007E1771">
        <w:rPr>
          <w:rFonts w:cs="Times New Roman"/>
        </w:rPr>
        <w:t xml:space="preserve">In short, the academic literature in the field has </w:t>
      </w:r>
      <w:r w:rsidR="007E1771" w:rsidRPr="005F3491">
        <w:rPr>
          <w:rFonts w:cs="Times New Roman"/>
        </w:rPr>
        <w:t xml:space="preserve">been </w:t>
      </w:r>
      <w:r w:rsidR="008A0D50" w:rsidRPr="007E1771">
        <w:rPr>
          <w:rFonts w:cs="Times New Roman"/>
        </w:rPr>
        <w:t>developed</w:t>
      </w:r>
      <w:r w:rsidR="004F3F89">
        <w:rPr>
          <w:rFonts w:cs="Times New Roman"/>
        </w:rPr>
        <w:t xml:space="preserve"> </w:t>
      </w:r>
      <w:r w:rsidR="007E1771">
        <w:rPr>
          <w:rFonts w:cs="Times New Roman"/>
        </w:rPr>
        <w:t xml:space="preserve">somewhat </w:t>
      </w:r>
      <w:r w:rsidR="003765BC">
        <w:rPr>
          <w:rFonts w:cs="Times New Roman"/>
        </w:rPr>
        <w:t xml:space="preserve">(Radaelli and Fritsch </w:t>
      </w:r>
      <w:r w:rsidR="000415F3" w:rsidRPr="00BB7739">
        <w:rPr>
          <w:rFonts w:cs="Times New Roman"/>
        </w:rPr>
        <w:t>2012).</w:t>
      </w:r>
      <w:r w:rsidR="000D42FF" w:rsidRPr="00BB7739">
        <w:rPr>
          <w:rFonts w:cs="Times New Roman"/>
        </w:rPr>
        <w:t xml:space="preserve"> </w:t>
      </w:r>
    </w:p>
    <w:p w14:paraId="658632B4" w14:textId="73C18B5E" w:rsidR="008A0D50" w:rsidRDefault="00973CCA" w:rsidP="009F42C4">
      <w:pPr>
        <w:spacing w:after="200" w:line="360" w:lineRule="auto"/>
        <w:rPr>
          <w:rFonts w:cs="Times New Roman"/>
        </w:rPr>
      </w:pPr>
      <w:r>
        <w:rPr>
          <w:rFonts w:cs="Times New Roman"/>
        </w:rPr>
        <w:t>One problem with regulatory indicators</w:t>
      </w:r>
      <w:r w:rsidR="000567EF">
        <w:rPr>
          <w:rFonts w:cs="Times New Roman"/>
        </w:rPr>
        <w:t>, however,</w:t>
      </w:r>
      <w:r w:rsidR="00616C71">
        <w:rPr>
          <w:rFonts w:cs="Times New Roman"/>
        </w:rPr>
        <w:t xml:space="preserve"> is that actors have different </w:t>
      </w:r>
      <w:r w:rsidR="007E1771">
        <w:rPr>
          <w:rFonts w:cs="Times New Roman"/>
        </w:rPr>
        <w:t xml:space="preserve">views on </w:t>
      </w:r>
      <w:r w:rsidR="000D42FF" w:rsidRPr="00BB7739">
        <w:rPr>
          <w:rFonts w:cs="Times New Roman"/>
        </w:rPr>
        <w:t>quality: some government</w:t>
      </w:r>
      <w:r w:rsidR="006B27CA">
        <w:rPr>
          <w:rFonts w:cs="Times New Roman"/>
        </w:rPr>
        <w:t>s</w:t>
      </w:r>
      <w:r w:rsidR="000D42FF" w:rsidRPr="00BB7739">
        <w:rPr>
          <w:rFonts w:cs="Times New Roman"/>
        </w:rPr>
        <w:t xml:space="preserve"> define regulatory quality programs on the basis of targets for the reduction of administrative obligations, others have formally endorse</w:t>
      </w:r>
      <w:r w:rsidR="00236875">
        <w:rPr>
          <w:rFonts w:cs="Times New Roman"/>
        </w:rPr>
        <w:t>d</w:t>
      </w:r>
      <w:r w:rsidR="000D42FF" w:rsidRPr="00BB7739">
        <w:rPr>
          <w:rFonts w:cs="Times New Roman"/>
        </w:rPr>
        <w:t xml:space="preserve"> the maximization of collective welfare as t</w:t>
      </w:r>
      <w:r w:rsidR="006B27CA">
        <w:rPr>
          <w:rFonts w:cs="Times New Roman"/>
        </w:rPr>
        <w:t>heir performance</w:t>
      </w:r>
      <w:r w:rsidR="002D1817" w:rsidRPr="00BB7739">
        <w:rPr>
          <w:rFonts w:cs="Times New Roman"/>
        </w:rPr>
        <w:t xml:space="preserve"> goal. </w:t>
      </w:r>
      <w:r w:rsidR="004A3529" w:rsidRPr="002622AF">
        <w:rPr>
          <w:rFonts w:cs="Times New Roman"/>
        </w:rPr>
        <w:t>Cit</w:t>
      </w:r>
      <w:r w:rsidR="00F15B7D">
        <w:rPr>
          <w:rFonts w:cs="Times New Roman"/>
        </w:rPr>
        <w:t>izens ask for regulations that save lives</w:t>
      </w:r>
      <w:r w:rsidR="004A3529" w:rsidRPr="002622AF">
        <w:rPr>
          <w:rFonts w:cs="Times New Roman"/>
        </w:rPr>
        <w:t xml:space="preserve"> </w:t>
      </w:r>
      <w:r w:rsidR="004366E1">
        <w:rPr>
          <w:rFonts w:cs="Times New Roman"/>
        </w:rPr>
        <w:t>while</w:t>
      </w:r>
      <w:r w:rsidR="004A3529" w:rsidRPr="002622AF">
        <w:rPr>
          <w:rFonts w:cs="Times New Roman"/>
        </w:rPr>
        <w:t xml:space="preserve"> busin</w:t>
      </w:r>
      <w:r w:rsidR="00F15B7D">
        <w:rPr>
          <w:rFonts w:cs="Times New Roman"/>
        </w:rPr>
        <w:t xml:space="preserve">ess leaders </w:t>
      </w:r>
      <w:r w:rsidR="00F15B7D" w:rsidRPr="0007720C">
        <w:rPr>
          <w:rFonts w:cs="Times New Roman"/>
        </w:rPr>
        <w:t xml:space="preserve">want to </w:t>
      </w:r>
      <w:r w:rsidR="007808A0">
        <w:rPr>
          <w:rFonts w:cs="Times New Roman"/>
        </w:rPr>
        <w:t xml:space="preserve">reduce </w:t>
      </w:r>
      <w:r w:rsidR="00F15B7D" w:rsidRPr="0007720C">
        <w:rPr>
          <w:rFonts w:cs="Times New Roman"/>
        </w:rPr>
        <w:t>red tape</w:t>
      </w:r>
      <w:r w:rsidR="006B27CA" w:rsidRPr="002622AF">
        <w:rPr>
          <w:rFonts w:cs="Times New Roman"/>
        </w:rPr>
        <w:t xml:space="preserve"> (Doern 2007</w:t>
      </w:r>
      <w:r w:rsidR="000567EF">
        <w:rPr>
          <w:rFonts w:cs="Times New Roman"/>
        </w:rPr>
        <w:t>; Sunstein 2014</w:t>
      </w:r>
      <w:r w:rsidR="006B27CA" w:rsidRPr="002622AF">
        <w:rPr>
          <w:rFonts w:cs="Times New Roman"/>
        </w:rPr>
        <w:t>)</w:t>
      </w:r>
      <w:r w:rsidR="004A3529" w:rsidRPr="00BB7739">
        <w:rPr>
          <w:rFonts w:cs="Times New Roman"/>
        </w:rPr>
        <w:t>.</w:t>
      </w:r>
      <w:r w:rsidR="00BC7F78" w:rsidRPr="00BB7739">
        <w:rPr>
          <w:rFonts w:cs="Times New Roman"/>
        </w:rPr>
        <w:t xml:space="preserve"> </w:t>
      </w:r>
      <w:r w:rsidR="008A0D50">
        <w:rPr>
          <w:rFonts w:cs="Times New Roman"/>
        </w:rPr>
        <w:t xml:space="preserve">Elected politicians, bureaucrats and economists have different views of what </w:t>
      </w:r>
      <w:r w:rsidR="004366E1">
        <w:rPr>
          <w:rFonts w:cs="Times New Roman"/>
        </w:rPr>
        <w:t>‘</w:t>
      </w:r>
      <w:r w:rsidR="008A0D50">
        <w:rPr>
          <w:rFonts w:cs="Times New Roman"/>
        </w:rPr>
        <w:t>good regulation</w:t>
      </w:r>
      <w:r w:rsidR="004366E1">
        <w:rPr>
          <w:rFonts w:cs="Times New Roman"/>
        </w:rPr>
        <w:t>’</w:t>
      </w:r>
      <w:r w:rsidR="008A0D50">
        <w:rPr>
          <w:rFonts w:cs="Times New Roman"/>
        </w:rPr>
        <w:t xml:space="preserve"> is (Radaelli and De Francesco 2007, chapter 2, table 2.1).</w:t>
      </w:r>
    </w:p>
    <w:p w14:paraId="1EA07885" w14:textId="01746612" w:rsidR="00C0199D" w:rsidRPr="00BB7739" w:rsidRDefault="00973CCA" w:rsidP="00C0153F">
      <w:pPr>
        <w:spacing w:after="200" w:line="360" w:lineRule="auto"/>
        <w:rPr>
          <w:rFonts w:cs="Times New Roman"/>
        </w:rPr>
      </w:pPr>
      <w:r>
        <w:rPr>
          <w:rFonts w:cs="Times New Roman"/>
        </w:rPr>
        <w:t xml:space="preserve">Briefly, </w:t>
      </w:r>
      <w:r w:rsidR="000567EF">
        <w:rPr>
          <w:rFonts w:cs="Times New Roman"/>
        </w:rPr>
        <w:t xml:space="preserve">the concept of </w:t>
      </w:r>
      <w:r>
        <w:rPr>
          <w:rFonts w:cs="Times New Roman"/>
        </w:rPr>
        <w:t>r</w:t>
      </w:r>
      <w:r w:rsidR="00BC7F78" w:rsidRPr="00BB7739">
        <w:rPr>
          <w:rFonts w:cs="Times New Roman"/>
        </w:rPr>
        <w:t>egulatory quality is contested</w:t>
      </w:r>
      <w:r w:rsidR="00E32D1F" w:rsidRPr="002622AF">
        <w:rPr>
          <w:rFonts w:cs="Times New Roman"/>
        </w:rPr>
        <w:t xml:space="preserve"> (Baldwin, Cave and Lodge 2012</w:t>
      </w:r>
      <w:r w:rsidR="000567EF">
        <w:rPr>
          <w:rFonts w:cs="Times New Roman"/>
        </w:rPr>
        <w:t>)</w:t>
      </w:r>
      <w:r w:rsidR="004366E1">
        <w:rPr>
          <w:rFonts w:cs="Times New Roman"/>
        </w:rPr>
        <w:t>.</w:t>
      </w:r>
      <w:r w:rsidR="008A0D50">
        <w:rPr>
          <w:rFonts w:cs="Times New Roman"/>
        </w:rPr>
        <w:t xml:space="preserve"> </w:t>
      </w:r>
      <w:r w:rsidR="004366E1">
        <w:rPr>
          <w:rFonts w:cs="Times New Roman"/>
        </w:rPr>
        <w:t>Defining</w:t>
      </w:r>
      <w:r w:rsidR="008A0D50">
        <w:rPr>
          <w:rFonts w:cs="Times New Roman"/>
        </w:rPr>
        <w:t xml:space="preserve"> regulatory quality is a politically relevant act </w:t>
      </w:r>
      <w:r w:rsidR="004366E1">
        <w:rPr>
          <w:rFonts w:cs="Times New Roman"/>
        </w:rPr>
        <w:t xml:space="preserve">as </w:t>
      </w:r>
      <w:r w:rsidR="008A0D50">
        <w:rPr>
          <w:rFonts w:cs="Times New Roman"/>
        </w:rPr>
        <w:t>each concept and its operationalization via indicators generates</w:t>
      </w:r>
      <w:r w:rsidR="00BC7F78" w:rsidRPr="00BB7739">
        <w:rPr>
          <w:rFonts w:cs="Times New Roman"/>
        </w:rPr>
        <w:t xml:space="preserve"> differen</w:t>
      </w:r>
      <w:r w:rsidR="008A0D50">
        <w:rPr>
          <w:rFonts w:cs="Times New Roman"/>
        </w:rPr>
        <w:t xml:space="preserve">t costs and benefits across citizens and sectors of the economy, and empowers-disempowers certain actors in the regulatory policy process. </w:t>
      </w:r>
      <w:r w:rsidR="00C0153F">
        <w:rPr>
          <w:rFonts w:cs="Times New Roman"/>
        </w:rPr>
        <w:t xml:space="preserve">The fact that there is a complex causal chain between regulatory policy tools like consultation and impact assessment and the final outcome of regulations </w:t>
      </w:r>
      <w:r w:rsidR="00451BB0">
        <w:rPr>
          <w:rFonts w:cs="Times New Roman"/>
        </w:rPr>
        <w:t>as felt on the ground</w:t>
      </w:r>
      <w:r w:rsidR="00C0153F">
        <w:rPr>
          <w:rFonts w:cs="Times New Roman"/>
        </w:rPr>
        <w:t xml:space="preserve"> by citizens and firms makes regulatory evaluation politically sensitive as well as conceptually complex</w:t>
      </w:r>
      <w:r w:rsidR="000D42FF" w:rsidRPr="00BB7739">
        <w:rPr>
          <w:rFonts w:cs="Times New Roman"/>
        </w:rPr>
        <w:t xml:space="preserve"> </w:t>
      </w:r>
      <w:r w:rsidR="00CE653B">
        <w:rPr>
          <w:rFonts w:cs="Times New Roman"/>
        </w:rPr>
        <w:t>(Coglianese</w:t>
      </w:r>
      <w:r w:rsidR="00CE653B" w:rsidRPr="00BB7739">
        <w:rPr>
          <w:rFonts w:cs="Times New Roman"/>
        </w:rPr>
        <w:t xml:space="preserve"> 2012).</w:t>
      </w:r>
    </w:p>
    <w:p w14:paraId="49E1E28D" w14:textId="753E59DF" w:rsidR="0046182F" w:rsidRDefault="00DF379B" w:rsidP="0065726B">
      <w:pPr>
        <w:spacing w:after="200" w:line="360" w:lineRule="auto"/>
        <w:rPr>
          <w:rFonts w:cs="Times New Roman"/>
        </w:rPr>
      </w:pPr>
      <w:r w:rsidRPr="00BB7739">
        <w:rPr>
          <w:rFonts w:cs="Times New Roman"/>
        </w:rPr>
        <w:t xml:space="preserve">The most common </w:t>
      </w:r>
      <w:r w:rsidR="000B355B" w:rsidRPr="00BB7739">
        <w:rPr>
          <w:rFonts w:cs="Times New Roman"/>
        </w:rPr>
        <w:t xml:space="preserve">cross-country </w:t>
      </w:r>
      <w:r w:rsidRPr="00BB7739">
        <w:rPr>
          <w:rFonts w:cs="Times New Roman"/>
        </w:rPr>
        <w:t>reg</w:t>
      </w:r>
      <w:r w:rsidR="000B355B" w:rsidRPr="00BB7739">
        <w:rPr>
          <w:rFonts w:cs="Times New Roman"/>
        </w:rPr>
        <w:t>ulatory indicators tap into different stages of this c</w:t>
      </w:r>
      <w:r w:rsidR="0065726B">
        <w:rPr>
          <w:rFonts w:cs="Times New Roman"/>
        </w:rPr>
        <w:t>ausal process (</w:t>
      </w:r>
      <w:r w:rsidR="000B355B" w:rsidRPr="00BB7739">
        <w:rPr>
          <w:rFonts w:cs="Times New Roman"/>
        </w:rPr>
        <w:t>R</w:t>
      </w:r>
      <w:r w:rsidR="00176497">
        <w:rPr>
          <w:rFonts w:cs="Times New Roman"/>
        </w:rPr>
        <w:t>adaelli and Fritsch</w:t>
      </w:r>
      <w:r w:rsidR="000B355B" w:rsidRPr="00BB7739">
        <w:rPr>
          <w:rFonts w:cs="Times New Roman"/>
        </w:rPr>
        <w:t xml:space="preserve"> 2012). </w:t>
      </w:r>
      <w:r w:rsidR="007629F3" w:rsidRPr="00BB7739">
        <w:rPr>
          <w:rFonts w:cs="Times New Roman"/>
        </w:rPr>
        <w:t>The OECD has gathered regulatory</w:t>
      </w:r>
      <w:r w:rsidR="0025637D" w:rsidRPr="00BB7739">
        <w:rPr>
          <w:rFonts w:cs="Times New Roman"/>
        </w:rPr>
        <w:t xml:space="preserve"> management</w:t>
      </w:r>
      <w:r w:rsidR="007629F3" w:rsidRPr="00BB7739">
        <w:rPr>
          <w:rFonts w:cs="Times New Roman"/>
        </w:rPr>
        <w:t xml:space="preserve"> indicators through self-reported questionn</w:t>
      </w:r>
      <w:r w:rsidR="0065726B">
        <w:rPr>
          <w:rFonts w:cs="Times New Roman"/>
        </w:rPr>
        <w:t xml:space="preserve">aires </w:t>
      </w:r>
      <w:r w:rsidR="0065726B">
        <w:rPr>
          <w:rFonts w:cs="Times New Roman"/>
        </w:rPr>
        <w:lastRenderedPageBreak/>
        <w:t>checked by its staff</w:t>
      </w:r>
      <w:r w:rsidR="006E7D55" w:rsidRPr="00BB7739">
        <w:rPr>
          <w:rFonts w:cs="Times New Roman"/>
        </w:rPr>
        <w:t xml:space="preserve"> since the 1990s: these indicators track </w:t>
      </w:r>
      <w:r w:rsidR="0046182F">
        <w:rPr>
          <w:rFonts w:cs="Times New Roman"/>
        </w:rPr>
        <w:t xml:space="preserve">down </w:t>
      </w:r>
      <w:r w:rsidR="006E7D55" w:rsidRPr="00BB7739">
        <w:rPr>
          <w:rFonts w:cs="Times New Roman"/>
        </w:rPr>
        <w:t>the adoption a</w:t>
      </w:r>
      <w:r w:rsidR="0046182F">
        <w:rPr>
          <w:rFonts w:cs="Times New Roman"/>
        </w:rPr>
        <w:t>nd implementation of</w:t>
      </w:r>
      <w:r w:rsidR="000567EF">
        <w:rPr>
          <w:rFonts w:cs="Times New Roman"/>
        </w:rPr>
        <w:t xml:space="preserve"> regulatory</w:t>
      </w:r>
      <w:r w:rsidR="0046182F">
        <w:rPr>
          <w:rFonts w:cs="Times New Roman"/>
        </w:rPr>
        <w:t xml:space="preserve"> </w:t>
      </w:r>
      <w:r w:rsidR="006E7D55" w:rsidRPr="00BB7739">
        <w:rPr>
          <w:rFonts w:cs="Times New Roman"/>
        </w:rPr>
        <w:t xml:space="preserve">policy instruments like consultation, impact assessment, </w:t>
      </w:r>
      <w:r w:rsidR="00CC2647">
        <w:rPr>
          <w:rFonts w:cs="Times New Roman"/>
        </w:rPr>
        <w:t xml:space="preserve">and </w:t>
      </w:r>
      <w:r w:rsidR="006E7D55" w:rsidRPr="00BB7739">
        <w:rPr>
          <w:rFonts w:cs="Times New Roman"/>
        </w:rPr>
        <w:t>regulatory policy evaluation.</w:t>
      </w:r>
      <w:r w:rsidR="009928F3">
        <w:rPr>
          <w:rFonts w:cs="Times New Roman"/>
        </w:rPr>
        <w:t xml:space="preserve"> The EU</w:t>
      </w:r>
      <w:r w:rsidR="000567EF">
        <w:rPr>
          <w:rFonts w:cs="Times New Roman"/>
        </w:rPr>
        <w:t xml:space="preserve"> has a long but</w:t>
      </w:r>
      <w:r w:rsidR="00D81E8A" w:rsidRPr="00BB7739">
        <w:rPr>
          <w:rFonts w:cs="Times New Roman"/>
        </w:rPr>
        <w:t xml:space="preserve"> </w:t>
      </w:r>
      <w:r w:rsidR="002A6DC0">
        <w:rPr>
          <w:rFonts w:cs="Times New Roman"/>
        </w:rPr>
        <w:t xml:space="preserve">awkward </w:t>
      </w:r>
      <w:r w:rsidR="000567EF">
        <w:rPr>
          <w:rFonts w:cs="Times New Roman"/>
        </w:rPr>
        <w:t>history of debates</w:t>
      </w:r>
      <w:r w:rsidR="00CC2647">
        <w:rPr>
          <w:rFonts w:cs="Times New Roman"/>
        </w:rPr>
        <w:t xml:space="preserve"> on regulatory metrics.</w:t>
      </w:r>
      <w:r w:rsidR="0046182F">
        <w:rPr>
          <w:rFonts w:cs="Times New Roman"/>
        </w:rPr>
        <w:t xml:space="preserve"> This section has shown that the</w:t>
      </w:r>
      <w:r w:rsidR="0065726B">
        <w:rPr>
          <w:rFonts w:cs="Times New Roman"/>
        </w:rPr>
        <w:t>se</w:t>
      </w:r>
      <w:r w:rsidR="0046182F">
        <w:rPr>
          <w:rFonts w:cs="Times New Roman"/>
        </w:rPr>
        <w:t xml:space="preserve"> organizational </w:t>
      </w:r>
      <w:r w:rsidR="0065726B">
        <w:rPr>
          <w:rFonts w:cs="Times New Roman"/>
        </w:rPr>
        <w:t>discussion</w:t>
      </w:r>
      <w:r w:rsidR="00CC2647">
        <w:rPr>
          <w:rFonts w:cs="Times New Roman"/>
        </w:rPr>
        <w:t>s</w:t>
      </w:r>
      <w:r w:rsidR="0065726B">
        <w:rPr>
          <w:rFonts w:cs="Times New Roman"/>
        </w:rPr>
        <w:t xml:space="preserve"> and </w:t>
      </w:r>
      <w:r w:rsidR="0046182F">
        <w:rPr>
          <w:rFonts w:cs="Times New Roman"/>
        </w:rPr>
        <w:t>processes take</w:t>
      </w:r>
      <w:r w:rsidR="003D14FF">
        <w:rPr>
          <w:rFonts w:cs="Times New Roman"/>
        </w:rPr>
        <w:t xml:space="preserve"> place </w:t>
      </w:r>
      <w:r w:rsidR="00F568E9">
        <w:rPr>
          <w:rFonts w:cs="Times New Roman"/>
        </w:rPr>
        <w:t>with</w:t>
      </w:r>
      <w:r w:rsidR="003D14FF">
        <w:rPr>
          <w:rFonts w:cs="Times New Roman"/>
        </w:rPr>
        <w:t>in a context</w:t>
      </w:r>
      <w:r w:rsidR="0046182F">
        <w:rPr>
          <w:rFonts w:cs="Times New Roman"/>
        </w:rPr>
        <w:t xml:space="preserve"> </w:t>
      </w:r>
      <w:r w:rsidR="000567EF">
        <w:rPr>
          <w:rFonts w:cs="Times New Roman"/>
        </w:rPr>
        <w:t>of</w:t>
      </w:r>
      <w:r w:rsidR="003D14FF">
        <w:rPr>
          <w:rFonts w:cs="Times New Roman"/>
        </w:rPr>
        <w:t xml:space="preserve"> political ambiguity </w:t>
      </w:r>
      <w:r w:rsidR="0046182F">
        <w:rPr>
          <w:rFonts w:cs="Times New Roman"/>
        </w:rPr>
        <w:t>about what regulatory quality really is and how</w:t>
      </w:r>
      <w:r w:rsidR="0065726B">
        <w:rPr>
          <w:rFonts w:cs="Times New Roman"/>
        </w:rPr>
        <w:t xml:space="preserve"> it can be captured numerically.</w:t>
      </w:r>
    </w:p>
    <w:p w14:paraId="07AF0A0C" w14:textId="77777777" w:rsidR="0065726B" w:rsidRDefault="0065726B" w:rsidP="0065726B">
      <w:pPr>
        <w:spacing w:after="200" w:line="360" w:lineRule="auto"/>
        <w:rPr>
          <w:rFonts w:cs="Times New Roman"/>
        </w:rPr>
      </w:pPr>
    </w:p>
    <w:p w14:paraId="7B49560A" w14:textId="1AB58312" w:rsidR="003D14FF" w:rsidRPr="003D14FF" w:rsidRDefault="006B789B" w:rsidP="003D14FF">
      <w:pPr>
        <w:pStyle w:val="Heading1"/>
        <w:spacing w:before="0" w:line="360" w:lineRule="auto"/>
        <w:rPr>
          <w:rFonts w:asciiTheme="minorHAnsi" w:hAnsiTheme="minorHAnsi"/>
          <w:color w:val="auto"/>
          <w:sz w:val="24"/>
          <w:szCs w:val="24"/>
        </w:rPr>
      </w:pPr>
      <w:r>
        <w:rPr>
          <w:rFonts w:asciiTheme="minorHAnsi" w:hAnsiTheme="minorHAnsi"/>
          <w:color w:val="auto"/>
          <w:sz w:val="24"/>
          <w:szCs w:val="24"/>
        </w:rPr>
        <w:t xml:space="preserve">3. </w:t>
      </w:r>
      <w:r w:rsidR="00892C5C">
        <w:rPr>
          <w:rFonts w:asciiTheme="minorHAnsi" w:hAnsiTheme="minorHAnsi"/>
          <w:color w:val="auto"/>
          <w:sz w:val="24"/>
          <w:szCs w:val="24"/>
        </w:rPr>
        <w:t xml:space="preserve">Puzzle, </w:t>
      </w:r>
      <w:r w:rsidR="00601C7A">
        <w:rPr>
          <w:rFonts w:asciiTheme="minorHAnsi" w:hAnsiTheme="minorHAnsi"/>
          <w:color w:val="auto"/>
          <w:sz w:val="24"/>
          <w:szCs w:val="24"/>
        </w:rPr>
        <w:t>analytical framework</w:t>
      </w:r>
      <w:r w:rsidR="00892C5C">
        <w:rPr>
          <w:rFonts w:asciiTheme="minorHAnsi" w:hAnsiTheme="minorHAnsi"/>
          <w:color w:val="auto"/>
          <w:sz w:val="24"/>
          <w:szCs w:val="24"/>
        </w:rPr>
        <w:t>, and observable implications</w:t>
      </w:r>
    </w:p>
    <w:p w14:paraId="37BE4F11" w14:textId="1659DFA9" w:rsidR="00316609" w:rsidRDefault="003D14FF" w:rsidP="003C38A2">
      <w:pPr>
        <w:spacing w:after="200" w:line="360" w:lineRule="auto"/>
        <w:rPr>
          <w:rFonts w:cs="Times New Roman"/>
        </w:rPr>
      </w:pPr>
      <w:r>
        <w:rPr>
          <w:rFonts w:cs="Times New Roman"/>
        </w:rPr>
        <w:t>How do we ex</w:t>
      </w:r>
      <w:r w:rsidR="007D4B36">
        <w:rPr>
          <w:rFonts w:cs="Times New Roman"/>
        </w:rPr>
        <w:t>plain the fact</w:t>
      </w:r>
      <w:r w:rsidR="003C38A2">
        <w:rPr>
          <w:rFonts w:cs="Times New Roman"/>
        </w:rPr>
        <w:t xml:space="preserve"> that there has been more progress with regulatory indicators within the OECD than in the context of deeper integration provided by the EU? </w:t>
      </w:r>
      <w:r w:rsidR="00637059">
        <w:rPr>
          <w:rFonts w:cs="Times New Roman"/>
        </w:rPr>
        <w:t>One case provides the counterfactual of the other. We cannot</w:t>
      </w:r>
      <w:r w:rsidR="006A07A5">
        <w:rPr>
          <w:rFonts w:cs="Times New Roman"/>
        </w:rPr>
        <w:t xml:space="preserve"> answer the question </w:t>
      </w:r>
      <w:r w:rsidR="00F568E9">
        <w:rPr>
          <w:rFonts w:cs="Times New Roman"/>
        </w:rPr>
        <w:t xml:space="preserve">of </w:t>
      </w:r>
      <w:r w:rsidR="006A07A5">
        <w:rPr>
          <w:rFonts w:cs="Times New Roman"/>
        </w:rPr>
        <w:t xml:space="preserve">whether the EU could have adopted indicators without observing a less integrated organization, the </w:t>
      </w:r>
      <w:r w:rsidR="00637059">
        <w:rPr>
          <w:rFonts w:cs="Times New Roman"/>
        </w:rPr>
        <w:t>OECD, which</w:t>
      </w:r>
      <w:r w:rsidR="006A07A5">
        <w:rPr>
          <w:rFonts w:cs="Times New Roman"/>
        </w:rPr>
        <w:t xml:space="preserve"> has done exactly that.</w:t>
      </w:r>
    </w:p>
    <w:p w14:paraId="02DDB208" w14:textId="79D07A26" w:rsidR="00597F73" w:rsidRDefault="002A6DC0" w:rsidP="00880F78">
      <w:pPr>
        <w:spacing w:after="200" w:line="360" w:lineRule="auto"/>
        <w:rPr>
          <w:rFonts w:cs="Times New Roman"/>
        </w:rPr>
      </w:pPr>
      <w:r>
        <w:rPr>
          <w:rFonts w:cs="Times New Roman"/>
        </w:rPr>
        <w:t xml:space="preserve">Clearly, </w:t>
      </w:r>
      <w:r w:rsidR="003C38A2">
        <w:rPr>
          <w:rFonts w:cs="Times New Roman"/>
        </w:rPr>
        <w:t xml:space="preserve">there are </w:t>
      </w:r>
      <w:r w:rsidR="006A07A5">
        <w:rPr>
          <w:rFonts w:cs="Times New Roman"/>
        </w:rPr>
        <w:t>different causes explaining the two different</w:t>
      </w:r>
      <w:r w:rsidR="003C38A2">
        <w:rPr>
          <w:rFonts w:cs="Times New Roman"/>
        </w:rPr>
        <w:t xml:space="preserve"> outcome</w:t>
      </w:r>
      <w:r w:rsidR="006A07A5">
        <w:rPr>
          <w:rFonts w:cs="Times New Roman"/>
        </w:rPr>
        <w:t>s</w:t>
      </w:r>
      <w:r w:rsidR="003C38A2">
        <w:rPr>
          <w:rFonts w:cs="Times New Roman"/>
        </w:rPr>
        <w:t>. But not all of them have the same explanatory leverage. To begin with, let us consider the argument that</w:t>
      </w:r>
      <w:r w:rsidR="002E6E00">
        <w:rPr>
          <w:rFonts w:cs="Times New Roman"/>
        </w:rPr>
        <w:t xml:space="preserve"> the propensity towards measurement, ranking and comparison differs markedly between the OECD and the EU.</w:t>
      </w:r>
      <w:r w:rsidR="003C38A2">
        <w:rPr>
          <w:rFonts w:cs="Times New Roman"/>
        </w:rPr>
        <w:t xml:space="preserve"> </w:t>
      </w:r>
      <w:r w:rsidR="00880F78">
        <w:rPr>
          <w:rFonts w:cs="Times New Roman"/>
        </w:rPr>
        <w:t>Indeed, if</w:t>
      </w:r>
      <w:r w:rsidR="002E6E00">
        <w:rPr>
          <w:rFonts w:cs="Times New Roman"/>
        </w:rPr>
        <w:t xml:space="preserve"> an o</w:t>
      </w:r>
      <w:r w:rsidR="003C38A2">
        <w:rPr>
          <w:rFonts w:cs="Times New Roman"/>
        </w:rPr>
        <w:t>bserver did not know the facts about regulatory indicators</w:t>
      </w:r>
      <w:r w:rsidR="002E6E00">
        <w:rPr>
          <w:rFonts w:cs="Times New Roman"/>
        </w:rPr>
        <w:t xml:space="preserve">, </w:t>
      </w:r>
      <w:r w:rsidR="00F568E9">
        <w:rPr>
          <w:rFonts w:cs="Times New Roman"/>
        </w:rPr>
        <w:t xml:space="preserve">they </w:t>
      </w:r>
      <w:r w:rsidR="002E6E00">
        <w:rPr>
          <w:rFonts w:cs="Times New Roman"/>
        </w:rPr>
        <w:t>would assume that it must be</w:t>
      </w:r>
      <w:r w:rsidR="002E0453">
        <w:rPr>
          <w:rFonts w:cs="Times New Roman"/>
        </w:rPr>
        <w:t xml:space="preserve"> easier to agree on a set of</w:t>
      </w:r>
      <w:r w:rsidR="0036780B">
        <w:rPr>
          <w:rFonts w:cs="Times New Roman"/>
        </w:rPr>
        <w:t xml:space="preserve"> regu</w:t>
      </w:r>
      <w:r w:rsidR="002E6E00">
        <w:rPr>
          <w:rFonts w:cs="Times New Roman"/>
        </w:rPr>
        <w:t>latory indicators within the EU. The</w:t>
      </w:r>
      <w:r w:rsidR="00880F78">
        <w:rPr>
          <w:rFonts w:cs="Times New Roman"/>
        </w:rPr>
        <w:t xml:space="preserve"> propensity towards indicators and ranking is high within the EU.</w:t>
      </w:r>
      <w:r w:rsidR="002E6E00">
        <w:rPr>
          <w:rFonts w:cs="Times New Roman"/>
        </w:rPr>
        <w:t xml:space="preserve"> </w:t>
      </w:r>
      <w:r w:rsidR="00F37022">
        <w:rPr>
          <w:rFonts w:cs="Times New Roman"/>
        </w:rPr>
        <w:t>Take, for example</w:t>
      </w:r>
      <w:r w:rsidR="00F568E9">
        <w:rPr>
          <w:rFonts w:cs="Times New Roman"/>
        </w:rPr>
        <w:t>,</w:t>
      </w:r>
      <w:r w:rsidR="0036780B">
        <w:rPr>
          <w:rFonts w:cs="Times New Roman"/>
        </w:rPr>
        <w:t xml:space="preserve"> the Lisbon Agenda for growth and jobs in 2000, the </w:t>
      </w:r>
      <w:r w:rsidR="002E6E00">
        <w:rPr>
          <w:rFonts w:cs="Times New Roman"/>
        </w:rPr>
        <w:t xml:space="preserve">more recent </w:t>
      </w:r>
      <w:r w:rsidR="0036780B">
        <w:rPr>
          <w:rFonts w:cs="Times New Roman"/>
        </w:rPr>
        <w:t>Europe 2020</w:t>
      </w:r>
      <w:r w:rsidR="00B436DF">
        <w:rPr>
          <w:rFonts w:cs="Times New Roman"/>
        </w:rPr>
        <w:t xml:space="preserve"> strategy</w:t>
      </w:r>
      <w:r w:rsidR="00034986">
        <w:rPr>
          <w:rFonts w:cs="Times New Roman"/>
        </w:rPr>
        <w:t>, the macro-economic imbalance procedure,</w:t>
      </w:r>
      <w:r w:rsidR="00F568E9">
        <w:rPr>
          <w:rFonts w:cs="Times New Roman"/>
        </w:rPr>
        <w:t xml:space="preserve"> </w:t>
      </w:r>
      <w:r w:rsidR="00F37022">
        <w:rPr>
          <w:rFonts w:cs="Times New Roman"/>
        </w:rPr>
        <w:t>and</w:t>
      </w:r>
      <w:r w:rsidR="00034986">
        <w:rPr>
          <w:rFonts w:cs="Times New Roman"/>
        </w:rPr>
        <w:t xml:space="preserve"> the European Semester</w:t>
      </w:r>
      <w:r w:rsidR="00F63624">
        <w:rPr>
          <w:rFonts w:cs="Times New Roman"/>
        </w:rPr>
        <w:t>. T</w:t>
      </w:r>
      <w:r w:rsidR="00BA78B3">
        <w:rPr>
          <w:rFonts w:cs="Times New Roman"/>
        </w:rPr>
        <w:t>hese strategies and instruments</w:t>
      </w:r>
      <w:r w:rsidR="002E6E00">
        <w:rPr>
          <w:rFonts w:cs="Times New Roman"/>
        </w:rPr>
        <w:t xml:space="preserve"> </w:t>
      </w:r>
      <w:r w:rsidR="00034986">
        <w:rPr>
          <w:rFonts w:cs="Times New Roman"/>
        </w:rPr>
        <w:t>are indicator-rich. Yet the EU</w:t>
      </w:r>
      <w:r w:rsidR="006D1A16">
        <w:rPr>
          <w:rFonts w:cs="Times New Roman"/>
        </w:rPr>
        <w:t>, an</w:t>
      </w:r>
      <w:r w:rsidR="0065726B">
        <w:rPr>
          <w:rFonts w:cs="Times New Roman"/>
        </w:rPr>
        <w:t xml:space="preserve"> organization defined by its regulatory mission (Majone 1996)</w:t>
      </w:r>
      <w:r w:rsidR="003C38A2">
        <w:rPr>
          <w:rFonts w:cs="Times New Roman"/>
        </w:rPr>
        <w:t xml:space="preserve"> has displayed</w:t>
      </w:r>
      <w:r w:rsidR="00034986">
        <w:rPr>
          <w:rFonts w:cs="Times New Roman"/>
        </w:rPr>
        <w:t xml:space="preserve"> a period of enthusiasm for </w:t>
      </w:r>
      <w:r w:rsidR="00591E18">
        <w:rPr>
          <w:rFonts w:cs="Times New Roman"/>
        </w:rPr>
        <w:t>regulatory measures</w:t>
      </w:r>
      <w:r w:rsidR="00034986">
        <w:rPr>
          <w:rFonts w:cs="Times New Roman"/>
        </w:rPr>
        <w:t>, followed by</w:t>
      </w:r>
      <w:r w:rsidR="00F568E9">
        <w:rPr>
          <w:rFonts w:cs="Times New Roman"/>
        </w:rPr>
        <w:t xml:space="preserve"> a</w:t>
      </w:r>
      <w:r w:rsidR="00034986">
        <w:rPr>
          <w:rFonts w:cs="Times New Roman"/>
        </w:rPr>
        <w:t xml:space="preserve"> lack of </w:t>
      </w:r>
      <w:r w:rsidR="002E6E00">
        <w:rPr>
          <w:rFonts w:cs="Times New Roman"/>
        </w:rPr>
        <w:t>interest in recent years in a</w:t>
      </w:r>
      <w:r w:rsidR="00034986">
        <w:rPr>
          <w:rFonts w:cs="Times New Roman"/>
        </w:rPr>
        <w:t xml:space="preserve"> period whe</w:t>
      </w:r>
      <w:r w:rsidR="00F568E9">
        <w:rPr>
          <w:rFonts w:cs="Times New Roman"/>
        </w:rPr>
        <w:t>re</w:t>
      </w:r>
      <w:r w:rsidR="00034986">
        <w:rPr>
          <w:rFonts w:cs="Times New Roman"/>
        </w:rPr>
        <w:t xml:space="preserve"> performance measures were gaining popularity across the EU’s economic, monetary, and structural reform policies.</w:t>
      </w:r>
      <w:r w:rsidR="00BC6745">
        <w:rPr>
          <w:rFonts w:cs="Times New Roman"/>
        </w:rPr>
        <w:t xml:space="preserve"> </w:t>
      </w:r>
    </w:p>
    <w:p w14:paraId="6D0659C1" w14:textId="2447B0BD" w:rsidR="003C38A2" w:rsidRDefault="0048489B" w:rsidP="00880F78">
      <w:pPr>
        <w:spacing w:after="200" w:line="360" w:lineRule="auto"/>
        <w:rPr>
          <w:rFonts w:cs="Times New Roman"/>
        </w:rPr>
      </w:pPr>
      <w:r w:rsidRPr="005F3491">
        <w:rPr>
          <w:rFonts w:cs="Times New Roman"/>
        </w:rPr>
        <w:t>The</w:t>
      </w:r>
      <w:r w:rsidR="00B27DEA" w:rsidRPr="00410BC9">
        <w:rPr>
          <w:rFonts w:cs="Times New Roman"/>
        </w:rPr>
        <w:t xml:space="preserve"> Commission </w:t>
      </w:r>
      <w:r w:rsidRPr="005F3491">
        <w:rPr>
          <w:rFonts w:cs="Times New Roman"/>
        </w:rPr>
        <w:t>has n</w:t>
      </w:r>
      <w:r w:rsidR="00B27DEA" w:rsidRPr="00410BC9">
        <w:rPr>
          <w:rFonts w:cs="Times New Roman"/>
        </w:rPr>
        <w:t>ever suggested using indicators as</w:t>
      </w:r>
      <w:r w:rsidRPr="005F3491">
        <w:rPr>
          <w:rFonts w:cs="Times New Roman"/>
        </w:rPr>
        <w:t xml:space="preserve"> a</w:t>
      </w:r>
      <w:r w:rsidR="00B27DEA" w:rsidRPr="00410BC9">
        <w:rPr>
          <w:rFonts w:cs="Times New Roman"/>
        </w:rPr>
        <w:t xml:space="preserve"> binding measure</w:t>
      </w:r>
      <w:r w:rsidRPr="005F3491">
        <w:rPr>
          <w:rFonts w:cs="Times New Roman"/>
        </w:rPr>
        <w:t xml:space="preserve"> that would </w:t>
      </w:r>
      <w:r w:rsidR="00B27DEA" w:rsidRPr="00452DD5">
        <w:rPr>
          <w:rFonts w:cs="Times New Roman"/>
        </w:rPr>
        <w:t xml:space="preserve"> </w:t>
      </w:r>
      <w:r w:rsidR="00F37022">
        <w:rPr>
          <w:rFonts w:cs="Times New Roman"/>
        </w:rPr>
        <w:t>a</w:t>
      </w:r>
      <w:r w:rsidR="00B27DEA" w:rsidRPr="00452DD5">
        <w:rPr>
          <w:rFonts w:cs="Times New Roman"/>
        </w:rPr>
        <w:t>ffect member states</w:t>
      </w:r>
      <w:r w:rsidR="005C129A" w:rsidRPr="00452DD5">
        <w:rPr>
          <w:rFonts w:cs="Times New Roman"/>
        </w:rPr>
        <w:t xml:space="preserve"> </w:t>
      </w:r>
      <w:r w:rsidR="00F37022">
        <w:rPr>
          <w:rFonts w:cs="Times New Roman"/>
        </w:rPr>
        <w:t xml:space="preserve">in a similar vein to the </w:t>
      </w:r>
      <w:r w:rsidRPr="005F3491">
        <w:rPr>
          <w:rFonts w:cs="Times New Roman"/>
        </w:rPr>
        <w:t>indicators</w:t>
      </w:r>
      <w:r w:rsidRPr="00410BC9">
        <w:rPr>
          <w:rFonts w:cs="Times New Roman"/>
        </w:rPr>
        <w:t xml:space="preserve"> </w:t>
      </w:r>
      <w:r w:rsidR="005C129A" w:rsidRPr="00410BC9">
        <w:rPr>
          <w:rFonts w:cs="Times New Roman"/>
        </w:rPr>
        <w:t xml:space="preserve">of the </w:t>
      </w:r>
      <w:r w:rsidR="00597F73" w:rsidRPr="00452DD5">
        <w:rPr>
          <w:rFonts w:cs="Times New Roman"/>
        </w:rPr>
        <w:t>macro-economic coordination processes</w:t>
      </w:r>
      <w:r w:rsidR="005C129A" w:rsidRPr="00452DD5">
        <w:rPr>
          <w:rFonts w:cs="Times New Roman"/>
        </w:rPr>
        <w:t xml:space="preserve"> such as the macro-economic imbalance </w:t>
      </w:r>
      <w:r w:rsidR="005C129A" w:rsidRPr="00452DD5">
        <w:rPr>
          <w:rFonts w:cs="Times New Roman"/>
        </w:rPr>
        <w:lastRenderedPageBreak/>
        <w:t>procedure</w:t>
      </w:r>
      <w:r w:rsidRPr="005F3491">
        <w:rPr>
          <w:rFonts w:cs="Times New Roman"/>
        </w:rPr>
        <w:t>.</w:t>
      </w:r>
      <w:r w:rsidR="00B27DEA" w:rsidRPr="00452DD5">
        <w:rPr>
          <w:rFonts w:cs="Times New Roman"/>
        </w:rPr>
        <w:t xml:space="preserve"> </w:t>
      </w:r>
      <w:r w:rsidRPr="005F3491">
        <w:rPr>
          <w:rFonts w:cs="Times New Roman"/>
        </w:rPr>
        <w:t>T</w:t>
      </w:r>
      <w:r w:rsidR="00B27DEA" w:rsidRPr="00410BC9">
        <w:rPr>
          <w:rFonts w:cs="Times New Roman"/>
        </w:rPr>
        <w:t xml:space="preserve">he most advanced suggestion </w:t>
      </w:r>
      <w:r w:rsidRPr="005F3491">
        <w:rPr>
          <w:rFonts w:cs="Times New Roman"/>
        </w:rPr>
        <w:t xml:space="preserve">with regards to this </w:t>
      </w:r>
      <w:r w:rsidR="00B27DEA" w:rsidRPr="00410BC9">
        <w:rPr>
          <w:rFonts w:cs="Times New Roman"/>
        </w:rPr>
        <w:t>was to adopt EU-wide indicators and use them</w:t>
      </w:r>
      <w:r w:rsidR="005C129A" w:rsidRPr="00410BC9">
        <w:rPr>
          <w:rFonts w:cs="Times New Roman"/>
        </w:rPr>
        <w:t xml:space="preserve"> in open coordination processes</w:t>
      </w:r>
      <w:r w:rsidR="00246D67">
        <w:rPr>
          <w:rFonts w:cs="Times New Roman"/>
        </w:rPr>
        <w:t xml:space="preserve"> that are not legally binding</w:t>
      </w:r>
      <w:r w:rsidR="00B27DEA" w:rsidRPr="00452DD5">
        <w:rPr>
          <w:rFonts w:cs="Times New Roman"/>
        </w:rPr>
        <w:t xml:space="preserve"> (Radaelli and De Francesco</w:t>
      </w:r>
      <w:r w:rsidR="00B27DEA">
        <w:rPr>
          <w:rFonts w:cs="Times New Roman"/>
        </w:rPr>
        <w:t xml:space="preserve"> 2007:185). </w:t>
      </w:r>
      <w:r w:rsidR="00A07730">
        <w:rPr>
          <w:rFonts w:cs="Times New Roman"/>
        </w:rPr>
        <w:t>W</w:t>
      </w:r>
      <w:r w:rsidR="00BC6745">
        <w:rPr>
          <w:rFonts w:cs="Times New Roman"/>
        </w:rPr>
        <w:t>e cannot explain</w:t>
      </w:r>
      <w:r w:rsidR="00F568E9">
        <w:rPr>
          <w:rFonts w:cs="Times New Roman"/>
        </w:rPr>
        <w:t xml:space="preserve"> away</w:t>
      </w:r>
      <w:r w:rsidR="00BC6745">
        <w:rPr>
          <w:rFonts w:cs="Times New Roman"/>
        </w:rPr>
        <w:t xml:space="preserve"> the lack of regulatory indicators in the EU by saying that </w:t>
      </w:r>
      <w:r w:rsidR="00F568E9">
        <w:rPr>
          <w:rFonts w:cs="Times New Roman"/>
        </w:rPr>
        <w:t>it</w:t>
      </w:r>
      <w:r w:rsidR="00597F73">
        <w:rPr>
          <w:rFonts w:cs="Times New Roman"/>
        </w:rPr>
        <w:t xml:space="preserve"> is averse to indicators or avers</w:t>
      </w:r>
      <w:r w:rsidR="005C129A">
        <w:rPr>
          <w:rFonts w:cs="Times New Roman"/>
        </w:rPr>
        <w:t>e to the legal coercive</w:t>
      </w:r>
      <w:r w:rsidR="00597F73">
        <w:rPr>
          <w:rFonts w:cs="Times New Roman"/>
        </w:rPr>
        <w:t xml:space="preserve"> nature of the regulatory indicators suggested by the Commission.</w:t>
      </w:r>
    </w:p>
    <w:p w14:paraId="174D9927" w14:textId="76F1E73A" w:rsidR="00A1686E" w:rsidRDefault="00BA78B3" w:rsidP="00880F78">
      <w:pPr>
        <w:spacing w:after="200" w:line="360" w:lineRule="auto"/>
        <w:rPr>
          <w:rFonts w:cs="Times New Roman"/>
        </w:rPr>
      </w:pPr>
      <w:r>
        <w:rPr>
          <w:rFonts w:cs="Times New Roman"/>
        </w:rPr>
        <w:t>T</w:t>
      </w:r>
      <w:r w:rsidR="003B0F4C" w:rsidRPr="00BB7739">
        <w:rPr>
          <w:rFonts w:cs="Times New Roman"/>
        </w:rPr>
        <w:t>he OECD</w:t>
      </w:r>
      <w:r w:rsidR="00880F78">
        <w:rPr>
          <w:rFonts w:cs="Times New Roman"/>
        </w:rPr>
        <w:t xml:space="preserve"> is less integrated and much more inter-governmental than the EU</w:t>
      </w:r>
      <w:r w:rsidR="00880F78" w:rsidRPr="002622AF">
        <w:rPr>
          <w:rFonts w:cs="Times New Roman"/>
        </w:rPr>
        <w:t>.</w:t>
      </w:r>
      <w:r w:rsidR="00880F78">
        <w:rPr>
          <w:rFonts w:cs="Times New Roman"/>
        </w:rPr>
        <w:t xml:space="preserve"> Each step towards measurement or appraisal on the basis of indicators is accurately checked by national delegates – contrast this with</w:t>
      </w:r>
      <w:r w:rsidR="00202B81">
        <w:rPr>
          <w:rFonts w:cs="Times New Roman"/>
        </w:rPr>
        <w:t xml:space="preserve"> the oversight power that the European Commission</w:t>
      </w:r>
      <w:r w:rsidR="00880F78">
        <w:rPr>
          <w:rFonts w:cs="Times New Roman"/>
        </w:rPr>
        <w:t xml:space="preserve"> has in areas like economic policy and structural reforms. </w:t>
      </w:r>
      <w:r w:rsidR="00202B81" w:rsidRPr="00B8328E">
        <w:rPr>
          <w:rFonts w:cs="Times New Roman"/>
        </w:rPr>
        <w:t xml:space="preserve">It </w:t>
      </w:r>
      <w:r w:rsidR="00600A35">
        <w:rPr>
          <w:rFonts w:cs="Times New Roman"/>
        </w:rPr>
        <w:t>approached</w:t>
      </w:r>
      <w:r w:rsidR="00202B81" w:rsidRPr="00B8328E">
        <w:rPr>
          <w:rFonts w:cs="Times New Roman"/>
        </w:rPr>
        <w:t xml:space="preserve"> regulati</w:t>
      </w:r>
      <w:r w:rsidR="003C38A2" w:rsidRPr="00B8328E">
        <w:rPr>
          <w:rFonts w:cs="Times New Roman"/>
        </w:rPr>
        <w:t xml:space="preserve">on </w:t>
      </w:r>
      <w:r w:rsidR="003C38A2" w:rsidRPr="00F60843">
        <w:rPr>
          <w:rFonts w:cs="Times New Roman"/>
        </w:rPr>
        <w:t>in the 1990s (</w:t>
      </w:r>
      <w:r w:rsidR="0015492D" w:rsidRPr="00F60843">
        <w:rPr>
          <w:rFonts w:cs="Times New Roman"/>
        </w:rPr>
        <w:t xml:space="preserve">De Francesco 2016; </w:t>
      </w:r>
      <w:r w:rsidR="003C38A2" w:rsidRPr="00F60843">
        <w:rPr>
          <w:rFonts w:cs="Times New Roman"/>
        </w:rPr>
        <w:t xml:space="preserve">Pal </w:t>
      </w:r>
      <w:r w:rsidR="00202B81" w:rsidRPr="00F60843">
        <w:rPr>
          <w:rFonts w:cs="Times New Roman"/>
        </w:rPr>
        <w:t xml:space="preserve"> 2012), whil</w:t>
      </w:r>
      <w:r w:rsidR="00F568E9" w:rsidRPr="00F60843">
        <w:rPr>
          <w:rFonts w:cs="Times New Roman"/>
        </w:rPr>
        <w:t>e</w:t>
      </w:r>
      <w:r w:rsidR="00202B81" w:rsidRPr="005D3606">
        <w:rPr>
          <w:rFonts w:cs="Times New Roman"/>
        </w:rPr>
        <w:t xml:space="preserve"> the European Commission ha</w:t>
      </w:r>
      <w:r w:rsidR="006A07A5" w:rsidRPr="005D3606">
        <w:rPr>
          <w:rFonts w:cs="Times New Roman"/>
        </w:rPr>
        <w:t xml:space="preserve">s </w:t>
      </w:r>
      <w:r w:rsidR="00452DD5" w:rsidRPr="005F3491">
        <w:rPr>
          <w:rFonts w:cs="Times New Roman"/>
        </w:rPr>
        <w:t xml:space="preserve">consistently </w:t>
      </w:r>
      <w:r w:rsidR="006A07A5" w:rsidRPr="00B8328E">
        <w:rPr>
          <w:rFonts w:cs="Times New Roman"/>
        </w:rPr>
        <w:t>developed regulatory analysis</w:t>
      </w:r>
      <w:r w:rsidR="00202B81" w:rsidRPr="00B8328E">
        <w:rPr>
          <w:rFonts w:cs="Times New Roman"/>
        </w:rPr>
        <w:t xml:space="preserve"> </w:t>
      </w:r>
      <w:r w:rsidR="00452DD5" w:rsidRPr="005F3491">
        <w:rPr>
          <w:rFonts w:cs="Times New Roman"/>
        </w:rPr>
        <w:t xml:space="preserve">ever </w:t>
      </w:r>
      <w:r w:rsidR="00202B81" w:rsidRPr="00B8328E">
        <w:rPr>
          <w:rFonts w:cs="Times New Roman"/>
        </w:rPr>
        <w:t>since the inception of the single market in the 1950s.</w:t>
      </w:r>
      <w:r w:rsidR="00202B81">
        <w:rPr>
          <w:rFonts w:cs="Times New Roman"/>
        </w:rPr>
        <w:t xml:space="preserve"> </w:t>
      </w:r>
      <w:r w:rsidR="00880F78">
        <w:rPr>
          <w:rFonts w:cs="Times New Roman"/>
        </w:rPr>
        <w:t xml:space="preserve">Yet the OECD has </w:t>
      </w:r>
      <w:r w:rsidR="006B6FC5">
        <w:rPr>
          <w:rFonts w:cs="Times New Roman"/>
        </w:rPr>
        <w:t xml:space="preserve">produced </w:t>
      </w:r>
      <w:r w:rsidR="00850E5E">
        <w:rPr>
          <w:rFonts w:cs="Times New Roman"/>
        </w:rPr>
        <w:t xml:space="preserve">self-reported </w:t>
      </w:r>
      <w:r w:rsidR="003B0F4C" w:rsidRPr="00BB7739">
        <w:rPr>
          <w:rFonts w:cs="Times New Roman"/>
        </w:rPr>
        <w:t>regulatory indicators</w:t>
      </w:r>
      <w:r w:rsidR="00850E5E">
        <w:rPr>
          <w:rFonts w:cs="Times New Roman"/>
        </w:rPr>
        <w:t xml:space="preserve"> four times duri</w:t>
      </w:r>
      <w:r w:rsidR="00202B81">
        <w:rPr>
          <w:rFonts w:cs="Times New Roman"/>
        </w:rPr>
        <w:t>ng the last twenty years. In</w:t>
      </w:r>
      <w:r w:rsidR="00850E5E">
        <w:rPr>
          <w:rFonts w:cs="Times New Roman"/>
        </w:rPr>
        <w:t xml:space="preserve"> the 1990s and 2000s (the first three waves), the OECD regulatory</w:t>
      </w:r>
      <w:r w:rsidR="006B6FC5">
        <w:rPr>
          <w:rFonts w:cs="Times New Roman"/>
        </w:rPr>
        <w:t xml:space="preserve"> indicators</w:t>
      </w:r>
      <w:r w:rsidR="003B0F4C" w:rsidRPr="00BB7739">
        <w:rPr>
          <w:rFonts w:cs="Times New Roman"/>
        </w:rPr>
        <w:t xml:space="preserve"> </w:t>
      </w:r>
      <w:r w:rsidR="00146D5F">
        <w:rPr>
          <w:rFonts w:cs="Times New Roman"/>
        </w:rPr>
        <w:t>did not show</w:t>
      </w:r>
      <w:r w:rsidR="003B0F4C" w:rsidRPr="00BB7739">
        <w:rPr>
          <w:rFonts w:cs="Times New Roman"/>
        </w:rPr>
        <w:t xml:space="preserve"> the position of individual countries. </w:t>
      </w:r>
      <w:r w:rsidR="006A07A5">
        <w:rPr>
          <w:rFonts w:cs="Times New Roman"/>
        </w:rPr>
        <w:t>Within its</w:t>
      </w:r>
      <w:r w:rsidR="000D1C38">
        <w:rPr>
          <w:rFonts w:cs="Times New Roman"/>
        </w:rPr>
        <w:t xml:space="preserve"> constrained environment</w:t>
      </w:r>
      <w:r w:rsidR="002E6E00">
        <w:rPr>
          <w:rFonts w:cs="Times New Roman"/>
        </w:rPr>
        <w:t>,</w:t>
      </w:r>
      <w:r w:rsidR="000D1C38">
        <w:rPr>
          <w:rFonts w:cs="Times New Roman"/>
        </w:rPr>
        <w:t xml:space="preserve"> however, </w:t>
      </w:r>
      <w:r w:rsidR="00034986">
        <w:rPr>
          <w:rFonts w:cs="Times New Roman"/>
        </w:rPr>
        <w:t>the OECD</w:t>
      </w:r>
      <w:r w:rsidR="000D1C38">
        <w:rPr>
          <w:rFonts w:cs="Times New Roman"/>
        </w:rPr>
        <w:t xml:space="preserve"> eventually</w:t>
      </w:r>
      <w:r w:rsidR="00034986">
        <w:rPr>
          <w:rFonts w:cs="Times New Roman"/>
        </w:rPr>
        <w:t xml:space="preserve"> managed to overcome the resistance to</w:t>
      </w:r>
      <w:r w:rsidR="002E6E00">
        <w:rPr>
          <w:rFonts w:cs="Times New Roman"/>
        </w:rPr>
        <w:t xml:space="preserve"> explicit co</w:t>
      </w:r>
      <w:r w:rsidR="005C5995">
        <w:rPr>
          <w:rFonts w:cs="Times New Roman"/>
        </w:rPr>
        <w:t>mparisons. Today the OECD indicator</w:t>
      </w:r>
      <w:r w:rsidR="002E6E00">
        <w:rPr>
          <w:rFonts w:cs="Times New Roman"/>
        </w:rPr>
        <w:t>s show</w:t>
      </w:r>
      <w:r w:rsidR="00034986">
        <w:rPr>
          <w:rFonts w:cs="Times New Roman"/>
        </w:rPr>
        <w:t xml:space="preserve"> the position of individual countries, thus al</w:t>
      </w:r>
      <w:r w:rsidR="002E6E00">
        <w:rPr>
          <w:rFonts w:cs="Times New Roman"/>
        </w:rPr>
        <w:t>lowing cross-country appraisals and ranking.</w:t>
      </w:r>
    </w:p>
    <w:p w14:paraId="7574EE8E" w14:textId="5B435250" w:rsidR="000D1C38" w:rsidRDefault="000D1C38" w:rsidP="000D1C38">
      <w:pPr>
        <w:spacing w:after="200" w:line="360" w:lineRule="auto"/>
        <w:rPr>
          <w:rFonts w:cs="Times New Roman"/>
        </w:rPr>
      </w:pPr>
      <w:r>
        <w:rPr>
          <w:rFonts w:cs="Times New Roman"/>
        </w:rPr>
        <w:t>This cannot be explained by the nature of indicators. Proposals for regulatory metrics</w:t>
      </w:r>
      <w:r w:rsidR="00850E5E">
        <w:rPr>
          <w:rFonts w:cs="Times New Roman"/>
        </w:rPr>
        <w:t xml:space="preserve"> </w:t>
      </w:r>
      <w:r w:rsidR="00F60843">
        <w:rPr>
          <w:rFonts w:cs="Times New Roman"/>
        </w:rPr>
        <w:t xml:space="preserve">offered </w:t>
      </w:r>
      <w:r w:rsidR="00850E5E">
        <w:rPr>
          <w:rFonts w:cs="Times New Roman"/>
        </w:rPr>
        <w:t>i</w:t>
      </w:r>
      <w:r>
        <w:rPr>
          <w:rFonts w:cs="Times New Roman"/>
        </w:rPr>
        <w:t>n Brussels during the years have</w:t>
      </w:r>
      <w:r w:rsidR="00850E5E">
        <w:rPr>
          <w:rFonts w:cs="Times New Roman"/>
        </w:rPr>
        <w:t xml:space="preserve"> not</w:t>
      </w:r>
      <w:r>
        <w:rPr>
          <w:rFonts w:cs="Times New Roman"/>
        </w:rPr>
        <w:t xml:space="preserve"> been</w:t>
      </w:r>
      <w:r w:rsidR="00850E5E">
        <w:rPr>
          <w:rFonts w:cs="Times New Roman"/>
        </w:rPr>
        <w:t xml:space="preserve"> too dissimilar from the indicators used in the OECD</w:t>
      </w:r>
      <w:r w:rsidR="009928F3">
        <w:rPr>
          <w:rFonts w:cs="Times New Roman"/>
        </w:rPr>
        <w:t xml:space="preserve"> (</w:t>
      </w:r>
      <w:r w:rsidR="005C5995">
        <w:rPr>
          <w:rFonts w:cs="Times New Roman"/>
        </w:rPr>
        <w:t>Radaelli and De Francesco 2007; Radaelli and Fritsch 2012</w:t>
      </w:r>
      <w:r w:rsidR="005C5995" w:rsidRPr="00AC09FB">
        <w:rPr>
          <w:rFonts w:cs="Times New Roman"/>
        </w:rPr>
        <w:t>)</w:t>
      </w:r>
      <w:r w:rsidR="00850E5E" w:rsidRPr="00AC09FB">
        <w:rPr>
          <w:rFonts w:cs="Times New Roman"/>
        </w:rPr>
        <w:t>. This</w:t>
      </w:r>
      <w:r w:rsidR="00034986" w:rsidRPr="00AC09FB">
        <w:rPr>
          <w:rFonts w:cs="Times New Roman"/>
        </w:rPr>
        <w:t xml:space="preserve"> </w:t>
      </w:r>
      <w:r w:rsidR="00AC09FB" w:rsidRPr="005F3491">
        <w:rPr>
          <w:rFonts w:cs="Times New Roman"/>
        </w:rPr>
        <w:t>thickens the plot</w:t>
      </w:r>
      <w:r w:rsidR="00034986" w:rsidRPr="00AC09FB">
        <w:rPr>
          <w:rFonts w:cs="Times New Roman"/>
        </w:rPr>
        <w:t>.</w:t>
      </w:r>
      <w:r>
        <w:rPr>
          <w:rFonts w:cs="Times New Roman"/>
        </w:rPr>
        <w:t xml:space="preserve"> Considering the overlap (for European countries) between membership of the EU and OECD membership, </w:t>
      </w:r>
      <w:r w:rsidR="00202B81">
        <w:rPr>
          <w:rFonts w:cs="Times New Roman"/>
        </w:rPr>
        <w:t>why would</w:t>
      </w:r>
      <w:r w:rsidR="00850E5E">
        <w:rPr>
          <w:rFonts w:cs="Times New Roman"/>
        </w:rPr>
        <w:t xml:space="preserve"> the same country object to the production of indicators in the EU but not in the OECD? </w:t>
      </w:r>
    </w:p>
    <w:p w14:paraId="426EC60C" w14:textId="083C85A1" w:rsidR="003C3603" w:rsidRDefault="00AC09FB" w:rsidP="0062168F">
      <w:pPr>
        <w:spacing w:after="200" w:line="360" w:lineRule="auto"/>
      </w:pPr>
      <w:r w:rsidRPr="005F3491">
        <w:rPr>
          <w:rFonts w:cs="Times New Roman"/>
        </w:rPr>
        <w:t>Thus</w:t>
      </w:r>
      <w:r w:rsidR="0062168F" w:rsidRPr="00D766FD">
        <w:rPr>
          <w:rFonts w:cs="Times New Roman"/>
        </w:rPr>
        <w:t xml:space="preserve"> far</w:t>
      </w:r>
      <w:r w:rsidR="00937E55">
        <w:rPr>
          <w:rFonts w:cs="Times New Roman"/>
        </w:rPr>
        <w:t xml:space="preserve"> structural differences </w:t>
      </w:r>
      <w:r w:rsidR="00BA78B3">
        <w:rPr>
          <w:rFonts w:cs="Times New Roman"/>
        </w:rPr>
        <w:t>have exhibited limited explanatory leverage</w:t>
      </w:r>
      <w:r w:rsidR="0062168F">
        <w:rPr>
          <w:rFonts w:cs="Times New Roman"/>
        </w:rPr>
        <w:t>:</w:t>
      </w:r>
      <w:r w:rsidR="00937E55">
        <w:rPr>
          <w:rFonts w:cs="Times New Roman"/>
        </w:rPr>
        <w:t xml:space="preserve"> the EU is m</w:t>
      </w:r>
      <w:r w:rsidR="005C5995">
        <w:rPr>
          <w:rFonts w:cs="Times New Roman"/>
        </w:rPr>
        <w:t>ore integrated and has adopted indicators tapping into several policy domains</w:t>
      </w:r>
      <w:r w:rsidR="00A67303">
        <w:rPr>
          <w:rFonts w:cs="Times New Roman"/>
        </w:rPr>
        <w:t xml:space="preserve"> (Atkinson </w:t>
      </w:r>
      <w:r w:rsidR="00B96589">
        <w:rPr>
          <w:rFonts w:cs="Times New Roman"/>
        </w:rPr>
        <w:t xml:space="preserve">et al. </w:t>
      </w:r>
      <w:r w:rsidR="00A67303">
        <w:rPr>
          <w:rFonts w:cs="Times New Roman"/>
        </w:rPr>
        <w:t>2002)</w:t>
      </w:r>
      <w:r w:rsidR="00937E55">
        <w:rPr>
          <w:rFonts w:cs="Times New Roman"/>
        </w:rPr>
        <w:t>. But there is a</w:t>
      </w:r>
      <w:r w:rsidR="0062168F">
        <w:rPr>
          <w:rFonts w:cs="Times New Roman"/>
        </w:rPr>
        <w:t>nother</w:t>
      </w:r>
      <w:r w:rsidR="00937E55">
        <w:rPr>
          <w:rFonts w:cs="Times New Roman"/>
        </w:rPr>
        <w:t xml:space="preserve"> fundamental structural difference.</w:t>
      </w:r>
      <w:r w:rsidR="00742D5E" w:rsidRPr="00BB7739">
        <w:t xml:space="preserve"> The European Commission is a regulat</w:t>
      </w:r>
      <w:r w:rsidR="0062168F">
        <w:t>or, whilst</w:t>
      </w:r>
      <w:r w:rsidR="00850E5E">
        <w:t xml:space="preserve"> </w:t>
      </w:r>
      <w:r w:rsidR="00937E55">
        <w:t xml:space="preserve">the OECD </w:t>
      </w:r>
      <w:r w:rsidR="005A3573">
        <w:t xml:space="preserve">does </w:t>
      </w:r>
      <w:r w:rsidR="00C33899">
        <w:t xml:space="preserve">not </w:t>
      </w:r>
      <w:r w:rsidR="00C33899">
        <w:lastRenderedPageBreak/>
        <w:t>regulate its</w:t>
      </w:r>
      <w:r w:rsidR="00742D5E" w:rsidRPr="00BB7739">
        <w:t xml:space="preserve"> memb</w:t>
      </w:r>
      <w:r w:rsidR="00937E55">
        <w:t>er states</w:t>
      </w:r>
      <w:r w:rsidR="00246D67">
        <w:t xml:space="preserve"> (Marcussen 2004; Pal 2012; Stone 2003)</w:t>
      </w:r>
      <w:r w:rsidR="00742D5E" w:rsidRPr="00BB7739">
        <w:t>. Being a regulator, the Commission</w:t>
      </w:r>
      <w:r w:rsidR="00B92E35">
        <w:t xml:space="preserve"> is accountable on whether EU</w:t>
      </w:r>
      <w:r w:rsidR="00742D5E" w:rsidRPr="00BB7739">
        <w:t xml:space="preserve"> regulation is necessary, adequate, and broadly speaking meets the standards of efficiency and subsidiarity. Since the 1990s, </w:t>
      </w:r>
      <w:r w:rsidR="00BA78B3">
        <w:t>the topics of better lawmaking and, later on, better regulation</w:t>
      </w:r>
      <w:r w:rsidR="00742D5E" w:rsidRPr="00BB7739">
        <w:t xml:space="preserve"> have been high on the agenda of national delegations and ministers complaining about excessi</w:t>
      </w:r>
      <w:r w:rsidR="00601C7A">
        <w:t>ve or inefficient EU regulation - hypocritically ignoring the fact that major regulatory decisions are taken with the consensus of all EU institutions, including the Council of Ministers.</w:t>
      </w:r>
      <w:r w:rsidR="00742D5E" w:rsidRPr="00BB7739">
        <w:t xml:space="preserve"> </w:t>
      </w:r>
    </w:p>
    <w:p w14:paraId="657AD1EC" w14:textId="685CD0CB" w:rsidR="009E2C15" w:rsidRPr="00937E55" w:rsidRDefault="00742D5E" w:rsidP="0062168F">
      <w:pPr>
        <w:spacing w:after="200" w:line="360" w:lineRule="auto"/>
      </w:pPr>
      <w:r w:rsidRPr="00BB7739">
        <w:t>Thus, the relationship between the Commission and the member states is a two-way s</w:t>
      </w:r>
      <w:r w:rsidR="00F73AE2">
        <w:t>treet.</w:t>
      </w:r>
      <w:r w:rsidR="00B92E35">
        <w:t xml:space="preserve">  The Commission has invited the EU</w:t>
      </w:r>
      <w:r w:rsidRPr="00BB7739">
        <w:t xml:space="preserve"> member states </w:t>
      </w:r>
      <w:r w:rsidR="005A3573">
        <w:t xml:space="preserve">over the years </w:t>
      </w:r>
      <w:r w:rsidRPr="00BB7739">
        <w:t>to adopt regulatory indicators and other instruments to keep track of the</w:t>
      </w:r>
      <w:r w:rsidR="0062168F">
        <w:t>ir reforms</w:t>
      </w:r>
      <w:r w:rsidRPr="00BB7739">
        <w:t xml:space="preserve">. </w:t>
      </w:r>
      <w:r w:rsidR="005A3573">
        <w:t>Yet</w:t>
      </w:r>
      <w:r w:rsidR="005A3573" w:rsidRPr="00BB7739">
        <w:t xml:space="preserve"> </w:t>
      </w:r>
      <w:r w:rsidRPr="00BB7739">
        <w:t>member states</w:t>
      </w:r>
      <w:r w:rsidR="008C4A50">
        <w:t>,</w:t>
      </w:r>
      <w:r w:rsidRPr="00BB7739">
        <w:t xml:space="preserve"> too</w:t>
      </w:r>
      <w:r w:rsidR="008C4A50">
        <w:t>,</w:t>
      </w:r>
      <w:r w:rsidRPr="00BB7739">
        <w:t xml:space="preserve"> have on many occasions asked the Commission to prove the value for money of EU regulation</w:t>
      </w:r>
      <w:r w:rsidR="0062168F">
        <w:t>.</w:t>
      </w:r>
      <w:r w:rsidR="00E81EEF" w:rsidRPr="00BB7739">
        <w:t xml:space="preserve"> The European Parliament is another actor active on the side of demand for more </w:t>
      </w:r>
      <w:r w:rsidR="00850E5E">
        <w:t>rigorous appraisal of regulations</w:t>
      </w:r>
      <w:r w:rsidR="00E81EEF" w:rsidRPr="00BB7739">
        <w:t xml:space="preserve">. </w:t>
      </w:r>
      <w:r w:rsidR="00202B81">
        <w:t>Measuring regulation</w:t>
      </w:r>
      <w:r w:rsidR="006D1EB7">
        <w:t>,</w:t>
      </w:r>
      <w:r w:rsidR="00202B81">
        <w:t xml:space="preserve"> th</w:t>
      </w:r>
      <w:r w:rsidR="006D1EB7">
        <w:t>e</w:t>
      </w:r>
      <w:r w:rsidR="00202B81">
        <w:t>n</w:t>
      </w:r>
      <w:r w:rsidR="006D1EB7">
        <w:t>,</w:t>
      </w:r>
      <w:r w:rsidR="00202B81">
        <w:t xml:space="preserve"> means defining who is in control of the EU’s lawmaking process.</w:t>
      </w:r>
    </w:p>
    <w:p w14:paraId="23114A1A" w14:textId="0DC32530" w:rsidR="006A07A5" w:rsidRDefault="009831F4" w:rsidP="009F42C4">
      <w:pPr>
        <w:spacing w:after="200" w:line="360" w:lineRule="auto"/>
      </w:pPr>
      <w:r>
        <w:t xml:space="preserve">By contrast, </w:t>
      </w:r>
      <w:r w:rsidR="006D5CCE">
        <w:t>a fundamental task</w:t>
      </w:r>
      <w:r w:rsidR="00937E55">
        <w:t xml:space="preserve"> </w:t>
      </w:r>
      <w:r>
        <w:t xml:space="preserve">of </w:t>
      </w:r>
      <w:r>
        <w:rPr>
          <w:rFonts w:cs="Arial"/>
          <w:color w:val="1A1A1A"/>
        </w:rPr>
        <w:t>the OECD</w:t>
      </w:r>
      <w:r w:rsidR="00937E55">
        <w:rPr>
          <w:rFonts w:cs="Arial"/>
          <w:color w:val="1A1A1A"/>
        </w:rPr>
        <w:t xml:space="preserve"> Regulatory Policy Division is to provide </w:t>
      </w:r>
      <w:r w:rsidR="006D5CCE">
        <w:rPr>
          <w:rFonts w:cs="Arial"/>
          <w:color w:val="1A1A1A"/>
        </w:rPr>
        <w:t xml:space="preserve">policy </w:t>
      </w:r>
      <w:r w:rsidR="00937E55">
        <w:rPr>
          <w:rFonts w:cs="Arial"/>
          <w:color w:val="1A1A1A"/>
        </w:rPr>
        <w:t xml:space="preserve">advice </w:t>
      </w:r>
      <w:r w:rsidR="006D5CCE">
        <w:rPr>
          <w:rFonts w:cs="Arial"/>
          <w:color w:val="1A1A1A"/>
        </w:rPr>
        <w:t>to the national delegates</w:t>
      </w:r>
      <w:r w:rsidR="000121A7">
        <w:rPr>
          <w:rFonts w:cs="Arial"/>
          <w:color w:val="1A1A1A"/>
        </w:rPr>
        <w:t xml:space="preserve">. There is no </w:t>
      </w:r>
      <w:r>
        <w:rPr>
          <w:rFonts w:cs="Arial"/>
          <w:color w:val="1A1A1A"/>
        </w:rPr>
        <w:t xml:space="preserve">body of </w:t>
      </w:r>
      <w:r w:rsidR="00035469">
        <w:rPr>
          <w:rFonts w:cs="Arial"/>
          <w:color w:val="1A1A1A"/>
        </w:rPr>
        <w:t>OECD-level</w:t>
      </w:r>
      <w:r>
        <w:rPr>
          <w:rFonts w:cs="Arial"/>
          <w:color w:val="1A1A1A"/>
        </w:rPr>
        <w:t xml:space="preserve"> economic or social regulations</w:t>
      </w:r>
      <w:r w:rsidR="000121A7">
        <w:rPr>
          <w:rFonts w:cs="Arial"/>
          <w:color w:val="1A1A1A"/>
        </w:rPr>
        <w:t xml:space="preserve"> that needs to be</w:t>
      </w:r>
      <w:r>
        <w:rPr>
          <w:rFonts w:cs="Arial"/>
          <w:color w:val="1A1A1A"/>
        </w:rPr>
        <w:t xml:space="preserve"> monitored or</w:t>
      </w:r>
      <w:r w:rsidR="000121A7">
        <w:rPr>
          <w:rFonts w:cs="Arial"/>
          <w:color w:val="1A1A1A"/>
        </w:rPr>
        <w:t xml:space="preserve"> controlled.</w:t>
      </w:r>
      <w:r w:rsidR="000121A7">
        <w:t xml:space="preserve"> </w:t>
      </w:r>
      <w:r w:rsidR="00BA78B3">
        <w:t>The function of control</w:t>
      </w:r>
      <w:r w:rsidR="00202B81">
        <w:t xml:space="preserve"> is much less important than the network-lik</w:t>
      </w:r>
      <w:r w:rsidR="00B92E35">
        <w:t>e dynamics</w:t>
      </w:r>
      <w:r w:rsidR="00BA78B3">
        <w:t xml:space="preserve"> (Pal </w:t>
      </w:r>
      <w:r w:rsidR="00202B81">
        <w:t xml:space="preserve">2012). </w:t>
      </w:r>
      <w:r w:rsidR="00BA78B3">
        <w:t>National</w:t>
      </w:r>
      <w:r w:rsidR="006A07A5">
        <w:t xml:space="preserve"> delegates have more ownership of the OECD agenda-setting process than in single market governance: tellingly, De Francesco (2016) finds that OECD indicators stimulate a ty</w:t>
      </w:r>
      <w:r w:rsidR="00442DEA">
        <w:t xml:space="preserve">pe of benchmarking that is fueled by learning rather than </w:t>
      </w:r>
      <w:r w:rsidR="00F73AE2">
        <w:t xml:space="preserve">via </w:t>
      </w:r>
      <w:r w:rsidR="00442DEA">
        <w:t xml:space="preserve">control or competition. </w:t>
      </w:r>
    </w:p>
    <w:p w14:paraId="42652F4F" w14:textId="5FB3F039" w:rsidR="0062168F" w:rsidRDefault="00202B81" w:rsidP="009F42C4">
      <w:pPr>
        <w:spacing w:after="200" w:line="360" w:lineRule="auto"/>
      </w:pPr>
      <w:r>
        <w:t xml:space="preserve">We infer from these structural properties that the agenda-setting processes of the two organizations are different. How this difference matters is </w:t>
      </w:r>
      <w:r w:rsidR="00AC09FB">
        <w:t>difficult to establish</w:t>
      </w:r>
      <w:r>
        <w:t xml:space="preserve"> unless we</w:t>
      </w:r>
      <w:r w:rsidR="00442DEA">
        <w:t xml:space="preserve"> turn to process-tracing and specifically attend to the</w:t>
      </w:r>
      <w:r>
        <w:t xml:space="preserve"> analysis of process-related variables</w:t>
      </w:r>
      <w:r w:rsidR="00F73AE2">
        <w:t xml:space="preserve"> over time</w:t>
      </w:r>
      <w:r w:rsidRPr="00905EF0">
        <w:t>.</w:t>
      </w:r>
      <w:r w:rsidR="000121A7" w:rsidRPr="00D766FD">
        <w:t xml:space="preserve"> </w:t>
      </w:r>
      <w:r w:rsidR="00B92E35">
        <w:t>As mentioned,</w:t>
      </w:r>
      <w:r w:rsidR="00442DEA" w:rsidRPr="00905EF0">
        <w:t xml:space="preserve"> we </w:t>
      </w:r>
      <w:r w:rsidR="00905EF0">
        <w:t>must</w:t>
      </w:r>
      <w:r w:rsidR="00442DEA">
        <w:t xml:space="preserve"> explain the different outcome (EU has not adopted indicators but the OECD has), the variation of attention over time (high in the initial stage of EU agenda-setting, </w:t>
      </w:r>
      <w:r w:rsidR="00442DEA">
        <w:lastRenderedPageBreak/>
        <w:t>low in recent times), and the content of indicators (over time they become more explicitly comparative in the OECD and therefore harder to adopt).</w:t>
      </w:r>
    </w:p>
    <w:p w14:paraId="37773C14" w14:textId="74E62E81" w:rsidR="007859DA" w:rsidRDefault="000A37FD" w:rsidP="009F42C4">
      <w:pPr>
        <w:spacing w:after="200" w:line="360" w:lineRule="auto"/>
      </w:pPr>
      <w:r w:rsidRPr="009960C0">
        <w:t>An approach</w:t>
      </w:r>
      <w:r w:rsidR="0062168F" w:rsidRPr="009960C0">
        <w:t xml:space="preserve"> that performs well over time</w:t>
      </w:r>
      <w:r w:rsidR="00442DEA">
        <w:t xml:space="preserve"> </w:t>
      </w:r>
      <w:r w:rsidR="00F73AE2">
        <w:t xml:space="preserve">is policy learning </w:t>
      </w:r>
      <w:r w:rsidR="00F73AE2" w:rsidRPr="009960C0">
        <w:t>(</w:t>
      </w:r>
      <w:r w:rsidR="00246D67">
        <w:t xml:space="preserve">De Francesco 2016; </w:t>
      </w:r>
      <w:r w:rsidR="00F73AE2" w:rsidRPr="009960C0">
        <w:t>Freeman, 2006</w:t>
      </w:r>
      <w:r w:rsidR="00F73AE2">
        <w:t xml:space="preserve">). </w:t>
      </w:r>
      <w:r w:rsidR="007859DA">
        <w:t xml:space="preserve">We need to briefly introduce the theoretical constructs that will be used in the empirical process-tracing, deriving observable implications from ideal-types of learning and showing why they matter for </w:t>
      </w:r>
      <w:r w:rsidR="00F73AE2">
        <w:t xml:space="preserve">our </w:t>
      </w:r>
      <w:r w:rsidR="007859DA">
        <w:t>ex</w:t>
      </w:r>
      <w:r w:rsidR="00F73AE2">
        <w:t>planatory purposes</w:t>
      </w:r>
      <w:r w:rsidR="007859DA">
        <w:t>.</w:t>
      </w:r>
    </w:p>
    <w:p w14:paraId="671ED6F7" w14:textId="4CFC2789" w:rsidR="003F20ED" w:rsidRDefault="00525190" w:rsidP="001105E6">
      <w:pPr>
        <w:spacing w:after="200" w:line="360" w:lineRule="auto"/>
      </w:pPr>
      <w:r>
        <w:t>Learning</w:t>
      </w:r>
      <w:r w:rsidR="009831F4">
        <w:t xml:space="preserve"> in public policy</w:t>
      </w:r>
      <w:r>
        <w:t xml:space="preserve"> is the process of adapting priors and beliefs on the basis of experience an</w:t>
      </w:r>
      <w:r w:rsidR="00601C7A">
        <w:t>d social interaction</w:t>
      </w:r>
      <w:r>
        <w:t xml:space="preserve">. </w:t>
      </w:r>
      <w:r w:rsidR="0062168F">
        <w:t>However,</w:t>
      </w:r>
      <w:r w:rsidR="009831F4">
        <w:t xml:space="preserve"> </w:t>
      </w:r>
      <w:r w:rsidR="0062168F">
        <w:t>learning is often examined at the macro-macro level</w:t>
      </w:r>
      <w:r w:rsidR="009831F4">
        <w:t>: learning in country X (independent variable) causes changes in policy</w:t>
      </w:r>
      <w:r>
        <w:t xml:space="preserve"> </w:t>
      </w:r>
      <w:r w:rsidR="009831F4">
        <w:t xml:space="preserve">Y (dependent variable). </w:t>
      </w:r>
      <w:r>
        <w:t>This has severe limitations in terms of research design</w:t>
      </w:r>
      <w:r w:rsidR="0062168F">
        <w:t xml:space="preserve"> </w:t>
      </w:r>
      <w:r w:rsidR="000E71EF">
        <w:t xml:space="preserve">(Dunlop and </w:t>
      </w:r>
      <w:r w:rsidR="000E71EF" w:rsidRPr="002835EC">
        <w:t xml:space="preserve">Radaelli </w:t>
      </w:r>
      <w:r w:rsidR="0062168F" w:rsidRPr="002835EC">
        <w:t>201</w:t>
      </w:r>
      <w:r w:rsidR="00486C28" w:rsidRPr="002835EC">
        <w:t>7</w:t>
      </w:r>
      <w:r w:rsidRPr="002835EC">
        <w:t xml:space="preserve">). </w:t>
      </w:r>
      <w:r w:rsidR="00BA78B3" w:rsidRPr="002835EC">
        <w:t>Scholars of organizational learning have made the case for the observation of learning at the level of internal organizational processes (Huber 1991; March and Olsen 1975). Yet in comparative public policy analysis there are few studies of learning that are strong on micro-foundations and observe the interactions between individuals in complex organizat</w:t>
      </w:r>
      <w:r w:rsidR="00726C6A">
        <w:t>ions (</w:t>
      </w:r>
      <w:r w:rsidR="00BA78B3" w:rsidRPr="002835EC">
        <w:t>Kamkhaji and Radaelli 2017).</w:t>
      </w:r>
      <w:r w:rsidR="001105E6" w:rsidRPr="002835EC">
        <w:t xml:space="preserve"> </w:t>
      </w:r>
      <w:r w:rsidR="00BA78B3" w:rsidRPr="002835EC">
        <w:t xml:space="preserve">Thus, </w:t>
      </w:r>
      <w:r w:rsidR="001105E6" w:rsidRPr="002835EC">
        <w:t>our</w:t>
      </w:r>
      <w:r w:rsidRPr="002835EC">
        <w:t xml:space="preserve"> original </w:t>
      </w:r>
      <w:r w:rsidR="00BA78B3" w:rsidRPr="002835EC">
        <w:t xml:space="preserve">contribution to </w:t>
      </w:r>
      <w:r w:rsidR="001105E6" w:rsidRPr="002835EC">
        <w:t>theories of policy learning lies in</w:t>
      </w:r>
      <w:r w:rsidR="00442DEA" w:rsidRPr="002835EC">
        <w:t xml:space="preserve"> the</w:t>
      </w:r>
      <w:r w:rsidRPr="002835EC">
        <w:t xml:space="preserve"> focus on the mic</w:t>
      </w:r>
      <w:r w:rsidR="001105E6" w:rsidRPr="002835EC">
        <w:t>ro-organizational level</w:t>
      </w:r>
      <w:r w:rsidR="00726C6A">
        <w:t xml:space="preserve"> (Hadjiisky et al. 2017: 18 and 25)</w:t>
      </w:r>
      <w:r w:rsidR="001105E6" w:rsidRPr="002835EC">
        <w:t xml:space="preserve">: briefly, </w:t>
      </w:r>
      <w:r w:rsidR="00BA78B3" w:rsidRPr="002835EC">
        <w:t>we look inside</w:t>
      </w:r>
      <w:r>
        <w:t xml:space="preserve"> the EU and the OECD a</w:t>
      </w:r>
      <w:r w:rsidR="00246D67">
        <w:t xml:space="preserve">t the constellations of actors </w:t>
      </w:r>
      <w:r>
        <w:t xml:space="preserve">and problems involved in the </w:t>
      </w:r>
      <w:r w:rsidR="001105E6">
        <w:t>organizational processes concerning</w:t>
      </w:r>
      <w:r>
        <w:t xml:space="preserve"> regulatory indicators.</w:t>
      </w:r>
      <w:r w:rsidR="0062168F">
        <w:t xml:space="preserve"> </w:t>
      </w:r>
    </w:p>
    <w:p w14:paraId="43F35384" w14:textId="00858D49" w:rsidR="007859DA" w:rsidRDefault="001105E6" w:rsidP="007859DA">
      <w:pPr>
        <w:spacing w:after="200" w:line="360" w:lineRule="auto"/>
      </w:pPr>
      <w:r>
        <w:t>O</w:t>
      </w:r>
      <w:r w:rsidR="009831F4">
        <w:t>ur causal claim is that variation</w:t>
      </w:r>
      <w:r w:rsidR="007859DA">
        <w:t xml:space="preserve"> in learning generated by </w:t>
      </w:r>
      <w:r w:rsidR="009831F4">
        <w:t>int</w:t>
      </w:r>
      <w:r w:rsidR="007859DA">
        <w:t>eractions among individuals in the</w:t>
      </w:r>
      <w:r w:rsidR="009831F4">
        <w:t xml:space="preserve"> </w:t>
      </w:r>
      <w:r w:rsidR="007859DA">
        <w:t>two organization</w:t>
      </w:r>
      <w:r w:rsidR="00494559">
        <w:t>s</w:t>
      </w:r>
      <w:r w:rsidR="007859DA">
        <w:t xml:space="preserve"> explain</w:t>
      </w:r>
      <w:r w:rsidR="00135199">
        <w:t>s</w:t>
      </w:r>
      <w:r w:rsidR="007859DA">
        <w:t xml:space="preserve"> variation</w:t>
      </w:r>
      <w:r w:rsidR="00494559">
        <w:t xml:space="preserve"> on</w:t>
      </w:r>
      <w:r w:rsidR="007859DA">
        <w:t xml:space="preserve"> adopt</w:t>
      </w:r>
      <w:r w:rsidR="00494559">
        <w:t>ion</w:t>
      </w:r>
      <w:r w:rsidR="007859DA">
        <w:t>, timing and content</w:t>
      </w:r>
      <w:r w:rsidR="009831F4">
        <w:t>.</w:t>
      </w:r>
      <w:r w:rsidR="00BC5EE7">
        <w:t xml:space="preserve"> What are the conditions for learning, then? </w:t>
      </w:r>
      <w:r w:rsidR="007859DA">
        <w:t>How can we ob</w:t>
      </w:r>
      <w:r w:rsidR="003D488A">
        <w:t>serve them empirically</w:t>
      </w:r>
      <w:r w:rsidR="007859DA">
        <w:t>?</w:t>
      </w:r>
    </w:p>
    <w:p w14:paraId="7F6C1D63" w14:textId="273121A9" w:rsidR="00D27A45" w:rsidRDefault="007859DA" w:rsidP="0038792B">
      <w:pPr>
        <w:spacing w:after="200" w:line="360" w:lineRule="auto"/>
      </w:pPr>
      <w:r>
        <w:t xml:space="preserve">The </w:t>
      </w:r>
      <w:r w:rsidR="009831F4">
        <w:t xml:space="preserve">literature has </w:t>
      </w:r>
      <w:r>
        <w:t xml:space="preserve">put forward </w:t>
      </w:r>
      <w:r w:rsidR="009831F4">
        <w:t>a set of conditions:</w:t>
      </w:r>
      <w:r w:rsidR="00BC5EE7">
        <w:t xml:space="preserve"> </w:t>
      </w:r>
      <w:r w:rsidR="000A37FD">
        <w:t>learning is facilitated by socialization,</w:t>
      </w:r>
      <w:r w:rsidR="009831F4">
        <w:t xml:space="preserve"> </w:t>
      </w:r>
      <w:r w:rsidR="000A37FD">
        <w:t>and the validation of knowledge by those who are directly involved in its production - as opposed to extern</w:t>
      </w:r>
      <w:r>
        <w:t xml:space="preserve">al validation by, </w:t>
      </w:r>
      <w:r w:rsidR="00611037">
        <w:t>for example</w:t>
      </w:r>
      <w:r>
        <w:t>, communities of experts</w:t>
      </w:r>
      <w:r w:rsidR="000A37FD">
        <w:t xml:space="preserve"> </w:t>
      </w:r>
      <w:r w:rsidR="000A37FD" w:rsidRPr="009960C0">
        <w:t xml:space="preserve">(Dunlop and Radaelli 2013; Risse and Klein 2010; Risse 2013). </w:t>
      </w:r>
      <w:r w:rsidR="009831F4">
        <w:t xml:space="preserve">In </w:t>
      </w:r>
      <w:r>
        <w:t>international organizations, three</w:t>
      </w:r>
      <w:r w:rsidR="009831F4">
        <w:t xml:space="preserve"> more conditions apply: the posture of the committee chair and the secretariat, and whether the delegates from </w:t>
      </w:r>
      <w:r w:rsidR="009831F4">
        <w:lastRenderedPageBreak/>
        <w:t xml:space="preserve">member states and the organization’s staff </w:t>
      </w:r>
      <w:r w:rsidR="00E90625">
        <w:t xml:space="preserve">see their roles as mutually constitutive or in terms of agent-principal relations (Risse and Klein 2010; Pal 2012: 23). </w:t>
      </w:r>
      <w:r>
        <w:t>Thus</w:t>
      </w:r>
      <w:r w:rsidR="00611037">
        <w:t>,</w:t>
      </w:r>
      <w:r w:rsidR="00BE74A6">
        <w:t xml:space="preserve"> we have observable implications. T</w:t>
      </w:r>
      <w:r>
        <w:t>o generate learning that effectively changes behavior, we should observe</w:t>
      </w:r>
      <w:r w:rsidR="001105E6">
        <w:t xml:space="preserve"> the following in the internal processes of complex organizations:</w:t>
      </w:r>
      <w:r>
        <w:t xml:space="preserve"> socialization, direct involvement in the production of learning, </w:t>
      </w:r>
      <w:r w:rsidR="003F4C33">
        <w:t>a suitable posture of the chair and secretariat of the committees, and mutual ownership of the process by government delegates and the staff of international organizations.</w:t>
      </w:r>
    </w:p>
    <w:p w14:paraId="5EB3CCC0" w14:textId="451A89CD" w:rsidR="003F4C33" w:rsidRDefault="001105E6" w:rsidP="0038792B">
      <w:pPr>
        <w:spacing w:after="200" w:line="360" w:lineRule="auto"/>
      </w:pPr>
      <w:r>
        <w:t xml:space="preserve">We need one more element for the architecture of our research design. </w:t>
      </w:r>
      <w:r w:rsidR="003F4C33">
        <w:t>Dunlop and Radaelli (2013) distinguish self-directed learning from other types of learning. They define learners as “those decision makers, policy makers and public organizations th</w:t>
      </w:r>
      <w:r>
        <w:t>a</w:t>
      </w:r>
      <w:r w:rsidR="003F4C33">
        <w:t>t hold the decision-making power at any moment in time. Teachers are those actors that seek to influence the decision-making proc</w:t>
      </w:r>
      <w:r w:rsidR="00BE74A6">
        <w:t>ess” (Dunlop and Radaelli 2013:606</w:t>
      </w:r>
      <w:r w:rsidR="003F4C33">
        <w:t>).  When the learners are in control of the content</w:t>
      </w:r>
      <w:r w:rsidR="002B443F">
        <w:t xml:space="preserve"> or </w:t>
      </w:r>
      <w:r w:rsidR="003F4C33">
        <w:t xml:space="preserve">means of learning as well as in control of the learning objectives </w:t>
      </w:r>
      <w:r w:rsidR="002B443F">
        <w:t xml:space="preserve">they </w:t>
      </w:r>
      <w:r w:rsidR="003F4C33">
        <w:t xml:space="preserve">are in self-directed learning mode. This mode is powerful because </w:t>
      </w:r>
      <w:r w:rsidR="000268F3">
        <w:t xml:space="preserve">the learners </w:t>
      </w:r>
      <w:r w:rsidR="003F4C33">
        <w:t>can adjudicate and even create the evidence they need, without being constrained by disciplinary paradigms or pre-determined exogenous goals. In public policy, self-directed learners are not auto-didactic individuals: “learners in the self-directed mode may take advice from a range of teachers on the veracity of the information they find (…) They do not, however, identify with a single actor to inform the content and direction of pol</w:t>
      </w:r>
      <w:r w:rsidR="00BE74A6">
        <w:t>icy” (Dunlop and Radaelli 2013:606</w:t>
      </w:r>
      <w:r w:rsidR="003F4C33">
        <w:t>).</w:t>
      </w:r>
      <w:r>
        <w:t xml:space="preserve"> Consequently, our final</w:t>
      </w:r>
      <w:r w:rsidR="002A55AD">
        <w:t xml:space="preserve"> condition is about the presence (or absence) of self-directed learning. </w:t>
      </w:r>
    </w:p>
    <w:p w14:paraId="2A60199F" w14:textId="69CAD1AB" w:rsidR="000A37FD" w:rsidRPr="00B57949" w:rsidRDefault="002A55AD" w:rsidP="009F42C4">
      <w:pPr>
        <w:spacing w:after="200" w:line="360" w:lineRule="auto"/>
      </w:pPr>
      <w:r>
        <w:t>In line with th</w:t>
      </w:r>
      <w:r w:rsidR="001105E6">
        <w:t>ese expectations, we should observe</w:t>
      </w:r>
      <w:r>
        <w:t xml:space="preserve"> for the OECD</w:t>
      </w:r>
      <w:r w:rsidR="008264FC">
        <w:t xml:space="preserve"> a process of self-directed learning supported by</w:t>
      </w:r>
      <w:r w:rsidR="00E90625">
        <w:t xml:space="preserve"> high socialization</w:t>
      </w:r>
      <w:r w:rsidR="00BC5EE7">
        <w:t>,</w:t>
      </w:r>
      <w:r w:rsidR="00E90625">
        <w:t xml:space="preserve"> external validation of knowledge kept to a minimum, favorable attitudes of the secretariat, </w:t>
      </w:r>
      <w:r w:rsidR="008264FC">
        <w:t xml:space="preserve">and mutually constitutive roles of national delegates and the international bureaucracy. </w:t>
      </w:r>
      <w:r w:rsidR="00E90625">
        <w:t>Th</w:t>
      </w:r>
      <w:r w:rsidR="001105E6">
        <w:t>e reverse should be observed in</w:t>
      </w:r>
      <w:r w:rsidR="00D27A45">
        <w:t xml:space="preserve"> the EU</w:t>
      </w:r>
      <w:r w:rsidR="001105E6">
        <w:t xml:space="preserve"> case</w:t>
      </w:r>
      <w:r w:rsidR="00E90625">
        <w:t>.</w:t>
      </w:r>
    </w:p>
    <w:p w14:paraId="2529A78F" w14:textId="6957E4A0" w:rsidR="003F20ED" w:rsidRPr="006B789B" w:rsidRDefault="006B789B" w:rsidP="003F20ED">
      <w:pPr>
        <w:pStyle w:val="Heading1"/>
        <w:rPr>
          <w:rFonts w:asciiTheme="minorHAnsi" w:hAnsiTheme="minorHAnsi"/>
          <w:color w:val="auto"/>
          <w:sz w:val="24"/>
          <w:szCs w:val="24"/>
        </w:rPr>
      </w:pPr>
      <w:r w:rsidRPr="006B789B">
        <w:rPr>
          <w:rFonts w:asciiTheme="minorHAnsi" w:hAnsiTheme="minorHAnsi"/>
          <w:color w:val="auto"/>
          <w:sz w:val="24"/>
          <w:szCs w:val="24"/>
        </w:rPr>
        <w:t xml:space="preserve">4. </w:t>
      </w:r>
      <w:r>
        <w:rPr>
          <w:rFonts w:asciiTheme="minorHAnsi" w:hAnsiTheme="minorHAnsi"/>
          <w:color w:val="auto"/>
          <w:sz w:val="24"/>
          <w:szCs w:val="24"/>
        </w:rPr>
        <w:t>R</w:t>
      </w:r>
      <w:r w:rsidR="00B57949" w:rsidRPr="006B789B">
        <w:rPr>
          <w:rFonts w:asciiTheme="minorHAnsi" w:hAnsiTheme="minorHAnsi"/>
          <w:color w:val="auto"/>
          <w:sz w:val="24"/>
          <w:szCs w:val="24"/>
        </w:rPr>
        <w:t>egulatory indicators in</w:t>
      </w:r>
      <w:r>
        <w:rPr>
          <w:rFonts w:asciiTheme="minorHAnsi" w:hAnsiTheme="minorHAnsi"/>
          <w:color w:val="auto"/>
          <w:sz w:val="24"/>
          <w:szCs w:val="24"/>
        </w:rPr>
        <w:t xml:space="preserve"> the European Union</w:t>
      </w:r>
    </w:p>
    <w:p w14:paraId="0E12138C" w14:textId="77777777" w:rsidR="00742D5E" w:rsidRPr="00BB7739" w:rsidRDefault="00742D5E" w:rsidP="00742D5E"/>
    <w:p w14:paraId="589147D1" w14:textId="37D04C4E" w:rsidR="009E2C15" w:rsidRPr="00BB7739" w:rsidRDefault="0038792B" w:rsidP="009F42C4">
      <w:pPr>
        <w:spacing w:after="200" w:line="360" w:lineRule="auto"/>
      </w:pPr>
      <w:r>
        <w:lastRenderedPageBreak/>
        <w:t>S</w:t>
      </w:r>
      <w:r w:rsidR="003F20ED" w:rsidRPr="00BB7739">
        <w:t>ince the</w:t>
      </w:r>
      <w:r w:rsidR="00525190">
        <w:t xml:space="preserve"> Edinburgh summit of 1992, </w:t>
      </w:r>
      <w:r>
        <w:t>the European Commission has come under considerable pressure to justify the necessity and efficiency of its regulations.</w:t>
      </w:r>
      <w:r w:rsidR="000268F3">
        <w:t xml:space="preserve"> Thus, in</w:t>
      </w:r>
      <w:r w:rsidR="002A55AD">
        <w:t xml:space="preserve"> this policy domain</w:t>
      </w:r>
      <w:r w:rsidR="000268F3">
        <w:t>,</w:t>
      </w:r>
      <w:r>
        <w:t xml:space="preserve"> the nature of the relationship between m</w:t>
      </w:r>
      <w:r w:rsidR="000268F3">
        <w:t>ember states and the Commission</w:t>
      </w:r>
      <w:r>
        <w:t xml:space="preserve"> was one of p</w:t>
      </w:r>
      <w:r w:rsidR="001105E6">
        <w:t>rincipal-agent rather than mutually constitutive relations</w:t>
      </w:r>
      <w:r>
        <w:t xml:space="preserve">. </w:t>
      </w:r>
      <w:r w:rsidR="002F25EB">
        <w:t xml:space="preserve"> </w:t>
      </w:r>
      <w:r w:rsidR="003F20ED" w:rsidRPr="00BB7739">
        <w:t>After a decade spent in producing partial responses to the demand of member states for</w:t>
      </w:r>
      <w:r w:rsidR="005E6FE8">
        <w:t xml:space="preserve"> </w:t>
      </w:r>
      <w:r w:rsidR="003F20ED" w:rsidRPr="00BB7739">
        <w:t>b</w:t>
      </w:r>
      <w:r w:rsidR="005E6FE8">
        <w:t>etter lawmaking</w:t>
      </w:r>
      <w:r w:rsidR="003F20ED" w:rsidRPr="00BB7739">
        <w:t xml:space="preserve">, </w:t>
      </w:r>
      <w:r w:rsidR="002F25EB">
        <w:t>in 2002 the Commission produced</w:t>
      </w:r>
      <w:r w:rsidR="00525190">
        <w:t xml:space="preserve"> its </w:t>
      </w:r>
      <w:r w:rsidR="002F25EB">
        <w:t xml:space="preserve">first integrated </w:t>
      </w:r>
      <w:r w:rsidR="00525190">
        <w:t>approach to</w:t>
      </w:r>
      <w:r w:rsidR="003F20ED" w:rsidRPr="00BB7739">
        <w:t xml:space="preserve"> regulatory management. </w:t>
      </w:r>
    </w:p>
    <w:p w14:paraId="3748238B" w14:textId="39B8D47F" w:rsidR="002F25EB" w:rsidRDefault="003F20ED" w:rsidP="002F25EB">
      <w:pPr>
        <w:spacing w:after="200" w:line="360" w:lineRule="auto"/>
      </w:pPr>
      <w:r w:rsidRPr="00BB7739">
        <w:t xml:space="preserve">The approach was </w:t>
      </w:r>
      <w:r w:rsidR="002F25EB">
        <w:t>anchored to</w:t>
      </w:r>
      <w:r w:rsidR="009E2C15" w:rsidRPr="00BB7739">
        <w:t xml:space="preserve"> the </w:t>
      </w:r>
      <w:r w:rsidR="00525190">
        <w:t xml:space="preserve">philosophy </w:t>
      </w:r>
      <w:r w:rsidR="009E2C15" w:rsidRPr="00BB7739">
        <w:t>of the White Paper on G</w:t>
      </w:r>
      <w:r w:rsidRPr="00BB7739">
        <w:t>overnance (Europ</w:t>
      </w:r>
      <w:r w:rsidR="00035469">
        <w:t>ean Commission</w:t>
      </w:r>
      <w:r w:rsidRPr="00BB7739">
        <w:t xml:space="preserve"> 2001).</w:t>
      </w:r>
      <w:r w:rsidR="009E2C15" w:rsidRPr="00BB7739">
        <w:t xml:space="preserve"> </w:t>
      </w:r>
      <w:r w:rsidR="006E67DC" w:rsidRPr="00BB7739">
        <w:t>It was also a response to a high profile report prepared by a group of national experts and delegates on regulato</w:t>
      </w:r>
      <w:r w:rsidR="00B4327B">
        <w:t>ry quality, the so-called Mandel</w:t>
      </w:r>
      <w:r w:rsidR="006E67DC" w:rsidRPr="00BB7739">
        <w:t>kern report (Mandel</w:t>
      </w:r>
      <w:r w:rsidR="00B63EE2">
        <w:t>kern Group on Better Regulation</w:t>
      </w:r>
      <w:r w:rsidR="006E67DC" w:rsidRPr="00BB7739">
        <w:t xml:space="preserve"> 2001) published in November 2001.</w:t>
      </w:r>
      <w:r w:rsidR="001105E6">
        <w:t xml:space="preserve"> </w:t>
      </w:r>
      <w:r w:rsidR="00B4327B">
        <w:t xml:space="preserve">Its </w:t>
      </w:r>
      <w:r w:rsidR="002F25EB">
        <w:t>most important target was the Commission.</w:t>
      </w:r>
      <w:r w:rsidR="00A567B7" w:rsidRPr="00BB7739">
        <w:t xml:space="preserve"> </w:t>
      </w:r>
      <w:r w:rsidR="00B4327B">
        <w:t>I</w:t>
      </w:r>
      <w:r w:rsidR="002F25EB">
        <w:t xml:space="preserve">ndeed, </w:t>
      </w:r>
      <w:r w:rsidR="00B4327B">
        <w:t xml:space="preserve">the </w:t>
      </w:r>
      <w:r w:rsidR="00BE74A6">
        <w:t>Ma</w:t>
      </w:r>
      <w:r w:rsidR="00B4327B">
        <w:t>n</w:t>
      </w:r>
      <w:r w:rsidR="00BE74A6">
        <w:t xml:space="preserve">delkern </w:t>
      </w:r>
      <w:r w:rsidR="00B4327B">
        <w:t xml:space="preserve">report </w:t>
      </w:r>
      <w:r w:rsidR="00BE74A6">
        <w:t>urged the Commission to</w:t>
      </w:r>
      <w:r w:rsidR="002F25EB">
        <w:t xml:space="preserve"> “propose by June 2012 a set of indicators of better regulation” (Mandelkern 2001 iii</w:t>
      </w:r>
      <w:r w:rsidR="001C0029">
        <w:t xml:space="preserve"> and 59</w:t>
      </w:r>
      <w:r w:rsidR="002F25EB">
        <w:t>).</w:t>
      </w:r>
    </w:p>
    <w:p w14:paraId="57F60047" w14:textId="473E80A2" w:rsidR="003F5884" w:rsidRPr="00BB7739" w:rsidRDefault="00B4327B" w:rsidP="002F25EB">
      <w:pPr>
        <w:spacing w:after="200" w:line="360" w:lineRule="auto"/>
      </w:pPr>
      <w:r>
        <w:t xml:space="preserve">The then President of the Commission, Romano </w:t>
      </w:r>
      <w:r w:rsidR="002F25EB">
        <w:t>Prodi</w:t>
      </w:r>
      <w:r>
        <w:t>, responded by drawing on the vision for the future of the EU contained in the</w:t>
      </w:r>
      <w:r w:rsidR="00525190">
        <w:t xml:space="preserve"> White Paper on Governance</w:t>
      </w:r>
      <w:r w:rsidR="00592B6D">
        <w:t xml:space="preserve"> (Renda 2006</w:t>
      </w:r>
      <w:r w:rsidR="002F25EB">
        <w:t>:</w:t>
      </w:r>
      <w:r>
        <w:t>48). In line with this vision of open and evidence-based governance,</w:t>
      </w:r>
      <w:r w:rsidR="00525190">
        <w:t xml:space="preserve"> </w:t>
      </w:r>
      <w:r>
        <w:t>t</w:t>
      </w:r>
      <w:r w:rsidR="003C2F26" w:rsidRPr="00BB7739">
        <w:t>he 2002 Communication on better regulation (Europea</w:t>
      </w:r>
      <w:r w:rsidR="003B0CB5" w:rsidRPr="00BB7739">
        <w:t xml:space="preserve">n Commission, 2002) </w:t>
      </w:r>
      <w:r w:rsidR="003C2F26" w:rsidRPr="00BB7739">
        <w:t>included</w:t>
      </w:r>
      <w:r w:rsidR="0044235F">
        <w:t xml:space="preserve"> </w:t>
      </w:r>
      <w:r w:rsidR="002F759F" w:rsidRPr="00BB7739">
        <w:t>standards on consultation to allow stakeholders to make an input in policy formulation, and t</w:t>
      </w:r>
      <w:r w:rsidR="007B390B" w:rsidRPr="00BB7739">
        <w:t>o open up the policy process</w:t>
      </w:r>
      <w:r w:rsidR="00755A53">
        <w:t xml:space="preserve"> to evidence a</w:t>
      </w:r>
      <w:r w:rsidR="006C0103">
        <w:t>nd expertise</w:t>
      </w:r>
      <w:r w:rsidR="002A55AD">
        <w:t xml:space="preserve">. </w:t>
      </w:r>
      <w:r w:rsidR="00452C6B">
        <w:t>I</w:t>
      </w:r>
      <w:r w:rsidR="002A55AD">
        <w:t>t</w:t>
      </w:r>
      <w:r w:rsidR="002F759F" w:rsidRPr="00BB7739">
        <w:t xml:space="preserve"> </w:t>
      </w:r>
      <w:r w:rsidR="00452C6B">
        <w:t xml:space="preserve">also </w:t>
      </w:r>
      <w:r w:rsidR="002F759F" w:rsidRPr="00BB7739">
        <w:t xml:space="preserve">included a </w:t>
      </w:r>
      <w:r w:rsidR="007B390B" w:rsidRPr="00BB7739">
        <w:t>single</w:t>
      </w:r>
      <w:r w:rsidR="00525190">
        <w:t xml:space="preserve"> impact assessment</w:t>
      </w:r>
      <w:r w:rsidR="007B390B" w:rsidRPr="00BB7739">
        <w:t xml:space="preserve"> template to appraise policy proposals. This single template is still in use</w:t>
      </w:r>
      <w:r w:rsidR="00C261F6" w:rsidRPr="00BB7739">
        <w:t xml:space="preserve"> today</w:t>
      </w:r>
      <w:r w:rsidR="00525190">
        <w:t xml:space="preserve"> at the Commission</w:t>
      </w:r>
      <w:r w:rsidR="007B390B" w:rsidRPr="00BB7739">
        <w:t xml:space="preserve">. </w:t>
      </w:r>
    </w:p>
    <w:p w14:paraId="434AB724" w14:textId="2E2D6FEC" w:rsidR="003F5884" w:rsidRPr="00BB7739" w:rsidRDefault="007B390B" w:rsidP="009F42C4">
      <w:pPr>
        <w:spacing w:after="200" w:line="360" w:lineRule="auto"/>
      </w:pPr>
      <w:r w:rsidRPr="00BB7739">
        <w:t>The</w:t>
      </w:r>
      <w:r w:rsidR="003F5884" w:rsidRPr="00BB7739">
        <w:t xml:space="preserve"> impact assessment system of the Commission </w:t>
      </w:r>
      <w:r w:rsidR="00CA565B" w:rsidRPr="00BB7739">
        <w:t>revolves around the three dimensions of economic, environmental and social effects of the proposals being appraised</w:t>
      </w:r>
      <w:r w:rsidR="00EE5FD3">
        <w:t>. Th</w:t>
      </w:r>
      <w:r w:rsidR="00CA565B" w:rsidRPr="00BB7739">
        <w:t xml:space="preserve">is way the three major internal stakeholders of the Commission’s impact assessment </w:t>
      </w:r>
      <w:r w:rsidR="004E5788">
        <w:t>left their imprint on</w:t>
      </w:r>
      <w:r w:rsidR="00CA565B" w:rsidRPr="00BB7739">
        <w:t xml:space="preserve"> the template</w:t>
      </w:r>
      <w:r w:rsidR="004E5788">
        <w:t xml:space="preserve"> (Allio 2008)</w:t>
      </w:r>
      <w:r w:rsidR="00CA565B">
        <w:t>. Indeed,</w:t>
      </w:r>
      <w:r w:rsidR="004E5788">
        <w:t xml:space="preserve"> inside </w:t>
      </w:r>
      <w:r w:rsidR="00EE5FD3">
        <w:t>the Commission better regulation</w:t>
      </w:r>
      <w:r w:rsidR="004E5788">
        <w:t xml:space="preserve"> emerged as a</w:t>
      </w:r>
      <w:r w:rsidRPr="00BB7739">
        <w:t xml:space="preserve"> compromise amon</w:t>
      </w:r>
      <w:r w:rsidR="003F5884" w:rsidRPr="00BB7739">
        <w:t>g t</w:t>
      </w:r>
      <w:r w:rsidR="004E5788">
        <w:t>he major players in EU regulation</w:t>
      </w:r>
      <w:r w:rsidR="003F5884" w:rsidRPr="00BB7739">
        <w:t>: the</w:t>
      </w:r>
      <w:r w:rsidRPr="00BB7739">
        <w:t xml:space="preserve"> Secretariat General </w:t>
      </w:r>
      <w:r w:rsidR="00D80256">
        <w:t xml:space="preserve">(SecGen) </w:t>
      </w:r>
      <w:r w:rsidRPr="00BB7739">
        <w:t xml:space="preserve">and the Directorates General </w:t>
      </w:r>
      <w:r w:rsidR="0031493D">
        <w:t>(DGs)</w:t>
      </w:r>
      <w:r w:rsidR="001105E6">
        <w:t xml:space="preserve"> </w:t>
      </w:r>
      <w:r w:rsidRPr="00BB7739">
        <w:t>in charge of enterprise, environmental policy and social/labor market re</w:t>
      </w:r>
      <w:r w:rsidR="002A55AD">
        <w:t>gulation (Allio</w:t>
      </w:r>
      <w:r w:rsidR="007A3F8B">
        <w:t xml:space="preserve"> 2008). </w:t>
      </w:r>
      <w:r w:rsidRPr="00BB7739">
        <w:t xml:space="preserve"> </w:t>
      </w:r>
      <w:r w:rsidR="004E5788">
        <w:t xml:space="preserve">Thus, the pressure from the member states was </w:t>
      </w:r>
      <w:r w:rsidR="004E5788">
        <w:lastRenderedPageBreak/>
        <w:t xml:space="preserve">refracted internally by the different DGs making their </w:t>
      </w:r>
      <w:r w:rsidR="00452AF8">
        <w:t xml:space="preserve">proprietary </w:t>
      </w:r>
      <w:r w:rsidR="001C0029">
        <w:t>claims on the nascent impact assessment system.</w:t>
      </w:r>
    </w:p>
    <w:p w14:paraId="59B12D07" w14:textId="2B6FA589" w:rsidR="003F5884" w:rsidRPr="00BB7739" w:rsidRDefault="001C344C" w:rsidP="009F42C4">
      <w:pPr>
        <w:spacing w:after="200" w:line="360" w:lineRule="auto"/>
      </w:pPr>
      <w:r>
        <w:t>An institutional architecture</w:t>
      </w:r>
      <w:r w:rsidR="007B390B" w:rsidRPr="00BB7739">
        <w:t xml:space="preserve"> was supposed to bind the Council, the European Parli</w:t>
      </w:r>
      <w:r w:rsidR="00FA4179">
        <w:t>ament and the Commission with the 2003</w:t>
      </w:r>
      <w:r w:rsidR="007B390B" w:rsidRPr="00BB7739">
        <w:t xml:space="preserve"> inter-institutional agreement on better regulation</w:t>
      </w:r>
      <w:r w:rsidR="00FA4179">
        <w:t xml:space="preserve"> (OJ C321 31Dec 2013)</w:t>
      </w:r>
      <w:r w:rsidR="007B390B" w:rsidRPr="00BB7739">
        <w:t xml:space="preserve">. </w:t>
      </w:r>
      <w:r w:rsidR="003F5884" w:rsidRPr="00BB7739">
        <w:t xml:space="preserve">This </w:t>
      </w:r>
      <w:r w:rsidR="002A55AD">
        <w:t xml:space="preserve">agreement </w:t>
      </w:r>
      <w:r w:rsidR="003F5884" w:rsidRPr="00BB7739">
        <w:t xml:space="preserve">was never operational on the ground, </w:t>
      </w:r>
      <w:r w:rsidR="00FA4179">
        <w:t>however. B</w:t>
      </w:r>
      <w:r w:rsidR="003F5884" w:rsidRPr="00BB7739">
        <w:t xml:space="preserve">ut it was re-launched </w:t>
      </w:r>
      <w:r w:rsidR="002A55AD">
        <w:t xml:space="preserve">in 2016 </w:t>
      </w:r>
      <w:r w:rsidR="003F5884" w:rsidRPr="00BB7739">
        <w:t>with a new inter-institutional agreement</w:t>
      </w:r>
      <w:r w:rsidR="002A55AD">
        <w:t xml:space="preserve"> on better law-making</w:t>
      </w:r>
      <w:r w:rsidR="00FA4179">
        <w:t xml:space="preserve"> (OJ L123/1 12 May 2016)</w:t>
      </w:r>
      <w:r w:rsidR="003F5884" w:rsidRPr="00BB7739">
        <w:t>.</w:t>
      </w:r>
    </w:p>
    <w:p w14:paraId="5D253E48" w14:textId="6C7CBE06" w:rsidR="003D3E04" w:rsidRPr="00BB7739" w:rsidRDefault="003F5884" w:rsidP="009F42C4">
      <w:pPr>
        <w:spacing w:after="200" w:line="360" w:lineRule="auto"/>
      </w:pPr>
      <w:r w:rsidRPr="00BB7739">
        <w:t>In the early 2000s, the</w:t>
      </w:r>
      <w:r w:rsidR="007B390B" w:rsidRPr="00BB7739">
        <w:t xml:space="preserve"> </w:t>
      </w:r>
      <w:r w:rsidR="003D3E04" w:rsidRPr="00BB7739">
        <w:t xml:space="preserve">intention </w:t>
      </w:r>
      <w:r w:rsidR="007B390B" w:rsidRPr="00BB7739">
        <w:t>of t</w:t>
      </w:r>
      <w:r w:rsidR="006E67DC" w:rsidRPr="00BB7739">
        <w:t xml:space="preserve">he Commission was to lock in these foundations </w:t>
      </w:r>
      <w:r w:rsidR="001C0029">
        <w:t xml:space="preserve">of regulatory reform </w:t>
      </w:r>
      <w:r w:rsidR="007B390B" w:rsidRPr="00BB7739">
        <w:t xml:space="preserve">with a system of </w:t>
      </w:r>
      <w:r w:rsidR="001C344C">
        <w:t xml:space="preserve">recurrent monitoring and measurement: in short, a system of </w:t>
      </w:r>
      <w:r w:rsidR="007B390B" w:rsidRPr="00BB7739">
        <w:t xml:space="preserve">regulatory </w:t>
      </w:r>
      <w:r w:rsidR="00C261F6" w:rsidRPr="00BB7739">
        <w:t xml:space="preserve">performance </w:t>
      </w:r>
      <w:r w:rsidR="007B390B" w:rsidRPr="00BB7739">
        <w:t xml:space="preserve">indicators. </w:t>
      </w:r>
      <w:r w:rsidR="001105E6">
        <w:t xml:space="preserve">The </w:t>
      </w:r>
      <w:r w:rsidRPr="00BB7739">
        <w:t xml:space="preserve">then DG </w:t>
      </w:r>
      <w:r w:rsidR="003D3E04" w:rsidRPr="00BB7739">
        <w:t>Enterprise</w:t>
      </w:r>
      <w:r w:rsidRPr="00BB7739">
        <w:t xml:space="preserve"> </w:t>
      </w:r>
      <w:r w:rsidR="00917014" w:rsidRPr="00BB7739">
        <w:t>and Indus</w:t>
      </w:r>
      <w:r w:rsidR="001105E6">
        <w:t>try and the Secretariat General</w:t>
      </w:r>
      <w:r w:rsidR="00BF3160">
        <w:t xml:space="preserve"> kicked off the game</w:t>
      </w:r>
      <w:r w:rsidR="007B390B" w:rsidRPr="00BB7739">
        <w:t xml:space="preserve"> by publishing a tender for a study on regulatory indicators in 2003. </w:t>
      </w:r>
      <w:r w:rsidR="001105E6">
        <w:t>This was</w:t>
      </w:r>
      <w:r w:rsidR="00D971C7">
        <w:t xml:space="preserve"> a move intended to trigger self-directed learning: </w:t>
      </w:r>
      <w:r w:rsidR="009E3EB5">
        <w:t>DG ENTR and the SecGen</w:t>
      </w:r>
      <w:r w:rsidR="002A49E8">
        <w:t xml:space="preserve"> wanted to keep control of the objectives and means of learning. </w:t>
      </w:r>
      <w:r w:rsidR="003D3E04" w:rsidRPr="00BB7739">
        <w:t>The fact that this was a tender</w:t>
      </w:r>
      <w:r w:rsidR="0056157D">
        <w:t xml:space="preserve"> and not one of the many studies funded by DG Research</w:t>
      </w:r>
      <w:r w:rsidR="003D3E04" w:rsidRPr="00BB7739">
        <w:t xml:space="preserve"> </w:t>
      </w:r>
      <w:r w:rsidR="002A55AD">
        <w:t xml:space="preserve">point us towards </w:t>
      </w:r>
      <w:r w:rsidR="003D3E04" w:rsidRPr="00BB7739">
        <w:t xml:space="preserve">the </w:t>
      </w:r>
      <w:r w:rsidR="000268F3">
        <w:t xml:space="preserve">intention </w:t>
      </w:r>
      <w:r w:rsidR="003D3E04" w:rsidRPr="00BB7739">
        <w:t>to gather usable knowledge.</w:t>
      </w:r>
    </w:p>
    <w:p w14:paraId="28746591" w14:textId="0C124B9B" w:rsidR="00082548" w:rsidRPr="00BB7739" w:rsidRDefault="007B390B" w:rsidP="009F42C4">
      <w:pPr>
        <w:spacing w:after="200" w:line="360" w:lineRule="auto"/>
      </w:pPr>
      <w:r w:rsidRPr="00BB7739">
        <w:t>The tender was peculiar in</w:t>
      </w:r>
      <w:r w:rsidR="00F91155" w:rsidRPr="00BB7739">
        <w:t xml:space="preserve"> that it </w:t>
      </w:r>
      <w:r w:rsidR="002A55AD">
        <w:t xml:space="preserve">included </w:t>
      </w:r>
      <w:r w:rsidR="00646169">
        <w:t xml:space="preserve">an </w:t>
      </w:r>
      <w:r w:rsidR="00F55567">
        <w:t>OECD</w:t>
      </w:r>
      <w:r w:rsidR="00646169">
        <w:t xml:space="preserve"> officer (Peter Ladegaard)</w:t>
      </w:r>
      <w:r w:rsidR="00F55567">
        <w:t xml:space="preserve"> o</w:t>
      </w:r>
      <w:r w:rsidR="00F91155" w:rsidRPr="00BB7739">
        <w:t xml:space="preserve">n the </w:t>
      </w:r>
      <w:r w:rsidR="001105E6">
        <w:t xml:space="preserve">project’s </w:t>
      </w:r>
      <w:r w:rsidR="00F91155" w:rsidRPr="00BB7739">
        <w:t>steering group</w:t>
      </w:r>
      <w:r w:rsidRPr="00BB7739">
        <w:t xml:space="preserve">. </w:t>
      </w:r>
      <w:r w:rsidR="002A49E8">
        <w:t xml:space="preserve"> The OECD was there</w:t>
      </w:r>
      <w:r w:rsidR="00A0087A" w:rsidRPr="00BB7739">
        <w:t xml:space="preserve"> to transfer </w:t>
      </w:r>
      <w:r w:rsidR="00C82FFB" w:rsidRPr="00BB7739">
        <w:t>its own exper</w:t>
      </w:r>
      <w:r w:rsidR="00C82FFB">
        <w:t>tise</w:t>
      </w:r>
      <w:r w:rsidR="00C82FFB" w:rsidRPr="00BB7739">
        <w:t xml:space="preserve"> </w:t>
      </w:r>
      <w:r w:rsidR="00A0087A" w:rsidRPr="00BB7739">
        <w:t xml:space="preserve">into the project </w:t>
      </w:r>
      <w:r w:rsidR="002A49E8">
        <w:t xml:space="preserve">as </w:t>
      </w:r>
      <w:r w:rsidR="00C82FFB">
        <w:t xml:space="preserve">a </w:t>
      </w:r>
      <w:r w:rsidR="002A49E8">
        <w:t>research-intensive, networked organization (</w:t>
      </w:r>
      <w:r w:rsidR="000D3F97">
        <w:t xml:space="preserve">Kellow and Carroll 2013; </w:t>
      </w:r>
      <w:r w:rsidR="002A49E8">
        <w:t>Pal 2012</w:t>
      </w:r>
      <w:r w:rsidR="000D3F97">
        <w:t>; Stone 2004</w:t>
      </w:r>
      <w:r w:rsidR="002A49E8">
        <w:t xml:space="preserve">). </w:t>
      </w:r>
      <w:r w:rsidR="00F55567">
        <w:t>A</w:t>
      </w:r>
      <w:r w:rsidR="00A0087A" w:rsidRPr="00BB7739">
        <w:t xml:space="preserve"> support group</w:t>
      </w:r>
      <w:r w:rsidR="00F55567">
        <w:t xml:space="preserve"> of</w:t>
      </w:r>
      <w:r w:rsidR="001105E6">
        <w:t xml:space="preserve"> national delegates was created</w:t>
      </w:r>
      <w:r w:rsidR="00F55567">
        <w:t xml:space="preserve"> to input evidence on regulatory reform into the project</w:t>
      </w:r>
      <w:r w:rsidR="00082548" w:rsidRPr="00BB7739">
        <w:t xml:space="preserve">. </w:t>
      </w:r>
      <w:r w:rsidR="00F91155" w:rsidRPr="00BB7739">
        <w:t>A team of political scientists and</w:t>
      </w:r>
      <w:r w:rsidR="00082548" w:rsidRPr="00BB7739">
        <w:t xml:space="preserve"> economists</w:t>
      </w:r>
      <w:r w:rsidR="00F91155" w:rsidRPr="00BB7739">
        <w:t xml:space="preserve"> based at the University </w:t>
      </w:r>
      <w:r w:rsidR="00DD028D">
        <w:t xml:space="preserve">of Bradford (UK) </w:t>
      </w:r>
      <w:r w:rsidR="00082548" w:rsidRPr="00BB7739">
        <w:t>won the tender and executed the project</w:t>
      </w:r>
      <w:r w:rsidR="00F55567">
        <w:t>, called IRQ – Indicators of Regulatory Quality</w:t>
      </w:r>
      <w:r w:rsidR="00082548" w:rsidRPr="00BB7739">
        <w:t xml:space="preserve">. </w:t>
      </w:r>
      <w:r w:rsidR="00DD028D">
        <w:t>IRQ</w:t>
      </w:r>
      <w:r w:rsidR="006952F8">
        <w:t xml:space="preserve"> originated </w:t>
      </w:r>
      <w:r w:rsidR="00F91155" w:rsidRPr="00BB7739">
        <w:t xml:space="preserve">a </w:t>
      </w:r>
      <w:r w:rsidR="00CF00DB" w:rsidRPr="00BB7739">
        <w:t xml:space="preserve">research monograph by Radaelli and De Francesco (2007), where the </w:t>
      </w:r>
      <w:r w:rsidR="00F55567">
        <w:t>readers can find the full story</w:t>
      </w:r>
      <w:r w:rsidR="00CF00DB" w:rsidRPr="00BB7739">
        <w:t xml:space="preserve"> </w:t>
      </w:r>
      <w:r w:rsidR="001105E6">
        <w:t>of that</w:t>
      </w:r>
      <w:r w:rsidR="00626FCB">
        <w:t xml:space="preserve"> project.</w:t>
      </w:r>
    </w:p>
    <w:p w14:paraId="79DE4A66" w14:textId="32E7D94D" w:rsidR="00B27DEA" w:rsidRDefault="00F55567" w:rsidP="004B484D">
      <w:pPr>
        <w:spacing w:after="200" w:line="360" w:lineRule="auto"/>
      </w:pPr>
      <w:r>
        <w:t>Upon completion of IRQ</w:t>
      </w:r>
      <w:r w:rsidR="005641F3">
        <w:t xml:space="preserve">, the Commission </w:t>
      </w:r>
      <w:r w:rsidR="005C129A">
        <w:t>had</w:t>
      </w:r>
      <w:r w:rsidR="00B27DEA">
        <w:t xml:space="preserve"> a set of </w:t>
      </w:r>
      <w:r w:rsidR="004B484D">
        <w:t xml:space="preserve">feasible suggestions about regulatory measures and their usage. IRQ indeed suggested both indicators and a process of open coordination to make use of them. Open coordination is </w:t>
      </w:r>
      <w:r w:rsidR="00B27DEA">
        <w:t xml:space="preserve">based on iterations of goals setting, performance measurement, peer review, and deliberation (Radaelli and De Francesco 2007: 185). </w:t>
      </w:r>
      <w:r w:rsidR="004B484D">
        <w:t xml:space="preserve">It does not involve the </w:t>
      </w:r>
      <w:r w:rsidR="004B484D">
        <w:lastRenderedPageBreak/>
        <w:t>creation of EU law.</w:t>
      </w:r>
      <w:r w:rsidR="00740212">
        <w:t xml:space="preserve"> </w:t>
      </w:r>
      <w:r w:rsidR="00B27DEA">
        <w:t xml:space="preserve">At that time, the open method of coordination was popular in EU circles </w:t>
      </w:r>
      <w:r w:rsidR="00740212">
        <w:t xml:space="preserve">as an alternative to </w:t>
      </w:r>
      <w:r w:rsidR="00B27DEA">
        <w:t>binding commitments.</w:t>
      </w:r>
    </w:p>
    <w:p w14:paraId="7F2008A4" w14:textId="57E9B7CD" w:rsidR="00F91155" w:rsidRPr="00BB7739" w:rsidRDefault="00B27DEA" w:rsidP="009F42C4">
      <w:pPr>
        <w:spacing w:after="200" w:line="360" w:lineRule="auto"/>
      </w:pPr>
      <w:r>
        <w:t xml:space="preserve">Equipped with these technical ideas about indicators and their possible usage, the Commission </w:t>
      </w:r>
      <w:r w:rsidR="00F55567">
        <w:t>turned to mem</w:t>
      </w:r>
      <w:r w:rsidR="001105E6">
        <w:t>ber states, asking to agree and pilot</w:t>
      </w:r>
      <w:r w:rsidR="00F55567">
        <w:t xml:space="preserve"> a </w:t>
      </w:r>
      <w:r w:rsidR="00CF00DB" w:rsidRPr="00BB7739">
        <w:t>pr</w:t>
      </w:r>
      <w:r w:rsidR="00626FCB">
        <w:t>ototype of regulatory metrics</w:t>
      </w:r>
      <w:r w:rsidR="00CF00DB" w:rsidRPr="00BB7739">
        <w:t xml:space="preserve">. </w:t>
      </w:r>
      <w:r w:rsidR="00C70CE8">
        <w:t>A different</w:t>
      </w:r>
      <w:r w:rsidR="000D3F97">
        <w:t xml:space="preserve"> vision emerged. The</w:t>
      </w:r>
      <w:r w:rsidR="00CF00DB" w:rsidRPr="00BB7739">
        <w:t xml:space="preserve"> </w:t>
      </w:r>
      <w:r w:rsidR="00677C48" w:rsidRPr="00BB7739">
        <w:t>UK and the Netherlands</w:t>
      </w:r>
      <w:r w:rsidR="000D3F97">
        <w:t xml:space="preserve"> among others</w:t>
      </w:r>
      <w:r w:rsidR="00C70CE8">
        <w:t xml:space="preserve"> demanded</w:t>
      </w:r>
      <w:r w:rsidR="00CF00DB" w:rsidRPr="00BB7739">
        <w:t xml:space="preserve"> a single composite measure of regulatory quality, giving the impression (or perhaps simply hoping for) that one could capture the complexity of regulation in a single indicator. </w:t>
      </w:r>
      <w:r w:rsidR="00C70CE8">
        <w:t xml:space="preserve"> </w:t>
      </w:r>
      <w:r w:rsidR="001105E6">
        <w:t xml:space="preserve">Yet, </w:t>
      </w:r>
      <w:r w:rsidR="00C70CE8">
        <w:t>IRQ</w:t>
      </w:r>
      <w:r w:rsidR="00CF00DB" w:rsidRPr="00BB7739">
        <w:t xml:space="preserve"> </w:t>
      </w:r>
      <w:r w:rsidR="001105E6" w:rsidRPr="00D766FD">
        <w:t xml:space="preserve">researchers </w:t>
      </w:r>
      <w:r w:rsidR="00D766FD" w:rsidRPr="005F3491">
        <w:t>diminished any</w:t>
      </w:r>
      <w:r w:rsidR="00D766FD" w:rsidRPr="00D766FD">
        <w:t xml:space="preserve"> </w:t>
      </w:r>
      <w:r w:rsidR="00CF00DB" w:rsidRPr="005D3606">
        <w:t>hope</w:t>
      </w:r>
      <w:r w:rsidR="00CF00DB" w:rsidRPr="009A1BF0">
        <w:t xml:space="preserve"> for </w:t>
      </w:r>
      <w:r w:rsidR="00D766FD" w:rsidRPr="005F3491">
        <w:t>this</w:t>
      </w:r>
      <w:r w:rsidR="00677C48" w:rsidRPr="00D766FD">
        <w:t xml:space="preserve"> single</w:t>
      </w:r>
      <w:r w:rsidR="00677C48" w:rsidRPr="00BB7739">
        <w:t>, final, comprehensive indicator</w:t>
      </w:r>
      <w:r w:rsidR="00CF00DB" w:rsidRPr="00BB7739">
        <w:t xml:space="preserve">, showing that </w:t>
      </w:r>
      <w:r w:rsidR="00623722">
        <w:t xml:space="preserve">the </w:t>
      </w:r>
      <w:r w:rsidR="00CF00DB" w:rsidRPr="00BB7739">
        <w:t xml:space="preserve">composite measures were too complex to be </w:t>
      </w:r>
      <w:r w:rsidR="00623722">
        <w:t>properly</w:t>
      </w:r>
      <w:r w:rsidR="00623722" w:rsidRPr="00BB7739">
        <w:t xml:space="preserve"> </w:t>
      </w:r>
      <w:r w:rsidR="00CF00DB" w:rsidRPr="00BB7739">
        <w:t xml:space="preserve">communicated to politicians and acted upon by bureaucrats </w:t>
      </w:r>
      <w:r w:rsidR="00C70CE8">
        <w:t>(Radaelli and De Francesco</w:t>
      </w:r>
      <w:r w:rsidR="00CF00DB" w:rsidRPr="00BB7739">
        <w:t xml:space="preserve"> 2007). </w:t>
      </w:r>
      <w:r w:rsidR="005641F3">
        <w:t xml:space="preserve">The Commission </w:t>
      </w:r>
      <w:r w:rsidR="005641F3" w:rsidRPr="00B25C34">
        <w:t xml:space="preserve">wanted </w:t>
      </w:r>
      <w:r w:rsidR="00B25C34" w:rsidRPr="005F3491">
        <w:t>alternative measures to remain on the table</w:t>
      </w:r>
      <w:r w:rsidR="00F91155" w:rsidRPr="00D766FD">
        <w:t>,</w:t>
      </w:r>
      <w:r w:rsidR="00F91155" w:rsidRPr="00BB7739">
        <w:t xml:space="preserve"> looking at regulatory quality through the lens of the three dimensions of economic analysis, sustainability and social-employment figures – recall that t</w:t>
      </w:r>
      <w:r w:rsidR="00C138CA">
        <w:t>he three-fold approach sealed an internal organizational agreement</w:t>
      </w:r>
      <w:r w:rsidR="00F91155" w:rsidRPr="00BB7739">
        <w:t>.</w:t>
      </w:r>
      <w:r w:rsidR="00626FCB">
        <w:t xml:space="preserve"> </w:t>
      </w:r>
    </w:p>
    <w:p w14:paraId="6112DEBF" w14:textId="3F8CE397" w:rsidR="00626FCB" w:rsidRDefault="00C138CA" w:rsidP="00B57949">
      <w:pPr>
        <w:spacing w:afterLines="200" w:after="480" w:line="360" w:lineRule="auto"/>
      </w:pPr>
      <w:r>
        <w:t>T</w:t>
      </w:r>
      <w:r w:rsidR="00626FCB">
        <w:t>he most</w:t>
      </w:r>
      <w:r w:rsidR="00677C48" w:rsidRPr="00BB7739">
        <w:t xml:space="preserve"> active</w:t>
      </w:r>
      <w:r w:rsidR="00CF00DB" w:rsidRPr="00BB7739">
        <w:t xml:space="preserve"> </w:t>
      </w:r>
      <w:r w:rsidR="00C70CE8">
        <w:t xml:space="preserve">national </w:t>
      </w:r>
      <w:r w:rsidR="00CF00DB" w:rsidRPr="00BB7739">
        <w:t xml:space="preserve">delegations were firmly on the side of the Secretariat General </w:t>
      </w:r>
      <w:r>
        <w:t>and DG Enterprise and Industry</w:t>
      </w:r>
      <w:r w:rsidR="00CF00DB" w:rsidRPr="00BB7739">
        <w:t>,</w:t>
      </w:r>
      <w:r w:rsidR="00677C48" w:rsidRPr="00BB7739">
        <w:t xml:space="preserve"> at least</w:t>
      </w:r>
      <w:r w:rsidR="00CF00DB" w:rsidRPr="00BB7739">
        <w:t xml:space="preserve"> until 2004. </w:t>
      </w:r>
      <w:r w:rsidR="00626FCB">
        <w:t>Up to this point, the learning process</w:t>
      </w:r>
      <w:r>
        <w:t xml:space="preserve"> exhibited </w:t>
      </w:r>
      <w:r w:rsidR="00626FCB">
        <w:t>‘mutually constitutive’</w:t>
      </w:r>
      <w:r>
        <w:t xml:space="preserve"> roles</w:t>
      </w:r>
      <w:r w:rsidR="00626FCB">
        <w:t xml:space="preserve">. An ad-hoc group called ‘Directors and Experts of Better Regulation’ </w:t>
      </w:r>
      <w:r w:rsidR="00905419">
        <w:t xml:space="preserve">(DEBR) </w:t>
      </w:r>
      <w:r w:rsidR="00626FCB">
        <w:t xml:space="preserve">provided the </w:t>
      </w:r>
      <w:r>
        <w:t>forum for socialization and</w:t>
      </w:r>
      <w:r w:rsidR="005C3285">
        <w:t xml:space="preserve"> endorse</w:t>
      </w:r>
      <w:r>
        <w:t>ment of</w:t>
      </w:r>
      <w:r w:rsidR="005C3285">
        <w:t xml:space="preserve"> the norms behind</w:t>
      </w:r>
      <w:r w:rsidR="00626FCB">
        <w:t xml:space="preserve"> indicators. In these months IRQ was featured more than once at</w:t>
      </w:r>
      <w:r w:rsidR="00905419">
        <w:t xml:space="preserve"> the meetings of the DEBR</w:t>
      </w:r>
      <w:r w:rsidR="00626FCB">
        <w:t>.</w:t>
      </w:r>
      <w:r w:rsidR="005C31D3">
        <w:t xml:space="preserve"> The group generated some ea</w:t>
      </w:r>
      <w:r w:rsidR="005C3285">
        <w:t>rly examples of socialization to</w:t>
      </w:r>
      <w:r w:rsidR="005C31D3">
        <w:t xml:space="preserve"> the norms </w:t>
      </w:r>
      <w:r w:rsidR="005C3285">
        <w:t xml:space="preserve">and values implied by regulatory quality </w:t>
      </w:r>
      <w:r w:rsidR="005C31D3">
        <w:t>indicators, with strong chairs and leading participants from the Netherlands and the UK. But when</w:t>
      </w:r>
      <w:r w:rsidR="00623722">
        <w:t>,</w:t>
      </w:r>
      <w:r w:rsidR="005C31D3">
        <w:t xml:space="preserve"> at the political level</w:t>
      </w:r>
      <w:r w:rsidR="00623722">
        <w:t>,</w:t>
      </w:r>
      <w:r w:rsidR="00417B66">
        <w:t xml:space="preserve"> the then Finance Ministers Gerrit</w:t>
      </w:r>
      <w:r w:rsidR="005C31D3">
        <w:t xml:space="preserve"> Zalm </w:t>
      </w:r>
      <w:r w:rsidR="00417B66">
        <w:t xml:space="preserve">(NL) </w:t>
      </w:r>
      <w:r w:rsidR="005C31D3">
        <w:t xml:space="preserve">and </w:t>
      </w:r>
      <w:r w:rsidR="00417B66">
        <w:t xml:space="preserve">Gordon </w:t>
      </w:r>
      <w:r w:rsidR="005C31D3">
        <w:t>Brown</w:t>
      </w:r>
      <w:r w:rsidR="00417B66">
        <w:t xml:space="preserve"> (UK)</w:t>
      </w:r>
      <w:r w:rsidR="005C31D3">
        <w:t xml:space="preserve"> turned elsewhere</w:t>
      </w:r>
      <w:r w:rsidR="002702FD">
        <w:t>,</w:t>
      </w:r>
      <w:r w:rsidR="005C31D3">
        <w:t xml:space="preserve"> this norms-related socialization process terminated.</w:t>
      </w:r>
    </w:p>
    <w:p w14:paraId="7D37E9FA" w14:textId="6C75B833" w:rsidR="00677C48" w:rsidRPr="00BB7739" w:rsidRDefault="001F23BA" w:rsidP="00B57949">
      <w:pPr>
        <w:spacing w:afterLines="200" w:after="480" w:line="360" w:lineRule="auto"/>
      </w:pPr>
      <w:r w:rsidRPr="00BB7739">
        <w:t>In 2004,</w:t>
      </w:r>
      <w:r w:rsidR="005C31D3">
        <w:t xml:space="preserve"> in fact,</w:t>
      </w:r>
      <w:r w:rsidR="00740212">
        <w:t xml:space="preserve"> there was a change of direction </w:t>
      </w:r>
      <w:r w:rsidRPr="00BB7739">
        <w:t xml:space="preserve">at the highest political level. </w:t>
      </w:r>
      <w:r w:rsidR="005641F3">
        <w:t xml:space="preserve">Zalm was championing a stripped-down, </w:t>
      </w:r>
      <w:r w:rsidR="00925EA4" w:rsidRPr="00BB7739">
        <w:t>basic approach to measure the cost of administrative obligations – something that was miles away from the conceptual rigor and complexity of imp</w:t>
      </w:r>
      <w:r w:rsidR="00677C48" w:rsidRPr="00BB7739">
        <w:t>act assessment. This tool was called (and is still called today)</w:t>
      </w:r>
      <w:r w:rsidR="00925EA4" w:rsidRPr="00BB7739">
        <w:t xml:space="preserve"> t</w:t>
      </w:r>
      <w:r w:rsidR="003F75B3">
        <w:t>he standard cost model (SCM)</w:t>
      </w:r>
      <w:r w:rsidR="00925EA4" w:rsidRPr="00BB7739">
        <w:t xml:space="preserve">. </w:t>
      </w:r>
      <w:r w:rsidR="00F451D0">
        <w:t>The Dutch had</w:t>
      </w:r>
      <w:r w:rsidR="002702FD">
        <w:t xml:space="preserve"> started using </w:t>
      </w:r>
      <w:r w:rsidR="002702FD">
        <w:lastRenderedPageBreak/>
        <w:t xml:space="preserve">metrics </w:t>
      </w:r>
      <w:r w:rsidR="00626FCB">
        <w:t xml:space="preserve">in a different direction: by setting departmental </w:t>
      </w:r>
      <w:r w:rsidR="00626FCB" w:rsidRPr="002702FD">
        <w:rPr>
          <w:i/>
        </w:rPr>
        <w:t>targets</w:t>
      </w:r>
      <w:r w:rsidR="00626FCB">
        <w:t xml:space="preserve"> for the reduction of administrative burdens</w:t>
      </w:r>
      <w:r w:rsidR="003F75B3">
        <w:t xml:space="preserve"> via the SCM (Coletti 2013)</w:t>
      </w:r>
      <w:r w:rsidR="00626FCB">
        <w:t>.</w:t>
      </w:r>
    </w:p>
    <w:p w14:paraId="3D18DDC2" w14:textId="52473561" w:rsidR="00C70CE8" w:rsidRDefault="00CE08F2" w:rsidP="009F42C4">
      <w:pPr>
        <w:spacing w:after="200" w:line="360" w:lineRule="auto"/>
      </w:pPr>
      <w:r w:rsidRPr="00BB7739">
        <w:t>Brown became convinced that it was easier to capture the attention of the business commun</w:t>
      </w:r>
      <w:r w:rsidR="003F75B3">
        <w:t>ity with the SCM</w:t>
      </w:r>
      <w:r w:rsidR="00623722">
        <w:t xml:space="preserve"> as it allowed</w:t>
      </w:r>
      <w:r w:rsidRPr="00BB7739">
        <w:t xml:space="preserve"> </w:t>
      </w:r>
      <w:r w:rsidR="00677C48" w:rsidRPr="00BB7739">
        <w:t xml:space="preserve">the </w:t>
      </w:r>
      <w:r w:rsidRPr="00BB7739">
        <w:t>government to make claims about the reduction of red tape across departments.</w:t>
      </w:r>
      <w:r w:rsidR="00C138CA">
        <w:t xml:space="preserve"> Politically, a statement </w:t>
      </w:r>
      <w:r w:rsidR="00623722">
        <w:t xml:space="preserve">such as </w:t>
      </w:r>
      <w:r w:rsidR="00C138CA">
        <w:t>“</w:t>
      </w:r>
      <w:r w:rsidR="00677C48" w:rsidRPr="00BB7739">
        <w:t xml:space="preserve">we reduced red tape by 25 per </w:t>
      </w:r>
      <w:r w:rsidR="00C138CA">
        <w:t>cent”</w:t>
      </w:r>
      <w:r w:rsidR="00677C48" w:rsidRPr="00BB7739">
        <w:t xml:space="preserve"> </w:t>
      </w:r>
      <w:r w:rsidR="00C138CA">
        <w:t xml:space="preserve">makes a </w:t>
      </w:r>
      <w:r w:rsidR="00623722">
        <w:t xml:space="preserve">greater </w:t>
      </w:r>
      <w:r w:rsidR="00C138CA">
        <w:t>impression than “</w:t>
      </w:r>
      <w:r w:rsidR="00677C48" w:rsidRPr="00BB7739">
        <w:t>we have performed regulatory impact assessment on 25</w:t>
      </w:r>
      <w:r w:rsidR="005641F3">
        <w:t xml:space="preserve"> per cent of</w:t>
      </w:r>
      <w:r w:rsidR="00C138CA">
        <w:t xml:space="preserve"> new regulations”</w:t>
      </w:r>
      <w:r w:rsidR="00677C48" w:rsidRPr="00BB7739">
        <w:t>.</w:t>
      </w:r>
      <w:r w:rsidRPr="00BB7739">
        <w:t xml:space="preserve"> There is plenty of evidence of this changing mood in the </w:t>
      </w:r>
      <w:r w:rsidRPr="00BB7739">
        <w:rPr>
          <w:i/>
        </w:rPr>
        <w:t>Less is More</w:t>
      </w:r>
      <w:r w:rsidR="00872643">
        <w:t xml:space="preserve"> Report</w:t>
      </w:r>
      <w:r w:rsidRPr="00BB7739">
        <w:t>, a repor</w:t>
      </w:r>
      <w:r w:rsidR="004514BD" w:rsidRPr="00BB7739">
        <w:t>t to the British Prime Minister</w:t>
      </w:r>
      <w:r w:rsidRPr="00BB7739">
        <w:t xml:space="preserve"> by the Better Regulation Task Force</w:t>
      </w:r>
      <w:r w:rsidR="00B97A4E">
        <w:t xml:space="preserve"> (2005</w:t>
      </w:r>
      <w:r w:rsidR="00872643">
        <w:t>)</w:t>
      </w:r>
      <w:r w:rsidRPr="00BB7739">
        <w:t xml:space="preserve">. </w:t>
      </w:r>
      <w:r w:rsidR="004514BD" w:rsidRPr="00BB7739">
        <w:t>Note that the report was addressed to the Prime Minister, showing the high level of political interest that the reduction of administrative burden had reached in the UK. The report explicitly endorsed the standard cost model and the</w:t>
      </w:r>
      <w:r w:rsidR="00417B66">
        <w:t xml:space="preserve"> Dutch experience</w:t>
      </w:r>
      <w:r w:rsidR="003F75B3">
        <w:t>. T</w:t>
      </w:r>
      <w:r w:rsidR="004514BD" w:rsidRPr="00BB7739">
        <w:t>he Netherlands</w:t>
      </w:r>
      <w:r w:rsidR="00417B66">
        <w:t xml:space="preserve"> and th</w:t>
      </w:r>
      <w:r w:rsidR="003F75B3">
        <w:t xml:space="preserve">e UK wanted </w:t>
      </w:r>
      <w:r w:rsidR="00417B66">
        <w:t>the</w:t>
      </w:r>
      <w:r w:rsidR="004514BD" w:rsidRPr="00BB7739">
        <w:t xml:space="preserve"> Commission to tweak its regulatory policy in this direction. </w:t>
      </w:r>
    </w:p>
    <w:p w14:paraId="46E56C55" w14:textId="42C1AB6C" w:rsidR="00DA0494" w:rsidRDefault="00C138CA" w:rsidP="00532E5D">
      <w:pPr>
        <w:spacing w:after="200" w:line="360" w:lineRule="auto"/>
      </w:pPr>
      <w:r>
        <w:t>A divide emerged w</w:t>
      </w:r>
      <w:r w:rsidR="00C70CE8">
        <w:t>ithin the various fora where regu</w:t>
      </w:r>
      <w:r>
        <w:t xml:space="preserve">latory measures were discussed – i.e., </w:t>
      </w:r>
      <w:r w:rsidR="00C70CE8">
        <w:t>Competitiveness Council, the Commission’s High Level Group on Impact Assessment, the group of Directors an</w:t>
      </w:r>
      <w:r>
        <w:t>d Experts for Better Regulation</w:t>
      </w:r>
      <w:r w:rsidR="00C70CE8">
        <w:t>. On one hand</w:t>
      </w:r>
      <w:r w:rsidR="008E4129">
        <w:t xml:space="preserve"> </w:t>
      </w:r>
      <w:r w:rsidR="005D2B1A">
        <w:t>was</w:t>
      </w:r>
      <w:r w:rsidR="00C70CE8">
        <w:t xml:space="preserve"> the</w:t>
      </w:r>
      <w:r>
        <w:t xml:space="preserve"> broad,</w:t>
      </w:r>
      <w:r w:rsidR="00C70CE8">
        <w:t xml:space="preserve"> governance</w:t>
      </w:r>
      <w:r>
        <w:t>-inspired</w:t>
      </w:r>
      <w:r w:rsidR="00C70CE8">
        <w:t xml:space="preserve"> vision of the Commission. On the other, the </w:t>
      </w:r>
      <w:r w:rsidR="00CE08F2" w:rsidRPr="00BB7739">
        <w:t xml:space="preserve">Dutch and British </w:t>
      </w:r>
      <w:r w:rsidR="005C31D3">
        <w:t>de-r</w:t>
      </w:r>
      <w:r>
        <w:t>egulatory, target-based vision.</w:t>
      </w:r>
    </w:p>
    <w:p w14:paraId="0B19D634" w14:textId="57EAA58F" w:rsidR="005C31D3" w:rsidRDefault="00417B66" w:rsidP="00532E5D">
      <w:pPr>
        <w:spacing w:after="200" w:line="360" w:lineRule="auto"/>
      </w:pPr>
      <w:r>
        <w:t>The learners were starting to disagree on the objectives of their learning (de-regulation or broad</w:t>
      </w:r>
      <w:r w:rsidR="00C138CA">
        <w:t>er notions of governance</w:t>
      </w:r>
      <w:r>
        <w:t>) and the contents (standard cost model or more sophisticated tools): self-directed learning was stymied.</w:t>
      </w:r>
      <w:r w:rsidR="00DA0494">
        <w:t xml:space="preserve"> The committees and high-level groups (like the Directors of Better Regulation) exhibited confrontational attitudes over the direction of better regulation, rather than the attitude of contributing to a common problem-solving exe</w:t>
      </w:r>
      <w:r w:rsidR="00A00203">
        <w:t>rcise</w:t>
      </w:r>
      <w:r w:rsidR="00DA0494">
        <w:t>.</w:t>
      </w:r>
    </w:p>
    <w:p w14:paraId="180090EB" w14:textId="7F4AF014" w:rsidR="00586656" w:rsidRPr="00BB7739" w:rsidRDefault="00DA0494" w:rsidP="009F42C4">
      <w:pPr>
        <w:spacing w:after="200" w:line="360" w:lineRule="auto"/>
      </w:pPr>
      <w:r>
        <w:t>G</w:t>
      </w:r>
      <w:r w:rsidR="00466D1A">
        <w:t>overnments</w:t>
      </w:r>
      <w:r w:rsidR="00532E5D">
        <w:t xml:space="preserve"> with low capacity for regulatory measurement</w:t>
      </w:r>
      <w:r w:rsidR="00586656" w:rsidRPr="00BB7739">
        <w:t xml:space="preserve"> felt they c</w:t>
      </w:r>
      <w:r w:rsidR="004514BD" w:rsidRPr="00BB7739">
        <w:t>ould follow the Dutch example</w:t>
      </w:r>
      <w:r w:rsidR="00586656" w:rsidRPr="00BB7739">
        <w:t xml:space="preserve"> and</w:t>
      </w:r>
      <w:r w:rsidR="00C138CA">
        <w:t xml:space="preserve"> at least</w:t>
      </w:r>
      <w:r w:rsidR="00586656" w:rsidRPr="00BB7739">
        <w:t xml:space="preserve"> set target</w:t>
      </w:r>
      <w:r w:rsidR="004514BD" w:rsidRPr="00BB7739">
        <w:t>s</w:t>
      </w:r>
      <w:r w:rsidR="00586656" w:rsidRPr="00BB7739">
        <w:t xml:space="preserve"> for red tape reductions. The fact </w:t>
      </w:r>
      <w:r w:rsidR="00586656" w:rsidRPr="00D766FD">
        <w:t xml:space="preserve">that intellectually the standard cost model </w:t>
      </w:r>
      <w:r w:rsidR="00D766FD">
        <w:t>reached an impasse</w:t>
      </w:r>
      <w:r w:rsidR="00466D1A">
        <w:t xml:space="preserve"> (Helm </w:t>
      </w:r>
      <w:r w:rsidR="004514BD" w:rsidRPr="00BB7739">
        <w:t>2007)</w:t>
      </w:r>
      <w:r w:rsidR="00586656" w:rsidRPr="00BB7739">
        <w:t xml:space="preserve"> did not stand in the way of substantial political endorsement by several Ministers</w:t>
      </w:r>
      <w:r w:rsidR="00BD684C">
        <w:t xml:space="preserve">. </w:t>
      </w:r>
      <w:r w:rsidR="00BD684C">
        <w:lastRenderedPageBreak/>
        <w:t>A</w:t>
      </w:r>
      <w:r w:rsidR="001855D4" w:rsidRPr="00D766FD">
        <w:t>dditionally</w:t>
      </w:r>
      <w:r w:rsidR="00466D1A" w:rsidRPr="00360736">
        <w:t xml:space="preserve"> th</w:t>
      </w:r>
      <w:r w:rsidR="00D766FD" w:rsidRPr="005F3491">
        <w:t>e</w:t>
      </w:r>
      <w:r w:rsidR="00466D1A" w:rsidRPr="00D766FD">
        <w:t xml:space="preserve"> lang</w:t>
      </w:r>
      <w:r w:rsidR="00C138CA" w:rsidRPr="005D3606">
        <w:t>uage of red tape</w:t>
      </w:r>
      <w:r w:rsidR="008E4129">
        <w:t xml:space="preserve"> </w:t>
      </w:r>
      <w:r w:rsidR="00466D1A" w:rsidRPr="00D766FD">
        <w:t>was perceived as an efficient way to communicate with the business community</w:t>
      </w:r>
      <w:r w:rsidR="00FC1926">
        <w:t xml:space="preserve"> (</w:t>
      </w:r>
      <w:r w:rsidR="00F6442C">
        <w:t xml:space="preserve">Coletti </w:t>
      </w:r>
      <w:r w:rsidR="00FC1926">
        <w:t>2013)</w:t>
      </w:r>
      <w:r w:rsidR="00586656" w:rsidRPr="00BB7739">
        <w:t>.</w:t>
      </w:r>
    </w:p>
    <w:p w14:paraId="0BFB0CBF" w14:textId="626739E4" w:rsidR="005C31D3" w:rsidRDefault="00CE08F2" w:rsidP="00FC1926">
      <w:pPr>
        <w:spacing w:after="200" w:line="360" w:lineRule="auto"/>
      </w:pPr>
      <w:r w:rsidRPr="00BB7739">
        <w:t>In a matter of months, the Secretariat Genera</w:t>
      </w:r>
      <w:r w:rsidR="00586656" w:rsidRPr="00BB7739">
        <w:t xml:space="preserve">l and </w:t>
      </w:r>
      <w:r w:rsidRPr="00BB7739">
        <w:t>DG Enterprise and Industry found that th</w:t>
      </w:r>
      <w:r w:rsidR="002878C9">
        <w:t>ey did not have many allies left</w:t>
      </w:r>
      <w:r w:rsidR="005C31D3">
        <w:t xml:space="preserve"> to carry on with the learning process. The high-level political intervention signaled a shift of attention towards targets for administrative burdens reduction.</w:t>
      </w:r>
    </w:p>
    <w:p w14:paraId="44472B99" w14:textId="723B2D6F" w:rsidR="005918BD" w:rsidRDefault="00532E5D" w:rsidP="00FC1926">
      <w:pPr>
        <w:spacing w:after="200" w:line="360" w:lineRule="auto"/>
      </w:pPr>
      <w:r>
        <w:t>Before calling it a day, the</w:t>
      </w:r>
      <w:r w:rsidR="00190751" w:rsidRPr="00BB7739">
        <w:t xml:space="preserve"> Commission carried on with </w:t>
      </w:r>
      <w:r w:rsidR="005C31D3">
        <w:t xml:space="preserve">other </w:t>
      </w:r>
      <w:r w:rsidR="00190751" w:rsidRPr="00BB7739">
        <w:t>initiatives</w:t>
      </w:r>
      <w:r w:rsidR="007D68BF">
        <w:t>. For example,</w:t>
      </w:r>
      <w:r w:rsidR="005C31D3">
        <w:t xml:space="preserve"> in 2004</w:t>
      </w:r>
      <w:r w:rsidR="007D68BF">
        <w:t xml:space="preserve"> there were some attempts </w:t>
      </w:r>
      <w:r w:rsidR="00190751" w:rsidRPr="00BB7739">
        <w:t xml:space="preserve">to circulate questionnaires to national delegations to collect at least some measures of regulatory quality. </w:t>
      </w:r>
      <w:r w:rsidR="001855D4">
        <w:t>In fact</w:t>
      </w:r>
      <w:r w:rsidR="00EF1784">
        <w:t>,</w:t>
      </w:r>
      <w:r w:rsidR="001855D4">
        <w:t xml:space="preserve"> </w:t>
      </w:r>
      <w:r w:rsidR="00AF5C80" w:rsidRPr="00D766FD">
        <w:t xml:space="preserve">2004 </w:t>
      </w:r>
      <w:r w:rsidR="00FC1926" w:rsidRPr="005D3606">
        <w:t>was</w:t>
      </w:r>
      <w:r w:rsidR="007D68BF" w:rsidRPr="00360736">
        <w:t xml:space="preserve"> </w:t>
      </w:r>
      <w:r w:rsidR="00FC1926" w:rsidRPr="006A44F8">
        <w:t>a crucial year</w:t>
      </w:r>
      <w:r w:rsidR="00FC1926">
        <w:t xml:space="preserve">: in January four finance ministers (Ireland, Netherlands, Luxembourg and the UK) raised the issue of indicators as a way to measure progress with the goals of the Mandelkern report (Radaelli and De Francesco 2007:3). In </w:t>
      </w:r>
      <w:r w:rsidR="001855D4">
        <w:t>May of the same yea</w:t>
      </w:r>
      <w:r w:rsidR="00360736">
        <w:t>r</w:t>
      </w:r>
      <w:r w:rsidR="00FC1926">
        <w:t>, the</w:t>
      </w:r>
      <w:r w:rsidR="00AF5C80">
        <w:t xml:space="preserve"> Italian, Irish and</w:t>
      </w:r>
      <w:r w:rsidR="00267D3C">
        <w:t xml:space="preserve"> Dutch Presidencies of the EU tried to</w:t>
      </w:r>
      <w:r w:rsidR="00AF5C80">
        <w:t xml:space="preserve"> </w:t>
      </w:r>
      <w:r w:rsidR="00007971">
        <w:t>raise</w:t>
      </w:r>
      <w:r w:rsidR="00AF5C80">
        <w:t xml:space="preserve"> interest in cross-country comparison</w:t>
      </w:r>
      <w:r w:rsidR="008266E3">
        <w:t>s</w:t>
      </w:r>
      <w:r w:rsidR="00AF5C80">
        <w:t xml:space="preserve"> with a report on impact assessment in ten countries</w:t>
      </w:r>
      <w:r w:rsidR="005C31D3">
        <w:t xml:space="preserve"> </w:t>
      </w:r>
      <w:r w:rsidR="00C3014C">
        <w:t>(Italian, Irish and Dutch Presidencies 2004)</w:t>
      </w:r>
      <w:r w:rsidR="00AF5C80">
        <w:t>.</w:t>
      </w:r>
      <w:r w:rsidR="00FC1926">
        <w:t xml:space="preserve"> La</w:t>
      </w:r>
      <w:r w:rsidR="00267D3C">
        <w:t>ter in December, s</w:t>
      </w:r>
      <w:r w:rsidR="00FC1926">
        <w:t xml:space="preserve">ix consecutive Presidencies raised the prospect of the </w:t>
      </w:r>
      <w:r w:rsidR="00C138CA">
        <w:t>Commission adopting indicators “</w:t>
      </w:r>
      <w:r w:rsidR="00FC1926">
        <w:t>i</w:t>
      </w:r>
      <w:r w:rsidR="00C138CA">
        <w:t>n consultation with the Council”</w:t>
      </w:r>
      <w:r w:rsidR="00FC1926">
        <w:t xml:space="preserve"> (Radaelli and De Fra</w:t>
      </w:r>
      <w:r w:rsidR="00C138CA">
        <w:t>ncesco 2007:3). But political attention</w:t>
      </w:r>
      <w:r w:rsidR="00FC1926">
        <w:t xml:space="preserve"> was on</w:t>
      </w:r>
      <w:r w:rsidR="000A42FC">
        <w:t xml:space="preserve"> administrative burde</w:t>
      </w:r>
      <w:r w:rsidR="005C31D3">
        <w:t>ns</w:t>
      </w:r>
      <w:r w:rsidR="008E4129">
        <w:t>. In 2005</w:t>
      </w:r>
      <w:r w:rsidR="000A42FC">
        <w:t xml:space="preserve"> the Council was </w:t>
      </w:r>
      <w:r w:rsidR="00333798">
        <w:t xml:space="preserve">already </w:t>
      </w:r>
      <w:r w:rsidR="005C31D3">
        <w:t xml:space="preserve">concerned with </w:t>
      </w:r>
      <w:r w:rsidR="000A42FC">
        <w:t>the c</w:t>
      </w:r>
      <w:r w:rsidR="005C31D3">
        <w:t>umulative impact of regulatory costs</w:t>
      </w:r>
      <w:r w:rsidR="000A42FC">
        <w:t xml:space="preserve"> – forgetting the broader cost-benefit</w:t>
      </w:r>
      <w:r w:rsidR="00C138CA">
        <w:t xml:space="preserve"> balancing act </w:t>
      </w:r>
      <w:r w:rsidR="00417B66">
        <w:t>of the early years</w:t>
      </w:r>
      <w:r w:rsidR="00333798">
        <w:t xml:space="preserve"> (Council </w:t>
      </w:r>
      <w:r w:rsidR="000A42FC">
        <w:t>2005).</w:t>
      </w:r>
      <w:r w:rsidR="00FC1926">
        <w:t xml:space="preserve"> </w:t>
      </w:r>
    </w:p>
    <w:p w14:paraId="6B8DADAA" w14:textId="7C8217FE" w:rsidR="00AF5C80" w:rsidRDefault="00333798" w:rsidP="00FC1926">
      <w:pPr>
        <w:spacing w:after="200" w:line="360" w:lineRule="auto"/>
      </w:pPr>
      <w:r>
        <w:t>Unsurprisingly then</w:t>
      </w:r>
      <w:r w:rsidR="005918BD">
        <w:t>, the only time the EU agreed on a regulatory performance measure was around administrative burdens. In 2007 the Commission launched its initiative to reduce administrative burdens by 25 per cent. In the same year the Council invited member states to set national targets of comparable ambition. In 2012 the Commission reported that the targets had been achieved with a self-reported reduct</w:t>
      </w:r>
      <w:r w:rsidR="00DB56A9">
        <w:t>ion of 33 per cent</w:t>
      </w:r>
      <w:r w:rsidR="005918BD">
        <w:t xml:space="preserve">. </w:t>
      </w:r>
      <w:r w:rsidR="0030607A">
        <w:t>In the end,</w:t>
      </w:r>
      <w:r w:rsidR="006952F8">
        <w:t xml:space="preserve"> instead of a set of indicators, the EU adopted a single</w:t>
      </w:r>
      <w:r w:rsidR="0010509C" w:rsidRPr="00D766FD">
        <w:t xml:space="preserve"> target</w:t>
      </w:r>
      <w:r w:rsidR="0010509C" w:rsidRPr="005D3606">
        <w:t xml:space="preserve"> i</w:t>
      </w:r>
      <w:r w:rsidR="005918BD" w:rsidRPr="005D3606">
        <w:t xml:space="preserve">n a narrow </w:t>
      </w:r>
      <w:r w:rsidR="007D68BF" w:rsidRPr="005D3606">
        <w:t>domain</w:t>
      </w:r>
      <w:r w:rsidR="007D68BF">
        <w:t xml:space="preserve"> </w:t>
      </w:r>
      <w:r w:rsidR="0010509C">
        <w:t>(Helm 2007)</w:t>
      </w:r>
      <w:r w:rsidR="005918BD">
        <w:t>.</w:t>
      </w:r>
    </w:p>
    <w:p w14:paraId="323E4BE1" w14:textId="61096DF6" w:rsidR="00532E5D" w:rsidRDefault="00333798" w:rsidP="009F42C4">
      <w:pPr>
        <w:spacing w:after="200" w:line="360" w:lineRule="auto"/>
      </w:pPr>
      <w:r>
        <w:t xml:space="preserve">Not everyone was ready to </w:t>
      </w:r>
      <w:r w:rsidR="005C4EF4">
        <w:t xml:space="preserve">bury </w:t>
      </w:r>
      <w:r w:rsidR="00417B66">
        <w:t>regulatory indicators</w:t>
      </w:r>
      <w:r>
        <w:t xml:space="preserve">. </w:t>
      </w:r>
      <w:r w:rsidR="000A42FC">
        <w:t xml:space="preserve">A number of </w:t>
      </w:r>
      <w:r w:rsidR="00417B66">
        <w:t>projects sought</w:t>
      </w:r>
      <w:r w:rsidR="00106B4F">
        <w:t xml:space="preserve"> </w:t>
      </w:r>
      <w:r w:rsidR="00420449">
        <w:t xml:space="preserve">to </w:t>
      </w:r>
      <w:r w:rsidR="00106B4F">
        <w:t>re-kindle th</w:t>
      </w:r>
      <w:r w:rsidR="00106B4F" w:rsidRPr="005C4EF4">
        <w:t>e discussion, among this IQ tools</w:t>
      </w:r>
      <w:r w:rsidR="005C4EF4" w:rsidRPr="005C4EF4">
        <w:t xml:space="preserve"> (</w:t>
      </w:r>
      <w:r w:rsidR="005C4EF4" w:rsidRPr="005C4EF4">
        <w:rPr>
          <w:color w:val="2E2E2E"/>
          <w:shd w:val="clear" w:color="auto" w:fill="FFFFFF"/>
        </w:rPr>
        <w:t xml:space="preserve">Indicators and Quantitative Tools for Improving the Process of Impact Assessment for </w:t>
      </w:r>
      <w:r w:rsidR="005C4EF4" w:rsidRPr="005C4EF4">
        <w:rPr>
          <w:color w:val="2E2E2E"/>
          <w:shd w:val="clear" w:color="auto" w:fill="FFFFFF"/>
        </w:rPr>
        <w:lastRenderedPageBreak/>
        <w:t>Sustainability</w:t>
      </w:r>
      <w:r w:rsidR="005C4EF4">
        <w:t>), EVIA (</w:t>
      </w:r>
      <w:r w:rsidR="00106B4F">
        <w:t>Evaluating Impact Assessment</w:t>
      </w:r>
      <w:r w:rsidR="005C4EF4">
        <w:t>)</w:t>
      </w:r>
      <w:r w:rsidR="00BD684C">
        <w:t>, and the ENBR (European Network for Better R</w:t>
      </w:r>
      <w:r w:rsidR="00106B4F">
        <w:t xml:space="preserve">egulation) </w:t>
      </w:r>
      <w:r w:rsidR="00FE1CD5">
        <w:t xml:space="preserve">– all within </w:t>
      </w:r>
      <w:r w:rsidR="00106B4F">
        <w:t xml:space="preserve">Framework Program 6. ENBR created a dataset on impact assessment named DIADEM, but the striking fact was how </w:t>
      </w:r>
      <w:r w:rsidR="00AF5C80">
        <w:t xml:space="preserve">little the researchers had to say about the usage of regulatory reform tools in the member states. </w:t>
      </w:r>
      <w:r w:rsidR="00AF5C80" w:rsidRPr="006612D0">
        <w:t xml:space="preserve">Put </w:t>
      </w:r>
      <w:r w:rsidR="006612D0" w:rsidRPr="005F3491">
        <w:t>another way</w:t>
      </w:r>
      <w:r w:rsidR="00AF5C80" w:rsidRPr="006612D0">
        <w:t xml:space="preserve">, too many </w:t>
      </w:r>
      <w:r w:rsidR="006612D0" w:rsidRPr="005F3491">
        <w:t xml:space="preserve">of the cells in the </w:t>
      </w:r>
      <w:r w:rsidR="00AF5C80" w:rsidRPr="004E79D2">
        <w:t xml:space="preserve">DIADEM </w:t>
      </w:r>
      <w:r w:rsidR="008B0457" w:rsidRPr="004E79D2">
        <w:t xml:space="preserve">matrix </w:t>
      </w:r>
      <w:r w:rsidR="00AF5C80" w:rsidRPr="004E79D2">
        <w:t>were empty.</w:t>
      </w:r>
      <w:r w:rsidR="00AF5C80">
        <w:t xml:space="preserve"> </w:t>
      </w:r>
      <w:r w:rsidR="006621A9">
        <w:t>A</w:t>
      </w:r>
      <w:r w:rsidR="00AF5C80">
        <w:t>nother wa</w:t>
      </w:r>
      <w:r w:rsidR="00AF5C80" w:rsidRPr="005C4EF4">
        <w:t>ve of project</w:t>
      </w:r>
      <w:r w:rsidR="00793F9B" w:rsidRPr="005C4EF4">
        <w:t>s</w:t>
      </w:r>
      <w:r w:rsidR="00AF5C80" w:rsidRPr="005C4EF4">
        <w:t xml:space="preserve"> was funded by DG Research in the next Framework Program</w:t>
      </w:r>
      <w:r w:rsidR="00793F9B" w:rsidRPr="005C4EF4">
        <w:t xml:space="preserve"> 7</w:t>
      </w:r>
      <w:r w:rsidR="00AF5C80" w:rsidRPr="005C4EF4">
        <w:t>, among them Liaise</w:t>
      </w:r>
      <w:r w:rsidR="00532E5D" w:rsidRPr="005C4EF4">
        <w:t xml:space="preserve"> </w:t>
      </w:r>
      <w:r w:rsidR="005C4EF4" w:rsidRPr="005C4EF4">
        <w:t>(</w:t>
      </w:r>
      <w:r w:rsidR="005C4EF4" w:rsidRPr="005C4EF4">
        <w:rPr>
          <w:color w:val="404040"/>
          <w:shd w:val="clear" w:color="auto" w:fill="FFFFFF"/>
        </w:rPr>
        <w:t xml:space="preserve">Linking Impact Assessment </w:t>
      </w:r>
      <w:r w:rsidR="005C4EF4" w:rsidRPr="005C4EF4">
        <w:rPr>
          <w:color w:val="000000" w:themeColor="text1"/>
          <w:shd w:val="clear" w:color="auto" w:fill="FFFFFF"/>
        </w:rPr>
        <w:t xml:space="preserve">Instruments </w:t>
      </w:r>
      <w:r w:rsidR="005C4EF4" w:rsidRPr="005C4EF4">
        <w:rPr>
          <w:color w:val="404040"/>
          <w:shd w:val="clear" w:color="auto" w:fill="FFFFFF"/>
        </w:rPr>
        <w:t xml:space="preserve">to </w:t>
      </w:r>
      <w:r w:rsidR="005C4EF4" w:rsidRPr="005C4EF4">
        <w:rPr>
          <w:color w:val="000000" w:themeColor="text1"/>
          <w:shd w:val="clear" w:color="auto" w:fill="FFFFFF"/>
        </w:rPr>
        <w:t xml:space="preserve">Sustainability </w:t>
      </w:r>
      <w:r w:rsidR="005C4EF4" w:rsidRPr="005C4EF4">
        <w:rPr>
          <w:color w:val="404040"/>
          <w:shd w:val="clear" w:color="auto" w:fill="FFFFFF"/>
        </w:rPr>
        <w:t>Expertise</w:t>
      </w:r>
      <w:r w:rsidR="005C4EF4">
        <w:rPr>
          <w:color w:val="404040"/>
          <w:shd w:val="clear" w:color="auto" w:fill="FFFFFF"/>
        </w:rPr>
        <w:t>,</w:t>
      </w:r>
      <w:r w:rsidR="005C4EF4" w:rsidRPr="005C4EF4">
        <w:t xml:space="preserve"> </w:t>
      </w:r>
      <w:r w:rsidR="00532E5D" w:rsidRPr="009960C0">
        <w:t>Jordan and Turnpenny 2015)</w:t>
      </w:r>
      <w:r w:rsidR="00AF5C80" w:rsidRPr="009960C0">
        <w:t xml:space="preserve"> – with an emphasis on building networks and</w:t>
      </w:r>
      <w:r w:rsidR="00AF5C80">
        <w:t xml:space="preserve"> sharing good practice in modeling economic val</w:t>
      </w:r>
      <w:r w:rsidR="00417B66">
        <w:t>uation of sustainability issues</w:t>
      </w:r>
      <w:r w:rsidR="000A42FC">
        <w:t>.</w:t>
      </w:r>
      <w:r w:rsidR="005C4EF4">
        <w:t xml:space="preserve"> T</w:t>
      </w:r>
      <w:r w:rsidR="007433C0">
        <w:t xml:space="preserve">hese </w:t>
      </w:r>
      <w:r w:rsidR="00934D24">
        <w:t xml:space="preserve">studies </w:t>
      </w:r>
      <w:r w:rsidR="007433C0">
        <w:t>carried out by large European networks of researchers were less oriented towards</w:t>
      </w:r>
      <w:r w:rsidR="00793F9B">
        <w:t xml:space="preserve"> </w:t>
      </w:r>
      <w:r w:rsidR="009106DF">
        <w:t xml:space="preserve">tailor-made </w:t>
      </w:r>
      <w:r w:rsidR="005C31D3">
        <w:t>self-directed learning</w:t>
      </w:r>
      <w:r w:rsidR="007433C0">
        <w:t>,</w:t>
      </w:r>
      <w:r w:rsidR="005C4EF4">
        <w:t xml:space="preserve"> and were produced in</w:t>
      </w:r>
      <w:r w:rsidR="00532E5D">
        <w:t xml:space="preserve"> a political environment where attention wa</w:t>
      </w:r>
      <w:r w:rsidR="005C4EF4">
        <w:t>s focused on the reduction of administrative burdens</w:t>
      </w:r>
      <w:r w:rsidR="00532E5D">
        <w:t>.</w:t>
      </w:r>
      <w:r w:rsidR="007433C0">
        <w:t xml:space="preserve"> </w:t>
      </w:r>
    </w:p>
    <w:p w14:paraId="3D4FD837" w14:textId="599B5919" w:rsidR="003F20ED" w:rsidRPr="00BB7739" w:rsidRDefault="00417B66" w:rsidP="00B57949">
      <w:pPr>
        <w:spacing w:after="200" w:line="360" w:lineRule="auto"/>
      </w:pPr>
      <w:r w:rsidRPr="005D3606">
        <w:t>Indeed</w:t>
      </w:r>
      <w:r w:rsidR="005D3606" w:rsidRPr="005F3491">
        <w:t>,</w:t>
      </w:r>
      <w:r w:rsidRPr="005D3606">
        <w:t xml:space="preserve"> f</w:t>
      </w:r>
      <w:r w:rsidR="00AF5C80" w:rsidRPr="005D3606">
        <w:t xml:space="preserve">or all </w:t>
      </w:r>
      <w:r w:rsidR="005D3606" w:rsidRPr="005F3491">
        <w:t xml:space="preserve">of </w:t>
      </w:r>
      <w:r w:rsidR="00AF5C80" w:rsidRPr="005D3606">
        <w:t xml:space="preserve">these projects, </w:t>
      </w:r>
      <w:r w:rsidR="005D3606" w:rsidRPr="005F3491">
        <w:t>there have</w:t>
      </w:r>
      <w:r w:rsidR="004E79D2" w:rsidRPr="005F3491">
        <w:t xml:space="preserve"> not been</w:t>
      </w:r>
      <w:r w:rsidR="005D3606" w:rsidRPr="005F3491">
        <w:t xml:space="preserve"> any attempts to put forward any efforts in regulatory indicators</w:t>
      </w:r>
      <w:r w:rsidR="004E79D2" w:rsidRPr="005F3491">
        <w:t xml:space="preserve"> </w:t>
      </w:r>
      <w:r w:rsidR="00793F9B" w:rsidRPr="005D3606">
        <w:t xml:space="preserve">in </w:t>
      </w:r>
      <w:r w:rsidR="005D3606" w:rsidRPr="005F3491">
        <w:t xml:space="preserve">recent years.  </w:t>
      </w:r>
      <w:r w:rsidR="00190751" w:rsidRPr="00BB7739">
        <w:t>The re-launch of better regulation in 2015, championed by the Vice-President of the Commission Timmermans, included a tool</w:t>
      </w:r>
      <w:r w:rsidR="009960C0">
        <w:t xml:space="preserve">box </w:t>
      </w:r>
      <w:r w:rsidR="00190751" w:rsidRPr="00BB7739">
        <w:t>entirely dedicated to technical tools for regulatory quality (414 pages</w:t>
      </w:r>
      <w:r w:rsidR="00EF1784">
        <w:t xml:space="preserve"> long</w:t>
      </w:r>
      <w:r w:rsidR="00190751" w:rsidRPr="00BB7739">
        <w:t>).</w:t>
      </w:r>
      <w:r w:rsidR="007F7573" w:rsidRPr="00BB7739">
        <w:t xml:space="preserve"> The toolbox </w:t>
      </w:r>
      <w:r w:rsidR="009960C0">
        <w:t>(</w:t>
      </w:r>
      <w:r w:rsidR="009960C0" w:rsidRPr="009960C0">
        <w:t>http://ec.europa.eu/smart-regulation/guidelines/toc_tool_en.htm</w:t>
      </w:r>
      <w:r w:rsidR="009960C0">
        <w:t xml:space="preserve">) </w:t>
      </w:r>
      <w:r w:rsidR="007F7573" w:rsidRPr="00BB7739">
        <w:t>does not</w:t>
      </w:r>
      <w:r w:rsidR="005C4EF4">
        <w:t xml:space="preserve"> include</w:t>
      </w:r>
      <w:r w:rsidR="007F7573" w:rsidRPr="00BB7739">
        <w:t xml:space="preserve"> a system of regulatory indicators to monitor, manage and communicate the performance of the regulatory sys</w:t>
      </w:r>
      <w:r w:rsidR="00532E5D">
        <w:t>tem. T</w:t>
      </w:r>
      <w:r w:rsidR="008D62F2" w:rsidRPr="00BB7739">
        <w:t>he momentum for regulatory indicators seem</w:t>
      </w:r>
      <w:r w:rsidR="00532E5D">
        <w:t>s</w:t>
      </w:r>
      <w:r w:rsidR="008D62F2" w:rsidRPr="00BB7739">
        <w:t xml:space="preserve"> completely lost</w:t>
      </w:r>
      <w:r w:rsidR="00532E5D">
        <w:t xml:space="preserve"> </w:t>
      </w:r>
      <w:r w:rsidR="00A65251">
        <w:t xml:space="preserve">in </w:t>
      </w:r>
      <w:r w:rsidR="00532E5D">
        <w:t>today</w:t>
      </w:r>
      <w:r w:rsidR="00A65251">
        <w:t>’s EU</w:t>
      </w:r>
      <w:r w:rsidR="008D62F2" w:rsidRPr="00BB7739">
        <w:t>.</w:t>
      </w:r>
    </w:p>
    <w:p w14:paraId="4FF3C708" w14:textId="24A4DB9F" w:rsidR="003F20ED" w:rsidRPr="006B789B" w:rsidRDefault="006B789B" w:rsidP="004B4D3D">
      <w:pPr>
        <w:pStyle w:val="Heading1"/>
        <w:spacing w:line="360" w:lineRule="auto"/>
        <w:rPr>
          <w:rFonts w:asciiTheme="minorHAnsi" w:hAnsiTheme="minorHAnsi"/>
          <w:color w:val="auto"/>
          <w:sz w:val="24"/>
          <w:szCs w:val="24"/>
        </w:rPr>
      </w:pPr>
      <w:r>
        <w:rPr>
          <w:rFonts w:asciiTheme="minorHAnsi" w:hAnsiTheme="minorHAnsi"/>
          <w:color w:val="auto"/>
          <w:sz w:val="24"/>
          <w:szCs w:val="24"/>
        </w:rPr>
        <w:t>5</w:t>
      </w:r>
      <w:r w:rsidRPr="006B789B">
        <w:rPr>
          <w:rFonts w:asciiTheme="minorHAnsi" w:hAnsiTheme="minorHAnsi"/>
          <w:color w:val="auto"/>
          <w:sz w:val="24"/>
          <w:szCs w:val="24"/>
        </w:rPr>
        <w:t xml:space="preserve">. </w:t>
      </w:r>
      <w:r w:rsidR="000121A7" w:rsidRPr="006B789B">
        <w:rPr>
          <w:rFonts w:asciiTheme="minorHAnsi" w:hAnsiTheme="minorHAnsi"/>
          <w:color w:val="auto"/>
          <w:sz w:val="24"/>
          <w:szCs w:val="24"/>
        </w:rPr>
        <w:t xml:space="preserve">The </w:t>
      </w:r>
      <w:r w:rsidR="00981EA3" w:rsidRPr="006B789B">
        <w:rPr>
          <w:rFonts w:asciiTheme="minorHAnsi" w:hAnsiTheme="minorHAnsi"/>
          <w:color w:val="auto"/>
          <w:sz w:val="24"/>
          <w:szCs w:val="24"/>
        </w:rPr>
        <w:t>OECD</w:t>
      </w:r>
      <w:r w:rsidR="00B57949" w:rsidRPr="006B789B">
        <w:rPr>
          <w:rFonts w:asciiTheme="minorHAnsi" w:hAnsiTheme="minorHAnsi"/>
          <w:color w:val="auto"/>
          <w:sz w:val="24"/>
          <w:szCs w:val="24"/>
        </w:rPr>
        <w:t>:</w:t>
      </w:r>
      <w:r w:rsidR="00981EA3" w:rsidRPr="006B789B">
        <w:rPr>
          <w:rFonts w:asciiTheme="minorHAnsi" w:hAnsiTheme="minorHAnsi"/>
          <w:color w:val="auto"/>
          <w:sz w:val="24"/>
          <w:szCs w:val="24"/>
        </w:rPr>
        <w:t xml:space="preserve"> </w:t>
      </w:r>
      <w:r w:rsidR="00B57949" w:rsidRPr="006B789B">
        <w:rPr>
          <w:rFonts w:asciiTheme="minorHAnsi" w:hAnsiTheme="minorHAnsi"/>
          <w:color w:val="auto"/>
          <w:sz w:val="24"/>
          <w:szCs w:val="24"/>
        </w:rPr>
        <w:t>C</w:t>
      </w:r>
      <w:r w:rsidR="000121A7" w:rsidRPr="006B789B">
        <w:rPr>
          <w:rFonts w:asciiTheme="minorHAnsi" w:hAnsiTheme="minorHAnsi"/>
          <w:color w:val="auto"/>
          <w:sz w:val="24"/>
          <w:szCs w:val="24"/>
        </w:rPr>
        <w:t xml:space="preserve">onstructing and validating regulatory </w:t>
      </w:r>
      <w:r w:rsidR="00981EA3" w:rsidRPr="006B789B">
        <w:rPr>
          <w:rFonts w:asciiTheme="minorHAnsi" w:hAnsiTheme="minorHAnsi"/>
          <w:color w:val="auto"/>
          <w:sz w:val="24"/>
          <w:szCs w:val="24"/>
        </w:rPr>
        <w:t>measures</w:t>
      </w:r>
    </w:p>
    <w:p w14:paraId="12DFE0BA" w14:textId="37B5FB8F" w:rsidR="00A81F84" w:rsidRPr="00BB7739" w:rsidRDefault="00A81F84" w:rsidP="004B4D3D">
      <w:pPr>
        <w:spacing w:after="480" w:line="360" w:lineRule="auto"/>
      </w:pPr>
      <w:r w:rsidRPr="00BB7739">
        <w:t>The OECD</w:t>
      </w:r>
      <w:r w:rsidR="00D43347">
        <w:t xml:space="preserve"> experience with</w:t>
      </w:r>
      <w:r w:rsidRPr="00BB7739">
        <w:t xml:space="preserve"> regulato</w:t>
      </w:r>
      <w:r w:rsidR="003E7DC3">
        <w:t>ry management indicators has been historically</w:t>
      </w:r>
      <w:r w:rsidR="00D43347">
        <w:t xml:space="preserve"> anchored to surveys of member states. Three waves of</w:t>
      </w:r>
      <w:r w:rsidRPr="00BB7739">
        <w:t xml:space="preserve"> surveys were carried out in </w:t>
      </w:r>
      <w:r w:rsidR="00D43347">
        <w:t xml:space="preserve">1998, 2005 and 2008/2009. The data </w:t>
      </w:r>
      <w:r w:rsidR="004D32AF">
        <w:t xml:space="preserve">was </w:t>
      </w:r>
      <w:r w:rsidR="00D43347">
        <w:t>built on</w:t>
      </w:r>
      <w:r w:rsidR="003C20A3">
        <w:t xml:space="preserve"> </w:t>
      </w:r>
      <w:r w:rsidR="004134FB" w:rsidRPr="00BB7739">
        <w:t>self-reported questionnaires</w:t>
      </w:r>
      <w:r w:rsidR="00D43347">
        <w:t>. As mentioned, the series 1998 to 2009 do</w:t>
      </w:r>
      <w:r w:rsidR="00F5564E">
        <w:t>es</w:t>
      </w:r>
      <w:r w:rsidR="00D43347">
        <w:t xml:space="preserve"> not include</w:t>
      </w:r>
      <w:r w:rsidR="003C20A3">
        <w:t xml:space="preserve"> </w:t>
      </w:r>
      <w:r w:rsidR="004134FB" w:rsidRPr="00BB7739">
        <w:t>information on individual countries. The new 2015 survey</w:t>
      </w:r>
      <w:r w:rsidR="008A62AF" w:rsidRPr="00BB7739">
        <w:t xml:space="preserve">, included in the </w:t>
      </w:r>
      <w:r w:rsidR="0028738F" w:rsidRPr="00BB7739">
        <w:t>Regulatory Policy Outlook (OECD</w:t>
      </w:r>
      <w:r w:rsidR="008A62AF" w:rsidRPr="00BB7739">
        <w:t xml:space="preserve"> 2015a)</w:t>
      </w:r>
      <w:r w:rsidR="00F5564E">
        <w:t>,</w:t>
      </w:r>
      <w:r w:rsidR="00D43347">
        <w:t xml:space="preserve"> presents</w:t>
      </w:r>
      <w:r w:rsidR="004134FB" w:rsidRPr="00BB7739">
        <w:t xml:space="preserve"> some important differences: there is more emphasis on examples and fact-checking to support the answers given by member states; the individual position of each country on each </w:t>
      </w:r>
      <w:r w:rsidR="004134FB" w:rsidRPr="00BB7739">
        <w:lastRenderedPageBreak/>
        <w:t xml:space="preserve">indicator is accessible and therefore one can compute rankings; </w:t>
      </w:r>
      <w:r w:rsidR="00D43347">
        <w:t xml:space="preserve">there are </w:t>
      </w:r>
      <w:r w:rsidR="004134FB" w:rsidRPr="00BB7739">
        <w:t xml:space="preserve">composite measures agreed by member states; </w:t>
      </w:r>
      <w:r w:rsidR="00465A01" w:rsidRPr="00BB7739">
        <w:t>the sensitivity of composite indicators to different weighting schemes is checked with appro</w:t>
      </w:r>
      <w:r w:rsidR="00BB7739" w:rsidRPr="00BB7739">
        <w:t>priate techniques (Arndt et al.</w:t>
      </w:r>
      <w:r w:rsidR="00465A01" w:rsidRPr="00BB7739">
        <w:t xml:space="preserve"> 2015). To understand this step-change, we have to trace the process </w:t>
      </w:r>
      <w:r w:rsidR="00D43347">
        <w:t>and the fora where the decisions were taken</w:t>
      </w:r>
      <w:r w:rsidR="00465A01" w:rsidRPr="00BB7739">
        <w:t>.</w:t>
      </w:r>
      <w:r w:rsidR="004134FB" w:rsidRPr="00BB7739">
        <w:t xml:space="preserve"> </w:t>
      </w:r>
    </w:p>
    <w:p w14:paraId="297BDE32" w14:textId="5B8070DE" w:rsidR="00580459" w:rsidRDefault="005D3606" w:rsidP="009463C3">
      <w:pPr>
        <w:spacing w:afterLines="200" w:after="480" w:line="360" w:lineRule="auto"/>
      </w:pPr>
      <w:r w:rsidRPr="005F3491">
        <w:t>Starting from</w:t>
      </w:r>
      <w:r w:rsidR="001601FF" w:rsidRPr="005D3606">
        <w:t xml:space="preserve"> </w:t>
      </w:r>
      <w:r w:rsidR="00EF1784">
        <w:t xml:space="preserve">an </w:t>
      </w:r>
      <w:r w:rsidR="001601FF" w:rsidRPr="005D3606">
        <w:t>organizational change</w:t>
      </w:r>
      <w:r>
        <w:t xml:space="preserve"> standpoint</w:t>
      </w:r>
      <w:r w:rsidR="001601FF" w:rsidRPr="00BB7739">
        <w:t>. In 2009 the OECD Council created a Regulatory Policy Committee</w:t>
      </w:r>
      <w:r w:rsidR="00C0355D" w:rsidRPr="00BB7739">
        <w:t xml:space="preserve"> (RPC)</w:t>
      </w:r>
      <w:r w:rsidR="00B1503D" w:rsidRPr="00BB7739">
        <w:t xml:space="preserve"> </w:t>
      </w:r>
      <w:r w:rsidR="00905419">
        <w:t>(Pal 2012)</w:t>
      </w:r>
      <w:r w:rsidR="001601FF" w:rsidRPr="00BB7739">
        <w:t xml:space="preserve"> to signal its commitment t</w:t>
      </w:r>
      <w:r w:rsidR="004B2035">
        <w:t>o regulatory reform</w:t>
      </w:r>
      <w:r w:rsidR="001601FF" w:rsidRPr="00BB7739">
        <w:t>. The Commi</w:t>
      </w:r>
      <w:r w:rsidR="00AC070C" w:rsidRPr="00BB7739">
        <w:t>ttee is supported by OECD staff within the Regulatory Policy Division – which in turn belongs to the Public Governance and Territorial Development Directorate. The Division has over the years gain</w:t>
      </w:r>
      <w:r w:rsidR="00580459">
        <w:t>ed</w:t>
      </w:r>
      <w:r w:rsidR="00AC070C" w:rsidRPr="00BB7739">
        <w:t xml:space="preserve"> in analytical capacity by hiring staff with skills in governance, public policy and statistics.</w:t>
      </w:r>
      <w:r w:rsidR="00C0355D" w:rsidRPr="00BB7739">
        <w:t xml:space="preserve"> The Regulatory Policy Division serve</w:t>
      </w:r>
      <w:r w:rsidR="00580459">
        <w:t xml:space="preserve">s as Secretariat of the RPC. </w:t>
      </w:r>
      <w:r w:rsidR="00905419">
        <w:t>As explained by Pal (2012)</w:t>
      </w:r>
      <w:r w:rsidR="00420449">
        <w:t>,</w:t>
      </w:r>
      <w:r w:rsidR="00905419">
        <w:t xml:space="preserve"> most of the policy-related learning processes of the OECD take place at the level of committees.</w:t>
      </w:r>
    </w:p>
    <w:p w14:paraId="427B4684" w14:textId="6976DF45" w:rsidR="00905419" w:rsidRDefault="00580459" w:rsidP="00580459">
      <w:pPr>
        <w:spacing w:afterLines="200" w:after="480" w:line="360" w:lineRule="auto"/>
      </w:pPr>
      <w:r>
        <w:t xml:space="preserve">A </w:t>
      </w:r>
      <w:r w:rsidR="00C0355D" w:rsidRPr="00BB7739">
        <w:t>nine-member Bureau of the RPC</w:t>
      </w:r>
      <w:r>
        <w:t xml:space="preserve"> </w:t>
      </w:r>
      <w:r w:rsidR="00C0355D" w:rsidRPr="00BB7739">
        <w:t>provi</w:t>
      </w:r>
      <w:r>
        <w:t>des strategy. In the period we examine</w:t>
      </w:r>
      <w:r w:rsidR="004D32AF">
        <w:t>d</w:t>
      </w:r>
      <w:r>
        <w:t>, it was</w:t>
      </w:r>
      <w:r w:rsidR="00C0355D" w:rsidRPr="00BB7739">
        <w:t xml:space="preserve"> chaired by the former chair of the Australian Productivity Commission (Gary Banks</w:t>
      </w:r>
      <w:r>
        <w:t>, Dean of the Australia and New Zealand School of Government</w:t>
      </w:r>
      <w:r w:rsidR="00420449">
        <w:t xml:space="preserve">). </w:t>
      </w:r>
      <w:r w:rsidR="00C06F46">
        <w:t>Banks</w:t>
      </w:r>
      <w:r w:rsidR="004D32AF">
        <w:t>’</w:t>
      </w:r>
      <w:r w:rsidR="00C06F46">
        <w:t xml:space="preserve"> presence was key to keep</w:t>
      </w:r>
      <w:r w:rsidR="004D32AF">
        <w:t>ing</w:t>
      </w:r>
      <w:r w:rsidR="00C06F46">
        <w:t xml:space="preserve"> the content and direction </w:t>
      </w:r>
      <w:r w:rsidR="00C06F46" w:rsidRPr="005D3606">
        <w:t xml:space="preserve">of learning </w:t>
      </w:r>
      <w:r w:rsidR="005D3606" w:rsidRPr="005F3491">
        <w:t>strictly within</w:t>
      </w:r>
      <w:r w:rsidR="00C06F46" w:rsidRPr="005D3606">
        <w:t xml:space="preserve"> the </w:t>
      </w:r>
      <w:r w:rsidR="005D3606" w:rsidRPr="005F3491">
        <w:t xml:space="preserve">bounds of the </w:t>
      </w:r>
      <w:r w:rsidR="00C06F46" w:rsidRPr="005D3606">
        <w:t>RPC</w:t>
      </w:r>
      <w:r w:rsidR="00905419" w:rsidRPr="009A1BF0">
        <w:t>. The</w:t>
      </w:r>
      <w:r w:rsidR="00905419">
        <w:t xml:space="preserve"> Steering Group of the RPC quickly evolved as the body where lessons from practice were validated.</w:t>
      </w:r>
      <w:r w:rsidR="00684B23">
        <w:t xml:space="preserve"> </w:t>
      </w:r>
      <w:r w:rsidR="00BB003E">
        <w:t>In short, t</w:t>
      </w:r>
      <w:r w:rsidR="00BB003E" w:rsidRPr="00BB7739">
        <w:rPr>
          <w:color w:val="000000" w:themeColor="text1"/>
        </w:rPr>
        <w:t xml:space="preserve">he Bureau </w:t>
      </w:r>
      <w:r w:rsidR="00BB003E">
        <w:rPr>
          <w:color w:val="000000" w:themeColor="text1"/>
        </w:rPr>
        <w:t xml:space="preserve">operated </w:t>
      </w:r>
      <w:r w:rsidR="00BB003E" w:rsidRPr="00BB7739">
        <w:rPr>
          <w:color w:val="000000" w:themeColor="text1"/>
        </w:rPr>
        <w:t>as strategic body, the Steering Group as community of practice, the Secretariat distilling and operationalizing the content of learning, and the overall RPC for the final discussion and legitimation of the decisions taken.</w:t>
      </w:r>
      <w:r w:rsidR="00C06F46">
        <w:rPr>
          <w:color w:val="000000" w:themeColor="text1"/>
        </w:rPr>
        <w:t xml:space="preserve"> </w:t>
      </w:r>
    </w:p>
    <w:p w14:paraId="6613E826" w14:textId="154BE50E" w:rsidR="009463C3" w:rsidRDefault="00AC070C" w:rsidP="00905419">
      <w:pPr>
        <w:spacing w:afterLines="200" w:after="480" w:line="360" w:lineRule="auto"/>
      </w:pPr>
      <w:r w:rsidRPr="00BB7739">
        <w:t xml:space="preserve">For the </w:t>
      </w:r>
      <w:r w:rsidR="00905419">
        <w:t>RPC, the</w:t>
      </w:r>
      <w:r w:rsidR="00420449">
        <w:t xml:space="preserve"> previous</w:t>
      </w:r>
      <w:r w:rsidR="00905419">
        <w:t xml:space="preserve"> </w:t>
      </w:r>
      <w:r w:rsidR="00580459">
        <w:t xml:space="preserve">three waves of regulatory indicators </w:t>
      </w:r>
      <w:r w:rsidR="00905419">
        <w:t>were an obvious starting point. Yet</w:t>
      </w:r>
      <w:r w:rsidR="002848E3">
        <w:t>,</w:t>
      </w:r>
      <w:r w:rsidR="002848E3" w:rsidRPr="002848E3">
        <w:t xml:space="preserve"> </w:t>
      </w:r>
      <w:r w:rsidR="002848E3">
        <w:t>although</w:t>
      </w:r>
      <w:r w:rsidR="00905419">
        <w:t xml:space="preserve"> th</w:t>
      </w:r>
      <w:r w:rsidR="002848E3">
        <w:t xml:space="preserve">is </w:t>
      </w:r>
      <w:r w:rsidR="00905419">
        <w:t>data</w:t>
      </w:r>
      <w:r w:rsidRPr="00BB7739">
        <w:t xml:space="preserve"> reflected the answers provided by governments </w:t>
      </w:r>
      <w:r w:rsidR="002848E3">
        <w:t xml:space="preserve">it didn’t </w:t>
      </w:r>
      <w:r w:rsidR="002848E3" w:rsidRPr="00BB7739">
        <w:t>necessarily</w:t>
      </w:r>
      <w:r w:rsidR="002848E3">
        <w:t xml:space="preserve"> represent</w:t>
      </w:r>
      <w:r w:rsidR="002848E3" w:rsidRPr="00BB7739">
        <w:t xml:space="preserve"> </w:t>
      </w:r>
      <w:r w:rsidRPr="00BB7739">
        <w:t xml:space="preserve"> the real-world implementation of regulatory reform. </w:t>
      </w:r>
      <w:r w:rsidR="009463C3" w:rsidRPr="00BB7739">
        <w:t>The goal then was to move from the presence of a given policy tool</w:t>
      </w:r>
      <w:r w:rsidRPr="00BB7739">
        <w:t xml:space="preserve"> (impact assessment, transparency, notice and comment, regulatory </w:t>
      </w:r>
      <w:r w:rsidRPr="00BB7739">
        <w:lastRenderedPageBreak/>
        <w:t>evaluation) to measures</w:t>
      </w:r>
      <w:r w:rsidR="009463C3" w:rsidRPr="00BB7739">
        <w:t xml:space="preserve"> closer to</w:t>
      </w:r>
      <w:r w:rsidRPr="00BB7739">
        <w:t xml:space="preserve"> the domain of</w:t>
      </w:r>
      <w:r w:rsidR="009463C3" w:rsidRPr="00BB7739">
        <w:t xml:space="preserve"> implementation.</w:t>
      </w:r>
      <w:r w:rsidR="00905419">
        <w:t xml:space="preserve"> How </w:t>
      </w:r>
      <w:r w:rsidR="002848E3">
        <w:t xml:space="preserve">do we </w:t>
      </w:r>
      <w:r w:rsidR="00905419">
        <w:t>get there?</w:t>
      </w:r>
    </w:p>
    <w:p w14:paraId="2FB6B9FF" w14:textId="391A7D08" w:rsidR="00CC5888" w:rsidRPr="00BB7739" w:rsidRDefault="00905419" w:rsidP="00420449">
      <w:pPr>
        <w:spacing w:afterLines="200" w:after="480" w:line="360" w:lineRule="auto"/>
      </w:pPr>
      <w:r>
        <w:t>The highest levels of the orga</w:t>
      </w:r>
      <w:r w:rsidR="00623D1F">
        <w:t>nization</w:t>
      </w:r>
      <w:r>
        <w:t xml:space="preserve"> sent positive signals in response to this question. In 2012 </w:t>
      </w:r>
      <w:r w:rsidR="007C41BC" w:rsidRPr="00BB7739">
        <w:t>the</w:t>
      </w:r>
      <w:r w:rsidR="00A54969" w:rsidRPr="00BB7739">
        <w:t xml:space="preserve"> </w:t>
      </w:r>
      <w:r w:rsidR="00DF062D">
        <w:t xml:space="preserve">OECD </w:t>
      </w:r>
      <w:r w:rsidR="00A54969" w:rsidRPr="00BB7739">
        <w:t>Council endorsed</w:t>
      </w:r>
      <w:r w:rsidR="00301234" w:rsidRPr="00BB7739">
        <w:t xml:space="preserve"> a new</w:t>
      </w:r>
      <w:r>
        <w:t xml:space="preserve"> set of principles </w:t>
      </w:r>
      <w:r w:rsidR="00A54969" w:rsidRPr="00BB7739">
        <w:t>in a Recommendation on Regulatory Policy and Governan</w:t>
      </w:r>
      <w:r w:rsidR="00BD684C">
        <w:t>ce (OECD</w:t>
      </w:r>
      <w:r w:rsidR="00A54969" w:rsidRPr="00BB7739">
        <w:t xml:space="preserve"> 2012)</w:t>
      </w:r>
      <w:r w:rsidR="00301234" w:rsidRPr="00BB7739">
        <w:t xml:space="preserve">. Now, </w:t>
      </w:r>
      <w:r>
        <w:t xml:space="preserve">for the </w:t>
      </w:r>
      <w:r w:rsidR="00370C05" w:rsidRPr="00BB7739">
        <w:t xml:space="preserve">RPC, </w:t>
      </w:r>
      <w:r w:rsidR="00580459">
        <w:t>the</w:t>
      </w:r>
      <w:r w:rsidR="00301234" w:rsidRPr="00BB7739">
        <w:t xml:space="preserve"> 2012 principles endorsed at the mi</w:t>
      </w:r>
      <w:r w:rsidR="0004468A">
        <w:t>nisterial level (OECD</w:t>
      </w:r>
      <w:r w:rsidR="00370C05" w:rsidRPr="00BB7739">
        <w:t xml:space="preserve"> 2012) represented</w:t>
      </w:r>
      <w:r w:rsidR="008B1280">
        <w:t xml:space="preserve"> </w:t>
      </w:r>
      <w:r w:rsidR="00301234" w:rsidRPr="00BB7739">
        <w:t xml:space="preserve">the </w:t>
      </w:r>
      <w:r w:rsidR="00370C05" w:rsidRPr="00BB7739">
        <w:t>ultimate benchmar</w:t>
      </w:r>
      <w:r w:rsidR="008B1280">
        <w:t>k of success</w:t>
      </w:r>
      <w:r w:rsidR="00370C05" w:rsidRPr="00BB7739">
        <w:t xml:space="preserve"> in terms of regulatory reform achievements</w:t>
      </w:r>
      <w:r w:rsidR="00301234" w:rsidRPr="00BB7739">
        <w:t xml:space="preserve">. </w:t>
      </w:r>
      <w:r w:rsidR="00370C05" w:rsidRPr="00BB7739">
        <w:t xml:space="preserve">The challenge was </w:t>
      </w:r>
      <w:r w:rsidR="00580459">
        <w:t xml:space="preserve">how </w:t>
      </w:r>
      <w:r w:rsidR="00CC5888">
        <w:t xml:space="preserve">to make </w:t>
      </w:r>
      <w:r w:rsidR="00370C05" w:rsidRPr="00BB7739">
        <w:t xml:space="preserve">these </w:t>
      </w:r>
      <w:r w:rsidR="00CC5888">
        <w:t>relatively abstract principles</w:t>
      </w:r>
      <w:r w:rsidR="00C22F80">
        <w:t xml:space="preserve"> operational</w:t>
      </w:r>
      <w:r w:rsidR="00CC5888">
        <w:t>. Learning about indicators</w:t>
      </w:r>
      <w:r w:rsidR="00370C05" w:rsidRPr="00BB7739">
        <w:t xml:space="preserve"> became a component of this strategic agenda</w:t>
      </w:r>
      <w:r w:rsidR="00301234" w:rsidRPr="00BB7739">
        <w:t>.</w:t>
      </w:r>
      <w:r w:rsidR="000529AC" w:rsidRPr="00BB7739">
        <w:t xml:space="preserve"> In contrast to </w:t>
      </w:r>
      <w:r w:rsidR="00BB7739" w:rsidRPr="00BB7739">
        <w:t>what was done in the past (OECD</w:t>
      </w:r>
      <w:r w:rsidR="000529AC" w:rsidRPr="00BB7739">
        <w:t xml:space="preserve"> 1995), the 2012</w:t>
      </w:r>
      <w:r w:rsidR="00301234" w:rsidRPr="00BB7739">
        <w:t xml:space="preserve"> </w:t>
      </w:r>
      <w:r w:rsidR="00961F2F" w:rsidRPr="00BB7739">
        <w:t xml:space="preserve">Recommendation </w:t>
      </w:r>
      <w:r w:rsidR="00301234" w:rsidRPr="00BB7739">
        <w:t>was more</w:t>
      </w:r>
      <w:r w:rsidR="00420449">
        <w:t xml:space="preserve"> demanding in terms of</w:t>
      </w:r>
      <w:r w:rsidR="00301234" w:rsidRPr="00BB7739">
        <w:t xml:space="preserve"> implementation. </w:t>
      </w:r>
    </w:p>
    <w:p w14:paraId="0A6B9DCC" w14:textId="44DB497C" w:rsidR="00D97C11" w:rsidRPr="00BB7739" w:rsidRDefault="00420449" w:rsidP="00420449">
      <w:pPr>
        <w:spacing w:afterLines="200" w:after="480" w:line="360" w:lineRule="auto"/>
      </w:pPr>
      <w:r>
        <w:t>One way to move forward was to draw on</w:t>
      </w:r>
      <w:r w:rsidR="00CC5888">
        <w:t xml:space="preserve"> the initiatives of PUMA (Public Management Committee, Pal 2012)</w:t>
      </w:r>
      <w:r>
        <w:t>. With PUMA the</w:t>
      </w:r>
      <w:r w:rsidR="00D97C11" w:rsidRPr="00BB7739">
        <w:t xml:space="preserve"> OECD had already defined its key dimensions of regulatory reform: impact assessment, stakeholder </w:t>
      </w:r>
      <w:r w:rsidR="00CC5888" w:rsidRPr="00BB7739">
        <w:t>engagement and</w:t>
      </w:r>
      <w:r w:rsidR="00D97C11" w:rsidRPr="00BB7739">
        <w:t xml:space="preserve"> </w:t>
      </w:r>
      <w:r>
        <w:t xml:space="preserve">regulatory-legislative </w:t>
      </w:r>
      <w:r w:rsidR="00D97C11" w:rsidRPr="00BB7739">
        <w:t xml:space="preserve">evaluation. </w:t>
      </w:r>
      <w:r w:rsidR="009F22A7" w:rsidRPr="00BB7739">
        <w:t>These dimensions</w:t>
      </w:r>
      <w:r w:rsidR="009F3E4C" w:rsidRPr="00BB7739">
        <w:t xml:space="preserve"> </w:t>
      </w:r>
      <w:r w:rsidR="00CC5888">
        <w:t>defined the contents of the learning process the RPC was embarking on.</w:t>
      </w:r>
      <w:r w:rsidR="009F22A7" w:rsidRPr="00BB7739">
        <w:t xml:space="preserve"> </w:t>
      </w:r>
      <w:r w:rsidR="00920DBA" w:rsidRPr="00BB7739">
        <w:t>Indeed, they feature prominently in the opening pages of the Regulatory Policy Outlook (OECD, 2015a: 19) where they are connected to the 2012 Recommendation.</w:t>
      </w:r>
      <w:r w:rsidR="009F3E4C" w:rsidRPr="00BB7739">
        <w:t xml:space="preserve"> </w:t>
      </w:r>
      <w:r w:rsidR="009F3E4C" w:rsidRPr="009A1BF0">
        <w:t>The</w:t>
      </w:r>
      <w:r w:rsidR="00CC5888" w:rsidRPr="009A1BF0">
        <w:t xml:space="preserve"> structure of the 2014 survey</w:t>
      </w:r>
      <w:r w:rsidR="009A1BF0" w:rsidRPr="005F3491">
        <w:t>,</w:t>
      </w:r>
      <w:r w:rsidR="00CC5888" w:rsidRPr="009A1BF0">
        <w:t xml:space="preserve"> </w:t>
      </w:r>
      <w:r w:rsidR="00C22F80" w:rsidRPr="009A1BF0">
        <w:t>the</w:t>
      </w:r>
      <w:r w:rsidR="00C22F80" w:rsidRPr="00360736">
        <w:t>n</w:t>
      </w:r>
      <w:r w:rsidR="009A1BF0" w:rsidRPr="005F3491">
        <w:t>,</w:t>
      </w:r>
      <w:r w:rsidR="00C22F80" w:rsidRPr="009A1BF0">
        <w:t xml:space="preserve"> </w:t>
      </w:r>
      <w:r w:rsidR="00CC5888" w:rsidRPr="009A1BF0">
        <w:t>became</w:t>
      </w:r>
      <w:r w:rsidR="009F3E4C" w:rsidRPr="00360736">
        <w:t xml:space="preserve"> </w:t>
      </w:r>
      <w:r w:rsidR="00CC5888" w:rsidRPr="00EF1784">
        <w:t>an</w:t>
      </w:r>
      <w:r w:rsidR="009F3E4C" w:rsidRPr="009A1BF0">
        <w:t xml:space="preserve"> operationalization of this way of</w:t>
      </w:r>
      <w:r w:rsidR="00BB003E" w:rsidRPr="009A1BF0">
        <w:t xml:space="preserve"> reasoning</w:t>
      </w:r>
      <w:r w:rsidR="009F3E4C" w:rsidRPr="009A1BF0">
        <w:t>.</w:t>
      </w:r>
    </w:p>
    <w:p w14:paraId="3FF32578" w14:textId="2B9EFBFB" w:rsidR="00AC070C" w:rsidRPr="00BB7739" w:rsidRDefault="00FD57B2" w:rsidP="00FD57B2">
      <w:pPr>
        <w:spacing w:afterLines="200" w:after="480" w:line="360" w:lineRule="auto"/>
      </w:pPr>
      <w:r>
        <w:t>Th</w:t>
      </w:r>
      <w:r w:rsidR="00C22F80">
        <w:t>us the</w:t>
      </w:r>
      <w:r>
        <w:t xml:space="preserve"> objectives and contents of learning were secured. What about the means of learning? The </w:t>
      </w:r>
      <w:r w:rsidR="00AC070C" w:rsidRPr="00BB7739">
        <w:t>data provided by governments</w:t>
      </w:r>
      <w:r w:rsidR="009F22A7" w:rsidRPr="00BB7739">
        <w:t xml:space="preserve"> in the past</w:t>
      </w:r>
      <w:r w:rsidR="00AC070C" w:rsidRPr="00BB7739">
        <w:t xml:space="preserve"> were in n</w:t>
      </w:r>
      <w:r w:rsidR="009F22A7" w:rsidRPr="00BB7739">
        <w:t>eed of more factual checks – e.g., more</w:t>
      </w:r>
      <w:r w:rsidR="00AC070C" w:rsidRPr="00BB7739">
        <w:t xml:space="preserve"> examples supporting the responses to the questionnaire. It was not just a question of formal adoption versus implementation. There was also a problem of consistency across countries:</w:t>
      </w:r>
      <w:r>
        <w:t xml:space="preserve"> the RPC came to</w:t>
      </w:r>
      <w:r w:rsidR="00AC070C" w:rsidRPr="00BB7739">
        <w:t xml:space="preserve"> </w:t>
      </w:r>
      <w:r>
        <w:t>acknowledge</w:t>
      </w:r>
      <w:r w:rsidR="00AC070C" w:rsidRPr="00BB7739">
        <w:t xml:space="preserve"> that some countries were too high on some scales or too low on others. This is where the relative stability of the Committee</w:t>
      </w:r>
      <w:r w:rsidR="00685BD7">
        <w:t xml:space="preserve"> membership</w:t>
      </w:r>
      <w:r>
        <w:t xml:space="preserve"> contributed to another important variable of the learning process: socialization. </w:t>
      </w:r>
      <w:r w:rsidR="00AC070C" w:rsidRPr="00BB7739">
        <w:t xml:space="preserve">The presence of a new Committee with its own relatively stable </w:t>
      </w:r>
      <w:r w:rsidR="00AC070C" w:rsidRPr="00BB7739">
        <w:lastRenderedPageBreak/>
        <w:t>membership</w:t>
      </w:r>
      <w:r w:rsidR="00420449">
        <w:t xml:space="preserve"> and its significant chair</w:t>
      </w:r>
      <w:r w:rsidR="00AC070C" w:rsidRPr="00BB7739">
        <w:t xml:space="preserve"> assisted in the generation of a common sense of purpose </w:t>
      </w:r>
      <w:r>
        <w:t>and trust</w:t>
      </w:r>
      <w:r w:rsidR="00AC070C" w:rsidRPr="00BB7739">
        <w:t>.</w:t>
      </w:r>
      <w:r>
        <w:t xml:space="preserve"> It soon </w:t>
      </w:r>
      <w:r w:rsidR="00301234" w:rsidRPr="00BB7739">
        <w:t>became clear that there had to be a change on how</w:t>
      </w:r>
      <w:r>
        <w:t xml:space="preserve"> the answers were collected, </w:t>
      </w:r>
      <w:r w:rsidR="00301234" w:rsidRPr="00BB7739">
        <w:t>validated</w:t>
      </w:r>
      <w:r>
        <w:t xml:space="preserve"> and for the first time compared explicitly</w:t>
      </w:r>
      <w:r w:rsidR="00301234" w:rsidRPr="00BB7739">
        <w:t xml:space="preserve">. </w:t>
      </w:r>
    </w:p>
    <w:p w14:paraId="0D89C673" w14:textId="50C6FAF0" w:rsidR="009463C3" w:rsidRPr="00BB7739" w:rsidRDefault="00FD57B2" w:rsidP="00FD57B2">
      <w:pPr>
        <w:spacing w:afterLines="200" w:after="480" w:line="360" w:lineRule="auto"/>
      </w:pPr>
      <w:r>
        <w:t xml:space="preserve">Here we find two more variables: the posture of the OECD staff and the perceptions of </w:t>
      </w:r>
      <w:r w:rsidR="00570DF6">
        <w:t xml:space="preserve">the </w:t>
      </w:r>
      <w:r>
        <w:t xml:space="preserve">roles of national delegates and OECD bureaucracy as mutually constitutive – as opposed to the tension in the principal-agent roles we have seen in </w:t>
      </w:r>
      <w:r w:rsidR="00BD684C">
        <w:t>the EU. We start with the roles</w:t>
      </w:r>
      <w:r>
        <w:t>.</w:t>
      </w:r>
      <w:r w:rsidRPr="00BB7739">
        <w:t xml:space="preserve"> </w:t>
      </w:r>
      <w:r>
        <w:t>T</w:t>
      </w:r>
      <w:r w:rsidR="00B8711A" w:rsidRPr="00BB7739">
        <w:t>he RPC embarked on a search to</w:t>
      </w:r>
      <w:r w:rsidR="008D62F2" w:rsidRPr="00BB7739">
        <w:t xml:space="preserve"> collectively identify the indicators that would best </w:t>
      </w:r>
      <w:r w:rsidR="000C0047">
        <w:t xml:space="preserve">measure compliance with the </w:t>
      </w:r>
      <w:r w:rsidR="008D62F2" w:rsidRPr="00BB7739">
        <w:t>principles</w:t>
      </w:r>
      <w:r>
        <w:t xml:space="preserve"> of</w:t>
      </w:r>
      <w:r w:rsidR="00651F97">
        <w:t xml:space="preserve"> the 2012 Recommendation</w:t>
      </w:r>
      <w:r w:rsidR="008D62F2" w:rsidRPr="00BB7739">
        <w:t xml:space="preserve">. </w:t>
      </w:r>
      <w:r w:rsidR="00B8711A" w:rsidRPr="00BB7739">
        <w:t xml:space="preserve">Consensus on </w:t>
      </w:r>
      <w:r w:rsidR="000C0047">
        <w:t>the purpose of the exercise</w:t>
      </w:r>
      <w:r>
        <w:t xml:space="preserve"> – between national delegates and OECD staff -</w:t>
      </w:r>
      <w:r w:rsidR="000C0047">
        <w:t xml:space="preserve"> </w:t>
      </w:r>
      <w:r w:rsidR="00B8711A" w:rsidRPr="00BB7739">
        <w:t xml:space="preserve">came before any discussion of measures. Consequently, the discussion on how the questionnaire </w:t>
      </w:r>
      <w:r w:rsidR="000C0047">
        <w:t xml:space="preserve">should </w:t>
      </w:r>
      <w:r w:rsidR="00B8711A" w:rsidRPr="00BB7739">
        <w:t>look revolved around questions like: how would we</w:t>
      </w:r>
      <w:r w:rsidR="00324BD6" w:rsidRPr="00BB7739">
        <w:t xml:space="preserve"> track down compliance with this principle, empirically? </w:t>
      </w:r>
      <w:r w:rsidR="000932B9" w:rsidRPr="00BB7739">
        <w:t xml:space="preserve">Once some </w:t>
      </w:r>
      <w:r w:rsidR="00B8711A" w:rsidRPr="00BB7739">
        <w:t xml:space="preserve">broad items </w:t>
      </w:r>
      <w:r w:rsidR="000932B9" w:rsidRPr="00BB7739">
        <w:t>were identified, the discussion moved on</w:t>
      </w:r>
      <w:r w:rsidR="00651F97">
        <w:t xml:space="preserve"> </w:t>
      </w:r>
      <w:r w:rsidR="00CA3C22">
        <w:t xml:space="preserve">to </w:t>
      </w:r>
      <w:r w:rsidR="00651F97">
        <w:t>the identification of questions and</w:t>
      </w:r>
      <w:r w:rsidR="000932B9" w:rsidRPr="00BB7739">
        <w:t xml:space="preserve"> </w:t>
      </w:r>
      <w:r w:rsidR="00B8711A" w:rsidRPr="00BB7739">
        <w:t>how to probe the answers to</w:t>
      </w:r>
      <w:r w:rsidR="000932B9" w:rsidRPr="00BB7739">
        <w:t xml:space="preserve"> </w:t>
      </w:r>
      <w:r w:rsidR="009D5C1F">
        <w:t xml:space="preserve">survey </w:t>
      </w:r>
      <w:r w:rsidR="000932B9" w:rsidRPr="00BB7739">
        <w:t xml:space="preserve">questions, what kind of examples would </w:t>
      </w:r>
      <w:r w:rsidR="004A73A0">
        <w:t xml:space="preserve">reinforce </w:t>
      </w:r>
      <w:r w:rsidR="000932B9" w:rsidRPr="00BB7739">
        <w:t xml:space="preserve">one type of response or another, what was the level of precision needed to </w:t>
      </w:r>
      <w:r w:rsidR="00B8711A" w:rsidRPr="00BB7739">
        <w:t>be confident about a certain response</w:t>
      </w:r>
      <w:r w:rsidR="000932B9" w:rsidRPr="00BB7739">
        <w:t>. This learning process was iterative, with the RPC secretariat going back to the individual member</w:t>
      </w:r>
      <w:r w:rsidR="00B8711A" w:rsidRPr="00BB7739">
        <w:t>s</w:t>
      </w:r>
      <w:r w:rsidR="000932B9" w:rsidRPr="00BB7739">
        <w:t xml:space="preserve"> of the RPC on more than one occasion, and with plenty of collective discussions. </w:t>
      </w:r>
    </w:p>
    <w:p w14:paraId="58353130" w14:textId="13879002" w:rsidR="003D150E" w:rsidRDefault="000932B9" w:rsidP="00697A2B">
      <w:pPr>
        <w:spacing w:afterLines="200" w:after="480" w:line="360" w:lineRule="auto"/>
        <w:rPr>
          <w:color w:val="000000" w:themeColor="text1"/>
        </w:rPr>
      </w:pPr>
      <w:r w:rsidRPr="00BB7739">
        <w:t>Learning</w:t>
      </w:r>
      <w:r w:rsidR="00570DF6">
        <w:t>,</w:t>
      </w:r>
      <w:r w:rsidRPr="00BB7739">
        <w:t xml:space="preserve"> </w:t>
      </w:r>
      <w:r w:rsidR="00FD57B2">
        <w:t>indeed</w:t>
      </w:r>
      <w:r w:rsidR="00570DF6">
        <w:t>,</w:t>
      </w:r>
      <w:r w:rsidR="00FD57B2">
        <w:t xml:space="preserve"> </w:t>
      </w:r>
      <w:r w:rsidRPr="00BB7739">
        <w:t>was facilitated by the posture</w:t>
      </w:r>
      <w:r w:rsidR="003D150E">
        <w:t xml:space="preserve"> and attitude</w:t>
      </w:r>
      <w:r w:rsidRPr="00BB7739">
        <w:t xml:space="preserve"> of the OECD</w:t>
      </w:r>
      <w:r w:rsidR="00B8711A" w:rsidRPr="00BB7739">
        <w:t xml:space="preserve"> </w:t>
      </w:r>
      <w:r w:rsidR="00FD57B2">
        <w:t xml:space="preserve">staff. </w:t>
      </w:r>
      <w:r w:rsidR="003D150E">
        <w:t xml:space="preserve">They </w:t>
      </w:r>
      <w:r w:rsidR="003D150E" w:rsidRPr="00BB7739">
        <w:t>made it clear that their attitude was not to provide definitions in a top-down style, col</w:t>
      </w:r>
      <w:r w:rsidR="003D150E">
        <w:t>lect data and</w:t>
      </w:r>
      <w:r w:rsidR="00FD02EF">
        <w:t xml:space="preserve"> then </w:t>
      </w:r>
      <w:r w:rsidR="003D150E">
        <w:t>rank</w:t>
      </w:r>
      <w:r w:rsidR="003101EF">
        <w:t xml:space="preserve"> countries</w:t>
      </w:r>
      <w:r w:rsidR="003D150E">
        <w:t>. Instead, they were there to</w:t>
      </w:r>
      <w:r w:rsidR="003D150E" w:rsidRPr="00BB7739">
        <w:t xml:space="preserve"> listen to the experie</w:t>
      </w:r>
      <w:r w:rsidR="003D150E">
        <w:t>nce of individual</w:t>
      </w:r>
      <w:r w:rsidR="002A4443">
        <w:t xml:space="preserve"> delegates</w:t>
      </w:r>
      <w:r w:rsidR="003D150E">
        <w:t>, with the aim of getting</w:t>
      </w:r>
      <w:r w:rsidR="003D150E" w:rsidRPr="00BB7739">
        <w:t xml:space="preserve"> to a c</w:t>
      </w:r>
      <w:r w:rsidR="003D150E">
        <w:t>ollective definition of measures</w:t>
      </w:r>
      <w:r w:rsidR="003D150E" w:rsidRPr="00BB7739">
        <w:t xml:space="preserve"> gradually. The OECD staff acknowledged up front t</w:t>
      </w:r>
      <w:r w:rsidR="003D150E">
        <w:t xml:space="preserve">hat an organization </w:t>
      </w:r>
      <w:r w:rsidR="003D150E" w:rsidRPr="00BB7739">
        <w:t>based in Paris had less first-hand experience of regulatory reforms than the delegates</w:t>
      </w:r>
      <w:r w:rsidR="003D150E">
        <w:t xml:space="preserve"> grounded in their national experiences</w:t>
      </w:r>
      <w:r w:rsidR="003D150E" w:rsidRPr="00BB7739">
        <w:t xml:space="preserve">. </w:t>
      </w:r>
      <w:r w:rsidR="00E72E35">
        <w:t xml:space="preserve">The </w:t>
      </w:r>
      <w:r w:rsidR="003D150E" w:rsidRPr="00BB7739">
        <w:t>idea was to establish a se</w:t>
      </w:r>
      <w:r w:rsidR="005C4EF4">
        <w:t xml:space="preserve">nse of collective ownership in </w:t>
      </w:r>
      <w:r w:rsidR="00DD18EF">
        <w:t xml:space="preserve">an </w:t>
      </w:r>
      <w:r w:rsidR="005C4EF4">
        <w:t>effort to</w:t>
      </w:r>
      <w:r w:rsidR="003D150E" w:rsidRPr="00BB7739">
        <w:t xml:space="preserve"> reduce the ambiguity of some concepts through a collective process of argumentation and persuasion. Key in this process was the commitment to establish</w:t>
      </w:r>
      <w:r w:rsidR="005C4EF4">
        <w:t xml:space="preserve"> shared</w:t>
      </w:r>
      <w:r w:rsidR="00F77A88">
        <w:t xml:space="preserve"> </w:t>
      </w:r>
      <w:r w:rsidR="00F77A88">
        <w:lastRenderedPageBreak/>
        <w:t>interpretation</w:t>
      </w:r>
      <w:r w:rsidR="00BD684C">
        <w:t>s</w:t>
      </w:r>
      <w:r w:rsidR="005C4EF4">
        <w:t xml:space="preserve"> of regulatory</w:t>
      </w:r>
      <w:r w:rsidR="003D150E" w:rsidRPr="00BB7739">
        <w:t xml:space="preserve"> performance</w:t>
      </w:r>
      <w:r w:rsidR="00F77A88">
        <w:t xml:space="preserve"> that would not be</w:t>
      </w:r>
      <w:r w:rsidR="003D150E" w:rsidRPr="00BB7739">
        <w:t xml:space="preserve"> skewed towards a particular experience</w:t>
      </w:r>
      <w:r w:rsidR="00F31349">
        <w:t xml:space="preserve"> of a country or a region</w:t>
      </w:r>
      <w:r w:rsidR="003D150E" w:rsidRPr="00BB7739">
        <w:t>.</w:t>
      </w:r>
      <w:r w:rsidR="003D150E" w:rsidRPr="00BB7739">
        <w:rPr>
          <w:color w:val="000000" w:themeColor="text1"/>
        </w:rPr>
        <w:t xml:space="preserve"> </w:t>
      </w:r>
    </w:p>
    <w:p w14:paraId="6610BBFF" w14:textId="1F198E1B" w:rsidR="003D150E" w:rsidRDefault="00FD57B2" w:rsidP="003D150E">
      <w:pPr>
        <w:spacing w:afterLines="200" w:after="480" w:line="360" w:lineRule="auto"/>
      </w:pPr>
      <w:r>
        <w:t xml:space="preserve">The </w:t>
      </w:r>
      <w:r w:rsidR="009F22A7" w:rsidRPr="00BB7739">
        <w:t>Regulatory Policy Division did not act a</w:t>
      </w:r>
      <w:r w:rsidR="00651F97">
        <w:t>s</w:t>
      </w:r>
      <w:r w:rsidR="00FD02EF">
        <w:t xml:space="preserve"> a</w:t>
      </w:r>
      <w:r w:rsidR="00651F97">
        <w:t xml:space="preserve"> ‘teacher’ or ‘epistemic actor</w:t>
      </w:r>
      <w:r w:rsidR="009F22A7" w:rsidRPr="00BB7739">
        <w:t>’ but rather as</w:t>
      </w:r>
      <w:r w:rsidR="00FD02EF">
        <w:t xml:space="preserve"> a</w:t>
      </w:r>
      <w:r w:rsidR="009F22A7" w:rsidRPr="00BB7739">
        <w:t xml:space="preserve"> ‘facilitator’ of learning – a facilitator that at key junctures was able to distill the shared understandings that w</w:t>
      </w:r>
      <w:r w:rsidR="003D150E">
        <w:t>ere being collectively generated</w:t>
      </w:r>
      <w:r w:rsidR="00BD684C">
        <w:t xml:space="preserve"> (recall the definitions of these concepts in Dunlop and Radaelli 2013)</w:t>
      </w:r>
      <w:r w:rsidR="00F31349">
        <w:t>. T</w:t>
      </w:r>
      <w:r w:rsidR="009F22A7" w:rsidRPr="00BB7739">
        <w:t xml:space="preserve">he overall level of epistemic mobilization remained low throughout the exercise. Although the OECD eventually published a collection of academic papers </w:t>
      </w:r>
      <w:r w:rsidR="00651F97">
        <w:t xml:space="preserve">(OECD </w:t>
      </w:r>
      <w:r w:rsidR="008A62AF" w:rsidRPr="00BB7739">
        <w:t xml:space="preserve">2015b) </w:t>
      </w:r>
      <w:r w:rsidR="009F22A7" w:rsidRPr="00BB7739">
        <w:t>to complement the 2015 Regulat</w:t>
      </w:r>
      <w:r w:rsidR="008A62AF" w:rsidRPr="00BB7739">
        <w:t>ory Policy Outlook,</w:t>
      </w:r>
      <w:r w:rsidR="009F22A7" w:rsidRPr="00BB7739">
        <w:t xml:space="preserve"> </w:t>
      </w:r>
      <w:r w:rsidR="008A62AF" w:rsidRPr="00BB7739">
        <w:t>this collection was seen by th</w:t>
      </w:r>
      <w:r w:rsidR="006275A5">
        <w:t>e delegates as additional</w:t>
      </w:r>
      <w:r w:rsidR="00F31349">
        <w:t xml:space="preserve"> decorative</w:t>
      </w:r>
      <w:r w:rsidR="006275A5">
        <w:t xml:space="preserve"> legitimation of the work </w:t>
      </w:r>
      <w:r w:rsidR="00F31349">
        <w:t>undertaken</w:t>
      </w:r>
      <w:r w:rsidR="006275A5">
        <w:t>. As a matter of fact, the collection</w:t>
      </w:r>
      <w:r w:rsidR="008A62AF" w:rsidRPr="00BB7739">
        <w:t xml:space="preserve"> does not touch upon the issues raised by </w:t>
      </w:r>
      <w:r w:rsidR="00651F97">
        <w:t>the 2015 Outlook (OECD 2015a)</w:t>
      </w:r>
      <w:r w:rsidR="008A62AF" w:rsidRPr="00BB7739">
        <w:t xml:space="preserve">. </w:t>
      </w:r>
      <w:r w:rsidR="009647ED" w:rsidRPr="00BB7739">
        <w:t xml:space="preserve">Traces of epistemic influences may exist </w:t>
      </w:r>
      <w:r w:rsidR="009647ED" w:rsidRPr="009A1BF0">
        <w:t>but more upstream,</w:t>
      </w:r>
      <w:r w:rsidR="009647ED" w:rsidRPr="00BB7739">
        <w:t xml:space="preserve"> in the OECD definiti</w:t>
      </w:r>
      <w:r w:rsidR="00651F97">
        <w:t xml:space="preserve">on of regulatory quality (OECD </w:t>
      </w:r>
      <w:r w:rsidR="009647ED" w:rsidRPr="00BB7739">
        <w:t>2015a:23-24).</w:t>
      </w:r>
      <w:r w:rsidR="003D150E">
        <w:t xml:space="preserve"> Thus</w:t>
      </w:r>
      <w:r w:rsidR="00073EE4">
        <w:t>,</w:t>
      </w:r>
      <w:r w:rsidR="003D150E">
        <w:t xml:space="preserve"> the RPC delegates and the OECD staff also controlled the validation of knowledge </w:t>
      </w:r>
      <w:r w:rsidR="00EC6A2C">
        <w:t>and lessons learned</w:t>
      </w:r>
      <w:r w:rsidR="006275A5">
        <w:t>, under the influential chairmanship of Gary Banks.</w:t>
      </w:r>
    </w:p>
    <w:p w14:paraId="20BCAD4A" w14:textId="3FC1B5B4" w:rsidR="008A5354" w:rsidRPr="00BB7739" w:rsidRDefault="003D150E" w:rsidP="00846470">
      <w:pPr>
        <w:spacing w:after="200" w:line="360" w:lineRule="auto"/>
        <w:rPr>
          <w:color w:val="000000" w:themeColor="text1"/>
        </w:rPr>
      </w:pPr>
      <w:r>
        <w:rPr>
          <w:color w:val="000000" w:themeColor="text1"/>
        </w:rPr>
        <w:t>Contrary to the EU case</w:t>
      </w:r>
      <w:r w:rsidR="00846470">
        <w:rPr>
          <w:color w:val="000000" w:themeColor="text1"/>
        </w:rPr>
        <w:t>, there was no pol</w:t>
      </w:r>
      <w:r w:rsidR="0085732C">
        <w:rPr>
          <w:color w:val="000000" w:themeColor="text1"/>
        </w:rPr>
        <w:t>itical upheaval in this process</w:t>
      </w:r>
      <w:r w:rsidR="00846470" w:rsidRPr="00BB7739">
        <w:rPr>
          <w:color w:val="000000" w:themeColor="text1"/>
        </w:rPr>
        <w:t xml:space="preserve">. </w:t>
      </w:r>
      <w:r w:rsidR="00004922">
        <w:rPr>
          <w:color w:val="000000" w:themeColor="text1"/>
        </w:rPr>
        <w:t>Every</w:t>
      </w:r>
      <w:r w:rsidR="00004922" w:rsidRPr="00BB7739">
        <w:rPr>
          <w:color w:val="000000" w:themeColor="text1"/>
        </w:rPr>
        <w:t xml:space="preserve"> </w:t>
      </w:r>
      <w:r w:rsidR="00846470" w:rsidRPr="00BB7739">
        <w:rPr>
          <w:color w:val="000000" w:themeColor="text1"/>
        </w:rPr>
        <w:t>problem w</w:t>
      </w:r>
      <w:r w:rsidR="00004922">
        <w:rPr>
          <w:color w:val="000000" w:themeColor="text1"/>
        </w:rPr>
        <w:t>as</w:t>
      </w:r>
      <w:r w:rsidR="00846470" w:rsidRPr="00BB7739">
        <w:rPr>
          <w:color w:val="000000" w:themeColor="text1"/>
        </w:rPr>
        <w:t xml:space="preserve"> discussed internally</w:t>
      </w:r>
      <w:r w:rsidR="00A50196">
        <w:rPr>
          <w:color w:val="000000" w:themeColor="text1"/>
        </w:rPr>
        <w:t>, without interv</w:t>
      </w:r>
      <w:r w:rsidR="0004500B">
        <w:rPr>
          <w:color w:val="000000" w:themeColor="text1"/>
        </w:rPr>
        <w:t>ention from the</w:t>
      </w:r>
      <w:r w:rsidR="00A50196">
        <w:rPr>
          <w:color w:val="000000" w:themeColor="text1"/>
        </w:rPr>
        <w:t xml:space="preserve"> </w:t>
      </w:r>
      <w:r w:rsidR="0004500B">
        <w:rPr>
          <w:color w:val="000000" w:themeColor="text1"/>
        </w:rPr>
        <w:t xml:space="preserve">countries’ </w:t>
      </w:r>
      <w:r w:rsidR="00A50196">
        <w:rPr>
          <w:color w:val="000000" w:themeColor="text1"/>
        </w:rPr>
        <w:t>ambassadors to the OECD</w:t>
      </w:r>
      <w:r w:rsidR="00846470">
        <w:rPr>
          <w:color w:val="000000" w:themeColor="text1"/>
        </w:rPr>
        <w:t xml:space="preserve"> – there was nothing similar to the Zalm &amp; Brown intrusion in the EU learning process. The</w:t>
      </w:r>
      <w:r w:rsidR="00F77A88">
        <w:rPr>
          <w:color w:val="000000" w:themeColor="text1"/>
        </w:rPr>
        <w:t xml:space="preserve"> project</w:t>
      </w:r>
      <w:r w:rsidR="00846470">
        <w:rPr>
          <w:color w:val="000000" w:themeColor="text1"/>
        </w:rPr>
        <w:t xml:space="preserve"> Steering Group</w:t>
      </w:r>
      <w:r w:rsidR="00F77A88">
        <w:rPr>
          <w:color w:val="000000" w:themeColor="text1"/>
        </w:rPr>
        <w:t xml:space="preserve"> grew to fifteen people. It</w:t>
      </w:r>
      <w:r w:rsidR="00846470">
        <w:rPr>
          <w:color w:val="000000" w:themeColor="text1"/>
        </w:rPr>
        <w:t xml:space="preserve"> </w:t>
      </w:r>
      <w:r w:rsidR="00513373">
        <w:rPr>
          <w:color w:val="000000" w:themeColor="text1"/>
        </w:rPr>
        <w:t xml:space="preserve">later </w:t>
      </w:r>
      <w:r w:rsidR="00846470">
        <w:rPr>
          <w:color w:val="000000" w:themeColor="text1"/>
        </w:rPr>
        <w:t>became a body of nineteen</w:t>
      </w:r>
      <w:r w:rsidR="009463C3" w:rsidRPr="00BB7739">
        <w:rPr>
          <w:color w:val="000000" w:themeColor="text1"/>
        </w:rPr>
        <w:t xml:space="preserve"> de</w:t>
      </w:r>
      <w:r w:rsidR="00613F83" w:rsidRPr="00BB7739">
        <w:rPr>
          <w:color w:val="000000" w:themeColor="text1"/>
        </w:rPr>
        <w:t>legates. A larger-than-usual number of delegates joined</w:t>
      </w:r>
      <w:r w:rsidR="00846470">
        <w:rPr>
          <w:color w:val="000000" w:themeColor="text1"/>
        </w:rPr>
        <w:t xml:space="preserve"> </w:t>
      </w:r>
      <w:r w:rsidR="009463C3" w:rsidRPr="00BB7739">
        <w:rPr>
          <w:color w:val="000000" w:themeColor="text1"/>
        </w:rPr>
        <w:t>because they wanted to</w:t>
      </w:r>
      <w:r w:rsidR="00982524" w:rsidRPr="00BB7739">
        <w:rPr>
          <w:color w:val="000000" w:themeColor="text1"/>
        </w:rPr>
        <w:t xml:space="preserve"> ha</w:t>
      </w:r>
      <w:r w:rsidR="00F30B27" w:rsidRPr="00BB7739">
        <w:rPr>
          <w:color w:val="000000" w:themeColor="text1"/>
        </w:rPr>
        <w:t>ve ownership of the</w:t>
      </w:r>
      <w:r w:rsidR="00846470">
        <w:rPr>
          <w:color w:val="000000" w:themeColor="text1"/>
        </w:rPr>
        <w:t xml:space="preserve"> project. </w:t>
      </w:r>
      <w:r w:rsidR="00004922">
        <w:rPr>
          <w:color w:val="000000" w:themeColor="text1"/>
        </w:rPr>
        <w:t xml:space="preserve">As </w:t>
      </w:r>
      <w:r w:rsidR="00846470">
        <w:rPr>
          <w:color w:val="000000" w:themeColor="text1"/>
        </w:rPr>
        <w:t>the Steering G</w:t>
      </w:r>
      <w:r w:rsidR="00F30B27" w:rsidRPr="00BB7739">
        <w:rPr>
          <w:color w:val="000000" w:themeColor="text1"/>
        </w:rPr>
        <w:t xml:space="preserve">roup </w:t>
      </w:r>
      <w:r w:rsidR="00004922">
        <w:rPr>
          <w:color w:val="000000" w:themeColor="text1"/>
        </w:rPr>
        <w:t>wa</w:t>
      </w:r>
      <w:r w:rsidR="00F30B27" w:rsidRPr="00BB7739">
        <w:rPr>
          <w:color w:val="000000" w:themeColor="text1"/>
        </w:rPr>
        <w:t>s an informal body</w:t>
      </w:r>
      <w:r w:rsidR="00982524" w:rsidRPr="00BB7739">
        <w:rPr>
          <w:color w:val="000000" w:themeColor="text1"/>
        </w:rPr>
        <w:t xml:space="preserve">, it </w:t>
      </w:r>
      <w:r w:rsidR="00F77A88">
        <w:rPr>
          <w:color w:val="000000" w:themeColor="text1"/>
        </w:rPr>
        <w:t>had</w:t>
      </w:r>
      <w:r w:rsidR="00846470">
        <w:rPr>
          <w:color w:val="000000" w:themeColor="text1"/>
        </w:rPr>
        <w:t xml:space="preserve"> </w:t>
      </w:r>
      <w:r w:rsidR="00982524" w:rsidRPr="00BB7739">
        <w:rPr>
          <w:color w:val="000000" w:themeColor="text1"/>
        </w:rPr>
        <w:t xml:space="preserve">the freedom to have </w:t>
      </w:r>
      <w:r w:rsidR="00004922">
        <w:rPr>
          <w:color w:val="000000" w:themeColor="text1"/>
        </w:rPr>
        <w:t>any</w:t>
      </w:r>
      <w:r w:rsidR="00982524" w:rsidRPr="00BB7739">
        <w:rPr>
          <w:color w:val="000000" w:themeColor="text1"/>
        </w:rPr>
        <w:t xml:space="preserve"> conversation </w:t>
      </w:r>
      <w:r w:rsidR="00004922">
        <w:rPr>
          <w:color w:val="000000" w:themeColor="text1"/>
        </w:rPr>
        <w:t>it wanted</w:t>
      </w:r>
      <w:r w:rsidR="00982524" w:rsidRPr="00BB7739">
        <w:rPr>
          <w:color w:val="000000" w:themeColor="text1"/>
        </w:rPr>
        <w:t>.</w:t>
      </w:r>
      <w:r w:rsidR="008A5354">
        <w:rPr>
          <w:color w:val="000000" w:themeColor="text1"/>
        </w:rPr>
        <w:t xml:space="preserve"> The delegates felt they</w:t>
      </w:r>
      <w:r w:rsidR="00DA6D2E">
        <w:rPr>
          <w:color w:val="000000" w:themeColor="text1"/>
        </w:rPr>
        <w:t xml:space="preserve"> were not driven by the OECD staff but rather they were on a</w:t>
      </w:r>
      <w:r w:rsidR="00846470">
        <w:rPr>
          <w:color w:val="000000" w:themeColor="text1"/>
        </w:rPr>
        <w:t xml:space="preserve"> mutually constitutive</w:t>
      </w:r>
      <w:r w:rsidR="00DA6D2E">
        <w:rPr>
          <w:color w:val="000000" w:themeColor="text1"/>
        </w:rPr>
        <w:t xml:space="preserve"> path with the OECD staff as fellow travelers.</w:t>
      </w:r>
      <w:r w:rsidR="008A5354" w:rsidRPr="00B03A28">
        <w:rPr>
          <w:color w:val="000000" w:themeColor="text1"/>
        </w:rPr>
        <w:t xml:space="preserve"> </w:t>
      </w:r>
    </w:p>
    <w:p w14:paraId="4B2FEEAF" w14:textId="3919531C" w:rsidR="008A5354" w:rsidRDefault="00BB003E" w:rsidP="008A5354">
      <w:pPr>
        <w:spacing w:after="200" w:line="360" w:lineRule="auto"/>
        <w:rPr>
          <w:color w:val="000000" w:themeColor="text1"/>
        </w:rPr>
      </w:pPr>
      <w:r>
        <w:rPr>
          <w:color w:val="000000" w:themeColor="text1"/>
        </w:rPr>
        <w:t xml:space="preserve">An outcome of this process of learning was the emergence of a critical posture on the </w:t>
      </w:r>
      <w:r w:rsidR="008A5354" w:rsidRPr="00BB7739">
        <w:rPr>
          <w:color w:val="000000" w:themeColor="text1"/>
        </w:rPr>
        <w:t>classic YES and NO modality of response. Following discussion with the delegates, the Secretariat reasoned that in some cases it was impossible to conclude in terms of presence or absence of certain feature</w:t>
      </w:r>
      <w:r w:rsidR="0092019B">
        <w:rPr>
          <w:color w:val="000000" w:themeColor="text1"/>
        </w:rPr>
        <w:t xml:space="preserve">s of regulatory </w:t>
      </w:r>
      <w:r w:rsidR="0092019B">
        <w:rPr>
          <w:color w:val="000000" w:themeColor="text1"/>
        </w:rPr>
        <w:lastRenderedPageBreak/>
        <w:t>reform</w:t>
      </w:r>
      <w:r w:rsidR="008A5354" w:rsidRPr="00BB7739">
        <w:rPr>
          <w:color w:val="000000" w:themeColor="text1"/>
        </w:rPr>
        <w:t>. In some cases it is fair to say that there is an approach to, say, consultation in some countries, and</w:t>
      </w:r>
      <w:r w:rsidR="00AD4AB2">
        <w:rPr>
          <w:color w:val="000000" w:themeColor="text1"/>
        </w:rPr>
        <w:t xml:space="preserve"> a different approach in another group of countries</w:t>
      </w:r>
      <w:r w:rsidR="008A5354" w:rsidRPr="00BB7739">
        <w:rPr>
          <w:color w:val="000000" w:themeColor="text1"/>
        </w:rPr>
        <w:t xml:space="preserve">. This opened the door </w:t>
      </w:r>
      <w:r w:rsidR="00F77A88">
        <w:rPr>
          <w:color w:val="000000" w:themeColor="text1"/>
        </w:rPr>
        <w:t>to categorical measurement and alternative ways of producing regulatory</w:t>
      </w:r>
      <w:r w:rsidR="008A5354" w:rsidRPr="00BB7739">
        <w:rPr>
          <w:color w:val="000000" w:themeColor="text1"/>
        </w:rPr>
        <w:t xml:space="preserve"> reform. </w:t>
      </w:r>
      <w:r w:rsidR="008A5354">
        <w:rPr>
          <w:color w:val="000000" w:themeColor="text1"/>
        </w:rPr>
        <w:t>An</w:t>
      </w:r>
      <w:r w:rsidR="00F77A88">
        <w:rPr>
          <w:color w:val="000000" w:themeColor="text1"/>
        </w:rPr>
        <w:t xml:space="preserve">other outcome was </w:t>
      </w:r>
      <w:r>
        <w:rPr>
          <w:color w:val="000000" w:themeColor="text1"/>
        </w:rPr>
        <w:t xml:space="preserve">the agreement on composite indicators – as we have seen in the case of the EU and in section 2, this </w:t>
      </w:r>
      <w:r w:rsidR="008A5354">
        <w:rPr>
          <w:color w:val="000000" w:themeColor="text1"/>
        </w:rPr>
        <w:t>is a big hurdle</w:t>
      </w:r>
      <w:r>
        <w:rPr>
          <w:color w:val="000000" w:themeColor="text1"/>
        </w:rPr>
        <w:t>.</w:t>
      </w:r>
      <w:r w:rsidR="00395093">
        <w:rPr>
          <w:color w:val="000000" w:themeColor="text1"/>
        </w:rPr>
        <w:t xml:space="preserve"> </w:t>
      </w:r>
      <w:r w:rsidR="00846470">
        <w:rPr>
          <w:color w:val="000000" w:themeColor="text1"/>
        </w:rPr>
        <w:t>T</w:t>
      </w:r>
      <w:r w:rsidR="00395093">
        <w:rPr>
          <w:color w:val="000000" w:themeColor="text1"/>
        </w:rPr>
        <w:t>he</w:t>
      </w:r>
      <w:r w:rsidR="008A5354" w:rsidRPr="00BB7739">
        <w:rPr>
          <w:color w:val="000000" w:themeColor="text1"/>
        </w:rPr>
        <w:t xml:space="preserve"> discussion </w:t>
      </w:r>
      <w:r w:rsidR="00813283">
        <w:rPr>
          <w:color w:val="000000" w:themeColor="text1"/>
        </w:rPr>
        <w:t>progressed to a</w:t>
      </w:r>
      <w:r w:rsidR="008A5354" w:rsidRPr="00BB7739">
        <w:rPr>
          <w:color w:val="000000" w:themeColor="text1"/>
        </w:rPr>
        <w:t xml:space="preserve"> conceptual mode, with the aim of getting to a shared understanding of the main dimensions </w:t>
      </w:r>
      <w:r w:rsidR="008A5354">
        <w:rPr>
          <w:color w:val="000000" w:themeColor="text1"/>
        </w:rPr>
        <w:t>and only then derive composite indicators.</w:t>
      </w:r>
    </w:p>
    <w:p w14:paraId="170774E6" w14:textId="6F3262E3" w:rsidR="008A5354" w:rsidRDefault="008A5354" w:rsidP="00E33B2A">
      <w:pPr>
        <w:spacing w:after="200" w:line="360" w:lineRule="auto"/>
        <w:rPr>
          <w:color w:val="000000" w:themeColor="text1"/>
        </w:rPr>
      </w:pPr>
      <w:r w:rsidRPr="00BB7739">
        <w:rPr>
          <w:color w:val="000000" w:themeColor="text1"/>
        </w:rPr>
        <w:t>Upon completion of the composite indicators, the data and the report were published, with tables showing the individual posi</w:t>
      </w:r>
      <w:r>
        <w:rPr>
          <w:color w:val="000000" w:themeColor="text1"/>
        </w:rPr>
        <w:t xml:space="preserve">tion of countries (Arndt et al. 2015; OECD </w:t>
      </w:r>
      <w:r w:rsidRPr="00BB7739">
        <w:rPr>
          <w:color w:val="000000" w:themeColor="text1"/>
        </w:rPr>
        <w:t>20</w:t>
      </w:r>
      <w:r w:rsidR="006275A5">
        <w:rPr>
          <w:color w:val="000000" w:themeColor="text1"/>
        </w:rPr>
        <w:t>15). Ranking has traction. I</w:t>
      </w:r>
      <w:r w:rsidRPr="00BB7739">
        <w:rPr>
          <w:color w:val="000000" w:themeColor="text1"/>
        </w:rPr>
        <w:t xml:space="preserve">t brings political attention. This has allowed the delegates to gain access to political levels that had in the past been hard to access. To show the position of your country on a chart is an effective way to capture political attention – more effective than trying to explain how regulatory impact assessment works. </w:t>
      </w:r>
      <w:r w:rsidR="009B0475">
        <w:rPr>
          <w:color w:val="000000" w:themeColor="text1"/>
        </w:rPr>
        <w:t>Interestingly</w:t>
      </w:r>
      <w:r w:rsidR="00395093">
        <w:rPr>
          <w:color w:val="000000" w:themeColor="text1"/>
        </w:rPr>
        <w:t>,</w:t>
      </w:r>
      <w:r w:rsidR="009B0475">
        <w:rPr>
          <w:color w:val="000000" w:themeColor="text1"/>
        </w:rPr>
        <w:t xml:space="preserve"> </w:t>
      </w:r>
      <w:r w:rsidRPr="00BB7739">
        <w:rPr>
          <w:color w:val="000000" w:themeColor="text1"/>
        </w:rPr>
        <w:t>the Regulatory Policy Outlook states: “</w:t>
      </w:r>
      <w:r w:rsidR="009B0475">
        <w:rPr>
          <w:rFonts w:cs="Caecilia-Roman"/>
          <w:lang w:val="en-GB"/>
        </w:rPr>
        <w:t>I</w:t>
      </w:r>
      <w:r w:rsidRPr="00BB7739">
        <w:rPr>
          <w:rFonts w:cs="Caecilia-Roman"/>
          <w:lang w:val="en-GB"/>
        </w:rPr>
        <w:t>ndicators should not be interpreted as a</w:t>
      </w:r>
      <w:r w:rsidRPr="00BB7739">
        <w:rPr>
          <w:color w:val="000000" w:themeColor="text1"/>
          <w:lang w:val="en-GB"/>
        </w:rPr>
        <w:t xml:space="preserve"> </w:t>
      </w:r>
      <w:r w:rsidRPr="00BB7739">
        <w:rPr>
          <w:rFonts w:cs="Caecilia-Roman"/>
          <w:lang w:val="en-GB"/>
        </w:rPr>
        <w:t>measurement of the quality of regulation itself. While the implementation of the measures</w:t>
      </w:r>
      <w:r w:rsidRPr="00BB7739">
        <w:rPr>
          <w:color w:val="000000" w:themeColor="text1"/>
        </w:rPr>
        <w:t xml:space="preserve"> </w:t>
      </w:r>
      <w:r w:rsidRPr="00BB7739">
        <w:rPr>
          <w:rFonts w:cs="Caecilia-Roman"/>
          <w:lang w:val="en-GB"/>
        </w:rPr>
        <w:t>assessed by the indicators aim</w:t>
      </w:r>
      <w:r w:rsidR="0092019B">
        <w:rPr>
          <w:rFonts w:cs="Caecilia-Roman"/>
          <w:lang w:val="en-GB"/>
        </w:rPr>
        <w:t>s</w:t>
      </w:r>
      <w:r w:rsidRPr="00BB7739">
        <w:rPr>
          <w:rFonts w:cs="Caecilia-Roman"/>
          <w:lang w:val="en-GB"/>
        </w:rPr>
        <w:t xml:space="preserve"> to deliver regulations that meet public policy objectives and</w:t>
      </w:r>
      <w:r w:rsidRPr="00BB7739">
        <w:rPr>
          <w:color w:val="000000" w:themeColor="text1"/>
        </w:rPr>
        <w:t xml:space="preserve"> </w:t>
      </w:r>
      <w:r w:rsidRPr="00BB7739">
        <w:rPr>
          <w:rFonts w:cs="Caecilia-Roman"/>
          <w:lang w:val="en-GB"/>
        </w:rPr>
        <w:t>will have a positive impact on the economy and society, the indicators themselves do not</w:t>
      </w:r>
      <w:r w:rsidRPr="00BB7739">
        <w:rPr>
          <w:color w:val="000000" w:themeColor="text1"/>
        </w:rPr>
        <w:t xml:space="preserve"> </w:t>
      </w:r>
      <w:r w:rsidRPr="00BB7739">
        <w:rPr>
          <w:rFonts w:cs="Caecilia-Roman"/>
          <w:lang w:val="en-GB"/>
        </w:rPr>
        <w:t xml:space="preserve">assess the </w:t>
      </w:r>
      <w:r>
        <w:rPr>
          <w:rFonts w:cs="Caecilia-Roman"/>
          <w:lang w:val="en-GB"/>
        </w:rPr>
        <w:t>achievement of these objectives</w:t>
      </w:r>
      <w:r w:rsidRPr="00BB7739">
        <w:rPr>
          <w:rFonts w:cs="Caecilia-Roman"/>
          <w:lang w:val="en-GB"/>
        </w:rPr>
        <w:t>”</w:t>
      </w:r>
      <w:r>
        <w:rPr>
          <w:rFonts w:cs="Caecilia-Roman"/>
          <w:lang w:val="en-GB"/>
        </w:rPr>
        <w:t xml:space="preserve"> (OECD 2015a).</w:t>
      </w:r>
      <w:r w:rsidRPr="00BB7739">
        <w:rPr>
          <w:rFonts w:cs="Caecilia-Roman"/>
          <w:lang w:val="en-GB"/>
        </w:rPr>
        <w:t xml:space="preserve"> These words of caution were important in mollifying the resistance of some delegates to explicit benchmarking. In fact, the Outlook argues that cross-country comparisons based on the indicators are not comparisons of regulatory quality but comparisons of policy instruments for quality.</w:t>
      </w:r>
    </w:p>
    <w:p w14:paraId="40D697F7" w14:textId="77777777" w:rsidR="009B0475" w:rsidRDefault="009B0475" w:rsidP="009B0475">
      <w:pPr>
        <w:pStyle w:val="Heading1"/>
        <w:spacing w:before="0" w:line="360" w:lineRule="auto"/>
        <w:rPr>
          <w:rFonts w:asciiTheme="minorHAnsi" w:hAnsiTheme="minorHAnsi"/>
        </w:rPr>
      </w:pPr>
    </w:p>
    <w:p w14:paraId="60593DFB" w14:textId="18BAA550" w:rsidR="009B0475" w:rsidRPr="006B789B" w:rsidRDefault="006B789B" w:rsidP="006B789B">
      <w:pPr>
        <w:pStyle w:val="Heading1"/>
        <w:spacing w:before="0" w:line="360" w:lineRule="auto"/>
        <w:rPr>
          <w:rFonts w:asciiTheme="minorHAnsi" w:hAnsiTheme="minorHAnsi"/>
          <w:color w:val="auto"/>
          <w:sz w:val="24"/>
          <w:szCs w:val="24"/>
        </w:rPr>
      </w:pPr>
      <w:r>
        <w:rPr>
          <w:rFonts w:asciiTheme="minorHAnsi" w:hAnsiTheme="minorHAnsi"/>
          <w:color w:val="auto"/>
          <w:sz w:val="24"/>
          <w:szCs w:val="24"/>
        </w:rPr>
        <w:t>6</w:t>
      </w:r>
      <w:r w:rsidRPr="006B789B">
        <w:rPr>
          <w:rFonts w:asciiTheme="minorHAnsi" w:hAnsiTheme="minorHAnsi"/>
          <w:color w:val="auto"/>
          <w:sz w:val="24"/>
          <w:szCs w:val="24"/>
        </w:rPr>
        <w:t xml:space="preserve">. </w:t>
      </w:r>
      <w:r w:rsidR="000121A7" w:rsidRPr="006B789B">
        <w:rPr>
          <w:rFonts w:asciiTheme="minorHAnsi" w:hAnsiTheme="minorHAnsi"/>
          <w:color w:val="auto"/>
          <w:sz w:val="24"/>
          <w:szCs w:val="24"/>
        </w:rPr>
        <w:t xml:space="preserve">Discussion and </w:t>
      </w:r>
      <w:r w:rsidR="008E590C" w:rsidRPr="006B789B">
        <w:rPr>
          <w:rFonts w:asciiTheme="minorHAnsi" w:hAnsiTheme="minorHAnsi"/>
          <w:color w:val="auto"/>
          <w:sz w:val="24"/>
          <w:szCs w:val="24"/>
        </w:rPr>
        <w:t>Conclusion</w:t>
      </w:r>
      <w:r w:rsidR="000121A7" w:rsidRPr="006B789B">
        <w:rPr>
          <w:rFonts w:asciiTheme="minorHAnsi" w:hAnsiTheme="minorHAnsi"/>
          <w:color w:val="auto"/>
          <w:sz w:val="24"/>
          <w:szCs w:val="24"/>
        </w:rPr>
        <w:t>s</w:t>
      </w:r>
    </w:p>
    <w:p w14:paraId="6A0F5DBE" w14:textId="699DA15E" w:rsidR="00E359D3" w:rsidRDefault="001F70DA" w:rsidP="006B789B">
      <w:pPr>
        <w:spacing w:line="360" w:lineRule="auto"/>
      </w:pPr>
      <w:r w:rsidRPr="00BB7739">
        <w:t>We can now answer our research question</w:t>
      </w:r>
      <w:r w:rsidR="00BF4EB0">
        <w:t xml:space="preserve"> about adoption, timing and content of regulatory indicators.</w:t>
      </w:r>
      <w:r w:rsidRPr="00BB7739">
        <w:t xml:space="preserve"> Recall what we said</w:t>
      </w:r>
      <w:r w:rsidR="000121A7">
        <w:t xml:space="preserve"> about structural variables</w:t>
      </w:r>
      <w:r w:rsidRPr="00BB7739">
        <w:t xml:space="preserve">: the Commission is a regulator, the OECD is not. The two organizations differ on other </w:t>
      </w:r>
      <w:r w:rsidR="00C51B3E">
        <w:t xml:space="preserve">structural </w:t>
      </w:r>
      <w:r w:rsidR="008264FC">
        <w:t xml:space="preserve">dimensions: one is network-based, the other is multi-level with some non-trivial principal-agent features. </w:t>
      </w:r>
      <w:r w:rsidR="007C214C">
        <w:t>The OECD is structurally positioned to provide advice to member states, not to regulate them. Its</w:t>
      </w:r>
      <w:r w:rsidR="00E359D3">
        <w:t xml:space="preserve"> vocation or</w:t>
      </w:r>
      <w:r w:rsidR="007C214C">
        <w:t xml:space="preserve"> mission is </w:t>
      </w:r>
      <w:r w:rsidR="007C214C">
        <w:lastRenderedPageBreak/>
        <w:t xml:space="preserve">to act as high-level club and to put on the table its analytical expertise. </w:t>
      </w:r>
      <w:r w:rsidR="00E359D3">
        <w:t xml:space="preserve">The EU is much more </w:t>
      </w:r>
      <w:r w:rsidR="00C97B2E">
        <w:t xml:space="preserve">of </w:t>
      </w:r>
      <w:r w:rsidR="00E359D3">
        <w:t>an arena than a policy forum</w:t>
      </w:r>
      <w:r w:rsidR="005314E8">
        <w:t>; certainly</w:t>
      </w:r>
      <w:r w:rsidR="00DC1DE0">
        <w:t>,</w:t>
      </w:r>
      <w:r w:rsidR="005314E8">
        <w:t xml:space="preserve"> it is not</w:t>
      </w:r>
      <w:r w:rsidR="00E359D3">
        <w:t xml:space="preserve"> </w:t>
      </w:r>
      <w:r w:rsidR="005314E8">
        <w:t xml:space="preserve">a </w:t>
      </w:r>
      <w:r w:rsidR="00E359D3">
        <w:t>club</w:t>
      </w:r>
      <w:r w:rsidR="005314E8">
        <w:t xml:space="preserve"> of national delegates assisted by dedicated staff</w:t>
      </w:r>
      <w:r w:rsidR="00E359D3">
        <w:t>. The Commission has high visibility and is t</w:t>
      </w:r>
      <w:r w:rsidR="00493F97">
        <w:t xml:space="preserve">he object of a conflict-ridden </w:t>
      </w:r>
      <w:r w:rsidR="006E073F">
        <w:t xml:space="preserve">discussion of what EU law </w:t>
      </w:r>
      <w:r w:rsidR="00E359D3">
        <w:t>should and should not do.</w:t>
      </w:r>
    </w:p>
    <w:p w14:paraId="20CD08A4" w14:textId="77777777" w:rsidR="00E359D3" w:rsidRDefault="00E359D3" w:rsidP="00E33B2A">
      <w:pPr>
        <w:spacing w:line="360" w:lineRule="auto"/>
      </w:pPr>
    </w:p>
    <w:p w14:paraId="7F335B30" w14:textId="314E3D15" w:rsidR="005314E8" w:rsidRDefault="007C214C" w:rsidP="00E359D3">
      <w:pPr>
        <w:spacing w:after="200" w:line="360" w:lineRule="auto"/>
      </w:pPr>
      <w:r>
        <w:t xml:space="preserve">The incentives of the OECD staff working in the field of regulation have led them to regulatory indicators as prime product – without them, the high profile of the </w:t>
      </w:r>
      <w:r w:rsidR="008264FC">
        <w:t>RPC</w:t>
      </w:r>
      <w:r>
        <w:t xml:space="preserve"> would not have the necessary analytical base. The fact that the instrument chosen for measuring regulatory performance is a set of self-reported indicators – surely moderated and discussed with the OECD staff, but </w:t>
      </w:r>
      <w:r w:rsidR="005314E8">
        <w:t xml:space="preserve">still </w:t>
      </w:r>
      <w:r>
        <w:t>originating from self-reporting activities – mitigates the resistance of national delegates, who have an important</w:t>
      </w:r>
      <w:r w:rsidR="00F77A88">
        <w:t xml:space="preserve"> lever of control of what comes out</w:t>
      </w:r>
      <w:r>
        <w:t xml:space="preserve"> of</w:t>
      </w:r>
      <w:r w:rsidR="00E359D3">
        <w:t xml:space="preserve"> </w:t>
      </w:r>
      <w:r w:rsidR="009B0475">
        <w:t xml:space="preserve">the </w:t>
      </w:r>
      <w:r w:rsidR="005314E8">
        <w:t>measurement</w:t>
      </w:r>
      <w:r>
        <w:t xml:space="preserve">. </w:t>
      </w:r>
      <w:r w:rsidR="00E359D3">
        <w:t>In short, the structural variables point to the alignment of mission, incentives and instrumentation</w:t>
      </w:r>
      <w:r w:rsidR="005314E8">
        <w:t xml:space="preserve"> for the OECD leading to adoption of performance measures in the field of regulation</w:t>
      </w:r>
      <w:r w:rsidR="00E359D3">
        <w:t xml:space="preserve">. </w:t>
      </w:r>
      <w:r w:rsidR="005314E8" w:rsidRPr="00BB7739">
        <w:t xml:space="preserve">Given </w:t>
      </w:r>
      <w:r w:rsidR="00F77A88">
        <w:t xml:space="preserve">these structural </w:t>
      </w:r>
      <w:r w:rsidR="005314E8" w:rsidRPr="00BB7739">
        <w:t>variables, the Commission is at a disadvantage when compared with the OECD</w:t>
      </w:r>
      <w:r w:rsidR="005314E8">
        <w:t xml:space="preserve"> in proposing regulatory indicators. </w:t>
      </w:r>
    </w:p>
    <w:p w14:paraId="07A61302" w14:textId="1B963CAE" w:rsidR="00E359D3" w:rsidRPr="00BF4EB0" w:rsidRDefault="00E359D3" w:rsidP="00E359D3">
      <w:pPr>
        <w:spacing w:after="200" w:line="360" w:lineRule="auto"/>
      </w:pPr>
      <w:r w:rsidRPr="00BF4EB0">
        <w:t>Yet</w:t>
      </w:r>
      <w:r w:rsidR="005314E8" w:rsidRPr="00BF4EB0">
        <w:t>, crucially for the</w:t>
      </w:r>
      <w:r w:rsidR="00BF4EB0">
        <w:t xml:space="preserve"> explanatory</w:t>
      </w:r>
      <w:r w:rsidR="005314E8" w:rsidRPr="00BF4EB0">
        <w:t xml:space="preserve"> leverage of structural </w:t>
      </w:r>
      <w:r w:rsidR="00CA1D37" w:rsidRPr="00BF4EB0">
        <w:t xml:space="preserve">and contingent </w:t>
      </w:r>
      <w:r w:rsidR="005314E8" w:rsidRPr="00BF4EB0">
        <w:t>variables,</w:t>
      </w:r>
      <w:r w:rsidRPr="00BF4EB0">
        <w:t xml:space="preserve"> this does not explain variation over time both in Paris – where resistance to cross-country explicit measurement was not overcome in the first three waves of regulatory management indicators – and Brussels – where we doc</w:t>
      </w:r>
      <w:r w:rsidR="00486C28">
        <w:t>umented the rise and fall</w:t>
      </w:r>
      <w:r w:rsidR="00BF4EB0">
        <w:t xml:space="preserve"> saga of initiatives targeting regulatory indicators</w:t>
      </w:r>
      <w:r w:rsidRPr="00BF4EB0">
        <w:t xml:space="preserve">. </w:t>
      </w:r>
    </w:p>
    <w:p w14:paraId="29AAEB0E" w14:textId="10E3FCF8" w:rsidR="0009509C" w:rsidRDefault="00E359D3" w:rsidP="00442E6D">
      <w:pPr>
        <w:spacing w:after="200" w:line="360" w:lineRule="auto"/>
      </w:pPr>
      <w:r>
        <w:t xml:space="preserve">By looking at the </w:t>
      </w:r>
      <w:r w:rsidR="00486C28">
        <w:t xml:space="preserve">organizational </w:t>
      </w:r>
      <w:r>
        <w:t xml:space="preserve">processes </w:t>
      </w:r>
      <w:r w:rsidR="005F3491">
        <w:t>over a sufficiently long period of time</w:t>
      </w:r>
      <w:r w:rsidR="008264FC" w:rsidRPr="009A1BF0">
        <w:t>,</w:t>
      </w:r>
      <w:r w:rsidR="008264FC">
        <w:t xml:space="preserve"> we have found that variation in learning</w:t>
      </w:r>
      <w:r w:rsidR="00BF4EB0">
        <w:t xml:space="preserve"> processes</w:t>
      </w:r>
      <w:r w:rsidR="008264FC">
        <w:t xml:space="preserve"> matter</w:t>
      </w:r>
      <w:r w:rsidR="00C92C43">
        <w:t>s</w:t>
      </w:r>
      <w:r>
        <w:t xml:space="preserve">. </w:t>
      </w:r>
      <w:r w:rsidR="008E590C" w:rsidRPr="00BB7739">
        <w:t xml:space="preserve">The OECD project delivered because it was underpinned by self-directed learning, with a differentiation of roles between the Bureau, the Secretariat, the Steering Committee and the RPC that was functional. </w:t>
      </w:r>
      <w:r w:rsidR="00CC03B0" w:rsidRPr="00BB7739">
        <w:t>The OECD was not predestined to success. It could have failed, or could have produced a round of symbolic cooperation of the delegates</w:t>
      </w:r>
      <w:r w:rsidR="00DA1E3C" w:rsidRPr="00BB7739">
        <w:t xml:space="preserve"> or extenuating inter-governmental negotiation</w:t>
      </w:r>
      <w:r w:rsidR="00CC03B0" w:rsidRPr="00BB7739">
        <w:t xml:space="preserve">. </w:t>
      </w:r>
    </w:p>
    <w:p w14:paraId="3B540218" w14:textId="379071B5" w:rsidR="00BF4EB0" w:rsidRDefault="00C92C43" w:rsidP="00442E6D">
      <w:pPr>
        <w:spacing w:after="200" w:line="360" w:lineRule="auto"/>
      </w:pPr>
      <w:r>
        <w:t>Trust and commitment were stabilized by t</w:t>
      </w:r>
      <w:r w:rsidR="0009509C">
        <w:t>he</w:t>
      </w:r>
      <w:r w:rsidR="00CC03B0" w:rsidRPr="00BB7739">
        <w:t xml:space="preserve"> attitudes of the </w:t>
      </w:r>
      <w:r w:rsidR="00442E6D">
        <w:t xml:space="preserve">OECD staff and </w:t>
      </w:r>
      <w:r>
        <w:t xml:space="preserve">by </w:t>
      </w:r>
      <w:r w:rsidR="00442E6D">
        <w:t>how the</w:t>
      </w:r>
      <w:r w:rsidR="008264FC">
        <w:t xml:space="preserve"> players</w:t>
      </w:r>
      <w:r w:rsidR="00CC03B0" w:rsidRPr="00BB7739">
        <w:t xml:space="preserve"> defined their roles.</w:t>
      </w:r>
      <w:r w:rsidR="0004707E">
        <w:t xml:space="preserve"> </w:t>
      </w:r>
      <w:r w:rsidR="005F3491">
        <w:t>S</w:t>
      </w:r>
      <w:r w:rsidR="00C65F8D" w:rsidRPr="009A1BF0">
        <w:t>ocialization fueled trust</w:t>
      </w:r>
      <w:r>
        <w:t xml:space="preserve"> and was cemented </w:t>
      </w:r>
      <w:r>
        <w:lastRenderedPageBreak/>
        <w:t>by the intellectual leadership of Gary Banks</w:t>
      </w:r>
      <w:r w:rsidR="00C65F8D" w:rsidRPr="009A1BF0">
        <w:t>.</w:t>
      </w:r>
      <w:r w:rsidR="00C65F8D" w:rsidRPr="00BB7739">
        <w:t xml:space="preserve"> </w:t>
      </w:r>
      <w:r>
        <w:t>The learners did not need much epistemic help or directions from external experts.</w:t>
      </w:r>
      <w:r w:rsidR="00524681">
        <w:t xml:space="preserve"> </w:t>
      </w:r>
      <w:r w:rsidR="009D7AD7" w:rsidRPr="00BB7739">
        <w:t xml:space="preserve">By contrast, the Commission’s learning path </w:t>
      </w:r>
      <w:r w:rsidR="00BF4EB0">
        <w:t xml:space="preserve">started as self-directed but </w:t>
      </w:r>
      <w:r w:rsidR="009D7AD7" w:rsidRPr="00BB7739">
        <w:t xml:space="preserve">was interrupted by the intervention of high-level politicians like Brown and Zalm, who re-directed the regulatory reform agendas of the EU towards wars on red tape. </w:t>
      </w:r>
    </w:p>
    <w:p w14:paraId="6230FCB0" w14:textId="0320BA80" w:rsidR="00486C28" w:rsidRDefault="00BF4EB0" w:rsidP="00BF4EB0">
      <w:pPr>
        <w:spacing w:after="200" w:line="360" w:lineRule="auto"/>
      </w:pPr>
      <w:r>
        <w:t>These findings speak to researchers willing to explore</w:t>
      </w:r>
      <w:r w:rsidRPr="00BB7739">
        <w:t xml:space="preserve"> how international organizations think</w:t>
      </w:r>
      <w:r>
        <w:t xml:space="preserve">, and to theorists of the policy process interested in the role of learning in agenda-setting. </w:t>
      </w:r>
      <w:r w:rsidR="00486C28">
        <w:t xml:space="preserve">They also speak to </w:t>
      </w:r>
      <w:r w:rsidR="00524681">
        <w:t>builders of learning</w:t>
      </w:r>
      <w:r w:rsidR="00486C28">
        <w:t xml:space="preserve"> theories based on empirical observations of the internal processes of complex organizations – thus complementing the macro-macro orientation that seems prevalent in the field (Dunlop and Radaelli 2017).</w:t>
      </w:r>
      <w:r w:rsidR="005F3491">
        <w:t xml:space="preserve"> There are also lessons about timing: to compare learning processes (in two or more organizations) we need a sufficiently long period of time, because the observation of a single decision is not informative.</w:t>
      </w:r>
    </w:p>
    <w:p w14:paraId="59C48B1C" w14:textId="29089C5E" w:rsidR="00BF4EB0" w:rsidRDefault="009A1BF0" w:rsidP="00524681">
      <w:pPr>
        <w:spacing w:after="200" w:line="360" w:lineRule="auto"/>
      </w:pPr>
      <w:r w:rsidRPr="005F3491">
        <w:t>There are</w:t>
      </w:r>
      <w:r w:rsidR="00BF4EB0" w:rsidRPr="009A1BF0">
        <w:t xml:space="preserve"> limitations </w:t>
      </w:r>
      <w:r w:rsidRPr="005F3491">
        <w:t>that accompany these findings</w:t>
      </w:r>
      <w:r w:rsidR="00BF4EB0">
        <w:t>. Learning-based explanations do not replace struc</w:t>
      </w:r>
      <w:r w:rsidR="00524681">
        <w:t>tural explanations, they address variation that is un-explained by structural variables.</w:t>
      </w:r>
      <w:r w:rsidR="00575FCE">
        <w:t xml:space="preserve"> </w:t>
      </w:r>
      <w:r w:rsidR="00BF4EB0">
        <w:t>Our analysis is limited to two organizations, and misses a large, perhaps dominant, producer of regulatory and governance indicators, the World Bank. Future research should broaden its empirical ran</w:t>
      </w:r>
      <w:r w:rsidR="00524681">
        <w:t xml:space="preserve">ge </w:t>
      </w:r>
      <w:r w:rsidR="00BF4EB0">
        <w:t xml:space="preserve">(for an example see De Francesco 2016) as well </w:t>
      </w:r>
      <w:r w:rsidR="00524681">
        <w:t>as extending the analysis of learning too what happens at the domestic level after consensus on indicators has been reached in international organizations</w:t>
      </w:r>
      <w:r w:rsidR="00575FCE">
        <w:t>.</w:t>
      </w:r>
    </w:p>
    <w:p w14:paraId="4C1022DD" w14:textId="3092F712" w:rsidR="001128AA" w:rsidRPr="001128AA" w:rsidRDefault="001128AA" w:rsidP="00BF4EB0">
      <w:pPr>
        <w:spacing w:after="200" w:line="360" w:lineRule="auto"/>
        <w:rPr>
          <w:i/>
        </w:rPr>
      </w:pPr>
      <w:r w:rsidRPr="001128AA">
        <w:rPr>
          <w:i/>
        </w:rPr>
        <w:t>Acknowledgement</w:t>
      </w:r>
      <w:r w:rsidRPr="001128AA">
        <w:t>s</w:t>
      </w:r>
    </w:p>
    <w:p w14:paraId="22166336" w14:textId="1B6240AB" w:rsidR="001128AA" w:rsidRDefault="001128AA" w:rsidP="00BF4EB0">
      <w:pPr>
        <w:spacing w:after="200" w:line="360" w:lineRule="auto"/>
      </w:pPr>
      <w:r>
        <w:t xml:space="preserve">Research for this article was supported by the project Procedural Tools for Effective Governance, Protego, funded by the European Research Council, </w:t>
      </w:r>
      <w:r w:rsidR="00524681">
        <w:t xml:space="preserve">advanced </w:t>
      </w:r>
      <w:r>
        <w:t xml:space="preserve">grant no. 694632. I wish to thank the participants to the conference </w:t>
      </w:r>
      <w:r w:rsidRPr="001128AA">
        <w:rPr>
          <w:i/>
        </w:rPr>
        <w:t>International Organizations and the Globalization of Public Instruments and Ideas</w:t>
      </w:r>
      <w:r>
        <w:t>, organized by Magdaléna Hadjiisky, University of Strasbourg, 1-3 September 2016. I wish to thank the editors, the reviewers and the intervi</w:t>
      </w:r>
      <w:r w:rsidR="009E4DA1">
        <w:t>ewees for their comments. I am grateful t</w:t>
      </w:r>
      <w:r>
        <w:t xml:space="preserve">o my colleagues Stephane Baele and Jonathan Kamkhaji </w:t>
      </w:r>
      <w:r>
        <w:lastRenderedPageBreak/>
        <w:t xml:space="preserve">for their suggestions and comments. </w:t>
      </w:r>
      <w:r w:rsidR="00BF3160">
        <w:t>Francesca Farmer kindly corrected style and usage of the English language.</w:t>
      </w:r>
      <w:r w:rsidR="00524681">
        <w:t xml:space="preserve"> The classic disclaimer applies.</w:t>
      </w:r>
    </w:p>
    <w:p w14:paraId="3E72F8B3" w14:textId="77777777" w:rsidR="001128AA" w:rsidRDefault="001128AA" w:rsidP="00BF4EB0">
      <w:pPr>
        <w:spacing w:after="200" w:line="360" w:lineRule="auto"/>
      </w:pPr>
    </w:p>
    <w:p w14:paraId="2FCF65D1" w14:textId="77777777" w:rsidR="00F6442C" w:rsidRPr="00B4289E" w:rsidRDefault="00F6442C" w:rsidP="00F6442C"/>
    <w:p w14:paraId="4281C324" w14:textId="77777777" w:rsidR="00F6442C" w:rsidRPr="00F6442C" w:rsidRDefault="00F6442C" w:rsidP="00F6442C">
      <w:pPr>
        <w:spacing w:line="360" w:lineRule="auto"/>
        <w:jc w:val="center"/>
        <w:rPr>
          <w:sz w:val="20"/>
          <w:szCs w:val="20"/>
        </w:rPr>
      </w:pPr>
      <w:r w:rsidRPr="00F6442C">
        <w:t xml:space="preserve">References </w:t>
      </w:r>
    </w:p>
    <w:p w14:paraId="306E8BB6" w14:textId="73B991E1" w:rsidR="002F25EB" w:rsidRDefault="002F25EB" w:rsidP="00F6442C">
      <w:pPr>
        <w:widowControl w:val="0"/>
        <w:autoSpaceDE w:val="0"/>
        <w:autoSpaceDN w:val="0"/>
        <w:adjustRightInd w:val="0"/>
        <w:ind w:left="720" w:right="-720" w:hanging="720"/>
        <w:rPr>
          <w:rFonts w:cs="Helvetica"/>
        </w:rPr>
      </w:pPr>
      <w:r>
        <w:rPr>
          <w:rFonts w:cs="Helvetica"/>
        </w:rPr>
        <w:t>Allio, L</w:t>
      </w:r>
      <w:r w:rsidR="00B50438">
        <w:rPr>
          <w:rFonts w:cs="Helvetica"/>
        </w:rPr>
        <w:t>.</w:t>
      </w:r>
      <w:r>
        <w:rPr>
          <w:rFonts w:cs="Helvetica"/>
        </w:rPr>
        <w:t xml:space="preserve"> (2008) The emergence of better regulation in the European Union. King’s College London, PhD dissertation.</w:t>
      </w:r>
      <w:r w:rsidR="00592B6D">
        <w:rPr>
          <w:rFonts w:cs="Helvetica"/>
        </w:rPr>
        <w:t xml:space="preserve"> [available on www.academia.edu]</w:t>
      </w:r>
    </w:p>
    <w:p w14:paraId="0728091C" w14:textId="2EA464BE" w:rsidR="00F6442C" w:rsidRPr="00B4289E" w:rsidRDefault="00F6442C" w:rsidP="00F6442C">
      <w:pPr>
        <w:widowControl w:val="0"/>
        <w:autoSpaceDE w:val="0"/>
        <w:autoSpaceDN w:val="0"/>
        <w:adjustRightInd w:val="0"/>
        <w:ind w:left="720" w:right="-720" w:hanging="720"/>
        <w:rPr>
          <w:rFonts w:cs="Helvetica"/>
        </w:rPr>
      </w:pPr>
      <w:r w:rsidRPr="00B4289E">
        <w:rPr>
          <w:rFonts w:cs="Helvetica"/>
        </w:rPr>
        <w:t>Arndt</w:t>
      </w:r>
      <w:r>
        <w:rPr>
          <w:rFonts w:cs="Helvetica"/>
        </w:rPr>
        <w:t>, C</w:t>
      </w:r>
      <w:r w:rsidR="00B50438">
        <w:rPr>
          <w:rFonts w:cs="Helvetica"/>
        </w:rPr>
        <w:t>.</w:t>
      </w:r>
      <w:r>
        <w:rPr>
          <w:rFonts w:cs="Helvetica"/>
        </w:rPr>
        <w:t>, et al.</w:t>
      </w:r>
      <w:r w:rsidRPr="00B4289E">
        <w:rPr>
          <w:rFonts w:cs="Helvetica"/>
        </w:rPr>
        <w:t xml:space="preserve"> (2015)</w:t>
      </w:r>
      <w:r>
        <w:rPr>
          <w:rFonts w:cs="Helvetica"/>
        </w:rPr>
        <w:t xml:space="preserve"> </w:t>
      </w:r>
      <w:r w:rsidRPr="00B4289E">
        <w:rPr>
          <w:rFonts w:cs="Helvetica"/>
        </w:rPr>
        <w:t>2015 Indicators of Regulatory Policy and Governance: Desig</w:t>
      </w:r>
      <w:r>
        <w:rPr>
          <w:rFonts w:cs="Helvetica"/>
        </w:rPr>
        <w:t>n, Methodology and Key Results.</w:t>
      </w:r>
      <w:r w:rsidRPr="00B4289E">
        <w:rPr>
          <w:rFonts w:cs="Helvetica"/>
        </w:rPr>
        <w:t xml:space="preserve">  </w:t>
      </w:r>
      <w:r w:rsidRPr="00B4289E">
        <w:rPr>
          <w:rFonts w:cs="Helvetica"/>
          <w:i/>
          <w:iCs/>
        </w:rPr>
        <w:t>OECD Regulatory Policy Working Papers no.1</w:t>
      </w:r>
      <w:r w:rsidRPr="00B4289E">
        <w:rPr>
          <w:rFonts w:cs="Helvetica"/>
        </w:rPr>
        <w:t xml:space="preserve"> </w:t>
      </w:r>
      <w:hyperlink r:id="rId9" w:history="1">
        <w:r w:rsidRPr="00B4289E">
          <w:rPr>
            <w:rStyle w:val="Hyperlink"/>
            <w:rFonts w:cs="Helvetica"/>
          </w:rPr>
          <w:t>http://www.oecd.org/regreform/regulatory-policy/WP1_Design-Methodology-Key-Results.pdf</w:t>
        </w:r>
      </w:hyperlink>
      <w:r w:rsidRPr="00B4289E">
        <w:rPr>
          <w:rFonts w:cs="Helvetica"/>
        </w:rPr>
        <w:t xml:space="preserve">   </w:t>
      </w:r>
    </w:p>
    <w:p w14:paraId="6E6C0D30" w14:textId="11BBCA5F" w:rsidR="00A67303" w:rsidRDefault="00A67303" w:rsidP="00F6442C">
      <w:pPr>
        <w:widowControl w:val="0"/>
        <w:autoSpaceDE w:val="0"/>
        <w:autoSpaceDN w:val="0"/>
        <w:adjustRightInd w:val="0"/>
        <w:ind w:left="720" w:right="-720" w:hanging="720"/>
        <w:rPr>
          <w:rFonts w:cs="Helvetica"/>
        </w:rPr>
      </w:pPr>
      <w:r>
        <w:rPr>
          <w:rFonts w:cs="Helvetica"/>
        </w:rPr>
        <w:t xml:space="preserve">Atkinson, T. </w:t>
      </w:r>
      <w:r w:rsidR="00B96589">
        <w:rPr>
          <w:rFonts w:cs="Helvetica"/>
        </w:rPr>
        <w:t xml:space="preserve">et al. </w:t>
      </w:r>
      <w:r>
        <w:rPr>
          <w:rFonts w:cs="Helvetica"/>
        </w:rPr>
        <w:t xml:space="preserve">(2002) </w:t>
      </w:r>
      <w:r w:rsidRPr="00A67303">
        <w:rPr>
          <w:rFonts w:cs="Helvetica"/>
          <w:i/>
        </w:rPr>
        <w:t>Social Indicators: The EU and Social Inclusion</w:t>
      </w:r>
      <w:r>
        <w:rPr>
          <w:rFonts w:cs="Helvetica"/>
        </w:rPr>
        <w:t>, Oxford: Oxford University Press.</w:t>
      </w:r>
    </w:p>
    <w:p w14:paraId="25F22029" w14:textId="12CA0FBD" w:rsidR="00F6442C" w:rsidRDefault="00F6442C" w:rsidP="00F6442C">
      <w:pPr>
        <w:widowControl w:val="0"/>
        <w:autoSpaceDE w:val="0"/>
        <w:autoSpaceDN w:val="0"/>
        <w:adjustRightInd w:val="0"/>
        <w:ind w:left="720" w:right="-720" w:hanging="720"/>
        <w:rPr>
          <w:rFonts w:cs="Helvetica"/>
        </w:rPr>
      </w:pPr>
      <w:r>
        <w:rPr>
          <w:rFonts w:cs="Helvetica"/>
        </w:rPr>
        <w:t>Baldwin, R</w:t>
      </w:r>
      <w:r w:rsidR="00B50438">
        <w:rPr>
          <w:rFonts w:cs="Helvetica"/>
        </w:rPr>
        <w:t>.</w:t>
      </w:r>
      <w:r>
        <w:rPr>
          <w:rFonts w:cs="Helvetica"/>
        </w:rPr>
        <w:t>, M</w:t>
      </w:r>
      <w:r w:rsidR="00B50438">
        <w:rPr>
          <w:rFonts w:cs="Helvetica"/>
        </w:rPr>
        <w:t>.</w:t>
      </w:r>
      <w:r>
        <w:rPr>
          <w:rFonts w:cs="Helvetica"/>
        </w:rPr>
        <w:t xml:space="preserve"> Cave and M</w:t>
      </w:r>
      <w:r w:rsidR="00B50438">
        <w:rPr>
          <w:rFonts w:cs="Helvetica"/>
        </w:rPr>
        <w:t>.</w:t>
      </w:r>
      <w:r w:rsidR="00345EB2">
        <w:rPr>
          <w:rFonts w:cs="Helvetica"/>
        </w:rPr>
        <w:t xml:space="preserve"> Lodge (2012)</w:t>
      </w:r>
      <w:r w:rsidRPr="00B4289E">
        <w:rPr>
          <w:rFonts w:cs="Helvetica"/>
        </w:rPr>
        <w:t xml:space="preserve"> </w:t>
      </w:r>
      <w:r w:rsidRPr="00B4289E">
        <w:rPr>
          <w:rFonts w:cs="Helvetica"/>
          <w:i/>
          <w:iCs/>
        </w:rPr>
        <w:t>Understanding Regulation</w:t>
      </w:r>
      <w:r w:rsidRPr="00B4289E">
        <w:rPr>
          <w:rFonts w:cs="Helvetica"/>
        </w:rPr>
        <w:t>.  Oxford: Oxford University Press.</w:t>
      </w:r>
    </w:p>
    <w:p w14:paraId="5017DD14" w14:textId="495794E0" w:rsidR="00B97A4E" w:rsidRPr="00B4289E" w:rsidRDefault="00B97A4E" w:rsidP="00F6442C">
      <w:pPr>
        <w:widowControl w:val="0"/>
        <w:autoSpaceDE w:val="0"/>
        <w:autoSpaceDN w:val="0"/>
        <w:adjustRightInd w:val="0"/>
        <w:ind w:left="720" w:right="-720" w:hanging="720"/>
        <w:rPr>
          <w:rFonts w:cs="Helvetica"/>
        </w:rPr>
      </w:pPr>
      <w:r>
        <w:rPr>
          <w:rFonts w:cs="Helvetica"/>
        </w:rPr>
        <w:t xml:space="preserve">Better Regulation Task Force (2005) </w:t>
      </w:r>
      <w:r>
        <w:rPr>
          <w:rFonts w:cs="Helvetica"/>
          <w:i/>
        </w:rPr>
        <w:t>Less is M</w:t>
      </w:r>
      <w:r w:rsidRPr="00B97A4E">
        <w:rPr>
          <w:rFonts w:cs="Helvetica"/>
          <w:i/>
        </w:rPr>
        <w:t>ore</w:t>
      </w:r>
      <w:r>
        <w:rPr>
          <w:rFonts w:cs="Helvetica"/>
        </w:rPr>
        <w:t xml:space="preserve">. </w:t>
      </w:r>
      <w:hyperlink r:id="rId10" w:history="1">
        <w:r w:rsidRPr="00C00DEB">
          <w:rPr>
            <w:rStyle w:val="Hyperlink"/>
            <w:rFonts w:cs="Helvetica"/>
          </w:rPr>
          <w:t>http://www.regulation.org.uk/library/2005_less_is_more.pdf</w:t>
        </w:r>
      </w:hyperlink>
      <w:r>
        <w:rPr>
          <w:rFonts w:cs="Helvetica"/>
        </w:rPr>
        <w:t xml:space="preserve"> Accessed in April 2017.</w:t>
      </w:r>
    </w:p>
    <w:p w14:paraId="54C88615" w14:textId="2128B1EA" w:rsidR="00F6442C" w:rsidRPr="0015492D" w:rsidRDefault="00F6442C" w:rsidP="00F6442C">
      <w:pPr>
        <w:widowControl w:val="0"/>
        <w:autoSpaceDE w:val="0"/>
        <w:autoSpaceDN w:val="0"/>
        <w:adjustRightInd w:val="0"/>
        <w:ind w:left="720" w:right="-720" w:hanging="720"/>
        <w:rPr>
          <w:rFonts w:cs="Helvetica"/>
        </w:rPr>
      </w:pPr>
      <w:r w:rsidRPr="00B4289E">
        <w:rPr>
          <w:rFonts w:cs="Helvetica"/>
        </w:rPr>
        <w:t>Boswell, C</w:t>
      </w:r>
      <w:r w:rsidR="00B50438">
        <w:rPr>
          <w:rFonts w:cs="Helvetica"/>
        </w:rPr>
        <w:t>.</w:t>
      </w:r>
      <w:r w:rsidRPr="00B4289E">
        <w:rPr>
          <w:rFonts w:cs="Helvetica"/>
        </w:rPr>
        <w:t xml:space="preserve">  (2009) </w:t>
      </w:r>
      <w:r w:rsidRPr="00B4289E">
        <w:rPr>
          <w:rFonts w:cs="Helvetica"/>
          <w:i/>
          <w:iCs/>
        </w:rPr>
        <w:t>The Political Uses of Expert Knowledge: Immigration Policy and Social Research</w:t>
      </w:r>
      <w:r w:rsidRPr="00B4289E">
        <w:rPr>
          <w:rFonts w:cs="Helvetica"/>
        </w:rPr>
        <w:t xml:space="preserve">.  Cambridge: </w:t>
      </w:r>
      <w:r w:rsidRPr="0015492D">
        <w:rPr>
          <w:rFonts w:cs="Helvetica"/>
        </w:rPr>
        <w:t>Cambridge University Press.</w:t>
      </w:r>
    </w:p>
    <w:p w14:paraId="2BCCAE85" w14:textId="7E1906D9" w:rsidR="00F6442C" w:rsidRPr="0015492D" w:rsidRDefault="00F6442C" w:rsidP="00F6442C">
      <w:pPr>
        <w:widowControl w:val="0"/>
        <w:autoSpaceDE w:val="0"/>
        <w:autoSpaceDN w:val="0"/>
        <w:adjustRightInd w:val="0"/>
        <w:ind w:left="720" w:right="-720" w:hanging="720"/>
        <w:rPr>
          <w:rFonts w:cs="Times New Roman"/>
        </w:rPr>
      </w:pPr>
      <w:r w:rsidRPr="0015492D">
        <w:rPr>
          <w:rFonts w:cs="Helvetica"/>
        </w:rPr>
        <w:t>Coglianese, C</w:t>
      </w:r>
      <w:r w:rsidR="00B50438">
        <w:rPr>
          <w:rFonts w:cs="Helvetica"/>
        </w:rPr>
        <w:t>.</w:t>
      </w:r>
      <w:r w:rsidRPr="0015492D">
        <w:rPr>
          <w:rFonts w:cs="Helvetica"/>
        </w:rPr>
        <w:t xml:space="preserve">  (2012) Evaluating the Impact of Regulation and Regulatory Policy</w:t>
      </w:r>
      <w:r w:rsidR="00345EB2" w:rsidRPr="0015492D">
        <w:rPr>
          <w:rFonts w:cs="Helvetica"/>
        </w:rPr>
        <w:t>.</w:t>
      </w:r>
      <w:r w:rsidRPr="0015492D">
        <w:rPr>
          <w:rFonts w:cs="Helvetica"/>
        </w:rPr>
        <w:t xml:space="preserve">  Paris, OECD, Expert paper no.1 </w:t>
      </w:r>
      <w:hyperlink r:id="rId11" w:history="1">
        <w:r w:rsidRPr="0015492D">
          <w:rPr>
            <w:rFonts w:cs="Helvetica"/>
          </w:rPr>
          <w:t>https://www.oecd.org/gov/regulatory-policy/1_coglianese%20web.pdf</w:t>
        </w:r>
      </w:hyperlink>
      <w:r w:rsidRPr="0015492D">
        <w:rPr>
          <w:rFonts w:cs="Helvetica"/>
        </w:rPr>
        <w:t>.</w:t>
      </w:r>
      <w:r w:rsidRPr="0015492D">
        <w:rPr>
          <w:rFonts w:cs="Times New Roman"/>
        </w:rPr>
        <w:t xml:space="preserve">   </w:t>
      </w:r>
    </w:p>
    <w:p w14:paraId="664FE474" w14:textId="77777777" w:rsidR="00F6442C" w:rsidRPr="0015492D" w:rsidRDefault="00F6442C" w:rsidP="00F6442C">
      <w:pPr>
        <w:widowControl w:val="0"/>
        <w:autoSpaceDE w:val="0"/>
        <w:autoSpaceDN w:val="0"/>
        <w:adjustRightInd w:val="0"/>
        <w:ind w:left="720" w:right="-720" w:hanging="720"/>
        <w:rPr>
          <w:rFonts w:cs="Helvetica"/>
        </w:rPr>
      </w:pPr>
      <w:r w:rsidRPr="0015492D">
        <w:rPr>
          <w:rFonts w:cs="Helvetica"/>
        </w:rPr>
        <w:t xml:space="preserve">Coletti, P (2013) </w:t>
      </w:r>
      <w:r w:rsidRPr="0015492D">
        <w:rPr>
          <w:rFonts w:cs="Helvetica"/>
          <w:i/>
        </w:rPr>
        <w:t>Evidence for Public Policy Design. How to Learn from Best Practice</w:t>
      </w:r>
      <w:r w:rsidRPr="0015492D">
        <w:rPr>
          <w:rFonts w:cs="Helvetica"/>
        </w:rPr>
        <w:t>. Basingstoke: Pivot Palgrave.</w:t>
      </w:r>
    </w:p>
    <w:p w14:paraId="60C6C1C8" w14:textId="4893CA1B" w:rsidR="00F6442C" w:rsidRPr="0015492D" w:rsidRDefault="00F6442C" w:rsidP="00F6442C">
      <w:pPr>
        <w:widowControl w:val="0"/>
        <w:autoSpaceDE w:val="0"/>
        <w:autoSpaceDN w:val="0"/>
        <w:adjustRightInd w:val="0"/>
        <w:ind w:left="720" w:right="-720" w:hanging="720"/>
        <w:rPr>
          <w:rFonts w:cs="Helvetica"/>
        </w:rPr>
      </w:pPr>
      <w:r w:rsidRPr="0015492D">
        <w:rPr>
          <w:rFonts w:cs="Helvetica"/>
        </w:rPr>
        <w:t>Council of the EU (2005) Integrated guidelines: Br</w:t>
      </w:r>
      <w:r w:rsidR="00BD684C">
        <w:rPr>
          <w:rFonts w:cs="Helvetica"/>
        </w:rPr>
        <w:t xml:space="preserve">oad economic policy guidelines. </w:t>
      </w:r>
      <w:r w:rsidRPr="0015492D">
        <w:rPr>
          <w:rFonts w:cs="Helvetica"/>
        </w:rPr>
        <w:t>Document 10667/05. Brussels, 28 June.</w:t>
      </w:r>
    </w:p>
    <w:p w14:paraId="69C3A6F5" w14:textId="1436F94C" w:rsidR="0015492D" w:rsidRDefault="0015492D" w:rsidP="00F6442C">
      <w:pPr>
        <w:widowControl w:val="0"/>
        <w:autoSpaceDE w:val="0"/>
        <w:autoSpaceDN w:val="0"/>
        <w:adjustRightInd w:val="0"/>
        <w:ind w:left="720" w:right="-720" w:hanging="720"/>
        <w:rPr>
          <w:rFonts w:cs="Helvetica"/>
        </w:rPr>
      </w:pPr>
      <w:r>
        <w:rPr>
          <w:rFonts w:cs="Helvetica"/>
        </w:rPr>
        <w:t xml:space="preserve">De Francesco, F. (2016) </w:t>
      </w:r>
      <w:r w:rsidRPr="0015492D">
        <w:rPr>
          <w:rFonts w:cs="Helvetica"/>
        </w:rPr>
        <w:t>Transfer Agents, Knowledge Authority, and Indices of Regulatory Quality: A Comparative Analysis of the World Bank and the Organisation for Economic Co-operation and Development</w:t>
      </w:r>
      <w:r w:rsidR="00C4605D">
        <w:rPr>
          <w:rFonts w:cs="Helvetica"/>
        </w:rPr>
        <w:t xml:space="preserve"> </w:t>
      </w:r>
      <w:r w:rsidR="00C4605D" w:rsidRPr="00C4605D">
        <w:rPr>
          <w:rFonts w:cs="Helvetica"/>
          <w:i/>
        </w:rPr>
        <w:t>Journal of Comparative Policy Analysis</w:t>
      </w:r>
      <w:r w:rsidR="00C4605D">
        <w:rPr>
          <w:rFonts w:cs="Helvetica"/>
        </w:rPr>
        <w:t xml:space="preserve"> 18(4): 350-365.</w:t>
      </w:r>
    </w:p>
    <w:p w14:paraId="0310EBFB" w14:textId="6329CFA1" w:rsidR="00D51AD0" w:rsidRDefault="00D51AD0" w:rsidP="00F6442C">
      <w:pPr>
        <w:widowControl w:val="0"/>
        <w:autoSpaceDE w:val="0"/>
        <w:autoSpaceDN w:val="0"/>
        <w:adjustRightInd w:val="0"/>
        <w:ind w:left="720" w:right="-720" w:hanging="720"/>
        <w:rPr>
          <w:rFonts w:cs="Helvetica"/>
        </w:rPr>
      </w:pPr>
      <w:r>
        <w:rPr>
          <w:rFonts w:cs="Helvetica"/>
        </w:rPr>
        <w:t xml:space="preserve">Djankov, S. McLiesh, C. and R.M. Ramalho (2006) Regulation and Growth. </w:t>
      </w:r>
      <w:r w:rsidRPr="00D51AD0">
        <w:rPr>
          <w:rFonts w:cs="Helvetica"/>
          <w:i/>
        </w:rPr>
        <w:t>Economic Letters</w:t>
      </w:r>
      <w:r>
        <w:rPr>
          <w:rFonts w:cs="Helvetica"/>
        </w:rPr>
        <w:t xml:space="preserve"> 92(3): 395-401.</w:t>
      </w:r>
    </w:p>
    <w:p w14:paraId="4404FCD5" w14:textId="3F8C229F" w:rsidR="00F6442C" w:rsidRPr="0015492D" w:rsidRDefault="00F6442C" w:rsidP="00F6442C">
      <w:pPr>
        <w:widowControl w:val="0"/>
        <w:autoSpaceDE w:val="0"/>
        <w:autoSpaceDN w:val="0"/>
        <w:adjustRightInd w:val="0"/>
        <w:ind w:left="720" w:right="-720" w:hanging="720"/>
        <w:rPr>
          <w:rFonts w:cs="Helvetica"/>
        </w:rPr>
      </w:pPr>
      <w:r w:rsidRPr="0015492D">
        <w:rPr>
          <w:rFonts w:cs="Helvetica"/>
        </w:rPr>
        <w:t>Doern, B</w:t>
      </w:r>
      <w:r w:rsidR="00B50438">
        <w:rPr>
          <w:rFonts w:cs="Helvetica"/>
        </w:rPr>
        <w:t>.</w:t>
      </w:r>
      <w:r w:rsidRPr="0015492D">
        <w:rPr>
          <w:rFonts w:cs="Helvetica"/>
        </w:rPr>
        <w:t xml:space="preserve">  (2007)  Red Tape-Red Flags: Regulation in the Innovation Age. Conference Board of Canada Cibc Scholar-in Residence Lecture.  Ottawa. </w:t>
      </w:r>
    </w:p>
    <w:p w14:paraId="0E6455CB" w14:textId="59766682" w:rsidR="00F6442C" w:rsidRDefault="00F6442C" w:rsidP="00F6442C">
      <w:pPr>
        <w:widowControl w:val="0"/>
        <w:autoSpaceDE w:val="0"/>
        <w:autoSpaceDN w:val="0"/>
        <w:adjustRightInd w:val="0"/>
        <w:ind w:left="720" w:right="-720" w:hanging="720"/>
        <w:rPr>
          <w:rFonts w:cs="Segoe UI"/>
          <w:lang w:val="en-GB"/>
        </w:rPr>
      </w:pPr>
      <w:r w:rsidRPr="0015492D">
        <w:rPr>
          <w:rFonts w:cs="Segoe UI"/>
          <w:lang w:val="en-GB"/>
        </w:rPr>
        <w:t>Dunlop, C</w:t>
      </w:r>
      <w:r w:rsidR="00B50438">
        <w:rPr>
          <w:rFonts w:cs="Segoe UI"/>
          <w:lang w:val="en-GB"/>
        </w:rPr>
        <w:t>.</w:t>
      </w:r>
      <w:r w:rsidRPr="0015492D">
        <w:rPr>
          <w:rFonts w:cs="Segoe UI"/>
          <w:lang w:val="en-GB"/>
        </w:rPr>
        <w:t>A</w:t>
      </w:r>
      <w:r w:rsidR="00B50438">
        <w:rPr>
          <w:rFonts w:cs="Segoe UI"/>
          <w:lang w:val="en-GB"/>
        </w:rPr>
        <w:t>.</w:t>
      </w:r>
      <w:r w:rsidRPr="0015492D">
        <w:rPr>
          <w:rFonts w:cs="Segoe UI"/>
          <w:lang w:val="en-GB"/>
        </w:rPr>
        <w:t>, and C</w:t>
      </w:r>
      <w:r w:rsidR="00B50438">
        <w:rPr>
          <w:rFonts w:cs="Segoe UI"/>
          <w:lang w:val="en-GB"/>
        </w:rPr>
        <w:t>.</w:t>
      </w:r>
      <w:r w:rsidRPr="0015492D">
        <w:rPr>
          <w:rFonts w:cs="Segoe UI"/>
          <w:lang w:val="en-GB"/>
        </w:rPr>
        <w:t>M</w:t>
      </w:r>
      <w:r w:rsidR="00B50438">
        <w:rPr>
          <w:rFonts w:cs="Segoe UI"/>
          <w:lang w:val="en-GB"/>
        </w:rPr>
        <w:t>.</w:t>
      </w:r>
      <w:r w:rsidRPr="0015492D">
        <w:rPr>
          <w:rFonts w:cs="Segoe UI"/>
          <w:lang w:val="en-GB"/>
        </w:rPr>
        <w:t xml:space="preserve"> Radaelli  (2013)  Systematising</w:t>
      </w:r>
      <w:r w:rsidRPr="00B4289E">
        <w:rPr>
          <w:rFonts w:cs="Segoe UI"/>
          <w:lang w:val="en-GB"/>
        </w:rPr>
        <w:t xml:space="preserve"> Policy Learni</w:t>
      </w:r>
      <w:r>
        <w:rPr>
          <w:rFonts w:cs="Segoe UI"/>
          <w:lang w:val="en-GB"/>
        </w:rPr>
        <w:t>ng: From Monolith to Dimensions</w:t>
      </w:r>
      <w:r w:rsidR="00751557">
        <w:rPr>
          <w:rFonts w:cs="Segoe UI"/>
          <w:lang w:val="en-GB"/>
        </w:rPr>
        <w:t>.</w:t>
      </w:r>
      <w:r w:rsidRPr="00B4289E">
        <w:rPr>
          <w:rFonts w:cs="Segoe UI"/>
          <w:lang w:val="en-GB"/>
        </w:rPr>
        <w:t xml:space="preserve"> </w:t>
      </w:r>
      <w:r w:rsidRPr="00B4289E">
        <w:rPr>
          <w:rFonts w:cs="Segoe UI"/>
          <w:i/>
          <w:iCs/>
          <w:lang w:val="en-GB"/>
        </w:rPr>
        <w:t>Political Studies</w:t>
      </w:r>
      <w:r w:rsidRPr="00B4289E">
        <w:rPr>
          <w:rFonts w:cs="Segoe UI"/>
          <w:lang w:val="en-GB"/>
        </w:rPr>
        <w:t xml:space="preserve"> 61: 599-619.</w:t>
      </w:r>
    </w:p>
    <w:p w14:paraId="4E8D4F2B" w14:textId="426F4616" w:rsidR="00486C28" w:rsidRDefault="00486C28" w:rsidP="00F6442C">
      <w:pPr>
        <w:widowControl w:val="0"/>
        <w:autoSpaceDE w:val="0"/>
        <w:autoSpaceDN w:val="0"/>
        <w:adjustRightInd w:val="0"/>
        <w:ind w:left="720" w:right="-720" w:hanging="720"/>
        <w:rPr>
          <w:rFonts w:cs="Segoe UI"/>
          <w:lang w:val="en-GB"/>
        </w:rPr>
      </w:pPr>
      <w:r>
        <w:rPr>
          <w:rFonts w:cs="Segoe UI"/>
          <w:lang w:val="en-GB"/>
        </w:rPr>
        <w:t>Dunlop, C</w:t>
      </w:r>
      <w:r w:rsidR="00B50438">
        <w:rPr>
          <w:rFonts w:cs="Segoe UI"/>
          <w:lang w:val="en-GB"/>
        </w:rPr>
        <w:t>.</w:t>
      </w:r>
      <w:r>
        <w:rPr>
          <w:rFonts w:cs="Segoe UI"/>
          <w:lang w:val="en-GB"/>
        </w:rPr>
        <w:t>A</w:t>
      </w:r>
      <w:r w:rsidR="00B50438">
        <w:rPr>
          <w:rFonts w:cs="Segoe UI"/>
          <w:lang w:val="en-GB"/>
        </w:rPr>
        <w:t>.</w:t>
      </w:r>
      <w:r>
        <w:rPr>
          <w:rFonts w:cs="Segoe UI"/>
          <w:lang w:val="en-GB"/>
        </w:rPr>
        <w:t xml:space="preserve"> and C</w:t>
      </w:r>
      <w:r w:rsidR="00B50438">
        <w:rPr>
          <w:rFonts w:cs="Segoe UI"/>
          <w:lang w:val="en-GB"/>
        </w:rPr>
        <w:t>.</w:t>
      </w:r>
      <w:r>
        <w:rPr>
          <w:rFonts w:cs="Segoe UI"/>
          <w:lang w:val="en-GB"/>
        </w:rPr>
        <w:t>M</w:t>
      </w:r>
      <w:r w:rsidR="00B50438">
        <w:rPr>
          <w:rFonts w:cs="Segoe UI"/>
          <w:lang w:val="en-GB"/>
        </w:rPr>
        <w:t>.</w:t>
      </w:r>
      <w:r>
        <w:rPr>
          <w:rFonts w:cs="Segoe UI"/>
          <w:lang w:val="en-GB"/>
        </w:rPr>
        <w:t xml:space="preserve"> Radaelli (2017</w:t>
      </w:r>
      <w:r w:rsidR="00F6442C" w:rsidRPr="00B4289E">
        <w:rPr>
          <w:rFonts w:cs="Segoe UI"/>
          <w:lang w:val="en-GB"/>
        </w:rPr>
        <w:t>) Learning in the bath-tub</w:t>
      </w:r>
      <w:r>
        <w:rPr>
          <w:rFonts w:cs="Segoe UI"/>
          <w:lang w:val="en-GB"/>
        </w:rPr>
        <w:t>: The micro and macro dimensions of the causal relationship between learning and policy cha</w:t>
      </w:r>
      <w:r w:rsidR="00751557">
        <w:rPr>
          <w:rFonts w:cs="Segoe UI"/>
          <w:lang w:val="en-GB"/>
        </w:rPr>
        <w:t>nge.</w:t>
      </w:r>
      <w:r>
        <w:rPr>
          <w:rFonts w:cs="Segoe UI"/>
          <w:lang w:val="en-GB"/>
        </w:rPr>
        <w:t xml:space="preserve"> </w:t>
      </w:r>
      <w:r w:rsidRPr="00751557">
        <w:rPr>
          <w:rFonts w:cs="Segoe UI"/>
          <w:i/>
          <w:lang w:val="en-GB"/>
        </w:rPr>
        <w:t>Policy and Society</w:t>
      </w:r>
      <w:r w:rsidR="00BD684C">
        <w:rPr>
          <w:rFonts w:cs="Segoe UI"/>
          <w:lang w:val="en-GB"/>
        </w:rPr>
        <w:t xml:space="preserve"> </w:t>
      </w:r>
      <w:r>
        <w:rPr>
          <w:rFonts w:cs="Segoe UI"/>
          <w:lang w:val="en-GB"/>
        </w:rPr>
        <w:t>36(2):304-319.</w:t>
      </w:r>
    </w:p>
    <w:p w14:paraId="2A1DE52D" w14:textId="77777777" w:rsidR="00F6442C" w:rsidRDefault="00F6442C" w:rsidP="00F6442C">
      <w:pPr>
        <w:widowControl w:val="0"/>
        <w:autoSpaceDE w:val="0"/>
        <w:autoSpaceDN w:val="0"/>
        <w:adjustRightInd w:val="0"/>
        <w:ind w:left="720" w:right="-720" w:hanging="720"/>
        <w:rPr>
          <w:rFonts w:cs="Helvetica"/>
        </w:rPr>
      </w:pPr>
      <w:r w:rsidRPr="00B4289E">
        <w:rPr>
          <w:rFonts w:cs="Helvetica"/>
        </w:rPr>
        <w:t>European Commission (2002) Action Plan for Better Regulation. COM(2002)278. 5 June 2002.</w:t>
      </w:r>
    </w:p>
    <w:p w14:paraId="201A4923" w14:textId="14393073" w:rsidR="002835EC" w:rsidRPr="0071425A" w:rsidRDefault="002835EC" w:rsidP="00F6442C">
      <w:pPr>
        <w:widowControl w:val="0"/>
        <w:autoSpaceDE w:val="0"/>
        <w:autoSpaceDN w:val="0"/>
        <w:adjustRightInd w:val="0"/>
        <w:ind w:left="720" w:right="-720" w:hanging="720"/>
        <w:rPr>
          <w:rFonts w:cs="Segoe UI"/>
          <w:lang w:val="en-GB"/>
        </w:rPr>
      </w:pPr>
      <w:r>
        <w:rPr>
          <w:rFonts w:cs="Helvetica"/>
        </w:rPr>
        <w:t xml:space="preserve">Fazekas, M. (2017) Red tape, bribery and government favouritism: Evidence from Europe. </w:t>
      </w:r>
      <w:r w:rsidRPr="002835EC">
        <w:rPr>
          <w:rFonts w:cs="Helvetica"/>
          <w:i/>
        </w:rPr>
        <w:t>Crime, Law and Social Change</w:t>
      </w:r>
      <w:r>
        <w:rPr>
          <w:rFonts w:cs="Helvetica"/>
        </w:rPr>
        <w:t xml:space="preserve"> 68(4): 403-429.</w:t>
      </w:r>
    </w:p>
    <w:p w14:paraId="084E3725" w14:textId="6539C8DD" w:rsidR="00F6442C" w:rsidRDefault="00F6442C" w:rsidP="00F6442C">
      <w:pPr>
        <w:widowControl w:val="0"/>
        <w:autoSpaceDE w:val="0"/>
        <w:autoSpaceDN w:val="0"/>
        <w:adjustRightInd w:val="0"/>
        <w:ind w:left="720" w:right="-720" w:hanging="720"/>
        <w:rPr>
          <w:rFonts w:cs="Helvetica"/>
        </w:rPr>
      </w:pPr>
      <w:r>
        <w:rPr>
          <w:rFonts w:cs="Helvetica"/>
        </w:rPr>
        <w:t>Freeman, R</w:t>
      </w:r>
      <w:r w:rsidR="00B50438">
        <w:rPr>
          <w:rFonts w:cs="Helvetica"/>
        </w:rPr>
        <w:t>.</w:t>
      </w:r>
      <w:r w:rsidR="00751557">
        <w:rPr>
          <w:rFonts w:cs="Helvetica"/>
        </w:rPr>
        <w:t xml:space="preserve"> (2006) </w:t>
      </w:r>
      <w:r>
        <w:rPr>
          <w:rFonts w:cs="Helvetica"/>
        </w:rPr>
        <w:t>Learning in Public Policy.</w:t>
      </w:r>
      <w:r w:rsidRPr="00B4289E">
        <w:rPr>
          <w:rFonts w:cs="Helvetica"/>
        </w:rPr>
        <w:t xml:space="preserve">  In </w:t>
      </w:r>
      <w:r w:rsidRPr="00B4289E">
        <w:rPr>
          <w:rFonts w:cs="Helvetica"/>
          <w:i/>
          <w:iCs/>
        </w:rPr>
        <w:t>Oxford Handbook of Public Policy</w:t>
      </w:r>
      <w:r w:rsidRPr="00B4289E">
        <w:rPr>
          <w:rFonts w:cs="Helvetica"/>
        </w:rPr>
        <w:t>, eds.  M. Moran, M.  Rein and R.E.  Goodin.  Oxford: Oxford University Press.</w:t>
      </w:r>
    </w:p>
    <w:p w14:paraId="7243DA4F" w14:textId="08E98D52" w:rsidR="00F6442C" w:rsidRDefault="00F6442C" w:rsidP="00F6442C">
      <w:pPr>
        <w:widowControl w:val="0"/>
        <w:autoSpaceDE w:val="0"/>
        <w:autoSpaceDN w:val="0"/>
        <w:adjustRightInd w:val="0"/>
        <w:ind w:left="720" w:right="-720" w:hanging="720"/>
        <w:rPr>
          <w:rFonts w:cs="Helvetica"/>
        </w:rPr>
      </w:pPr>
      <w:r w:rsidRPr="00B4289E">
        <w:rPr>
          <w:rFonts w:cs="Helvetica"/>
        </w:rPr>
        <w:lastRenderedPageBreak/>
        <w:t>Grek, S</w:t>
      </w:r>
      <w:r w:rsidR="00B50438">
        <w:rPr>
          <w:rFonts w:cs="Helvetica"/>
        </w:rPr>
        <w:t>.</w:t>
      </w:r>
      <w:r w:rsidRPr="00B4289E">
        <w:rPr>
          <w:rFonts w:cs="Helvetica"/>
        </w:rPr>
        <w:t xml:space="preserve"> (2013) </w:t>
      </w:r>
      <w:r w:rsidRPr="0071425A">
        <w:rPr>
          <w:rFonts w:cs="Helvetica"/>
          <w:iCs/>
        </w:rPr>
        <w:t>Expert moves: International comparative testing and the rise of expertocracy</w:t>
      </w:r>
      <w:r w:rsidR="00D51AD0">
        <w:rPr>
          <w:rFonts w:cs="Helvetica"/>
        </w:rPr>
        <w:t>.</w:t>
      </w:r>
      <w:r w:rsidRPr="00B4289E">
        <w:rPr>
          <w:rFonts w:cs="Helvetica"/>
        </w:rPr>
        <w:t xml:space="preserve"> </w:t>
      </w:r>
      <w:r w:rsidRPr="00B4289E">
        <w:rPr>
          <w:rFonts w:cs="Helvetica"/>
          <w:i/>
        </w:rPr>
        <w:t>Journal of Education Policy</w:t>
      </w:r>
      <w:r w:rsidRPr="00B4289E">
        <w:rPr>
          <w:rFonts w:cs="Helvetica"/>
        </w:rPr>
        <w:t xml:space="preserve"> 28, 5:695-709.</w:t>
      </w:r>
    </w:p>
    <w:p w14:paraId="55BF6057" w14:textId="3C9A9A5C" w:rsidR="00726C6A" w:rsidRPr="00B4289E" w:rsidRDefault="00726C6A" w:rsidP="00F6442C">
      <w:pPr>
        <w:widowControl w:val="0"/>
        <w:autoSpaceDE w:val="0"/>
        <w:autoSpaceDN w:val="0"/>
        <w:adjustRightInd w:val="0"/>
        <w:ind w:left="720" w:right="-720" w:hanging="720"/>
        <w:rPr>
          <w:rFonts w:cs="Helvetica"/>
        </w:rPr>
      </w:pPr>
      <w:r>
        <w:rPr>
          <w:rFonts w:cs="Helvetica"/>
        </w:rPr>
        <w:t xml:space="preserve">Hadjiisky, M., L. Pal and C. Walker (2017) (Eds.) </w:t>
      </w:r>
      <w:r w:rsidRPr="00726C6A">
        <w:rPr>
          <w:rFonts w:cs="Helvetica"/>
          <w:i/>
        </w:rPr>
        <w:t>Public Policy Transfer: Micro-Dynamics and Macro-Effects</w:t>
      </w:r>
      <w:r w:rsidR="005071A8">
        <w:rPr>
          <w:rFonts w:cs="Helvetica"/>
        </w:rPr>
        <w:t>.</w:t>
      </w:r>
      <w:r>
        <w:rPr>
          <w:rFonts w:cs="Helvetica"/>
        </w:rPr>
        <w:t xml:space="preserve"> </w:t>
      </w:r>
      <w:r w:rsidR="005071A8" w:rsidRPr="00D51AD0">
        <w:rPr>
          <w:rFonts w:cs="Helvetica"/>
        </w:rPr>
        <w:t xml:space="preserve">Cheltenham: </w:t>
      </w:r>
      <w:r>
        <w:rPr>
          <w:rFonts w:cs="Helvetica"/>
        </w:rPr>
        <w:t>Elgar.</w:t>
      </w:r>
    </w:p>
    <w:p w14:paraId="301AF605" w14:textId="02DF2722" w:rsidR="00F6442C" w:rsidRPr="00B4289E" w:rsidRDefault="00F6442C" w:rsidP="00F6442C">
      <w:pPr>
        <w:widowControl w:val="0"/>
        <w:autoSpaceDE w:val="0"/>
        <w:autoSpaceDN w:val="0"/>
        <w:adjustRightInd w:val="0"/>
        <w:ind w:left="720" w:right="-720" w:hanging="720"/>
        <w:rPr>
          <w:rFonts w:cs="Helvetica"/>
        </w:rPr>
      </w:pPr>
      <w:r w:rsidRPr="00B4289E">
        <w:rPr>
          <w:rFonts w:cs="Helvetica"/>
        </w:rPr>
        <w:t>Hansen, H</w:t>
      </w:r>
      <w:r w:rsidR="00B50438">
        <w:rPr>
          <w:rFonts w:cs="Helvetica"/>
        </w:rPr>
        <w:t>.</w:t>
      </w:r>
      <w:r w:rsidRPr="00B4289E">
        <w:rPr>
          <w:rFonts w:cs="Helvetica"/>
        </w:rPr>
        <w:t xml:space="preserve">  (2012)</w:t>
      </w:r>
      <w:r w:rsidR="004E5788">
        <w:rPr>
          <w:rFonts w:cs="Helvetica"/>
        </w:rPr>
        <w:t xml:space="preserve"> </w:t>
      </w:r>
      <w:r w:rsidRPr="00B4289E">
        <w:rPr>
          <w:rFonts w:cs="Helvetica"/>
        </w:rPr>
        <w:t>The Power of Performance Indices in the Glob</w:t>
      </w:r>
      <w:r>
        <w:rPr>
          <w:rFonts w:cs="Helvetica"/>
        </w:rPr>
        <w:t>al Politics of Anti-Corruption.</w:t>
      </w:r>
      <w:r w:rsidRPr="00B4289E">
        <w:rPr>
          <w:rFonts w:cs="Helvetica"/>
        </w:rPr>
        <w:t xml:space="preserve">  </w:t>
      </w:r>
      <w:r w:rsidRPr="00B4289E">
        <w:rPr>
          <w:rFonts w:cs="Helvetica"/>
          <w:i/>
          <w:iCs/>
        </w:rPr>
        <w:t>Journal of International Relations and Development</w:t>
      </w:r>
      <w:r w:rsidRPr="00B4289E">
        <w:rPr>
          <w:rFonts w:cs="Helvetica"/>
        </w:rPr>
        <w:t xml:space="preserve"> 15: 506-31.</w:t>
      </w:r>
    </w:p>
    <w:p w14:paraId="155CF842" w14:textId="2F52CE5B" w:rsidR="00F6442C" w:rsidRPr="00B97A4E" w:rsidRDefault="00F6442C" w:rsidP="00F6442C">
      <w:pPr>
        <w:widowControl w:val="0"/>
        <w:autoSpaceDE w:val="0"/>
        <w:autoSpaceDN w:val="0"/>
        <w:adjustRightInd w:val="0"/>
        <w:ind w:left="720" w:right="-720" w:hanging="720"/>
        <w:rPr>
          <w:rFonts w:cs="Helvetica"/>
        </w:rPr>
      </w:pPr>
      <w:r w:rsidRPr="00B4289E">
        <w:rPr>
          <w:rFonts w:cs="Helvetica"/>
        </w:rPr>
        <w:t>Hansen, H</w:t>
      </w:r>
      <w:r w:rsidR="00B50438">
        <w:rPr>
          <w:rFonts w:cs="Helvetica"/>
        </w:rPr>
        <w:t>.</w:t>
      </w:r>
      <w:r w:rsidRPr="00B4289E">
        <w:rPr>
          <w:rFonts w:cs="Helvetica"/>
        </w:rPr>
        <w:t>, and T</w:t>
      </w:r>
      <w:r w:rsidR="00B50438">
        <w:rPr>
          <w:rFonts w:cs="Helvetica"/>
        </w:rPr>
        <w:t>.</w:t>
      </w:r>
      <w:r w:rsidRPr="00B4289E">
        <w:rPr>
          <w:rFonts w:cs="Helvetica"/>
        </w:rPr>
        <w:t xml:space="preserve"> Porter  (2012)</w:t>
      </w:r>
      <w:r w:rsidR="004E5788">
        <w:rPr>
          <w:rFonts w:cs="Helvetica"/>
        </w:rPr>
        <w:t xml:space="preserve"> </w:t>
      </w:r>
      <w:r w:rsidRPr="00B4289E">
        <w:rPr>
          <w:rFonts w:cs="Helvetica"/>
        </w:rPr>
        <w:t xml:space="preserve">What Do Numbers </w:t>
      </w:r>
      <w:r>
        <w:rPr>
          <w:rFonts w:cs="Helvetica"/>
        </w:rPr>
        <w:t>Do in Transnational Gov</w:t>
      </w:r>
      <w:r w:rsidRPr="00B97A4E">
        <w:rPr>
          <w:rFonts w:cs="Helvetica"/>
        </w:rPr>
        <w:t xml:space="preserve">ernance?.  </w:t>
      </w:r>
      <w:r w:rsidRPr="00B97A4E">
        <w:rPr>
          <w:rFonts w:cs="Helvetica"/>
          <w:i/>
          <w:iCs/>
        </w:rPr>
        <w:t>International Political Sociology</w:t>
      </w:r>
      <w:r w:rsidRPr="00B97A4E">
        <w:rPr>
          <w:rFonts w:cs="Helvetica"/>
        </w:rPr>
        <w:t xml:space="preserve"> 6: 409-26.</w:t>
      </w:r>
    </w:p>
    <w:p w14:paraId="45307DAA" w14:textId="0DB6B06D" w:rsidR="00B97A4E" w:rsidRPr="00D51AD0" w:rsidRDefault="00B97A4E" w:rsidP="00B97A4E">
      <w:pPr>
        <w:widowControl w:val="0"/>
        <w:autoSpaceDE w:val="0"/>
        <w:autoSpaceDN w:val="0"/>
        <w:adjustRightInd w:val="0"/>
        <w:ind w:left="720" w:right="-720" w:hanging="720"/>
        <w:rPr>
          <w:rFonts w:cs="Helvetica"/>
        </w:rPr>
      </w:pPr>
      <w:r w:rsidRPr="00B97A4E">
        <w:rPr>
          <w:rFonts w:cs="Helvetica"/>
        </w:rPr>
        <w:t>Helm, D</w:t>
      </w:r>
      <w:r w:rsidR="00B50438">
        <w:rPr>
          <w:rFonts w:cs="Helvetica"/>
        </w:rPr>
        <w:t>.</w:t>
      </w:r>
      <w:r w:rsidRPr="00B97A4E">
        <w:rPr>
          <w:rFonts w:cs="Helvetica"/>
        </w:rPr>
        <w:t xml:space="preserve">  (2006) Regulatory </w:t>
      </w:r>
      <w:r w:rsidRPr="00D51AD0">
        <w:rPr>
          <w:rFonts w:cs="Helvetica"/>
        </w:rPr>
        <w:t xml:space="preserve">Reform, Capture, and the Regulatory Burden. </w:t>
      </w:r>
      <w:r w:rsidRPr="00D51AD0">
        <w:rPr>
          <w:rFonts w:cs="Helvetica"/>
          <w:i/>
          <w:iCs/>
        </w:rPr>
        <w:t>Oxford Review of Economic Policy</w:t>
      </w:r>
      <w:r w:rsidRPr="00D51AD0">
        <w:rPr>
          <w:rFonts w:cs="Helvetica"/>
        </w:rPr>
        <w:t xml:space="preserve"> 22: 169-85.</w:t>
      </w:r>
    </w:p>
    <w:p w14:paraId="597DC719" w14:textId="38A57BD3" w:rsidR="00D51AD0" w:rsidRPr="00D51AD0" w:rsidRDefault="00B50438" w:rsidP="00D51AD0">
      <w:pPr>
        <w:autoSpaceDE w:val="0"/>
        <w:autoSpaceDN w:val="0"/>
        <w:adjustRightInd w:val="0"/>
        <w:ind w:left="720" w:hanging="720"/>
        <w:rPr>
          <w:rFonts w:cs="Segoe UI"/>
          <w:lang w:val="en-GB"/>
        </w:rPr>
      </w:pPr>
      <w:r>
        <w:rPr>
          <w:rFonts w:cs="Segoe UI"/>
          <w:lang w:val="en-GB"/>
        </w:rPr>
        <w:t>Huber, G.</w:t>
      </w:r>
      <w:r w:rsidR="00D51AD0" w:rsidRPr="00D51AD0">
        <w:rPr>
          <w:rFonts w:cs="Segoe UI"/>
          <w:lang w:val="en-GB"/>
        </w:rPr>
        <w:t xml:space="preserve"> P.  (1991)  Organizational Learning: The Contributing Processes and the Literatures. </w:t>
      </w:r>
      <w:r w:rsidR="00D51AD0" w:rsidRPr="00D51AD0">
        <w:rPr>
          <w:rFonts w:cs="Segoe UI"/>
          <w:i/>
          <w:iCs/>
          <w:lang w:val="en-GB"/>
        </w:rPr>
        <w:t>Organization Science</w:t>
      </w:r>
      <w:r w:rsidR="00D51AD0">
        <w:rPr>
          <w:rFonts w:cs="Segoe UI"/>
          <w:lang w:val="en-GB"/>
        </w:rPr>
        <w:t xml:space="preserve"> 2: 88-115.</w:t>
      </w:r>
    </w:p>
    <w:p w14:paraId="2AACB8AC" w14:textId="78A235E9" w:rsidR="00F6442C" w:rsidRPr="00D51AD0" w:rsidRDefault="00F6442C" w:rsidP="00F6442C">
      <w:pPr>
        <w:widowControl w:val="0"/>
        <w:autoSpaceDE w:val="0"/>
        <w:autoSpaceDN w:val="0"/>
        <w:adjustRightInd w:val="0"/>
        <w:ind w:left="720" w:right="-720" w:hanging="720"/>
        <w:rPr>
          <w:rFonts w:cs="Helvetica"/>
        </w:rPr>
      </w:pPr>
      <w:r w:rsidRPr="00D51AD0">
        <w:rPr>
          <w:rFonts w:cs="Helvetica"/>
        </w:rPr>
        <w:t xml:space="preserve">Italian, Irish and Dutch Presidencies of the EU. </w:t>
      </w:r>
      <w:r w:rsidR="000D3F97" w:rsidRPr="00D51AD0">
        <w:rPr>
          <w:rFonts w:cs="Helvetica"/>
        </w:rPr>
        <w:t>(</w:t>
      </w:r>
      <w:r w:rsidRPr="00D51AD0">
        <w:rPr>
          <w:rFonts w:cs="Helvetica"/>
        </w:rPr>
        <w:t>2004</w:t>
      </w:r>
      <w:r w:rsidR="000D3F97" w:rsidRPr="00D51AD0">
        <w:rPr>
          <w:rFonts w:cs="Helvetica"/>
        </w:rPr>
        <w:t>)</w:t>
      </w:r>
      <w:r w:rsidRPr="00D51AD0">
        <w:rPr>
          <w:rFonts w:cs="Helvetica"/>
        </w:rPr>
        <w:t xml:space="preserve"> A comparative analysis of regulatory impact assessment in ten EU countries. A report for the EU Directors of Better Regulation group. Dublin, May 2004.</w:t>
      </w:r>
    </w:p>
    <w:p w14:paraId="3F3556E8" w14:textId="5A6D7FF9" w:rsidR="00F6442C" w:rsidRPr="00D51AD0" w:rsidRDefault="00F6442C" w:rsidP="00F6442C">
      <w:pPr>
        <w:widowControl w:val="0"/>
        <w:autoSpaceDE w:val="0"/>
        <w:autoSpaceDN w:val="0"/>
        <w:adjustRightInd w:val="0"/>
        <w:ind w:left="720" w:right="-720" w:hanging="720"/>
        <w:rPr>
          <w:rFonts w:cs="Helvetica"/>
        </w:rPr>
      </w:pPr>
      <w:r w:rsidRPr="00D51AD0">
        <w:rPr>
          <w:rFonts w:cs="Helvetica"/>
        </w:rPr>
        <w:t>Jordan, A</w:t>
      </w:r>
      <w:r w:rsidR="00B50438">
        <w:rPr>
          <w:rFonts w:cs="Helvetica"/>
        </w:rPr>
        <w:t>.</w:t>
      </w:r>
      <w:r w:rsidRPr="00D51AD0">
        <w:rPr>
          <w:rFonts w:cs="Helvetica"/>
        </w:rPr>
        <w:t xml:space="preserve"> and J</w:t>
      </w:r>
      <w:r w:rsidR="00B50438">
        <w:rPr>
          <w:rFonts w:cs="Helvetica"/>
        </w:rPr>
        <w:t>.</w:t>
      </w:r>
      <w:r w:rsidRPr="00D51AD0">
        <w:rPr>
          <w:rFonts w:cs="Helvetica"/>
        </w:rPr>
        <w:t xml:space="preserve"> Turnpenny  (2015) (Eds.)  </w:t>
      </w:r>
      <w:r w:rsidRPr="00D51AD0">
        <w:rPr>
          <w:rFonts w:cs="Helvetica"/>
          <w:i/>
        </w:rPr>
        <w:t xml:space="preserve">The Tools of Policy Formulation: Actors, Capacities, Venues and Effects.  </w:t>
      </w:r>
      <w:r w:rsidRPr="00D51AD0">
        <w:rPr>
          <w:rFonts w:cs="Helvetica"/>
        </w:rPr>
        <w:t xml:space="preserve">Cheltenham: Elgar.  </w:t>
      </w:r>
    </w:p>
    <w:p w14:paraId="4F79327A" w14:textId="419A510C" w:rsidR="00D51AD0" w:rsidRPr="00D51AD0" w:rsidRDefault="00D51AD0" w:rsidP="00D51AD0">
      <w:pPr>
        <w:autoSpaceDE w:val="0"/>
        <w:autoSpaceDN w:val="0"/>
        <w:adjustRightInd w:val="0"/>
        <w:ind w:left="720" w:hanging="720"/>
        <w:rPr>
          <w:rFonts w:cs="Segoe UI"/>
          <w:lang w:val="en-GB"/>
        </w:rPr>
      </w:pPr>
      <w:r w:rsidRPr="00D51AD0">
        <w:rPr>
          <w:rFonts w:cs="Segoe UI"/>
          <w:lang w:val="en-GB"/>
        </w:rPr>
        <w:t>Kamkhaji, J</w:t>
      </w:r>
      <w:r w:rsidR="00B50438">
        <w:rPr>
          <w:rFonts w:cs="Segoe UI"/>
          <w:lang w:val="en-GB"/>
        </w:rPr>
        <w:t>. and C.</w:t>
      </w:r>
      <w:r w:rsidRPr="00D51AD0">
        <w:rPr>
          <w:rFonts w:cs="Segoe UI"/>
          <w:lang w:val="en-GB"/>
        </w:rPr>
        <w:t xml:space="preserve">M. Radaelli (2017)  Crisis, Learning and Policy Change in the European Union.  </w:t>
      </w:r>
      <w:r w:rsidRPr="00D51AD0">
        <w:rPr>
          <w:rFonts w:cs="Segoe UI"/>
          <w:i/>
          <w:iCs/>
          <w:lang w:val="en-GB"/>
        </w:rPr>
        <w:t>Journal of European Public Policy</w:t>
      </w:r>
      <w:r w:rsidRPr="00D51AD0">
        <w:rPr>
          <w:rFonts w:cs="Segoe UI"/>
          <w:lang w:val="en-GB"/>
        </w:rPr>
        <w:t xml:space="preserve"> 24: 714-34.</w:t>
      </w:r>
    </w:p>
    <w:p w14:paraId="3711F925" w14:textId="506B8A5E" w:rsidR="000F1415" w:rsidRDefault="000F1415" w:rsidP="00F6442C">
      <w:pPr>
        <w:widowControl w:val="0"/>
        <w:autoSpaceDE w:val="0"/>
        <w:autoSpaceDN w:val="0"/>
        <w:adjustRightInd w:val="0"/>
        <w:ind w:left="720" w:right="-720" w:hanging="720"/>
        <w:rPr>
          <w:rFonts w:cs="Helvetica"/>
        </w:rPr>
      </w:pPr>
      <w:r>
        <w:rPr>
          <w:rFonts w:cs="Helvetica"/>
        </w:rPr>
        <w:t xml:space="preserve">Kelley, J. (2017) </w:t>
      </w:r>
      <w:r w:rsidR="003E0BBB">
        <w:rPr>
          <w:rFonts w:cs="Helvetica"/>
          <w:i/>
        </w:rPr>
        <w:t>Scorecard Diplomacy: Grading States to Influence their Reputation and B</w:t>
      </w:r>
      <w:r w:rsidRPr="000F1415">
        <w:rPr>
          <w:rFonts w:cs="Helvetica"/>
          <w:i/>
        </w:rPr>
        <w:t>ehavio</w:t>
      </w:r>
      <w:r>
        <w:rPr>
          <w:rFonts w:cs="Helvetica"/>
        </w:rPr>
        <w:t>r, Cambridge University Press.</w:t>
      </w:r>
    </w:p>
    <w:p w14:paraId="19A83E3C" w14:textId="7B08B00C" w:rsidR="000F1415" w:rsidRPr="000F1415" w:rsidRDefault="002205FB" w:rsidP="00F6442C">
      <w:pPr>
        <w:widowControl w:val="0"/>
        <w:autoSpaceDE w:val="0"/>
        <w:autoSpaceDN w:val="0"/>
        <w:adjustRightInd w:val="0"/>
        <w:ind w:left="720" w:right="-720" w:hanging="720"/>
        <w:rPr>
          <w:rFonts w:cs="Helvetica"/>
        </w:rPr>
      </w:pPr>
      <w:r w:rsidRPr="00D51AD0">
        <w:rPr>
          <w:rFonts w:cs="Helvetica"/>
        </w:rPr>
        <w:t>Kelley J</w:t>
      </w:r>
      <w:r w:rsidR="00B50438">
        <w:rPr>
          <w:rFonts w:cs="Helvetica"/>
        </w:rPr>
        <w:t>.</w:t>
      </w:r>
      <w:r w:rsidRPr="00D51AD0">
        <w:rPr>
          <w:rFonts w:cs="Helvetica"/>
        </w:rPr>
        <w:t xml:space="preserve"> and B</w:t>
      </w:r>
      <w:r w:rsidR="00B50438">
        <w:rPr>
          <w:rFonts w:cs="Helvetica"/>
        </w:rPr>
        <w:t>.</w:t>
      </w:r>
      <w:r w:rsidR="000F1415">
        <w:rPr>
          <w:rFonts w:cs="Helvetica"/>
        </w:rPr>
        <w:t xml:space="preserve"> Simmons (2016</w:t>
      </w:r>
      <w:r w:rsidRPr="00D51AD0">
        <w:rPr>
          <w:rFonts w:cs="Helvetica"/>
        </w:rPr>
        <w:t xml:space="preserve">) The power of ranking? The ease of doing business as </w:t>
      </w:r>
      <w:r w:rsidR="000F1415">
        <w:rPr>
          <w:rFonts w:cs="Helvetica"/>
        </w:rPr>
        <w:t>a form of social pressure</w:t>
      </w:r>
      <w:r w:rsidRPr="00D51AD0">
        <w:rPr>
          <w:rFonts w:cs="Helvetica"/>
        </w:rPr>
        <w:t xml:space="preserve">, </w:t>
      </w:r>
      <w:r w:rsidR="000F1415">
        <w:rPr>
          <w:rFonts w:cs="Helvetica"/>
          <w:i/>
        </w:rPr>
        <w:t>Conference on assessment power in world politics</w:t>
      </w:r>
      <w:r w:rsidR="000F1415">
        <w:rPr>
          <w:rFonts w:cs="Helvetica"/>
        </w:rPr>
        <w:t>, Cambridge, MA, 6-7 May.</w:t>
      </w:r>
    </w:p>
    <w:p w14:paraId="2CBE7229" w14:textId="6C45F2CD" w:rsidR="000D3F97" w:rsidRPr="00D51AD0" w:rsidRDefault="000D3F97" w:rsidP="00F6442C">
      <w:pPr>
        <w:widowControl w:val="0"/>
        <w:autoSpaceDE w:val="0"/>
        <w:autoSpaceDN w:val="0"/>
        <w:adjustRightInd w:val="0"/>
        <w:ind w:left="720" w:right="-720" w:hanging="720"/>
        <w:rPr>
          <w:rFonts w:cs="Helvetica"/>
        </w:rPr>
      </w:pPr>
      <w:r w:rsidRPr="00D51AD0">
        <w:rPr>
          <w:rFonts w:cs="Helvetica"/>
        </w:rPr>
        <w:t>Kellow, A</w:t>
      </w:r>
      <w:r w:rsidR="00B50438">
        <w:rPr>
          <w:rFonts w:cs="Helvetica"/>
        </w:rPr>
        <w:t>.</w:t>
      </w:r>
      <w:r w:rsidRPr="00D51AD0">
        <w:rPr>
          <w:rFonts w:cs="Helvetica"/>
        </w:rPr>
        <w:t xml:space="preserve"> and P</w:t>
      </w:r>
      <w:r w:rsidR="00B50438">
        <w:rPr>
          <w:rFonts w:cs="Helvetica"/>
        </w:rPr>
        <w:t>.</w:t>
      </w:r>
      <w:r w:rsidRPr="00D51AD0">
        <w:rPr>
          <w:rFonts w:cs="Helvetica"/>
        </w:rPr>
        <w:t xml:space="preserve"> Carroll (2013) Exploring the impact of international civil servants: The case of the OECD. </w:t>
      </w:r>
      <w:r w:rsidRPr="00D51AD0">
        <w:rPr>
          <w:rFonts w:cs="Helvetica"/>
          <w:i/>
        </w:rPr>
        <w:t>International Journal of Public Administration</w:t>
      </w:r>
      <w:r w:rsidRPr="00D51AD0">
        <w:rPr>
          <w:rFonts w:cs="Helvetica"/>
        </w:rPr>
        <w:t xml:space="preserve"> 36(7): 482-91.</w:t>
      </w:r>
    </w:p>
    <w:p w14:paraId="451C0C8C" w14:textId="438B638D" w:rsidR="005743BB" w:rsidRPr="00D51AD0" w:rsidRDefault="005743BB" w:rsidP="00F6442C">
      <w:pPr>
        <w:widowControl w:val="0"/>
        <w:autoSpaceDE w:val="0"/>
        <w:autoSpaceDN w:val="0"/>
        <w:adjustRightInd w:val="0"/>
        <w:ind w:left="720" w:right="-720" w:hanging="720"/>
        <w:rPr>
          <w:rFonts w:cs="Helvetica"/>
        </w:rPr>
      </w:pPr>
      <w:r w:rsidRPr="00D51AD0">
        <w:rPr>
          <w:rFonts w:cs="Helvetica"/>
        </w:rPr>
        <w:t>Majone, G</w:t>
      </w:r>
      <w:r w:rsidR="00B50438">
        <w:rPr>
          <w:rFonts w:cs="Helvetica"/>
        </w:rPr>
        <w:t>.</w:t>
      </w:r>
      <w:r w:rsidRPr="00D51AD0">
        <w:rPr>
          <w:rFonts w:cs="Helvetica"/>
        </w:rPr>
        <w:t>D</w:t>
      </w:r>
      <w:r w:rsidR="00B50438">
        <w:rPr>
          <w:rFonts w:cs="Helvetica"/>
        </w:rPr>
        <w:t xml:space="preserve">. </w:t>
      </w:r>
      <w:r w:rsidRPr="00D51AD0">
        <w:rPr>
          <w:rFonts w:cs="Helvetica"/>
        </w:rPr>
        <w:t xml:space="preserve">(1996) </w:t>
      </w:r>
      <w:r w:rsidRPr="00D51AD0">
        <w:rPr>
          <w:rFonts w:cs="Helvetica"/>
          <w:i/>
        </w:rPr>
        <w:t>Regulating Europe</w:t>
      </w:r>
      <w:r w:rsidRPr="00D51AD0">
        <w:rPr>
          <w:rFonts w:cs="Helvetica"/>
        </w:rPr>
        <w:t>, London, Routledge.</w:t>
      </w:r>
    </w:p>
    <w:p w14:paraId="1EA1D0FC" w14:textId="77777777" w:rsidR="00D51AD0" w:rsidRPr="00D51AD0" w:rsidRDefault="00F6442C" w:rsidP="00F6442C">
      <w:pPr>
        <w:widowControl w:val="0"/>
        <w:autoSpaceDE w:val="0"/>
        <w:autoSpaceDN w:val="0"/>
        <w:adjustRightInd w:val="0"/>
        <w:ind w:left="720" w:right="-720" w:hanging="720"/>
        <w:rPr>
          <w:rFonts w:cs="Helvetica"/>
        </w:rPr>
      </w:pPr>
      <w:r w:rsidRPr="00D51AD0">
        <w:rPr>
          <w:rFonts w:cs="Helvetica"/>
        </w:rPr>
        <w:t>Mandelkern Group on Better Regulation  (2001)</w:t>
      </w:r>
      <w:r w:rsidR="002205FB" w:rsidRPr="00D51AD0">
        <w:rPr>
          <w:rFonts w:cs="Helvetica"/>
        </w:rPr>
        <w:t xml:space="preserve">  Final Report.</w:t>
      </w:r>
      <w:r w:rsidRPr="00D51AD0">
        <w:rPr>
          <w:rFonts w:cs="Helvetica"/>
        </w:rPr>
        <w:t xml:space="preserve"> Brussels. </w:t>
      </w:r>
    </w:p>
    <w:p w14:paraId="36E5D1CF" w14:textId="165FF9F4" w:rsidR="00F6442C" w:rsidRPr="00D51AD0" w:rsidRDefault="00B50438" w:rsidP="00D51AD0">
      <w:pPr>
        <w:autoSpaceDE w:val="0"/>
        <w:autoSpaceDN w:val="0"/>
        <w:adjustRightInd w:val="0"/>
        <w:ind w:left="720" w:hanging="720"/>
        <w:rPr>
          <w:rFonts w:cs="Segoe UI"/>
          <w:lang w:val="en-GB"/>
        </w:rPr>
      </w:pPr>
      <w:r>
        <w:rPr>
          <w:rFonts w:cs="Segoe UI"/>
          <w:lang w:val="en-GB"/>
        </w:rPr>
        <w:t>March, J.G., and J.</w:t>
      </w:r>
      <w:r w:rsidR="00D51AD0" w:rsidRPr="00D51AD0">
        <w:rPr>
          <w:rFonts w:cs="Segoe UI"/>
          <w:lang w:val="en-GB"/>
        </w:rPr>
        <w:t xml:space="preserve">P. Olsen.  (1975) The Uncertainty of the Past: Organizational Learning under Ambiguity. </w:t>
      </w:r>
      <w:r w:rsidR="00D51AD0" w:rsidRPr="00D51AD0">
        <w:rPr>
          <w:rFonts w:cs="Segoe UI"/>
          <w:i/>
          <w:iCs/>
          <w:lang w:val="en-GB"/>
        </w:rPr>
        <w:t>European Journal of Political Research</w:t>
      </w:r>
      <w:r w:rsidR="00D51AD0">
        <w:rPr>
          <w:rFonts w:cs="Segoe UI"/>
          <w:lang w:val="en-GB"/>
        </w:rPr>
        <w:t xml:space="preserve"> 3: 147-71.</w:t>
      </w:r>
    </w:p>
    <w:p w14:paraId="1922E3A5" w14:textId="7B04D596" w:rsidR="00C4605D" w:rsidRPr="00D51AD0" w:rsidRDefault="00C4605D" w:rsidP="00F6442C">
      <w:pPr>
        <w:widowControl w:val="0"/>
        <w:autoSpaceDE w:val="0"/>
        <w:autoSpaceDN w:val="0"/>
        <w:adjustRightInd w:val="0"/>
        <w:ind w:left="720" w:right="-720" w:hanging="720"/>
        <w:rPr>
          <w:rFonts w:cs="Helvetica"/>
        </w:rPr>
      </w:pPr>
      <w:r w:rsidRPr="00D51AD0">
        <w:rPr>
          <w:rFonts w:cs="Helvetica"/>
        </w:rPr>
        <w:t>Marcussen, M</w:t>
      </w:r>
      <w:r w:rsidR="00B50438">
        <w:rPr>
          <w:rFonts w:cs="Helvetica"/>
        </w:rPr>
        <w:t>.</w:t>
      </w:r>
      <w:r w:rsidRPr="00D51AD0">
        <w:rPr>
          <w:rFonts w:cs="Helvetica"/>
        </w:rPr>
        <w:t xml:space="preserve"> (2004) Multilateral surveillance and the OECD: Playing the Game. In K. Armigeon and M. Beyler (Eds) </w:t>
      </w:r>
      <w:r w:rsidRPr="00D51AD0">
        <w:rPr>
          <w:rFonts w:cs="Helvetica"/>
          <w:i/>
        </w:rPr>
        <w:t>The OECD and European Welfare States</w:t>
      </w:r>
      <w:r w:rsidRPr="00D51AD0">
        <w:rPr>
          <w:rFonts w:cs="Helvetica"/>
        </w:rPr>
        <w:t>, Elgar, Cheltenham: 13-31.</w:t>
      </w:r>
    </w:p>
    <w:p w14:paraId="2E1098C2" w14:textId="4EEB15FA" w:rsidR="00F6442C" w:rsidRPr="00D51AD0" w:rsidRDefault="00F6442C" w:rsidP="00F6442C">
      <w:pPr>
        <w:widowControl w:val="0"/>
        <w:autoSpaceDE w:val="0"/>
        <w:autoSpaceDN w:val="0"/>
        <w:adjustRightInd w:val="0"/>
        <w:ind w:left="720" w:right="-720" w:hanging="720"/>
        <w:rPr>
          <w:rFonts w:cs="Helvetica"/>
        </w:rPr>
      </w:pPr>
      <w:r w:rsidRPr="00D51AD0">
        <w:rPr>
          <w:rFonts w:cs="Helvetica"/>
        </w:rPr>
        <w:t xml:space="preserve">OECD (1995)  </w:t>
      </w:r>
      <w:r w:rsidRPr="00D51AD0">
        <w:rPr>
          <w:rFonts w:cs="Helvetica"/>
          <w:i/>
          <w:iCs/>
        </w:rPr>
        <w:t>Recommendation of the Council of the OECD on Improving the Quality of Government Regulation</w:t>
      </w:r>
      <w:r w:rsidRPr="00D51AD0">
        <w:rPr>
          <w:rFonts w:cs="Helvetica"/>
        </w:rPr>
        <w:t>.  Paris: OECD.</w:t>
      </w:r>
    </w:p>
    <w:p w14:paraId="4DC12776" w14:textId="386844B5" w:rsidR="00F6442C" w:rsidRPr="00D51AD0" w:rsidRDefault="00B50438" w:rsidP="00F6442C">
      <w:pPr>
        <w:widowControl w:val="0"/>
        <w:autoSpaceDE w:val="0"/>
        <w:autoSpaceDN w:val="0"/>
        <w:adjustRightInd w:val="0"/>
        <w:ind w:left="720" w:right="-720" w:hanging="720"/>
        <w:rPr>
          <w:rFonts w:cs="Helvetica"/>
        </w:rPr>
      </w:pPr>
      <w:r>
        <w:rPr>
          <w:rFonts w:cs="Helvetica"/>
        </w:rPr>
        <w:t>OECD</w:t>
      </w:r>
      <w:r w:rsidR="00F6442C" w:rsidRPr="00D51AD0">
        <w:rPr>
          <w:rFonts w:cs="Helvetica"/>
        </w:rPr>
        <w:t xml:space="preserve"> (2002) </w:t>
      </w:r>
      <w:r w:rsidR="00F6442C" w:rsidRPr="00D51AD0">
        <w:rPr>
          <w:rFonts w:cs="Helvetica"/>
          <w:i/>
        </w:rPr>
        <w:t>Regulatory Policies in OECD Countries: From Interventionism to Regulatory Governance</w:t>
      </w:r>
      <w:r w:rsidR="00F6442C" w:rsidRPr="00D51AD0">
        <w:rPr>
          <w:rFonts w:cs="Helvetica"/>
        </w:rPr>
        <w:t>. Paris: OECD Publications.</w:t>
      </w:r>
    </w:p>
    <w:p w14:paraId="0613C3AB" w14:textId="325D17D6" w:rsidR="00F6442C" w:rsidRPr="00D51AD0" w:rsidRDefault="00B50438" w:rsidP="00F6442C">
      <w:pPr>
        <w:widowControl w:val="0"/>
        <w:autoSpaceDE w:val="0"/>
        <w:autoSpaceDN w:val="0"/>
        <w:adjustRightInd w:val="0"/>
        <w:ind w:left="720" w:right="-720" w:hanging="720"/>
        <w:rPr>
          <w:rFonts w:cs="Helvetica"/>
        </w:rPr>
      </w:pPr>
      <w:r>
        <w:rPr>
          <w:rFonts w:cs="Helvetica"/>
        </w:rPr>
        <w:t>OECD</w:t>
      </w:r>
      <w:r w:rsidR="00F6442C" w:rsidRPr="00D51AD0">
        <w:rPr>
          <w:rFonts w:cs="Helvetica"/>
        </w:rPr>
        <w:t xml:space="preserve"> (2014)</w:t>
      </w:r>
      <w:r>
        <w:rPr>
          <w:rFonts w:cs="Helvetica"/>
        </w:rPr>
        <w:t xml:space="preserve"> </w:t>
      </w:r>
      <w:r w:rsidR="00F6442C" w:rsidRPr="00D51AD0">
        <w:rPr>
          <w:rFonts w:cs="Helvetica"/>
          <w:i/>
        </w:rPr>
        <w:t>Framework for Regulatory Policy Evaluation</w:t>
      </w:r>
      <w:r w:rsidR="00F6442C" w:rsidRPr="00D51AD0">
        <w:rPr>
          <w:rFonts w:cs="Helvetica"/>
        </w:rPr>
        <w:t>. Paris: OECD Publications.</w:t>
      </w:r>
    </w:p>
    <w:p w14:paraId="3F463CE1" w14:textId="562E4C50" w:rsidR="00F6442C" w:rsidRPr="00D51AD0" w:rsidRDefault="00B50438" w:rsidP="00F6442C">
      <w:pPr>
        <w:widowControl w:val="0"/>
        <w:autoSpaceDE w:val="0"/>
        <w:autoSpaceDN w:val="0"/>
        <w:adjustRightInd w:val="0"/>
        <w:ind w:left="720" w:right="-720" w:hanging="720"/>
        <w:rPr>
          <w:rFonts w:cs="Helvetica"/>
        </w:rPr>
      </w:pPr>
      <w:r>
        <w:rPr>
          <w:rFonts w:cs="Helvetica"/>
        </w:rPr>
        <w:t>OECD</w:t>
      </w:r>
      <w:r w:rsidR="00F6442C" w:rsidRPr="00D51AD0">
        <w:rPr>
          <w:rFonts w:cs="Helvetica"/>
        </w:rPr>
        <w:t xml:space="preserve"> (2015a)</w:t>
      </w:r>
      <w:r>
        <w:rPr>
          <w:rFonts w:cs="Helvetica"/>
        </w:rPr>
        <w:t xml:space="preserve"> </w:t>
      </w:r>
      <w:r w:rsidR="00F6442C" w:rsidRPr="00D51AD0">
        <w:rPr>
          <w:rFonts w:cs="Helvetica"/>
          <w:i/>
          <w:iCs/>
        </w:rPr>
        <w:t>Regulatory Policy Outlook</w:t>
      </w:r>
      <w:r w:rsidR="00F6442C" w:rsidRPr="00D51AD0">
        <w:rPr>
          <w:rFonts w:cs="Helvetica"/>
        </w:rPr>
        <w:t>.  Paris: OECD Publications.</w:t>
      </w:r>
    </w:p>
    <w:p w14:paraId="049A61B4" w14:textId="1320B709" w:rsidR="00F6442C" w:rsidRPr="00D51AD0" w:rsidRDefault="00F6442C" w:rsidP="00F6442C">
      <w:pPr>
        <w:widowControl w:val="0"/>
        <w:autoSpaceDE w:val="0"/>
        <w:autoSpaceDN w:val="0"/>
        <w:adjustRightInd w:val="0"/>
        <w:ind w:left="720" w:right="-720" w:hanging="720"/>
        <w:rPr>
          <w:rFonts w:cs="Helvetica"/>
        </w:rPr>
      </w:pPr>
      <w:r w:rsidRPr="00D51AD0">
        <w:rPr>
          <w:rFonts w:cs="Helvetica"/>
        </w:rPr>
        <w:t xml:space="preserve">OECD (2015b) </w:t>
      </w:r>
      <w:r w:rsidRPr="00D51AD0">
        <w:rPr>
          <w:rFonts w:cs="Helvetica"/>
          <w:i/>
          <w:iCs/>
        </w:rPr>
        <w:t>Regulatory Policy in Perspective: A Reader's Companion to the Oecd Regulatory Policy Outlook</w:t>
      </w:r>
      <w:r w:rsidRPr="00D51AD0">
        <w:rPr>
          <w:rFonts w:cs="Helvetica"/>
        </w:rPr>
        <w:t>.  Paris: OECD Publications.</w:t>
      </w:r>
    </w:p>
    <w:p w14:paraId="31A2E153" w14:textId="3DB62F71" w:rsidR="00F6442C" w:rsidRPr="00D51AD0" w:rsidRDefault="00F6442C" w:rsidP="00F6442C">
      <w:pPr>
        <w:widowControl w:val="0"/>
        <w:autoSpaceDE w:val="0"/>
        <w:autoSpaceDN w:val="0"/>
        <w:adjustRightInd w:val="0"/>
        <w:ind w:left="720" w:right="-720" w:hanging="720"/>
        <w:rPr>
          <w:rFonts w:cs="Helvetica"/>
        </w:rPr>
      </w:pPr>
      <w:r w:rsidRPr="00D51AD0">
        <w:rPr>
          <w:rFonts w:cs="Helvetica"/>
        </w:rPr>
        <w:t>Pal, L</w:t>
      </w:r>
      <w:r w:rsidR="00B50438">
        <w:rPr>
          <w:rFonts w:cs="Helvetica"/>
        </w:rPr>
        <w:t>.</w:t>
      </w:r>
      <w:r w:rsidRPr="00D51AD0">
        <w:rPr>
          <w:rFonts w:cs="Helvetica"/>
        </w:rPr>
        <w:t xml:space="preserve"> (2012) </w:t>
      </w:r>
      <w:r w:rsidRPr="00D51AD0">
        <w:rPr>
          <w:rFonts w:cs="Helvetica"/>
          <w:i/>
        </w:rPr>
        <w:t>Frontiers of Governance: The OECD and Global Public Management Reform</w:t>
      </w:r>
      <w:r w:rsidRPr="00D51AD0">
        <w:rPr>
          <w:rFonts w:cs="Helvetica"/>
        </w:rPr>
        <w:t>. Palgrave Macmillan.</w:t>
      </w:r>
    </w:p>
    <w:p w14:paraId="50AB0A10" w14:textId="7B3E0F8C" w:rsidR="00F6442C" w:rsidRPr="00D51AD0" w:rsidRDefault="00F6442C" w:rsidP="00F6442C">
      <w:pPr>
        <w:widowControl w:val="0"/>
        <w:autoSpaceDE w:val="0"/>
        <w:autoSpaceDN w:val="0"/>
        <w:adjustRightInd w:val="0"/>
        <w:ind w:left="720" w:right="-720" w:hanging="720"/>
        <w:rPr>
          <w:rFonts w:cs="Helvetica"/>
        </w:rPr>
      </w:pPr>
      <w:r w:rsidRPr="00D51AD0">
        <w:rPr>
          <w:rFonts w:cs="Helvetica"/>
        </w:rPr>
        <w:t>Radaelli, C</w:t>
      </w:r>
      <w:r w:rsidR="00B50438">
        <w:rPr>
          <w:rFonts w:cs="Helvetica"/>
        </w:rPr>
        <w:t>.</w:t>
      </w:r>
      <w:r w:rsidRPr="00D51AD0">
        <w:rPr>
          <w:rFonts w:cs="Helvetica"/>
        </w:rPr>
        <w:t>M</w:t>
      </w:r>
      <w:r w:rsidR="00B50438">
        <w:rPr>
          <w:rFonts w:cs="Helvetica"/>
        </w:rPr>
        <w:t>.</w:t>
      </w:r>
      <w:r w:rsidRPr="00D51AD0">
        <w:rPr>
          <w:rFonts w:cs="Helvetica"/>
        </w:rPr>
        <w:t xml:space="preserve"> and F</w:t>
      </w:r>
      <w:r w:rsidR="00B50438">
        <w:rPr>
          <w:rFonts w:cs="Helvetica"/>
        </w:rPr>
        <w:t>.</w:t>
      </w:r>
      <w:r w:rsidRPr="00D51AD0">
        <w:rPr>
          <w:rFonts w:cs="Helvetica"/>
        </w:rPr>
        <w:t xml:space="preserve"> De Francesco  (2007) </w:t>
      </w:r>
      <w:r w:rsidRPr="00D51AD0">
        <w:rPr>
          <w:rFonts w:cs="Helvetica"/>
          <w:i/>
          <w:iCs/>
        </w:rPr>
        <w:t>Regulatory Quality in Europe: Concepts, Measures, and Policy Processes</w:t>
      </w:r>
      <w:r w:rsidRPr="00D51AD0">
        <w:rPr>
          <w:rFonts w:cs="Helvetica"/>
        </w:rPr>
        <w:t>.  Manchester: Manchester University Press.</w:t>
      </w:r>
    </w:p>
    <w:p w14:paraId="4CADEAA4" w14:textId="08557C22" w:rsidR="00F6442C" w:rsidRPr="00D51AD0" w:rsidRDefault="00B50438" w:rsidP="00F6442C">
      <w:pPr>
        <w:widowControl w:val="0"/>
        <w:autoSpaceDE w:val="0"/>
        <w:autoSpaceDN w:val="0"/>
        <w:adjustRightInd w:val="0"/>
        <w:ind w:left="720" w:right="-720" w:hanging="720"/>
        <w:rPr>
          <w:rFonts w:cs="Helvetica"/>
        </w:rPr>
      </w:pPr>
      <w:r>
        <w:rPr>
          <w:rFonts w:cs="Helvetica"/>
        </w:rPr>
        <w:t>Radaelli, C.M.</w:t>
      </w:r>
      <w:r w:rsidR="00F6442C" w:rsidRPr="00D51AD0">
        <w:rPr>
          <w:rFonts w:cs="Helvetica"/>
        </w:rPr>
        <w:t xml:space="preserve"> and O</w:t>
      </w:r>
      <w:r>
        <w:rPr>
          <w:rFonts w:cs="Helvetica"/>
        </w:rPr>
        <w:t>.</w:t>
      </w:r>
      <w:r w:rsidR="007D0BEC">
        <w:rPr>
          <w:rFonts w:cs="Helvetica"/>
        </w:rPr>
        <w:t xml:space="preserve"> </w:t>
      </w:r>
      <w:r w:rsidR="00F6442C" w:rsidRPr="00D51AD0">
        <w:rPr>
          <w:rFonts w:cs="Helvetica"/>
        </w:rPr>
        <w:t>Fritsch  (2012)  Measuring Regulatory Performance: Evaluating Regulatory Management Tools and Programmes. Oecd Expert Paper No. 2.  Paris: Oecd.</w:t>
      </w:r>
      <w:r w:rsidR="00F6442C" w:rsidRPr="00D51AD0">
        <w:t xml:space="preserve"> </w:t>
      </w:r>
      <w:r w:rsidR="00F6442C" w:rsidRPr="00D51AD0">
        <w:rPr>
          <w:rFonts w:cs="Helvetica"/>
        </w:rPr>
        <w:t>https://www.oecd.org/gov/regulatory-policy/2_Radaelli%20web.pdf</w:t>
      </w:r>
    </w:p>
    <w:p w14:paraId="0D7C5EAE" w14:textId="30903427" w:rsidR="00592B6D" w:rsidRPr="00D51AD0" w:rsidRDefault="00592B6D" w:rsidP="00F6442C">
      <w:pPr>
        <w:pStyle w:val="Bibliography3"/>
        <w:spacing w:after="0"/>
        <w:jc w:val="both"/>
        <w:rPr>
          <w:rFonts w:asciiTheme="minorHAnsi" w:hAnsiTheme="minorHAnsi" w:cstheme="minorHAnsi"/>
          <w:szCs w:val="24"/>
        </w:rPr>
      </w:pPr>
      <w:r w:rsidRPr="00D51AD0">
        <w:rPr>
          <w:rFonts w:asciiTheme="minorHAnsi" w:hAnsiTheme="minorHAnsi" w:cstheme="minorHAnsi"/>
          <w:szCs w:val="24"/>
        </w:rPr>
        <w:lastRenderedPageBreak/>
        <w:t>Renda A</w:t>
      </w:r>
      <w:r w:rsidR="00B50438">
        <w:rPr>
          <w:rFonts w:asciiTheme="minorHAnsi" w:hAnsiTheme="minorHAnsi" w:cstheme="minorHAnsi"/>
          <w:szCs w:val="24"/>
        </w:rPr>
        <w:t>.</w:t>
      </w:r>
      <w:r w:rsidRPr="00D51AD0">
        <w:rPr>
          <w:rFonts w:asciiTheme="minorHAnsi" w:hAnsiTheme="minorHAnsi" w:cstheme="minorHAnsi"/>
          <w:szCs w:val="24"/>
        </w:rPr>
        <w:t xml:space="preserve"> (2006) </w:t>
      </w:r>
      <w:r w:rsidRPr="00D51AD0">
        <w:rPr>
          <w:rFonts w:asciiTheme="minorHAnsi" w:hAnsiTheme="minorHAnsi" w:cstheme="minorHAnsi"/>
          <w:i/>
          <w:szCs w:val="24"/>
        </w:rPr>
        <w:t>Impact assessment in the EU: the state of the art and the art of the state</w:t>
      </w:r>
      <w:r w:rsidRPr="00D51AD0">
        <w:rPr>
          <w:rFonts w:asciiTheme="minorHAnsi" w:hAnsiTheme="minorHAnsi" w:cstheme="minorHAnsi"/>
          <w:szCs w:val="24"/>
        </w:rPr>
        <w:t>. Brussels: Ceps publications.</w:t>
      </w:r>
    </w:p>
    <w:p w14:paraId="470F85D2" w14:textId="272D8FF1" w:rsidR="00F6442C" w:rsidRPr="00D51AD0" w:rsidRDefault="00F6442C" w:rsidP="00F6442C">
      <w:pPr>
        <w:pStyle w:val="Bibliography3"/>
        <w:spacing w:after="0"/>
        <w:jc w:val="both"/>
        <w:rPr>
          <w:rFonts w:asciiTheme="minorHAnsi" w:hAnsiTheme="minorHAnsi" w:cstheme="minorHAnsi"/>
          <w:szCs w:val="24"/>
        </w:rPr>
      </w:pPr>
      <w:r w:rsidRPr="00D51AD0">
        <w:rPr>
          <w:rFonts w:asciiTheme="minorHAnsi" w:hAnsiTheme="minorHAnsi" w:cstheme="minorHAnsi"/>
          <w:szCs w:val="24"/>
        </w:rPr>
        <w:t>Risse, T</w:t>
      </w:r>
      <w:r w:rsidR="00B50438">
        <w:rPr>
          <w:rFonts w:asciiTheme="minorHAnsi" w:hAnsiTheme="minorHAnsi" w:cstheme="minorHAnsi"/>
          <w:szCs w:val="24"/>
        </w:rPr>
        <w:t>.</w:t>
      </w:r>
      <w:r w:rsidRPr="00D51AD0">
        <w:rPr>
          <w:rFonts w:asciiTheme="minorHAnsi" w:hAnsiTheme="minorHAnsi" w:cstheme="minorHAnsi"/>
          <w:szCs w:val="24"/>
        </w:rPr>
        <w:t xml:space="preserve"> (2013) Arguing about arguing: a comment, </w:t>
      </w:r>
      <w:r w:rsidRPr="00D51AD0">
        <w:rPr>
          <w:rStyle w:val="s1"/>
          <w:rFonts w:asciiTheme="minorHAnsi" w:hAnsiTheme="minorHAnsi" w:cstheme="minorHAnsi"/>
          <w:i/>
          <w:szCs w:val="24"/>
          <w:u w:val="none"/>
        </w:rPr>
        <w:t>Critical Policy Studies</w:t>
      </w:r>
      <w:r w:rsidRPr="00D51AD0">
        <w:rPr>
          <w:rFonts w:asciiTheme="minorHAnsi" w:hAnsiTheme="minorHAnsi" w:cstheme="minorHAnsi"/>
          <w:szCs w:val="24"/>
        </w:rPr>
        <w:t xml:space="preserve"> </w:t>
      </w:r>
      <w:r w:rsidRPr="00D51AD0">
        <w:rPr>
          <w:rFonts w:asciiTheme="minorHAnsi" w:hAnsiTheme="minorHAnsi" w:cstheme="minorHAnsi"/>
          <w:bCs/>
          <w:szCs w:val="24"/>
        </w:rPr>
        <w:t>7</w:t>
      </w:r>
      <w:r w:rsidRPr="00D51AD0">
        <w:rPr>
          <w:rFonts w:asciiTheme="minorHAnsi" w:hAnsiTheme="minorHAnsi" w:cstheme="minorHAnsi"/>
          <w:szCs w:val="24"/>
        </w:rPr>
        <w:t>(3):339-349.</w:t>
      </w:r>
    </w:p>
    <w:p w14:paraId="398DA6E0" w14:textId="51954D4D" w:rsidR="00F6442C" w:rsidRDefault="00F6442C" w:rsidP="00F6442C">
      <w:pPr>
        <w:pStyle w:val="Bibliography3"/>
        <w:spacing w:after="0"/>
        <w:jc w:val="both"/>
        <w:rPr>
          <w:rFonts w:asciiTheme="minorHAnsi" w:hAnsiTheme="minorHAnsi" w:cstheme="minorHAnsi"/>
          <w:szCs w:val="24"/>
        </w:rPr>
      </w:pPr>
      <w:r w:rsidRPr="00D51AD0">
        <w:rPr>
          <w:rFonts w:asciiTheme="minorHAnsi" w:hAnsiTheme="minorHAnsi" w:cstheme="minorHAnsi"/>
          <w:szCs w:val="24"/>
        </w:rPr>
        <w:t>Risse, T</w:t>
      </w:r>
      <w:r w:rsidR="00B50438">
        <w:rPr>
          <w:rFonts w:asciiTheme="minorHAnsi" w:hAnsiTheme="minorHAnsi" w:cstheme="minorHAnsi"/>
          <w:szCs w:val="24"/>
        </w:rPr>
        <w:t>.</w:t>
      </w:r>
      <w:r w:rsidRPr="00D51AD0">
        <w:rPr>
          <w:rFonts w:asciiTheme="minorHAnsi" w:hAnsiTheme="minorHAnsi" w:cstheme="minorHAnsi"/>
          <w:szCs w:val="24"/>
        </w:rPr>
        <w:t xml:space="preserve"> and Klein, M</w:t>
      </w:r>
      <w:r w:rsidR="00B50438">
        <w:rPr>
          <w:rFonts w:asciiTheme="minorHAnsi" w:hAnsiTheme="minorHAnsi" w:cstheme="minorHAnsi"/>
          <w:szCs w:val="24"/>
        </w:rPr>
        <w:t>.</w:t>
      </w:r>
      <w:r w:rsidRPr="00D51AD0">
        <w:rPr>
          <w:rFonts w:asciiTheme="minorHAnsi" w:hAnsiTheme="minorHAnsi" w:cstheme="minorHAnsi"/>
          <w:szCs w:val="24"/>
        </w:rPr>
        <w:t xml:space="preserve"> (2010) Deliberati</w:t>
      </w:r>
      <w:r>
        <w:rPr>
          <w:rFonts w:asciiTheme="minorHAnsi" w:hAnsiTheme="minorHAnsi" w:cstheme="minorHAnsi"/>
          <w:szCs w:val="24"/>
        </w:rPr>
        <w:t>on in negotiations</w:t>
      </w:r>
      <w:r w:rsidRPr="00B4289E">
        <w:rPr>
          <w:rFonts w:asciiTheme="minorHAnsi" w:hAnsiTheme="minorHAnsi" w:cstheme="minorHAnsi"/>
          <w:szCs w:val="24"/>
        </w:rPr>
        <w:t xml:space="preserve">, </w:t>
      </w:r>
      <w:r w:rsidRPr="00B4289E">
        <w:rPr>
          <w:rFonts w:asciiTheme="minorHAnsi" w:hAnsiTheme="minorHAnsi" w:cstheme="minorHAnsi"/>
          <w:i/>
          <w:szCs w:val="24"/>
        </w:rPr>
        <w:t>Journal of European Public Policy</w:t>
      </w:r>
      <w:r>
        <w:rPr>
          <w:rFonts w:asciiTheme="minorHAnsi" w:hAnsiTheme="minorHAnsi" w:cstheme="minorHAnsi"/>
          <w:szCs w:val="24"/>
        </w:rPr>
        <w:t xml:space="preserve"> 17(5): 708-726.</w:t>
      </w:r>
    </w:p>
    <w:p w14:paraId="0A47B433" w14:textId="67C35937" w:rsidR="00F6442C" w:rsidRDefault="00F6442C" w:rsidP="00F6442C">
      <w:pPr>
        <w:pStyle w:val="Bibliography3"/>
        <w:spacing w:after="0"/>
        <w:jc w:val="both"/>
        <w:rPr>
          <w:rFonts w:cs="Helvetica"/>
        </w:rPr>
      </w:pPr>
      <w:r>
        <w:rPr>
          <w:rFonts w:cs="Helvetica"/>
        </w:rPr>
        <w:t>Salamon, L</w:t>
      </w:r>
      <w:r w:rsidR="00B50438">
        <w:rPr>
          <w:rFonts w:cs="Helvetica"/>
        </w:rPr>
        <w:t>.</w:t>
      </w:r>
      <w:r>
        <w:rPr>
          <w:rFonts w:cs="Helvetica"/>
        </w:rPr>
        <w:t xml:space="preserve">  (2002)</w:t>
      </w:r>
      <w:r w:rsidRPr="00B4289E">
        <w:rPr>
          <w:rFonts w:cs="Helvetica"/>
        </w:rPr>
        <w:t xml:space="preserve"> </w:t>
      </w:r>
      <w:r>
        <w:rPr>
          <w:rFonts w:cs="Helvetica"/>
        </w:rPr>
        <w:t>(Ed.)</w:t>
      </w:r>
      <w:r w:rsidRPr="00B4289E">
        <w:rPr>
          <w:rFonts w:cs="Helvetica"/>
        </w:rPr>
        <w:t xml:space="preserve"> </w:t>
      </w:r>
      <w:r w:rsidRPr="00B4289E">
        <w:rPr>
          <w:rFonts w:cs="Helvetica"/>
          <w:i/>
          <w:iCs/>
        </w:rPr>
        <w:t>The Tools of Government: A Guide to New Governance</w:t>
      </w:r>
      <w:r w:rsidRPr="00B4289E">
        <w:rPr>
          <w:rFonts w:cs="Helvetica"/>
        </w:rPr>
        <w:t>.  Oxford: Oxford University Press.</w:t>
      </w:r>
    </w:p>
    <w:p w14:paraId="411FE655" w14:textId="41222049" w:rsidR="00C4605D" w:rsidRDefault="00C4605D" w:rsidP="00F6442C">
      <w:pPr>
        <w:pStyle w:val="Bibliography3"/>
        <w:spacing w:after="0"/>
        <w:jc w:val="both"/>
        <w:rPr>
          <w:rFonts w:cs="Helvetica"/>
        </w:rPr>
      </w:pPr>
      <w:r>
        <w:rPr>
          <w:rFonts w:cs="Helvetica"/>
        </w:rPr>
        <w:t xml:space="preserve">Stone, </w:t>
      </w:r>
      <w:r w:rsidR="000C6559">
        <w:rPr>
          <w:rFonts w:cs="Helvetica"/>
        </w:rPr>
        <w:t xml:space="preserve">D. (2004) Transfer agents and global networks in the ‘transnationalization’ of policy. </w:t>
      </w:r>
      <w:r w:rsidR="000C6559" w:rsidRPr="000C6559">
        <w:rPr>
          <w:rFonts w:cs="Helvetica"/>
          <w:i/>
        </w:rPr>
        <w:t>Journal of European Public Policy</w:t>
      </w:r>
      <w:r w:rsidR="000C6559">
        <w:rPr>
          <w:rFonts w:cs="Helvetica"/>
        </w:rPr>
        <w:t xml:space="preserve"> 11(3): 545-566.</w:t>
      </w:r>
    </w:p>
    <w:p w14:paraId="560F42AE" w14:textId="350262CD" w:rsidR="00D51AD0" w:rsidRPr="0071425A" w:rsidRDefault="00D51AD0" w:rsidP="00F6442C">
      <w:pPr>
        <w:pStyle w:val="Bibliography3"/>
        <w:spacing w:after="0"/>
        <w:jc w:val="both"/>
        <w:rPr>
          <w:rFonts w:asciiTheme="minorHAnsi" w:hAnsiTheme="minorHAnsi" w:cstheme="minorHAnsi"/>
          <w:szCs w:val="24"/>
        </w:rPr>
      </w:pPr>
      <w:r>
        <w:rPr>
          <w:rFonts w:cs="Helvetica"/>
        </w:rPr>
        <w:t>Sunstein, C.R</w:t>
      </w:r>
      <w:r w:rsidR="00B50438">
        <w:rPr>
          <w:rFonts w:cs="Helvetica"/>
        </w:rPr>
        <w:t>. (2014)</w:t>
      </w:r>
      <w:r>
        <w:rPr>
          <w:rFonts w:cs="Helvetica"/>
        </w:rPr>
        <w:t xml:space="preserve"> </w:t>
      </w:r>
      <w:r w:rsidRPr="00D51AD0">
        <w:rPr>
          <w:rFonts w:cs="Helvetica"/>
          <w:i/>
        </w:rPr>
        <w:t>Valuing Life: Humanizing the Regulatory State</w:t>
      </w:r>
      <w:r>
        <w:rPr>
          <w:rFonts w:cs="Helvetica"/>
        </w:rPr>
        <w:t xml:space="preserve">. Chicago: </w:t>
      </w:r>
      <w:r w:rsidR="00B50438">
        <w:rPr>
          <w:rFonts w:cs="Helvetica"/>
        </w:rPr>
        <w:t>University</w:t>
      </w:r>
      <w:r>
        <w:rPr>
          <w:rFonts w:cs="Helvetica"/>
        </w:rPr>
        <w:t xml:space="preserve"> of Chicago Press.</w:t>
      </w:r>
    </w:p>
    <w:p w14:paraId="0204E365" w14:textId="4E640248" w:rsidR="00700338" w:rsidRPr="00B50438" w:rsidRDefault="00700338" w:rsidP="007808A0">
      <w:pPr>
        <w:widowControl w:val="0"/>
        <w:autoSpaceDE w:val="0"/>
        <w:autoSpaceDN w:val="0"/>
        <w:adjustRightInd w:val="0"/>
        <w:ind w:right="-720"/>
        <w:rPr>
          <w:rFonts w:cs="Helvetica"/>
        </w:rPr>
      </w:pPr>
    </w:p>
    <w:sectPr w:rsidR="00700338" w:rsidRPr="00B50438" w:rsidSect="005D35A9">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3B41D" w14:textId="77777777" w:rsidR="00C92C43" w:rsidRDefault="00C92C43" w:rsidP="00C0199D">
      <w:r>
        <w:separator/>
      </w:r>
    </w:p>
  </w:endnote>
  <w:endnote w:type="continuationSeparator" w:id="0">
    <w:p w14:paraId="215CC933" w14:textId="77777777" w:rsidR="00C92C43" w:rsidRDefault="00C92C43" w:rsidP="00C0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Segoe UI">
    <w:altName w:val="Times New Roman"/>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ecilia-Roman">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213045"/>
      <w:docPartObj>
        <w:docPartGallery w:val="Page Numbers (Bottom of Page)"/>
        <w:docPartUnique/>
      </w:docPartObj>
    </w:sdtPr>
    <w:sdtEndPr>
      <w:rPr>
        <w:noProof/>
      </w:rPr>
    </w:sdtEndPr>
    <w:sdtContent>
      <w:p w14:paraId="4C9C7F12" w14:textId="2FB8F316" w:rsidR="00C92C43" w:rsidRDefault="00C92C43">
        <w:pPr>
          <w:pStyle w:val="Footer"/>
          <w:jc w:val="center"/>
        </w:pPr>
        <w:r>
          <w:fldChar w:fldCharType="begin"/>
        </w:r>
        <w:r>
          <w:instrText xml:space="preserve"> PAGE   \* MERGEFORMAT </w:instrText>
        </w:r>
        <w:r>
          <w:fldChar w:fldCharType="separate"/>
        </w:r>
        <w:r w:rsidR="002A075B">
          <w:rPr>
            <w:noProof/>
          </w:rPr>
          <w:t>25</w:t>
        </w:r>
        <w:r>
          <w:rPr>
            <w:noProof/>
          </w:rPr>
          <w:fldChar w:fldCharType="end"/>
        </w:r>
      </w:p>
    </w:sdtContent>
  </w:sdt>
  <w:p w14:paraId="5A202116" w14:textId="77777777" w:rsidR="00C92C43" w:rsidRDefault="00C92C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14EE1" w14:textId="77777777" w:rsidR="00C92C43" w:rsidRDefault="00C92C43" w:rsidP="00C0199D">
      <w:r>
        <w:separator/>
      </w:r>
    </w:p>
  </w:footnote>
  <w:footnote w:type="continuationSeparator" w:id="0">
    <w:p w14:paraId="3EB232F9" w14:textId="77777777" w:rsidR="00C92C43" w:rsidRDefault="00C92C43" w:rsidP="00C019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A3A52"/>
    <w:multiLevelType w:val="hybridMultilevel"/>
    <w:tmpl w:val="564E3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BF"/>
    <w:rsid w:val="00004922"/>
    <w:rsid w:val="00004F82"/>
    <w:rsid w:val="00007971"/>
    <w:rsid w:val="000121A7"/>
    <w:rsid w:val="00017808"/>
    <w:rsid w:val="00025491"/>
    <w:rsid w:val="000268F3"/>
    <w:rsid w:val="000335E1"/>
    <w:rsid w:val="00034986"/>
    <w:rsid w:val="00035469"/>
    <w:rsid w:val="000415F3"/>
    <w:rsid w:val="0004355E"/>
    <w:rsid w:val="0004468A"/>
    <w:rsid w:val="0004500B"/>
    <w:rsid w:val="0004707E"/>
    <w:rsid w:val="00051FF4"/>
    <w:rsid w:val="000529AC"/>
    <w:rsid w:val="0005461B"/>
    <w:rsid w:val="000567EF"/>
    <w:rsid w:val="00061FA8"/>
    <w:rsid w:val="00073EE4"/>
    <w:rsid w:val="0007720C"/>
    <w:rsid w:val="00082548"/>
    <w:rsid w:val="000825DE"/>
    <w:rsid w:val="000861ED"/>
    <w:rsid w:val="00087508"/>
    <w:rsid w:val="00093257"/>
    <w:rsid w:val="000932B9"/>
    <w:rsid w:val="0009509C"/>
    <w:rsid w:val="000958E1"/>
    <w:rsid w:val="000958FC"/>
    <w:rsid w:val="000A29F8"/>
    <w:rsid w:val="000A37FD"/>
    <w:rsid w:val="000A42FC"/>
    <w:rsid w:val="000B355B"/>
    <w:rsid w:val="000C0047"/>
    <w:rsid w:val="000C6559"/>
    <w:rsid w:val="000D1C38"/>
    <w:rsid w:val="000D3F97"/>
    <w:rsid w:val="000D42FF"/>
    <w:rsid w:val="000E71EF"/>
    <w:rsid w:val="000F1415"/>
    <w:rsid w:val="00101B0C"/>
    <w:rsid w:val="001034BF"/>
    <w:rsid w:val="0010509C"/>
    <w:rsid w:val="0010688E"/>
    <w:rsid w:val="00106B4F"/>
    <w:rsid w:val="001105E6"/>
    <w:rsid w:val="001128AA"/>
    <w:rsid w:val="00113C5C"/>
    <w:rsid w:val="00127165"/>
    <w:rsid w:val="00135199"/>
    <w:rsid w:val="00146D5F"/>
    <w:rsid w:val="00153F36"/>
    <w:rsid w:val="0015492D"/>
    <w:rsid w:val="001601FF"/>
    <w:rsid w:val="00164770"/>
    <w:rsid w:val="00176497"/>
    <w:rsid w:val="001855D4"/>
    <w:rsid w:val="00190751"/>
    <w:rsid w:val="001A41D6"/>
    <w:rsid w:val="001A5218"/>
    <w:rsid w:val="001A5354"/>
    <w:rsid w:val="001B134C"/>
    <w:rsid w:val="001C0029"/>
    <w:rsid w:val="001C170E"/>
    <w:rsid w:val="001C344C"/>
    <w:rsid w:val="001C77E8"/>
    <w:rsid w:val="001D06C9"/>
    <w:rsid w:val="001D2E3D"/>
    <w:rsid w:val="001D3DF7"/>
    <w:rsid w:val="001D6388"/>
    <w:rsid w:val="001F23BA"/>
    <w:rsid w:val="001F2831"/>
    <w:rsid w:val="001F70DA"/>
    <w:rsid w:val="00202B81"/>
    <w:rsid w:val="00202DE5"/>
    <w:rsid w:val="002043A7"/>
    <w:rsid w:val="00217AB1"/>
    <w:rsid w:val="002205FB"/>
    <w:rsid w:val="002336C6"/>
    <w:rsid w:val="00236875"/>
    <w:rsid w:val="00242917"/>
    <w:rsid w:val="00246D67"/>
    <w:rsid w:val="0025637D"/>
    <w:rsid w:val="00261154"/>
    <w:rsid w:val="002622AF"/>
    <w:rsid w:val="002647E9"/>
    <w:rsid w:val="00264D8B"/>
    <w:rsid w:val="00267D3C"/>
    <w:rsid w:val="00270033"/>
    <w:rsid w:val="002702FD"/>
    <w:rsid w:val="002835EC"/>
    <w:rsid w:val="002848E3"/>
    <w:rsid w:val="0028738F"/>
    <w:rsid w:val="002878C9"/>
    <w:rsid w:val="00296AC6"/>
    <w:rsid w:val="002A075B"/>
    <w:rsid w:val="002A4443"/>
    <w:rsid w:val="002A49E8"/>
    <w:rsid w:val="002A55AD"/>
    <w:rsid w:val="002A6DC0"/>
    <w:rsid w:val="002B443F"/>
    <w:rsid w:val="002D159C"/>
    <w:rsid w:val="002D1817"/>
    <w:rsid w:val="002E0453"/>
    <w:rsid w:val="002E6E00"/>
    <w:rsid w:val="002F25EB"/>
    <w:rsid w:val="002F759F"/>
    <w:rsid w:val="00301234"/>
    <w:rsid w:val="0030607A"/>
    <w:rsid w:val="003101EF"/>
    <w:rsid w:val="00310387"/>
    <w:rsid w:val="0031493D"/>
    <w:rsid w:val="00316609"/>
    <w:rsid w:val="00324BD6"/>
    <w:rsid w:val="00333798"/>
    <w:rsid w:val="00337324"/>
    <w:rsid w:val="00345196"/>
    <w:rsid w:val="00345EB2"/>
    <w:rsid w:val="00347104"/>
    <w:rsid w:val="00360736"/>
    <w:rsid w:val="0036780B"/>
    <w:rsid w:val="00370C05"/>
    <w:rsid w:val="003765BC"/>
    <w:rsid w:val="0037681C"/>
    <w:rsid w:val="003769CC"/>
    <w:rsid w:val="003832E3"/>
    <w:rsid w:val="0038792B"/>
    <w:rsid w:val="00392B04"/>
    <w:rsid w:val="00395093"/>
    <w:rsid w:val="003B0CB5"/>
    <w:rsid w:val="003B0F4C"/>
    <w:rsid w:val="003B3DBD"/>
    <w:rsid w:val="003C20A3"/>
    <w:rsid w:val="003C2F26"/>
    <w:rsid w:val="003C3603"/>
    <w:rsid w:val="003C38A2"/>
    <w:rsid w:val="003C517C"/>
    <w:rsid w:val="003C56E4"/>
    <w:rsid w:val="003D14FF"/>
    <w:rsid w:val="003D150E"/>
    <w:rsid w:val="003D3E04"/>
    <w:rsid w:val="003D488A"/>
    <w:rsid w:val="003E0BBB"/>
    <w:rsid w:val="003E24AC"/>
    <w:rsid w:val="003E7DC3"/>
    <w:rsid w:val="003F20ED"/>
    <w:rsid w:val="003F4C33"/>
    <w:rsid w:val="003F5884"/>
    <w:rsid w:val="003F75B3"/>
    <w:rsid w:val="00410BC9"/>
    <w:rsid w:val="00410FC8"/>
    <w:rsid w:val="0041271E"/>
    <w:rsid w:val="004134FB"/>
    <w:rsid w:val="00417B66"/>
    <w:rsid w:val="00420449"/>
    <w:rsid w:val="004213DB"/>
    <w:rsid w:val="0042256B"/>
    <w:rsid w:val="0042707C"/>
    <w:rsid w:val="004313D0"/>
    <w:rsid w:val="00433FDB"/>
    <w:rsid w:val="004343C9"/>
    <w:rsid w:val="004366E1"/>
    <w:rsid w:val="00441E3C"/>
    <w:rsid w:val="00442196"/>
    <w:rsid w:val="0044235F"/>
    <w:rsid w:val="00442DEA"/>
    <w:rsid w:val="00442E6D"/>
    <w:rsid w:val="00446A78"/>
    <w:rsid w:val="004514BD"/>
    <w:rsid w:val="00451BB0"/>
    <w:rsid w:val="00452AF8"/>
    <w:rsid w:val="00452C6B"/>
    <w:rsid w:val="00452DD5"/>
    <w:rsid w:val="00460B20"/>
    <w:rsid w:val="0046182F"/>
    <w:rsid w:val="00465A01"/>
    <w:rsid w:val="00466D1A"/>
    <w:rsid w:val="004672AD"/>
    <w:rsid w:val="0048489B"/>
    <w:rsid w:val="00485DA5"/>
    <w:rsid w:val="00486C28"/>
    <w:rsid w:val="00493F97"/>
    <w:rsid w:val="00494559"/>
    <w:rsid w:val="0049741F"/>
    <w:rsid w:val="004A3529"/>
    <w:rsid w:val="004A73A0"/>
    <w:rsid w:val="004B2035"/>
    <w:rsid w:val="004B4456"/>
    <w:rsid w:val="004B484D"/>
    <w:rsid w:val="004B4D3D"/>
    <w:rsid w:val="004D32AF"/>
    <w:rsid w:val="004E5788"/>
    <w:rsid w:val="004E5ADB"/>
    <w:rsid w:val="004E79D2"/>
    <w:rsid w:val="004F3B27"/>
    <w:rsid w:val="004F3F89"/>
    <w:rsid w:val="00501B50"/>
    <w:rsid w:val="00503A95"/>
    <w:rsid w:val="005071A8"/>
    <w:rsid w:val="00512FAC"/>
    <w:rsid w:val="00513373"/>
    <w:rsid w:val="00517AEA"/>
    <w:rsid w:val="00524681"/>
    <w:rsid w:val="00525190"/>
    <w:rsid w:val="005314E8"/>
    <w:rsid w:val="00532E5D"/>
    <w:rsid w:val="00546196"/>
    <w:rsid w:val="00556D6D"/>
    <w:rsid w:val="0056157D"/>
    <w:rsid w:val="005641F3"/>
    <w:rsid w:val="00570DF6"/>
    <w:rsid w:val="005743BB"/>
    <w:rsid w:val="00575FCE"/>
    <w:rsid w:val="00580459"/>
    <w:rsid w:val="00586656"/>
    <w:rsid w:val="005918BD"/>
    <w:rsid w:val="00591E18"/>
    <w:rsid w:val="00592B6D"/>
    <w:rsid w:val="00597F73"/>
    <w:rsid w:val="005A2EB9"/>
    <w:rsid w:val="005A3573"/>
    <w:rsid w:val="005A4DF2"/>
    <w:rsid w:val="005A66AC"/>
    <w:rsid w:val="005A7DA4"/>
    <w:rsid w:val="005B2C9E"/>
    <w:rsid w:val="005B3FED"/>
    <w:rsid w:val="005B4781"/>
    <w:rsid w:val="005B7D30"/>
    <w:rsid w:val="005C129A"/>
    <w:rsid w:val="005C31D3"/>
    <w:rsid w:val="005C3285"/>
    <w:rsid w:val="005C4EF4"/>
    <w:rsid w:val="005C5995"/>
    <w:rsid w:val="005D2B1A"/>
    <w:rsid w:val="005D35A9"/>
    <w:rsid w:val="005D3606"/>
    <w:rsid w:val="005E6FE8"/>
    <w:rsid w:val="005F3491"/>
    <w:rsid w:val="005F3799"/>
    <w:rsid w:val="00600A35"/>
    <w:rsid w:val="00601C7A"/>
    <w:rsid w:val="00606FF1"/>
    <w:rsid w:val="00611037"/>
    <w:rsid w:val="00613F83"/>
    <w:rsid w:val="00616675"/>
    <w:rsid w:val="00616C71"/>
    <w:rsid w:val="00616F91"/>
    <w:rsid w:val="0062168F"/>
    <w:rsid w:val="00623722"/>
    <w:rsid w:val="00623D1F"/>
    <w:rsid w:val="00625E16"/>
    <w:rsid w:val="00626FCB"/>
    <w:rsid w:val="006275A5"/>
    <w:rsid w:val="00637059"/>
    <w:rsid w:val="0064112B"/>
    <w:rsid w:val="00646169"/>
    <w:rsid w:val="00651F97"/>
    <w:rsid w:val="0065726B"/>
    <w:rsid w:val="00657D57"/>
    <w:rsid w:val="00661124"/>
    <w:rsid w:val="006612D0"/>
    <w:rsid w:val="006621A9"/>
    <w:rsid w:val="00677C48"/>
    <w:rsid w:val="00683000"/>
    <w:rsid w:val="00684B23"/>
    <w:rsid w:val="00685BD7"/>
    <w:rsid w:val="006952F8"/>
    <w:rsid w:val="00697A2B"/>
    <w:rsid w:val="00697E80"/>
    <w:rsid w:val="006A07A5"/>
    <w:rsid w:val="006A44F8"/>
    <w:rsid w:val="006B27CA"/>
    <w:rsid w:val="006B468C"/>
    <w:rsid w:val="006B6FC5"/>
    <w:rsid w:val="006B789B"/>
    <w:rsid w:val="006C0103"/>
    <w:rsid w:val="006D1A16"/>
    <w:rsid w:val="006D1EB7"/>
    <w:rsid w:val="006D5CCE"/>
    <w:rsid w:val="006E073F"/>
    <w:rsid w:val="006E1FEB"/>
    <w:rsid w:val="006E67DC"/>
    <w:rsid w:val="006E7D55"/>
    <w:rsid w:val="006F1BAD"/>
    <w:rsid w:val="00700338"/>
    <w:rsid w:val="00703E5F"/>
    <w:rsid w:val="00723F31"/>
    <w:rsid w:val="00726077"/>
    <w:rsid w:val="00726C6A"/>
    <w:rsid w:val="00730DE1"/>
    <w:rsid w:val="00731E11"/>
    <w:rsid w:val="00731EB7"/>
    <w:rsid w:val="00740212"/>
    <w:rsid w:val="00742D5E"/>
    <w:rsid w:val="007433C0"/>
    <w:rsid w:val="007453F1"/>
    <w:rsid w:val="00750922"/>
    <w:rsid w:val="00751557"/>
    <w:rsid w:val="00755A53"/>
    <w:rsid w:val="00761336"/>
    <w:rsid w:val="007629F3"/>
    <w:rsid w:val="007808A0"/>
    <w:rsid w:val="007838A2"/>
    <w:rsid w:val="007859DA"/>
    <w:rsid w:val="00790495"/>
    <w:rsid w:val="00793F9B"/>
    <w:rsid w:val="00796DD9"/>
    <w:rsid w:val="007A3F8B"/>
    <w:rsid w:val="007B390B"/>
    <w:rsid w:val="007C214C"/>
    <w:rsid w:val="007C2590"/>
    <w:rsid w:val="007C41BC"/>
    <w:rsid w:val="007C5796"/>
    <w:rsid w:val="007C7ABB"/>
    <w:rsid w:val="007D0BEC"/>
    <w:rsid w:val="007D4B36"/>
    <w:rsid w:val="007D68BF"/>
    <w:rsid w:val="007D7369"/>
    <w:rsid w:val="007E1771"/>
    <w:rsid w:val="007F7573"/>
    <w:rsid w:val="00805C98"/>
    <w:rsid w:val="00813283"/>
    <w:rsid w:val="008264FC"/>
    <w:rsid w:val="008266E3"/>
    <w:rsid w:val="00827C6B"/>
    <w:rsid w:val="00843734"/>
    <w:rsid w:val="00846470"/>
    <w:rsid w:val="00850E5E"/>
    <w:rsid w:val="0085732C"/>
    <w:rsid w:val="008603BB"/>
    <w:rsid w:val="00862AA5"/>
    <w:rsid w:val="0086476B"/>
    <w:rsid w:val="00872643"/>
    <w:rsid w:val="00873D76"/>
    <w:rsid w:val="00880F78"/>
    <w:rsid w:val="00892C5C"/>
    <w:rsid w:val="008A0D50"/>
    <w:rsid w:val="008A5354"/>
    <w:rsid w:val="008A62AF"/>
    <w:rsid w:val="008B0457"/>
    <w:rsid w:val="008B1280"/>
    <w:rsid w:val="008C09D2"/>
    <w:rsid w:val="008C4A50"/>
    <w:rsid w:val="008D62F2"/>
    <w:rsid w:val="008E4129"/>
    <w:rsid w:val="008E423F"/>
    <w:rsid w:val="008E590C"/>
    <w:rsid w:val="008F2018"/>
    <w:rsid w:val="008F2024"/>
    <w:rsid w:val="008F7EC0"/>
    <w:rsid w:val="009009AB"/>
    <w:rsid w:val="00903A96"/>
    <w:rsid w:val="00905419"/>
    <w:rsid w:val="00905EF0"/>
    <w:rsid w:val="009106DF"/>
    <w:rsid w:val="00917014"/>
    <w:rsid w:val="0092019B"/>
    <w:rsid w:val="00920DBA"/>
    <w:rsid w:val="00925EA4"/>
    <w:rsid w:val="00930B34"/>
    <w:rsid w:val="00934D24"/>
    <w:rsid w:val="00937E55"/>
    <w:rsid w:val="00945E63"/>
    <w:rsid w:val="009463C3"/>
    <w:rsid w:val="00952A46"/>
    <w:rsid w:val="009541FC"/>
    <w:rsid w:val="00954CF9"/>
    <w:rsid w:val="009556E7"/>
    <w:rsid w:val="009617C2"/>
    <w:rsid w:val="00961F2F"/>
    <w:rsid w:val="009647ED"/>
    <w:rsid w:val="00970F20"/>
    <w:rsid w:val="00973CCA"/>
    <w:rsid w:val="00981EA3"/>
    <w:rsid w:val="00982524"/>
    <w:rsid w:val="00982AFF"/>
    <w:rsid w:val="009831F4"/>
    <w:rsid w:val="009928F3"/>
    <w:rsid w:val="009960C0"/>
    <w:rsid w:val="009A1BF0"/>
    <w:rsid w:val="009B0475"/>
    <w:rsid w:val="009D5C1F"/>
    <w:rsid w:val="009D7AD7"/>
    <w:rsid w:val="009E2C15"/>
    <w:rsid w:val="009E3C32"/>
    <w:rsid w:val="009E3EB5"/>
    <w:rsid w:val="009E4DA1"/>
    <w:rsid w:val="009F22A7"/>
    <w:rsid w:val="009F3E4C"/>
    <w:rsid w:val="009F42C4"/>
    <w:rsid w:val="00A00203"/>
    <w:rsid w:val="00A0087A"/>
    <w:rsid w:val="00A07730"/>
    <w:rsid w:val="00A1686E"/>
    <w:rsid w:val="00A27466"/>
    <w:rsid w:val="00A31718"/>
    <w:rsid w:val="00A408F4"/>
    <w:rsid w:val="00A41409"/>
    <w:rsid w:val="00A44246"/>
    <w:rsid w:val="00A450A5"/>
    <w:rsid w:val="00A4596C"/>
    <w:rsid w:val="00A50196"/>
    <w:rsid w:val="00A51D8E"/>
    <w:rsid w:val="00A541D1"/>
    <w:rsid w:val="00A54969"/>
    <w:rsid w:val="00A567B7"/>
    <w:rsid w:val="00A60F7A"/>
    <w:rsid w:val="00A610AA"/>
    <w:rsid w:val="00A612C8"/>
    <w:rsid w:val="00A63ED9"/>
    <w:rsid w:val="00A65251"/>
    <w:rsid w:val="00A67303"/>
    <w:rsid w:val="00A70024"/>
    <w:rsid w:val="00A76F83"/>
    <w:rsid w:val="00A77D95"/>
    <w:rsid w:val="00A81F84"/>
    <w:rsid w:val="00A83486"/>
    <w:rsid w:val="00A85922"/>
    <w:rsid w:val="00A966F1"/>
    <w:rsid w:val="00AC070C"/>
    <w:rsid w:val="00AC09FB"/>
    <w:rsid w:val="00AC2E64"/>
    <w:rsid w:val="00AC5317"/>
    <w:rsid w:val="00AD0679"/>
    <w:rsid w:val="00AD3AFE"/>
    <w:rsid w:val="00AD4A28"/>
    <w:rsid w:val="00AD4AB2"/>
    <w:rsid w:val="00AD6670"/>
    <w:rsid w:val="00AF2F10"/>
    <w:rsid w:val="00AF5C80"/>
    <w:rsid w:val="00AF77D7"/>
    <w:rsid w:val="00B03A28"/>
    <w:rsid w:val="00B11C5B"/>
    <w:rsid w:val="00B1503D"/>
    <w:rsid w:val="00B16745"/>
    <w:rsid w:val="00B25C34"/>
    <w:rsid w:val="00B26266"/>
    <w:rsid w:val="00B27DEA"/>
    <w:rsid w:val="00B40374"/>
    <w:rsid w:val="00B42529"/>
    <w:rsid w:val="00B4327B"/>
    <w:rsid w:val="00B436DF"/>
    <w:rsid w:val="00B50438"/>
    <w:rsid w:val="00B57949"/>
    <w:rsid w:val="00B63EE2"/>
    <w:rsid w:val="00B71267"/>
    <w:rsid w:val="00B72524"/>
    <w:rsid w:val="00B8010C"/>
    <w:rsid w:val="00B8328E"/>
    <w:rsid w:val="00B8711A"/>
    <w:rsid w:val="00B90F82"/>
    <w:rsid w:val="00B92E35"/>
    <w:rsid w:val="00B96589"/>
    <w:rsid w:val="00B976B2"/>
    <w:rsid w:val="00B97A4E"/>
    <w:rsid w:val="00BA78B3"/>
    <w:rsid w:val="00BB003E"/>
    <w:rsid w:val="00BB2A86"/>
    <w:rsid w:val="00BB5FFD"/>
    <w:rsid w:val="00BB7739"/>
    <w:rsid w:val="00BC5EE7"/>
    <w:rsid w:val="00BC6745"/>
    <w:rsid w:val="00BC7F78"/>
    <w:rsid w:val="00BD684C"/>
    <w:rsid w:val="00BE2178"/>
    <w:rsid w:val="00BE74A6"/>
    <w:rsid w:val="00BF3160"/>
    <w:rsid w:val="00BF3F20"/>
    <w:rsid w:val="00BF4EB0"/>
    <w:rsid w:val="00C0153F"/>
    <w:rsid w:val="00C0199D"/>
    <w:rsid w:val="00C0355D"/>
    <w:rsid w:val="00C06F46"/>
    <w:rsid w:val="00C138CA"/>
    <w:rsid w:val="00C22F80"/>
    <w:rsid w:val="00C23B59"/>
    <w:rsid w:val="00C261F6"/>
    <w:rsid w:val="00C26C39"/>
    <w:rsid w:val="00C3014C"/>
    <w:rsid w:val="00C33899"/>
    <w:rsid w:val="00C4052F"/>
    <w:rsid w:val="00C40F1F"/>
    <w:rsid w:val="00C443CD"/>
    <w:rsid w:val="00C4605D"/>
    <w:rsid w:val="00C47F01"/>
    <w:rsid w:val="00C50FAE"/>
    <w:rsid w:val="00C51B3E"/>
    <w:rsid w:val="00C51F55"/>
    <w:rsid w:val="00C65F8D"/>
    <w:rsid w:val="00C70CE8"/>
    <w:rsid w:val="00C82FFB"/>
    <w:rsid w:val="00C92C43"/>
    <w:rsid w:val="00C94729"/>
    <w:rsid w:val="00C97B2E"/>
    <w:rsid w:val="00CA1D37"/>
    <w:rsid w:val="00CA3C22"/>
    <w:rsid w:val="00CA565B"/>
    <w:rsid w:val="00CB0E08"/>
    <w:rsid w:val="00CC03B0"/>
    <w:rsid w:val="00CC1AC3"/>
    <w:rsid w:val="00CC2647"/>
    <w:rsid w:val="00CC5149"/>
    <w:rsid w:val="00CC5888"/>
    <w:rsid w:val="00CC7BDB"/>
    <w:rsid w:val="00CE08F2"/>
    <w:rsid w:val="00CE4C1A"/>
    <w:rsid w:val="00CE653B"/>
    <w:rsid w:val="00CE6F49"/>
    <w:rsid w:val="00CF00DB"/>
    <w:rsid w:val="00CF1F16"/>
    <w:rsid w:val="00D14C66"/>
    <w:rsid w:val="00D2549A"/>
    <w:rsid w:val="00D26D98"/>
    <w:rsid w:val="00D27A45"/>
    <w:rsid w:val="00D405B3"/>
    <w:rsid w:val="00D43347"/>
    <w:rsid w:val="00D43CC4"/>
    <w:rsid w:val="00D51AD0"/>
    <w:rsid w:val="00D60829"/>
    <w:rsid w:val="00D64DCA"/>
    <w:rsid w:val="00D74A00"/>
    <w:rsid w:val="00D766FD"/>
    <w:rsid w:val="00D76A41"/>
    <w:rsid w:val="00D80256"/>
    <w:rsid w:val="00D81E8A"/>
    <w:rsid w:val="00D8308A"/>
    <w:rsid w:val="00D971C7"/>
    <w:rsid w:val="00D97C11"/>
    <w:rsid w:val="00DA0494"/>
    <w:rsid w:val="00DA1E3C"/>
    <w:rsid w:val="00DA3518"/>
    <w:rsid w:val="00DA55C6"/>
    <w:rsid w:val="00DA6281"/>
    <w:rsid w:val="00DA6D2E"/>
    <w:rsid w:val="00DB112D"/>
    <w:rsid w:val="00DB373E"/>
    <w:rsid w:val="00DB56A9"/>
    <w:rsid w:val="00DC1DE0"/>
    <w:rsid w:val="00DC7A37"/>
    <w:rsid w:val="00DD028D"/>
    <w:rsid w:val="00DD18EF"/>
    <w:rsid w:val="00DE2533"/>
    <w:rsid w:val="00DE4C23"/>
    <w:rsid w:val="00DF022F"/>
    <w:rsid w:val="00DF062D"/>
    <w:rsid w:val="00DF2958"/>
    <w:rsid w:val="00DF379B"/>
    <w:rsid w:val="00E00B37"/>
    <w:rsid w:val="00E07942"/>
    <w:rsid w:val="00E1397F"/>
    <w:rsid w:val="00E21BAD"/>
    <w:rsid w:val="00E234A5"/>
    <w:rsid w:val="00E24035"/>
    <w:rsid w:val="00E269DE"/>
    <w:rsid w:val="00E32D1F"/>
    <w:rsid w:val="00E33B2A"/>
    <w:rsid w:val="00E359D3"/>
    <w:rsid w:val="00E507A8"/>
    <w:rsid w:val="00E565A1"/>
    <w:rsid w:val="00E70991"/>
    <w:rsid w:val="00E72E35"/>
    <w:rsid w:val="00E80224"/>
    <w:rsid w:val="00E80563"/>
    <w:rsid w:val="00E81EEF"/>
    <w:rsid w:val="00E90625"/>
    <w:rsid w:val="00EB575C"/>
    <w:rsid w:val="00EC6A2C"/>
    <w:rsid w:val="00ED0D89"/>
    <w:rsid w:val="00ED3576"/>
    <w:rsid w:val="00EE5FD3"/>
    <w:rsid w:val="00EF1784"/>
    <w:rsid w:val="00EF715D"/>
    <w:rsid w:val="00F15B7D"/>
    <w:rsid w:val="00F17EB3"/>
    <w:rsid w:val="00F30B27"/>
    <w:rsid w:val="00F31349"/>
    <w:rsid w:val="00F37022"/>
    <w:rsid w:val="00F451D0"/>
    <w:rsid w:val="00F46071"/>
    <w:rsid w:val="00F55567"/>
    <w:rsid w:val="00F5564E"/>
    <w:rsid w:val="00F568E9"/>
    <w:rsid w:val="00F5712D"/>
    <w:rsid w:val="00F60843"/>
    <w:rsid w:val="00F626E7"/>
    <w:rsid w:val="00F63624"/>
    <w:rsid w:val="00F6442C"/>
    <w:rsid w:val="00F717A4"/>
    <w:rsid w:val="00F73AE2"/>
    <w:rsid w:val="00F77A88"/>
    <w:rsid w:val="00F86F8F"/>
    <w:rsid w:val="00F87B5C"/>
    <w:rsid w:val="00F91155"/>
    <w:rsid w:val="00F96835"/>
    <w:rsid w:val="00FA4179"/>
    <w:rsid w:val="00FC0114"/>
    <w:rsid w:val="00FC1926"/>
    <w:rsid w:val="00FD02EF"/>
    <w:rsid w:val="00FD4508"/>
    <w:rsid w:val="00FD57B2"/>
    <w:rsid w:val="00FE19F4"/>
    <w:rsid w:val="00FE1CD5"/>
    <w:rsid w:val="00FE6D51"/>
    <w:rsid w:val="00FE7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676E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17C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7C2"/>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9617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17C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0199D"/>
    <w:pPr>
      <w:tabs>
        <w:tab w:val="center" w:pos="4513"/>
        <w:tab w:val="right" w:pos="9026"/>
      </w:tabs>
    </w:pPr>
  </w:style>
  <w:style w:type="character" w:customStyle="1" w:styleId="HeaderChar">
    <w:name w:val="Header Char"/>
    <w:basedOn w:val="DefaultParagraphFont"/>
    <w:link w:val="Header"/>
    <w:uiPriority w:val="99"/>
    <w:rsid w:val="00C0199D"/>
  </w:style>
  <w:style w:type="paragraph" w:styleId="Footer">
    <w:name w:val="footer"/>
    <w:basedOn w:val="Normal"/>
    <w:link w:val="FooterChar"/>
    <w:uiPriority w:val="99"/>
    <w:unhideWhenUsed/>
    <w:rsid w:val="00C0199D"/>
    <w:pPr>
      <w:tabs>
        <w:tab w:val="center" w:pos="4513"/>
        <w:tab w:val="right" w:pos="9026"/>
      </w:tabs>
    </w:pPr>
  </w:style>
  <w:style w:type="character" w:customStyle="1" w:styleId="FooterChar">
    <w:name w:val="Footer Char"/>
    <w:basedOn w:val="DefaultParagraphFont"/>
    <w:link w:val="Footer"/>
    <w:uiPriority w:val="99"/>
    <w:rsid w:val="00C0199D"/>
  </w:style>
  <w:style w:type="paragraph" w:styleId="ListParagraph">
    <w:name w:val="List Paragraph"/>
    <w:basedOn w:val="Normal"/>
    <w:uiPriority w:val="34"/>
    <w:qFormat/>
    <w:rsid w:val="00F17EB3"/>
    <w:pPr>
      <w:ind w:left="720"/>
      <w:contextualSpacing/>
    </w:pPr>
  </w:style>
  <w:style w:type="character" w:styleId="Hyperlink">
    <w:name w:val="Hyperlink"/>
    <w:basedOn w:val="DefaultParagraphFont"/>
    <w:uiPriority w:val="99"/>
    <w:unhideWhenUsed/>
    <w:rsid w:val="00B1503D"/>
    <w:rPr>
      <w:color w:val="0000FF" w:themeColor="hyperlink"/>
      <w:u w:val="single"/>
    </w:rPr>
  </w:style>
  <w:style w:type="paragraph" w:styleId="BalloonText">
    <w:name w:val="Balloon Text"/>
    <w:basedOn w:val="Normal"/>
    <w:link w:val="BalloonTextChar"/>
    <w:uiPriority w:val="99"/>
    <w:semiHidden/>
    <w:unhideWhenUsed/>
    <w:rsid w:val="00B42529"/>
    <w:rPr>
      <w:rFonts w:ascii="Lucida Grande" w:hAnsi="Lucida Grande"/>
      <w:sz w:val="18"/>
      <w:szCs w:val="18"/>
    </w:rPr>
  </w:style>
  <w:style w:type="character" w:customStyle="1" w:styleId="BalloonTextChar">
    <w:name w:val="Balloon Text Char"/>
    <w:basedOn w:val="DefaultParagraphFont"/>
    <w:link w:val="BalloonText"/>
    <w:uiPriority w:val="99"/>
    <w:semiHidden/>
    <w:rsid w:val="00B42529"/>
    <w:rPr>
      <w:rFonts w:ascii="Lucida Grande" w:hAnsi="Lucida Grande"/>
      <w:sz w:val="18"/>
      <w:szCs w:val="18"/>
    </w:rPr>
  </w:style>
  <w:style w:type="character" w:styleId="FollowedHyperlink">
    <w:name w:val="FollowedHyperlink"/>
    <w:basedOn w:val="DefaultParagraphFont"/>
    <w:uiPriority w:val="99"/>
    <w:semiHidden/>
    <w:unhideWhenUsed/>
    <w:rsid w:val="006B27CA"/>
    <w:rPr>
      <w:color w:val="800080" w:themeColor="followedHyperlink"/>
      <w:u w:val="single"/>
    </w:rPr>
  </w:style>
  <w:style w:type="paragraph" w:customStyle="1" w:styleId="Bibliography3">
    <w:name w:val="Bibliography3"/>
    <w:basedOn w:val="Normal"/>
    <w:rsid w:val="00BC5EE7"/>
    <w:pPr>
      <w:keepLines/>
      <w:spacing w:after="240"/>
      <w:ind w:left="709" w:hanging="709"/>
    </w:pPr>
    <w:rPr>
      <w:rFonts w:ascii="Times" w:eastAsia="Times New Roman" w:hAnsi="Times" w:cs="Times"/>
      <w:szCs w:val="20"/>
      <w:lang w:val="en-GB" w:eastAsia="en-GB"/>
    </w:rPr>
  </w:style>
  <w:style w:type="character" w:customStyle="1" w:styleId="s1">
    <w:name w:val="s1"/>
    <w:basedOn w:val="DefaultParagraphFont"/>
    <w:rsid w:val="00BC5EE7"/>
    <w:rPr>
      <w:u w:val="single"/>
    </w:rPr>
  </w:style>
  <w:style w:type="paragraph" w:customStyle="1" w:styleId="Bibliography5">
    <w:name w:val="Bibliography5"/>
    <w:basedOn w:val="Normal"/>
    <w:rsid w:val="00BC5EE7"/>
    <w:pPr>
      <w:keepLines/>
      <w:spacing w:after="240"/>
      <w:ind w:left="709" w:hanging="709"/>
    </w:pPr>
    <w:rPr>
      <w:rFonts w:ascii="Times" w:eastAsia="Batang" w:hAnsi="Times" w:cs="Times New Roman"/>
      <w:szCs w:val="20"/>
    </w:rPr>
  </w:style>
  <w:style w:type="character" w:styleId="CommentReference">
    <w:name w:val="annotation reference"/>
    <w:basedOn w:val="DefaultParagraphFont"/>
    <w:uiPriority w:val="99"/>
    <w:semiHidden/>
    <w:unhideWhenUsed/>
    <w:rsid w:val="005A3573"/>
    <w:rPr>
      <w:sz w:val="18"/>
      <w:szCs w:val="18"/>
    </w:rPr>
  </w:style>
  <w:style w:type="paragraph" w:styleId="CommentText">
    <w:name w:val="annotation text"/>
    <w:basedOn w:val="Normal"/>
    <w:link w:val="CommentTextChar"/>
    <w:uiPriority w:val="99"/>
    <w:semiHidden/>
    <w:unhideWhenUsed/>
    <w:rsid w:val="005A3573"/>
  </w:style>
  <w:style w:type="character" w:customStyle="1" w:styleId="CommentTextChar">
    <w:name w:val="Comment Text Char"/>
    <w:basedOn w:val="DefaultParagraphFont"/>
    <w:link w:val="CommentText"/>
    <w:uiPriority w:val="99"/>
    <w:semiHidden/>
    <w:rsid w:val="005A3573"/>
  </w:style>
  <w:style w:type="paragraph" w:styleId="CommentSubject">
    <w:name w:val="annotation subject"/>
    <w:basedOn w:val="CommentText"/>
    <w:next w:val="CommentText"/>
    <w:link w:val="CommentSubjectChar"/>
    <w:uiPriority w:val="99"/>
    <w:semiHidden/>
    <w:unhideWhenUsed/>
    <w:rsid w:val="005A3573"/>
    <w:rPr>
      <w:b/>
      <w:bCs/>
      <w:sz w:val="20"/>
      <w:szCs w:val="20"/>
    </w:rPr>
  </w:style>
  <w:style w:type="character" w:customStyle="1" w:styleId="CommentSubjectChar">
    <w:name w:val="Comment Subject Char"/>
    <w:basedOn w:val="CommentTextChar"/>
    <w:link w:val="CommentSubject"/>
    <w:uiPriority w:val="99"/>
    <w:semiHidden/>
    <w:rsid w:val="005A3573"/>
    <w:rPr>
      <w:b/>
      <w:bCs/>
      <w:sz w:val="20"/>
      <w:szCs w:val="20"/>
    </w:rPr>
  </w:style>
  <w:style w:type="paragraph" w:styleId="Revision">
    <w:name w:val="Revision"/>
    <w:hidden/>
    <w:uiPriority w:val="99"/>
    <w:semiHidden/>
    <w:rsid w:val="00600A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17C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7C2"/>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9617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17C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0199D"/>
    <w:pPr>
      <w:tabs>
        <w:tab w:val="center" w:pos="4513"/>
        <w:tab w:val="right" w:pos="9026"/>
      </w:tabs>
    </w:pPr>
  </w:style>
  <w:style w:type="character" w:customStyle="1" w:styleId="HeaderChar">
    <w:name w:val="Header Char"/>
    <w:basedOn w:val="DefaultParagraphFont"/>
    <w:link w:val="Header"/>
    <w:uiPriority w:val="99"/>
    <w:rsid w:val="00C0199D"/>
  </w:style>
  <w:style w:type="paragraph" w:styleId="Footer">
    <w:name w:val="footer"/>
    <w:basedOn w:val="Normal"/>
    <w:link w:val="FooterChar"/>
    <w:uiPriority w:val="99"/>
    <w:unhideWhenUsed/>
    <w:rsid w:val="00C0199D"/>
    <w:pPr>
      <w:tabs>
        <w:tab w:val="center" w:pos="4513"/>
        <w:tab w:val="right" w:pos="9026"/>
      </w:tabs>
    </w:pPr>
  </w:style>
  <w:style w:type="character" w:customStyle="1" w:styleId="FooterChar">
    <w:name w:val="Footer Char"/>
    <w:basedOn w:val="DefaultParagraphFont"/>
    <w:link w:val="Footer"/>
    <w:uiPriority w:val="99"/>
    <w:rsid w:val="00C0199D"/>
  </w:style>
  <w:style w:type="paragraph" w:styleId="ListParagraph">
    <w:name w:val="List Paragraph"/>
    <w:basedOn w:val="Normal"/>
    <w:uiPriority w:val="34"/>
    <w:qFormat/>
    <w:rsid w:val="00F17EB3"/>
    <w:pPr>
      <w:ind w:left="720"/>
      <w:contextualSpacing/>
    </w:pPr>
  </w:style>
  <w:style w:type="character" w:styleId="Hyperlink">
    <w:name w:val="Hyperlink"/>
    <w:basedOn w:val="DefaultParagraphFont"/>
    <w:uiPriority w:val="99"/>
    <w:unhideWhenUsed/>
    <w:rsid w:val="00B1503D"/>
    <w:rPr>
      <w:color w:val="0000FF" w:themeColor="hyperlink"/>
      <w:u w:val="single"/>
    </w:rPr>
  </w:style>
  <w:style w:type="paragraph" w:styleId="BalloonText">
    <w:name w:val="Balloon Text"/>
    <w:basedOn w:val="Normal"/>
    <w:link w:val="BalloonTextChar"/>
    <w:uiPriority w:val="99"/>
    <w:semiHidden/>
    <w:unhideWhenUsed/>
    <w:rsid w:val="00B42529"/>
    <w:rPr>
      <w:rFonts w:ascii="Lucida Grande" w:hAnsi="Lucida Grande"/>
      <w:sz w:val="18"/>
      <w:szCs w:val="18"/>
    </w:rPr>
  </w:style>
  <w:style w:type="character" w:customStyle="1" w:styleId="BalloonTextChar">
    <w:name w:val="Balloon Text Char"/>
    <w:basedOn w:val="DefaultParagraphFont"/>
    <w:link w:val="BalloonText"/>
    <w:uiPriority w:val="99"/>
    <w:semiHidden/>
    <w:rsid w:val="00B42529"/>
    <w:rPr>
      <w:rFonts w:ascii="Lucida Grande" w:hAnsi="Lucida Grande"/>
      <w:sz w:val="18"/>
      <w:szCs w:val="18"/>
    </w:rPr>
  </w:style>
  <w:style w:type="character" w:styleId="FollowedHyperlink">
    <w:name w:val="FollowedHyperlink"/>
    <w:basedOn w:val="DefaultParagraphFont"/>
    <w:uiPriority w:val="99"/>
    <w:semiHidden/>
    <w:unhideWhenUsed/>
    <w:rsid w:val="006B27CA"/>
    <w:rPr>
      <w:color w:val="800080" w:themeColor="followedHyperlink"/>
      <w:u w:val="single"/>
    </w:rPr>
  </w:style>
  <w:style w:type="paragraph" w:customStyle="1" w:styleId="Bibliography3">
    <w:name w:val="Bibliography3"/>
    <w:basedOn w:val="Normal"/>
    <w:rsid w:val="00BC5EE7"/>
    <w:pPr>
      <w:keepLines/>
      <w:spacing w:after="240"/>
      <w:ind w:left="709" w:hanging="709"/>
    </w:pPr>
    <w:rPr>
      <w:rFonts w:ascii="Times" w:eastAsia="Times New Roman" w:hAnsi="Times" w:cs="Times"/>
      <w:szCs w:val="20"/>
      <w:lang w:val="en-GB" w:eastAsia="en-GB"/>
    </w:rPr>
  </w:style>
  <w:style w:type="character" w:customStyle="1" w:styleId="s1">
    <w:name w:val="s1"/>
    <w:basedOn w:val="DefaultParagraphFont"/>
    <w:rsid w:val="00BC5EE7"/>
    <w:rPr>
      <w:u w:val="single"/>
    </w:rPr>
  </w:style>
  <w:style w:type="paragraph" w:customStyle="1" w:styleId="Bibliography5">
    <w:name w:val="Bibliography5"/>
    <w:basedOn w:val="Normal"/>
    <w:rsid w:val="00BC5EE7"/>
    <w:pPr>
      <w:keepLines/>
      <w:spacing w:after="240"/>
      <w:ind w:left="709" w:hanging="709"/>
    </w:pPr>
    <w:rPr>
      <w:rFonts w:ascii="Times" w:eastAsia="Batang" w:hAnsi="Times" w:cs="Times New Roman"/>
      <w:szCs w:val="20"/>
    </w:rPr>
  </w:style>
  <w:style w:type="character" w:styleId="CommentReference">
    <w:name w:val="annotation reference"/>
    <w:basedOn w:val="DefaultParagraphFont"/>
    <w:uiPriority w:val="99"/>
    <w:semiHidden/>
    <w:unhideWhenUsed/>
    <w:rsid w:val="005A3573"/>
    <w:rPr>
      <w:sz w:val="18"/>
      <w:szCs w:val="18"/>
    </w:rPr>
  </w:style>
  <w:style w:type="paragraph" w:styleId="CommentText">
    <w:name w:val="annotation text"/>
    <w:basedOn w:val="Normal"/>
    <w:link w:val="CommentTextChar"/>
    <w:uiPriority w:val="99"/>
    <w:semiHidden/>
    <w:unhideWhenUsed/>
    <w:rsid w:val="005A3573"/>
  </w:style>
  <w:style w:type="character" w:customStyle="1" w:styleId="CommentTextChar">
    <w:name w:val="Comment Text Char"/>
    <w:basedOn w:val="DefaultParagraphFont"/>
    <w:link w:val="CommentText"/>
    <w:uiPriority w:val="99"/>
    <w:semiHidden/>
    <w:rsid w:val="005A3573"/>
  </w:style>
  <w:style w:type="paragraph" w:styleId="CommentSubject">
    <w:name w:val="annotation subject"/>
    <w:basedOn w:val="CommentText"/>
    <w:next w:val="CommentText"/>
    <w:link w:val="CommentSubjectChar"/>
    <w:uiPriority w:val="99"/>
    <w:semiHidden/>
    <w:unhideWhenUsed/>
    <w:rsid w:val="005A3573"/>
    <w:rPr>
      <w:b/>
      <w:bCs/>
      <w:sz w:val="20"/>
      <w:szCs w:val="20"/>
    </w:rPr>
  </w:style>
  <w:style w:type="character" w:customStyle="1" w:styleId="CommentSubjectChar">
    <w:name w:val="Comment Subject Char"/>
    <w:basedOn w:val="CommentTextChar"/>
    <w:link w:val="CommentSubject"/>
    <w:uiPriority w:val="99"/>
    <w:semiHidden/>
    <w:rsid w:val="005A3573"/>
    <w:rPr>
      <w:b/>
      <w:bCs/>
      <w:sz w:val="20"/>
      <w:szCs w:val="20"/>
    </w:rPr>
  </w:style>
  <w:style w:type="paragraph" w:styleId="Revision">
    <w:name w:val="Revision"/>
    <w:hidden/>
    <w:uiPriority w:val="99"/>
    <w:semiHidden/>
    <w:rsid w:val="00600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048864">
      <w:bodyDiv w:val="1"/>
      <w:marLeft w:val="0"/>
      <w:marRight w:val="0"/>
      <w:marTop w:val="0"/>
      <w:marBottom w:val="0"/>
      <w:divBdr>
        <w:top w:val="none" w:sz="0" w:space="0" w:color="auto"/>
        <w:left w:val="none" w:sz="0" w:space="0" w:color="auto"/>
        <w:bottom w:val="none" w:sz="0" w:space="0" w:color="auto"/>
        <w:right w:val="none" w:sz="0" w:space="0" w:color="auto"/>
      </w:divBdr>
      <w:divsChild>
        <w:div w:id="918290989">
          <w:marLeft w:val="0"/>
          <w:marRight w:val="0"/>
          <w:marTop w:val="0"/>
          <w:marBottom w:val="0"/>
          <w:divBdr>
            <w:top w:val="none" w:sz="0" w:space="0" w:color="auto"/>
            <w:left w:val="none" w:sz="0" w:space="0" w:color="auto"/>
            <w:bottom w:val="none" w:sz="0" w:space="0" w:color="auto"/>
            <w:right w:val="none" w:sz="0" w:space="0" w:color="auto"/>
          </w:divBdr>
        </w:div>
        <w:div w:id="124274587">
          <w:marLeft w:val="0"/>
          <w:marRight w:val="0"/>
          <w:marTop w:val="0"/>
          <w:marBottom w:val="0"/>
          <w:divBdr>
            <w:top w:val="none" w:sz="0" w:space="0" w:color="auto"/>
            <w:left w:val="none" w:sz="0" w:space="0" w:color="auto"/>
            <w:bottom w:val="none" w:sz="0" w:space="0" w:color="auto"/>
            <w:right w:val="none" w:sz="0" w:space="0" w:color="auto"/>
          </w:divBdr>
        </w:div>
        <w:div w:id="873536305">
          <w:marLeft w:val="0"/>
          <w:marRight w:val="0"/>
          <w:marTop w:val="0"/>
          <w:marBottom w:val="0"/>
          <w:divBdr>
            <w:top w:val="none" w:sz="0" w:space="0" w:color="auto"/>
            <w:left w:val="none" w:sz="0" w:space="0" w:color="auto"/>
            <w:bottom w:val="none" w:sz="0" w:space="0" w:color="auto"/>
            <w:right w:val="none" w:sz="0" w:space="0" w:color="auto"/>
          </w:divBdr>
        </w:div>
        <w:div w:id="1033188959">
          <w:marLeft w:val="0"/>
          <w:marRight w:val="0"/>
          <w:marTop w:val="0"/>
          <w:marBottom w:val="0"/>
          <w:divBdr>
            <w:top w:val="none" w:sz="0" w:space="0" w:color="auto"/>
            <w:left w:val="none" w:sz="0" w:space="0" w:color="auto"/>
            <w:bottom w:val="none" w:sz="0" w:space="0" w:color="auto"/>
            <w:right w:val="none" w:sz="0" w:space="0" w:color="auto"/>
          </w:divBdr>
        </w:div>
        <w:div w:id="1983535537">
          <w:marLeft w:val="0"/>
          <w:marRight w:val="0"/>
          <w:marTop w:val="0"/>
          <w:marBottom w:val="0"/>
          <w:divBdr>
            <w:top w:val="none" w:sz="0" w:space="0" w:color="auto"/>
            <w:left w:val="none" w:sz="0" w:space="0" w:color="auto"/>
            <w:bottom w:val="none" w:sz="0" w:space="0" w:color="auto"/>
            <w:right w:val="none" w:sz="0" w:space="0" w:color="auto"/>
          </w:divBdr>
        </w:div>
        <w:div w:id="2019959173">
          <w:marLeft w:val="0"/>
          <w:marRight w:val="0"/>
          <w:marTop w:val="0"/>
          <w:marBottom w:val="0"/>
          <w:divBdr>
            <w:top w:val="none" w:sz="0" w:space="0" w:color="auto"/>
            <w:left w:val="none" w:sz="0" w:space="0" w:color="auto"/>
            <w:bottom w:val="none" w:sz="0" w:space="0" w:color="auto"/>
            <w:right w:val="none" w:sz="0" w:space="0" w:color="auto"/>
          </w:divBdr>
        </w:div>
        <w:div w:id="112016211">
          <w:marLeft w:val="0"/>
          <w:marRight w:val="0"/>
          <w:marTop w:val="0"/>
          <w:marBottom w:val="0"/>
          <w:divBdr>
            <w:top w:val="none" w:sz="0" w:space="0" w:color="auto"/>
            <w:left w:val="none" w:sz="0" w:space="0" w:color="auto"/>
            <w:bottom w:val="none" w:sz="0" w:space="0" w:color="auto"/>
            <w:right w:val="none" w:sz="0" w:space="0" w:color="auto"/>
          </w:divBdr>
        </w:div>
        <w:div w:id="2059863184">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995845235">
          <w:marLeft w:val="0"/>
          <w:marRight w:val="0"/>
          <w:marTop w:val="0"/>
          <w:marBottom w:val="0"/>
          <w:divBdr>
            <w:top w:val="none" w:sz="0" w:space="0" w:color="auto"/>
            <w:left w:val="none" w:sz="0" w:space="0" w:color="auto"/>
            <w:bottom w:val="none" w:sz="0" w:space="0" w:color="auto"/>
            <w:right w:val="none" w:sz="0" w:space="0" w:color="auto"/>
          </w:divBdr>
        </w:div>
        <w:div w:id="631593706">
          <w:marLeft w:val="0"/>
          <w:marRight w:val="0"/>
          <w:marTop w:val="0"/>
          <w:marBottom w:val="0"/>
          <w:divBdr>
            <w:top w:val="none" w:sz="0" w:space="0" w:color="auto"/>
            <w:left w:val="none" w:sz="0" w:space="0" w:color="auto"/>
            <w:bottom w:val="none" w:sz="0" w:space="0" w:color="auto"/>
            <w:right w:val="none" w:sz="0" w:space="0" w:color="auto"/>
          </w:divBdr>
        </w:div>
        <w:div w:id="1621305632">
          <w:marLeft w:val="0"/>
          <w:marRight w:val="0"/>
          <w:marTop w:val="0"/>
          <w:marBottom w:val="0"/>
          <w:divBdr>
            <w:top w:val="none" w:sz="0" w:space="0" w:color="auto"/>
            <w:left w:val="none" w:sz="0" w:space="0" w:color="auto"/>
            <w:bottom w:val="none" w:sz="0" w:space="0" w:color="auto"/>
            <w:right w:val="none" w:sz="0" w:space="0" w:color="auto"/>
          </w:divBdr>
        </w:div>
        <w:div w:id="1454861921">
          <w:marLeft w:val="0"/>
          <w:marRight w:val="0"/>
          <w:marTop w:val="0"/>
          <w:marBottom w:val="0"/>
          <w:divBdr>
            <w:top w:val="none" w:sz="0" w:space="0" w:color="auto"/>
            <w:left w:val="none" w:sz="0" w:space="0" w:color="auto"/>
            <w:bottom w:val="none" w:sz="0" w:space="0" w:color="auto"/>
            <w:right w:val="none" w:sz="0" w:space="0" w:color="auto"/>
          </w:divBdr>
        </w:div>
        <w:div w:id="835074139">
          <w:marLeft w:val="0"/>
          <w:marRight w:val="0"/>
          <w:marTop w:val="0"/>
          <w:marBottom w:val="0"/>
          <w:divBdr>
            <w:top w:val="none" w:sz="0" w:space="0" w:color="auto"/>
            <w:left w:val="none" w:sz="0" w:space="0" w:color="auto"/>
            <w:bottom w:val="none" w:sz="0" w:space="0" w:color="auto"/>
            <w:right w:val="none" w:sz="0" w:space="0" w:color="auto"/>
          </w:divBdr>
        </w:div>
        <w:div w:id="76679760">
          <w:marLeft w:val="0"/>
          <w:marRight w:val="0"/>
          <w:marTop w:val="0"/>
          <w:marBottom w:val="0"/>
          <w:divBdr>
            <w:top w:val="none" w:sz="0" w:space="0" w:color="auto"/>
            <w:left w:val="none" w:sz="0" w:space="0" w:color="auto"/>
            <w:bottom w:val="none" w:sz="0" w:space="0" w:color="auto"/>
            <w:right w:val="none" w:sz="0" w:space="0" w:color="auto"/>
          </w:divBdr>
        </w:div>
        <w:div w:id="670638817">
          <w:marLeft w:val="0"/>
          <w:marRight w:val="0"/>
          <w:marTop w:val="0"/>
          <w:marBottom w:val="0"/>
          <w:divBdr>
            <w:top w:val="none" w:sz="0" w:space="0" w:color="auto"/>
            <w:left w:val="none" w:sz="0" w:space="0" w:color="auto"/>
            <w:bottom w:val="none" w:sz="0" w:space="0" w:color="auto"/>
            <w:right w:val="none" w:sz="0" w:space="0" w:color="auto"/>
          </w:divBdr>
        </w:div>
        <w:div w:id="560604819">
          <w:marLeft w:val="0"/>
          <w:marRight w:val="0"/>
          <w:marTop w:val="0"/>
          <w:marBottom w:val="0"/>
          <w:divBdr>
            <w:top w:val="none" w:sz="0" w:space="0" w:color="auto"/>
            <w:left w:val="none" w:sz="0" w:space="0" w:color="auto"/>
            <w:bottom w:val="none" w:sz="0" w:space="0" w:color="auto"/>
            <w:right w:val="none" w:sz="0" w:space="0" w:color="auto"/>
          </w:divBdr>
        </w:div>
      </w:divsChild>
    </w:div>
    <w:div w:id="1918707516">
      <w:bodyDiv w:val="1"/>
      <w:marLeft w:val="0"/>
      <w:marRight w:val="0"/>
      <w:marTop w:val="0"/>
      <w:marBottom w:val="0"/>
      <w:divBdr>
        <w:top w:val="none" w:sz="0" w:space="0" w:color="auto"/>
        <w:left w:val="none" w:sz="0" w:space="0" w:color="auto"/>
        <w:bottom w:val="none" w:sz="0" w:space="0" w:color="auto"/>
        <w:right w:val="none" w:sz="0" w:space="0" w:color="auto"/>
      </w:divBdr>
      <w:divsChild>
        <w:div w:id="1504012585">
          <w:marLeft w:val="0"/>
          <w:marRight w:val="0"/>
          <w:marTop w:val="0"/>
          <w:marBottom w:val="0"/>
          <w:divBdr>
            <w:top w:val="none" w:sz="0" w:space="0" w:color="auto"/>
            <w:left w:val="none" w:sz="0" w:space="0" w:color="auto"/>
            <w:bottom w:val="none" w:sz="0" w:space="0" w:color="auto"/>
            <w:right w:val="none" w:sz="0" w:space="0" w:color="auto"/>
          </w:divBdr>
          <w:divsChild>
            <w:div w:id="1381444243">
              <w:marLeft w:val="0"/>
              <w:marRight w:val="0"/>
              <w:marTop w:val="0"/>
              <w:marBottom w:val="0"/>
              <w:divBdr>
                <w:top w:val="none" w:sz="0" w:space="0" w:color="auto"/>
                <w:left w:val="none" w:sz="0" w:space="0" w:color="auto"/>
                <w:bottom w:val="none" w:sz="0" w:space="0" w:color="auto"/>
                <w:right w:val="none" w:sz="0" w:space="0" w:color="auto"/>
              </w:divBdr>
              <w:divsChild>
                <w:div w:id="80065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oecd.org/gov/regulatory-policy/1_coglianese%20web.pdf"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oecd.org/regreform/regulatory-policy/WP1_Design-Methodology-Key-Results.pdf" TargetMode="External"/><Relationship Id="rId10" Type="http://schemas.openxmlformats.org/officeDocument/2006/relationships/hyperlink" Target="http://www.regulation.org.uk/library/2005_less_is_mo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0D9EA3-90F5-E242-8274-548393F61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25</Pages>
  <Words>8344</Words>
  <Characters>47563</Characters>
  <Application>Microsoft Macintosh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The University of Exeter</Company>
  <LinksUpToDate>false</LinksUpToDate>
  <CharactersWithSpaces>55796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Radaelli</dc:creator>
  <cp:keywords/>
  <dc:description/>
  <cp:lastModifiedBy>Claudio  Radaelli</cp:lastModifiedBy>
  <cp:revision>35</cp:revision>
  <cp:lastPrinted>2017-12-05T17:58:00Z</cp:lastPrinted>
  <dcterms:created xsi:type="dcterms:W3CDTF">2018-01-19T09:59:00Z</dcterms:created>
  <dcterms:modified xsi:type="dcterms:W3CDTF">2018-01-19T12:30:00Z</dcterms:modified>
</cp:coreProperties>
</file>